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BAF8F"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Strontium isotope analysis reveals prehistoric mobility patterns in the southeastern Baltic area</w:t>
      </w:r>
    </w:p>
    <w:p w14:paraId="695ADE3C" w14:textId="77777777" w:rsidR="00073701" w:rsidRDefault="00073701">
      <w:pPr>
        <w:spacing w:after="0" w:line="240" w:lineRule="auto"/>
        <w:jc w:val="both"/>
        <w:rPr>
          <w:rFonts w:ascii="Times New Roman" w:eastAsia="Times New Roman" w:hAnsi="Times New Roman" w:cs="Times New Roman"/>
          <w:b/>
          <w:sz w:val="24"/>
          <w:szCs w:val="24"/>
        </w:rPr>
      </w:pPr>
    </w:p>
    <w:p w14:paraId="5E0C831B"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Gytis </w:t>
      </w:r>
      <w:bookmarkStart w:id="0" w:name="_GoBack"/>
      <w:r>
        <w:rPr>
          <w:rFonts w:ascii="Times New Roman" w:eastAsia="Times New Roman" w:hAnsi="Times New Roman" w:cs="Times New Roman"/>
          <w:b/>
          <w:sz w:val="24"/>
          <w:szCs w:val="24"/>
        </w:rPr>
        <w:t>Piličiauskas</w:t>
      </w:r>
      <w:bookmarkEnd w:id="0"/>
    </w:p>
    <w:p w14:paraId="210E7E73"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Archaeology department, Lithuanian Institute of History, Tilto st. 17, Vilnius 01101, Lithuania</w:t>
      </w:r>
    </w:p>
    <w:p w14:paraId="4415BADF"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Corresponding author email: </w:t>
      </w:r>
      <w:hyperlink r:id="rId9">
        <w:r>
          <w:rPr>
            <w:rFonts w:ascii="Times New Roman" w:eastAsia="Times New Roman" w:hAnsi="Times New Roman" w:cs="Times New Roman"/>
            <w:color w:val="0563C1"/>
            <w:sz w:val="20"/>
            <w:szCs w:val="20"/>
            <w:u w:val="single"/>
          </w:rPr>
          <w:t>gytis.piliciauskas@gmail.com</w:t>
        </w:r>
      </w:hyperlink>
    </w:p>
    <w:p w14:paraId="10AEE697" w14:textId="77777777" w:rsidR="00073701" w:rsidRDefault="00073701">
      <w:pPr>
        <w:spacing w:after="0" w:line="240" w:lineRule="auto"/>
        <w:jc w:val="both"/>
        <w:rPr>
          <w:rFonts w:ascii="Times New Roman" w:eastAsia="Times New Roman" w:hAnsi="Times New Roman" w:cs="Times New Roman"/>
          <w:sz w:val="24"/>
          <w:szCs w:val="24"/>
        </w:rPr>
      </w:pPr>
    </w:p>
    <w:p w14:paraId="20D0DFB6" w14:textId="77777777" w:rsidR="00073701" w:rsidRDefault="00C87DCB">
      <w:pPr>
        <w:spacing w:after="0" w:line="240" w:lineRule="auto"/>
        <w:jc w:val="both"/>
        <w:rPr>
          <w:rFonts w:ascii="Times New Roman" w:eastAsia="Times New Roman" w:hAnsi="Times New Roman" w:cs="Times New Roman"/>
          <w:b/>
          <w:sz w:val="24"/>
          <w:szCs w:val="24"/>
        </w:rPr>
      </w:pPr>
      <w:bookmarkStart w:id="1" w:name="_heading=h.gjdgxs" w:colFirst="0" w:colLast="0"/>
      <w:bookmarkEnd w:id="1"/>
      <w:r>
        <w:rPr>
          <w:rFonts w:ascii="Times New Roman" w:eastAsia="Times New Roman" w:hAnsi="Times New Roman" w:cs="Times New Roman"/>
          <w:b/>
          <w:sz w:val="24"/>
          <w:szCs w:val="24"/>
        </w:rPr>
        <w:t>Edvardas Simčenka</w:t>
      </w:r>
    </w:p>
    <w:p w14:paraId="08230D15"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Archaeology department, Lithuanian Institute of History, Tilto st. 17, Vilnius 01101, Lithuania</w:t>
      </w:r>
    </w:p>
    <w:p w14:paraId="43B98870" w14:textId="77777777" w:rsidR="00073701" w:rsidRDefault="00073701">
      <w:pPr>
        <w:spacing w:after="0" w:line="240" w:lineRule="auto"/>
        <w:jc w:val="both"/>
        <w:rPr>
          <w:rFonts w:ascii="Times New Roman" w:eastAsia="Times New Roman" w:hAnsi="Times New Roman" w:cs="Times New Roman"/>
          <w:sz w:val="24"/>
          <w:szCs w:val="24"/>
        </w:rPr>
      </w:pPr>
    </w:p>
    <w:p w14:paraId="3FB4182A"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Kerstin Lidén</w:t>
      </w:r>
    </w:p>
    <w:p w14:paraId="7B0FD72D"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Archaeological Research Laboratory, Stockhol</w:t>
      </w:r>
      <w:r>
        <w:rPr>
          <w:rFonts w:ascii="Times New Roman" w:eastAsia="Times New Roman" w:hAnsi="Times New Roman" w:cs="Times New Roman"/>
          <w:sz w:val="20"/>
          <w:szCs w:val="20"/>
        </w:rPr>
        <w:t>m University, SE-10691 Stockholm, Sweden</w:t>
      </w:r>
    </w:p>
    <w:p w14:paraId="29BEC3F9" w14:textId="77777777" w:rsidR="00073701" w:rsidRDefault="00073701">
      <w:pPr>
        <w:spacing w:after="0" w:line="240" w:lineRule="auto"/>
        <w:jc w:val="both"/>
        <w:rPr>
          <w:rFonts w:ascii="Times New Roman" w:eastAsia="Times New Roman" w:hAnsi="Times New Roman" w:cs="Times New Roman"/>
          <w:sz w:val="24"/>
          <w:szCs w:val="24"/>
        </w:rPr>
      </w:pPr>
    </w:p>
    <w:p w14:paraId="1670ED38"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Justina Kozakaitė</w:t>
      </w:r>
    </w:p>
    <w:p w14:paraId="054934F2"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Faculty of Medicine, Vilnius University, M. K. Čiurlionio st. 21, Vilnius 03101, Lithuania</w:t>
      </w:r>
    </w:p>
    <w:p w14:paraId="6480D2D9" w14:textId="77777777" w:rsidR="00073701" w:rsidRDefault="00073701">
      <w:pPr>
        <w:spacing w:after="0" w:line="240" w:lineRule="auto"/>
        <w:jc w:val="both"/>
        <w:rPr>
          <w:rFonts w:ascii="Times New Roman" w:eastAsia="Times New Roman" w:hAnsi="Times New Roman" w:cs="Times New Roman"/>
          <w:sz w:val="24"/>
          <w:szCs w:val="24"/>
        </w:rPr>
      </w:pPr>
    </w:p>
    <w:p w14:paraId="3D25ABBE"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Žydrūnė Miliauskienė</w:t>
      </w:r>
    </w:p>
    <w:p w14:paraId="693A7ADA"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Faculty of Medicine, Vilnius University, M. K. Čiurlionio st. 21, Vilnius 03101, Li</w:t>
      </w:r>
      <w:r>
        <w:rPr>
          <w:rFonts w:ascii="Times New Roman" w:eastAsia="Times New Roman" w:hAnsi="Times New Roman" w:cs="Times New Roman"/>
          <w:sz w:val="20"/>
          <w:szCs w:val="20"/>
        </w:rPr>
        <w:t>thuania</w:t>
      </w:r>
    </w:p>
    <w:p w14:paraId="0387ED71" w14:textId="77777777" w:rsidR="00073701" w:rsidRDefault="00073701">
      <w:pPr>
        <w:spacing w:after="0" w:line="240" w:lineRule="auto"/>
        <w:jc w:val="both"/>
        <w:rPr>
          <w:rFonts w:ascii="Times New Roman" w:eastAsia="Times New Roman" w:hAnsi="Times New Roman" w:cs="Times New Roman"/>
          <w:sz w:val="24"/>
          <w:szCs w:val="24"/>
        </w:rPr>
      </w:pPr>
    </w:p>
    <w:p w14:paraId="10ACBF47"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Giedrė Piličiauskienė</w:t>
      </w:r>
    </w:p>
    <w:p w14:paraId="4E32B53F"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Archaeology department, Vilnius University, Universiteto st. 7, Vilnius 01513, Lithuania</w:t>
      </w:r>
    </w:p>
    <w:p w14:paraId="0A602368" w14:textId="77777777" w:rsidR="00073701" w:rsidRDefault="00073701">
      <w:pPr>
        <w:spacing w:after="0" w:line="240" w:lineRule="auto"/>
        <w:jc w:val="both"/>
        <w:rPr>
          <w:rFonts w:ascii="Times New Roman" w:eastAsia="Times New Roman" w:hAnsi="Times New Roman" w:cs="Times New Roman"/>
          <w:sz w:val="24"/>
          <w:szCs w:val="24"/>
        </w:rPr>
      </w:pPr>
    </w:p>
    <w:p w14:paraId="253B0761"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Ellen Kooijman</w:t>
      </w:r>
    </w:p>
    <w:p w14:paraId="6496C95C"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Geosciences, Swedish Museum of Natural History, Box 50 007 SE-104 05 Stockholm, Sweden</w:t>
      </w:r>
    </w:p>
    <w:p w14:paraId="07B7C650" w14:textId="77777777" w:rsidR="00073701" w:rsidRDefault="00073701">
      <w:pPr>
        <w:spacing w:after="0" w:line="240" w:lineRule="auto"/>
        <w:jc w:val="both"/>
        <w:rPr>
          <w:rFonts w:ascii="Times New Roman" w:eastAsia="Times New Roman" w:hAnsi="Times New Roman" w:cs="Times New Roman"/>
          <w:sz w:val="24"/>
          <w:szCs w:val="24"/>
        </w:rPr>
      </w:pPr>
    </w:p>
    <w:p w14:paraId="303F9027"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Petras Šinkūnas</w:t>
      </w:r>
    </w:p>
    <w:p w14:paraId="1189FEA3"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z w:val="20"/>
          <w:szCs w:val="20"/>
        </w:rPr>
        <w:t>partment of Geology and Mineralogy, Institute of Geosciences, Vilnius University, M. K. Čiurlionio st. 21, Vilnius 03101, Lithuania</w:t>
      </w:r>
    </w:p>
    <w:p w14:paraId="75FA7E37" w14:textId="77777777" w:rsidR="00073701" w:rsidRDefault="00073701">
      <w:pPr>
        <w:spacing w:after="0" w:line="240" w:lineRule="auto"/>
        <w:jc w:val="both"/>
        <w:rPr>
          <w:rFonts w:ascii="Times New Roman" w:eastAsia="Times New Roman" w:hAnsi="Times New Roman" w:cs="Times New Roman"/>
          <w:sz w:val="24"/>
          <w:szCs w:val="24"/>
        </w:rPr>
      </w:pPr>
    </w:p>
    <w:p w14:paraId="25C8FD5E"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Harry K. Robson</w:t>
      </w:r>
    </w:p>
    <w:p w14:paraId="2AACBC84" w14:textId="77777777" w:rsidR="00073701" w:rsidRDefault="00C87D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BioArCh, Department of Archaeology, University of York, York, North Yorkshire, YO10 5DD, UK</w:t>
      </w:r>
    </w:p>
    <w:p w14:paraId="3FC8E4BA" w14:textId="77777777" w:rsidR="00073701" w:rsidRDefault="00073701">
      <w:pPr>
        <w:spacing w:after="0" w:line="240" w:lineRule="auto"/>
        <w:jc w:val="both"/>
        <w:rPr>
          <w:rFonts w:ascii="Times New Roman" w:eastAsia="Times New Roman" w:hAnsi="Times New Roman" w:cs="Times New Roman"/>
          <w:sz w:val="24"/>
          <w:szCs w:val="24"/>
        </w:rPr>
      </w:pPr>
    </w:p>
    <w:p w14:paraId="18FB8612"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453137F" w14:textId="77777777" w:rsidR="00073701" w:rsidRDefault="00C87D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We measured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for all available human remains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40) dating from the Mesolithic to the Bronze Age (ca. 6400-800 cal BC) in Lithuania. In addition, local baselines of archaeological fauna from the same area were constructed. </w:t>
      </w:r>
      <w:r>
        <w:rPr>
          <w:rFonts w:ascii="Times New Roman" w:eastAsia="Times New Roman" w:hAnsi="Times New Roman" w:cs="Times New Roman"/>
          <w:color w:val="000000"/>
          <w:sz w:val="24"/>
          <w:szCs w:val="24"/>
        </w:rPr>
        <w:t xml:space="preserve">We </w:t>
      </w:r>
      <w:r>
        <w:rPr>
          <w:rFonts w:ascii="Times New Roman" w:eastAsia="Times New Roman" w:hAnsi="Times New Roman" w:cs="Times New Roman"/>
          <w:sz w:val="24"/>
          <w:szCs w:val="24"/>
        </w:rPr>
        <w:t xml:space="preserve">identified </w:t>
      </w:r>
      <w:r>
        <w:rPr>
          <w:rFonts w:ascii="Times New Roman" w:eastAsia="Times New Roman" w:hAnsi="Times New Roman" w:cs="Times New Roman"/>
          <w:color w:val="000000"/>
          <w:sz w:val="24"/>
          <w:szCs w:val="24"/>
        </w:rPr>
        <w:t>signific</w:t>
      </w:r>
      <w:r>
        <w:rPr>
          <w:rFonts w:ascii="Times New Roman" w:eastAsia="Times New Roman" w:hAnsi="Times New Roman" w:cs="Times New Roman"/>
          <w:color w:val="000000"/>
          <w:sz w:val="24"/>
          <w:szCs w:val="24"/>
        </w:rPr>
        <w:t xml:space="preserve">ant and systematic offsets between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 xml:space="preserve">Sr </w:t>
      </w:r>
      <w:r>
        <w:rPr>
          <w:rFonts w:ascii="Times New Roman" w:eastAsia="Times New Roman" w:hAnsi="Times New Roman" w:cs="Times New Roman"/>
          <w:sz w:val="24"/>
          <w:szCs w:val="24"/>
        </w:rPr>
        <w:t>values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modern soils and animals and archaeological animals due to currently unknown reasons. </w:t>
      </w:r>
      <w:r>
        <w:rPr>
          <w:rFonts w:ascii="Times New Roman" w:eastAsia="Times New Roman" w:hAnsi="Times New Roman" w:cs="Times New Roman"/>
          <w:sz w:val="24"/>
          <w:szCs w:val="24"/>
        </w:rPr>
        <w:t xml:space="preserve">By comparing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human intra-tooth variation with the local baselines we identified 13 non-local individuals,</w:t>
      </w:r>
      <w:r>
        <w:rPr>
          <w:rFonts w:ascii="Times New Roman" w:eastAsia="Times New Roman" w:hAnsi="Times New Roman" w:cs="Times New Roman"/>
          <w:sz w:val="24"/>
          <w:szCs w:val="24"/>
        </w:rPr>
        <w:t xml:space="preserve"> accounting for 25-50% of the analysed population. We found no </w:t>
      </w:r>
      <w:r>
        <w:rPr>
          <w:rFonts w:ascii="Times New Roman" w:eastAsia="Times New Roman" w:hAnsi="Times New Roman" w:cs="Times New Roman"/>
          <w:color w:val="000000"/>
          <w:sz w:val="24"/>
          <w:szCs w:val="24"/>
        </w:rPr>
        <w:t xml:space="preserve">differences in the frequency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local vs. nonlocals </w:t>
      </w:r>
      <w:r>
        <w:rPr>
          <w:rFonts w:ascii="Times New Roman" w:eastAsia="Times New Roman" w:hAnsi="Times New Roman" w:cs="Times New Roman"/>
          <w:sz w:val="24"/>
          <w:szCs w:val="24"/>
        </w:rPr>
        <w:t xml:space="preserve">between </w:t>
      </w:r>
      <w:r>
        <w:rPr>
          <w:rFonts w:ascii="Times New Roman" w:eastAsia="Times New Roman" w:hAnsi="Times New Roman" w:cs="Times New Roman"/>
          <w:color w:val="000000"/>
          <w:sz w:val="24"/>
          <w:szCs w:val="24"/>
        </w:rPr>
        <w:t xml:space="preserve">male and female hunter-gatherers. Six Mesolithic-Subneolithic individuals with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values &gt;0.7200 may have come from southern F</w:t>
      </w:r>
      <w:r>
        <w:rPr>
          <w:rFonts w:ascii="Times New Roman" w:eastAsia="Times New Roman" w:hAnsi="Times New Roman" w:cs="Times New Roman"/>
          <w:color w:val="000000"/>
          <w:sz w:val="24"/>
          <w:szCs w:val="24"/>
        </w:rPr>
        <w:t xml:space="preserve">inland and/or Karelia. Two Mesolithic-Subneolithic individuals from the Donkalnis cemetery with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values &lt;0.7120 likely came from the Lithuan</w:t>
      </w:r>
      <w:r>
        <w:rPr>
          <w:rFonts w:ascii="Times New Roman" w:eastAsia="Times New Roman" w:hAnsi="Times New Roman" w:cs="Times New Roman"/>
          <w:sz w:val="24"/>
          <w:szCs w:val="24"/>
        </w:rPr>
        <w:t xml:space="preserve">ian </w:t>
      </w:r>
      <w:r>
        <w:rPr>
          <w:rFonts w:ascii="Times New Roman" w:eastAsia="Times New Roman" w:hAnsi="Times New Roman" w:cs="Times New Roman"/>
          <w:color w:val="000000"/>
          <w:sz w:val="24"/>
          <w:szCs w:val="24"/>
        </w:rPr>
        <w:t xml:space="preserve">Baltic coast. These data </w:t>
      </w:r>
      <w:r>
        <w:rPr>
          <w:rFonts w:ascii="Times New Roman" w:eastAsia="Times New Roman" w:hAnsi="Times New Roman" w:cs="Times New Roman"/>
          <w:sz w:val="24"/>
          <w:szCs w:val="24"/>
        </w:rPr>
        <w:t>demonstrate</w:t>
      </w:r>
      <w:r>
        <w:rPr>
          <w:rFonts w:ascii="Times New Roman" w:eastAsia="Times New Roman" w:hAnsi="Times New Roman" w:cs="Times New Roman"/>
          <w:color w:val="000000"/>
          <w:sz w:val="24"/>
          <w:szCs w:val="24"/>
        </w:rPr>
        <w:t xml:space="preserve"> coastal</w:t>
      </w:r>
      <w:r>
        <w:rPr>
          <w:rFonts w:ascii="Times New Roman" w:eastAsia="Times New Roman" w:hAnsi="Times New Roman" w:cs="Times New Roman"/>
          <w:sz w:val="24"/>
          <w:szCs w:val="24"/>
        </w:rPr>
        <w:t>-inland</w:t>
      </w:r>
      <w:r>
        <w:rPr>
          <w:rFonts w:ascii="Times New Roman" w:eastAsia="Times New Roman" w:hAnsi="Times New Roman" w:cs="Times New Roman"/>
          <w:color w:val="000000"/>
          <w:sz w:val="24"/>
          <w:szCs w:val="24"/>
        </w:rPr>
        <w:t xml:space="preserve"> mobility of up to 85 km, which is also supported by</w:t>
      </w:r>
      <w:r>
        <w:rPr>
          <w:rFonts w:ascii="Times New Roman" w:eastAsia="Times New Roman" w:hAnsi="Times New Roman" w:cs="Times New Roman"/>
          <w:color w:val="000000"/>
          <w:sz w:val="24"/>
          <w:szCs w:val="24"/>
        </w:rPr>
        <w:t xml:space="preserve"> archaeological </w:t>
      </w:r>
      <w:r>
        <w:rPr>
          <w:rFonts w:ascii="Times New Roman" w:eastAsia="Times New Roman" w:hAnsi="Times New Roman" w:cs="Times New Roman"/>
          <w:sz w:val="24"/>
          <w:szCs w:val="24"/>
        </w:rPr>
        <w:t>evidence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The standard deviation in the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indicates that mobility did not increase with the adoption of pottery technology at ca. 5000 cal BC but rather slowly decreased during the Neolithic and Bronze Age periods. We in</w:t>
      </w:r>
      <w:r>
        <w:rPr>
          <w:rFonts w:ascii="Times New Roman" w:eastAsia="Times New Roman" w:hAnsi="Times New Roman" w:cs="Times New Roman"/>
          <w:sz w:val="24"/>
          <w:szCs w:val="24"/>
        </w:rPr>
        <w:t xml:space="preserve">terpret this as a result of the introduction and subsequent intensification of farming. </w:t>
      </w:r>
      <w:r>
        <w:rPr>
          <w:rFonts w:ascii="Times New Roman" w:eastAsia="Times New Roman" w:hAnsi="Times New Roman" w:cs="Times New Roman"/>
          <w:color w:val="000000"/>
          <w:sz w:val="24"/>
          <w:szCs w:val="24"/>
        </w:rPr>
        <w:t xml:space="preserve">The least mobile way of life was practised by Subneolithic coastal </w:t>
      </w:r>
      <w:r>
        <w:rPr>
          <w:rFonts w:ascii="Times New Roman" w:eastAsia="Times New Roman" w:hAnsi="Times New Roman" w:cs="Times New Roman"/>
          <w:sz w:val="24"/>
          <w:szCs w:val="24"/>
        </w:rPr>
        <w:t>communities</w:t>
      </w:r>
      <w:r>
        <w:rPr>
          <w:rFonts w:ascii="Times New Roman" w:eastAsia="Times New Roman" w:hAnsi="Times New Roman" w:cs="Times New Roman"/>
          <w:color w:val="000000"/>
          <w:sz w:val="24"/>
          <w:szCs w:val="24"/>
        </w:rPr>
        <w:t xml:space="preserve"> during the 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millennium cal BC, although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do not exclude that they migrated al</w:t>
      </w:r>
      <w:r>
        <w:rPr>
          <w:rFonts w:ascii="Times New Roman" w:eastAsia="Times New Roman" w:hAnsi="Times New Roman" w:cs="Times New Roman"/>
          <w:sz w:val="24"/>
          <w:szCs w:val="24"/>
        </w:rPr>
        <w:t>ong the coastline.</w:t>
      </w:r>
    </w:p>
    <w:p w14:paraId="021F9009" w14:textId="77777777" w:rsidR="00073701" w:rsidRDefault="00073701">
      <w:pPr>
        <w:spacing w:after="0" w:line="240" w:lineRule="auto"/>
        <w:jc w:val="both"/>
        <w:rPr>
          <w:rFonts w:ascii="Times New Roman" w:eastAsia="Times New Roman" w:hAnsi="Times New Roman" w:cs="Times New Roman"/>
          <w:sz w:val="24"/>
          <w:szCs w:val="24"/>
        </w:rPr>
      </w:pPr>
    </w:p>
    <w:p w14:paraId="0FE552C8"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6BA58E4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Strontium isotope analysis, migration, mobility, southeastern Baltic, Stone Age, Bronze Age</w:t>
      </w:r>
    </w:p>
    <w:p w14:paraId="494F7562" w14:textId="77777777" w:rsidR="00073701" w:rsidRDefault="00073701">
      <w:pPr>
        <w:spacing w:after="0" w:line="240" w:lineRule="auto"/>
        <w:jc w:val="both"/>
        <w:rPr>
          <w:rFonts w:ascii="Times New Roman" w:eastAsia="Times New Roman" w:hAnsi="Times New Roman" w:cs="Times New Roman"/>
          <w:sz w:val="24"/>
          <w:szCs w:val="24"/>
        </w:rPr>
      </w:pPr>
    </w:p>
    <w:p w14:paraId="085710B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 Introduction</w:t>
      </w:r>
    </w:p>
    <w:p w14:paraId="0F29D7D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ancient DNA (aDNA) research has demonstrated that large-scale and long-distance human migrations took place throughout many European regions at the onset of and during the Neolithic and the Bronze Age (Allentoft et al. 2015; Haak et al. 2015; Mat</w:t>
      </w:r>
      <w:r>
        <w:rPr>
          <w:rFonts w:ascii="Times New Roman" w:eastAsia="Times New Roman" w:hAnsi="Times New Roman" w:cs="Times New Roman"/>
          <w:sz w:val="24"/>
          <w:szCs w:val="24"/>
        </w:rPr>
        <w:t>hieson et al. 2018; Olalde et al. 2018; Saag et al. 2021). The aDNA studies show that human mobility and migration were among the main agents for many cultural and economic changes throughout prehistory. Moreover, throughout the southeastern Baltic area, m</w:t>
      </w:r>
      <w:r>
        <w:rPr>
          <w:rFonts w:ascii="Times New Roman" w:eastAsia="Times New Roman" w:hAnsi="Times New Roman" w:cs="Times New Roman"/>
          <w:sz w:val="24"/>
          <w:szCs w:val="24"/>
        </w:rPr>
        <w:t>ultiple and extensive, and in some cases sudden, economic and cultural changes took place during the Stone and Bronze Ages. Subneolithic Porous Ware ceramic was, in many areas, replaced by Neolithic Globular Amphora, Rzucewo, and Corded Ware ceramics durin</w:t>
      </w:r>
      <w:r>
        <w:rPr>
          <w:rFonts w:ascii="Times New Roman" w:eastAsia="Times New Roman" w:hAnsi="Times New Roman" w:cs="Times New Roman"/>
          <w:sz w:val="24"/>
          <w:szCs w:val="24"/>
        </w:rPr>
        <w:t>g the period from ca. 3200-2800 cal BC (Piličiauskas 2018; Rimantienė 1989, 2002). Simultaneously, animal husbandry was incorporated into a mixed-type of economy in which wild resources continued to be exploited alongside domesticated species (Piličiauskas</w:t>
      </w:r>
      <w:r>
        <w:rPr>
          <w:rFonts w:ascii="Times New Roman" w:eastAsia="Times New Roman" w:hAnsi="Times New Roman" w:cs="Times New Roman"/>
          <w:sz w:val="24"/>
          <w:szCs w:val="24"/>
        </w:rPr>
        <w:t xml:space="preserve"> et al. 2020; Robson et al. 2019). At ca. 1300 cal BC barley cultivation commenced throughout the region (Piličiauskas et al. 2021), which was later supplemented by millet cultivation at ca. 1000 cal BC (Antanaitis-Jacobs et al. 2002; Piličiauskas et al. i</w:t>
      </w:r>
      <w:r>
        <w:rPr>
          <w:rFonts w:ascii="Times New Roman" w:eastAsia="Times New Roman" w:hAnsi="Times New Roman" w:cs="Times New Roman"/>
          <w:sz w:val="24"/>
          <w:szCs w:val="24"/>
        </w:rPr>
        <w:t>n prep.). At ca. 700 cal BC a wide range of plants were cultivated at the same time as farming intensified, at least in some coastal areas of Lithuania (Minkevičius et al. 2020).</w:t>
      </w:r>
    </w:p>
    <w:p w14:paraId="534AEB69" w14:textId="77777777" w:rsidR="00073701" w:rsidRDefault="00073701">
      <w:pPr>
        <w:spacing w:after="0" w:line="240" w:lineRule="auto"/>
        <w:jc w:val="both"/>
        <w:rPr>
          <w:rFonts w:ascii="Times New Roman" w:eastAsia="Times New Roman" w:hAnsi="Times New Roman" w:cs="Times New Roman"/>
          <w:sz w:val="24"/>
          <w:szCs w:val="24"/>
        </w:rPr>
      </w:pPr>
    </w:p>
    <w:p w14:paraId="7C3608D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genetics, mobility patterns can be identified via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w:t>
      </w:r>
      <w:r>
        <w:rPr>
          <w:rFonts w:ascii="Times New Roman" w:eastAsia="Times New Roman" w:hAnsi="Times New Roman" w:cs="Times New Roman"/>
          <w:sz w:val="24"/>
          <w:szCs w:val="24"/>
        </w:rPr>
        <w:t>nalysis. Strontium isotope analysis has, during more than three decades, proved itself as a useful tool for assessing human and animal mobility in the past (Ericson 1985; Gregoricka 2013; Knudson et al. 2012; Price et al. 1994; Shaw et al. 2010). The essen</w:t>
      </w:r>
      <w:r>
        <w:rPr>
          <w:rFonts w:ascii="Times New Roman" w:eastAsia="Times New Roman" w:hAnsi="Times New Roman" w:cs="Times New Roman"/>
          <w:sz w:val="24"/>
          <w:szCs w:val="24"/>
        </w:rPr>
        <w:t xml:space="preserve">ce of the method lies in the ability of living organisms to incorporate strontium, as a substitute to calcium, into their tissues including highly durable tooth enamel. Strontium has four isotopes of which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 xml:space="preserve">Sr is radiogenic, and forms from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Rb, with a ha</w:t>
      </w:r>
      <w:r>
        <w:rPr>
          <w:rFonts w:ascii="Times New Roman" w:eastAsia="Times New Roman" w:hAnsi="Times New Roman" w:cs="Times New Roman"/>
          <w:sz w:val="24"/>
          <w:szCs w:val="24"/>
        </w:rPr>
        <w:t>lf-life of 49.23 billion years. The strontium ratio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varies according to geology, with older rocks having higher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The biologically available strontium retains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 throughout its incorporation from soil to plants </w:t>
      </w:r>
      <w:r>
        <w:rPr>
          <w:rFonts w:ascii="Times New Roman" w:eastAsia="Times New Roman" w:hAnsi="Times New Roman" w:cs="Times New Roman"/>
          <w:sz w:val="24"/>
          <w:szCs w:val="24"/>
        </w:rPr>
        <w:t xml:space="preserve">to humans, because these isotopes do not fractionate in the same way as the lighter isotopes of carbon and nitrogen. As tooth enamel does not remodel after its final mineralisation, it maintains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 that was recorded during the formation of</w:t>
      </w:r>
      <w:r>
        <w:rPr>
          <w:rFonts w:ascii="Times New Roman" w:eastAsia="Times New Roman" w:hAnsi="Times New Roman" w:cs="Times New Roman"/>
          <w:sz w:val="24"/>
          <w:szCs w:val="24"/>
        </w:rPr>
        <w:t xml:space="preserve"> the tooth. By analysing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values in human tooth enamel and through comparison with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 of the bioavailable strontium of fauna, flora, water and soils, it is possible to establish whether a person had been feeding on local resou</w:t>
      </w:r>
      <w:r>
        <w:rPr>
          <w:rFonts w:ascii="Times New Roman" w:eastAsia="Times New Roman" w:hAnsi="Times New Roman" w:cs="Times New Roman"/>
          <w:sz w:val="24"/>
          <w:szCs w:val="24"/>
        </w:rPr>
        <w:t>rces during tooth formation (Bentley 2006; Holt et al. 2021; Montgomery 2010; Szostek et al. 2015). This enables us to trace the first generation of immigrants but only when there is a difference between the bioavailable strontium values at the place of bi</w:t>
      </w:r>
      <w:r>
        <w:rPr>
          <w:rFonts w:ascii="Times New Roman" w:eastAsia="Times New Roman" w:hAnsi="Times New Roman" w:cs="Times New Roman"/>
          <w:sz w:val="24"/>
          <w:szCs w:val="24"/>
        </w:rPr>
        <w:t xml:space="preserve">rth/childhood and death. Moreover, by high-resolution micro-sampling of a single tooth,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variation may be recorded, which reflects a chronological sequence (see e.g. Balasse 2002, 2003), that can provide further insights in how humans </w:t>
      </w:r>
      <w:r>
        <w:rPr>
          <w:rFonts w:ascii="Times New Roman" w:eastAsia="Times New Roman" w:hAnsi="Times New Roman" w:cs="Times New Roman"/>
          <w:sz w:val="24"/>
          <w:szCs w:val="24"/>
        </w:rPr>
        <w:t xml:space="preserve">or animals moved during tooth enamel mineralisation (e.g. Boethius et al. 2021; Glykou et al. 2018; Lazzerini et al. 2021). However, in order to use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mobility studies it is essential to know the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across large areas. Presen</w:t>
      </w:r>
      <w:r>
        <w:rPr>
          <w:rFonts w:ascii="Times New Roman" w:eastAsia="Times New Roman" w:hAnsi="Times New Roman" w:cs="Times New Roman"/>
          <w:sz w:val="24"/>
          <w:szCs w:val="24"/>
        </w:rPr>
        <w:t xml:space="preserve">tly very few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measurements have been reported from Eastern Europe, compared to the numerous studies that have been carried out in Western, Central and Northern Europe (e.g. Bataille et al. 2020; Bentley and Knipper 2005; Blank et al. 2021; Borić a</w:t>
      </w:r>
      <w:r>
        <w:rPr>
          <w:rFonts w:ascii="Times New Roman" w:eastAsia="Times New Roman" w:hAnsi="Times New Roman" w:cs="Times New Roman"/>
          <w:sz w:val="24"/>
          <w:szCs w:val="24"/>
        </w:rPr>
        <w:t xml:space="preserve">nd Price 2013; Fraser et al. 2018; Frei et al. 2019; Lahtinen et al. 2021; Price et al. 1994; Szczepanek et al. 2018). For instance, we were unable to find any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data for Belarus. For Lithuania, only data of modern grazing and agricult</w:t>
      </w:r>
      <w:r>
        <w:rPr>
          <w:rFonts w:ascii="Times New Roman" w:eastAsia="Times New Roman" w:hAnsi="Times New Roman" w:cs="Times New Roman"/>
          <w:sz w:val="24"/>
          <w:szCs w:val="24"/>
        </w:rPr>
        <w:t xml:space="preserve">ural soils was available prior to our study (Hoogewerff et al. 2019). For northeast Poland,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of natural mineral waters has been published (Voerkelius et al. 2010). For Latvia,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measurements on three snail shells (Price et al. 2020), seven</w:t>
      </w:r>
      <w:r>
        <w:rPr>
          <w:rFonts w:ascii="Times New Roman" w:eastAsia="Times New Roman" w:hAnsi="Times New Roman" w:cs="Times New Roman"/>
          <w:sz w:val="24"/>
          <w:szCs w:val="24"/>
        </w:rPr>
        <w:t xml:space="preserve"> domestic animals and 19 human bone samples are known (Petersone-Gordina et al. 2022), whilst from northwest Russia 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baseline for the Staraya Ladoga area was recently published (Price et al. 2020). In Estonia,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analysis has been applied in order to trace the origins of Bronze and Viking Age communities (Oras et al. 2016; Price et al. 2020).</w:t>
      </w:r>
    </w:p>
    <w:p w14:paraId="3FFDF6F3" w14:textId="77777777" w:rsidR="00073701" w:rsidRDefault="00073701">
      <w:pPr>
        <w:spacing w:after="0" w:line="240" w:lineRule="auto"/>
        <w:jc w:val="both"/>
        <w:rPr>
          <w:rFonts w:ascii="Times New Roman" w:eastAsia="Times New Roman" w:hAnsi="Times New Roman" w:cs="Times New Roman"/>
          <w:sz w:val="24"/>
          <w:szCs w:val="24"/>
        </w:rPr>
      </w:pPr>
    </w:p>
    <w:p w14:paraId="0CF78FD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lack of research in our study area, we made a first attempt to trace mobility in the southeastern Baltic area</w:t>
      </w:r>
      <w:r>
        <w:rPr>
          <w:rFonts w:ascii="Times New Roman" w:eastAsia="Times New Roman" w:hAnsi="Times New Roman" w:cs="Times New Roman"/>
          <w:sz w:val="24"/>
          <w:szCs w:val="24"/>
        </w:rPr>
        <w:t xml:space="preserve"> during the Stone and Bronze Ages using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analysis. Furthermore, our aim was to compare mobility patterns throughout the region from the Late Mesolithic to the Bronze Age. In this study we present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data for all available human remains in L</w:t>
      </w:r>
      <w:r>
        <w:rPr>
          <w:rFonts w:ascii="Times New Roman" w:eastAsia="Times New Roman" w:hAnsi="Times New Roman" w:cs="Times New Roman"/>
          <w:sz w:val="24"/>
          <w:szCs w:val="24"/>
        </w:rPr>
        <w:t>ithuania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40) originating from 10 archaeological sites, dating from ca. 6400-800 cal BC. In contrast with previous mobility studies, which largely employed thermal ionisation mass spectrometry (TIMS), we widely applied laser ablation-multi collector-in</w:t>
      </w:r>
      <w:r>
        <w:rPr>
          <w:rFonts w:ascii="Times New Roman" w:eastAsia="Times New Roman" w:hAnsi="Times New Roman" w:cs="Times New Roman"/>
          <w:sz w:val="24"/>
          <w:szCs w:val="24"/>
        </w:rPr>
        <w:t xml:space="preserve">ductively coupled plasma-mass spectrometry (LA-MC-ICP-MS) in order to trace human mobility during the formation of tooth enamel. Based on archaeological animal tooth enamel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local strontium ratio baselines were constructed for seven region</w:t>
      </w:r>
      <w:r>
        <w:rPr>
          <w:rFonts w:ascii="Times New Roman" w:eastAsia="Times New Roman" w:hAnsi="Times New Roman" w:cs="Times New Roman"/>
          <w:sz w:val="24"/>
          <w:szCs w:val="24"/>
        </w:rPr>
        <w:t xml:space="preserve">s. For this, 68 archaeological faunal teeth enamel samples were analysed and the results were combined with an additional 40 archaeological faunal measurements reported by Piličiauskienė et al. (2022). In addition, we measured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in four mode</w:t>
      </w:r>
      <w:r>
        <w:rPr>
          <w:rFonts w:ascii="Times New Roman" w:eastAsia="Times New Roman" w:hAnsi="Times New Roman" w:cs="Times New Roman"/>
          <w:sz w:val="24"/>
          <w:szCs w:val="24"/>
        </w:rPr>
        <w:t xml:space="preserve">rn rodents and </w:t>
      </w:r>
      <w:r>
        <w:rPr>
          <w:rFonts w:ascii="Times New Roman" w:eastAsia="Times New Roman" w:hAnsi="Times New Roman" w:cs="Times New Roman"/>
          <w:color w:val="000000"/>
          <w:sz w:val="24"/>
          <w:szCs w:val="24"/>
        </w:rPr>
        <w:t xml:space="preserve">leaves </w:t>
      </w:r>
      <w:r>
        <w:rPr>
          <w:rFonts w:ascii="Times New Roman" w:eastAsia="Times New Roman" w:hAnsi="Times New Roman" w:cs="Times New Roman"/>
          <w:sz w:val="24"/>
          <w:szCs w:val="24"/>
        </w:rPr>
        <w:t>from 12 modern trees; the results cautioned us about the use of modern samples and allowed us to evaluate the extent and coverage of the sea spray effect on the Baltic coast. In doing so, we identified non-local individuals, in some c</w:t>
      </w:r>
      <w:r>
        <w:rPr>
          <w:rFonts w:ascii="Times New Roman" w:eastAsia="Times New Roman" w:hAnsi="Times New Roman" w:cs="Times New Roman"/>
          <w:sz w:val="24"/>
          <w:szCs w:val="24"/>
        </w:rPr>
        <w:t xml:space="preserve">ases discussed their possible places of origin, evaluated the numbers of non-locals and mobility during the Stone and Bronze Ages, and discussed mobility patterns connected to major economic and cultural transitions. </w:t>
      </w:r>
    </w:p>
    <w:p w14:paraId="1055CA21" w14:textId="77777777" w:rsidR="00073701" w:rsidRDefault="00073701">
      <w:pPr>
        <w:spacing w:after="0" w:line="240" w:lineRule="auto"/>
        <w:jc w:val="both"/>
        <w:rPr>
          <w:rFonts w:ascii="Times New Roman" w:eastAsia="Times New Roman" w:hAnsi="Times New Roman" w:cs="Times New Roman"/>
          <w:b/>
          <w:sz w:val="24"/>
          <w:szCs w:val="24"/>
        </w:rPr>
      </w:pPr>
    </w:p>
    <w:p w14:paraId="46380F1B"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Materials and Methods</w:t>
      </w:r>
    </w:p>
    <w:p w14:paraId="6FA864B5"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II.1. Human</w:t>
      </w:r>
      <w:r>
        <w:rPr>
          <w:rFonts w:ascii="Times New Roman" w:eastAsia="Times New Roman" w:hAnsi="Times New Roman" w:cs="Times New Roman"/>
          <w:b/>
          <w:sz w:val="24"/>
          <w:szCs w:val="24"/>
        </w:rPr>
        <w:t xml:space="preserve"> remains</w:t>
      </w:r>
    </w:p>
    <w:p w14:paraId="2A2C7528" w14:textId="77777777" w:rsidR="00073701" w:rsidRDefault="00C8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sampled all available non cremated human remains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40) dating to the Stone and Bronze Ages, which contained teeth recovered from Lithuania. They were stored at the Faculty of Medicine, Vilnius University. We preferentially sampled the M1 (22</w:t>
      </w:r>
      <w:r>
        <w:rPr>
          <w:rFonts w:ascii="Times New Roman" w:eastAsia="Times New Roman" w:hAnsi="Times New Roman" w:cs="Times New Roman"/>
          <w:sz w:val="24"/>
          <w:szCs w:val="24"/>
        </w:rPr>
        <w:t>/40) and M2 (11/40) in humans, although M3 (2/40), P1 (2/40) and P2 (2/40) were also sampled in cases when M1 and M2 were absent. In one case (i.e. Šventoji 43), a deciduous tooth (dm1) was analysed. The majority of the analysed individuals (26/40) have be</w:t>
      </w:r>
      <w:r>
        <w:rPr>
          <w:rFonts w:ascii="Times New Roman" w:eastAsia="Times New Roman" w:hAnsi="Times New Roman" w:cs="Times New Roman"/>
          <w:sz w:val="24"/>
          <w:szCs w:val="24"/>
        </w:rPr>
        <w:t xml:space="preserve">en directly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dated while the remainder were dated by contextual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C dates. New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dates, acquired during the IZOMOB project, will be published separately (Simčenka et al. in prep). The dates of the studied individuals cover a long time span, ranging fr</w:t>
      </w:r>
      <w:r>
        <w:rPr>
          <w:rFonts w:ascii="Times New Roman" w:eastAsia="Times New Roman" w:hAnsi="Times New Roman" w:cs="Times New Roman"/>
          <w:sz w:val="24"/>
          <w:szCs w:val="24"/>
        </w:rPr>
        <w:t>om the Late Mesolithic to the Late Bronze Age, ca. 6400-800 cal BC (Table 1).</w:t>
      </w:r>
    </w:p>
    <w:p w14:paraId="06974DAF" w14:textId="77777777" w:rsidR="00073701" w:rsidRDefault="000737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64" w:lineRule="auto"/>
        <w:jc w:val="both"/>
        <w:rPr>
          <w:rFonts w:ascii="Times New Roman" w:eastAsia="Times New Roman" w:hAnsi="Times New Roman" w:cs="Times New Roman"/>
          <w:sz w:val="24"/>
          <w:szCs w:val="24"/>
        </w:rPr>
      </w:pPr>
    </w:p>
    <w:p w14:paraId="758BF75B" w14:textId="77777777" w:rsidR="00073701" w:rsidRDefault="00C8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64" w:lineRule="auto"/>
        <w:jc w:val="both"/>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The human remains in this study are mainly from inland Lithuanian Mesolithic-Neolithic cemeteries (Donkalnis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11), Spiginas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 and Kretuonas 1B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5)), Corded Ware C</w:t>
      </w:r>
      <w:r>
        <w:rPr>
          <w:rFonts w:ascii="Times New Roman" w:eastAsia="Times New Roman" w:hAnsi="Times New Roman" w:cs="Times New Roman"/>
          <w:sz w:val="24"/>
          <w:szCs w:val="24"/>
        </w:rPr>
        <w:t>ulture (hereafter CWC) single graves (Gyvakarai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 Biržai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 and Plinkaigalis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 from refuse layers of Subneolithic-Neolithic dwelling sites (Šventoji 23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5), Šventoji 43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 Kretuonas 1C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3), and Kretuonas 1/1A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 as well as from a single Late Bronze Age sacrificial site (Turlojiškė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4)) (Table 1; Fig. 1). Turlojiškė is a wetland site that was used for depositing 20-45 years old male individuals. Two of the five preserved skulls demonstrate that the indi</w:t>
      </w:r>
      <w:r>
        <w:rPr>
          <w:rFonts w:ascii="Times New Roman" w:eastAsia="Times New Roman" w:hAnsi="Times New Roman" w:cs="Times New Roman"/>
          <w:sz w:val="24"/>
          <w:szCs w:val="24"/>
        </w:rPr>
        <w:t>viduals suffered blunt force trauma, which was likely their cause of death due to a lack of healing. Furthermore, only parts of the skeletons were deposited in the boggy lake and two lacked skulls (</w:t>
      </w:r>
      <w:r>
        <w:rPr>
          <w:rFonts w:ascii="Times New Roman" w:eastAsia="Times New Roman" w:hAnsi="Times New Roman" w:cs="Times New Roman"/>
          <w:color w:val="000000"/>
          <w:sz w:val="24"/>
          <w:szCs w:val="24"/>
        </w:rPr>
        <w:t>Merkevičius 2012</w:t>
      </w:r>
      <w:r>
        <w:rPr>
          <w:rFonts w:ascii="Times New Roman" w:eastAsia="Times New Roman" w:hAnsi="Times New Roman" w:cs="Times New Roman"/>
          <w:sz w:val="24"/>
          <w:szCs w:val="24"/>
        </w:rPr>
        <w:t xml:space="preserve">). For many of the other sites, extensive </w:t>
      </w:r>
      <w:r>
        <w:rPr>
          <w:rFonts w:ascii="Times New Roman" w:eastAsia="Times New Roman" w:hAnsi="Times New Roman" w:cs="Times New Roman"/>
          <w:sz w:val="24"/>
          <w:szCs w:val="24"/>
        </w:rPr>
        <w:t>stable isotope analysis and radiocarbon dating has been performed previously (see Piličiauskas et al. 2011, 2017a and references therein). The only exception is the Šventoji 43 Subneolithic settlement which contained loose human teeth. This site has been i</w:t>
      </w:r>
      <w:r>
        <w:rPr>
          <w:rFonts w:ascii="Times New Roman" w:eastAsia="Times New Roman" w:hAnsi="Times New Roman" w:cs="Times New Roman"/>
          <w:sz w:val="24"/>
          <w:szCs w:val="24"/>
        </w:rPr>
        <w:t>nvestigated and published recently (Piličiauskas et al. 2019).</w:t>
      </w:r>
    </w:p>
    <w:p w14:paraId="159D5486" w14:textId="77777777" w:rsidR="00073701" w:rsidRDefault="000737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64" w:lineRule="auto"/>
        <w:jc w:val="both"/>
        <w:rPr>
          <w:rFonts w:ascii="Times New Roman" w:eastAsia="Times New Roman" w:hAnsi="Times New Roman" w:cs="Times New Roman"/>
          <w:sz w:val="24"/>
          <w:szCs w:val="24"/>
        </w:rPr>
        <w:sectPr w:rsidR="00073701">
          <w:footerReference w:type="default" r:id="rId10"/>
          <w:pgSz w:w="11906" w:h="16838"/>
          <w:pgMar w:top="1440" w:right="707" w:bottom="1440" w:left="1440" w:header="708" w:footer="708" w:gutter="0"/>
          <w:pgNumType w:start="1"/>
          <w:cols w:space="720"/>
        </w:sectPr>
      </w:pPr>
    </w:p>
    <w:p w14:paraId="4FC052E6" w14:textId="77777777" w:rsidR="00073701" w:rsidRDefault="00073701">
      <w:pPr>
        <w:widowControl w:val="0"/>
        <w:pBdr>
          <w:top w:val="nil"/>
          <w:left w:val="nil"/>
          <w:bottom w:val="nil"/>
          <w:right w:val="nil"/>
          <w:between w:val="nil"/>
        </w:pBdr>
        <w:spacing w:after="0" w:line="276" w:lineRule="auto"/>
        <w:rPr>
          <w:rFonts w:ascii="Times New Roman" w:eastAsia="Times New Roman" w:hAnsi="Times New Roman" w:cs="Times New Roman"/>
          <w:i/>
          <w:sz w:val="24"/>
          <w:szCs w:val="24"/>
        </w:rPr>
      </w:pPr>
    </w:p>
    <w:tbl>
      <w:tblPr>
        <w:tblStyle w:val="a3"/>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509"/>
        <w:gridCol w:w="1336"/>
        <w:gridCol w:w="1454"/>
        <w:gridCol w:w="1019"/>
        <w:gridCol w:w="857"/>
        <w:gridCol w:w="1510"/>
        <w:gridCol w:w="1510"/>
        <w:gridCol w:w="1304"/>
        <w:gridCol w:w="2869"/>
      </w:tblGrid>
      <w:tr w:rsidR="00073701" w14:paraId="4BF423D7" w14:textId="77777777">
        <w:trPr>
          <w:trHeight w:val="340"/>
        </w:trPr>
        <w:tc>
          <w:tcPr>
            <w:tcW w:w="580" w:type="dxa"/>
            <w:shd w:val="clear" w:color="auto" w:fill="auto"/>
            <w:vAlign w:val="center"/>
          </w:tcPr>
          <w:p w14:paraId="20392091"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1509" w:type="dxa"/>
            <w:shd w:val="clear" w:color="auto" w:fill="FFFFFF"/>
            <w:vAlign w:val="center"/>
          </w:tcPr>
          <w:p w14:paraId="4AA31A70"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 name</w:t>
            </w:r>
          </w:p>
        </w:tc>
        <w:tc>
          <w:tcPr>
            <w:tcW w:w="1336" w:type="dxa"/>
            <w:shd w:val="clear" w:color="auto" w:fill="FFFFFF"/>
            <w:vAlign w:val="center"/>
          </w:tcPr>
          <w:p w14:paraId="6E3A2AA1"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 type</w:t>
            </w:r>
          </w:p>
        </w:tc>
        <w:tc>
          <w:tcPr>
            <w:tcW w:w="1454" w:type="dxa"/>
            <w:shd w:val="clear" w:color="auto" w:fill="FFFFFF"/>
            <w:vAlign w:val="center"/>
          </w:tcPr>
          <w:p w14:paraId="48824A90"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Grave or Find No.</w:t>
            </w:r>
          </w:p>
        </w:tc>
        <w:tc>
          <w:tcPr>
            <w:tcW w:w="1019" w:type="dxa"/>
            <w:shd w:val="clear" w:color="auto" w:fill="auto"/>
            <w:vAlign w:val="center"/>
          </w:tcPr>
          <w:p w14:paraId="49735BB1"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Sex</w:t>
            </w:r>
          </w:p>
        </w:tc>
        <w:tc>
          <w:tcPr>
            <w:tcW w:w="857" w:type="dxa"/>
            <w:shd w:val="clear" w:color="auto" w:fill="auto"/>
            <w:vAlign w:val="center"/>
          </w:tcPr>
          <w:p w14:paraId="699165EC"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Age</w:t>
            </w:r>
          </w:p>
        </w:tc>
        <w:tc>
          <w:tcPr>
            <w:tcW w:w="1510" w:type="dxa"/>
            <w:vAlign w:val="center"/>
          </w:tcPr>
          <w:p w14:paraId="09FFF9A9"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Tooth</w:t>
            </w:r>
          </w:p>
        </w:tc>
        <w:tc>
          <w:tcPr>
            <w:tcW w:w="1510" w:type="dxa"/>
            <w:shd w:val="clear" w:color="auto" w:fill="auto"/>
            <w:vAlign w:val="center"/>
          </w:tcPr>
          <w:p w14:paraId="3C198397"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Period</w:t>
            </w:r>
          </w:p>
        </w:tc>
        <w:tc>
          <w:tcPr>
            <w:tcW w:w="1304" w:type="dxa"/>
            <w:shd w:val="clear" w:color="auto" w:fill="auto"/>
            <w:vAlign w:val="center"/>
          </w:tcPr>
          <w:p w14:paraId="39D9FE5D"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Dating cal BC</w:t>
            </w:r>
          </w:p>
        </w:tc>
        <w:tc>
          <w:tcPr>
            <w:tcW w:w="2869" w:type="dxa"/>
            <w:shd w:val="clear" w:color="auto" w:fill="auto"/>
            <w:vAlign w:val="center"/>
          </w:tcPr>
          <w:p w14:paraId="7B000CB3"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References for chronology</w:t>
            </w:r>
          </w:p>
        </w:tc>
      </w:tr>
      <w:tr w:rsidR="00073701" w14:paraId="39C825B0" w14:textId="77777777">
        <w:trPr>
          <w:trHeight w:val="340"/>
        </w:trPr>
        <w:tc>
          <w:tcPr>
            <w:tcW w:w="580" w:type="dxa"/>
            <w:shd w:val="clear" w:color="auto" w:fill="auto"/>
            <w:vAlign w:val="center"/>
          </w:tcPr>
          <w:p w14:paraId="700FCFD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09" w:type="dxa"/>
            <w:shd w:val="clear" w:color="auto" w:fill="FFFFFF"/>
            <w:vAlign w:val="center"/>
          </w:tcPr>
          <w:p w14:paraId="29A531B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Biržai </w:t>
            </w:r>
          </w:p>
        </w:tc>
        <w:tc>
          <w:tcPr>
            <w:tcW w:w="1336" w:type="dxa"/>
            <w:shd w:val="clear" w:color="auto" w:fill="FFFFFF"/>
            <w:vAlign w:val="center"/>
          </w:tcPr>
          <w:p w14:paraId="41700AF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ingle grave</w:t>
            </w:r>
          </w:p>
        </w:tc>
        <w:tc>
          <w:tcPr>
            <w:tcW w:w="1454" w:type="dxa"/>
            <w:shd w:val="clear" w:color="auto" w:fill="FFFFFF"/>
            <w:vAlign w:val="center"/>
          </w:tcPr>
          <w:p w14:paraId="0261CAB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19" w:type="dxa"/>
            <w:shd w:val="clear" w:color="auto" w:fill="auto"/>
            <w:vAlign w:val="center"/>
          </w:tcPr>
          <w:p w14:paraId="7CAAF3F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455F60D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30-35</w:t>
            </w:r>
          </w:p>
        </w:tc>
        <w:tc>
          <w:tcPr>
            <w:tcW w:w="1510" w:type="dxa"/>
            <w:vAlign w:val="center"/>
          </w:tcPr>
          <w:p w14:paraId="77131BE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(26)</w:t>
            </w:r>
          </w:p>
        </w:tc>
        <w:tc>
          <w:tcPr>
            <w:tcW w:w="1510" w:type="dxa"/>
            <w:shd w:val="clear" w:color="auto" w:fill="auto"/>
            <w:vAlign w:val="center"/>
          </w:tcPr>
          <w:p w14:paraId="33225A2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47E9D0C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2570-2350</w:t>
            </w:r>
          </w:p>
        </w:tc>
        <w:tc>
          <w:tcPr>
            <w:tcW w:w="2869" w:type="dxa"/>
            <w:shd w:val="clear" w:color="auto" w:fill="auto"/>
            <w:vAlign w:val="center"/>
          </w:tcPr>
          <w:p w14:paraId="6FFC369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6F5359DF" w14:textId="77777777">
        <w:trPr>
          <w:trHeight w:val="340"/>
        </w:trPr>
        <w:tc>
          <w:tcPr>
            <w:tcW w:w="580" w:type="dxa"/>
            <w:shd w:val="clear" w:color="auto" w:fill="auto"/>
            <w:vAlign w:val="center"/>
          </w:tcPr>
          <w:p w14:paraId="4E5AA62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09" w:type="dxa"/>
            <w:shd w:val="clear" w:color="auto" w:fill="FFFFFF"/>
            <w:vAlign w:val="center"/>
          </w:tcPr>
          <w:p w14:paraId="06A42DF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6384E8E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7CE79CE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19" w:type="dxa"/>
            <w:shd w:val="clear" w:color="auto" w:fill="auto"/>
            <w:vAlign w:val="center"/>
          </w:tcPr>
          <w:p w14:paraId="5C7BA34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0E33FF1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18-20</w:t>
            </w:r>
          </w:p>
        </w:tc>
        <w:tc>
          <w:tcPr>
            <w:tcW w:w="1510" w:type="dxa"/>
            <w:vAlign w:val="center"/>
          </w:tcPr>
          <w:p w14:paraId="7BCEBBF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(26)</w:t>
            </w:r>
          </w:p>
        </w:tc>
        <w:tc>
          <w:tcPr>
            <w:tcW w:w="1510" w:type="dxa"/>
            <w:shd w:val="clear" w:color="auto" w:fill="auto"/>
            <w:vAlign w:val="center"/>
          </w:tcPr>
          <w:p w14:paraId="450E216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4A23BC6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3520-3140</w:t>
            </w:r>
          </w:p>
        </w:tc>
        <w:tc>
          <w:tcPr>
            <w:tcW w:w="2869" w:type="dxa"/>
            <w:shd w:val="clear" w:color="auto" w:fill="auto"/>
            <w:vAlign w:val="center"/>
          </w:tcPr>
          <w:p w14:paraId="57FF119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Butrimas 2019</w:t>
            </w:r>
          </w:p>
        </w:tc>
      </w:tr>
      <w:tr w:rsidR="00073701" w14:paraId="51F9388B" w14:textId="77777777">
        <w:trPr>
          <w:trHeight w:val="340"/>
        </w:trPr>
        <w:tc>
          <w:tcPr>
            <w:tcW w:w="580" w:type="dxa"/>
            <w:shd w:val="clear" w:color="auto" w:fill="auto"/>
            <w:vAlign w:val="center"/>
          </w:tcPr>
          <w:p w14:paraId="6BABB5C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09" w:type="dxa"/>
            <w:shd w:val="clear" w:color="auto" w:fill="FFFFFF"/>
            <w:vAlign w:val="center"/>
          </w:tcPr>
          <w:p w14:paraId="356A41A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4864945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559B485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019" w:type="dxa"/>
            <w:shd w:val="clear" w:color="auto" w:fill="auto"/>
            <w:vAlign w:val="center"/>
          </w:tcPr>
          <w:p w14:paraId="4133D63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7CAD482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25-30</w:t>
            </w:r>
          </w:p>
        </w:tc>
        <w:tc>
          <w:tcPr>
            <w:tcW w:w="1510" w:type="dxa"/>
            <w:vAlign w:val="center"/>
          </w:tcPr>
          <w:p w14:paraId="1EB4FF8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M3 (28)</w:t>
            </w:r>
          </w:p>
        </w:tc>
        <w:tc>
          <w:tcPr>
            <w:tcW w:w="1510" w:type="dxa"/>
            <w:shd w:val="clear" w:color="auto" w:fill="auto"/>
            <w:vAlign w:val="center"/>
          </w:tcPr>
          <w:p w14:paraId="20BB499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4C02E92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4730-4530</w:t>
            </w:r>
          </w:p>
        </w:tc>
        <w:tc>
          <w:tcPr>
            <w:tcW w:w="2869" w:type="dxa"/>
            <w:shd w:val="clear" w:color="auto" w:fill="auto"/>
            <w:vAlign w:val="center"/>
          </w:tcPr>
          <w:p w14:paraId="26B6E84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Antanaitis-Jacobs et al. 2009</w:t>
            </w:r>
          </w:p>
        </w:tc>
      </w:tr>
      <w:tr w:rsidR="00073701" w14:paraId="7333AC41" w14:textId="77777777">
        <w:trPr>
          <w:trHeight w:val="340"/>
        </w:trPr>
        <w:tc>
          <w:tcPr>
            <w:tcW w:w="580" w:type="dxa"/>
            <w:shd w:val="clear" w:color="auto" w:fill="auto"/>
            <w:vAlign w:val="center"/>
          </w:tcPr>
          <w:p w14:paraId="60FAFD0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09" w:type="dxa"/>
            <w:shd w:val="clear" w:color="auto" w:fill="FFFFFF"/>
            <w:vAlign w:val="center"/>
          </w:tcPr>
          <w:p w14:paraId="17CA72F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4CA8B9F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7FF2B22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19" w:type="dxa"/>
            <w:shd w:val="clear" w:color="auto" w:fill="auto"/>
            <w:vAlign w:val="center"/>
          </w:tcPr>
          <w:p w14:paraId="1CA8C32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1153924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510" w:type="dxa"/>
            <w:vAlign w:val="center"/>
          </w:tcPr>
          <w:p w14:paraId="4E20535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(26)</w:t>
            </w:r>
          </w:p>
        </w:tc>
        <w:tc>
          <w:tcPr>
            <w:tcW w:w="1510" w:type="dxa"/>
            <w:shd w:val="clear" w:color="auto" w:fill="auto"/>
            <w:vAlign w:val="center"/>
          </w:tcPr>
          <w:p w14:paraId="492AE3E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Mesolithic</w:t>
            </w:r>
          </w:p>
        </w:tc>
        <w:tc>
          <w:tcPr>
            <w:tcW w:w="1304" w:type="dxa"/>
            <w:shd w:val="clear" w:color="auto" w:fill="auto"/>
            <w:vAlign w:val="center"/>
          </w:tcPr>
          <w:p w14:paraId="0D7551C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6060-5900</w:t>
            </w:r>
          </w:p>
        </w:tc>
        <w:tc>
          <w:tcPr>
            <w:tcW w:w="2869" w:type="dxa"/>
            <w:shd w:val="clear" w:color="auto" w:fill="auto"/>
            <w:vAlign w:val="center"/>
          </w:tcPr>
          <w:p w14:paraId="68CF491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6A7238BD" w14:textId="77777777">
        <w:trPr>
          <w:trHeight w:val="340"/>
        </w:trPr>
        <w:tc>
          <w:tcPr>
            <w:tcW w:w="580" w:type="dxa"/>
            <w:shd w:val="clear" w:color="auto" w:fill="auto"/>
            <w:vAlign w:val="center"/>
          </w:tcPr>
          <w:p w14:paraId="20641C9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09" w:type="dxa"/>
            <w:shd w:val="clear" w:color="auto" w:fill="FFFFFF"/>
            <w:vAlign w:val="center"/>
          </w:tcPr>
          <w:p w14:paraId="3BA9CB1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7BE1CD7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2094DF7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019" w:type="dxa"/>
            <w:shd w:val="clear" w:color="auto" w:fill="auto"/>
            <w:vAlign w:val="center"/>
          </w:tcPr>
          <w:p w14:paraId="0A4ECFB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0C82C13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&gt;30</w:t>
            </w:r>
          </w:p>
        </w:tc>
        <w:tc>
          <w:tcPr>
            <w:tcW w:w="1510" w:type="dxa"/>
            <w:vAlign w:val="center"/>
          </w:tcPr>
          <w:p w14:paraId="0F3B6E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(37)</w:t>
            </w:r>
          </w:p>
        </w:tc>
        <w:tc>
          <w:tcPr>
            <w:tcW w:w="1510" w:type="dxa"/>
            <w:shd w:val="clear" w:color="auto" w:fill="auto"/>
            <w:vAlign w:val="center"/>
          </w:tcPr>
          <w:p w14:paraId="76000AE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7AAEE80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4720-4530</w:t>
            </w:r>
          </w:p>
        </w:tc>
        <w:tc>
          <w:tcPr>
            <w:tcW w:w="2869" w:type="dxa"/>
            <w:shd w:val="clear" w:color="auto" w:fill="auto"/>
            <w:vAlign w:val="center"/>
          </w:tcPr>
          <w:p w14:paraId="23074F1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44D79C6C" w14:textId="77777777">
        <w:trPr>
          <w:trHeight w:val="340"/>
        </w:trPr>
        <w:tc>
          <w:tcPr>
            <w:tcW w:w="580" w:type="dxa"/>
            <w:shd w:val="clear" w:color="auto" w:fill="auto"/>
            <w:vAlign w:val="center"/>
          </w:tcPr>
          <w:p w14:paraId="3AF78F8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09" w:type="dxa"/>
            <w:shd w:val="clear" w:color="auto" w:fill="auto"/>
            <w:vAlign w:val="center"/>
          </w:tcPr>
          <w:p w14:paraId="4649812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Donkalnis</w:t>
            </w:r>
          </w:p>
        </w:tc>
        <w:tc>
          <w:tcPr>
            <w:tcW w:w="1336" w:type="dxa"/>
            <w:shd w:val="clear" w:color="auto" w:fill="auto"/>
            <w:vAlign w:val="center"/>
          </w:tcPr>
          <w:p w14:paraId="0CECE34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Cemetery</w:t>
            </w:r>
          </w:p>
        </w:tc>
        <w:tc>
          <w:tcPr>
            <w:tcW w:w="1454" w:type="dxa"/>
            <w:shd w:val="clear" w:color="auto" w:fill="auto"/>
            <w:vAlign w:val="center"/>
          </w:tcPr>
          <w:p w14:paraId="76D8DFE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19" w:type="dxa"/>
            <w:shd w:val="clear" w:color="auto" w:fill="auto"/>
            <w:vAlign w:val="center"/>
          </w:tcPr>
          <w:p w14:paraId="7912A67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857" w:type="dxa"/>
            <w:shd w:val="clear" w:color="auto" w:fill="auto"/>
            <w:vAlign w:val="center"/>
          </w:tcPr>
          <w:p w14:paraId="5B880AE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10" w:type="dxa"/>
            <w:vAlign w:val="center"/>
          </w:tcPr>
          <w:p w14:paraId="0D170F4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P2 (25)</w:t>
            </w:r>
          </w:p>
        </w:tc>
        <w:tc>
          <w:tcPr>
            <w:tcW w:w="1510" w:type="dxa"/>
            <w:shd w:val="clear" w:color="auto" w:fill="auto"/>
            <w:vAlign w:val="center"/>
          </w:tcPr>
          <w:p w14:paraId="48B18B4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5E38178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3520-3370</w:t>
            </w:r>
          </w:p>
        </w:tc>
        <w:tc>
          <w:tcPr>
            <w:tcW w:w="2869" w:type="dxa"/>
            <w:shd w:val="clear" w:color="auto" w:fill="auto"/>
            <w:vAlign w:val="center"/>
          </w:tcPr>
          <w:p w14:paraId="28EA700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6FE9438E" w14:textId="77777777">
        <w:trPr>
          <w:trHeight w:val="340"/>
        </w:trPr>
        <w:tc>
          <w:tcPr>
            <w:tcW w:w="580" w:type="dxa"/>
            <w:shd w:val="clear" w:color="auto" w:fill="auto"/>
            <w:vAlign w:val="center"/>
          </w:tcPr>
          <w:p w14:paraId="1E98AEB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09" w:type="dxa"/>
            <w:shd w:val="clear" w:color="auto" w:fill="FFFFFF"/>
            <w:vAlign w:val="center"/>
          </w:tcPr>
          <w:p w14:paraId="6273169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7435971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46F1FBB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1019" w:type="dxa"/>
            <w:shd w:val="clear" w:color="auto" w:fill="auto"/>
            <w:vAlign w:val="center"/>
          </w:tcPr>
          <w:p w14:paraId="4C5345E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31AE346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&gt;30</w:t>
            </w:r>
          </w:p>
        </w:tc>
        <w:tc>
          <w:tcPr>
            <w:tcW w:w="1510" w:type="dxa"/>
            <w:vAlign w:val="center"/>
          </w:tcPr>
          <w:p w14:paraId="031DC3D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(47)</w:t>
            </w:r>
          </w:p>
        </w:tc>
        <w:tc>
          <w:tcPr>
            <w:tcW w:w="1510" w:type="dxa"/>
            <w:shd w:val="clear" w:color="auto" w:fill="auto"/>
            <w:vAlign w:val="center"/>
          </w:tcPr>
          <w:p w14:paraId="27EFCAB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354037E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4710-4505</w:t>
            </w:r>
          </w:p>
        </w:tc>
        <w:tc>
          <w:tcPr>
            <w:tcW w:w="2869" w:type="dxa"/>
            <w:shd w:val="clear" w:color="auto" w:fill="auto"/>
            <w:vAlign w:val="center"/>
          </w:tcPr>
          <w:p w14:paraId="7BAE7C7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335B7A63" w14:textId="77777777">
        <w:trPr>
          <w:trHeight w:val="340"/>
        </w:trPr>
        <w:tc>
          <w:tcPr>
            <w:tcW w:w="580" w:type="dxa"/>
            <w:shd w:val="clear" w:color="auto" w:fill="auto"/>
            <w:vAlign w:val="center"/>
          </w:tcPr>
          <w:p w14:paraId="62D1A17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09" w:type="dxa"/>
            <w:shd w:val="clear" w:color="auto" w:fill="FFFFFF"/>
            <w:vAlign w:val="center"/>
          </w:tcPr>
          <w:p w14:paraId="1F2CF87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1B451F6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45D2D6B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III</w:t>
            </w:r>
          </w:p>
        </w:tc>
        <w:tc>
          <w:tcPr>
            <w:tcW w:w="1019" w:type="dxa"/>
            <w:shd w:val="clear" w:color="auto" w:fill="auto"/>
            <w:vAlign w:val="center"/>
          </w:tcPr>
          <w:p w14:paraId="4484D11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36568E0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20-30</w:t>
            </w:r>
          </w:p>
        </w:tc>
        <w:tc>
          <w:tcPr>
            <w:tcW w:w="1510" w:type="dxa"/>
            <w:vAlign w:val="center"/>
          </w:tcPr>
          <w:p w14:paraId="3192F27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(36)</w:t>
            </w:r>
          </w:p>
        </w:tc>
        <w:tc>
          <w:tcPr>
            <w:tcW w:w="1510" w:type="dxa"/>
            <w:shd w:val="clear" w:color="auto" w:fill="auto"/>
            <w:vAlign w:val="center"/>
          </w:tcPr>
          <w:p w14:paraId="6D6B9B5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54340F1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4650-4400</w:t>
            </w:r>
          </w:p>
        </w:tc>
        <w:tc>
          <w:tcPr>
            <w:tcW w:w="2869" w:type="dxa"/>
            <w:shd w:val="clear" w:color="auto" w:fill="auto"/>
            <w:vAlign w:val="center"/>
          </w:tcPr>
          <w:p w14:paraId="6C3474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4189608F" w14:textId="77777777">
        <w:trPr>
          <w:trHeight w:val="340"/>
        </w:trPr>
        <w:tc>
          <w:tcPr>
            <w:tcW w:w="580" w:type="dxa"/>
            <w:shd w:val="clear" w:color="auto" w:fill="auto"/>
            <w:vAlign w:val="center"/>
          </w:tcPr>
          <w:p w14:paraId="5772ED1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09" w:type="dxa"/>
            <w:shd w:val="clear" w:color="auto" w:fill="FFFFFF"/>
            <w:vAlign w:val="center"/>
          </w:tcPr>
          <w:p w14:paraId="6EFFB13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623DE3C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7B58BCB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1019" w:type="dxa"/>
            <w:shd w:val="clear" w:color="auto" w:fill="auto"/>
            <w:vAlign w:val="center"/>
          </w:tcPr>
          <w:p w14:paraId="164D57E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032306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adult</w:t>
            </w:r>
          </w:p>
        </w:tc>
        <w:tc>
          <w:tcPr>
            <w:tcW w:w="1510" w:type="dxa"/>
            <w:vAlign w:val="center"/>
          </w:tcPr>
          <w:p w14:paraId="1078BAF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(36)</w:t>
            </w:r>
          </w:p>
        </w:tc>
        <w:tc>
          <w:tcPr>
            <w:tcW w:w="1510" w:type="dxa"/>
            <w:shd w:val="clear" w:color="auto" w:fill="auto"/>
            <w:vAlign w:val="center"/>
          </w:tcPr>
          <w:p w14:paraId="02A84DE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0DC139B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4780-4560</w:t>
            </w:r>
          </w:p>
        </w:tc>
        <w:tc>
          <w:tcPr>
            <w:tcW w:w="2869" w:type="dxa"/>
            <w:shd w:val="clear" w:color="auto" w:fill="auto"/>
            <w:vAlign w:val="center"/>
          </w:tcPr>
          <w:p w14:paraId="48CED33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7A084F99" w14:textId="77777777">
        <w:trPr>
          <w:trHeight w:val="340"/>
        </w:trPr>
        <w:tc>
          <w:tcPr>
            <w:tcW w:w="580" w:type="dxa"/>
            <w:shd w:val="clear" w:color="auto" w:fill="auto"/>
            <w:vAlign w:val="center"/>
          </w:tcPr>
          <w:p w14:paraId="4E4A32A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09" w:type="dxa"/>
            <w:shd w:val="clear" w:color="auto" w:fill="FFFFFF"/>
            <w:vAlign w:val="center"/>
          </w:tcPr>
          <w:p w14:paraId="0F860F4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Donkalnis</w:t>
            </w:r>
          </w:p>
        </w:tc>
        <w:tc>
          <w:tcPr>
            <w:tcW w:w="1336" w:type="dxa"/>
            <w:shd w:val="clear" w:color="auto" w:fill="FFFFFF"/>
            <w:vAlign w:val="center"/>
          </w:tcPr>
          <w:p w14:paraId="2505E6A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6E6D3FF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tc>
        <w:tc>
          <w:tcPr>
            <w:tcW w:w="1019" w:type="dxa"/>
            <w:shd w:val="clear" w:color="auto" w:fill="auto"/>
            <w:vAlign w:val="center"/>
          </w:tcPr>
          <w:p w14:paraId="703B0D1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2473087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20-30</w:t>
            </w:r>
          </w:p>
        </w:tc>
        <w:tc>
          <w:tcPr>
            <w:tcW w:w="1510" w:type="dxa"/>
            <w:vAlign w:val="center"/>
          </w:tcPr>
          <w:p w14:paraId="6C17E17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(26)</w:t>
            </w:r>
          </w:p>
        </w:tc>
        <w:tc>
          <w:tcPr>
            <w:tcW w:w="1510" w:type="dxa"/>
            <w:shd w:val="clear" w:color="auto" w:fill="auto"/>
            <w:vAlign w:val="center"/>
          </w:tcPr>
          <w:p w14:paraId="6B3098B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Mesolithic</w:t>
            </w:r>
          </w:p>
        </w:tc>
        <w:tc>
          <w:tcPr>
            <w:tcW w:w="1304" w:type="dxa"/>
            <w:shd w:val="clear" w:color="auto" w:fill="auto"/>
            <w:vAlign w:val="center"/>
          </w:tcPr>
          <w:p w14:paraId="425ECD3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5315-5060</w:t>
            </w:r>
          </w:p>
        </w:tc>
        <w:tc>
          <w:tcPr>
            <w:tcW w:w="2869" w:type="dxa"/>
            <w:shd w:val="clear" w:color="auto" w:fill="auto"/>
            <w:vAlign w:val="center"/>
          </w:tcPr>
          <w:p w14:paraId="49F2934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4EC0CEF4" w14:textId="77777777">
        <w:trPr>
          <w:trHeight w:val="340"/>
        </w:trPr>
        <w:tc>
          <w:tcPr>
            <w:tcW w:w="580" w:type="dxa"/>
            <w:shd w:val="clear" w:color="auto" w:fill="auto"/>
            <w:vAlign w:val="center"/>
          </w:tcPr>
          <w:p w14:paraId="2BE28DC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509" w:type="dxa"/>
            <w:shd w:val="clear" w:color="auto" w:fill="auto"/>
            <w:vAlign w:val="center"/>
          </w:tcPr>
          <w:p w14:paraId="2D64F19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Donkalnis</w:t>
            </w:r>
          </w:p>
        </w:tc>
        <w:tc>
          <w:tcPr>
            <w:tcW w:w="1336" w:type="dxa"/>
            <w:shd w:val="clear" w:color="auto" w:fill="auto"/>
            <w:vAlign w:val="center"/>
          </w:tcPr>
          <w:p w14:paraId="1495FF5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Cemetery</w:t>
            </w:r>
          </w:p>
        </w:tc>
        <w:tc>
          <w:tcPr>
            <w:tcW w:w="1454" w:type="dxa"/>
            <w:shd w:val="clear" w:color="auto" w:fill="auto"/>
            <w:vAlign w:val="center"/>
          </w:tcPr>
          <w:p w14:paraId="59713D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w:t>
            </w:r>
          </w:p>
        </w:tc>
        <w:tc>
          <w:tcPr>
            <w:tcW w:w="1019" w:type="dxa"/>
            <w:shd w:val="clear" w:color="auto" w:fill="auto"/>
            <w:vAlign w:val="center"/>
          </w:tcPr>
          <w:p w14:paraId="6861124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6F06E0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1510" w:type="dxa"/>
            <w:vAlign w:val="center"/>
          </w:tcPr>
          <w:p w14:paraId="75D4A78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(26)</w:t>
            </w:r>
          </w:p>
        </w:tc>
        <w:tc>
          <w:tcPr>
            <w:tcW w:w="1510" w:type="dxa"/>
            <w:shd w:val="clear" w:color="auto" w:fill="auto"/>
            <w:vAlign w:val="center"/>
          </w:tcPr>
          <w:p w14:paraId="7A2C929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1B00273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4450-4270</w:t>
            </w:r>
          </w:p>
        </w:tc>
        <w:tc>
          <w:tcPr>
            <w:tcW w:w="2869" w:type="dxa"/>
            <w:shd w:val="clear" w:color="auto" w:fill="auto"/>
            <w:vAlign w:val="center"/>
          </w:tcPr>
          <w:p w14:paraId="6FEC13C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4C02CF90" w14:textId="77777777">
        <w:trPr>
          <w:trHeight w:val="340"/>
        </w:trPr>
        <w:tc>
          <w:tcPr>
            <w:tcW w:w="580" w:type="dxa"/>
            <w:shd w:val="clear" w:color="auto" w:fill="auto"/>
            <w:vAlign w:val="center"/>
          </w:tcPr>
          <w:p w14:paraId="55D0501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09" w:type="dxa"/>
            <w:shd w:val="clear" w:color="auto" w:fill="FFFFFF"/>
            <w:vAlign w:val="center"/>
          </w:tcPr>
          <w:p w14:paraId="339C657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Donkalnis</w:t>
            </w:r>
          </w:p>
        </w:tc>
        <w:tc>
          <w:tcPr>
            <w:tcW w:w="1336" w:type="dxa"/>
            <w:shd w:val="clear" w:color="auto" w:fill="FFFFFF"/>
            <w:vAlign w:val="center"/>
          </w:tcPr>
          <w:p w14:paraId="11ED05B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4D00C02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19" w:type="dxa"/>
            <w:shd w:val="clear" w:color="auto" w:fill="auto"/>
            <w:vAlign w:val="center"/>
          </w:tcPr>
          <w:p w14:paraId="30D96CD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857" w:type="dxa"/>
            <w:shd w:val="clear" w:color="auto" w:fill="auto"/>
            <w:vAlign w:val="center"/>
          </w:tcPr>
          <w:p w14:paraId="2032576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1510" w:type="dxa"/>
            <w:vAlign w:val="center"/>
          </w:tcPr>
          <w:p w14:paraId="4650646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(36)</w:t>
            </w:r>
          </w:p>
        </w:tc>
        <w:tc>
          <w:tcPr>
            <w:tcW w:w="1510" w:type="dxa"/>
            <w:shd w:val="clear" w:color="auto" w:fill="auto"/>
            <w:vAlign w:val="center"/>
          </w:tcPr>
          <w:p w14:paraId="1527EC8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Mesolithic</w:t>
            </w:r>
          </w:p>
        </w:tc>
        <w:tc>
          <w:tcPr>
            <w:tcW w:w="1304" w:type="dxa"/>
            <w:shd w:val="clear" w:color="auto" w:fill="auto"/>
            <w:vAlign w:val="center"/>
          </w:tcPr>
          <w:p w14:paraId="37A8CFB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6060-5915</w:t>
            </w:r>
          </w:p>
        </w:tc>
        <w:tc>
          <w:tcPr>
            <w:tcW w:w="2869" w:type="dxa"/>
            <w:shd w:val="clear" w:color="auto" w:fill="auto"/>
            <w:vAlign w:val="center"/>
          </w:tcPr>
          <w:p w14:paraId="6235FB9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Butrimas 2019</w:t>
            </w:r>
          </w:p>
        </w:tc>
      </w:tr>
      <w:tr w:rsidR="00073701" w14:paraId="24F5BE68" w14:textId="77777777">
        <w:trPr>
          <w:trHeight w:val="340"/>
        </w:trPr>
        <w:tc>
          <w:tcPr>
            <w:tcW w:w="580" w:type="dxa"/>
            <w:shd w:val="clear" w:color="auto" w:fill="auto"/>
            <w:vAlign w:val="center"/>
          </w:tcPr>
          <w:p w14:paraId="22E1A81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09" w:type="dxa"/>
            <w:shd w:val="clear" w:color="auto" w:fill="auto"/>
            <w:vAlign w:val="center"/>
          </w:tcPr>
          <w:p w14:paraId="45FB7AD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Gyvakarai</w:t>
            </w:r>
          </w:p>
        </w:tc>
        <w:tc>
          <w:tcPr>
            <w:tcW w:w="1336" w:type="dxa"/>
            <w:shd w:val="clear" w:color="auto" w:fill="auto"/>
            <w:vAlign w:val="center"/>
          </w:tcPr>
          <w:p w14:paraId="5BA3575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Single grave</w:t>
            </w:r>
          </w:p>
        </w:tc>
        <w:tc>
          <w:tcPr>
            <w:tcW w:w="1454" w:type="dxa"/>
            <w:shd w:val="clear" w:color="auto" w:fill="auto"/>
            <w:vAlign w:val="center"/>
          </w:tcPr>
          <w:p w14:paraId="2459FC3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I402</w:t>
            </w:r>
          </w:p>
        </w:tc>
        <w:tc>
          <w:tcPr>
            <w:tcW w:w="1019" w:type="dxa"/>
            <w:shd w:val="clear" w:color="auto" w:fill="auto"/>
            <w:vAlign w:val="center"/>
          </w:tcPr>
          <w:p w14:paraId="2B2DCDD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857" w:type="dxa"/>
            <w:shd w:val="clear" w:color="auto" w:fill="auto"/>
            <w:vAlign w:val="center"/>
          </w:tcPr>
          <w:p w14:paraId="173F186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35-45</w:t>
            </w:r>
          </w:p>
        </w:tc>
        <w:tc>
          <w:tcPr>
            <w:tcW w:w="1510" w:type="dxa"/>
            <w:vAlign w:val="center"/>
          </w:tcPr>
          <w:p w14:paraId="6A98436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(27)</w:t>
            </w:r>
          </w:p>
        </w:tc>
        <w:tc>
          <w:tcPr>
            <w:tcW w:w="1510" w:type="dxa"/>
            <w:shd w:val="clear" w:color="auto" w:fill="auto"/>
            <w:vAlign w:val="center"/>
          </w:tcPr>
          <w:p w14:paraId="6E5F407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5738812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2620-2470</w:t>
            </w:r>
          </w:p>
        </w:tc>
        <w:tc>
          <w:tcPr>
            <w:tcW w:w="2869" w:type="dxa"/>
            <w:shd w:val="clear" w:color="auto" w:fill="auto"/>
            <w:vAlign w:val="center"/>
          </w:tcPr>
          <w:p w14:paraId="2DBF74E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729DE177" w14:textId="77777777">
        <w:trPr>
          <w:trHeight w:val="340"/>
        </w:trPr>
        <w:tc>
          <w:tcPr>
            <w:tcW w:w="580" w:type="dxa"/>
            <w:shd w:val="clear" w:color="auto" w:fill="auto"/>
            <w:vAlign w:val="center"/>
          </w:tcPr>
          <w:p w14:paraId="02965D7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509" w:type="dxa"/>
            <w:shd w:val="clear" w:color="auto" w:fill="FFFFFF"/>
            <w:vAlign w:val="center"/>
          </w:tcPr>
          <w:p w14:paraId="5D8D901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w:t>
            </w:r>
          </w:p>
        </w:tc>
        <w:tc>
          <w:tcPr>
            <w:tcW w:w="1336" w:type="dxa"/>
            <w:shd w:val="clear" w:color="auto" w:fill="auto"/>
            <w:vAlign w:val="center"/>
          </w:tcPr>
          <w:p w14:paraId="1ADD18E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Settlement</w:t>
            </w:r>
          </w:p>
        </w:tc>
        <w:tc>
          <w:tcPr>
            <w:tcW w:w="1454" w:type="dxa"/>
            <w:shd w:val="clear" w:color="auto" w:fill="FFFFFF"/>
            <w:vAlign w:val="center"/>
          </w:tcPr>
          <w:p w14:paraId="2F11F56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pl2:O94:sl.s</w:t>
            </w:r>
          </w:p>
        </w:tc>
        <w:tc>
          <w:tcPr>
            <w:tcW w:w="1019" w:type="dxa"/>
            <w:shd w:val="clear" w:color="auto" w:fill="auto"/>
            <w:vAlign w:val="center"/>
          </w:tcPr>
          <w:p w14:paraId="5F00E1F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FEA71C4" w14:textId="77777777" w:rsidR="00073701" w:rsidRDefault="00073701">
            <w:pPr>
              <w:spacing w:after="0" w:line="240" w:lineRule="auto"/>
              <w:rPr>
                <w:rFonts w:ascii="Times New Roman" w:eastAsia="Times New Roman" w:hAnsi="Times New Roman" w:cs="Times New Roman"/>
                <w:color w:val="000000"/>
                <w:sz w:val="20"/>
                <w:szCs w:val="20"/>
              </w:rPr>
            </w:pPr>
          </w:p>
        </w:tc>
        <w:tc>
          <w:tcPr>
            <w:tcW w:w="1510" w:type="dxa"/>
            <w:vAlign w:val="center"/>
          </w:tcPr>
          <w:p w14:paraId="201B314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(16)</w:t>
            </w:r>
          </w:p>
        </w:tc>
        <w:tc>
          <w:tcPr>
            <w:tcW w:w="1510" w:type="dxa"/>
            <w:shd w:val="clear" w:color="auto" w:fill="auto"/>
            <w:vAlign w:val="center"/>
          </w:tcPr>
          <w:p w14:paraId="4E3EA97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Subneolithic-Neolithic</w:t>
            </w:r>
          </w:p>
        </w:tc>
        <w:tc>
          <w:tcPr>
            <w:tcW w:w="1304" w:type="dxa"/>
            <w:shd w:val="clear" w:color="auto" w:fill="auto"/>
            <w:vAlign w:val="center"/>
          </w:tcPr>
          <w:p w14:paraId="54F916C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4750-1800</w:t>
            </w:r>
          </w:p>
        </w:tc>
        <w:tc>
          <w:tcPr>
            <w:tcW w:w="2869" w:type="dxa"/>
            <w:shd w:val="clear" w:color="auto" w:fill="auto"/>
            <w:vAlign w:val="center"/>
          </w:tcPr>
          <w:p w14:paraId="72EC69A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 Simčenka et al. in prep</w:t>
            </w:r>
          </w:p>
        </w:tc>
      </w:tr>
      <w:tr w:rsidR="00073701" w14:paraId="16D9F3F2" w14:textId="77777777">
        <w:trPr>
          <w:trHeight w:val="340"/>
        </w:trPr>
        <w:tc>
          <w:tcPr>
            <w:tcW w:w="580" w:type="dxa"/>
            <w:shd w:val="clear" w:color="auto" w:fill="auto"/>
            <w:vAlign w:val="center"/>
          </w:tcPr>
          <w:p w14:paraId="2DDF7C4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509" w:type="dxa"/>
            <w:shd w:val="clear" w:color="auto" w:fill="FFFFFF"/>
            <w:vAlign w:val="center"/>
          </w:tcPr>
          <w:p w14:paraId="71AEA45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w:t>
            </w:r>
          </w:p>
        </w:tc>
        <w:tc>
          <w:tcPr>
            <w:tcW w:w="1336" w:type="dxa"/>
            <w:shd w:val="clear" w:color="auto" w:fill="auto"/>
            <w:vAlign w:val="center"/>
          </w:tcPr>
          <w:p w14:paraId="53E3E94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Settlement</w:t>
            </w:r>
          </w:p>
        </w:tc>
        <w:tc>
          <w:tcPr>
            <w:tcW w:w="1454" w:type="dxa"/>
            <w:shd w:val="clear" w:color="auto" w:fill="FFFFFF"/>
            <w:vAlign w:val="center"/>
          </w:tcPr>
          <w:p w14:paraId="69787DC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pl2:R94:sl.s</w:t>
            </w:r>
          </w:p>
        </w:tc>
        <w:tc>
          <w:tcPr>
            <w:tcW w:w="1019" w:type="dxa"/>
            <w:shd w:val="clear" w:color="auto" w:fill="auto"/>
            <w:vAlign w:val="center"/>
          </w:tcPr>
          <w:p w14:paraId="4E7E8F0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6842589C" w14:textId="77777777" w:rsidR="00073701" w:rsidRDefault="00073701">
            <w:pPr>
              <w:spacing w:after="0" w:line="240" w:lineRule="auto"/>
              <w:rPr>
                <w:rFonts w:ascii="Times New Roman" w:eastAsia="Times New Roman" w:hAnsi="Times New Roman" w:cs="Times New Roman"/>
                <w:color w:val="000000"/>
                <w:sz w:val="20"/>
                <w:szCs w:val="20"/>
              </w:rPr>
            </w:pPr>
          </w:p>
        </w:tc>
        <w:tc>
          <w:tcPr>
            <w:tcW w:w="1510" w:type="dxa"/>
            <w:vAlign w:val="center"/>
          </w:tcPr>
          <w:p w14:paraId="544E3AA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582DEF2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Subneolithic-Neolithic</w:t>
            </w:r>
          </w:p>
        </w:tc>
        <w:tc>
          <w:tcPr>
            <w:tcW w:w="1304" w:type="dxa"/>
            <w:shd w:val="clear" w:color="auto" w:fill="auto"/>
            <w:vAlign w:val="center"/>
          </w:tcPr>
          <w:p w14:paraId="753D02C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4750-1800</w:t>
            </w:r>
          </w:p>
        </w:tc>
        <w:tc>
          <w:tcPr>
            <w:tcW w:w="2869" w:type="dxa"/>
            <w:shd w:val="clear" w:color="auto" w:fill="auto"/>
            <w:vAlign w:val="center"/>
          </w:tcPr>
          <w:p w14:paraId="40A1B64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 Simčenka et al. in prep</w:t>
            </w:r>
          </w:p>
        </w:tc>
      </w:tr>
      <w:tr w:rsidR="00073701" w14:paraId="4D2C33DD" w14:textId="77777777">
        <w:trPr>
          <w:trHeight w:val="340"/>
        </w:trPr>
        <w:tc>
          <w:tcPr>
            <w:tcW w:w="580" w:type="dxa"/>
            <w:shd w:val="clear" w:color="auto" w:fill="auto"/>
            <w:vAlign w:val="center"/>
          </w:tcPr>
          <w:p w14:paraId="427048F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509" w:type="dxa"/>
            <w:shd w:val="clear" w:color="auto" w:fill="FFFFFF"/>
            <w:vAlign w:val="center"/>
          </w:tcPr>
          <w:p w14:paraId="68ABA1C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w:t>
            </w:r>
          </w:p>
        </w:tc>
        <w:tc>
          <w:tcPr>
            <w:tcW w:w="1336" w:type="dxa"/>
            <w:shd w:val="clear" w:color="auto" w:fill="auto"/>
            <w:vAlign w:val="center"/>
          </w:tcPr>
          <w:p w14:paraId="1B69AFF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Settlement</w:t>
            </w:r>
          </w:p>
        </w:tc>
        <w:tc>
          <w:tcPr>
            <w:tcW w:w="1454" w:type="dxa"/>
            <w:shd w:val="clear" w:color="auto" w:fill="auto"/>
            <w:vAlign w:val="center"/>
          </w:tcPr>
          <w:p w14:paraId="4090C02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I404H</w:t>
            </w:r>
          </w:p>
        </w:tc>
        <w:tc>
          <w:tcPr>
            <w:tcW w:w="1019" w:type="dxa"/>
            <w:shd w:val="clear" w:color="auto" w:fill="auto"/>
            <w:vAlign w:val="center"/>
          </w:tcPr>
          <w:p w14:paraId="0C28195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7962016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510" w:type="dxa"/>
            <w:vAlign w:val="center"/>
          </w:tcPr>
          <w:p w14:paraId="3FDC35C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(27)</w:t>
            </w:r>
          </w:p>
        </w:tc>
        <w:tc>
          <w:tcPr>
            <w:tcW w:w="1510" w:type="dxa"/>
            <w:shd w:val="clear" w:color="auto" w:fill="auto"/>
            <w:vAlign w:val="center"/>
          </w:tcPr>
          <w:p w14:paraId="7E0865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Subneolithic-Neolithic</w:t>
            </w:r>
          </w:p>
        </w:tc>
        <w:tc>
          <w:tcPr>
            <w:tcW w:w="1304" w:type="dxa"/>
            <w:shd w:val="clear" w:color="auto" w:fill="auto"/>
            <w:vAlign w:val="center"/>
          </w:tcPr>
          <w:p w14:paraId="233AB28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4750-1800</w:t>
            </w:r>
          </w:p>
        </w:tc>
        <w:tc>
          <w:tcPr>
            <w:tcW w:w="2869" w:type="dxa"/>
            <w:shd w:val="clear" w:color="auto" w:fill="auto"/>
            <w:vAlign w:val="center"/>
          </w:tcPr>
          <w:p w14:paraId="1DE09E7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 Simčenka et al. in prep</w:t>
            </w:r>
          </w:p>
        </w:tc>
      </w:tr>
      <w:tr w:rsidR="00073701" w14:paraId="18A1B28E" w14:textId="77777777">
        <w:trPr>
          <w:trHeight w:val="340"/>
        </w:trPr>
        <w:tc>
          <w:tcPr>
            <w:tcW w:w="580" w:type="dxa"/>
            <w:shd w:val="clear" w:color="auto" w:fill="auto"/>
            <w:vAlign w:val="center"/>
          </w:tcPr>
          <w:p w14:paraId="33CE900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509" w:type="dxa"/>
            <w:shd w:val="clear" w:color="auto" w:fill="FFFFFF"/>
            <w:vAlign w:val="center"/>
          </w:tcPr>
          <w:p w14:paraId="1679631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1A</w:t>
            </w:r>
          </w:p>
        </w:tc>
        <w:tc>
          <w:tcPr>
            <w:tcW w:w="1336" w:type="dxa"/>
            <w:shd w:val="clear" w:color="auto" w:fill="auto"/>
            <w:vAlign w:val="center"/>
          </w:tcPr>
          <w:p w14:paraId="49DA784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Settlement</w:t>
            </w:r>
          </w:p>
        </w:tc>
        <w:tc>
          <w:tcPr>
            <w:tcW w:w="1454" w:type="dxa"/>
            <w:shd w:val="clear" w:color="auto" w:fill="FFFFFF"/>
            <w:vAlign w:val="center"/>
          </w:tcPr>
          <w:p w14:paraId="5D45850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B2:88-89</w:t>
            </w:r>
          </w:p>
        </w:tc>
        <w:tc>
          <w:tcPr>
            <w:tcW w:w="1019" w:type="dxa"/>
            <w:shd w:val="clear" w:color="auto" w:fill="auto"/>
            <w:vAlign w:val="center"/>
          </w:tcPr>
          <w:p w14:paraId="4F0E193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6AEA367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20-30</w:t>
            </w:r>
          </w:p>
        </w:tc>
        <w:tc>
          <w:tcPr>
            <w:tcW w:w="1510" w:type="dxa"/>
            <w:vAlign w:val="center"/>
          </w:tcPr>
          <w:p w14:paraId="3639154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(37)</w:t>
            </w:r>
          </w:p>
        </w:tc>
        <w:tc>
          <w:tcPr>
            <w:tcW w:w="1510" w:type="dxa"/>
            <w:shd w:val="clear" w:color="auto" w:fill="auto"/>
            <w:vAlign w:val="center"/>
          </w:tcPr>
          <w:p w14:paraId="46F223B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Subneolithic-Neolithic</w:t>
            </w:r>
          </w:p>
        </w:tc>
        <w:tc>
          <w:tcPr>
            <w:tcW w:w="1304" w:type="dxa"/>
            <w:shd w:val="clear" w:color="auto" w:fill="auto"/>
            <w:vAlign w:val="center"/>
          </w:tcPr>
          <w:p w14:paraId="525175B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4750-1800</w:t>
            </w:r>
          </w:p>
        </w:tc>
        <w:tc>
          <w:tcPr>
            <w:tcW w:w="2869" w:type="dxa"/>
            <w:shd w:val="clear" w:color="auto" w:fill="auto"/>
            <w:vAlign w:val="center"/>
          </w:tcPr>
          <w:p w14:paraId="1A1E54A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 Simčenka et al. in prep</w:t>
            </w:r>
          </w:p>
        </w:tc>
      </w:tr>
      <w:tr w:rsidR="00073701" w14:paraId="1C4207D5" w14:textId="77777777">
        <w:trPr>
          <w:trHeight w:val="340"/>
        </w:trPr>
        <w:tc>
          <w:tcPr>
            <w:tcW w:w="580" w:type="dxa"/>
            <w:shd w:val="clear" w:color="auto" w:fill="auto"/>
            <w:vAlign w:val="center"/>
          </w:tcPr>
          <w:p w14:paraId="0E4BB40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509" w:type="dxa"/>
            <w:shd w:val="clear" w:color="auto" w:fill="FFFFFF"/>
            <w:vAlign w:val="center"/>
          </w:tcPr>
          <w:p w14:paraId="09470E9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1B</w:t>
            </w:r>
          </w:p>
        </w:tc>
        <w:tc>
          <w:tcPr>
            <w:tcW w:w="1336" w:type="dxa"/>
            <w:shd w:val="clear" w:color="auto" w:fill="FFFFFF"/>
            <w:vAlign w:val="center"/>
          </w:tcPr>
          <w:p w14:paraId="0608B09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166A9D7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19" w:type="dxa"/>
            <w:shd w:val="clear" w:color="auto" w:fill="auto"/>
            <w:vAlign w:val="center"/>
          </w:tcPr>
          <w:p w14:paraId="1327C29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775FCA1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510" w:type="dxa"/>
            <w:vAlign w:val="center"/>
          </w:tcPr>
          <w:p w14:paraId="30D945B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(16)</w:t>
            </w:r>
          </w:p>
        </w:tc>
        <w:tc>
          <w:tcPr>
            <w:tcW w:w="1510" w:type="dxa"/>
            <w:shd w:val="clear" w:color="auto" w:fill="auto"/>
            <w:vAlign w:val="center"/>
          </w:tcPr>
          <w:p w14:paraId="1A53C06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1A097AE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4460-3820</w:t>
            </w:r>
          </w:p>
        </w:tc>
        <w:tc>
          <w:tcPr>
            <w:tcW w:w="2869" w:type="dxa"/>
            <w:shd w:val="clear" w:color="auto" w:fill="auto"/>
            <w:vAlign w:val="center"/>
          </w:tcPr>
          <w:p w14:paraId="78BD967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Antanaitis-Jacobs et al. 2009</w:t>
            </w:r>
          </w:p>
        </w:tc>
      </w:tr>
      <w:tr w:rsidR="00073701" w14:paraId="62562048" w14:textId="77777777">
        <w:trPr>
          <w:trHeight w:val="340"/>
        </w:trPr>
        <w:tc>
          <w:tcPr>
            <w:tcW w:w="580" w:type="dxa"/>
            <w:shd w:val="clear" w:color="auto" w:fill="auto"/>
            <w:vAlign w:val="center"/>
          </w:tcPr>
          <w:p w14:paraId="2C333DA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509" w:type="dxa"/>
            <w:shd w:val="clear" w:color="auto" w:fill="FFFFFF"/>
            <w:vAlign w:val="center"/>
          </w:tcPr>
          <w:p w14:paraId="44D0661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1B</w:t>
            </w:r>
          </w:p>
        </w:tc>
        <w:tc>
          <w:tcPr>
            <w:tcW w:w="1336" w:type="dxa"/>
            <w:shd w:val="clear" w:color="auto" w:fill="FFFFFF"/>
            <w:vAlign w:val="center"/>
          </w:tcPr>
          <w:p w14:paraId="09E94BF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5613DA6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019" w:type="dxa"/>
            <w:shd w:val="clear" w:color="auto" w:fill="auto"/>
            <w:vAlign w:val="center"/>
          </w:tcPr>
          <w:p w14:paraId="52AEB0E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12C5880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14-16</w:t>
            </w:r>
          </w:p>
        </w:tc>
        <w:tc>
          <w:tcPr>
            <w:tcW w:w="1510" w:type="dxa"/>
            <w:vAlign w:val="center"/>
          </w:tcPr>
          <w:p w14:paraId="3F01376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M1 (36)</w:t>
            </w:r>
          </w:p>
        </w:tc>
        <w:tc>
          <w:tcPr>
            <w:tcW w:w="1510" w:type="dxa"/>
            <w:shd w:val="clear" w:color="auto" w:fill="auto"/>
            <w:vAlign w:val="center"/>
          </w:tcPr>
          <w:p w14:paraId="2CB7851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304" w:type="dxa"/>
            <w:shd w:val="clear" w:color="auto" w:fill="auto"/>
            <w:vAlign w:val="center"/>
          </w:tcPr>
          <w:p w14:paraId="1778D9C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4550-3820</w:t>
            </w:r>
          </w:p>
        </w:tc>
        <w:tc>
          <w:tcPr>
            <w:tcW w:w="2869" w:type="dxa"/>
            <w:shd w:val="clear" w:color="auto" w:fill="auto"/>
            <w:vAlign w:val="center"/>
          </w:tcPr>
          <w:p w14:paraId="1247AA1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75B2E938" w14:textId="77777777">
        <w:trPr>
          <w:trHeight w:val="340"/>
        </w:trPr>
        <w:tc>
          <w:tcPr>
            <w:tcW w:w="580" w:type="dxa"/>
            <w:shd w:val="clear" w:color="auto" w:fill="auto"/>
            <w:vAlign w:val="center"/>
          </w:tcPr>
          <w:p w14:paraId="1D214CC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509" w:type="dxa"/>
            <w:shd w:val="clear" w:color="auto" w:fill="FFFFFF"/>
            <w:vAlign w:val="center"/>
          </w:tcPr>
          <w:p w14:paraId="218AB02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1B</w:t>
            </w:r>
          </w:p>
        </w:tc>
        <w:tc>
          <w:tcPr>
            <w:tcW w:w="1336" w:type="dxa"/>
            <w:shd w:val="clear" w:color="auto" w:fill="FFFFFF"/>
            <w:vAlign w:val="center"/>
          </w:tcPr>
          <w:p w14:paraId="6095984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66006F4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19" w:type="dxa"/>
            <w:shd w:val="clear" w:color="auto" w:fill="auto"/>
            <w:vAlign w:val="center"/>
          </w:tcPr>
          <w:p w14:paraId="39BAD90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5025C02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25-30</w:t>
            </w:r>
          </w:p>
        </w:tc>
        <w:tc>
          <w:tcPr>
            <w:tcW w:w="1510" w:type="dxa"/>
            <w:vAlign w:val="center"/>
          </w:tcPr>
          <w:p w14:paraId="5348AE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(36)</w:t>
            </w:r>
          </w:p>
        </w:tc>
        <w:tc>
          <w:tcPr>
            <w:tcW w:w="1510" w:type="dxa"/>
            <w:shd w:val="clear" w:color="auto" w:fill="auto"/>
            <w:vAlign w:val="center"/>
          </w:tcPr>
          <w:p w14:paraId="26507A5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7871B62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4450-4340</w:t>
            </w:r>
          </w:p>
        </w:tc>
        <w:tc>
          <w:tcPr>
            <w:tcW w:w="2869" w:type="dxa"/>
            <w:shd w:val="clear" w:color="auto" w:fill="auto"/>
            <w:vAlign w:val="center"/>
          </w:tcPr>
          <w:p w14:paraId="3D6563D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60C5C7BA" w14:textId="77777777">
        <w:trPr>
          <w:trHeight w:val="340"/>
        </w:trPr>
        <w:tc>
          <w:tcPr>
            <w:tcW w:w="580" w:type="dxa"/>
            <w:shd w:val="clear" w:color="auto" w:fill="auto"/>
            <w:vAlign w:val="center"/>
          </w:tcPr>
          <w:p w14:paraId="6BA9EE3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509" w:type="dxa"/>
            <w:shd w:val="clear" w:color="auto" w:fill="FFFFFF"/>
            <w:vAlign w:val="center"/>
          </w:tcPr>
          <w:p w14:paraId="7123E0E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1B</w:t>
            </w:r>
          </w:p>
        </w:tc>
        <w:tc>
          <w:tcPr>
            <w:tcW w:w="1336" w:type="dxa"/>
            <w:shd w:val="clear" w:color="auto" w:fill="FFFFFF"/>
            <w:vAlign w:val="center"/>
          </w:tcPr>
          <w:p w14:paraId="08772D8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5F1A250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5242 (4?)</w:t>
            </w:r>
          </w:p>
        </w:tc>
        <w:tc>
          <w:tcPr>
            <w:tcW w:w="1019" w:type="dxa"/>
            <w:shd w:val="clear" w:color="auto" w:fill="auto"/>
            <w:vAlign w:val="center"/>
          </w:tcPr>
          <w:p w14:paraId="090C467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6F89F9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10" w:type="dxa"/>
            <w:vAlign w:val="center"/>
          </w:tcPr>
          <w:p w14:paraId="7B0F6BE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(47)</w:t>
            </w:r>
          </w:p>
        </w:tc>
        <w:tc>
          <w:tcPr>
            <w:tcW w:w="1510" w:type="dxa"/>
            <w:shd w:val="clear" w:color="auto" w:fill="auto"/>
            <w:vAlign w:val="center"/>
          </w:tcPr>
          <w:p w14:paraId="19AC378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7EDB9E3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4550-3820</w:t>
            </w:r>
          </w:p>
        </w:tc>
        <w:tc>
          <w:tcPr>
            <w:tcW w:w="2869" w:type="dxa"/>
            <w:shd w:val="clear" w:color="auto" w:fill="auto"/>
            <w:vAlign w:val="center"/>
          </w:tcPr>
          <w:p w14:paraId="4A52AD0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1623ED4F" w14:textId="77777777">
        <w:trPr>
          <w:trHeight w:val="340"/>
        </w:trPr>
        <w:tc>
          <w:tcPr>
            <w:tcW w:w="580" w:type="dxa"/>
            <w:shd w:val="clear" w:color="auto" w:fill="auto"/>
            <w:vAlign w:val="center"/>
          </w:tcPr>
          <w:p w14:paraId="1E8C1C0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509" w:type="dxa"/>
            <w:shd w:val="clear" w:color="auto" w:fill="FFFFFF"/>
            <w:vAlign w:val="center"/>
          </w:tcPr>
          <w:p w14:paraId="001B791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1B</w:t>
            </w:r>
          </w:p>
        </w:tc>
        <w:tc>
          <w:tcPr>
            <w:tcW w:w="1336" w:type="dxa"/>
            <w:shd w:val="clear" w:color="auto" w:fill="FFFFFF"/>
            <w:vAlign w:val="center"/>
          </w:tcPr>
          <w:p w14:paraId="3900D3E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6FCD098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5502 (6?)</w:t>
            </w:r>
          </w:p>
        </w:tc>
        <w:tc>
          <w:tcPr>
            <w:tcW w:w="1019" w:type="dxa"/>
            <w:shd w:val="clear" w:color="auto" w:fill="auto"/>
            <w:vAlign w:val="center"/>
          </w:tcPr>
          <w:p w14:paraId="27F3370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893611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10" w:type="dxa"/>
            <w:vAlign w:val="center"/>
          </w:tcPr>
          <w:p w14:paraId="08FF61E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(16)</w:t>
            </w:r>
          </w:p>
        </w:tc>
        <w:tc>
          <w:tcPr>
            <w:tcW w:w="1510" w:type="dxa"/>
            <w:shd w:val="clear" w:color="auto" w:fill="auto"/>
            <w:vAlign w:val="center"/>
          </w:tcPr>
          <w:p w14:paraId="485BB28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00DC0C0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4550-3820</w:t>
            </w:r>
          </w:p>
        </w:tc>
        <w:tc>
          <w:tcPr>
            <w:tcW w:w="2869" w:type="dxa"/>
            <w:shd w:val="clear" w:color="auto" w:fill="auto"/>
            <w:vAlign w:val="center"/>
          </w:tcPr>
          <w:p w14:paraId="14C64A7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15154213" w14:textId="77777777">
        <w:trPr>
          <w:trHeight w:val="340"/>
        </w:trPr>
        <w:tc>
          <w:tcPr>
            <w:tcW w:w="580" w:type="dxa"/>
            <w:shd w:val="clear" w:color="auto" w:fill="auto"/>
            <w:vAlign w:val="center"/>
          </w:tcPr>
          <w:p w14:paraId="7B53BD8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w:t>
            </w:r>
          </w:p>
        </w:tc>
        <w:tc>
          <w:tcPr>
            <w:tcW w:w="1509" w:type="dxa"/>
            <w:shd w:val="clear" w:color="auto" w:fill="FFFFFF"/>
            <w:vAlign w:val="center"/>
          </w:tcPr>
          <w:p w14:paraId="569A298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1C</w:t>
            </w:r>
          </w:p>
        </w:tc>
        <w:tc>
          <w:tcPr>
            <w:tcW w:w="1336" w:type="dxa"/>
            <w:shd w:val="clear" w:color="auto" w:fill="FFFFFF"/>
            <w:vAlign w:val="center"/>
          </w:tcPr>
          <w:p w14:paraId="733948C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77AB22A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2a</w:t>
            </w:r>
          </w:p>
        </w:tc>
        <w:tc>
          <w:tcPr>
            <w:tcW w:w="1019" w:type="dxa"/>
            <w:shd w:val="clear" w:color="auto" w:fill="auto"/>
            <w:vAlign w:val="center"/>
          </w:tcPr>
          <w:p w14:paraId="7B5E8C9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7544177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20-30</w:t>
            </w:r>
          </w:p>
        </w:tc>
        <w:tc>
          <w:tcPr>
            <w:tcW w:w="1510" w:type="dxa"/>
            <w:vAlign w:val="center"/>
          </w:tcPr>
          <w:p w14:paraId="5044A99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7529CCD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5FA4DBB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2200-1800</w:t>
            </w:r>
          </w:p>
        </w:tc>
        <w:tc>
          <w:tcPr>
            <w:tcW w:w="2869" w:type="dxa"/>
            <w:shd w:val="clear" w:color="auto" w:fill="auto"/>
            <w:vAlign w:val="center"/>
          </w:tcPr>
          <w:p w14:paraId="528D62D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Girininkas and Daugnora 2015 </w:t>
            </w:r>
          </w:p>
        </w:tc>
      </w:tr>
      <w:tr w:rsidR="00073701" w14:paraId="6E338526" w14:textId="77777777">
        <w:trPr>
          <w:trHeight w:val="340"/>
        </w:trPr>
        <w:tc>
          <w:tcPr>
            <w:tcW w:w="580" w:type="dxa"/>
            <w:shd w:val="clear" w:color="auto" w:fill="auto"/>
            <w:vAlign w:val="center"/>
          </w:tcPr>
          <w:p w14:paraId="6B948B5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509" w:type="dxa"/>
            <w:shd w:val="clear" w:color="auto" w:fill="auto"/>
            <w:vAlign w:val="center"/>
          </w:tcPr>
          <w:p w14:paraId="3CB1C06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1C</w:t>
            </w:r>
          </w:p>
        </w:tc>
        <w:tc>
          <w:tcPr>
            <w:tcW w:w="1336" w:type="dxa"/>
            <w:shd w:val="clear" w:color="auto" w:fill="auto"/>
            <w:vAlign w:val="center"/>
          </w:tcPr>
          <w:p w14:paraId="0A2DF8D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Settlement</w:t>
            </w:r>
          </w:p>
        </w:tc>
        <w:tc>
          <w:tcPr>
            <w:tcW w:w="1454" w:type="dxa"/>
            <w:shd w:val="clear" w:color="auto" w:fill="auto"/>
            <w:vAlign w:val="center"/>
          </w:tcPr>
          <w:p w14:paraId="20AF50E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Č102</w:t>
            </w:r>
          </w:p>
        </w:tc>
        <w:tc>
          <w:tcPr>
            <w:tcW w:w="1019" w:type="dxa"/>
            <w:shd w:val="clear" w:color="auto" w:fill="auto"/>
            <w:vAlign w:val="center"/>
          </w:tcPr>
          <w:p w14:paraId="00BE913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29D6D8A2" w14:textId="77777777" w:rsidR="00073701" w:rsidRDefault="00073701">
            <w:pPr>
              <w:spacing w:after="0" w:line="240" w:lineRule="auto"/>
              <w:rPr>
                <w:rFonts w:ascii="Times New Roman" w:eastAsia="Times New Roman" w:hAnsi="Times New Roman" w:cs="Times New Roman"/>
                <w:sz w:val="20"/>
                <w:szCs w:val="20"/>
              </w:rPr>
            </w:pPr>
          </w:p>
        </w:tc>
        <w:tc>
          <w:tcPr>
            <w:tcW w:w="1510" w:type="dxa"/>
            <w:vAlign w:val="center"/>
          </w:tcPr>
          <w:p w14:paraId="324181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(47)</w:t>
            </w:r>
          </w:p>
        </w:tc>
        <w:tc>
          <w:tcPr>
            <w:tcW w:w="1510" w:type="dxa"/>
            <w:shd w:val="clear" w:color="auto" w:fill="auto"/>
            <w:vAlign w:val="center"/>
          </w:tcPr>
          <w:p w14:paraId="1621C2C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283A9A3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2200-1800</w:t>
            </w:r>
          </w:p>
        </w:tc>
        <w:tc>
          <w:tcPr>
            <w:tcW w:w="2869" w:type="dxa"/>
            <w:shd w:val="clear" w:color="auto" w:fill="auto"/>
            <w:vAlign w:val="center"/>
          </w:tcPr>
          <w:p w14:paraId="6B3BBFA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w:t>
            </w:r>
          </w:p>
        </w:tc>
      </w:tr>
      <w:tr w:rsidR="00073701" w14:paraId="27E06D25" w14:textId="77777777">
        <w:trPr>
          <w:trHeight w:val="340"/>
        </w:trPr>
        <w:tc>
          <w:tcPr>
            <w:tcW w:w="580" w:type="dxa"/>
            <w:shd w:val="clear" w:color="auto" w:fill="auto"/>
            <w:vAlign w:val="center"/>
          </w:tcPr>
          <w:p w14:paraId="4987FC9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509" w:type="dxa"/>
            <w:shd w:val="clear" w:color="auto" w:fill="FFFFFF"/>
            <w:vAlign w:val="center"/>
          </w:tcPr>
          <w:p w14:paraId="00F1009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Kretuonas 1C</w:t>
            </w:r>
          </w:p>
        </w:tc>
        <w:tc>
          <w:tcPr>
            <w:tcW w:w="1336" w:type="dxa"/>
            <w:shd w:val="clear" w:color="auto" w:fill="FFFFFF"/>
            <w:vAlign w:val="center"/>
          </w:tcPr>
          <w:p w14:paraId="38B0B0B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6D78531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C100</w:t>
            </w:r>
          </w:p>
        </w:tc>
        <w:tc>
          <w:tcPr>
            <w:tcW w:w="1019" w:type="dxa"/>
            <w:shd w:val="clear" w:color="auto" w:fill="auto"/>
            <w:vAlign w:val="center"/>
          </w:tcPr>
          <w:p w14:paraId="3C18934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15D65F90" w14:textId="77777777" w:rsidR="00073701" w:rsidRDefault="00073701">
            <w:pPr>
              <w:spacing w:after="0" w:line="240" w:lineRule="auto"/>
              <w:rPr>
                <w:rFonts w:ascii="Times New Roman" w:eastAsia="Times New Roman" w:hAnsi="Times New Roman" w:cs="Times New Roman"/>
                <w:color w:val="000000"/>
                <w:sz w:val="20"/>
                <w:szCs w:val="20"/>
              </w:rPr>
            </w:pPr>
          </w:p>
        </w:tc>
        <w:tc>
          <w:tcPr>
            <w:tcW w:w="1510" w:type="dxa"/>
            <w:vAlign w:val="center"/>
          </w:tcPr>
          <w:p w14:paraId="5C1CD23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58B90C4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4E17DAA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2200-1800</w:t>
            </w:r>
          </w:p>
        </w:tc>
        <w:tc>
          <w:tcPr>
            <w:tcW w:w="2869" w:type="dxa"/>
            <w:shd w:val="clear" w:color="auto" w:fill="auto"/>
            <w:vAlign w:val="center"/>
          </w:tcPr>
          <w:p w14:paraId="042C05A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Girininkas and Daugnora 2015</w:t>
            </w:r>
          </w:p>
        </w:tc>
      </w:tr>
      <w:tr w:rsidR="00073701" w14:paraId="0CE9175A" w14:textId="77777777">
        <w:trPr>
          <w:trHeight w:val="340"/>
        </w:trPr>
        <w:tc>
          <w:tcPr>
            <w:tcW w:w="580" w:type="dxa"/>
            <w:shd w:val="clear" w:color="auto" w:fill="auto"/>
            <w:vAlign w:val="center"/>
          </w:tcPr>
          <w:p w14:paraId="67C7E9B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509" w:type="dxa"/>
            <w:shd w:val="clear" w:color="auto" w:fill="FFFFFF"/>
            <w:vAlign w:val="center"/>
          </w:tcPr>
          <w:p w14:paraId="7B5F454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Plinkaigalis</w:t>
            </w:r>
          </w:p>
        </w:tc>
        <w:tc>
          <w:tcPr>
            <w:tcW w:w="1336" w:type="dxa"/>
            <w:shd w:val="clear" w:color="auto" w:fill="FFFFFF"/>
            <w:vAlign w:val="center"/>
          </w:tcPr>
          <w:p w14:paraId="10F1055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09679B8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241</w:t>
            </w:r>
          </w:p>
        </w:tc>
        <w:tc>
          <w:tcPr>
            <w:tcW w:w="1019" w:type="dxa"/>
            <w:shd w:val="clear" w:color="auto" w:fill="auto"/>
            <w:vAlign w:val="center"/>
          </w:tcPr>
          <w:p w14:paraId="66C63C3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5E020B2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50-55</w:t>
            </w:r>
          </w:p>
        </w:tc>
        <w:tc>
          <w:tcPr>
            <w:tcW w:w="1510" w:type="dxa"/>
            <w:vAlign w:val="center"/>
          </w:tcPr>
          <w:p w14:paraId="0F74032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P1 (44)</w:t>
            </w:r>
          </w:p>
        </w:tc>
        <w:tc>
          <w:tcPr>
            <w:tcW w:w="1510" w:type="dxa"/>
            <w:shd w:val="clear" w:color="auto" w:fill="auto"/>
            <w:vAlign w:val="center"/>
          </w:tcPr>
          <w:p w14:paraId="70AA03C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455EBE0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2860-2410</w:t>
            </w:r>
          </w:p>
        </w:tc>
        <w:tc>
          <w:tcPr>
            <w:tcW w:w="2869" w:type="dxa"/>
            <w:shd w:val="clear" w:color="auto" w:fill="auto"/>
            <w:vAlign w:val="center"/>
          </w:tcPr>
          <w:p w14:paraId="5EAC23D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Antanaitis-Jacobs et al. 2009</w:t>
            </w:r>
          </w:p>
        </w:tc>
      </w:tr>
      <w:tr w:rsidR="00073701" w14:paraId="33523260" w14:textId="77777777">
        <w:trPr>
          <w:trHeight w:val="340"/>
        </w:trPr>
        <w:tc>
          <w:tcPr>
            <w:tcW w:w="580" w:type="dxa"/>
            <w:shd w:val="clear" w:color="auto" w:fill="auto"/>
            <w:vAlign w:val="center"/>
          </w:tcPr>
          <w:p w14:paraId="65319C6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509" w:type="dxa"/>
            <w:shd w:val="clear" w:color="auto" w:fill="FFFFFF"/>
            <w:vAlign w:val="center"/>
          </w:tcPr>
          <w:p w14:paraId="3B4A0AE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Plinkaigalis</w:t>
            </w:r>
          </w:p>
        </w:tc>
        <w:tc>
          <w:tcPr>
            <w:tcW w:w="1336" w:type="dxa"/>
            <w:shd w:val="clear" w:color="auto" w:fill="FFFFFF"/>
            <w:vAlign w:val="center"/>
          </w:tcPr>
          <w:p w14:paraId="2291714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40B3621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242</w:t>
            </w:r>
          </w:p>
        </w:tc>
        <w:tc>
          <w:tcPr>
            <w:tcW w:w="1019" w:type="dxa"/>
            <w:shd w:val="clear" w:color="auto" w:fill="auto"/>
            <w:vAlign w:val="center"/>
          </w:tcPr>
          <w:p w14:paraId="3CC7207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3E36393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&gt;40</w:t>
            </w:r>
          </w:p>
        </w:tc>
        <w:tc>
          <w:tcPr>
            <w:tcW w:w="1510" w:type="dxa"/>
            <w:vAlign w:val="center"/>
          </w:tcPr>
          <w:p w14:paraId="413E031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(17)</w:t>
            </w:r>
          </w:p>
        </w:tc>
        <w:tc>
          <w:tcPr>
            <w:tcW w:w="1510" w:type="dxa"/>
            <w:shd w:val="clear" w:color="auto" w:fill="auto"/>
            <w:vAlign w:val="center"/>
          </w:tcPr>
          <w:p w14:paraId="0308885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7962E09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3260-2630</w:t>
            </w:r>
          </w:p>
        </w:tc>
        <w:tc>
          <w:tcPr>
            <w:tcW w:w="2869" w:type="dxa"/>
            <w:shd w:val="clear" w:color="auto" w:fill="auto"/>
            <w:vAlign w:val="center"/>
          </w:tcPr>
          <w:p w14:paraId="614F1E8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Antanaitis-Jacobs et al. 2009</w:t>
            </w:r>
          </w:p>
        </w:tc>
      </w:tr>
      <w:tr w:rsidR="00073701" w14:paraId="4023ED15" w14:textId="77777777">
        <w:trPr>
          <w:trHeight w:val="340"/>
        </w:trPr>
        <w:tc>
          <w:tcPr>
            <w:tcW w:w="580" w:type="dxa"/>
            <w:shd w:val="clear" w:color="auto" w:fill="auto"/>
            <w:vAlign w:val="center"/>
          </w:tcPr>
          <w:p w14:paraId="73635BD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509" w:type="dxa"/>
            <w:shd w:val="clear" w:color="auto" w:fill="FFFFFF"/>
            <w:vAlign w:val="center"/>
          </w:tcPr>
          <w:p w14:paraId="45C77EE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Spiginas</w:t>
            </w:r>
          </w:p>
        </w:tc>
        <w:tc>
          <w:tcPr>
            <w:tcW w:w="1336" w:type="dxa"/>
            <w:shd w:val="clear" w:color="auto" w:fill="FFFFFF"/>
            <w:vAlign w:val="center"/>
          </w:tcPr>
          <w:p w14:paraId="115C537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1DFBA7A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019" w:type="dxa"/>
            <w:shd w:val="clear" w:color="auto" w:fill="auto"/>
            <w:vAlign w:val="center"/>
          </w:tcPr>
          <w:p w14:paraId="5A5B387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7892DB3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10" w:type="dxa"/>
            <w:vAlign w:val="center"/>
          </w:tcPr>
          <w:p w14:paraId="34EFC11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(47)</w:t>
            </w:r>
          </w:p>
        </w:tc>
        <w:tc>
          <w:tcPr>
            <w:tcW w:w="1510" w:type="dxa"/>
            <w:shd w:val="clear" w:color="auto" w:fill="auto"/>
            <w:vAlign w:val="center"/>
          </w:tcPr>
          <w:p w14:paraId="6CCF648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Neolithic</w:t>
            </w:r>
          </w:p>
        </w:tc>
        <w:tc>
          <w:tcPr>
            <w:tcW w:w="1304" w:type="dxa"/>
            <w:shd w:val="clear" w:color="auto" w:fill="auto"/>
            <w:vAlign w:val="center"/>
          </w:tcPr>
          <w:p w14:paraId="6B513CD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2130-1750</w:t>
            </w:r>
          </w:p>
        </w:tc>
        <w:tc>
          <w:tcPr>
            <w:tcW w:w="2869" w:type="dxa"/>
            <w:shd w:val="clear" w:color="auto" w:fill="auto"/>
            <w:vAlign w:val="center"/>
          </w:tcPr>
          <w:p w14:paraId="269869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2984C3D0" w14:textId="77777777">
        <w:trPr>
          <w:trHeight w:val="340"/>
        </w:trPr>
        <w:tc>
          <w:tcPr>
            <w:tcW w:w="580" w:type="dxa"/>
            <w:shd w:val="clear" w:color="auto" w:fill="auto"/>
            <w:vAlign w:val="center"/>
          </w:tcPr>
          <w:p w14:paraId="3D4B058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509" w:type="dxa"/>
            <w:shd w:val="clear" w:color="auto" w:fill="FFFFFF"/>
            <w:vAlign w:val="center"/>
          </w:tcPr>
          <w:p w14:paraId="021F45F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Spiginas</w:t>
            </w:r>
          </w:p>
        </w:tc>
        <w:tc>
          <w:tcPr>
            <w:tcW w:w="1336" w:type="dxa"/>
            <w:shd w:val="clear" w:color="auto" w:fill="FFFFFF"/>
            <w:vAlign w:val="center"/>
          </w:tcPr>
          <w:p w14:paraId="04CCB4C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emetery</w:t>
            </w:r>
          </w:p>
        </w:tc>
        <w:tc>
          <w:tcPr>
            <w:tcW w:w="1454" w:type="dxa"/>
            <w:shd w:val="clear" w:color="auto" w:fill="FFFFFF"/>
            <w:vAlign w:val="center"/>
          </w:tcPr>
          <w:p w14:paraId="3C3F32A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019" w:type="dxa"/>
            <w:shd w:val="clear" w:color="auto" w:fill="auto"/>
            <w:vAlign w:val="center"/>
          </w:tcPr>
          <w:p w14:paraId="5F86CF4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Female</w:t>
            </w:r>
          </w:p>
        </w:tc>
        <w:tc>
          <w:tcPr>
            <w:tcW w:w="857" w:type="dxa"/>
            <w:shd w:val="clear" w:color="auto" w:fill="auto"/>
            <w:vAlign w:val="center"/>
          </w:tcPr>
          <w:p w14:paraId="51CBB90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30-35</w:t>
            </w:r>
          </w:p>
        </w:tc>
        <w:tc>
          <w:tcPr>
            <w:tcW w:w="1510" w:type="dxa"/>
            <w:vAlign w:val="center"/>
          </w:tcPr>
          <w:p w14:paraId="0F87202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4DE88E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Mesolithic</w:t>
            </w:r>
          </w:p>
        </w:tc>
        <w:tc>
          <w:tcPr>
            <w:tcW w:w="1304" w:type="dxa"/>
            <w:shd w:val="clear" w:color="auto" w:fill="auto"/>
            <w:vAlign w:val="center"/>
          </w:tcPr>
          <w:p w14:paraId="6DA4DA5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6440-6230</w:t>
            </w:r>
          </w:p>
        </w:tc>
        <w:tc>
          <w:tcPr>
            <w:tcW w:w="2869" w:type="dxa"/>
            <w:shd w:val="clear" w:color="auto" w:fill="auto"/>
            <w:vAlign w:val="center"/>
          </w:tcPr>
          <w:p w14:paraId="6858962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Butrimas et al. 1985</w:t>
            </w:r>
          </w:p>
        </w:tc>
      </w:tr>
      <w:tr w:rsidR="00073701" w14:paraId="6AECDB3E" w14:textId="77777777">
        <w:trPr>
          <w:trHeight w:val="340"/>
        </w:trPr>
        <w:tc>
          <w:tcPr>
            <w:tcW w:w="580" w:type="dxa"/>
            <w:shd w:val="clear" w:color="auto" w:fill="auto"/>
            <w:vAlign w:val="center"/>
          </w:tcPr>
          <w:p w14:paraId="6558C92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509" w:type="dxa"/>
            <w:shd w:val="clear" w:color="auto" w:fill="FFFFFF"/>
            <w:vAlign w:val="center"/>
          </w:tcPr>
          <w:p w14:paraId="1A296E5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 23</w:t>
            </w:r>
          </w:p>
        </w:tc>
        <w:tc>
          <w:tcPr>
            <w:tcW w:w="1336" w:type="dxa"/>
            <w:shd w:val="clear" w:color="auto" w:fill="FFFFFF"/>
            <w:vAlign w:val="center"/>
          </w:tcPr>
          <w:p w14:paraId="427A56D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6A627D8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
        </w:tc>
        <w:tc>
          <w:tcPr>
            <w:tcW w:w="1019" w:type="dxa"/>
            <w:shd w:val="clear" w:color="auto" w:fill="auto"/>
            <w:vAlign w:val="center"/>
          </w:tcPr>
          <w:p w14:paraId="5F7579F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38D4796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25-35</w:t>
            </w:r>
          </w:p>
        </w:tc>
        <w:tc>
          <w:tcPr>
            <w:tcW w:w="1510" w:type="dxa"/>
            <w:vAlign w:val="center"/>
          </w:tcPr>
          <w:p w14:paraId="4A42569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M3 (48)</w:t>
            </w:r>
          </w:p>
        </w:tc>
        <w:tc>
          <w:tcPr>
            <w:tcW w:w="1510" w:type="dxa"/>
            <w:shd w:val="clear" w:color="auto" w:fill="auto"/>
            <w:vAlign w:val="center"/>
          </w:tcPr>
          <w:p w14:paraId="6E01719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4870972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3500-3120</w:t>
            </w:r>
          </w:p>
        </w:tc>
        <w:tc>
          <w:tcPr>
            <w:tcW w:w="2869" w:type="dxa"/>
            <w:shd w:val="clear" w:color="auto" w:fill="auto"/>
            <w:vAlign w:val="center"/>
          </w:tcPr>
          <w:p w14:paraId="2263D4F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2017b</w:t>
            </w:r>
          </w:p>
        </w:tc>
      </w:tr>
      <w:tr w:rsidR="00073701" w14:paraId="5DD95C79" w14:textId="77777777">
        <w:trPr>
          <w:trHeight w:val="340"/>
        </w:trPr>
        <w:tc>
          <w:tcPr>
            <w:tcW w:w="580" w:type="dxa"/>
            <w:shd w:val="clear" w:color="auto" w:fill="auto"/>
            <w:vAlign w:val="center"/>
          </w:tcPr>
          <w:p w14:paraId="1BA3D47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509" w:type="dxa"/>
            <w:shd w:val="clear" w:color="auto" w:fill="FFFFFF"/>
            <w:vAlign w:val="center"/>
          </w:tcPr>
          <w:p w14:paraId="771B4F5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 23</w:t>
            </w:r>
          </w:p>
        </w:tc>
        <w:tc>
          <w:tcPr>
            <w:tcW w:w="1336" w:type="dxa"/>
            <w:shd w:val="clear" w:color="auto" w:fill="FFFFFF"/>
            <w:vAlign w:val="center"/>
          </w:tcPr>
          <w:p w14:paraId="6DC0BD6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163047E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1019" w:type="dxa"/>
            <w:shd w:val="clear" w:color="auto" w:fill="auto"/>
            <w:vAlign w:val="center"/>
          </w:tcPr>
          <w:p w14:paraId="554451F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390A89F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25-35</w:t>
            </w:r>
          </w:p>
        </w:tc>
        <w:tc>
          <w:tcPr>
            <w:tcW w:w="1510" w:type="dxa"/>
            <w:vAlign w:val="center"/>
          </w:tcPr>
          <w:p w14:paraId="645C8D6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P1 (24)</w:t>
            </w:r>
          </w:p>
        </w:tc>
        <w:tc>
          <w:tcPr>
            <w:tcW w:w="1510" w:type="dxa"/>
            <w:shd w:val="clear" w:color="auto" w:fill="auto"/>
            <w:vAlign w:val="center"/>
          </w:tcPr>
          <w:p w14:paraId="4DA9376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6FBF50D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3640-3380</w:t>
            </w:r>
          </w:p>
        </w:tc>
        <w:tc>
          <w:tcPr>
            <w:tcW w:w="2869" w:type="dxa"/>
            <w:shd w:val="clear" w:color="auto" w:fill="auto"/>
            <w:vAlign w:val="center"/>
          </w:tcPr>
          <w:p w14:paraId="198D53E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2017b</w:t>
            </w:r>
          </w:p>
        </w:tc>
      </w:tr>
      <w:tr w:rsidR="00073701" w14:paraId="6D99E73F" w14:textId="77777777">
        <w:trPr>
          <w:trHeight w:val="340"/>
        </w:trPr>
        <w:tc>
          <w:tcPr>
            <w:tcW w:w="580" w:type="dxa"/>
            <w:shd w:val="clear" w:color="auto" w:fill="auto"/>
            <w:vAlign w:val="center"/>
          </w:tcPr>
          <w:p w14:paraId="76BD82B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509" w:type="dxa"/>
            <w:shd w:val="clear" w:color="auto" w:fill="FFFFFF"/>
            <w:vAlign w:val="center"/>
          </w:tcPr>
          <w:p w14:paraId="5F4BC05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 23</w:t>
            </w:r>
          </w:p>
        </w:tc>
        <w:tc>
          <w:tcPr>
            <w:tcW w:w="1336" w:type="dxa"/>
            <w:shd w:val="clear" w:color="auto" w:fill="FFFFFF"/>
            <w:vAlign w:val="center"/>
          </w:tcPr>
          <w:p w14:paraId="781F26D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5E22FB3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019" w:type="dxa"/>
            <w:shd w:val="clear" w:color="auto" w:fill="auto"/>
            <w:vAlign w:val="center"/>
          </w:tcPr>
          <w:p w14:paraId="7F0D8F9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464B007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7-11</w:t>
            </w:r>
          </w:p>
        </w:tc>
        <w:tc>
          <w:tcPr>
            <w:tcW w:w="1510" w:type="dxa"/>
            <w:vAlign w:val="center"/>
          </w:tcPr>
          <w:p w14:paraId="465E3A2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(37)</w:t>
            </w:r>
          </w:p>
        </w:tc>
        <w:tc>
          <w:tcPr>
            <w:tcW w:w="1510" w:type="dxa"/>
            <w:shd w:val="clear" w:color="auto" w:fill="auto"/>
            <w:vAlign w:val="center"/>
          </w:tcPr>
          <w:p w14:paraId="27E9272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3691011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3635-3380</w:t>
            </w:r>
          </w:p>
        </w:tc>
        <w:tc>
          <w:tcPr>
            <w:tcW w:w="2869" w:type="dxa"/>
            <w:shd w:val="clear" w:color="auto" w:fill="auto"/>
            <w:vAlign w:val="center"/>
          </w:tcPr>
          <w:p w14:paraId="73E32F4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2017b</w:t>
            </w:r>
          </w:p>
        </w:tc>
      </w:tr>
      <w:tr w:rsidR="00073701" w14:paraId="5B667789" w14:textId="77777777">
        <w:trPr>
          <w:trHeight w:val="340"/>
        </w:trPr>
        <w:tc>
          <w:tcPr>
            <w:tcW w:w="580" w:type="dxa"/>
            <w:shd w:val="clear" w:color="auto" w:fill="auto"/>
            <w:vAlign w:val="center"/>
          </w:tcPr>
          <w:p w14:paraId="4449531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509" w:type="dxa"/>
            <w:shd w:val="clear" w:color="auto" w:fill="FFFFFF"/>
            <w:vAlign w:val="center"/>
          </w:tcPr>
          <w:p w14:paraId="4C05BF9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 23</w:t>
            </w:r>
          </w:p>
        </w:tc>
        <w:tc>
          <w:tcPr>
            <w:tcW w:w="1336" w:type="dxa"/>
            <w:shd w:val="clear" w:color="auto" w:fill="FFFFFF"/>
            <w:vAlign w:val="center"/>
          </w:tcPr>
          <w:p w14:paraId="139512E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5903D19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019" w:type="dxa"/>
            <w:shd w:val="clear" w:color="auto" w:fill="auto"/>
            <w:vAlign w:val="center"/>
          </w:tcPr>
          <w:p w14:paraId="028D1A6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7A3A94E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20-30</w:t>
            </w:r>
          </w:p>
        </w:tc>
        <w:tc>
          <w:tcPr>
            <w:tcW w:w="1510" w:type="dxa"/>
            <w:vAlign w:val="center"/>
          </w:tcPr>
          <w:p w14:paraId="346EE6D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1D9B9CC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75D9643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3640-3120</w:t>
            </w:r>
          </w:p>
        </w:tc>
        <w:tc>
          <w:tcPr>
            <w:tcW w:w="2869" w:type="dxa"/>
            <w:shd w:val="clear" w:color="auto" w:fill="auto"/>
            <w:vAlign w:val="center"/>
          </w:tcPr>
          <w:p w14:paraId="2FE766F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2017b</w:t>
            </w:r>
          </w:p>
        </w:tc>
      </w:tr>
      <w:tr w:rsidR="00073701" w14:paraId="7F3CF21B" w14:textId="77777777">
        <w:trPr>
          <w:trHeight w:val="340"/>
        </w:trPr>
        <w:tc>
          <w:tcPr>
            <w:tcW w:w="580" w:type="dxa"/>
            <w:shd w:val="clear" w:color="auto" w:fill="auto"/>
            <w:vAlign w:val="center"/>
          </w:tcPr>
          <w:p w14:paraId="0504A02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509" w:type="dxa"/>
            <w:shd w:val="clear" w:color="auto" w:fill="FFFFFF"/>
            <w:vAlign w:val="center"/>
          </w:tcPr>
          <w:p w14:paraId="1D7FF84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 23</w:t>
            </w:r>
          </w:p>
        </w:tc>
        <w:tc>
          <w:tcPr>
            <w:tcW w:w="1336" w:type="dxa"/>
            <w:shd w:val="clear" w:color="auto" w:fill="FFFFFF"/>
            <w:vAlign w:val="center"/>
          </w:tcPr>
          <w:p w14:paraId="5164203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0934E42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19" w:type="dxa"/>
            <w:shd w:val="clear" w:color="auto" w:fill="auto"/>
            <w:vAlign w:val="center"/>
          </w:tcPr>
          <w:p w14:paraId="4D22786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E71CA0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13-18</w:t>
            </w:r>
          </w:p>
        </w:tc>
        <w:tc>
          <w:tcPr>
            <w:tcW w:w="1510" w:type="dxa"/>
            <w:vAlign w:val="center"/>
          </w:tcPr>
          <w:p w14:paraId="2E605AB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P2 (15)</w:t>
            </w:r>
          </w:p>
        </w:tc>
        <w:tc>
          <w:tcPr>
            <w:tcW w:w="1510" w:type="dxa"/>
            <w:shd w:val="clear" w:color="auto" w:fill="auto"/>
            <w:vAlign w:val="center"/>
          </w:tcPr>
          <w:p w14:paraId="4185E99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495F130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3640-3120</w:t>
            </w:r>
          </w:p>
        </w:tc>
        <w:tc>
          <w:tcPr>
            <w:tcW w:w="2869" w:type="dxa"/>
            <w:shd w:val="clear" w:color="auto" w:fill="auto"/>
            <w:vAlign w:val="center"/>
          </w:tcPr>
          <w:p w14:paraId="5F69F73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2017b</w:t>
            </w:r>
          </w:p>
        </w:tc>
      </w:tr>
      <w:tr w:rsidR="00073701" w14:paraId="31464947" w14:textId="77777777">
        <w:trPr>
          <w:trHeight w:val="340"/>
        </w:trPr>
        <w:tc>
          <w:tcPr>
            <w:tcW w:w="580" w:type="dxa"/>
            <w:shd w:val="clear" w:color="auto" w:fill="auto"/>
            <w:vAlign w:val="center"/>
          </w:tcPr>
          <w:p w14:paraId="6020F7C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509" w:type="dxa"/>
            <w:shd w:val="clear" w:color="auto" w:fill="FFFFFF"/>
            <w:vAlign w:val="center"/>
          </w:tcPr>
          <w:p w14:paraId="6BCF9FB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43</w:t>
            </w:r>
          </w:p>
        </w:tc>
        <w:tc>
          <w:tcPr>
            <w:tcW w:w="1336" w:type="dxa"/>
            <w:shd w:val="clear" w:color="auto" w:fill="FFFFFF"/>
            <w:vAlign w:val="center"/>
          </w:tcPr>
          <w:p w14:paraId="172FB97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1CEB509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P1 L27/6</w:t>
            </w:r>
          </w:p>
        </w:tc>
        <w:tc>
          <w:tcPr>
            <w:tcW w:w="1019" w:type="dxa"/>
            <w:shd w:val="clear" w:color="auto" w:fill="auto"/>
            <w:vAlign w:val="center"/>
          </w:tcPr>
          <w:p w14:paraId="0A7E9CF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3657DAB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510" w:type="dxa"/>
            <w:vAlign w:val="center"/>
          </w:tcPr>
          <w:p w14:paraId="636D658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76DDEDB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3AF4C23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3900-3650</w:t>
            </w:r>
          </w:p>
        </w:tc>
        <w:tc>
          <w:tcPr>
            <w:tcW w:w="2869" w:type="dxa"/>
            <w:shd w:val="clear" w:color="auto" w:fill="auto"/>
            <w:vAlign w:val="center"/>
          </w:tcPr>
          <w:p w14:paraId="5ACACDC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2019</w:t>
            </w:r>
          </w:p>
        </w:tc>
      </w:tr>
      <w:tr w:rsidR="00073701" w14:paraId="6776EE1B" w14:textId="77777777">
        <w:trPr>
          <w:trHeight w:val="340"/>
        </w:trPr>
        <w:tc>
          <w:tcPr>
            <w:tcW w:w="580" w:type="dxa"/>
            <w:shd w:val="clear" w:color="auto" w:fill="auto"/>
            <w:vAlign w:val="center"/>
          </w:tcPr>
          <w:p w14:paraId="707602C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509" w:type="dxa"/>
            <w:shd w:val="clear" w:color="auto" w:fill="FFFFFF"/>
            <w:vAlign w:val="center"/>
          </w:tcPr>
          <w:p w14:paraId="7A55924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43</w:t>
            </w:r>
          </w:p>
        </w:tc>
        <w:tc>
          <w:tcPr>
            <w:tcW w:w="1336" w:type="dxa"/>
            <w:shd w:val="clear" w:color="auto" w:fill="FFFFFF"/>
            <w:vAlign w:val="center"/>
          </w:tcPr>
          <w:p w14:paraId="3FD90BD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ettlement</w:t>
            </w:r>
          </w:p>
        </w:tc>
        <w:tc>
          <w:tcPr>
            <w:tcW w:w="1454" w:type="dxa"/>
            <w:shd w:val="clear" w:color="auto" w:fill="FFFFFF"/>
            <w:vAlign w:val="center"/>
          </w:tcPr>
          <w:p w14:paraId="04A8794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P2 Q33/5</w:t>
            </w:r>
          </w:p>
        </w:tc>
        <w:tc>
          <w:tcPr>
            <w:tcW w:w="1019" w:type="dxa"/>
            <w:shd w:val="clear" w:color="auto" w:fill="auto"/>
            <w:vAlign w:val="center"/>
          </w:tcPr>
          <w:p w14:paraId="4E40319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Unknown</w:t>
            </w:r>
          </w:p>
        </w:tc>
        <w:tc>
          <w:tcPr>
            <w:tcW w:w="857" w:type="dxa"/>
            <w:shd w:val="clear" w:color="auto" w:fill="auto"/>
            <w:vAlign w:val="center"/>
          </w:tcPr>
          <w:p w14:paraId="0FBA4CB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5-10</w:t>
            </w:r>
          </w:p>
        </w:tc>
        <w:tc>
          <w:tcPr>
            <w:tcW w:w="1510" w:type="dxa"/>
            <w:vAlign w:val="center"/>
          </w:tcPr>
          <w:p w14:paraId="791CBA9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dm1 (84)</w:t>
            </w:r>
          </w:p>
        </w:tc>
        <w:tc>
          <w:tcPr>
            <w:tcW w:w="1510" w:type="dxa"/>
            <w:shd w:val="clear" w:color="auto" w:fill="auto"/>
            <w:vAlign w:val="center"/>
          </w:tcPr>
          <w:p w14:paraId="5E2E93E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304" w:type="dxa"/>
            <w:shd w:val="clear" w:color="auto" w:fill="auto"/>
            <w:vAlign w:val="center"/>
          </w:tcPr>
          <w:p w14:paraId="3BED2AE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3900-3650</w:t>
            </w:r>
          </w:p>
        </w:tc>
        <w:tc>
          <w:tcPr>
            <w:tcW w:w="2869" w:type="dxa"/>
            <w:shd w:val="clear" w:color="auto" w:fill="auto"/>
            <w:vAlign w:val="center"/>
          </w:tcPr>
          <w:p w14:paraId="149306C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2019</w:t>
            </w:r>
          </w:p>
        </w:tc>
      </w:tr>
      <w:tr w:rsidR="00073701" w14:paraId="64ADAADE" w14:textId="77777777">
        <w:trPr>
          <w:trHeight w:val="340"/>
        </w:trPr>
        <w:tc>
          <w:tcPr>
            <w:tcW w:w="580" w:type="dxa"/>
            <w:shd w:val="clear" w:color="auto" w:fill="auto"/>
            <w:vAlign w:val="center"/>
          </w:tcPr>
          <w:p w14:paraId="5899736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509" w:type="dxa"/>
            <w:shd w:val="clear" w:color="auto" w:fill="FFFFFF"/>
            <w:vAlign w:val="center"/>
          </w:tcPr>
          <w:p w14:paraId="11ECF7F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Turlojiškė </w:t>
            </w:r>
          </w:p>
        </w:tc>
        <w:tc>
          <w:tcPr>
            <w:tcW w:w="1336" w:type="dxa"/>
            <w:shd w:val="clear" w:color="auto" w:fill="FFFFFF"/>
            <w:vAlign w:val="center"/>
          </w:tcPr>
          <w:p w14:paraId="4AF22F8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Wetland deposits</w:t>
            </w:r>
          </w:p>
        </w:tc>
        <w:tc>
          <w:tcPr>
            <w:tcW w:w="1454" w:type="dxa"/>
            <w:shd w:val="clear" w:color="auto" w:fill="FFFFFF"/>
            <w:vAlign w:val="center"/>
          </w:tcPr>
          <w:p w14:paraId="4817061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(II-3)</w:t>
            </w:r>
          </w:p>
        </w:tc>
        <w:tc>
          <w:tcPr>
            <w:tcW w:w="1019" w:type="dxa"/>
            <w:shd w:val="clear" w:color="auto" w:fill="auto"/>
            <w:vAlign w:val="center"/>
          </w:tcPr>
          <w:p w14:paraId="36529B3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857" w:type="dxa"/>
            <w:shd w:val="clear" w:color="auto" w:fill="auto"/>
            <w:vAlign w:val="center"/>
          </w:tcPr>
          <w:p w14:paraId="1A188F0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25-30 </w:t>
            </w:r>
          </w:p>
        </w:tc>
        <w:tc>
          <w:tcPr>
            <w:tcW w:w="1510" w:type="dxa"/>
            <w:vAlign w:val="center"/>
          </w:tcPr>
          <w:p w14:paraId="3B33CC6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(16)</w:t>
            </w:r>
          </w:p>
        </w:tc>
        <w:tc>
          <w:tcPr>
            <w:tcW w:w="1510" w:type="dxa"/>
            <w:shd w:val="clear" w:color="auto" w:fill="auto"/>
            <w:vAlign w:val="center"/>
          </w:tcPr>
          <w:p w14:paraId="4D360CA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Late Bronze Age</w:t>
            </w:r>
          </w:p>
        </w:tc>
        <w:tc>
          <w:tcPr>
            <w:tcW w:w="1304" w:type="dxa"/>
            <w:shd w:val="clear" w:color="auto" w:fill="auto"/>
            <w:vAlign w:val="center"/>
          </w:tcPr>
          <w:p w14:paraId="2D9005B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1015-797</w:t>
            </w:r>
          </w:p>
        </w:tc>
        <w:tc>
          <w:tcPr>
            <w:tcW w:w="2869" w:type="dxa"/>
            <w:shd w:val="clear" w:color="auto" w:fill="auto"/>
            <w:vAlign w:val="center"/>
          </w:tcPr>
          <w:p w14:paraId="0938D77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Mittnik et al. 2018</w:t>
            </w:r>
          </w:p>
        </w:tc>
      </w:tr>
      <w:tr w:rsidR="00073701" w14:paraId="1F3B21CA" w14:textId="77777777">
        <w:trPr>
          <w:trHeight w:val="340"/>
        </w:trPr>
        <w:tc>
          <w:tcPr>
            <w:tcW w:w="580" w:type="dxa"/>
            <w:shd w:val="clear" w:color="auto" w:fill="auto"/>
            <w:vAlign w:val="center"/>
          </w:tcPr>
          <w:p w14:paraId="7580F5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509" w:type="dxa"/>
            <w:shd w:val="clear" w:color="auto" w:fill="FFFFFF"/>
            <w:vAlign w:val="center"/>
          </w:tcPr>
          <w:p w14:paraId="6F67081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Turlojiškė </w:t>
            </w:r>
          </w:p>
        </w:tc>
        <w:tc>
          <w:tcPr>
            <w:tcW w:w="1336" w:type="dxa"/>
            <w:shd w:val="clear" w:color="auto" w:fill="FFFFFF"/>
            <w:vAlign w:val="center"/>
          </w:tcPr>
          <w:p w14:paraId="5EAE64B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Wetland deposits</w:t>
            </w:r>
          </w:p>
        </w:tc>
        <w:tc>
          <w:tcPr>
            <w:tcW w:w="1454" w:type="dxa"/>
            <w:shd w:val="clear" w:color="auto" w:fill="FFFFFF"/>
            <w:vAlign w:val="center"/>
          </w:tcPr>
          <w:p w14:paraId="635BE01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(96-III-2)</w:t>
            </w:r>
          </w:p>
        </w:tc>
        <w:tc>
          <w:tcPr>
            <w:tcW w:w="1019" w:type="dxa"/>
            <w:shd w:val="clear" w:color="auto" w:fill="auto"/>
            <w:vAlign w:val="center"/>
          </w:tcPr>
          <w:p w14:paraId="56B15B2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p>
        </w:tc>
        <w:tc>
          <w:tcPr>
            <w:tcW w:w="857" w:type="dxa"/>
            <w:shd w:val="clear" w:color="auto" w:fill="auto"/>
            <w:vAlign w:val="center"/>
          </w:tcPr>
          <w:p w14:paraId="6D02BDD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35-45</w:t>
            </w:r>
          </w:p>
        </w:tc>
        <w:tc>
          <w:tcPr>
            <w:tcW w:w="1510" w:type="dxa"/>
            <w:vAlign w:val="center"/>
          </w:tcPr>
          <w:p w14:paraId="1D3A80D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M2 (16)</w:t>
            </w:r>
          </w:p>
        </w:tc>
        <w:tc>
          <w:tcPr>
            <w:tcW w:w="1510" w:type="dxa"/>
            <w:shd w:val="clear" w:color="auto" w:fill="auto"/>
            <w:vAlign w:val="center"/>
          </w:tcPr>
          <w:p w14:paraId="686D320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Late Bronze Age</w:t>
            </w:r>
          </w:p>
        </w:tc>
        <w:tc>
          <w:tcPr>
            <w:tcW w:w="1304" w:type="dxa"/>
            <w:shd w:val="clear" w:color="auto" w:fill="auto"/>
            <w:vAlign w:val="center"/>
          </w:tcPr>
          <w:p w14:paraId="4025682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928-810</w:t>
            </w:r>
          </w:p>
        </w:tc>
        <w:tc>
          <w:tcPr>
            <w:tcW w:w="2869" w:type="dxa"/>
            <w:shd w:val="clear" w:color="auto" w:fill="auto"/>
            <w:vAlign w:val="center"/>
          </w:tcPr>
          <w:p w14:paraId="761859D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Piličiauskas et al. 2017a</w:t>
            </w:r>
          </w:p>
        </w:tc>
      </w:tr>
      <w:tr w:rsidR="00073701" w14:paraId="62B17A6F" w14:textId="77777777">
        <w:trPr>
          <w:trHeight w:val="340"/>
        </w:trPr>
        <w:tc>
          <w:tcPr>
            <w:tcW w:w="580" w:type="dxa"/>
            <w:shd w:val="clear" w:color="auto" w:fill="auto"/>
            <w:vAlign w:val="center"/>
          </w:tcPr>
          <w:p w14:paraId="3A8BFAF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509" w:type="dxa"/>
            <w:shd w:val="clear" w:color="auto" w:fill="FFFFFF"/>
            <w:vAlign w:val="center"/>
          </w:tcPr>
          <w:p w14:paraId="272741C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Turlojiškė</w:t>
            </w:r>
          </w:p>
        </w:tc>
        <w:tc>
          <w:tcPr>
            <w:tcW w:w="1336" w:type="dxa"/>
            <w:shd w:val="clear" w:color="auto" w:fill="FFFFFF"/>
            <w:vAlign w:val="center"/>
          </w:tcPr>
          <w:p w14:paraId="2814232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etland deposits</w:t>
            </w:r>
          </w:p>
        </w:tc>
        <w:tc>
          <w:tcPr>
            <w:tcW w:w="1454" w:type="dxa"/>
            <w:shd w:val="clear" w:color="auto" w:fill="FFFFFF"/>
            <w:vAlign w:val="center"/>
          </w:tcPr>
          <w:p w14:paraId="279636B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(98-II-10)</w:t>
            </w:r>
          </w:p>
        </w:tc>
        <w:tc>
          <w:tcPr>
            <w:tcW w:w="1019" w:type="dxa"/>
            <w:shd w:val="clear" w:color="auto" w:fill="auto"/>
            <w:vAlign w:val="center"/>
          </w:tcPr>
          <w:p w14:paraId="48BCC06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0C2DE75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510" w:type="dxa"/>
            <w:vAlign w:val="center"/>
          </w:tcPr>
          <w:p w14:paraId="580FD53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(46)</w:t>
            </w:r>
          </w:p>
        </w:tc>
        <w:tc>
          <w:tcPr>
            <w:tcW w:w="1510" w:type="dxa"/>
            <w:shd w:val="clear" w:color="auto" w:fill="auto"/>
            <w:vAlign w:val="center"/>
          </w:tcPr>
          <w:p w14:paraId="72742B3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Late Bronze Age</w:t>
            </w:r>
          </w:p>
        </w:tc>
        <w:tc>
          <w:tcPr>
            <w:tcW w:w="1304" w:type="dxa"/>
            <w:shd w:val="clear" w:color="auto" w:fill="auto"/>
            <w:vAlign w:val="center"/>
          </w:tcPr>
          <w:p w14:paraId="6DAB0E0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1001-825</w:t>
            </w:r>
          </w:p>
        </w:tc>
        <w:tc>
          <w:tcPr>
            <w:tcW w:w="2869" w:type="dxa"/>
            <w:shd w:val="clear" w:color="auto" w:fill="auto"/>
            <w:vAlign w:val="center"/>
          </w:tcPr>
          <w:p w14:paraId="5646518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r w:rsidR="00073701" w14:paraId="42D96780" w14:textId="77777777">
        <w:trPr>
          <w:trHeight w:val="340"/>
        </w:trPr>
        <w:tc>
          <w:tcPr>
            <w:tcW w:w="580" w:type="dxa"/>
            <w:shd w:val="clear" w:color="auto" w:fill="auto"/>
            <w:vAlign w:val="center"/>
          </w:tcPr>
          <w:p w14:paraId="4DB2D37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509" w:type="dxa"/>
            <w:shd w:val="clear" w:color="auto" w:fill="FFFFFF"/>
            <w:vAlign w:val="center"/>
          </w:tcPr>
          <w:p w14:paraId="606809B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Turlojiškė</w:t>
            </w:r>
          </w:p>
        </w:tc>
        <w:tc>
          <w:tcPr>
            <w:tcW w:w="1336" w:type="dxa"/>
            <w:shd w:val="clear" w:color="auto" w:fill="FFFFFF"/>
            <w:vAlign w:val="center"/>
          </w:tcPr>
          <w:p w14:paraId="124ACC1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etland deposits</w:t>
            </w:r>
          </w:p>
        </w:tc>
        <w:tc>
          <w:tcPr>
            <w:tcW w:w="1454" w:type="dxa"/>
            <w:shd w:val="clear" w:color="auto" w:fill="FFFFFF"/>
            <w:vAlign w:val="center"/>
          </w:tcPr>
          <w:p w14:paraId="5A8450D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(99-II-7)</w:t>
            </w:r>
          </w:p>
        </w:tc>
        <w:tc>
          <w:tcPr>
            <w:tcW w:w="1019" w:type="dxa"/>
            <w:shd w:val="clear" w:color="auto" w:fill="auto"/>
            <w:vAlign w:val="center"/>
          </w:tcPr>
          <w:p w14:paraId="211D403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Male</w:t>
            </w:r>
          </w:p>
        </w:tc>
        <w:tc>
          <w:tcPr>
            <w:tcW w:w="857" w:type="dxa"/>
            <w:shd w:val="clear" w:color="auto" w:fill="auto"/>
            <w:vAlign w:val="center"/>
          </w:tcPr>
          <w:p w14:paraId="7A34383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20-25</w:t>
            </w:r>
          </w:p>
        </w:tc>
        <w:tc>
          <w:tcPr>
            <w:tcW w:w="1510" w:type="dxa"/>
            <w:vAlign w:val="center"/>
          </w:tcPr>
          <w:p w14:paraId="405E955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M1 (16)</w:t>
            </w:r>
          </w:p>
        </w:tc>
        <w:tc>
          <w:tcPr>
            <w:tcW w:w="1510" w:type="dxa"/>
            <w:shd w:val="clear" w:color="auto" w:fill="auto"/>
            <w:vAlign w:val="center"/>
          </w:tcPr>
          <w:p w14:paraId="0793026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Late Bronze Age</w:t>
            </w:r>
          </w:p>
        </w:tc>
        <w:tc>
          <w:tcPr>
            <w:tcW w:w="1304" w:type="dxa"/>
            <w:shd w:val="clear" w:color="auto" w:fill="auto"/>
            <w:vAlign w:val="center"/>
          </w:tcPr>
          <w:p w14:paraId="2DCF987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916-806</w:t>
            </w:r>
          </w:p>
        </w:tc>
        <w:tc>
          <w:tcPr>
            <w:tcW w:w="2869" w:type="dxa"/>
            <w:shd w:val="clear" w:color="auto" w:fill="auto"/>
            <w:vAlign w:val="center"/>
          </w:tcPr>
          <w:p w14:paraId="1019A4F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Simčenka et al. in prep</w:t>
            </w:r>
          </w:p>
        </w:tc>
      </w:tr>
    </w:tbl>
    <w:p w14:paraId="29646AF3" w14:textId="77777777" w:rsidR="00073701" w:rsidRDefault="00C87DCB">
      <w:pPr>
        <w:spacing w:after="0" w:line="240" w:lineRule="auto"/>
        <w:rPr>
          <w:rFonts w:ascii="Times New Roman" w:eastAsia="Times New Roman" w:hAnsi="Times New Roman" w:cs="Times New Roman"/>
          <w:sz w:val="20"/>
          <w:szCs w:val="20"/>
        </w:rPr>
        <w:sectPr w:rsidR="00073701">
          <w:pgSz w:w="16838" w:h="11906" w:orient="landscape"/>
          <w:pgMar w:top="1440" w:right="1440" w:bottom="707" w:left="1440" w:header="708" w:footer="708" w:gutter="0"/>
          <w:pgNumType w:start="1"/>
          <w:cols w:space="720"/>
        </w:sectPr>
      </w:pPr>
      <w:r>
        <w:rPr>
          <w:rFonts w:ascii="Times New Roman" w:eastAsia="Times New Roman" w:hAnsi="Times New Roman" w:cs="Times New Roman"/>
          <w:i/>
          <w:sz w:val="20"/>
          <w:szCs w:val="20"/>
        </w:rPr>
        <w:t>Table 1. Human teeth studied</w:t>
      </w:r>
    </w:p>
    <w:p w14:paraId="0C67B0C4" w14:textId="77777777" w:rsidR="00073701" w:rsidRDefault="00073701">
      <w:pPr>
        <w:spacing w:after="0" w:line="240" w:lineRule="auto"/>
        <w:jc w:val="both"/>
        <w:rPr>
          <w:rFonts w:ascii="Times New Roman" w:eastAsia="Times New Roman" w:hAnsi="Times New Roman" w:cs="Times New Roman"/>
          <w:sz w:val="24"/>
          <w:szCs w:val="24"/>
        </w:rPr>
      </w:pPr>
    </w:p>
    <w:p w14:paraId="00F5036F"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F91769F" wp14:editId="5A807366">
            <wp:extent cx="6196965" cy="4679315"/>
            <wp:effectExtent l="0" t="0" r="0" b="0"/>
            <wp:docPr id="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196965" cy="4679315"/>
                    </a:xfrm>
                    <a:prstGeom prst="rect">
                      <a:avLst/>
                    </a:prstGeom>
                    <a:ln/>
                  </pic:spPr>
                </pic:pic>
              </a:graphicData>
            </a:graphic>
          </wp:inline>
        </w:drawing>
      </w:r>
    </w:p>
    <w:p w14:paraId="52915D97"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 1. Locations of human, animal and plant samples analysed in this study</w:t>
      </w:r>
    </w:p>
    <w:p w14:paraId="2DC04066" w14:textId="77777777" w:rsidR="00073701" w:rsidRDefault="00073701">
      <w:pPr>
        <w:spacing w:after="0" w:line="240" w:lineRule="auto"/>
        <w:jc w:val="both"/>
        <w:rPr>
          <w:rFonts w:ascii="Times New Roman" w:eastAsia="Times New Roman" w:hAnsi="Times New Roman" w:cs="Times New Roman"/>
          <w:sz w:val="24"/>
          <w:szCs w:val="24"/>
        </w:rPr>
      </w:pPr>
    </w:p>
    <w:p w14:paraId="4373667E"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II.2. Faunal remains</w:t>
      </w:r>
    </w:p>
    <w:p w14:paraId="3D2FB6A8"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day Lithuania is mainly covered by glacial deposits (</w:t>
      </w:r>
      <w:sdt>
        <w:sdtPr>
          <w:tag w:val="goog_rdk_0"/>
          <w:id w:val="-822576680"/>
          <w:showingPlcHdr/>
        </w:sdtPr>
        <w:sdtEndPr/>
        <w:sdtContent>
          <w:r>
            <w:t xml:space="preserve">     </w:t>
          </w:r>
        </w:sdtContent>
      </w:sdt>
      <w:sdt>
        <w:sdtPr>
          <w:tag w:val="goog_rdk_1"/>
          <w:id w:val="-1045363188"/>
        </w:sdtPr>
        <w:sdtEndPr/>
        <w:sdtContent>
          <w:r>
            <w:rPr>
              <w:rFonts w:ascii="Times New Roman" w:eastAsia="Times New Roman" w:hAnsi="Times New Roman" w:cs="Times New Roman"/>
              <w:sz w:val="24"/>
              <w:szCs w:val="24"/>
            </w:rPr>
            <w:t>SI2</w:t>
          </w:r>
        </w:sdtContent>
      </w:sdt>
      <w:r>
        <w:rPr>
          <w:rFonts w:ascii="Times New Roman" w:eastAsia="Times New Roman" w:hAnsi="Times New Roman" w:cs="Times New Roman"/>
          <w:sz w:val="24"/>
          <w:szCs w:val="24"/>
        </w:rPr>
        <w:t xml:space="preserve">). Since the variation of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in the bioavailable strontium, in the glacial deposits, was expected to be considerable and hard to predict, our strate</w:t>
      </w:r>
      <w:r>
        <w:rPr>
          <w:rFonts w:ascii="Times New Roman" w:eastAsia="Times New Roman" w:hAnsi="Times New Roman" w:cs="Times New Roman"/>
          <w:sz w:val="24"/>
          <w:szCs w:val="24"/>
        </w:rPr>
        <w:t xml:space="preserve">gy was to create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baselines for every area from which human remains were sampled. In order to reconstruct the archaeological strontium isotope baselines and to avoid Sr “pollution” in modern water and soil, we only used archaeological faunal remai</w:t>
      </w:r>
      <w:r>
        <w:rPr>
          <w:rFonts w:ascii="Times New Roman" w:eastAsia="Times New Roman" w:hAnsi="Times New Roman" w:cs="Times New Roman"/>
          <w:sz w:val="24"/>
          <w:szCs w:val="24"/>
        </w:rPr>
        <w:t xml:space="preserve">ns. Using fauna further enabled us to avoid extreme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which are likely to be present in plants (Bentley 2006). Firstly, we identified zooarchaeological remains from the same sites from where we had sampled human remains. If absent, we ident</w:t>
      </w:r>
      <w:r>
        <w:rPr>
          <w:rFonts w:ascii="Times New Roman" w:eastAsia="Times New Roman" w:hAnsi="Times New Roman" w:cs="Times New Roman"/>
          <w:sz w:val="24"/>
          <w:szCs w:val="24"/>
        </w:rPr>
        <w:t>ified animal bones from the nearest archaeological sites, most often situated up to 10 km from the human remains. We selected animals, especially small species with small home ranges, but this was not always possible. Therefore, many species of both wild a</w:t>
      </w:r>
      <w:r>
        <w:rPr>
          <w:rFonts w:ascii="Times New Roman" w:eastAsia="Times New Roman" w:hAnsi="Times New Roman" w:cs="Times New Roman"/>
          <w:sz w:val="24"/>
          <w:szCs w:val="24"/>
        </w:rPr>
        <w:t>nd domestic taxa were incorporated into our study (Table 2). The chronology of the sampled animal remains was very wide, from the Subneolithic (e.g. Daktariškė 5) to the early modern period (e.g. Varniai). We decided to include animals predating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entury AD for the reconstruction of the local strontium baseline, since local fertilisers were in use until World War II. The only modern animal remains analysed in this study were the teeth of four small rodents from Minaičiai village.</w:t>
      </w:r>
    </w:p>
    <w:p w14:paraId="6A7F1E6D" w14:textId="77777777" w:rsidR="00073701" w:rsidRDefault="00073701">
      <w:pPr>
        <w:spacing w:after="0" w:line="240" w:lineRule="auto"/>
        <w:jc w:val="both"/>
        <w:rPr>
          <w:rFonts w:ascii="Times New Roman" w:eastAsia="Times New Roman" w:hAnsi="Times New Roman" w:cs="Times New Roman"/>
          <w:sz w:val="24"/>
          <w:szCs w:val="24"/>
        </w:rPr>
      </w:pPr>
    </w:p>
    <w:tbl>
      <w:tblPr>
        <w:tblStyle w:val="a4"/>
        <w:tblW w:w="9607" w:type="dxa"/>
        <w:tblLayout w:type="fixed"/>
        <w:tblLook w:val="0400" w:firstRow="0" w:lastRow="0" w:firstColumn="0" w:lastColumn="0" w:noHBand="0" w:noVBand="1"/>
      </w:tblPr>
      <w:tblGrid>
        <w:gridCol w:w="930"/>
        <w:gridCol w:w="1700"/>
        <w:gridCol w:w="3985"/>
        <w:gridCol w:w="1931"/>
        <w:gridCol w:w="1061"/>
      </w:tblGrid>
      <w:tr w:rsidR="00073701" w14:paraId="631824AF" w14:textId="77777777">
        <w:trPr>
          <w:trHeight w:val="340"/>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F1BCF" w14:textId="77777777" w:rsidR="00073701" w:rsidRDefault="00C87DCB">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1700" w:type="dxa"/>
            <w:tcBorders>
              <w:top w:val="single" w:sz="4" w:space="0" w:color="000000"/>
              <w:left w:val="nil"/>
              <w:bottom w:val="single" w:sz="4" w:space="0" w:color="000000"/>
              <w:right w:val="single" w:sz="4" w:space="0" w:color="000000"/>
            </w:tcBorders>
            <w:shd w:val="clear" w:color="auto" w:fill="auto"/>
            <w:vAlign w:val="center"/>
          </w:tcPr>
          <w:p w14:paraId="239A905E" w14:textId="77777777" w:rsidR="00073701" w:rsidRDefault="00C87DC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p>
        </w:tc>
        <w:tc>
          <w:tcPr>
            <w:tcW w:w="3985" w:type="dxa"/>
            <w:tcBorders>
              <w:top w:val="single" w:sz="4" w:space="0" w:color="000000"/>
              <w:left w:val="nil"/>
              <w:bottom w:val="single" w:sz="4" w:space="0" w:color="000000"/>
              <w:right w:val="single" w:sz="4" w:space="0" w:color="000000"/>
            </w:tcBorders>
            <w:shd w:val="clear" w:color="auto" w:fill="auto"/>
            <w:vAlign w:val="center"/>
          </w:tcPr>
          <w:p w14:paraId="7BA13A84" w14:textId="77777777" w:rsidR="00073701" w:rsidRDefault="00C87DC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Species</w:t>
            </w:r>
          </w:p>
        </w:tc>
        <w:tc>
          <w:tcPr>
            <w:tcW w:w="1931" w:type="dxa"/>
            <w:tcBorders>
              <w:top w:val="single" w:sz="4" w:space="0" w:color="000000"/>
              <w:left w:val="nil"/>
              <w:bottom w:val="single" w:sz="4" w:space="0" w:color="000000"/>
              <w:right w:val="single" w:sz="4" w:space="0" w:color="000000"/>
            </w:tcBorders>
            <w:shd w:val="clear" w:color="auto" w:fill="auto"/>
            <w:vAlign w:val="center"/>
          </w:tcPr>
          <w:p w14:paraId="734EC805" w14:textId="77777777" w:rsidR="00073701" w:rsidRDefault="00C87DC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Dating</w:t>
            </w:r>
          </w:p>
        </w:tc>
        <w:tc>
          <w:tcPr>
            <w:tcW w:w="1061" w:type="dxa"/>
            <w:tcBorders>
              <w:top w:val="single" w:sz="4" w:space="0" w:color="000000"/>
              <w:left w:val="nil"/>
              <w:bottom w:val="single" w:sz="4" w:space="0" w:color="000000"/>
              <w:right w:val="single" w:sz="4" w:space="0" w:color="000000"/>
            </w:tcBorders>
            <w:shd w:val="clear" w:color="auto" w:fill="auto"/>
            <w:vAlign w:val="center"/>
          </w:tcPr>
          <w:p w14:paraId="305C6193" w14:textId="77777777" w:rsidR="00073701" w:rsidRDefault="00C87DCB">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87</w:t>
            </w:r>
            <w:r>
              <w:rPr>
                <w:rFonts w:ascii="Times New Roman" w:eastAsia="Times New Roman" w:hAnsi="Times New Roman" w:cs="Times New Roman"/>
                <w:b/>
                <w:sz w:val="20"/>
                <w:szCs w:val="20"/>
              </w:rPr>
              <w:t>Sr/</w:t>
            </w:r>
            <w:r>
              <w:rPr>
                <w:rFonts w:ascii="Times New Roman" w:eastAsia="Times New Roman" w:hAnsi="Times New Roman" w:cs="Times New Roman"/>
                <w:b/>
                <w:sz w:val="20"/>
                <w:szCs w:val="20"/>
                <w:vertAlign w:val="superscript"/>
              </w:rPr>
              <w:t>86</w:t>
            </w:r>
            <w:r>
              <w:rPr>
                <w:rFonts w:ascii="Times New Roman" w:eastAsia="Times New Roman" w:hAnsi="Times New Roman" w:cs="Times New Roman"/>
                <w:b/>
                <w:sz w:val="20"/>
                <w:szCs w:val="20"/>
              </w:rPr>
              <w:t>Sr</w:t>
            </w:r>
          </w:p>
        </w:tc>
      </w:tr>
      <w:tr w:rsidR="00073701" w14:paraId="68EEE99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0443713"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00" w:type="dxa"/>
            <w:tcBorders>
              <w:top w:val="nil"/>
              <w:left w:val="nil"/>
              <w:bottom w:val="single" w:sz="4" w:space="0" w:color="000000"/>
              <w:right w:val="single" w:sz="4" w:space="0" w:color="000000"/>
            </w:tcBorders>
            <w:shd w:val="clear" w:color="auto" w:fill="auto"/>
            <w:vAlign w:val="center"/>
          </w:tcPr>
          <w:p w14:paraId="4401A427"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Alytus</w:t>
            </w:r>
          </w:p>
        </w:tc>
        <w:tc>
          <w:tcPr>
            <w:tcW w:w="3985" w:type="dxa"/>
            <w:tcBorders>
              <w:top w:val="nil"/>
              <w:left w:val="nil"/>
              <w:bottom w:val="single" w:sz="4" w:space="0" w:color="000000"/>
              <w:right w:val="single" w:sz="4" w:space="0" w:color="000000"/>
            </w:tcBorders>
            <w:shd w:val="clear" w:color="auto" w:fill="auto"/>
            <w:vAlign w:val="center"/>
          </w:tcPr>
          <w:p w14:paraId="0E03344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BF84B0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6F63F65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0.712512</w:t>
            </w:r>
          </w:p>
        </w:tc>
      </w:tr>
      <w:tr w:rsidR="00073701" w14:paraId="02C8A9E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083E1F4"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w:t>
            </w:r>
          </w:p>
        </w:tc>
        <w:tc>
          <w:tcPr>
            <w:tcW w:w="1700" w:type="dxa"/>
            <w:tcBorders>
              <w:top w:val="nil"/>
              <w:left w:val="nil"/>
              <w:bottom w:val="single" w:sz="4" w:space="0" w:color="000000"/>
              <w:right w:val="single" w:sz="4" w:space="0" w:color="000000"/>
            </w:tcBorders>
            <w:shd w:val="clear" w:color="auto" w:fill="auto"/>
            <w:vAlign w:val="center"/>
          </w:tcPr>
          <w:p w14:paraId="4E802BE6"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Alytus</w:t>
            </w:r>
          </w:p>
        </w:tc>
        <w:tc>
          <w:tcPr>
            <w:tcW w:w="3985" w:type="dxa"/>
            <w:tcBorders>
              <w:top w:val="nil"/>
              <w:left w:val="nil"/>
              <w:bottom w:val="single" w:sz="4" w:space="0" w:color="000000"/>
              <w:right w:val="single" w:sz="4" w:space="0" w:color="000000"/>
            </w:tcBorders>
            <w:shd w:val="clear" w:color="auto" w:fill="auto"/>
            <w:vAlign w:val="center"/>
          </w:tcPr>
          <w:p w14:paraId="262103B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B98C2F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0E7D94F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0.713009</w:t>
            </w:r>
          </w:p>
        </w:tc>
      </w:tr>
      <w:tr w:rsidR="00073701" w14:paraId="100EEEE7"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72A415B"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00" w:type="dxa"/>
            <w:tcBorders>
              <w:top w:val="nil"/>
              <w:left w:val="nil"/>
              <w:bottom w:val="single" w:sz="4" w:space="0" w:color="000000"/>
              <w:right w:val="single" w:sz="4" w:space="0" w:color="000000"/>
            </w:tcBorders>
            <w:shd w:val="clear" w:color="auto" w:fill="auto"/>
            <w:vAlign w:val="center"/>
          </w:tcPr>
          <w:p w14:paraId="5B1A1C5F"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Alytus</w:t>
            </w:r>
          </w:p>
        </w:tc>
        <w:tc>
          <w:tcPr>
            <w:tcW w:w="3985" w:type="dxa"/>
            <w:tcBorders>
              <w:top w:val="nil"/>
              <w:left w:val="nil"/>
              <w:bottom w:val="single" w:sz="4" w:space="0" w:color="000000"/>
              <w:right w:val="single" w:sz="4" w:space="0" w:color="000000"/>
            </w:tcBorders>
            <w:shd w:val="clear" w:color="auto" w:fill="auto"/>
            <w:vAlign w:val="center"/>
          </w:tcPr>
          <w:p w14:paraId="13BF50F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oe dee</w:t>
            </w:r>
            <w:r>
              <w:rPr>
                <w:rFonts w:ascii="Times New Roman" w:eastAsia="Times New Roman" w:hAnsi="Times New Roman" w:cs="Times New Roman"/>
                <w:sz w:val="20"/>
                <w:szCs w:val="20"/>
              </w:rPr>
              <w:t>r (</w:t>
            </w:r>
            <w:r>
              <w:rPr>
                <w:rFonts w:ascii="Times New Roman" w:eastAsia="Times New Roman" w:hAnsi="Times New Roman" w:cs="Times New Roman"/>
                <w:i/>
                <w:sz w:val="20"/>
                <w:szCs w:val="20"/>
              </w:rPr>
              <w:t>Capreolus capreolus</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D91CF2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4DC4C03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0.714884</w:t>
            </w:r>
          </w:p>
        </w:tc>
      </w:tr>
      <w:tr w:rsidR="00073701" w14:paraId="59B4CB32"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7EFBD2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700" w:type="dxa"/>
            <w:tcBorders>
              <w:top w:val="nil"/>
              <w:left w:val="nil"/>
              <w:bottom w:val="single" w:sz="4" w:space="0" w:color="000000"/>
              <w:right w:val="single" w:sz="4" w:space="0" w:color="000000"/>
            </w:tcBorders>
            <w:shd w:val="clear" w:color="auto" w:fill="auto"/>
            <w:vAlign w:val="center"/>
          </w:tcPr>
          <w:p w14:paraId="3337711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70FA012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420B1CC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3F5C79A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0.716664</w:t>
            </w:r>
          </w:p>
        </w:tc>
      </w:tr>
      <w:tr w:rsidR="00073701" w14:paraId="0F2FBC69"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7E425D8"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700" w:type="dxa"/>
            <w:tcBorders>
              <w:top w:val="nil"/>
              <w:left w:val="nil"/>
              <w:bottom w:val="single" w:sz="4" w:space="0" w:color="000000"/>
              <w:right w:val="single" w:sz="4" w:space="0" w:color="000000"/>
            </w:tcBorders>
            <w:shd w:val="clear" w:color="auto" w:fill="auto"/>
            <w:vAlign w:val="center"/>
          </w:tcPr>
          <w:p w14:paraId="568C796D"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661B400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E737EC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6FD3109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0.715811</w:t>
            </w:r>
          </w:p>
        </w:tc>
      </w:tr>
      <w:tr w:rsidR="00073701" w14:paraId="07C78E51"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55BB5E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00" w:type="dxa"/>
            <w:tcBorders>
              <w:top w:val="nil"/>
              <w:left w:val="nil"/>
              <w:bottom w:val="single" w:sz="4" w:space="0" w:color="000000"/>
              <w:right w:val="single" w:sz="4" w:space="0" w:color="000000"/>
            </w:tcBorders>
            <w:shd w:val="clear" w:color="auto" w:fill="auto"/>
            <w:vAlign w:val="center"/>
          </w:tcPr>
          <w:p w14:paraId="1A5F1E4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4E18D00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28F14E4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4C55847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0.715327</w:t>
            </w:r>
          </w:p>
        </w:tc>
      </w:tr>
      <w:tr w:rsidR="00073701" w14:paraId="05B6AA39"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DAB7F0A"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700" w:type="dxa"/>
            <w:tcBorders>
              <w:top w:val="nil"/>
              <w:left w:val="nil"/>
              <w:bottom w:val="single" w:sz="4" w:space="0" w:color="000000"/>
              <w:right w:val="single" w:sz="4" w:space="0" w:color="000000"/>
            </w:tcBorders>
            <w:shd w:val="clear" w:color="auto" w:fill="auto"/>
            <w:vAlign w:val="center"/>
          </w:tcPr>
          <w:p w14:paraId="07354C4C"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22BCB2C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C23A52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3E84BF9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0.713332</w:t>
            </w:r>
          </w:p>
        </w:tc>
      </w:tr>
      <w:tr w:rsidR="00073701" w14:paraId="0799A48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BAD002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700" w:type="dxa"/>
            <w:tcBorders>
              <w:top w:val="nil"/>
              <w:left w:val="nil"/>
              <w:bottom w:val="single" w:sz="4" w:space="0" w:color="000000"/>
              <w:right w:val="single" w:sz="4" w:space="0" w:color="000000"/>
            </w:tcBorders>
            <w:shd w:val="clear" w:color="auto" w:fill="auto"/>
            <w:vAlign w:val="center"/>
          </w:tcPr>
          <w:p w14:paraId="46ECDCBF"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07DD64C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Ovis aries</w:t>
            </w:r>
            <w:r>
              <w:rPr>
                <w:rFonts w:ascii="Times New Roman" w:eastAsia="Times New Roman" w:hAnsi="Times New Roman" w:cs="Times New Roman"/>
                <w:color w:val="000000"/>
                <w:sz w:val="20"/>
                <w:szCs w:val="20"/>
              </w:rPr>
              <w:t xml:space="preserve"> 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36FF48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09045E1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0.715223</w:t>
            </w:r>
          </w:p>
        </w:tc>
      </w:tr>
      <w:tr w:rsidR="00073701" w14:paraId="512A673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C493CD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700" w:type="dxa"/>
            <w:tcBorders>
              <w:top w:val="nil"/>
              <w:left w:val="nil"/>
              <w:bottom w:val="single" w:sz="4" w:space="0" w:color="000000"/>
              <w:right w:val="single" w:sz="4" w:space="0" w:color="000000"/>
            </w:tcBorders>
            <w:shd w:val="clear" w:color="auto" w:fill="auto"/>
            <w:vAlign w:val="center"/>
          </w:tcPr>
          <w:p w14:paraId="10AFB24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3F5689F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75F8539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52ACFB1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0.714752</w:t>
            </w:r>
          </w:p>
        </w:tc>
      </w:tr>
      <w:tr w:rsidR="00073701" w14:paraId="7BD3EA72"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2C6A77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700" w:type="dxa"/>
            <w:tcBorders>
              <w:top w:val="nil"/>
              <w:left w:val="nil"/>
              <w:bottom w:val="single" w:sz="4" w:space="0" w:color="000000"/>
              <w:right w:val="single" w:sz="4" w:space="0" w:color="000000"/>
            </w:tcBorders>
            <w:shd w:val="clear" w:color="auto" w:fill="auto"/>
            <w:vAlign w:val="center"/>
          </w:tcPr>
          <w:p w14:paraId="7A1324B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4B74924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Ovis aries</w:t>
            </w:r>
            <w:r>
              <w:rPr>
                <w:rFonts w:ascii="Times New Roman" w:eastAsia="Times New Roman" w:hAnsi="Times New Roman" w:cs="Times New Roman"/>
                <w:color w:val="000000"/>
                <w:sz w:val="20"/>
                <w:szCs w:val="20"/>
              </w:rPr>
              <w:t xml:space="preserve"> 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21D0D0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3F88BD5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0.715311</w:t>
            </w:r>
          </w:p>
        </w:tc>
      </w:tr>
      <w:tr w:rsidR="00073701" w14:paraId="4FAC9171"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BD61AB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700" w:type="dxa"/>
            <w:tcBorders>
              <w:top w:val="nil"/>
              <w:left w:val="nil"/>
              <w:bottom w:val="single" w:sz="4" w:space="0" w:color="000000"/>
              <w:right w:val="single" w:sz="4" w:space="0" w:color="000000"/>
            </w:tcBorders>
            <w:shd w:val="clear" w:color="auto" w:fill="auto"/>
            <w:vAlign w:val="center"/>
          </w:tcPr>
          <w:p w14:paraId="2FCAB4C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0E85B37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A41FA0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1020A6D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0.712829</w:t>
            </w:r>
          </w:p>
        </w:tc>
      </w:tr>
      <w:tr w:rsidR="00073701" w14:paraId="770B5D31"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A547D0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700" w:type="dxa"/>
            <w:tcBorders>
              <w:top w:val="nil"/>
              <w:left w:val="nil"/>
              <w:bottom w:val="single" w:sz="4" w:space="0" w:color="000000"/>
              <w:right w:val="single" w:sz="4" w:space="0" w:color="000000"/>
            </w:tcBorders>
            <w:shd w:val="clear" w:color="auto" w:fill="auto"/>
            <w:vAlign w:val="center"/>
          </w:tcPr>
          <w:p w14:paraId="064C913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Biržai</w:t>
            </w:r>
          </w:p>
        </w:tc>
        <w:tc>
          <w:tcPr>
            <w:tcW w:w="3985" w:type="dxa"/>
            <w:tcBorders>
              <w:top w:val="nil"/>
              <w:left w:val="nil"/>
              <w:bottom w:val="single" w:sz="4" w:space="0" w:color="000000"/>
              <w:right w:val="single" w:sz="4" w:space="0" w:color="000000"/>
            </w:tcBorders>
            <w:shd w:val="clear" w:color="auto" w:fill="auto"/>
            <w:vAlign w:val="center"/>
          </w:tcPr>
          <w:p w14:paraId="426BBC8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A2B6C5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2EE735E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0.712579</w:t>
            </w:r>
          </w:p>
        </w:tc>
      </w:tr>
      <w:tr w:rsidR="00073701" w14:paraId="61D5565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A031A30"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700" w:type="dxa"/>
            <w:tcBorders>
              <w:top w:val="nil"/>
              <w:left w:val="nil"/>
              <w:bottom w:val="single" w:sz="4" w:space="0" w:color="000000"/>
              <w:right w:val="single" w:sz="4" w:space="0" w:color="000000"/>
            </w:tcBorders>
            <w:shd w:val="clear" w:color="auto" w:fill="auto"/>
            <w:vAlign w:val="center"/>
          </w:tcPr>
          <w:p w14:paraId="341060CE"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3985" w:type="dxa"/>
            <w:tcBorders>
              <w:top w:val="nil"/>
              <w:left w:val="nil"/>
              <w:bottom w:val="single" w:sz="4" w:space="0" w:color="000000"/>
              <w:right w:val="single" w:sz="4" w:space="0" w:color="000000"/>
            </w:tcBorders>
            <w:shd w:val="clear" w:color="auto" w:fill="auto"/>
            <w:vAlign w:val="center"/>
          </w:tcPr>
          <w:p w14:paraId="735E8F9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0DB8262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Subneolithic-EBA</w:t>
            </w:r>
          </w:p>
        </w:tc>
        <w:tc>
          <w:tcPr>
            <w:tcW w:w="1061" w:type="dxa"/>
            <w:tcBorders>
              <w:top w:val="nil"/>
              <w:left w:val="nil"/>
              <w:bottom w:val="single" w:sz="4" w:space="0" w:color="000000"/>
              <w:right w:val="single" w:sz="4" w:space="0" w:color="000000"/>
            </w:tcBorders>
            <w:shd w:val="clear" w:color="auto" w:fill="auto"/>
            <w:vAlign w:val="center"/>
          </w:tcPr>
          <w:p w14:paraId="6C9D190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0.714841</w:t>
            </w:r>
          </w:p>
        </w:tc>
      </w:tr>
      <w:tr w:rsidR="00073701" w14:paraId="1C50A08D"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05D2D2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700" w:type="dxa"/>
            <w:tcBorders>
              <w:top w:val="nil"/>
              <w:left w:val="nil"/>
              <w:bottom w:val="single" w:sz="4" w:space="0" w:color="000000"/>
              <w:right w:val="single" w:sz="4" w:space="0" w:color="000000"/>
            </w:tcBorders>
            <w:shd w:val="clear" w:color="auto" w:fill="auto"/>
            <w:vAlign w:val="center"/>
          </w:tcPr>
          <w:p w14:paraId="219B09B1"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3985" w:type="dxa"/>
            <w:tcBorders>
              <w:top w:val="nil"/>
              <w:left w:val="nil"/>
              <w:bottom w:val="single" w:sz="4" w:space="0" w:color="000000"/>
              <w:right w:val="single" w:sz="4" w:space="0" w:color="000000"/>
            </w:tcBorders>
            <w:shd w:val="clear" w:color="auto" w:fill="auto"/>
            <w:vAlign w:val="center"/>
          </w:tcPr>
          <w:p w14:paraId="53CF85D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color w:val="000000"/>
                <w:sz w:val="20"/>
                <w:szCs w:val="20"/>
              </w:rPr>
              <w:t>oat (</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B4D9DC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w:t>
            </w:r>
          </w:p>
        </w:tc>
        <w:tc>
          <w:tcPr>
            <w:tcW w:w="1061" w:type="dxa"/>
            <w:tcBorders>
              <w:top w:val="nil"/>
              <w:left w:val="nil"/>
              <w:bottom w:val="single" w:sz="4" w:space="0" w:color="000000"/>
              <w:right w:val="single" w:sz="4" w:space="0" w:color="000000"/>
            </w:tcBorders>
            <w:shd w:val="clear" w:color="auto" w:fill="auto"/>
            <w:vAlign w:val="center"/>
          </w:tcPr>
          <w:p w14:paraId="4BABE3D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0.714250</w:t>
            </w:r>
          </w:p>
        </w:tc>
      </w:tr>
      <w:tr w:rsidR="00073701" w14:paraId="4F37788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C2BF4D9"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700" w:type="dxa"/>
            <w:tcBorders>
              <w:top w:val="nil"/>
              <w:left w:val="nil"/>
              <w:bottom w:val="single" w:sz="4" w:space="0" w:color="000000"/>
              <w:right w:val="single" w:sz="4" w:space="0" w:color="000000"/>
            </w:tcBorders>
            <w:shd w:val="clear" w:color="auto" w:fill="auto"/>
            <w:vAlign w:val="center"/>
          </w:tcPr>
          <w:p w14:paraId="1D5D0871"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3985" w:type="dxa"/>
            <w:tcBorders>
              <w:top w:val="nil"/>
              <w:left w:val="nil"/>
              <w:bottom w:val="single" w:sz="4" w:space="0" w:color="000000"/>
              <w:right w:val="single" w:sz="4" w:space="0" w:color="000000"/>
            </w:tcBorders>
            <w:shd w:val="clear" w:color="auto" w:fill="auto"/>
            <w:vAlign w:val="center"/>
          </w:tcPr>
          <w:p w14:paraId="1519A83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Ovis aries</w:t>
            </w:r>
            <w:r>
              <w:rPr>
                <w:rFonts w:ascii="Times New Roman" w:eastAsia="Times New Roman" w:hAnsi="Times New Roman" w:cs="Times New Roman"/>
                <w:color w:val="000000"/>
                <w:sz w:val="20"/>
                <w:szCs w:val="20"/>
              </w:rPr>
              <w:t xml:space="preserve"> 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14567B8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w:t>
            </w:r>
          </w:p>
        </w:tc>
        <w:tc>
          <w:tcPr>
            <w:tcW w:w="1061" w:type="dxa"/>
            <w:tcBorders>
              <w:top w:val="nil"/>
              <w:left w:val="nil"/>
              <w:bottom w:val="single" w:sz="4" w:space="0" w:color="000000"/>
              <w:right w:val="single" w:sz="4" w:space="0" w:color="000000"/>
            </w:tcBorders>
            <w:shd w:val="clear" w:color="auto" w:fill="auto"/>
            <w:vAlign w:val="center"/>
          </w:tcPr>
          <w:p w14:paraId="54CCC89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0.713485</w:t>
            </w:r>
          </w:p>
        </w:tc>
      </w:tr>
      <w:tr w:rsidR="00073701" w14:paraId="05E46CE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E17DE0A"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700" w:type="dxa"/>
            <w:tcBorders>
              <w:top w:val="nil"/>
              <w:left w:val="nil"/>
              <w:bottom w:val="single" w:sz="4" w:space="0" w:color="000000"/>
              <w:right w:val="single" w:sz="4" w:space="0" w:color="000000"/>
            </w:tcBorders>
            <w:shd w:val="clear" w:color="auto" w:fill="auto"/>
            <w:vAlign w:val="center"/>
          </w:tcPr>
          <w:p w14:paraId="14ADD6F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3985" w:type="dxa"/>
            <w:tcBorders>
              <w:top w:val="nil"/>
              <w:left w:val="nil"/>
              <w:bottom w:val="single" w:sz="4" w:space="0" w:color="000000"/>
              <w:right w:val="single" w:sz="4" w:space="0" w:color="000000"/>
            </w:tcBorders>
            <w:shd w:val="clear" w:color="auto" w:fill="auto"/>
            <w:vAlign w:val="center"/>
          </w:tcPr>
          <w:p w14:paraId="6C1B7C9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7587B10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Subneolithic-EBA</w:t>
            </w:r>
          </w:p>
        </w:tc>
        <w:tc>
          <w:tcPr>
            <w:tcW w:w="1061" w:type="dxa"/>
            <w:tcBorders>
              <w:top w:val="nil"/>
              <w:left w:val="nil"/>
              <w:bottom w:val="single" w:sz="4" w:space="0" w:color="000000"/>
              <w:right w:val="single" w:sz="4" w:space="0" w:color="000000"/>
            </w:tcBorders>
            <w:shd w:val="clear" w:color="auto" w:fill="auto"/>
            <w:vAlign w:val="center"/>
          </w:tcPr>
          <w:p w14:paraId="719F434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0.713292</w:t>
            </w:r>
          </w:p>
        </w:tc>
      </w:tr>
      <w:tr w:rsidR="00073701" w14:paraId="1C50D93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733CF9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700" w:type="dxa"/>
            <w:tcBorders>
              <w:top w:val="nil"/>
              <w:left w:val="nil"/>
              <w:bottom w:val="single" w:sz="4" w:space="0" w:color="000000"/>
              <w:right w:val="single" w:sz="4" w:space="0" w:color="000000"/>
            </w:tcBorders>
            <w:shd w:val="clear" w:color="auto" w:fill="auto"/>
            <w:vAlign w:val="center"/>
          </w:tcPr>
          <w:p w14:paraId="09AF814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Daktariškė 5</w:t>
            </w:r>
          </w:p>
        </w:tc>
        <w:tc>
          <w:tcPr>
            <w:tcW w:w="3985" w:type="dxa"/>
            <w:tcBorders>
              <w:top w:val="nil"/>
              <w:left w:val="nil"/>
              <w:bottom w:val="single" w:sz="4" w:space="0" w:color="000000"/>
              <w:right w:val="single" w:sz="4" w:space="0" w:color="000000"/>
            </w:tcBorders>
            <w:shd w:val="clear" w:color="auto" w:fill="auto"/>
            <w:vAlign w:val="center"/>
          </w:tcPr>
          <w:p w14:paraId="2CFEC40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ed deer (</w:t>
            </w:r>
            <w:r>
              <w:rPr>
                <w:rFonts w:ascii="Times New Roman" w:eastAsia="Times New Roman" w:hAnsi="Times New Roman" w:cs="Times New Roman"/>
                <w:i/>
                <w:color w:val="000000"/>
                <w:sz w:val="20"/>
                <w:szCs w:val="20"/>
              </w:rPr>
              <w:t>Cervus elaphus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44B30E7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Subneolithic-EBA</w:t>
            </w:r>
          </w:p>
        </w:tc>
        <w:tc>
          <w:tcPr>
            <w:tcW w:w="1061" w:type="dxa"/>
            <w:tcBorders>
              <w:top w:val="nil"/>
              <w:left w:val="nil"/>
              <w:bottom w:val="single" w:sz="4" w:space="0" w:color="000000"/>
              <w:right w:val="single" w:sz="4" w:space="0" w:color="000000"/>
            </w:tcBorders>
            <w:shd w:val="clear" w:color="auto" w:fill="auto"/>
            <w:vAlign w:val="center"/>
          </w:tcPr>
          <w:p w14:paraId="243EE7D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0.714950</w:t>
            </w:r>
          </w:p>
        </w:tc>
      </w:tr>
      <w:tr w:rsidR="00073701" w14:paraId="2950523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4A97F4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700" w:type="dxa"/>
            <w:tcBorders>
              <w:top w:val="nil"/>
              <w:left w:val="nil"/>
              <w:bottom w:val="single" w:sz="4" w:space="0" w:color="000000"/>
              <w:right w:val="single" w:sz="4" w:space="0" w:color="000000"/>
            </w:tcBorders>
            <w:shd w:val="clear" w:color="auto" w:fill="auto"/>
            <w:vAlign w:val="center"/>
          </w:tcPr>
          <w:p w14:paraId="55848309"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Daučioniai</w:t>
            </w:r>
          </w:p>
        </w:tc>
        <w:tc>
          <w:tcPr>
            <w:tcW w:w="3985" w:type="dxa"/>
            <w:tcBorders>
              <w:top w:val="nil"/>
              <w:left w:val="nil"/>
              <w:bottom w:val="single" w:sz="4" w:space="0" w:color="000000"/>
              <w:right w:val="single" w:sz="4" w:space="0" w:color="000000"/>
            </w:tcBorders>
            <w:shd w:val="clear" w:color="auto" w:fill="auto"/>
            <w:vAlign w:val="center"/>
          </w:tcPr>
          <w:p w14:paraId="57A3CB9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arten (</w:t>
            </w:r>
            <w:r>
              <w:rPr>
                <w:rFonts w:ascii="Times New Roman" w:eastAsia="Times New Roman" w:hAnsi="Times New Roman" w:cs="Times New Roman"/>
                <w:i/>
                <w:color w:val="000000"/>
                <w:sz w:val="20"/>
                <w:szCs w:val="20"/>
              </w:rPr>
              <w:t>Martes martes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41C6E34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06092EA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0.714397</w:t>
            </w:r>
          </w:p>
        </w:tc>
      </w:tr>
      <w:tr w:rsidR="00073701" w14:paraId="74BF07BE"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96E66F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700" w:type="dxa"/>
            <w:tcBorders>
              <w:top w:val="nil"/>
              <w:left w:val="nil"/>
              <w:bottom w:val="single" w:sz="4" w:space="0" w:color="000000"/>
              <w:right w:val="single" w:sz="4" w:space="0" w:color="000000"/>
            </w:tcBorders>
            <w:shd w:val="clear" w:color="auto" w:fill="auto"/>
            <w:vAlign w:val="center"/>
          </w:tcPr>
          <w:p w14:paraId="6B6FDB0E"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Daučioniai</w:t>
            </w:r>
          </w:p>
        </w:tc>
        <w:tc>
          <w:tcPr>
            <w:tcW w:w="3985" w:type="dxa"/>
            <w:tcBorders>
              <w:top w:val="nil"/>
              <w:left w:val="nil"/>
              <w:bottom w:val="single" w:sz="4" w:space="0" w:color="000000"/>
              <w:right w:val="single" w:sz="4" w:space="0" w:color="000000"/>
            </w:tcBorders>
            <w:shd w:val="clear" w:color="auto" w:fill="auto"/>
            <w:vAlign w:val="center"/>
          </w:tcPr>
          <w:p w14:paraId="3D33881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7CF7E83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4D9553D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0.715258</w:t>
            </w:r>
          </w:p>
        </w:tc>
      </w:tr>
      <w:tr w:rsidR="00073701" w14:paraId="135E90EC"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F9908A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700" w:type="dxa"/>
            <w:tcBorders>
              <w:top w:val="nil"/>
              <w:left w:val="nil"/>
              <w:bottom w:val="single" w:sz="4" w:space="0" w:color="000000"/>
              <w:right w:val="single" w:sz="4" w:space="0" w:color="000000"/>
            </w:tcBorders>
            <w:shd w:val="clear" w:color="auto" w:fill="auto"/>
            <w:vAlign w:val="center"/>
          </w:tcPr>
          <w:p w14:paraId="0CED8F4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Juodonys</w:t>
            </w:r>
          </w:p>
        </w:tc>
        <w:tc>
          <w:tcPr>
            <w:tcW w:w="3985" w:type="dxa"/>
            <w:tcBorders>
              <w:top w:val="nil"/>
              <w:left w:val="nil"/>
              <w:bottom w:val="single" w:sz="4" w:space="0" w:color="000000"/>
              <w:right w:val="single" w:sz="4" w:space="0" w:color="000000"/>
            </w:tcBorders>
            <w:shd w:val="clear" w:color="auto" w:fill="auto"/>
            <w:vAlign w:val="center"/>
          </w:tcPr>
          <w:p w14:paraId="109DD7B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1268F07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LBA-Iron Age</w:t>
            </w:r>
          </w:p>
        </w:tc>
        <w:tc>
          <w:tcPr>
            <w:tcW w:w="1061" w:type="dxa"/>
            <w:tcBorders>
              <w:top w:val="nil"/>
              <w:left w:val="nil"/>
              <w:bottom w:val="single" w:sz="4" w:space="0" w:color="000000"/>
              <w:right w:val="single" w:sz="4" w:space="0" w:color="000000"/>
            </w:tcBorders>
            <w:shd w:val="clear" w:color="auto" w:fill="auto"/>
            <w:vAlign w:val="center"/>
          </w:tcPr>
          <w:p w14:paraId="5EDE5B3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0.715664</w:t>
            </w:r>
          </w:p>
        </w:tc>
      </w:tr>
      <w:tr w:rsidR="00073701" w14:paraId="5D704D9D"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DEA60D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700" w:type="dxa"/>
            <w:tcBorders>
              <w:top w:val="nil"/>
              <w:left w:val="nil"/>
              <w:bottom w:val="single" w:sz="4" w:space="0" w:color="000000"/>
              <w:right w:val="single" w:sz="4" w:space="0" w:color="000000"/>
            </w:tcBorders>
            <w:shd w:val="clear" w:color="auto" w:fill="auto"/>
            <w:vAlign w:val="center"/>
          </w:tcPr>
          <w:p w14:paraId="1391C6F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Juodonys</w:t>
            </w:r>
          </w:p>
        </w:tc>
        <w:tc>
          <w:tcPr>
            <w:tcW w:w="3985" w:type="dxa"/>
            <w:tcBorders>
              <w:top w:val="nil"/>
              <w:left w:val="nil"/>
              <w:bottom w:val="single" w:sz="4" w:space="0" w:color="000000"/>
              <w:right w:val="single" w:sz="4" w:space="0" w:color="000000"/>
            </w:tcBorders>
            <w:shd w:val="clear" w:color="auto" w:fill="auto"/>
            <w:vAlign w:val="center"/>
          </w:tcPr>
          <w:p w14:paraId="5A89ACD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6EB7C0A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LBA-Iron Age</w:t>
            </w:r>
          </w:p>
        </w:tc>
        <w:tc>
          <w:tcPr>
            <w:tcW w:w="1061" w:type="dxa"/>
            <w:tcBorders>
              <w:top w:val="nil"/>
              <w:left w:val="nil"/>
              <w:bottom w:val="single" w:sz="4" w:space="0" w:color="000000"/>
              <w:right w:val="single" w:sz="4" w:space="0" w:color="000000"/>
            </w:tcBorders>
            <w:shd w:val="clear" w:color="auto" w:fill="auto"/>
            <w:vAlign w:val="center"/>
          </w:tcPr>
          <w:p w14:paraId="1A6630F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0.715380</w:t>
            </w:r>
          </w:p>
        </w:tc>
      </w:tr>
      <w:tr w:rsidR="00073701" w14:paraId="22E30BC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85E657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700" w:type="dxa"/>
            <w:tcBorders>
              <w:top w:val="nil"/>
              <w:left w:val="nil"/>
              <w:bottom w:val="single" w:sz="4" w:space="0" w:color="000000"/>
              <w:right w:val="single" w:sz="4" w:space="0" w:color="000000"/>
            </w:tcBorders>
            <w:shd w:val="clear" w:color="auto" w:fill="auto"/>
            <w:vAlign w:val="center"/>
          </w:tcPr>
          <w:p w14:paraId="18684401"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Kėdainiai</w:t>
            </w:r>
          </w:p>
        </w:tc>
        <w:tc>
          <w:tcPr>
            <w:tcW w:w="3985" w:type="dxa"/>
            <w:tcBorders>
              <w:top w:val="nil"/>
              <w:left w:val="nil"/>
              <w:bottom w:val="single" w:sz="4" w:space="0" w:color="000000"/>
              <w:right w:val="single" w:sz="4" w:space="0" w:color="000000"/>
            </w:tcBorders>
            <w:shd w:val="clear" w:color="auto" w:fill="auto"/>
            <w:vAlign w:val="center"/>
          </w:tcPr>
          <w:p w14:paraId="73059AC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9108C6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1061" w:type="dxa"/>
            <w:tcBorders>
              <w:top w:val="nil"/>
              <w:left w:val="nil"/>
              <w:bottom w:val="single" w:sz="4" w:space="0" w:color="000000"/>
              <w:right w:val="single" w:sz="4" w:space="0" w:color="000000"/>
            </w:tcBorders>
            <w:shd w:val="clear" w:color="auto" w:fill="auto"/>
            <w:vAlign w:val="center"/>
          </w:tcPr>
          <w:p w14:paraId="4AE734D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0.712175</w:t>
            </w:r>
          </w:p>
        </w:tc>
      </w:tr>
      <w:tr w:rsidR="00073701" w14:paraId="032219D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B4690F3"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1700" w:type="dxa"/>
            <w:tcBorders>
              <w:top w:val="nil"/>
              <w:left w:val="nil"/>
              <w:bottom w:val="single" w:sz="4" w:space="0" w:color="000000"/>
              <w:right w:val="single" w:sz="4" w:space="0" w:color="000000"/>
            </w:tcBorders>
            <w:shd w:val="clear" w:color="auto" w:fill="auto"/>
            <w:vAlign w:val="center"/>
          </w:tcPr>
          <w:p w14:paraId="5D33B01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Kėdainiai</w:t>
            </w:r>
          </w:p>
        </w:tc>
        <w:tc>
          <w:tcPr>
            <w:tcW w:w="3985" w:type="dxa"/>
            <w:tcBorders>
              <w:top w:val="nil"/>
              <w:left w:val="nil"/>
              <w:bottom w:val="single" w:sz="4" w:space="0" w:color="000000"/>
              <w:right w:val="single" w:sz="4" w:space="0" w:color="000000"/>
            </w:tcBorders>
            <w:shd w:val="clear" w:color="auto" w:fill="auto"/>
            <w:vAlign w:val="center"/>
          </w:tcPr>
          <w:p w14:paraId="22F6445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attle (</w:t>
            </w:r>
            <w:r>
              <w:rPr>
                <w:rFonts w:ascii="Times New Roman" w:eastAsia="Times New Roman" w:hAnsi="Times New Roman" w:cs="Times New Roman"/>
                <w:i/>
                <w:color w:val="000000"/>
                <w:sz w:val="20"/>
                <w:szCs w:val="20"/>
              </w:rPr>
              <w:t xml:space="preserve">Bos taurus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5CA847A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1061" w:type="dxa"/>
            <w:tcBorders>
              <w:top w:val="nil"/>
              <w:left w:val="nil"/>
              <w:bottom w:val="single" w:sz="4" w:space="0" w:color="000000"/>
              <w:right w:val="single" w:sz="4" w:space="0" w:color="000000"/>
            </w:tcBorders>
            <w:shd w:val="clear" w:color="auto" w:fill="auto"/>
            <w:vAlign w:val="center"/>
          </w:tcPr>
          <w:p w14:paraId="3ED16BD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0.715965</w:t>
            </w:r>
          </w:p>
        </w:tc>
      </w:tr>
      <w:tr w:rsidR="00073701" w14:paraId="028862A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E4598E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1700" w:type="dxa"/>
            <w:tcBorders>
              <w:top w:val="nil"/>
              <w:left w:val="nil"/>
              <w:bottom w:val="single" w:sz="4" w:space="0" w:color="000000"/>
              <w:right w:val="single" w:sz="4" w:space="0" w:color="000000"/>
            </w:tcBorders>
            <w:shd w:val="clear" w:color="auto" w:fill="auto"/>
            <w:vAlign w:val="center"/>
          </w:tcPr>
          <w:p w14:paraId="5F06D8C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24B7A13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mall rodent </w:t>
            </w:r>
          </w:p>
        </w:tc>
        <w:tc>
          <w:tcPr>
            <w:tcW w:w="1931" w:type="dxa"/>
            <w:tcBorders>
              <w:top w:val="nil"/>
              <w:left w:val="nil"/>
              <w:bottom w:val="single" w:sz="4" w:space="0" w:color="000000"/>
              <w:right w:val="single" w:sz="4" w:space="0" w:color="000000"/>
            </w:tcBorders>
            <w:shd w:val="clear" w:color="auto" w:fill="auto"/>
            <w:vAlign w:val="center"/>
          </w:tcPr>
          <w:p w14:paraId="33AF862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6FBB611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0.714902</w:t>
            </w:r>
          </w:p>
        </w:tc>
      </w:tr>
      <w:tr w:rsidR="00073701" w14:paraId="16DBAFE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53E976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700" w:type="dxa"/>
            <w:tcBorders>
              <w:top w:val="nil"/>
              <w:left w:val="nil"/>
              <w:bottom w:val="single" w:sz="4" w:space="0" w:color="000000"/>
              <w:right w:val="single" w:sz="4" w:space="0" w:color="000000"/>
            </w:tcBorders>
            <w:shd w:val="clear" w:color="auto" w:fill="auto"/>
            <w:vAlign w:val="center"/>
          </w:tcPr>
          <w:p w14:paraId="0D42733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494A724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color w:val="000000"/>
                <w:sz w:val="20"/>
                <w:szCs w:val="20"/>
              </w:rPr>
              <w:t>are (</w:t>
            </w:r>
            <w:r>
              <w:rPr>
                <w:rFonts w:ascii="Times New Roman" w:eastAsia="Times New Roman" w:hAnsi="Times New Roman" w:cs="Times New Roman"/>
                <w:i/>
                <w:color w:val="000000"/>
                <w:sz w:val="20"/>
                <w:szCs w:val="20"/>
              </w:rPr>
              <w:t>Lepus timidus</w:t>
            </w:r>
            <w:r>
              <w:rPr>
                <w:rFonts w:ascii="Times New Roman" w:eastAsia="Times New Roman" w:hAnsi="Times New Roman" w:cs="Times New Roman"/>
                <w:color w:val="000000"/>
                <w:sz w:val="20"/>
                <w:szCs w:val="20"/>
              </w:rPr>
              <w:t xml:space="preserve">/L. </w:t>
            </w:r>
            <w:r>
              <w:rPr>
                <w:rFonts w:ascii="Times New Roman" w:eastAsia="Times New Roman" w:hAnsi="Times New Roman" w:cs="Times New Roman"/>
                <w:i/>
                <w:color w:val="000000"/>
                <w:sz w:val="20"/>
                <w:szCs w:val="20"/>
              </w:rPr>
              <w:t>europaeus</w:t>
            </w:r>
            <w:r>
              <w:rPr>
                <w:rFonts w:ascii="Times New Roman" w:eastAsia="Times New Roman" w:hAnsi="Times New Roman" w:cs="Times New Roman"/>
                <w:color w:val="000000"/>
                <w:sz w:val="20"/>
                <w:szCs w:val="20"/>
              </w:rPr>
              <w:t xml:space="preserve"> P.)</w:t>
            </w:r>
          </w:p>
        </w:tc>
        <w:tc>
          <w:tcPr>
            <w:tcW w:w="1931" w:type="dxa"/>
            <w:tcBorders>
              <w:top w:val="nil"/>
              <w:left w:val="nil"/>
              <w:bottom w:val="single" w:sz="4" w:space="0" w:color="000000"/>
              <w:right w:val="single" w:sz="4" w:space="0" w:color="000000"/>
            </w:tcBorders>
            <w:shd w:val="clear" w:color="auto" w:fill="auto"/>
            <w:vAlign w:val="center"/>
          </w:tcPr>
          <w:p w14:paraId="480DCB5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543F2E2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0.717023</w:t>
            </w:r>
          </w:p>
        </w:tc>
      </w:tr>
      <w:tr w:rsidR="00073701" w14:paraId="6767745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4F7B079"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700" w:type="dxa"/>
            <w:tcBorders>
              <w:top w:val="nil"/>
              <w:left w:val="nil"/>
              <w:bottom w:val="single" w:sz="4" w:space="0" w:color="000000"/>
              <w:right w:val="single" w:sz="4" w:space="0" w:color="000000"/>
            </w:tcBorders>
            <w:shd w:val="clear" w:color="auto" w:fill="auto"/>
            <w:vAlign w:val="center"/>
          </w:tcPr>
          <w:p w14:paraId="2D39C1FD"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1BD3CAF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71D7D0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1061" w:type="dxa"/>
            <w:tcBorders>
              <w:top w:val="nil"/>
              <w:left w:val="nil"/>
              <w:bottom w:val="single" w:sz="4" w:space="0" w:color="000000"/>
              <w:right w:val="single" w:sz="4" w:space="0" w:color="000000"/>
            </w:tcBorders>
            <w:shd w:val="clear" w:color="auto" w:fill="auto"/>
            <w:vAlign w:val="center"/>
          </w:tcPr>
          <w:p w14:paraId="3153657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0.714411</w:t>
            </w:r>
          </w:p>
        </w:tc>
      </w:tr>
      <w:tr w:rsidR="00073701" w14:paraId="23F877DD"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6E73B13"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1700" w:type="dxa"/>
            <w:tcBorders>
              <w:top w:val="nil"/>
              <w:left w:val="nil"/>
              <w:bottom w:val="single" w:sz="4" w:space="0" w:color="000000"/>
              <w:right w:val="single" w:sz="4" w:space="0" w:color="000000"/>
            </w:tcBorders>
            <w:shd w:val="clear" w:color="auto" w:fill="auto"/>
            <w:vAlign w:val="center"/>
          </w:tcPr>
          <w:p w14:paraId="6FD1F8F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65498E0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51DB4CA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6519A5B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0.714252</w:t>
            </w:r>
          </w:p>
        </w:tc>
      </w:tr>
      <w:tr w:rsidR="00073701" w14:paraId="6E47240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E1B2D3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1700" w:type="dxa"/>
            <w:tcBorders>
              <w:top w:val="nil"/>
              <w:left w:val="nil"/>
              <w:bottom w:val="single" w:sz="4" w:space="0" w:color="000000"/>
              <w:right w:val="single" w:sz="4" w:space="0" w:color="000000"/>
            </w:tcBorders>
            <w:shd w:val="clear" w:color="auto" w:fill="auto"/>
            <w:vAlign w:val="center"/>
          </w:tcPr>
          <w:p w14:paraId="43A20E8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3B13A3A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7B797B3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7E7875A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0.715429</w:t>
            </w:r>
          </w:p>
        </w:tc>
      </w:tr>
      <w:tr w:rsidR="00073701" w14:paraId="2A76ACF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A3DBA3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700" w:type="dxa"/>
            <w:tcBorders>
              <w:top w:val="nil"/>
              <w:left w:val="nil"/>
              <w:bottom w:val="single" w:sz="4" w:space="0" w:color="000000"/>
              <w:right w:val="single" w:sz="4" w:space="0" w:color="000000"/>
            </w:tcBorders>
            <w:shd w:val="clear" w:color="auto" w:fill="auto"/>
            <w:vAlign w:val="center"/>
          </w:tcPr>
          <w:p w14:paraId="6D1EC20D"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50074B4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color w:val="000000"/>
                <w:sz w:val="20"/>
                <w:szCs w:val="20"/>
              </w:rPr>
              <w:t>are (</w:t>
            </w:r>
            <w:r>
              <w:rPr>
                <w:rFonts w:ascii="Times New Roman" w:eastAsia="Times New Roman" w:hAnsi="Times New Roman" w:cs="Times New Roman"/>
                <w:i/>
                <w:color w:val="000000"/>
                <w:sz w:val="20"/>
                <w:szCs w:val="20"/>
              </w:rPr>
              <w:t>Lepus timidus</w:t>
            </w:r>
            <w:r>
              <w:rPr>
                <w:rFonts w:ascii="Times New Roman" w:eastAsia="Times New Roman" w:hAnsi="Times New Roman" w:cs="Times New Roman"/>
                <w:color w:val="000000"/>
                <w:sz w:val="20"/>
                <w:szCs w:val="20"/>
              </w:rPr>
              <w:t xml:space="preserve">/L. </w:t>
            </w:r>
            <w:r>
              <w:rPr>
                <w:rFonts w:ascii="Times New Roman" w:eastAsia="Times New Roman" w:hAnsi="Times New Roman" w:cs="Times New Roman"/>
                <w:i/>
                <w:color w:val="000000"/>
                <w:sz w:val="20"/>
                <w:szCs w:val="20"/>
              </w:rPr>
              <w:t>europaeus</w:t>
            </w:r>
            <w:r>
              <w:rPr>
                <w:rFonts w:ascii="Times New Roman" w:eastAsia="Times New Roman" w:hAnsi="Times New Roman" w:cs="Times New Roman"/>
                <w:color w:val="000000"/>
                <w:sz w:val="20"/>
                <w:szCs w:val="20"/>
              </w:rPr>
              <w:t xml:space="preserve"> P.)</w:t>
            </w:r>
          </w:p>
        </w:tc>
        <w:tc>
          <w:tcPr>
            <w:tcW w:w="1931" w:type="dxa"/>
            <w:tcBorders>
              <w:top w:val="nil"/>
              <w:left w:val="nil"/>
              <w:bottom w:val="single" w:sz="4" w:space="0" w:color="000000"/>
              <w:right w:val="single" w:sz="4" w:space="0" w:color="000000"/>
            </w:tcBorders>
            <w:shd w:val="clear" w:color="auto" w:fill="auto"/>
            <w:vAlign w:val="center"/>
          </w:tcPr>
          <w:p w14:paraId="42DFEBF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medieval</w:t>
            </w:r>
          </w:p>
        </w:tc>
        <w:tc>
          <w:tcPr>
            <w:tcW w:w="1061" w:type="dxa"/>
            <w:tcBorders>
              <w:top w:val="nil"/>
              <w:left w:val="nil"/>
              <w:bottom w:val="single" w:sz="4" w:space="0" w:color="000000"/>
              <w:right w:val="single" w:sz="4" w:space="0" w:color="000000"/>
            </w:tcBorders>
            <w:shd w:val="clear" w:color="auto" w:fill="auto"/>
            <w:vAlign w:val="center"/>
          </w:tcPr>
          <w:p w14:paraId="236D12C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0.716675</w:t>
            </w:r>
          </w:p>
        </w:tc>
      </w:tr>
      <w:tr w:rsidR="00073701" w14:paraId="1B92668A"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5D67AEA"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700" w:type="dxa"/>
            <w:tcBorders>
              <w:top w:val="nil"/>
              <w:left w:val="nil"/>
              <w:bottom w:val="single" w:sz="4" w:space="0" w:color="000000"/>
              <w:right w:val="single" w:sz="4" w:space="0" w:color="000000"/>
            </w:tcBorders>
            <w:shd w:val="clear" w:color="auto" w:fill="auto"/>
            <w:vAlign w:val="center"/>
          </w:tcPr>
          <w:p w14:paraId="30362E2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Kernavė</w:t>
            </w:r>
          </w:p>
        </w:tc>
        <w:tc>
          <w:tcPr>
            <w:tcW w:w="3985" w:type="dxa"/>
            <w:tcBorders>
              <w:top w:val="nil"/>
              <w:left w:val="nil"/>
              <w:bottom w:val="single" w:sz="4" w:space="0" w:color="000000"/>
              <w:right w:val="single" w:sz="4" w:space="0" w:color="000000"/>
            </w:tcBorders>
            <w:shd w:val="clear" w:color="auto" w:fill="auto"/>
            <w:vAlign w:val="center"/>
          </w:tcPr>
          <w:p w14:paraId="2995BBD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color w:val="000000"/>
                <w:sz w:val="20"/>
                <w:szCs w:val="20"/>
              </w:rPr>
              <w:t>are (</w:t>
            </w:r>
            <w:r>
              <w:rPr>
                <w:rFonts w:ascii="Times New Roman" w:eastAsia="Times New Roman" w:hAnsi="Times New Roman" w:cs="Times New Roman"/>
                <w:i/>
                <w:color w:val="000000"/>
                <w:sz w:val="20"/>
                <w:szCs w:val="20"/>
              </w:rPr>
              <w:t>Lepus timidus</w:t>
            </w:r>
            <w:r>
              <w:rPr>
                <w:rFonts w:ascii="Times New Roman" w:eastAsia="Times New Roman" w:hAnsi="Times New Roman" w:cs="Times New Roman"/>
                <w:color w:val="000000"/>
                <w:sz w:val="20"/>
                <w:szCs w:val="20"/>
              </w:rPr>
              <w:t xml:space="preserve">/L. </w:t>
            </w:r>
            <w:r>
              <w:rPr>
                <w:rFonts w:ascii="Times New Roman" w:eastAsia="Times New Roman" w:hAnsi="Times New Roman" w:cs="Times New Roman"/>
                <w:i/>
                <w:color w:val="000000"/>
                <w:sz w:val="20"/>
                <w:szCs w:val="20"/>
              </w:rPr>
              <w:t>europaeus</w:t>
            </w:r>
            <w:r>
              <w:rPr>
                <w:rFonts w:ascii="Times New Roman" w:eastAsia="Times New Roman" w:hAnsi="Times New Roman" w:cs="Times New Roman"/>
                <w:color w:val="000000"/>
                <w:sz w:val="20"/>
                <w:szCs w:val="20"/>
              </w:rPr>
              <w:t xml:space="preserve"> P.)</w:t>
            </w:r>
          </w:p>
        </w:tc>
        <w:tc>
          <w:tcPr>
            <w:tcW w:w="1931" w:type="dxa"/>
            <w:tcBorders>
              <w:top w:val="nil"/>
              <w:left w:val="nil"/>
              <w:bottom w:val="single" w:sz="4" w:space="0" w:color="000000"/>
              <w:right w:val="single" w:sz="4" w:space="0" w:color="000000"/>
            </w:tcBorders>
            <w:shd w:val="clear" w:color="auto" w:fill="auto"/>
            <w:vAlign w:val="center"/>
          </w:tcPr>
          <w:p w14:paraId="705475A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73338C1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0.716236</w:t>
            </w:r>
          </w:p>
        </w:tc>
      </w:tr>
      <w:tr w:rsidR="00073701" w14:paraId="2392588C"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A746C4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1700" w:type="dxa"/>
            <w:tcBorders>
              <w:top w:val="nil"/>
              <w:left w:val="nil"/>
              <w:bottom w:val="single" w:sz="4" w:space="0" w:color="000000"/>
              <w:right w:val="single" w:sz="4" w:space="0" w:color="000000"/>
            </w:tcBorders>
            <w:shd w:val="clear" w:color="auto" w:fill="auto"/>
            <w:vAlign w:val="center"/>
          </w:tcPr>
          <w:p w14:paraId="3F6C0B09"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1C</w:t>
            </w:r>
          </w:p>
        </w:tc>
        <w:tc>
          <w:tcPr>
            <w:tcW w:w="3985" w:type="dxa"/>
            <w:tcBorders>
              <w:top w:val="nil"/>
              <w:left w:val="nil"/>
              <w:bottom w:val="single" w:sz="4" w:space="0" w:color="000000"/>
              <w:right w:val="single" w:sz="4" w:space="0" w:color="000000"/>
            </w:tcBorders>
            <w:shd w:val="clear" w:color="auto" w:fill="auto"/>
            <w:vAlign w:val="center"/>
          </w:tcPr>
          <w:p w14:paraId="2EF0272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4E1B80B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10262CD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0.714215</w:t>
            </w:r>
          </w:p>
        </w:tc>
      </w:tr>
      <w:tr w:rsidR="00073701" w14:paraId="3C00CEF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05BA7A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700" w:type="dxa"/>
            <w:tcBorders>
              <w:top w:val="nil"/>
              <w:left w:val="nil"/>
              <w:bottom w:val="single" w:sz="4" w:space="0" w:color="000000"/>
              <w:right w:val="single" w:sz="4" w:space="0" w:color="000000"/>
            </w:tcBorders>
            <w:shd w:val="clear" w:color="auto" w:fill="auto"/>
            <w:vAlign w:val="center"/>
          </w:tcPr>
          <w:p w14:paraId="173CC097"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1C</w:t>
            </w:r>
          </w:p>
        </w:tc>
        <w:tc>
          <w:tcPr>
            <w:tcW w:w="3985" w:type="dxa"/>
            <w:tcBorders>
              <w:top w:val="nil"/>
              <w:left w:val="nil"/>
              <w:bottom w:val="single" w:sz="4" w:space="0" w:color="000000"/>
              <w:right w:val="single" w:sz="4" w:space="0" w:color="000000"/>
            </w:tcBorders>
            <w:shd w:val="clear" w:color="auto" w:fill="auto"/>
            <w:vAlign w:val="center"/>
          </w:tcPr>
          <w:p w14:paraId="10B5166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arten (</w:t>
            </w:r>
            <w:r>
              <w:rPr>
                <w:rFonts w:ascii="Times New Roman" w:eastAsia="Times New Roman" w:hAnsi="Times New Roman" w:cs="Times New Roman"/>
                <w:i/>
                <w:color w:val="000000"/>
                <w:sz w:val="20"/>
                <w:szCs w:val="20"/>
              </w:rPr>
              <w:t>Martes martes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0E2A4EE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0822D98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0.714270</w:t>
            </w:r>
          </w:p>
        </w:tc>
      </w:tr>
      <w:tr w:rsidR="00073701" w14:paraId="530D177E"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60FA96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700" w:type="dxa"/>
            <w:tcBorders>
              <w:top w:val="nil"/>
              <w:left w:val="nil"/>
              <w:bottom w:val="single" w:sz="4" w:space="0" w:color="000000"/>
              <w:right w:val="single" w:sz="4" w:space="0" w:color="000000"/>
            </w:tcBorders>
            <w:shd w:val="clear" w:color="auto" w:fill="auto"/>
            <w:vAlign w:val="center"/>
          </w:tcPr>
          <w:p w14:paraId="21E38514"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1C</w:t>
            </w:r>
          </w:p>
        </w:tc>
        <w:tc>
          <w:tcPr>
            <w:tcW w:w="3985" w:type="dxa"/>
            <w:tcBorders>
              <w:top w:val="nil"/>
              <w:left w:val="nil"/>
              <w:bottom w:val="single" w:sz="4" w:space="0" w:color="000000"/>
              <w:right w:val="single" w:sz="4" w:space="0" w:color="000000"/>
            </w:tcBorders>
            <w:shd w:val="clear" w:color="auto" w:fill="auto"/>
            <w:vAlign w:val="center"/>
          </w:tcPr>
          <w:p w14:paraId="307518D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arten (</w:t>
            </w:r>
            <w:r>
              <w:rPr>
                <w:rFonts w:ascii="Times New Roman" w:eastAsia="Times New Roman" w:hAnsi="Times New Roman" w:cs="Times New Roman"/>
                <w:i/>
                <w:color w:val="000000"/>
                <w:sz w:val="20"/>
                <w:szCs w:val="20"/>
              </w:rPr>
              <w:t>Martes martes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1747FD3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3FCA683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0.714248</w:t>
            </w:r>
          </w:p>
        </w:tc>
      </w:tr>
      <w:tr w:rsidR="00073701" w14:paraId="1743369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84B0CD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700" w:type="dxa"/>
            <w:tcBorders>
              <w:top w:val="nil"/>
              <w:left w:val="nil"/>
              <w:bottom w:val="single" w:sz="4" w:space="0" w:color="000000"/>
              <w:right w:val="single" w:sz="4" w:space="0" w:color="000000"/>
            </w:tcBorders>
            <w:shd w:val="clear" w:color="auto" w:fill="auto"/>
            <w:vAlign w:val="center"/>
          </w:tcPr>
          <w:p w14:paraId="3239A78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1C</w:t>
            </w:r>
          </w:p>
        </w:tc>
        <w:tc>
          <w:tcPr>
            <w:tcW w:w="3985" w:type="dxa"/>
            <w:tcBorders>
              <w:top w:val="nil"/>
              <w:left w:val="nil"/>
              <w:bottom w:val="single" w:sz="4" w:space="0" w:color="000000"/>
              <w:right w:val="single" w:sz="4" w:space="0" w:color="000000"/>
            </w:tcBorders>
            <w:shd w:val="clear" w:color="auto" w:fill="auto"/>
            <w:vAlign w:val="center"/>
          </w:tcPr>
          <w:p w14:paraId="68DC715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BF59A4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482D91E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0.714769</w:t>
            </w:r>
          </w:p>
        </w:tc>
      </w:tr>
      <w:tr w:rsidR="00073701" w14:paraId="1D53E3F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892195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1700" w:type="dxa"/>
            <w:tcBorders>
              <w:top w:val="nil"/>
              <w:left w:val="nil"/>
              <w:bottom w:val="single" w:sz="4" w:space="0" w:color="000000"/>
              <w:right w:val="single" w:sz="4" w:space="0" w:color="000000"/>
            </w:tcBorders>
            <w:shd w:val="clear" w:color="auto" w:fill="auto"/>
            <w:vAlign w:val="center"/>
          </w:tcPr>
          <w:p w14:paraId="67E4152B"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1D</w:t>
            </w:r>
          </w:p>
        </w:tc>
        <w:tc>
          <w:tcPr>
            <w:tcW w:w="3985" w:type="dxa"/>
            <w:tcBorders>
              <w:top w:val="nil"/>
              <w:left w:val="nil"/>
              <w:bottom w:val="single" w:sz="4" w:space="0" w:color="000000"/>
              <w:right w:val="single" w:sz="4" w:space="0" w:color="000000"/>
            </w:tcBorders>
            <w:shd w:val="clear" w:color="auto" w:fill="auto"/>
            <w:vAlign w:val="center"/>
          </w:tcPr>
          <w:p w14:paraId="340D13A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74B798E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4271A85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0.716665</w:t>
            </w:r>
          </w:p>
        </w:tc>
      </w:tr>
      <w:tr w:rsidR="00073701" w14:paraId="4E7096E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65CD30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1700" w:type="dxa"/>
            <w:tcBorders>
              <w:top w:val="nil"/>
              <w:left w:val="nil"/>
              <w:bottom w:val="single" w:sz="4" w:space="0" w:color="000000"/>
              <w:right w:val="single" w:sz="4" w:space="0" w:color="000000"/>
            </w:tcBorders>
            <w:shd w:val="clear" w:color="auto" w:fill="auto"/>
            <w:vAlign w:val="center"/>
          </w:tcPr>
          <w:p w14:paraId="22183651"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1D</w:t>
            </w:r>
          </w:p>
        </w:tc>
        <w:tc>
          <w:tcPr>
            <w:tcW w:w="3985" w:type="dxa"/>
            <w:tcBorders>
              <w:top w:val="nil"/>
              <w:left w:val="nil"/>
              <w:bottom w:val="single" w:sz="4" w:space="0" w:color="000000"/>
              <w:right w:val="single" w:sz="4" w:space="0" w:color="000000"/>
            </w:tcBorders>
            <w:shd w:val="clear" w:color="auto" w:fill="auto"/>
            <w:vAlign w:val="center"/>
          </w:tcPr>
          <w:p w14:paraId="15E8908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oe deer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15FE43D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567E82E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0.714617</w:t>
            </w:r>
          </w:p>
        </w:tc>
      </w:tr>
      <w:tr w:rsidR="00073701" w14:paraId="38074CE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05B1F7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1700" w:type="dxa"/>
            <w:tcBorders>
              <w:top w:val="nil"/>
              <w:left w:val="nil"/>
              <w:bottom w:val="single" w:sz="4" w:space="0" w:color="000000"/>
              <w:right w:val="single" w:sz="4" w:space="0" w:color="000000"/>
            </w:tcBorders>
            <w:shd w:val="clear" w:color="auto" w:fill="auto"/>
            <w:vAlign w:val="center"/>
          </w:tcPr>
          <w:p w14:paraId="52D24356"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1D</w:t>
            </w:r>
          </w:p>
        </w:tc>
        <w:tc>
          <w:tcPr>
            <w:tcW w:w="3985" w:type="dxa"/>
            <w:tcBorders>
              <w:top w:val="nil"/>
              <w:left w:val="nil"/>
              <w:bottom w:val="single" w:sz="4" w:space="0" w:color="000000"/>
              <w:right w:val="single" w:sz="4" w:space="0" w:color="000000"/>
            </w:tcBorders>
            <w:shd w:val="clear" w:color="auto" w:fill="auto"/>
            <w:vAlign w:val="center"/>
          </w:tcPr>
          <w:p w14:paraId="676E1BC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oe deer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062D4DF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13156D1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0.713601</w:t>
            </w:r>
          </w:p>
        </w:tc>
      </w:tr>
      <w:tr w:rsidR="00073701" w14:paraId="11E0DFE6"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B1DCDDA"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1700" w:type="dxa"/>
            <w:tcBorders>
              <w:top w:val="nil"/>
              <w:left w:val="nil"/>
              <w:bottom w:val="single" w:sz="4" w:space="0" w:color="000000"/>
              <w:right w:val="single" w:sz="4" w:space="0" w:color="000000"/>
            </w:tcBorders>
            <w:shd w:val="clear" w:color="auto" w:fill="auto"/>
            <w:vAlign w:val="center"/>
          </w:tcPr>
          <w:p w14:paraId="116EE3D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1D</w:t>
            </w:r>
          </w:p>
        </w:tc>
        <w:tc>
          <w:tcPr>
            <w:tcW w:w="3985" w:type="dxa"/>
            <w:tcBorders>
              <w:top w:val="nil"/>
              <w:left w:val="nil"/>
              <w:bottom w:val="single" w:sz="4" w:space="0" w:color="000000"/>
              <w:right w:val="single" w:sz="4" w:space="0" w:color="000000"/>
            </w:tcBorders>
            <w:shd w:val="clear" w:color="auto" w:fill="auto"/>
            <w:vAlign w:val="center"/>
          </w:tcPr>
          <w:p w14:paraId="66265E3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arten (</w:t>
            </w:r>
            <w:r>
              <w:rPr>
                <w:rFonts w:ascii="Times New Roman" w:eastAsia="Times New Roman" w:hAnsi="Times New Roman" w:cs="Times New Roman"/>
                <w:i/>
                <w:color w:val="000000"/>
                <w:sz w:val="20"/>
                <w:szCs w:val="20"/>
              </w:rPr>
              <w:t>Martes martes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8F8E13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2EE492C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0.715623</w:t>
            </w:r>
          </w:p>
        </w:tc>
      </w:tr>
      <w:tr w:rsidR="00073701" w14:paraId="7C03117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AFA4614"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700" w:type="dxa"/>
            <w:tcBorders>
              <w:top w:val="nil"/>
              <w:left w:val="nil"/>
              <w:bottom w:val="single" w:sz="4" w:space="0" w:color="000000"/>
              <w:right w:val="single" w:sz="4" w:space="0" w:color="000000"/>
            </w:tcBorders>
            <w:shd w:val="clear" w:color="auto" w:fill="auto"/>
            <w:vAlign w:val="center"/>
          </w:tcPr>
          <w:p w14:paraId="6E5F711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Kretuonas 1D</w:t>
            </w:r>
          </w:p>
        </w:tc>
        <w:tc>
          <w:tcPr>
            <w:tcW w:w="3985" w:type="dxa"/>
            <w:tcBorders>
              <w:top w:val="nil"/>
              <w:left w:val="nil"/>
              <w:bottom w:val="single" w:sz="4" w:space="0" w:color="000000"/>
              <w:right w:val="single" w:sz="4" w:space="0" w:color="000000"/>
            </w:tcBorders>
            <w:shd w:val="clear" w:color="auto" w:fill="auto"/>
            <w:vAlign w:val="center"/>
          </w:tcPr>
          <w:p w14:paraId="5E81602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451D2C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Neolithic</w:t>
            </w:r>
          </w:p>
        </w:tc>
        <w:tc>
          <w:tcPr>
            <w:tcW w:w="1061" w:type="dxa"/>
            <w:tcBorders>
              <w:top w:val="nil"/>
              <w:left w:val="nil"/>
              <w:bottom w:val="single" w:sz="4" w:space="0" w:color="000000"/>
              <w:right w:val="single" w:sz="4" w:space="0" w:color="000000"/>
            </w:tcBorders>
            <w:shd w:val="clear" w:color="auto" w:fill="auto"/>
            <w:vAlign w:val="center"/>
          </w:tcPr>
          <w:p w14:paraId="7210726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0.714069</w:t>
            </w:r>
          </w:p>
        </w:tc>
      </w:tr>
      <w:tr w:rsidR="00073701" w14:paraId="62D095E6"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CC2204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0" w:type="dxa"/>
            <w:tcBorders>
              <w:top w:val="nil"/>
              <w:left w:val="nil"/>
              <w:bottom w:val="single" w:sz="4" w:space="0" w:color="000000"/>
              <w:right w:val="single" w:sz="4" w:space="0" w:color="000000"/>
            </w:tcBorders>
            <w:shd w:val="clear" w:color="auto" w:fill="auto"/>
            <w:vAlign w:val="center"/>
          </w:tcPr>
          <w:p w14:paraId="5E5C3A99"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w:t>
            </w:r>
          </w:p>
        </w:tc>
        <w:tc>
          <w:tcPr>
            <w:tcW w:w="3985" w:type="dxa"/>
            <w:tcBorders>
              <w:top w:val="nil"/>
              <w:left w:val="nil"/>
              <w:bottom w:val="single" w:sz="4" w:space="0" w:color="000000"/>
              <w:right w:val="single" w:sz="4" w:space="0" w:color="000000"/>
            </w:tcBorders>
            <w:shd w:val="clear" w:color="auto" w:fill="auto"/>
            <w:vAlign w:val="center"/>
          </w:tcPr>
          <w:p w14:paraId="1340E96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attle (</w:t>
            </w:r>
            <w:r>
              <w:rPr>
                <w:rFonts w:ascii="Times New Roman" w:eastAsia="Times New Roman" w:hAnsi="Times New Roman" w:cs="Times New Roman"/>
                <w:i/>
                <w:color w:val="000000"/>
                <w:sz w:val="20"/>
                <w:szCs w:val="20"/>
              </w:rPr>
              <w:t xml:space="preserve">Bos taurus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3C461A5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686E196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0.718725</w:t>
            </w:r>
          </w:p>
        </w:tc>
      </w:tr>
      <w:tr w:rsidR="00073701" w14:paraId="63B20FE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713757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41</w:t>
            </w:r>
          </w:p>
        </w:tc>
        <w:tc>
          <w:tcPr>
            <w:tcW w:w="1700" w:type="dxa"/>
            <w:tcBorders>
              <w:top w:val="nil"/>
              <w:left w:val="nil"/>
              <w:bottom w:val="single" w:sz="4" w:space="0" w:color="000000"/>
              <w:right w:val="single" w:sz="4" w:space="0" w:color="000000"/>
            </w:tcBorders>
            <w:shd w:val="clear" w:color="auto" w:fill="auto"/>
            <w:vAlign w:val="center"/>
          </w:tcPr>
          <w:p w14:paraId="408E391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w:t>
            </w:r>
          </w:p>
        </w:tc>
        <w:tc>
          <w:tcPr>
            <w:tcW w:w="3985" w:type="dxa"/>
            <w:tcBorders>
              <w:top w:val="nil"/>
              <w:left w:val="nil"/>
              <w:bottom w:val="single" w:sz="4" w:space="0" w:color="000000"/>
              <w:right w:val="single" w:sz="4" w:space="0" w:color="000000"/>
            </w:tcBorders>
            <w:shd w:val="clear" w:color="auto" w:fill="auto"/>
            <w:vAlign w:val="center"/>
          </w:tcPr>
          <w:p w14:paraId="2B2FE4C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attle (</w:t>
            </w:r>
            <w:r>
              <w:rPr>
                <w:rFonts w:ascii="Times New Roman" w:eastAsia="Times New Roman" w:hAnsi="Times New Roman" w:cs="Times New Roman"/>
                <w:i/>
                <w:color w:val="000000"/>
                <w:sz w:val="20"/>
                <w:szCs w:val="20"/>
              </w:rPr>
              <w:t xml:space="preserve">Bos taurus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676817C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1F643E2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0.718586</w:t>
            </w:r>
          </w:p>
        </w:tc>
      </w:tr>
      <w:tr w:rsidR="00073701" w14:paraId="3B339D6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117E1D0"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1700" w:type="dxa"/>
            <w:tcBorders>
              <w:top w:val="nil"/>
              <w:left w:val="nil"/>
              <w:bottom w:val="single" w:sz="4" w:space="0" w:color="000000"/>
              <w:right w:val="single" w:sz="4" w:space="0" w:color="000000"/>
            </w:tcBorders>
            <w:shd w:val="clear" w:color="auto" w:fill="auto"/>
            <w:vAlign w:val="center"/>
          </w:tcPr>
          <w:p w14:paraId="4C3EAF72"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w:t>
            </w:r>
          </w:p>
        </w:tc>
        <w:tc>
          <w:tcPr>
            <w:tcW w:w="3985" w:type="dxa"/>
            <w:tcBorders>
              <w:top w:val="nil"/>
              <w:left w:val="nil"/>
              <w:bottom w:val="single" w:sz="4" w:space="0" w:color="000000"/>
              <w:right w:val="single" w:sz="4" w:space="0" w:color="000000"/>
            </w:tcBorders>
            <w:shd w:val="clear" w:color="auto" w:fill="auto"/>
            <w:vAlign w:val="center"/>
          </w:tcPr>
          <w:p w14:paraId="1BDD7BD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attle (</w:t>
            </w:r>
            <w:r>
              <w:rPr>
                <w:rFonts w:ascii="Times New Roman" w:eastAsia="Times New Roman" w:hAnsi="Times New Roman" w:cs="Times New Roman"/>
                <w:i/>
                <w:color w:val="000000"/>
                <w:sz w:val="20"/>
                <w:szCs w:val="20"/>
              </w:rPr>
              <w:t xml:space="preserve">Bos taurus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1AE3946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27C13C5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0.717330</w:t>
            </w:r>
          </w:p>
        </w:tc>
      </w:tr>
      <w:tr w:rsidR="00073701" w14:paraId="05579546"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62B7308"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1700" w:type="dxa"/>
            <w:tcBorders>
              <w:top w:val="nil"/>
              <w:left w:val="nil"/>
              <w:bottom w:val="single" w:sz="4" w:space="0" w:color="000000"/>
              <w:right w:val="single" w:sz="4" w:space="0" w:color="000000"/>
            </w:tcBorders>
            <w:shd w:val="clear" w:color="auto" w:fill="auto"/>
            <w:vAlign w:val="center"/>
          </w:tcPr>
          <w:p w14:paraId="0BE8CD3B"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w:t>
            </w:r>
          </w:p>
        </w:tc>
        <w:tc>
          <w:tcPr>
            <w:tcW w:w="3985" w:type="dxa"/>
            <w:tcBorders>
              <w:top w:val="nil"/>
              <w:left w:val="nil"/>
              <w:bottom w:val="single" w:sz="4" w:space="0" w:color="000000"/>
              <w:right w:val="single" w:sz="4" w:space="0" w:color="000000"/>
            </w:tcBorders>
            <w:shd w:val="clear" w:color="auto" w:fill="auto"/>
            <w:vAlign w:val="center"/>
          </w:tcPr>
          <w:p w14:paraId="7D16034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089D45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52A454D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0.717161</w:t>
            </w:r>
          </w:p>
        </w:tc>
      </w:tr>
      <w:tr w:rsidR="00073701" w14:paraId="46348B7D"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C0657C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1700" w:type="dxa"/>
            <w:tcBorders>
              <w:top w:val="nil"/>
              <w:left w:val="nil"/>
              <w:bottom w:val="single" w:sz="4" w:space="0" w:color="000000"/>
              <w:right w:val="single" w:sz="4" w:space="0" w:color="000000"/>
            </w:tcBorders>
            <w:shd w:val="clear" w:color="auto" w:fill="auto"/>
            <w:vAlign w:val="center"/>
          </w:tcPr>
          <w:p w14:paraId="6A6138DD"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w:t>
            </w:r>
          </w:p>
        </w:tc>
        <w:tc>
          <w:tcPr>
            <w:tcW w:w="3985" w:type="dxa"/>
            <w:tcBorders>
              <w:top w:val="nil"/>
              <w:left w:val="nil"/>
              <w:bottom w:val="single" w:sz="4" w:space="0" w:color="000000"/>
              <w:right w:val="single" w:sz="4" w:space="0" w:color="000000"/>
            </w:tcBorders>
            <w:shd w:val="clear" w:color="auto" w:fill="auto"/>
            <w:vAlign w:val="center"/>
          </w:tcPr>
          <w:p w14:paraId="2ECF678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5C284F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edieval</w:t>
            </w:r>
          </w:p>
        </w:tc>
        <w:tc>
          <w:tcPr>
            <w:tcW w:w="1061" w:type="dxa"/>
            <w:tcBorders>
              <w:top w:val="nil"/>
              <w:left w:val="nil"/>
              <w:bottom w:val="single" w:sz="4" w:space="0" w:color="000000"/>
              <w:right w:val="single" w:sz="4" w:space="0" w:color="000000"/>
            </w:tcBorders>
            <w:shd w:val="clear" w:color="auto" w:fill="auto"/>
            <w:vAlign w:val="center"/>
          </w:tcPr>
          <w:p w14:paraId="727323E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0.717412</w:t>
            </w:r>
          </w:p>
        </w:tc>
      </w:tr>
      <w:tr w:rsidR="00073701" w14:paraId="7E2CA8A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8D813F3"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700" w:type="dxa"/>
            <w:tcBorders>
              <w:top w:val="nil"/>
              <w:left w:val="nil"/>
              <w:bottom w:val="single" w:sz="4" w:space="0" w:color="000000"/>
              <w:right w:val="single" w:sz="4" w:space="0" w:color="000000"/>
            </w:tcBorders>
            <w:shd w:val="clear" w:color="auto" w:fill="auto"/>
            <w:vAlign w:val="center"/>
          </w:tcPr>
          <w:p w14:paraId="44822D7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 hillfort</w:t>
            </w:r>
          </w:p>
        </w:tc>
        <w:tc>
          <w:tcPr>
            <w:tcW w:w="3985" w:type="dxa"/>
            <w:tcBorders>
              <w:top w:val="nil"/>
              <w:left w:val="nil"/>
              <w:bottom w:val="single" w:sz="4" w:space="0" w:color="000000"/>
              <w:right w:val="single" w:sz="4" w:space="0" w:color="000000"/>
            </w:tcBorders>
            <w:shd w:val="clear" w:color="auto" w:fill="auto"/>
            <w:vAlign w:val="center"/>
          </w:tcPr>
          <w:p w14:paraId="51160B8F"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5C6600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365F397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0.717587</w:t>
            </w:r>
          </w:p>
        </w:tc>
      </w:tr>
      <w:tr w:rsidR="00073701" w14:paraId="569D12B3"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24E01E1"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1700" w:type="dxa"/>
            <w:tcBorders>
              <w:top w:val="nil"/>
              <w:left w:val="nil"/>
              <w:bottom w:val="single" w:sz="4" w:space="0" w:color="000000"/>
              <w:right w:val="single" w:sz="4" w:space="0" w:color="000000"/>
            </w:tcBorders>
            <w:shd w:val="clear" w:color="auto" w:fill="auto"/>
            <w:vAlign w:val="center"/>
          </w:tcPr>
          <w:p w14:paraId="55AAE30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Kupiškis hillfort</w:t>
            </w:r>
          </w:p>
        </w:tc>
        <w:tc>
          <w:tcPr>
            <w:tcW w:w="3985" w:type="dxa"/>
            <w:tcBorders>
              <w:top w:val="nil"/>
              <w:left w:val="nil"/>
              <w:bottom w:val="single" w:sz="4" w:space="0" w:color="000000"/>
              <w:right w:val="single" w:sz="4" w:space="0" w:color="000000"/>
            </w:tcBorders>
            <w:shd w:val="clear" w:color="auto" w:fill="auto"/>
            <w:vAlign w:val="center"/>
          </w:tcPr>
          <w:p w14:paraId="17D4C95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593D6FE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24FB454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0.717082</w:t>
            </w:r>
          </w:p>
        </w:tc>
      </w:tr>
      <w:tr w:rsidR="00073701" w14:paraId="1F34F67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2E3446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1700" w:type="dxa"/>
            <w:tcBorders>
              <w:top w:val="nil"/>
              <w:left w:val="nil"/>
              <w:bottom w:val="single" w:sz="4" w:space="0" w:color="000000"/>
              <w:right w:val="single" w:sz="4" w:space="0" w:color="000000"/>
            </w:tcBorders>
            <w:shd w:val="clear" w:color="auto" w:fill="auto"/>
            <w:vAlign w:val="center"/>
          </w:tcPr>
          <w:p w14:paraId="43C4FCE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Minaičiai</w:t>
            </w:r>
          </w:p>
        </w:tc>
        <w:tc>
          <w:tcPr>
            <w:tcW w:w="3985" w:type="dxa"/>
            <w:tcBorders>
              <w:top w:val="nil"/>
              <w:left w:val="nil"/>
              <w:bottom w:val="single" w:sz="4" w:space="0" w:color="000000"/>
              <w:right w:val="single" w:sz="4" w:space="0" w:color="000000"/>
            </w:tcBorders>
            <w:shd w:val="clear" w:color="auto" w:fill="auto"/>
            <w:vAlign w:val="center"/>
          </w:tcPr>
          <w:p w14:paraId="7727656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3D6972A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Modern</w:t>
            </w:r>
          </w:p>
        </w:tc>
        <w:tc>
          <w:tcPr>
            <w:tcW w:w="1061" w:type="dxa"/>
            <w:tcBorders>
              <w:top w:val="nil"/>
              <w:left w:val="nil"/>
              <w:bottom w:val="single" w:sz="4" w:space="0" w:color="000000"/>
              <w:right w:val="single" w:sz="4" w:space="0" w:color="000000"/>
            </w:tcBorders>
            <w:shd w:val="clear" w:color="auto" w:fill="auto"/>
            <w:vAlign w:val="center"/>
          </w:tcPr>
          <w:p w14:paraId="115FB1C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0.710317</w:t>
            </w:r>
          </w:p>
        </w:tc>
      </w:tr>
      <w:tr w:rsidR="00073701" w14:paraId="0209C6DD"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DE009C6"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700" w:type="dxa"/>
            <w:tcBorders>
              <w:top w:val="nil"/>
              <w:left w:val="nil"/>
              <w:bottom w:val="single" w:sz="4" w:space="0" w:color="000000"/>
              <w:right w:val="single" w:sz="4" w:space="0" w:color="000000"/>
            </w:tcBorders>
            <w:shd w:val="clear" w:color="auto" w:fill="auto"/>
            <w:vAlign w:val="center"/>
          </w:tcPr>
          <w:p w14:paraId="26E3C2E7"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Minaičiai</w:t>
            </w:r>
          </w:p>
        </w:tc>
        <w:tc>
          <w:tcPr>
            <w:tcW w:w="3985" w:type="dxa"/>
            <w:tcBorders>
              <w:top w:val="nil"/>
              <w:left w:val="nil"/>
              <w:bottom w:val="single" w:sz="4" w:space="0" w:color="000000"/>
              <w:right w:val="single" w:sz="4" w:space="0" w:color="000000"/>
            </w:tcBorders>
            <w:shd w:val="clear" w:color="auto" w:fill="auto"/>
            <w:vAlign w:val="center"/>
          </w:tcPr>
          <w:p w14:paraId="0AB8E6D2"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727BC40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Modern</w:t>
            </w:r>
          </w:p>
        </w:tc>
        <w:tc>
          <w:tcPr>
            <w:tcW w:w="1061" w:type="dxa"/>
            <w:tcBorders>
              <w:top w:val="nil"/>
              <w:left w:val="nil"/>
              <w:bottom w:val="single" w:sz="4" w:space="0" w:color="000000"/>
              <w:right w:val="single" w:sz="4" w:space="0" w:color="000000"/>
            </w:tcBorders>
            <w:shd w:val="clear" w:color="auto" w:fill="auto"/>
            <w:vAlign w:val="center"/>
          </w:tcPr>
          <w:p w14:paraId="111C342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0.707845</w:t>
            </w:r>
          </w:p>
        </w:tc>
      </w:tr>
      <w:tr w:rsidR="00073701" w14:paraId="1D11A137"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C1EC814"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p>
        </w:tc>
        <w:tc>
          <w:tcPr>
            <w:tcW w:w="1700" w:type="dxa"/>
            <w:tcBorders>
              <w:top w:val="nil"/>
              <w:left w:val="nil"/>
              <w:bottom w:val="single" w:sz="4" w:space="0" w:color="000000"/>
              <w:right w:val="single" w:sz="4" w:space="0" w:color="000000"/>
            </w:tcBorders>
            <w:shd w:val="clear" w:color="auto" w:fill="auto"/>
            <w:vAlign w:val="center"/>
          </w:tcPr>
          <w:p w14:paraId="53EE7F2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Minaičiai</w:t>
            </w:r>
          </w:p>
        </w:tc>
        <w:tc>
          <w:tcPr>
            <w:tcW w:w="3985" w:type="dxa"/>
            <w:tcBorders>
              <w:top w:val="nil"/>
              <w:left w:val="nil"/>
              <w:bottom w:val="single" w:sz="4" w:space="0" w:color="000000"/>
              <w:right w:val="single" w:sz="4" w:space="0" w:color="000000"/>
            </w:tcBorders>
            <w:shd w:val="clear" w:color="auto" w:fill="auto"/>
            <w:vAlign w:val="center"/>
          </w:tcPr>
          <w:p w14:paraId="7F9114D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7BD9913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Modern</w:t>
            </w:r>
          </w:p>
        </w:tc>
        <w:tc>
          <w:tcPr>
            <w:tcW w:w="1061" w:type="dxa"/>
            <w:tcBorders>
              <w:top w:val="nil"/>
              <w:left w:val="nil"/>
              <w:bottom w:val="single" w:sz="4" w:space="0" w:color="000000"/>
              <w:right w:val="single" w:sz="4" w:space="0" w:color="000000"/>
            </w:tcBorders>
            <w:shd w:val="clear" w:color="auto" w:fill="auto"/>
            <w:vAlign w:val="center"/>
          </w:tcPr>
          <w:p w14:paraId="64A4B07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0.707411</w:t>
            </w:r>
          </w:p>
        </w:tc>
      </w:tr>
      <w:tr w:rsidR="00073701" w14:paraId="399E25B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8627D5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700" w:type="dxa"/>
            <w:tcBorders>
              <w:top w:val="nil"/>
              <w:left w:val="nil"/>
              <w:bottom w:val="single" w:sz="4" w:space="0" w:color="000000"/>
              <w:right w:val="single" w:sz="4" w:space="0" w:color="000000"/>
            </w:tcBorders>
            <w:shd w:val="clear" w:color="auto" w:fill="auto"/>
            <w:vAlign w:val="center"/>
          </w:tcPr>
          <w:p w14:paraId="05705672"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Minaičiai</w:t>
            </w:r>
          </w:p>
        </w:tc>
        <w:tc>
          <w:tcPr>
            <w:tcW w:w="3985" w:type="dxa"/>
            <w:tcBorders>
              <w:top w:val="nil"/>
              <w:left w:val="nil"/>
              <w:bottom w:val="single" w:sz="4" w:space="0" w:color="000000"/>
              <w:right w:val="single" w:sz="4" w:space="0" w:color="000000"/>
            </w:tcBorders>
            <w:shd w:val="clear" w:color="auto" w:fill="auto"/>
            <w:vAlign w:val="center"/>
          </w:tcPr>
          <w:p w14:paraId="41B0F7F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mall rodent</w:t>
            </w:r>
          </w:p>
        </w:tc>
        <w:tc>
          <w:tcPr>
            <w:tcW w:w="1931" w:type="dxa"/>
            <w:tcBorders>
              <w:top w:val="nil"/>
              <w:left w:val="nil"/>
              <w:bottom w:val="single" w:sz="4" w:space="0" w:color="000000"/>
              <w:right w:val="single" w:sz="4" w:space="0" w:color="000000"/>
            </w:tcBorders>
            <w:shd w:val="clear" w:color="auto" w:fill="auto"/>
            <w:vAlign w:val="center"/>
          </w:tcPr>
          <w:p w14:paraId="3D26243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Modern</w:t>
            </w:r>
          </w:p>
        </w:tc>
        <w:tc>
          <w:tcPr>
            <w:tcW w:w="1061" w:type="dxa"/>
            <w:tcBorders>
              <w:top w:val="nil"/>
              <w:left w:val="nil"/>
              <w:bottom w:val="single" w:sz="4" w:space="0" w:color="000000"/>
              <w:right w:val="single" w:sz="4" w:space="0" w:color="000000"/>
            </w:tcBorders>
            <w:shd w:val="clear" w:color="auto" w:fill="auto"/>
            <w:vAlign w:val="center"/>
          </w:tcPr>
          <w:p w14:paraId="7B48F9A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0.709168</w:t>
            </w:r>
          </w:p>
        </w:tc>
      </w:tr>
      <w:tr w:rsidR="00073701" w14:paraId="3F703EA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319407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1700" w:type="dxa"/>
            <w:tcBorders>
              <w:top w:val="nil"/>
              <w:left w:val="nil"/>
              <w:bottom w:val="single" w:sz="4" w:space="0" w:color="000000"/>
              <w:right w:val="single" w:sz="4" w:space="0" w:color="000000"/>
            </w:tcBorders>
            <w:shd w:val="clear" w:color="auto" w:fill="auto"/>
            <w:vAlign w:val="center"/>
          </w:tcPr>
          <w:p w14:paraId="7ACBA392"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Pašatrijys</w:t>
            </w:r>
          </w:p>
        </w:tc>
        <w:tc>
          <w:tcPr>
            <w:tcW w:w="3985" w:type="dxa"/>
            <w:tcBorders>
              <w:top w:val="nil"/>
              <w:left w:val="nil"/>
              <w:bottom w:val="single" w:sz="4" w:space="0" w:color="000000"/>
              <w:right w:val="single" w:sz="4" w:space="0" w:color="000000"/>
            </w:tcBorders>
            <w:shd w:val="clear" w:color="auto" w:fill="auto"/>
            <w:vAlign w:val="center"/>
          </w:tcPr>
          <w:p w14:paraId="714EFFA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color w:val="000000"/>
                <w:sz w:val="20"/>
                <w:szCs w:val="20"/>
              </w:rPr>
              <w:t>arten (</w:t>
            </w:r>
            <w:r>
              <w:rPr>
                <w:rFonts w:ascii="Times New Roman" w:eastAsia="Times New Roman" w:hAnsi="Times New Roman" w:cs="Times New Roman"/>
                <w:i/>
                <w:color w:val="000000"/>
                <w:sz w:val="20"/>
                <w:szCs w:val="20"/>
              </w:rPr>
              <w:t>Martes martes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7EB3159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375127C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0.717884</w:t>
            </w:r>
          </w:p>
        </w:tc>
      </w:tr>
      <w:tr w:rsidR="00073701" w14:paraId="0B3A0007"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021924B"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1700" w:type="dxa"/>
            <w:tcBorders>
              <w:top w:val="nil"/>
              <w:left w:val="nil"/>
              <w:bottom w:val="single" w:sz="4" w:space="0" w:color="000000"/>
              <w:right w:val="single" w:sz="4" w:space="0" w:color="000000"/>
            </w:tcBorders>
            <w:shd w:val="clear" w:color="auto" w:fill="auto"/>
            <w:vAlign w:val="center"/>
          </w:tcPr>
          <w:p w14:paraId="32F63577"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Pašatrijys</w:t>
            </w:r>
          </w:p>
        </w:tc>
        <w:tc>
          <w:tcPr>
            <w:tcW w:w="3985" w:type="dxa"/>
            <w:tcBorders>
              <w:top w:val="nil"/>
              <w:left w:val="nil"/>
              <w:bottom w:val="single" w:sz="4" w:space="0" w:color="000000"/>
              <w:right w:val="single" w:sz="4" w:space="0" w:color="000000"/>
            </w:tcBorders>
            <w:shd w:val="clear" w:color="auto" w:fill="auto"/>
            <w:vAlign w:val="center"/>
          </w:tcPr>
          <w:p w14:paraId="2A6DF77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7BC476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6D0C482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0.714339</w:t>
            </w:r>
          </w:p>
        </w:tc>
      </w:tr>
      <w:tr w:rsidR="00073701" w14:paraId="33039370"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B1FD500"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1700" w:type="dxa"/>
            <w:tcBorders>
              <w:top w:val="nil"/>
              <w:left w:val="nil"/>
              <w:bottom w:val="single" w:sz="4" w:space="0" w:color="000000"/>
              <w:right w:val="single" w:sz="4" w:space="0" w:color="000000"/>
            </w:tcBorders>
            <w:shd w:val="clear" w:color="auto" w:fill="auto"/>
            <w:vAlign w:val="center"/>
          </w:tcPr>
          <w:p w14:paraId="1F3B2D4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Prelomciškė</w:t>
            </w:r>
          </w:p>
        </w:tc>
        <w:tc>
          <w:tcPr>
            <w:tcW w:w="3985" w:type="dxa"/>
            <w:tcBorders>
              <w:top w:val="nil"/>
              <w:left w:val="nil"/>
              <w:bottom w:val="single" w:sz="4" w:space="0" w:color="000000"/>
              <w:right w:val="single" w:sz="4" w:space="0" w:color="000000"/>
            </w:tcBorders>
            <w:shd w:val="clear" w:color="auto" w:fill="auto"/>
            <w:vAlign w:val="center"/>
          </w:tcPr>
          <w:p w14:paraId="3C44D33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heep/goat (</w:t>
            </w:r>
            <w:r>
              <w:rPr>
                <w:rFonts w:ascii="Times New Roman" w:eastAsia="Times New Roman" w:hAnsi="Times New Roman" w:cs="Times New Roman"/>
                <w:i/>
                <w:color w:val="000000"/>
                <w:sz w:val="20"/>
                <w:szCs w:val="20"/>
              </w:rPr>
              <w:t xml:space="preserve">Ovis aries </w:t>
            </w:r>
            <w:r>
              <w:rPr>
                <w:rFonts w:ascii="Times New Roman" w:eastAsia="Times New Roman" w:hAnsi="Times New Roman" w:cs="Times New Roman"/>
                <w:color w:val="000000"/>
                <w:sz w:val="20"/>
                <w:szCs w:val="20"/>
              </w:rPr>
              <w:t>L./</w:t>
            </w:r>
            <w:r>
              <w:rPr>
                <w:rFonts w:ascii="Times New Roman" w:eastAsia="Times New Roman" w:hAnsi="Times New Roman" w:cs="Times New Roman"/>
                <w:i/>
                <w:color w:val="000000"/>
                <w:sz w:val="20"/>
                <w:szCs w:val="20"/>
              </w:rPr>
              <w:t>Capra hircus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37669C7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768DA51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0.713690</w:t>
            </w:r>
          </w:p>
        </w:tc>
      </w:tr>
      <w:tr w:rsidR="00073701" w14:paraId="5EEF19B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2B3C042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1700" w:type="dxa"/>
            <w:tcBorders>
              <w:top w:val="nil"/>
              <w:left w:val="nil"/>
              <w:bottom w:val="single" w:sz="4" w:space="0" w:color="000000"/>
              <w:right w:val="single" w:sz="4" w:space="0" w:color="000000"/>
            </w:tcBorders>
            <w:shd w:val="clear" w:color="auto" w:fill="auto"/>
            <w:vAlign w:val="center"/>
          </w:tcPr>
          <w:p w14:paraId="38775B07"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Prelomciškė</w:t>
            </w:r>
          </w:p>
        </w:tc>
        <w:tc>
          <w:tcPr>
            <w:tcW w:w="3985" w:type="dxa"/>
            <w:tcBorders>
              <w:top w:val="nil"/>
              <w:left w:val="nil"/>
              <w:bottom w:val="single" w:sz="4" w:space="0" w:color="000000"/>
              <w:right w:val="single" w:sz="4" w:space="0" w:color="000000"/>
            </w:tcBorders>
            <w:shd w:val="clear" w:color="auto" w:fill="auto"/>
            <w:vAlign w:val="center"/>
          </w:tcPr>
          <w:p w14:paraId="55EBEAB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569954A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5350D45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0.713655</w:t>
            </w:r>
          </w:p>
        </w:tc>
      </w:tr>
      <w:tr w:rsidR="00073701" w14:paraId="3ED1EA1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5BA9B50"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1700" w:type="dxa"/>
            <w:tcBorders>
              <w:top w:val="nil"/>
              <w:left w:val="nil"/>
              <w:bottom w:val="single" w:sz="4" w:space="0" w:color="000000"/>
              <w:right w:val="single" w:sz="4" w:space="0" w:color="000000"/>
            </w:tcBorders>
            <w:shd w:val="clear" w:color="auto" w:fill="auto"/>
            <w:vAlign w:val="center"/>
          </w:tcPr>
          <w:p w14:paraId="32E4FC0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2</w:t>
            </w:r>
          </w:p>
        </w:tc>
        <w:tc>
          <w:tcPr>
            <w:tcW w:w="3985" w:type="dxa"/>
            <w:tcBorders>
              <w:top w:val="nil"/>
              <w:left w:val="nil"/>
              <w:bottom w:val="single" w:sz="4" w:space="0" w:color="000000"/>
              <w:right w:val="single" w:sz="4" w:space="0" w:color="000000"/>
            </w:tcBorders>
            <w:shd w:val="clear" w:color="auto" w:fill="auto"/>
            <w:vAlign w:val="center"/>
          </w:tcPr>
          <w:p w14:paraId="15A508E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7752A15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38054FC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0.713814</w:t>
            </w:r>
          </w:p>
        </w:tc>
      </w:tr>
      <w:tr w:rsidR="00073701" w14:paraId="43B7814E"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60E7709"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c>
          <w:tcPr>
            <w:tcW w:w="1700" w:type="dxa"/>
            <w:tcBorders>
              <w:top w:val="nil"/>
              <w:left w:val="nil"/>
              <w:bottom w:val="single" w:sz="4" w:space="0" w:color="000000"/>
              <w:right w:val="single" w:sz="4" w:space="0" w:color="000000"/>
            </w:tcBorders>
            <w:shd w:val="clear" w:color="auto" w:fill="auto"/>
            <w:vAlign w:val="center"/>
          </w:tcPr>
          <w:p w14:paraId="43F93F5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23</w:t>
            </w:r>
          </w:p>
        </w:tc>
        <w:tc>
          <w:tcPr>
            <w:tcW w:w="3985" w:type="dxa"/>
            <w:tcBorders>
              <w:top w:val="nil"/>
              <w:left w:val="nil"/>
              <w:bottom w:val="single" w:sz="4" w:space="0" w:color="000000"/>
              <w:right w:val="single" w:sz="4" w:space="0" w:color="000000"/>
            </w:tcBorders>
            <w:shd w:val="clear" w:color="auto" w:fill="auto"/>
            <w:vAlign w:val="center"/>
          </w:tcPr>
          <w:p w14:paraId="4C004A8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4238911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0F22C3A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0.709482</w:t>
            </w:r>
          </w:p>
        </w:tc>
      </w:tr>
      <w:tr w:rsidR="00073701" w14:paraId="4A82AE87"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1E85F4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1700" w:type="dxa"/>
            <w:tcBorders>
              <w:top w:val="nil"/>
              <w:left w:val="nil"/>
              <w:bottom w:val="single" w:sz="4" w:space="0" w:color="000000"/>
              <w:right w:val="single" w:sz="4" w:space="0" w:color="000000"/>
            </w:tcBorders>
            <w:shd w:val="clear" w:color="auto" w:fill="auto"/>
            <w:vAlign w:val="center"/>
          </w:tcPr>
          <w:p w14:paraId="7A9D289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26</w:t>
            </w:r>
          </w:p>
        </w:tc>
        <w:tc>
          <w:tcPr>
            <w:tcW w:w="3985" w:type="dxa"/>
            <w:tcBorders>
              <w:top w:val="nil"/>
              <w:left w:val="nil"/>
              <w:bottom w:val="single" w:sz="4" w:space="0" w:color="000000"/>
              <w:right w:val="single" w:sz="4" w:space="0" w:color="000000"/>
            </w:tcBorders>
            <w:shd w:val="clear" w:color="auto" w:fill="auto"/>
            <w:vAlign w:val="center"/>
          </w:tcPr>
          <w:p w14:paraId="7A2B59C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C1F622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0B04998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0.714338</w:t>
            </w:r>
          </w:p>
        </w:tc>
      </w:tr>
      <w:tr w:rsidR="00073701" w14:paraId="460DC8E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26E4CC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1700" w:type="dxa"/>
            <w:tcBorders>
              <w:top w:val="nil"/>
              <w:left w:val="nil"/>
              <w:bottom w:val="single" w:sz="4" w:space="0" w:color="000000"/>
              <w:right w:val="single" w:sz="4" w:space="0" w:color="000000"/>
            </w:tcBorders>
            <w:shd w:val="clear" w:color="auto" w:fill="auto"/>
            <w:vAlign w:val="center"/>
          </w:tcPr>
          <w:p w14:paraId="2C836E8B"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3</w:t>
            </w:r>
          </w:p>
        </w:tc>
        <w:tc>
          <w:tcPr>
            <w:tcW w:w="3985" w:type="dxa"/>
            <w:tcBorders>
              <w:top w:val="nil"/>
              <w:left w:val="nil"/>
              <w:bottom w:val="single" w:sz="4" w:space="0" w:color="000000"/>
              <w:right w:val="single" w:sz="4" w:space="0" w:color="000000"/>
            </w:tcBorders>
            <w:shd w:val="clear" w:color="auto" w:fill="auto"/>
            <w:vAlign w:val="center"/>
          </w:tcPr>
          <w:p w14:paraId="4934899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color w:val="000000"/>
                <w:sz w:val="20"/>
                <w:szCs w:val="20"/>
              </w:rPr>
              <w:t>og (</w:t>
            </w:r>
            <w:r>
              <w:rPr>
                <w:rFonts w:ascii="Times New Roman" w:eastAsia="Times New Roman" w:hAnsi="Times New Roman" w:cs="Times New Roman"/>
                <w:i/>
                <w:color w:val="000000"/>
                <w:sz w:val="20"/>
                <w:szCs w:val="20"/>
              </w:rPr>
              <w:t>Canis familiaris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7F8F171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2F75676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0.710034</w:t>
            </w:r>
          </w:p>
        </w:tc>
      </w:tr>
      <w:tr w:rsidR="00073701" w14:paraId="23137CF3"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9E0BC2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1700" w:type="dxa"/>
            <w:tcBorders>
              <w:top w:val="nil"/>
              <w:left w:val="nil"/>
              <w:bottom w:val="single" w:sz="4" w:space="0" w:color="000000"/>
              <w:right w:val="single" w:sz="4" w:space="0" w:color="000000"/>
            </w:tcBorders>
            <w:shd w:val="clear" w:color="auto" w:fill="auto"/>
            <w:vAlign w:val="center"/>
          </w:tcPr>
          <w:p w14:paraId="5D9FF305"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w:t>
            </w:r>
          </w:p>
        </w:tc>
        <w:tc>
          <w:tcPr>
            <w:tcW w:w="3985" w:type="dxa"/>
            <w:tcBorders>
              <w:top w:val="nil"/>
              <w:left w:val="nil"/>
              <w:bottom w:val="single" w:sz="4" w:space="0" w:color="000000"/>
              <w:right w:val="single" w:sz="4" w:space="0" w:color="000000"/>
            </w:tcBorders>
            <w:shd w:val="clear" w:color="auto" w:fill="auto"/>
            <w:vAlign w:val="center"/>
          </w:tcPr>
          <w:p w14:paraId="5C3AFD8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Beaver (</w:t>
            </w:r>
            <w:r>
              <w:rPr>
                <w:rFonts w:ascii="Times New Roman" w:eastAsia="Times New Roman" w:hAnsi="Times New Roman" w:cs="Times New Roman"/>
                <w:i/>
                <w:sz w:val="20"/>
                <w:szCs w:val="20"/>
              </w:rPr>
              <w:t>Castor fiber</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5E1C0CE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752838A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0.709612</w:t>
            </w:r>
          </w:p>
        </w:tc>
      </w:tr>
      <w:tr w:rsidR="00073701" w14:paraId="6F6E8CA5"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DAD34F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700" w:type="dxa"/>
            <w:tcBorders>
              <w:top w:val="nil"/>
              <w:left w:val="nil"/>
              <w:bottom w:val="single" w:sz="4" w:space="0" w:color="000000"/>
              <w:right w:val="single" w:sz="4" w:space="0" w:color="000000"/>
            </w:tcBorders>
            <w:shd w:val="clear" w:color="auto" w:fill="auto"/>
            <w:vAlign w:val="center"/>
          </w:tcPr>
          <w:p w14:paraId="38D6CF63"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w:t>
            </w:r>
          </w:p>
        </w:tc>
        <w:tc>
          <w:tcPr>
            <w:tcW w:w="3985" w:type="dxa"/>
            <w:tcBorders>
              <w:top w:val="nil"/>
              <w:left w:val="nil"/>
              <w:bottom w:val="single" w:sz="4" w:space="0" w:color="000000"/>
              <w:right w:val="single" w:sz="4" w:space="0" w:color="000000"/>
            </w:tcBorders>
            <w:shd w:val="clear" w:color="auto" w:fill="auto"/>
            <w:vAlign w:val="center"/>
          </w:tcPr>
          <w:p w14:paraId="23DEDE0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color w:val="000000"/>
                <w:sz w:val="20"/>
                <w:szCs w:val="20"/>
              </w:rPr>
              <w:t>og (</w:t>
            </w:r>
            <w:r>
              <w:rPr>
                <w:rFonts w:ascii="Times New Roman" w:eastAsia="Times New Roman" w:hAnsi="Times New Roman" w:cs="Times New Roman"/>
                <w:i/>
                <w:color w:val="000000"/>
                <w:sz w:val="20"/>
                <w:szCs w:val="20"/>
              </w:rPr>
              <w:t>Canis familiaris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37F7D2C9"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395E3D9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0.709989</w:t>
            </w:r>
          </w:p>
        </w:tc>
      </w:tr>
      <w:tr w:rsidR="00073701" w14:paraId="52F72C26"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F16834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p>
        </w:tc>
        <w:tc>
          <w:tcPr>
            <w:tcW w:w="1700" w:type="dxa"/>
            <w:tcBorders>
              <w:top w:val="nil"/>
              <w:left w:val="nil"/>
              <w:bottom w:val="single" w:sz="4" w:space="0" w:color="000000"/>
              <w:right w:val="single" w:sz="4" w:space="0" w:color="000000"/>
            </w:tcBorders>
            <w:shd w:val="clear" w:color="auto" w:fill="auto"/>
            <w:vAlign w:val="center"/>
          </w:tcPr>
          <w:p w14:paraId="1DB67BC8"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w:t>
            </w:r>
          </w:p>
        </w:tc>
        <w:tc>
          <w:tcPr>
            <w:tcW w:w="3985" w:type="dxa"/>
            <w:tcBorders>
              <w:top w:val="nil"/>
              <w:left w:val="nil"/>
              <w:bottom w:val="single" w:sz="4" w:space="0" w:color="000000"/>
              <w:right w:val="single" w:sz="4" w:space="0" w:color="000000"/>
            </w:tcBorders>
            <w:shd w:val="clear" w:color="auto" w:fill="auto"/>
            <w:vAlign w:val="center"/>
          </w:tcPr>
          <w:p w14:paraId="7CB7646B"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oe deer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29468F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328C7F2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0.711298</w:t>
            </w:r>
          </w:p>
        </w:tc>
      </w:tr>
      <w:tr w:rsidR="00073701" w14:paraId="3C5428D1"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F6588F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1700" w:type="dxa"/>
            <w:tcBorders>
              <w:top w:val="nil"/>
              <w:left w:val="nil"/>
              <w:bottom w:val="single" w:sz="4" w:space="0" w:color="000000"/>
              <w:right w:val="single" w:sz="4" w:space="0" w:color="000000"/>
            </w:tcBorders>
            <w:shd w:val="clear" w:color="auto" w:fill="auto"/>
            <w:vAlign w:val="center"/>
          </w:tcPr>
          <w:p w14:paraId="2545544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43</w:t>
            </w:r>
          </w:p>
        </w:tc>
        <w:tc>
          <w:tcPr>
            <w:tcW w:w="3985" w:type="dxa"/>
            <w:tcBorders>
              <w:top w:val="nil"/>
              <w:left w:val="nil"/>
              <w:bottom w:val="single" w:sz="4" w:space="0" w:color="000000"/>
              <w:right w:val="single" w:sz="4" w:space="0" w:color="000000"/>
            </w:tcBorders>
            <w:shd w:val="clear" w:color="auto" w:fill="auto"/>
            <w:vAlign w:val="center"/>
          </w:tcPr>
          <w:p w14:paraId="6FBF507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ox (</w:t>
            </w:r>
            <w:r>
              <w:rPr>
                <w:rFonts w:ascii="Times New Roman" w:eastAsia="Times New Roman" w:hAnsi="Times New Roman" w:cs="Times New Roman"/>
                <w:i/>
                <w:color w:val="000000"/>
                <w:sz w:val="20"/>
                <w:szCs w:val="20"/>
              </w:rPr>
              <w:t>Vulpes vulpes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197E6D7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223A943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0.713400</w:t>
            </w:r>
          </w:p>
        </w:tc>
      </w:tr>
      <w:tr w:rsidR="00073701" w14:paraId="762BEEC1"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3AEADED"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w:t>
            </w:r>
          </w:p>
        </w:tc>
        <w:tc>
          <w:tcPr>
            <w:tcW w:w="1700" w:type="dxa"/>
            <w:tcBorders>
              <w:top w:val="nil"/>
              <w:left w:val="nil"/>
              <w:bottom w:val="single" w:sz="4" w:space="0" w:color="000000"/>
              <w:right w:val="single" w:sz="4" w:space="0" w:color="000000"/>
            </w:tcBorders>
            <w:shd w:val="clear" w:color="auto" w:fill="auto"/>
            <w:vAlign w:val="center"/>
          </w:tcPr>
          <w:p w14:paraId="5F5301F6"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Šventoji 43</w:t>
            </w:r>
          </w:p>
        </w:tc>
        <w:tc>
          <w:tcPr>
            <w:tcW w:w="3985" w:type="dxa"/>
            <w:tcBorders>
              <w:top w:val="nil"/>
              <w:left w:val="nil"/>
              <w:bottom w:val="single" w:sz="4" w:space="0" w:color="000000"/>
              <w:right w:val="single" w:sz="4" w:space="0" w:color="000000"/>
            </w:tcBorders>
            <w:shd w:val="clear" w:color="auto" w:fill="auto"/>
            <w:vAlign w:val="center"/>
          </w:tcPr>
          <w:p w14:paraId="0E7F224C"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w:t>
            </w:r>
            <w:r>
              <w:rPr>
                <w:rFonts w:ascii="Times New Roman" w:eastAsia="Times New Roman" w:hAnsi="Times New Roman" w:cs="Times New Roman"/>
                <w:color w:val="000000"/>
                <w:sz w:val="20"/>
                <w:szCs w:val="20"/>
              </w:rPr>
              <w:t>oe deer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capreolus</w:t>
            </w:r>
            <w:r>
              <w:rPr>
                <w:rFonts w:ascii="Times New Roman" w:eastAsia="Times New Roman" w:hAnsi="Times New Roman" w:cs="Times New Roman"/>
                <w:color w:val="000000"/>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3E536E9D"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Subneolithic</w:t>
            </w:r>
          </w:p>
        </w:tc>
        <w:tc>
          <w:tcPr>
            <w:tcW w:w="1061" w:type="dxa"/>
            <w:tcBorders>
              <w:top w:val="nil"/>
              <w:left w:val="nil"/>
              <w:bottom w:val="single" w:sz="4" w:space="0" w:color="000000"/>
              <w:right w:val="single" w:sz="4" w:space="0" w:color="000000"/>
            </w:tcBorders>
            <w:shd w:val="clear" w:color="auto" w:fill="auto"/>
            <w:vAlign w:val="center"/>
          </w:tcPr>
          <w:p w14:paraId="21C74EE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0.714821</w:t>
            </w:r>
          </w:p>
        </w:tc>
      </w:tr>
      <w:tr w:rsidR="00073701" w14:paraId="41CC5EF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E734A58"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1700" w:type="dxa"/>
            <w:tcBorders>
              <w:top w:val="nil"/>
              <w:left w:val="nil"/>
              <w:bottom w:val="single" w:sz="4" w:space="0" w:color="000000"/>
              <w:right w:val="single" w:sz="4" w:space="0" w:color="000000"/>
            </w:tcBorders>
            <w:shd w:val="clear" w:color="auto" w:fill="auto"/>
            <w:vAlign w:val="center"/>
          </w:tcPr>
          <w:p w14:paraId="77F7B88E"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3985" w:type="dxa"/>
            <w:tcBorders>
              <w:top w:val="nil"/>
              <w:left w:val="nil"/>
              <w:bottom w:val="single" w:sz="4" w:space="0" w:color="000000"/>
              <w:right w:val="single" w:sz="4" w:space="0" w:color="000000"/>
            </w:tcBorders>
            <w:shd w:val="clear" w:color="auto" w:fill="auto"/>
            <w:vAlign w:val="center"/>
          </w:tcPr>
          <w:p w14:paraId="75700E5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ater vole (</w:t>
            </w:r>
            <w:r>
              <w:rPr>
                <w:rFonts w:ascii="Times New Roman" w:eastAsia="Times New Roman" w:hAnsi="Times New Roman" w:cs="Times New Roman"/>
                <w:i/>
                <w:sz w:val="20"/>
                <w:szCs w:val="20"/>
              </w:rPr>
              <w:t>Arvicola terrestris</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6E2985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LBA</w:t>
            </w:r>
          </w:p>
        </w:tc>
        <w:tc>
          <w:tcPr>
            <w:tcW w:w="1061" w:type="dxa"/>
            <w:tcBorders>
              <w:top w:val="nil"/>
              <w:left w:val="nil"/>
              <w:bottom w:val="single" w:sz="4" w:space="0" w:color="000000"/>
              <w:right w:val="single" w:sz="4" w:space="0" w:color="000000"/>
            </w:tcBorders>
            <w:shd w:val="clear" w:color="auto" w:fill="auto"/>
            <w:vAlign w:val="center"/>
          </w:tcPr>
          <w:p w14:paraId="1DFB03C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0.712793</w:t>
            </w:r>
          </w:p>
        </w:tc>
      </w:tr>
      <w:tr w:rsidR="00073701" w14:paraId="0EEE91F3"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8638DEE"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700" w:type="dxa"/>
            <w:tcBorders>
              <w:top w:val="nil"/>
              <w:left w:val="nil"/>
              <w:bottom w:val="single" w:sz="4" w:space="0" w:color="000000"/>
              <w:right w:val="single" w:sz="4" w:space="0" w:color="000000"/>
            </w:tcBorders>
            <w:shd w:val="clear" w:color="auto" w:fill="auto"/>
            <w:vAlign w:val="center"/>
          </w:tcPr>
          <w:p w14:paraId="7E48D4C0"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3985" w:type="dxa"/>
            <w:tcBorders>
              <w:top w:val="nil"/>
              <w:left w:val="nil"/>
              <w:bottom w:val="single" w:sz="4" w:space="0" w:color="000000"/>
              <w:right w:val="single" w:sz="4" w:space="0" w:color="000000"/>
            </w:tcBorders>
            <w:shd w:val="clear" w:color="auto" w:fill="auto"/>
            <w:vAlign w:val="center"/>
          </w:tcPr>
          <w:p w14:paraId="4B16BC2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ater vole (</w:t>
            </w:r>
            <w:r>
              <w:rPr>
                <w:rFonts w:ascii="Times New Roman" w:eastAsia="Times New Roman" w:hAnsi="Times New Roman" w:cs="Times New Roman"/>
                <w:i/>
                <w:sz w:val="20"/>
                <w:szCs w:val="20"/>
              </w:rPr>
              <w:t>Arvicola terrestris</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423D7F2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LBA</w:t>
            </w:r>
          </w:p>
        </w:tc>
        <w:tc>
          <w:tcPr>
            <w:tcW w:w="1061" w:type="dxa"/>
            <w:tcBorders>
              <w:top w:val="nil"/>
              <w:left w:val="nil"/>
              <w:bottom w:val="single" w:sz="4" w:space="0" w:color="000000"/>
              <w:right w:val="single" w:sz="4" w:space="0" w:color="000000"/>
            </w:tcBorders>
            <w:shd w:val="clear" w:color="auto" w:fill="auto"/>
            <w:vAlign w:val="center"/>
          </w:tcPr>
          <w:p w14:paraId="4C45057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0.714260</w:t>
            </w:r>
          </w:p>
        </w:tc>
      </w:tr>
      <w:tr w:rsidR="00073701" w14:paraId="2E520F5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7161DF3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w:t>
            </w:r>
          </w:p>
        </w:tc>
        <w:tc>
          <w:tcPr>
            <w:tcW w:w="1700" w:type="dxa"/>
            <w:tcBorders>
              <w:top w:val="nil"/>
              <w:left w:val="nil"/>
              <w:bottom w:val="single" w:sz="4" w:space="0" w:color="000000"/>
              <w:right w:val="single" w:sz="4" w:space="0" w:color="000000"/>
            </w:tcBorders>
            <w:shd w:val="clear" w:color="auto" w:fill="auto"/>
            <w:vAlign w:val="center"/>
          </w:tcPr>
          <w:p w14:paraId="52BCDC7A"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3985" w:type="dxa"/>
            <w:tcBorders>
              <w:top w:val="nil"/>
              <w:left w:val="nil"/>
              <w:bottom w:val="single" w:sz="4" w:space="0" w:color="000000"/>
              <w:right w:val="single" w:sz="4" w:space="0" w:color="000000"/>
            </w:tcBorders>
            <w:shd w:val="clear" w:color="auto" w:fill="auto"/>
            <w:vAlign w:val="center"/>
          </w:tcPr>
          <w:p w14:paraId="326327A3"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ater vole (</w:t>
            </w:r>
            <w:r>
              <w:rPr>
                <w:rFonts w:ascii="Times New Roman" w:eastAsia="Times New Roman" w:hAnsi="Times New Roman" w:cs="Times New Roman"/>
                <w:i/>
                <w:sz w:val="20"/>
                <w:szCs w:val="20"/>
              </w:rPr>
              <w:t>Arvicola terrestris</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20F4609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LBA</w:t>
            </w:r>
          </w:p>
        </w:tc>
        <w:tc>
          <w:tcPr>
            <w:tcW w:w="1061" w:type="dxa"/>
            <w:tcBorders>
              <w:top w:val="nil"/>
              <w:left w:val="nil"/>
              <w:bottom w:val="single" w:sz="4" w:space="0" w:color="000000"/>
              <w:right w:val="single" w:sz="4" w:space="0" w:color="000000"/>
            </w:tcBorders>
            <w:shd w:val="clear" w:color="auto" w:fill="auto"/>
            <w:vAlign w:val="center"/>
          </w:tcPr>
          <w:p w14:paraId="5A2A92E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0.712696</w:t>
            </w:r>
          </w:p>
        </w:tc>
      </w:tr>
      <w:tr w:rsidR="00073701" w14:paraId="0299923B"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1D2366A2"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1700" w:type="dxa"/>
            <w:tcBorders>
              <w:top w:val="nil"/>
              <w:left w:val="nil"/>
              <w:bottom w:val="single" w:sz="4" w:space="0" w:color="000000"/>
              <w:right w:val="single" w:sz="4" w:space="0" w:color="000000"/>
            </w:tcBorders>
            <w:shd w:val="clear" w:color="auto" w:fill="auto"/>
            <w:vAlign w:val="center"/>
          </w:tcPr>
          <w:p w14:paraId="72250926"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3985" w:type="dxa"/>
            <w:tcBorders>
              <w:top w:val="nil"/>
              <w:left w:val="nil"/>
              <w:bottom w:val="single" w:sz="4" w:space="0" w:color="000000"/>
              <w:right w:val="single" w:sz="4" w:space="0" w:color="000000"/>
            </w:tcBorders>
            <w:shd w:val="clear" w:color="auto" w:fill="auto"/>
            <w:vAlign w:val="center"/>
          </w:tcPr>
          <w:p w14:paraId="11DCEEC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w:t>
            </w:r>
            <w:r>
              <w:rPr>
                <w:rFonts w:ascii="Times New Roman" w:eastAsia="Times New Roman" w:hAnsi="Times New Roman" w:cs="Times New Roman"/>
                <w:color w:val="000000"/>
                <w:sz w:val="20"/>
                <w:szCs w:val="20"/>
              </w:rPr>
              <w:t>ater vole (</w:t>
            </w:r>
            <w:r>
              <w:rPr>
                <w:rFonts w:ascii="Times New Roman" w:eastAsia="Times New Roman" w:hAnsi="Times New Roman" w:cs="Times New Roman"/>
                <w:i/>
                <w:sz w:val="20"/>
                <w:szCs w:val="20"/>
              </w:rPr>
              <w:t>Arvicola terrestris</w:t>
            </w:r>
            <w:r>
              <w:rPr>
                <w:rFonts w:ascii="Times New Roman" w:eastAsia="Times New Roman" w:hAnsi="Times New Roman" w:cs="Times New Roman"/>
                <w:sz w:val="20"/>
                <w:szCs w:val="20"/>
              </w:rPr>
              <w:t xml:space="preserve"> L.)</w:t>
            </w:r>
          </w:p>
        </w:tc>
        <w:tc>
          <w:tcPr>
            <w:tcW w:w="1931" w:type="dxa"/>
            <w:tcBorders>
              <w:top w:val="nil"/>
              <w:left w:val="nil"/>
              <w:bottom w:val="single" w:sz="4" w:space="0" w:color="000000"/>
              <w:right w:val="single" w:sz="4" w:space="0" w:color="000000"/>
            </w:tcBorders>
            <w:shd w:val="clear" w:color="auto" w:fill="auto"/>
            <w:vAlign w:val="center"/>
          </w:tcPr>
          <w:p w14:paraId="63C0A7B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LBA</w:t>
            </w:r>
          </w:p>
        </w:tc>
        <w:tc>
          <w:tcPr>
            <w:tcW w:w="1061" w:type="dxa"/>
            <w:tcBorders>
              <w:top w:val="nil"/>
              <w:left w:val="nil"/>
              <w:bottom w:val="single" w:sz="4" w:space="0" w:color="000000"/>
              <w:right w:val="single" w:sz="4" w:space="0" w:color="000000"/>
            </w:tcBorders>
            <w:shd w:val="clear" w:color="auto" w:fill="auto"/>
            <w:vAlign w:val="center"/>
          </w:tcPr>
          <w:p w14:paraId="70EE575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0.712657</w:t>
            </w:r>
          </w:p>
        </w:tc>
      </w:tr>
      <w:tr w:rsidR="00073701" w14:paraId="57179B4F"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588B8B0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1700" w:type="dxa"/>
            <w:tcBorders>
              <w:top w:val="nil"/>
              <w:left w:val="nil"/>
              <w:bottom w:val="single" w:sz="4" w:space="0" w:color="000000"/>
              <w:right w:val="single" w:sz="4" w:space="0" w:color="000000"/>
            </w:tcBorders>
            <w:shd w:val="clear" w:color="auto" w:fill="auto"/>
            <w:vAlign w:val="center"/>
          </w:tcPr>
          <w:p w14:paraId="7C611163"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Varniai</w:t>
            </w:r>
          </w:p>
        </w:tc>
        <w:tc>
          <w:tcPr>
            <w:tcW w:w="3985" w:type="dxa"/>
            <w:tcBorders>
              <w:top w:val="nil"/>
              <w:left w:val="nil"/>
              <w:bottom w:val="single" w:sz="4" w:space="0" w:color="000000"/>
              <w:right w:val="single" w:sz="4" w:space="0" w:color="000000"/>
            </w:tcBorders>
            <w:shd w:val="clear" w:color="auto" w:fill="auto"/>
            <w:vAlign w:val="center"/>
          </w:tcPr>
          <w:p w14:paraId="32E4FA4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156149B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Early Modern</w:t>
            </w:r>
          </w:p>
        </w:tc>
        <w:tc>
          <w:tcPr>
            <w:tcW w:w="1061" w:type="dxa"/>
            <w:tcBorders>
              <w:top w:val="nil"/>
              <w:left w:val="nil"/>
              <w:bottom w:val="single" w:sz="4" w:space="0" w:color="000000"/>
              <w:right w:val="single" w:sz="4" w:space="0" w:color="000000"/>
            </w:tcBorders>
            <w:shd w:val="clear" w:color="auto" w:fill="auto"/>
            <w:vAlign w:val="center"/>
          </w:tcPr>
          <w:p w14:paraId="50548FA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0.714592</w:t>
            </w:r>
          </w:p>
        </w:tc>
      </w:tr>
      <w:tr w:rsidR="00073701" w14:paraId="6CBF5C18"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3FAE14E5"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700" w:type="dxa"/>
            <w:tcBorders>
              <w:top w:val="nil"/>
              <w:left w:val="nil"/>
              <w:bottom w:val="single" w:sz="4" w:space="0" w:color="000000"/>
              <w:right w:val="single" w:sz="4" w:space="0" w:color="000000"/>
            </w:tcBorders>
            <w:shd w:val="clear" w:color="auto" w:fill="auto"/>
            <w:vAlign w:val="center"/>
          </w:tcPr>
          <w:p w14:paraId="14645DF3"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Varniai</w:t>
            </w:r>
          </w:p>
        </w:tc>
        <w:tc>
          <w:tcPr>
            <w:tcW w:w="3985" w:type="dxa"/>
            <w:tcBorders>
              <w:top w:val="nil"/>
              <w:left w:val="nil"/>
              <w:bottom w:val="single" w:sz="4" w:space="0" w:color="000000"/>
              <w:right w:val="single" w:sz="4" w:space="0" w:color="000000"/>
            </w:tcBorders>
            <w:shd w:val="clear" w:color="auto" w:fill="auto"/>
            <w:vAlign w:val="center"/>
          </w:tcPr>
          <w:p w14:paraId="6974F51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w:t>
            </w:r>
            <w:r>
              <w:rPr>
                <w:rFonts w:ascii="Times New Roman" w:eastAsia="Times New Roman" w:hAnsi="Times New Roman" w:cs="Times New Roman"/>
                <w:color w:val="000000"/>
                <w:sz w:val="20"/>
                <w:szCs w:val="20"/>
              </w:rPr>
              <w:t>ig (</w:t>
            </w:r>
            <w:r>
              <w:rPr>
                <w:rFonts w:ascii="Times New Roman" w:eastAsia="Times New Roman" w:hAnsi="Times New Roman" w:cs="Times New Roman"/>
                <w:i/>
                <w:color w:val="000000"/>
                <w:sz w:val="20"/>
                <w:szCs w:val="20"/>
              </w:rPr>
              <w:t xml:space="preserve">Sus scrofa domesticus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46EA531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Early Modern</w:t>
            </w:r>
          </w:p>
        </w:tc>
        <w:tc>
          <w:tcPr>
            <w:tcW w:w="1061" w:type="dxa"/>
            <w:tcBorders>
              <w:top w:val="nil"/>
              <w:left w:val="nil"/>
              <w:bottom w:val="single" w:sz="4" w:space="0" w:color="000000"/>
              <w:right w:val="single" w:sz="4" w:space="0" w:color="000000"/>
            </w:tcBorders>
            <w:shd w:val="clear" w:color="auto" w:fill="auto"/>
            <w:vAlign w:val="center"/>
          </w:tcPr>
          <w:p w14:paraId="2682388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0.716614</w:t>
            </w:r>
          </w:p>
        </w:tc>
      </w:tr>
      <w:tr w:rsidR="00073701" w14:paraId="5782B653"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043D08B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1700" w:type="dxa"/>
            <w:tcBorders>
              <w:top w:val="nil"/>
              <w:left w:val="nil"/>
              <w:bottom w:val="single" w:sz="4" w:space="0" w:color="000000"/>
              <w:right w:val="single" w:sz="4" w:space="0" w:color="000000"/>
            </w:tcBorders>
            <w:shd w:val="clear" w:color="auto" w:fill="auto"/>
            <w:vAlign w:val="center"/>
          </w:tcPr>
          <w:p w14:paraId="34853CF6"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Vievininkai</w:t>
            </w:r>
          </w:p>
        </w:tc>
        <w:tc>
          <w:tcPr>
            <w:tcW w:w="3985" w:type="dxa"/>
            <w:tcBorders>
              <w:top w:val="nil"/>
              <w:left w:val="nil"/>
              <w:bottom w:val="single" w:sz="4" w:space="0" w:color="000000"/>
              <w:right w:val="single" w:sz="4" w:space="0" w:color="000000"/>
            </w:tcBorders>
            <w:shd w:val="clear" w:color="auto" w:fill="auto"/>
            <w:vAlign w:val="center"/>
          </w:tcPr>
          <w:p w14:paraId="76807E5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mall rodent </w:t>
            </w:r>
          </w:p>
        </w:tc>
        <w:tc>
          <w:tcPr>
            <w:tcW w:w="1931" w:type="dxa"/>
            <w:tcBorders>
              <w:top w:val="nil"/>
              <w:left w:val="nil"/>
              <w:bottom w:val="single" w:sz="4" w:space="0" w:color="000000"/>
              <w:right w:val="single" w:sz="4" w:space="0" w:color="000000"/>
            </w:tcBorders>
            <w:shd w:val="clear" w:color="auto" w:fill="auto"/>
            <w:vAlign w:val="center"/>
          </w:tcPr>
          <w:p w14:paraId="3A7B825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Early Modern</w:t>
            </w:r>
          </w:p>
        </w:tc>
        <w:tc>
          <w:tcPr>
            <w:tcW w:w="1061" w:type="dxa"/>
            <w:tcBorders>
              <w:top w:val="nil"/>
              <w:left w:val="nil"/>
              <w:bottom w:val="single" w:sz="4" w:space="0" w:color="000000"/>
              <w:right w:val="single" w:sz="4" w:space="0" w:color="000000"/>
            </w:tcBorders>
            <w:shd w:val="clear" w:color="auto" w:fill="auto"/>
            <w:vAlign w:val="center"/>
          </w:tcPr>
          <w:p w14:paraId="2F43CFA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0.714941</w:t>
            </w:r>
          </w:p>
        </w:tc>
      </w:tr>
      <w:tr w:rsidR="00073701" w14:paraId="610D9F93"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4C997ADF"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1700" w:type="dxa"/>
            <w:tcBorders>
              <w:top w:val="nil"/>
              <w:left w:val="nil"/>
              <w:bottom w:val="single" w:sz="4" w:space="0" w:color="000000"/>
              <w:right w:val="single" w:sz="4" w:space="0" w:color="000000"/>
            </w:tcBorders>
            <w:shd w:val="clear" w:color="auto" w:fill="auto"/>
            <w:vAlign w:val="center"/>
          </w:tcPr>
          <w:p w14:paraId="370BAC5B"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Vievininkai</w:t>
            </w:r>
          </w:p>
        </w:tc>
        <w:tc>
          <w:tcPr>
            <w:tcW w:w="3985" w:type="dxa"/>
            <w:tcBorders>
              <w:top w:val="nil"/>
              <w:left w:val="nil"/>
              <w:bottom w:val="single" w:sz="4" w:space="0" w:color="000000"/>
              <w:right w:val="single" w:sz="4" w:space="0" w:color="000000"/>
            </w:tcBorders>
            <w:shd w:val="clear" w:color="auto" w:fill="auto"/>
            <w:vAlign w:val="center"/>
          </w:tcPr>
          <w:p w14:paraId="55DFF5C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mall rodent </w:t>
            </w:r>
          </w:p>
        </w:tc>
        <w:tc>
          <w:tcPr>
            <w:tcW w:w="1931" w:type="dxa"/>
            <w:tcBorders>
              <w:top w:val="nil"/>
              <w:left w:val="nil"/>
              <w:bottom w:val="single" w:sz="4" w:space="0" w:color="000000"/>
              <w:right w:val="single" w:sz="4" w:space="0" w:color="000000"/>
            </w:tcBorders>
            <w:shd w:val="clear" w:color="auto" w:fill="auto"/>
            <w:vAlign w:val="center"/>
          </w:tcPr>
          <w:p w14:paraId="0BE3A6A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Early Modern</w:t>
            </w:r>
          </w:p>
        </w:tc>
        <w:tc>
          <w:tcPr>
            <w:tcW w:w="1061" w:type="dxa"/>
            <w:tcBorders>
              <w:top w:val="nil"/>
              <w:left w:val="nil"/>
              <w:bottom w:val="single" w:sz="4" w:space="0" w:color="000000"/>
              <w:right w:val="single" w:sz="4" w:space="0" w:color="000000"/>
            </w:tcBorders>
            <w:shd w:val="clear" w:color="auto" w:fill="auto"/>
            <w:vAlign w:val="center"/>
          </w:tcPr>
          <w:p w14:paraId="377D680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0.716168</w:t>
            </w:r>
          </w:p>
        </w:tc>
      </w:tr>
      <w:tr w:rsidR="00073701" w14:paraId="4A9BA0D4" w14:textId="77777777">
        <w:trPr>
          <w:trHeight w:val="340"/>
        </w:trPr>
        <w:tc>
          <w:tcPr>
            <w:tcW w:w="930" w:type="dxa"/>
            <w:tcBorders>
              <w:top w:val="nil"/>
              <w:left w:val="single" w:sz="4" w:space="0" w:color="000000"/>
              <w:bottom w:val="single" w:sz="4" w:space="0" w:color="000000"/>
              <w:right w:val="single" w:sz="4" w:space="0" w:color="000000"/>
            </w:tcBorders>
            <w:shd w:val="clear" w:color="auto" w:fill="auto"/>
            <w:vAlign w:val="center"/>
          </w:tcPr>
          <w:p w14:paraId="62AFB6F9" w14:textId="77777777" w:rsidR="00073701" w:rsidRDefault="00C87DC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700" w:type="dxa"/>
            <w:tcBorders>
              <w:top w:val="nil"/>
              <w:left w:val="nil"/>
              <w:bottom w:val="single" w:sz="4" w:space="0" w:color="000000"/>
              <w:right w:val="single" w:sz="4" w:space="0" w:color="000000"/>
            </w:tcBorders>
            <w:shd w:val="clear" w:color="auto" w:fill="auto"/>
            <w:vAlign w:val="center"/>
          </w:tcPr>
          <w:p w14:paraId="0A0B4FDE" w14:textId="77777777" w:rsidR="00073701" w:rsidRDefault="00C87D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Žilioniai</w:t>
            </w:r>
          </w:p>
        </w:tc>
        <w:tc>
          <w:tcPr>
            <w:tcW w:w="3985" w:type="dxa"/>
            <w:tcBorders>
              <w:top w:val="nil"/>
              <w:left w:val="nil"/>
              <w:bottom w:val="single" w:sz="4" w:space="0" w:color="000000"/>
              <w:right w:val="single" w:sz="4" w:space="0" w:color="000000"/>
            </w:tcBorders>
            <w:shd w:val="clear" w:color="auto" w:fill="auto"/>
            <w:vAlign w:val="center"/>
          </w:tcPr>
          <w:p w14:paraId="6F03B037"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color w:val="000000"/>
                <w:sz w:val="20"/>
                <w:szCs w:val="20"/>
              </w:rPr>
              <w:t>attle (</w:t>
            </w:r>
            <w:r>
              <w:rPr>
                <w:rFonts w:ascii="Times New Roman" w:eastAsia="Times New Roman" w:hAnsi="Times New Roman" w:cs="Times New Roman"/>
                <w:i/>
                <w:color w:val="000000"/>
                <w:sz w:val="20"/>
                <w:szCs w:val="20"/>
              </w:rPr>
              <w:t xml:space="preserve">Bos taurus </w:t>
            </w:r>
            <w:r>
              <w:rPr>
                <w:rFonts w:ascii="Times New Roman" w:eastAsia="Times New Roman" w:hAnsi="Times New Roman" w:cs="Times New Roman"/>
                <w:color w:val="000000"/>
                <w:sz w:val="20"/>
                <w:szCs w:val="20"/>
              </w:rPr>
              <w:t>L.)</w:t>
            </w:r>
          </w:p>
        </w:tc>
        <w:tc>
          <w:tcPr>
            <w:tcW w:w="1931" w:type="dxa"/>
            <w:tcBorders>
              <w:top w:val="nil"/>
              <w:left w:val="nil"/>
              <w:bottom w:val="single" w:sz="4" w:space="0" w:color="000000"/>
              <w:right w:val="single" w:sz="4" w:space="0" w:color="000000"/>
            </w:tcBorders>
            <w:shd w:val="clear" w:color="auto" w:fill="auto"/>
            <w:vAlign w:val="center"/>
          </w:tcPr>
          <w:p w14:paraId="7B8C3380"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Iron Age</w:t>
            </w:r>
          </w:p>
        </w:tc>
        <w:tc>
          <w:tcPr>
            <w:tcW w:w="1061" w:type="dxa"/>
            <w:tcBorders>
              <w:top w:val="nil"/>
              <w:left w:val="nil"/>
              <w:bottom w:val="single" w:sz="4" w:space="0" w:color="000000"/>
              <w:right w:val="single" w:sz="4" w:space="0" w:color="000000"/>
            </w:tcBorders>
            <w:shd w:val="clear" w:color="auto" w:fill="auto"/>
            <w:vAlign w:val="center"/>
          </w:tcPr>
          <w:p w14:paraId="4CA0A9B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0.715472</w:t>
            </w:r>
          </w:p>
        </w:tc>
      </w:tr>
    </w:tbl>
    <w:p w14:paraId="4F75CC91"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Table 2.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measurements for animal teeth enamel via ID-TIMS. External precision (2σ) = 0.000013. EBA – Early Bronze Age, LBA – Late Bronze Age</w:t>
      </w:r>
    </w:p>
    <w:p w14:paraId="7535B190" w14:textId="77777777" w:rsidR="00073701" w:rsidRDefault="00073701">
      <w:pPr>
        <w:spacing w:after="0" w:line="240" w:lineRule="auto"/>
        <w:jc w:val="both"/>
        <w:rPr>
          <w:rFonts w:ascii="Times New Roman" w:eastAsia="Times New Roman" w:hAnsi="Times New Roman" w:cs="Times New Roman"/>
          <w:sz w:val="24"/>
          <w:szCs w:val="24"/>
        </w:rPr>
      </w:pPr>
    </w:p>
    <w:p w14:paraId="27E9C7D1"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II.3. Modern plants</w:t>
      </w:r>
    </w:p>
    <w:p w14:paraId="4EA362F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very few animals or when only a single species (e.g. water vole from Turlojiškė) was available </w:t>
      </w:r>
      <w:r>
        <w:rPr>
          <w:rFonts w:ascii="Times New Roman" w:eastAsia="Times New Roman" w:hAnsi="Times New Roman" w:cs="Times New Roman"/>
          <w:sz w:val="24"/>
          <w:szCs w:val="24"/>
        </w:rPr>
        <w:t>for analysis or when the faunal remains came from a fairly large distance (ca. 10-40 km) from the analysed human remains (e.g. Gyvakarai and Plinkaigalis), we sampled leaves of seven young modern trees (lime, ash, alder, and aspen). Furthermore, we decided</w:t>
      </w:r>
      <w:r>
        <w:rPr>
          <w:rFonts w:ascii="Times New Roman" w:eastAsia="Times New Roman" w:hAnsi="Times New Roman" w:cs="Times New Roman"/>
          <w:sz w:val="24"/>
          <w:szCs w:val="24"/>
        </w:rPr>
        <w:t xml:space="preserve"> to use modern tree leaves in order to investigate the sea spray effect on the Baltic coast and for this we sampled leaves from five trees (aspen and birch) growing 50 to 6000 metres from five sites along the modern </w:t>
      </w:r>
      <w:r>
        <w:rPr>
          <w:rFonts w:ascii="Times New Roman" w:eastAsia="Times New Roman" w:hAnsi="Times New Roman" w:cs="Times New Roman"/>
          <w:sz w:val="24"/>
          <w:szCs w:val="24"/>
        </w:rPr>
        <w:lastRenderedPageBreak/>
        <w:t>coastline. Young trees between 1.5-3.0 m</w:t>
      </w:r>
      <w:r>
        <w:rPr>
          <w:rFonts w:ascii="Times New Roman" w:eastAsia="Times New Roman" w:hAnsi="Times New Roman" w:cs="Times New Roman"/>
          <w:sz w:val="24"/>
          <w:szCs w:val="24"/>
        </w:rPr>
        <w:t xml:space="preserve"> in height were chosen in order to avoid deep rooted systems. Close to each sampled tree, the subsoil lithology was recorded by a soil core sampler. Since Sr-rich and easily weatherable carbonates can highly contribute to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soil, the presence of</w:t>
      </w:r>
      <w:r>
        <w:rPr>
          <w:rFonts w:ascii="Times New Roman" w:eastAsia="Times New Roman" w:hAnsi="Times New Roman" w:cs="Times New Roman"/>
          <w:sz w:val="24"/>
          <w:szCs w:val="24"/>
        </w:rPr>
        <w:t xml:space="preserve"> carbonates in the subsoil was evaluated by reacting sediments from ca. 0.5 m in depth with drops of diluted (10%) hydrochloric acid (Table 3).</w:t>
      </w:r>
    </w:p>
    <w:p w14:paraId="6D193104" w14:textId="77777777" w:rsidR="00073701" w:rsidRDefault="00073701">
      <w:pPr>
        <w:spacing w:after="0" w:line="240" w:lineRule="auto"/>
        <w:jc w:val="both"/>
        <w:rPr>
          <w:rFonts w:ascii="Times New Roman" w:eastAsia="Times New Roman" w:hAnsi="Times New Roman" w:cs="Times New Roman"/>
          <w:sz w:val="24"/>
          <w:szCs w:val="24"/>
        </w:rPr>
      </w:pPr>
    </w:p>
    <w:tbl>
      <w:tblPr>
        <w:tblStyle w:val="a5"/>
        <w:tblW w:w="9549" w:type="dxa"/>
        <w:tblInd w:w="100" w:type="dxa"/>
        <w:tblLayout w:type="fixed"/>
        <w:tblLook w:val="0400" w:firstRow="0" w:lastRow="0" w:firstColumn="0" w:lastColumn="0" w:noHBand="0" w:noVBand="1"/>
      </w:tblPr>
      <w:tblGrid>
        <w:gridCol w:w="555"/>
        <w:gridCol w:w="885"/>
        <w:gridCol w:w="1185"/>
        <w:gridCol w:w="2232"/>
        <w:gridCol w:w="1842"/>
        <w:gridCol w:w="900"/>
        <w:gridCol w:w="900"/>
        <w:gridCol w:w="1050"/>
      </w:tblGrid>
      <w:tr w:rsidR="00073701" w14:paraId="444800E3" w14:textId="77777777">
        <w:trPr>
          <w:trHeight w:val="340"/>
        </w:trPr>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7A7A4DA0"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885" w:type="dxa"/>
            <w:tcBorders>
              <w:top w:val="single" w:sz="4" w:space="0" w:color="000000"/>
              <w:left w:val="nil"/>
              <w:bottom w:val="single" w:sz="4" w:space="0" w:color="000000"/>
              <w:right w:val="single" w:sz="4" w:space="0" w:color="000000"/>
            </w:tcBorders>
            <w:shd w:val="clear" w:color="auto" w:fill="auto"/>
          </w:tcPr>
          <w:p w14:paraId="4100F7F9"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w:t>
            </w:r>
          </w:p>
        </w:tc>
        <w:tc>
          <w:tcPr>
            <w:tcW w:w="1185" w:type="dxa"/>
            <w:tcBorders>
              <w:top w:val="single" w:sz="4" w:space="0" w:color="000000"/>
              <w:left w:val="nil"/>
              <w:bottom w:val="single" w:sz="4" w:space="0" w:color="000000"/>
              <w:right w:val="single" w:sz="4" w:space="0" w:color="000000"/>
            </w:tcBorders>
            <w:shd w:val="clear" w:color="auto" w:fill="auto"/>
          </w:tcPr>
          <w:p w14:paraId="5D35E73E"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Site</w:t>
            </w:r>
          </w:p>
        </w:tc>
        <w:tc>
          <w:tcPr>
            <w:tcW w:w="2232" w:type="dxa"/>
            <w:tcBorders>
              <w:top w:val="single" w:sz="4" w:space="0" w:color="000000"/>
              <w:left w:val="nil"/>
              <w:bottom w:val="single" w:sz="4" w:space="0" w:color="000000"/>
              <w:right w:val="single" w:sz="4" w:space="0" w:color="000000"/>
            </w:tcBorders>
            <w:shd w:val="clear" w:color="auto" w:fill="auto"/>
          </w:tcPr>
          <w:p w14:paraId="77F522EA"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Subsoil</w:t>
            </w:r>
          </w:p>
        </w:tc>
        <w:tc>
          <w:tcPr>
            <w:tcW w:w="1842" w:type="dxa"/>
            <w:tcBorders>
              <w:top w:val="single" w:sz="4" w:space="0" w:color="000000"/>
              <w:left w:val="nil"/>
              <w:bottom w:val="single" w:sz="4" w:space="0" w:color="000000"/>
              <w:right w:val="single" w:sz="4" w:space="0" w:color="000000"/>
            </w:tcBorders>
            <w:shd w:val="clear" w:color="auto" w:fill="auto"/>
          </w:tcPr>
          <w:p w14:paraId="124972B5"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Species, height</w:t>
            </w:r>
          </w:p>
        </w:tc>
        <w:tc>
          <w:tcPr>
            <w:tcW w:w="900" w:type="dxa"/>
            <w:tcBorders>
              <w:top w:val="single" w:sz="4" w:space="0" w:color="000000"/>
              <w:left w:val="single" w:sz="4" w:space="0" w:color="000000"/>
              <w:bottom w:val="single" w:sz="4" w:space="0" w:color="000000"/>
              <w:right w:val="single" w:sz="4" w:space="0" w:color="000000"/>
            </w:tcBorders>
          </w:tcPr>
          <w:p w14:paraId="26C23B6F"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46ED537"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Long.</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2AF641D3" w14:textId="77777777" w:rsidR="00073701" w:rsidRDefault="00C87DC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87</w:t>
            </w:r>
            <w:r>
              <w:rPr>
                <w:rFonts w:ascii="Times New Roman" w:eastAsia="Times New Roman" w:hAnsi="Times New Roman" w:cs="Times New Roman"/>
                <w:b/>
                <w:sz w:val="20"/>
                <w:szCs w:val="20"/>
              </w:rPr>
              <w:t>Sr/</w:t>
            </w:r>
            <w:r>
              <w:rPr>
                <w:rFonts w:ascii="Times New Roman" w:eastAsia="Times New Roman" w:hAnsi="Times New Roman" w:cs="Times New Roman"/>
                <w:b/>
                <w:sz w:val="20"/>
                <w:szCs w:val="20"/>
                <w:vertAlign w:val="superscript"/>
              </w:rPr>
              <w:t>86</w:t>
            </w:r>
            <w:r>
              <w:rPr>
                <w:rFonts w:ascii="Times New Roman" w:eastAsia="Times New Roman" w:hAnsi="Times New Roman" w:cs="Times New Roman"/>
                <w:b/>
                <w:sz w:val="20"/>
                <w:szCs w:val="20"/>
              </w:rPr>
              <w:t>Sr</w:t>
            </w:r>
          </w:p>
        </w:tc>
      </w:tr>
      <w:tr w:rsidR="00073701" w14:paraId="692D4CBD"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1956D80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5" w:type="dxa"/>
            <w:tcBorders>
              <w:top w:val="nil"/>
              <w:left w:val="nil"/>
              <w:bottom w:val="single" w:sz="4" w:space="0" w:color="000000"/>
              <w:right w:val="single" w:sz="4" w:space="0" w:color="000000"/>
            </w:tcBorders>
            <w:shd w:val="clear" w:color="auto" w:fill="auto"/>
          </w:tcPr>
          <w:p w14:paraId="33A9B2D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SV1</w:t>
            </w:r>
          </w:p>
        </w:tc>
        <w:tc>
          <w:tcPr>
            <w:tcW w:w="1185" w:type="dxa"/>
            <w:tcBorders>
              <w:top w:val="nil"/>
              <w:left w:val="nil"/>
              <w:bottom w:val="single" w:sz="4" w:space="0" w:color="000000"/>
              <w:right w:val="single" w:sz="4" w:space="0" w:color="000000"/>
            </w:tcBorders>
            <w:shd w:val="clear" w:color="auto" w:fill="auto"/>
          </w:tcPr>
          <w:p w14:paraId="103FEF4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w:t>
            </w:r>
          </w:p>
        </w:tc>
        <w:tc>
          <w:tcPr>
            <w:tcW w:w="2232" w:type="dxa"/>
            <w:tcBorders>
              <w:top w:val="nil"/>
              <w:left w:val="nil"/>
              <w:bottom w:val="single" w:sz="4" w:space="0" w:color="000000"/>
              <w:right w:val="single" w:sz="4" w:space="0" w:color="000000"/>
            </w:tcBorders>
            <w:shd w:val="clear" w:color="auto" w:fill="auto"/>
          </w:tcPr>
          <w:p w14:paraId="7FCC321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ine-medium sand, non-calcareous</w:t>
            </w:r>
          </w:p>
        </w:tc>
        <w:tc>
          <w:tcPr>
            <w:tcW w:w="1842" w:type="dxa"/>
            <w:tcBorders>
              <w:top w:val="nil"/>
              <w:left w:val="nil"/>
              <w:bottom w:val="single" w:sz="4" w:space="0" w:color="000000"/>
              <w:right w:val="single" w:sz="4" w:space="0" w:color="000000"/>
            </w:tcBorders>
            <w:shd w:val="clear" w:color="auto" w:fill="auto"/>
          </w:tcPr>
          <w:p w14:paraId="57AA836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Aspen (</w:t>
            </w:r>
            <w:r>
              <w:rPr>
                <w:rFonts w:ascii="Times New Roman" w:eastAsia="Times New Roman" w:hAnsi="Times New Roman" w:cs="Times New Roman"/>
                <w:i/>
                <w:sz w:val="20"/>
                <w:szCs w:val="20"/>
              </w:rPr>
              <w:t>Populus tremula</w:t>
            </w:r>
            <w:r>
              <w:rPr>
                <w:rFonts w:ascii="Times New Roman" w:eastAsia="Times New Roman" w:hAnsi="Times New Roman" w:cs="Times New Roman"/>
                <w:sz w:val="20"/>
                <w:szCs w:val="20"/>
              </w:rPr>
              <w:t>), 1.5 m</w:t>
            </w:r>
          </w:p>
        </w:tc>
        <w:tc>
          <w:tcPr>
            <w:tcW w:w="900" w:type="dxa"/>
            <w:tcBorders>
              <w:top w:val="single" w:sz="4" w:space="0" w:color="000000"/>
              <w:left w:val="single" w:sz="4" w:space="0" w:color="000000"/>
              <w:bottom w:val="single" w:sz="4" w:space="0" w:color="000000"/>
              <w:right w:val="single" w:sz="4" w:space="0" w:color="000000"/>
            </w:tcBorders>
          </w:tcPr>
          <w:p w14:paraId="437F172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55.9877</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DA7F0C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21.1665</w:t>
            </w:r>
          </w:p>
        </w:tc>
        <w:tc>
          <w:tcPr>
            <w:tcW w:w="1050" w:type="dxa"/>
            <w:tcBorders>
              <w:top w:val="nil"/>
              <w:left w:val="single" w:sz="4" w:space="0" w:color="000000"/>
              <w:bottom w:val="single" w:sz="4" w:space="0" w:color="000000"/>
              <w:right w:val="single" w:sz="4" w:space="0" w:color="000000"/>
            </w:tcBorders>
            <w:shd w:val="clear" w:color="auto" w:fill="auto"/>
          </w:tcPr>
          <w:p w14:paraId="2ECC282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0.716509</w:t>
            </w:r>
          </w:p>
        </w:tc>
      </w:tr>
      <w:tr w:rsidR="00073701" w14:paraId="59E08681"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09E5D01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85" w:type="dxa"/>
            <w:tcBorders>
              <w:top w:val="nil"/>
              <w:left w:val="nil"/>
              <w:bottom w:val="single" w:sz="4" w:space="0" w:color="000000"/>
              <w:right w:val="single" w:sz="4" w:space="0" w:color="000000"/>
            </w:tcBorders>
            <w:shd w:val="clear" w:color="auto" w:fill="auto"/>
          </w:tcPr>
          <w:p w14:paraId="506BFB1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SV2</w:t>
            </w:r>
          </w:p>
        </w:tc>
        <w:tc>
          <w:tcPr>
            <w:tcW w:w="1185" w:type="dxa"/>
            <w:tcBorders>
              <w:top w:val="nil"/>
              <w:left w:val="nil"/>
              <w:bottom w:val="single" w:sz="4" w:space="0" w:color="000000"/>
              <w:right w:val="single" w:sz="4" w:space="0" w:color="000000"/>
            </w:tcBorders>
            <w:shd w:val="clear" w:color="auto" w:fill="auto"/>
          </w:tcPr>
          <w:p w14:paraId="598D4054"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w:t>
            </w:r>
          </w:p>
        </w:tc>
        <w:tc>
          <w:tcPr>
            <w:tcW w:w="2232" w:type="dxa"/>
            <w:tcBorders>
              <w:top w:val="nil"/>
              <w:left w:val="nil"/>
              <w:bottom w:val="single" w:sz="4" w:space="0" w:color="000000"/>
              <w:right w:val="single" w:sz="4" w:space="0" w:color="000000"/>
            </w:tcBorders>
            <w:shd w:val="clear" w:color="auto" w:fill="auto"/>
          </w:tcPr>
          <w:p w14:paraId="1AE9CA9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ine sand, non-calcareous</w:t>
            </w:r>
          </w:p>
        </w:tc>
        <w:tc>
          <w:tcPr>
            <w:tcW w:w="1842" w:type="dxa"/>
            <w:tcBorders>
              <w:top w:val="nil"/>
              <w:left w:val="nil"/>
              <w:bottom w:val="single" w:sz="4" w:space="0" w:color="000000"/>
              <w:right w:val="single" w:sz="4" w:space="0" w:color="000000"/>
            </w:tcBorders>
            <w:shd w:val="clear" w:color="auto" w:fill="auto"/>
          </w:tcPr>
          <w:p w14:paraId="160D777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Aspen (</w:t>
            </w:r>
            <w:r>
              <w:rPr>
                <w:rFonts w:ascii="Times New Roman" w:eastAsia="Times New Roman" w:hAnsi="Times New Roman" w:cs="Times New Roman"/>
                <w:i/>
                <w:sz w:val="20"/>
                <w:szCs w:val="20"/>
              </w:rPr>
              <w:t>Populus tremula</w:t>
            </w:r>
            <w:r>
              <w:rPr>
                <w:rFonts w:ascii="Times New Roman" w:eastAsia="Times New Roman" w:hAnsi="Times New Roman" w:cs="Times New Roman"/>
                <w:sz w:val="20"/>
                <w:szCs w:val="20"/>
              </w:rPr>
              <w:t>), 1.5 m</w:t>
            </w:r>
          </w:p>
        </w:tc>
        <w:tc>
          <w:tcPr>
            <w:tcW w:w="900" w:type="dxa"/>
            <w:tcBorders>
              <w:top w:val="single" w:sz="4" w:space="0" w:color="000000"/>
              <w:left w:val="single" w:sz="4" w:space="0" w:color="000000"/>
              <w:bottom w:val="single" w:sz="4" w:space="0" w:color="000000"/>
              <w:right w:val="single" w:sz="4" w:space="0" w:color="000000"/>
            </w:tcBorders>
          </w:tcPr>
          <w:p w14:paraId="1DACF90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55.9915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FDB6C5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21.1384</w:t>
            </w:r>
          </w:p>
        </w:tc>
        <w:tc>
          <w:tcPr>
            <w:tcW w:w="1050" w:type="dxa"/>
            <w:tcBorders>
              <w:top w:val="nil"/>
              <w:left w:val="single" w:sz="4" w:space="0" w:color="000000"/>
              <w:bottom w:val="single" w:sz="4" w:space="0" w:color="000000"/>
              <w:right w:val="single" w:sz="4" w:space="0" w:color="000000"/>
            </w:tcBorders>
            <w:shd w:val="clear" w:color="auto" w:fill="auto"/>
          </w:tcPr>
          <w:p w14:paraId="6FD8592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0.712911</w:t>
            </w:r>
          </w:p>
        </w:tc>
      </w:tr>
      <w:tr w:rsidR="00073701" w14:paraId="7445FD31"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1594E73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85" w:type="dxa"/>
            <w:tcBorders>
              <w:top w:val="nil"/>
              <w:left w:val="nil"/>
              <w:bottom w:val="single" w:sz="4" w:space="0" w:color="000000"/>
              <w:right w:val="single" w:sz="4" w:space="0" w:color="000000"/>
            </w:tcBorders>
            <w:shd w:val="clear" w:color="auto" w:fill="auto"/>
          </w:tcPr>
          <w:p w14:paraId="0C7624F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SV3</w:t>
            </w:r>
          </w:p>
        </w:tc>
        <w:tc>
          <w:tcPr>
            <w:tcW w:w="1185" w:type="dxa"/>
            <w:tcBorders>
              <w:top w:val="nil"/>
              <w:left w:val="nil"/>
              <w:bottom w:val="single" w:sz="4" w:space="0" w:color="000000"/>
              <w:right w:val="single" w:sz="4" w:space="0" w:color="000000"/>
            </w:tcBorders>
            <w:shd w:val="clear" w:color="auto" w:fill="auto"/>
          </w:tcPr>
          <w:p w14:paraId="2B74A2E5"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w:t>
            </w:r>
          </w:p>
        </w:tc>
        <w:tc>
          <w:tcPr>
            <w:tcW w:w="2232" w:type="dxa"/>
            <w:tcBorders>
              <w:top w:val="nil"/>
              <w:left w:val="nil"/>
              <w:bottom w:val="single" w:sz="4" w:space="0" w:color="000000"/>
              <w:right w:val="single" w:sz="4" w:space="0" w:color="000000"/>
            </w:tcBorders>
            <w:shd w:val="clear" w:color="auto" w:fill="auto"/>
          </w:tcPr>
          <w:p w14:paraId="349A078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color w:val="000000"/>
                <w:sz w:val="20"/>
                <w:szCs w:val="20"/>
              </w:rPr>
              <w:t>ravel</w:t>
            </w:r>
            <w:r>
              <w:rPr>
                <w:rFonts w:ascii="Times New Roman" w:eastAsia="Times New Roman" w:hAnsi="Times New Roman" w:cs="Times New Roman"/>
                <w:sz w:val="20"/>
                <w:szCs w:val="20"/>
              </w:rPr>
              <w:t>l</w:t>
            </w:r>
            <w:r>
              <w:rPr>
                <w:rFonts w:ascii="Times New Roman" w:eastAsia="Times New Roman" w:hAnsi="Times New Roman" w:cs="Times New Roman"/>
                <w:color w:val="000000"/>
                <w:sz w:val="20"/>
                <w:szCs w:val="20"/>
              </w:rPr>
              <w:t>y sand, non-calcareous</w:t>
            </w:r>
          </w:p>
        </w:tc>
        <w:tc>
          <w:tcPr>
            <w:tcW w:w="1842" w:type="dxa"/>
            <w:tcBorders>
              <w:top w:val="nil"/>
              <w:left w:val="nil"/>
              <w:bottom w:val="single" w:sz="4" w:space="0" w:color="000000"/>
              <w:right w:val="single" w:sz="4" w:space="0" w:color="000000"/>
            </w:tcBorders>
            <w:shd w:val="clear" w:color="auto" w:fill="auto"/>
          </w:tcPr>
          <w:p w14:paraId="141EB15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Birch (</w:t>
            </w:r>
            <w:r>
              <w:rPr>
                <w:rFonts w:ascii="Times New Roman" w:eastAsia="Times New Roman" w:hAnsi="Times New Roman" w:cs="Times New Roman"/>
                <w:i/>
                <w:sz w:val="20"/>
                <w:szCs w:val="20"/>
              </w:rPr>
              <w:t>Betula pendula</w:t>
            </w:r>
            <w:r>
              <w:rPr>
                <w:rFonts w:ascii="Times New Roman" w:eastAsia="Times New Roman" w:hAnsi="Times New Roman" w:cs="Times New Roman"/>
                <w:sz w:val="20"/>
                <w:szCs w:val="20"/>
              </w:rPr>
              <w:t>), 2 m</w:t>
            </w:r>
          </w:p>
        </w:tc>
        <w:tc>
          <w:tcPr>
            <w:tcW w:w="900" w:type="dxa"/>
            <w:tcBorders>
              <w:top w:val="single" w:sz="4" w:space="0" w:color="000000"/>
              <w:left w:val="single" w:sz="4" w:space="0" w:color="000000"/>
              <w:bottom w:val="single" w:sz="4" w:space="0" w:color="000000"/>
              <w:right w:val="single" w:sz="4" w:space="0" w:color="000000"/>
            </w:tcBorders>
          </w:tcPr>
          <w:p w14:paraId="78850E8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55.9925</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38BEB7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21.1005</w:t>
            </w:r>
          </w:p>
        </w:tc>
        <w:tc>
          <w:tcPr>
            <w:tcW w:w="1050" w:type="dxa"/>
            <w:tcBorders>
              <w:top w:val="nil"/>
              <w:left w:val="single" w:sz="4" w:space="0" w:color="000000"/>
              <w:bottom w:val="single" w:sz="4" w:space="0" w:color="000000"/>
              <w:right w:val="single" w:sz="4" w:space="0" w:color="000000"/>
            </w:tcBorders>
            <w:shd w:val="clear" w:color="auto" w:fill="auto"/>
          </w:tcPr>
          <w:p w14:paraId="49D4657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0.713778</w:t>
            </w:r>
          </w:p>
        </w:tc>
      </w:tr>
      <w:tr w:rsidR="00073701" w14:paraId="5BD48B53"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3C0F350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85" w:type="dxa"/>
            <w:tcBorders>
              <w:top w:val="nil"/>
              <w:left w:val="nil"/>
              <w:bottom w:val="single" w:sz="4" w:space="0" w:color="000000"/>
              <w:right w:val="single" w:sz="4" w:space="0" w:color="000000"/>
            </w:tcBorders>
            <w:shd w:val="clear" w:color="auto" w:fill="auto"/>
          </w:tcPr>
          <w:p w14:paraId="2E71A9C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SV4</w:t>
            </w:r>
          </w:p>
        </w:tc>
        <w:tc>
          <w:tcPr>
            <w:tcW w:w="1185" w:type="dxa"/>
            <w:tcBorders>
              <w:top w:val="nil"/>
              <w:left w:val="nil"/>
              <w:bottom w:val="single" w:sz="4" w:space="0" w:color="000000"/>
              <w:right w:val="single" w:sz="4" w:space="0" w:color="000000"/>
            </w:tcBorders>
            <w:shd w:val="clear" w:color="auto" w:fill="auto"/>
          </w:tcPr>
          <w:p w14:paraId="598C0506"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w:t>
            </w:r>
          </w:p>
        </w:tc>
        <w:tc>
          <w:tcPr>
            <w:tcW w:w="2232" w:type="dxa"/>
            <w:tcBorders>
              <w:top w:val="nil"/>
              <w:left w:val="nil"/>
              <w:bottom w:val="single" w:sz="4" w:space="0" w:color="000000"/>
              <w:right w:val="single" w:sz="4" w:space="0" w:color="000000"/>
            </w:tcBorders>
            <w:shd w:val="clear" w:color="auto" w:fill="auto"/>
          </w:tcPr>
          <w:p w14:paraId="6BA99211"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ine-medium sand, non-calcareous</w:t>
            </w:r>
          </w:p>
        </w:tc>
        <w:tc>
          <w:tcPr>
            <w:tcW w:w="1842" w:type="dxa"/>
            <w:tcBorders>
              <w:top w:val="nil"/>
              <w:left w:val="nil"/>
              <w:bottom w:val="single" w:sz="4" w:space="0" w:color="000000"/>
              <w:right w:val="single" w:sz="4" w:space="0" w:color="000000"/>
            </w:tcBorders>
            <w:shd w:val="clear" w:color="auto" w:fill="auto"/>
          </w:tcPr>
          <w:p w14:paraId="63557CA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Birch (</w:t>
            </w:r>
            <w:r>
              <w:rPr>
                <w:rFonts w:ascii="Times New Roman" w:eastAsia="Times New Roman" w:hAnsi="Times New Roman" w:cs="Times New Roman"/>
                <w:i/>
                <w:sz w:val="20"/>
                <w:szCs w:val="20"/>
              </w:rPr>
              <w:t>Betula pendula</w:t>
            </w:r>
            <w:r>
              <w:rPr>
                <w:rFonts w:ascii="Times New Roman" w:eastAsia="Times New Roman" w:hAnsi="Times New Roman" w:cs="Times New Roman"/>
                <w:sz w:val="20"/>
                <w:szCs w:val="20"/>
              </w:rPr>
              <w:t>), 3 m</w:t>
            </w:r>
          </w:p>
        </w:tc>
        <w:tc>
          <w:tcPr>
            <w:tcW w:w="900" w:type="dxa"/>
            <w:tcBorders>
              <w:top w:val="single" w:sz="4" w:space="0" w:color="000000"/>
              <w:left w:val="single" w:sz="4" w:space="0" w:color="000000"/>
              <w:bottom w:val="single" w:sz="4" w:space="0" w:color="000000"/>
              <w:right w:val="single" w:sz="4" w:space="0" w:color="000000"/>
            </w:tcBorders>
          </w:tcPr>
          <w:p w14:paraId="619CE54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55.9950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B145B8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21.0901</w:t>
            </w:r>
          </w:p>
        </w:tc>
        <w:tc>
          <w:tcPr>
            <w:tcW w:w="1050" w:type="dxa"/>
            <w:tcBorders>
              <w:top w:val="nil"/>
              <w:left w:val="single" w:sz="4" w:space="0" w:color="000000"/>
              <w:bottom w:val="single" w:sz="4" w:space="0" w:color="000000"/>
              <w:right w:val="single" w:sz="4" w:space="0" w:color="000000"/>
            </w:tcBorders>
            <w:shd w:val="clear" w:color="auto" w:fill="auto"/>
          </w:tcPr>
          <w:p w14:paraId="37087DF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0.708499</w:t>
            </w:r>
          </w:p>
        </w:tc>
      </w:tr>
      <w:tr w:rsidR="00073701" w14:paraId="0D9A3A99"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03F1C3E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85" w:type="dxa"/>
            <w:tcBorders>
              <w:top w:val="nil"/>
              <w:left w:val="nil"/>
              <w:bottom w:val="single" w:sz="4" w:space="0" w:color="000000"/>
              <w:right w:val="single" w:sz="4" w:space="0" w:color="000000"/>
            </w:tcBorders>
            <w:shd w:val="clear" w:color="auto" w:fill="auto"/>
          </w:tcPr>
          <w:p w14:paraId="6CF512B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SV5</w:t>
            </w:r>
          </w:p>
        </w:tc>
        <w:tc>
          <w:tcPr>
            <w:tcW w:w="1185" w:type="dxa"/>
            <w:tcBorders>
              <w:top w:val="nil"/>
              <w:left w:val="nil"/>
              <w:bottom w:val="single" w:sz="4" w:space="0" w:color="000000"/>
              <w:right w:val="single" w:sz="4" w:space="0" w:color="000000"/>
            </w:tcBorders>
            <w:shd w:val="clear" w:color="auto" w:fill="auto"/>
          </w:tcPr>
          <w:p w14:paraId="10DCC1BE"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Šventoji</w:t>
            </w:r>
          </w:p>
        </w:tc>
        <w:tc>
          <w:tcPr>
            <w:tcW w:w="2232" w:type="dxa"/>
            <w:tcBorders>
              <w:top w:val="nil"/>
              <w:left w:val="nil"/>
              <w:bottom w:val="single" w:sz="4" w:space="0" w:color="000000"/>
              <w:right w:val="single" w:sz="4" w:space="0" w:color="000000"/>
            </w:tcBorders>
            <w:shd w:val="clear" w:color="auto" w:fill="auto"/>
          </w:tcPr>
          <w:p w14:paraId="00014ADA"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ine-medium sand, non-calcareous</w:t>
            </w:r>
          </w:p>
        </w:tc>
        <w:tc>
          <w:tcPr>
            <w:tcW w:w="1842" w:type="dxa"/>
            <w:tcBorders>
              <w:top w:val="nil"/>
              <w:left w:val="nil"/>
              <w:bottom w:val="single" w:sz="4" w:space="0" w:color="000000"/>
              <w:right w:val="single" w:sz="4" w:space="0" w:color="000000"/>
            </w:tcBorders>
            <w:shd w:val="clear" w:color="auto" w:fill="auto"/>
          </w:tcPr>
          <w:p w14:paraId="4CA142D8" w14:textId="77777777" w:rsidR="00073701" w:rsidRDefault="00C87DC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color w:val="000000"/>
                <w:sz w:val="20"/>
                <w:szCs w:val="20"/>
              </w:rPr>
              <w:t xml:space="preserve">spen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Populus tremula</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1.5 m</w:t>
            </w:r>
          </w:p>
        </w:tc>
        <w:tc>
          <w:tcPr>
            <w:tcW w:w="900" w:type="dxa"/>
            <w:tcBorders>
              <w:top w:val="single" w:sz="4" w:space="0" w:color="000000"/>
              <w:left w:val="single" w:sz="4" w:space="0" w:color="000000"/>
              <w:bottom w:val="single" w:sz="4" w:space="0" w:color="000000"/>
              <w:right w:val="single" w:sz="4" w:space="0" w:color="000000"/>
            </w:tcBorders>
          </w:tcPr>
          <w:p w14:paraId="618E346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55.9900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77D5C9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21.0727</w:t>
            </w:r>
          </w:p>
        </w:tc>
        <w:tc>
          <w:tcPr>
            <w:tcW w:w="1050" w:type="dxa"/>
            <w:tcBorders>
              <w:top w:val="nil"/>
              <w:left w:val="single" w:sz="4" w:space="0" w:color="000000"/>
              <w:bottom w:val="single" w:sz="4" w:space="0" w:color="000000"/>
              <w:right w:val="single" w:sz="4" w:space="0" w:color="000000"/>
            </w:tcBorders>
            <w:shd w:val="clear" w:color="auto" w:fill="auto"/>
          </w:tcPr>
          <w:p w14:paraId="0F56BCE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0.710816</w:t>
            </w:r>
          </w:p>
        </w:tc>
      </w:tr>
      <w:tr w:rsidR="00073701" w14:paraId="2E11A4B6"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70C6AE0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85" w:type="dxa"/>
            <w:tcBorders>
              <w:top w:val="nil"/>
              <w:left w:val="nil"/>
              <w:bottom w:val="single" w:sz="4" w:space="0" w:color="000000"/>
              <w:right w:val="single" w:sz="4" w:space="0" w:color="000000"/>
            </w:tcBorders>
            <w:shd w:val="clear" w:color="auto" w:fill="auto"/>
          </w:tcPr>
          <w:p w14:paraId="110F80C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TRL1</w:t>
            </w:r>
          </w:p>
        </w:tc>
        <w:tc>
          <w:tcPr>
            <w:tcW w:w="1185" w:type="dxa"/>
            <w:tcBorders>
              <w:top w:val="nil"/>
              <w:left w:val="nil"/>
              <w:bottom w:val="single" w:sz="4" w:space="0" w:color="000000"/>
              <w:right w:val="single" w:sz="4" w:space="0" w:color="000000"/>
            </w:tcBorders>
            <w:shd w:val="clear" w:color="auto" w:fill="auto"/>
          </w:tcPr>
          <w:p w14:paraId="1ACC800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2232" w:type="dxa"/>
            <w:tcBorders>
              <w:top w:val="nil"/>
              <w:left w:val="nil"/>
              <w:bottom w:val="single" w:sz="4" w:space="0" w:color="000000"/>
              <w:right w:val="single" w:sz="4" w:space="0" w:color="000000"/>
            </w:tcBorders>
            <w:shd w:val="clear" w:color="auto" w:fill="auto"/>
          </w:tcPr>
          <w:p w14:paraId="3259552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Clay, calcareous</w:t>
            </w:r>
          </w:p>
        </w:tc>
        <w:tc>
          <w:tcPr>
            <w:tcW w:w="1842" w:type="dxa"/>
            <w:tcBorders>
              <w:top w:val="nil"/>
              <w:left w:val="nil"/>
              <w:bottom w:val="single" w:sz="4" w:space="0" w:color="000000"/>
              <w:right w:val="single" w:sz="4" w:space="0" w:color="000000"/>
            </w:tcBorders>
            <w:shd w:val="clear" w:color="auto" w:fill="auto"/>
          </w:tcPr>
          <w:p w14:paraId="2825931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Lime (</w:t>
            </w:r>
            <w:r>
              <w:rPr>
                <w:rFonts w:ascii="Times New Roman" w:eastAsia="Times New Roman" w:hAnsi="Times New Roman" w:cs="Times New Roman"/>
                <w:i/>
                <w:sz w:val="20"/>
                <w:szCs w:val="20"/>
              </w:rPr>
              <w:t>Tilia cordata</w:t>
            </w:r>
            <w:r>
              <w:rPr>
                <w:rFonts w:ascii="Times New Roman" w:eastAsia="Times New Roman" w:hAnsi="Times New Roman" w:cs="Times New Roman"/>
                <w:sz w:val="20"/>
                <w:szCs w:val="20"/>
              </w:rPr>
              <w:t>), 2 m</w:t>
            </w:r>
          </w:p>
        </w:tc>
        <w:tc>
          <w:tcPr>
            <w:tcW w:w="900" w:type="dxa"/>
            <w:tcBorders>
              <w:top w:val="single" w:sz="4" w:space="0" w:color="000000"/>
              <w:left w:val="single" w:sz="4" w:space="0" w:color="000000"/>
              <w:bottom w:val="single" w:sz="4" w:space="0" w:color="000000"/>
              <w:right w:val="single" w:sz="4" w:space="0" w:color="000000"/>
            </w:tcBorders>
          </w:tcPr>
          <w:p w14:paraId="44898B5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54.3690</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BB441B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23.2983</w:t>
            </w:r>
          </w:p>
        </w:tc>
        <w:tc>
          <w:tcPr>
            <w:tcW w:w="1050" w:type="dxa"/>
            <w:tcBorders>
              <w:top w:val="nil"/>
              <w:left w:val="single" w:sz="4" w:space="0" w:color="000000"/>
              <w:bottom w:val="single" w:sz="4" w:space="0" w:color="000000"/>
              <w:right w:val="single" w:sz="4" w:space="0" w:color="000000"/>
            </w:tcBorders>
            <w:shd w:val="clear" w:color="auto" w:fill="auto"/>
          </w:tcPr>
          <w:p w14:paraId="7D4A7FB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0.713153</w:t>
            </w:r>
          </w:p>
        </w:tc>
      </w:tr>
      <w:tr w:rsidR="00073701" w14:paraId="2BA73B41"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75E893E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85" w:type="dxa"/>
            <w:tcBorders>
              <w:top w:val="nil"/>
              <w:left w:val="nil"/>
              <w:bottom w:val="single" w:sz="4" w:space="0" w:color="000000"/>
              <w:right w:val="single" w:sz="4" w:space="0" w:color="000000"/>
            </w:tcBorders>
            <w:shd w:val="clear" w:color="auto" w:fill="auto"/>
          </w:tcPr>
          <w:p w14:paraId="767E470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TRL2</w:t>
            </w:r>
          </w:p>
        </w:tc>
        <w:tc>
          <w:tcPr>
            <w:tcW w:w="1185" w:type="dxa"/>
            <w:tcBorders>
              <w:top w:val="nil"/>
              <w:left w:val="nil"/>
              <w:bottom w:val="single" w:sz="4" w:space="0" w:color="000000"/>
              <w:right w:val="single" w:sz="4" w:space="0" w:color="000000"/>
            </w:tcBorders>
            <w:shd w:val="clear" w:color="auto" w:fill="auto"/>
          </w:tcPr>
          <w:p w14:paraId="6577B02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Turlojiškė</w:t>
            </w:r>
          </w:p>
        </w:tc>
        <w:tc>
          <w:tcPr>
            <w:tcW w:w="2232" w:type="dxa"/>
            <w:tcBorders>
              <w:top w:val="nil"/>
              <w:left w:val="nil"/>
              <w:bottom w:val="single" w:sz="4" w:space="0" w:color="000000"/>
              <w:right w:val="single" w:sz="4" w:space="0" w:color="000000"/>
            </w:tcBorders>
            <w:shd w:val="clear" w:color="auto" w:fill="auto"/>
          </w:tcPr>
          <w:p w14:paraId="3BAED06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Till, non-calcareous</w:t>
            </w:r>
          </w:p>
        </w:tc>
        <w:tc>
          <w:tcPr>
            <w:tcW w:w="1842" w:type="dxa"/>
            <w:tcBorders>
              <w:top w:val="nil"/>
              <w:left w:val="nil"/>
              <w:bottom w:val="single" w:sz="4" w:space="0" w:color="000000"/>
              <w:right w:val="single" w:sz="4" w:space="0" w:color="000000"/>
            </w:tcBorders>
            <w:shd w:val="clear" w:color="auto" w:fill="auto"/>
          </w:tcPr>
          <w:p w14:paraId="3C7E6E7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Lime (</w:t>
            </w:r>
            <w:r>
              <w:rPr>
                <w:rFonts w:ascii="Times New Roman" w:eastAsia="Times New Roman" w:hAnsi="Times New Roman" w:cs="Times New Roman"/>
                <w:i/>
                <w:sz w:val="20"/>
                <w:szCs w:val="20"/>
              </w:rPr>
              <w:t>Tilia cordata</w:t>
            </w:r>
            <w:r>
              <w:rPr>
                <w:rFonts w:ascii="Times New Roman" w:eastAsia="Times New Roman" w:hAnsi="Times New Roman" w:cs="Times New Roman"/>
                <w:sz w:val="20"/>
                <w:szCs w:val="20"/>
              </w:rPr>
              <w:t>), 1.5 m</w:t>
            </w:r>
          </w:p>
        </w:tc>
        <w:tc>
          <w:tcPr>
            <w:tcW w:w="900" w:type="dxa"/>
            <w:tcBorders>
              <w:top w:val="single" w:sz="4" w:space="0" w:color="000000"/>
              <w:left w:val="single" w:sz="4" w:space="0" w:color="000000"/>
              <w:bottom w:val="single" w:sz="4" w:space="0" w:color="000000"/>
              <w:right w:val="single" w:sz="4" w:space="0" w:color="000000"/>
            </w:tcBorders>
          </w:tcPr>
          <w:p w14:paraId="595FA92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54.3633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45E9680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23.3303</w:t>
            </w:r>
          </w:p>
        </w:tc>
        <w:tc>
          <w:tcPr>
            <w:tcW w:w="1050" w:type="dxa"/>
            <w:tcBorders>
              <w:top w:val="nil"/>
              <w:left w:val="single" w:sz="4" w:space="0" w:color="000000"/>
              <w:bottom w:val="single" w:sz="4" w:space="0" w:color="000000"/>
              <w:right w:val="single" w:sz="4" w:space="0" w:color="000000"/>
            </w:tcBorders>
            <w:shd w:val="clear" w:color="auto" w:fill="auto"/>
          </w:tcPr>
          <w:p w14:paraId="2647CD9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0.714883</w:t>
            </w:r>
          </w:p>
        </w:tc>
      </w:tr>
      <w:tr w:rsidR="00073701" w14:paraId="446ECC9B"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4998E9D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85" w:type="dxa"/>
            <w:tcBorders>
              <w:top w:val="nil"/>
              <w:left w:val="nil"/>
              <w:bottom w:val="single" w:sz="4" w:space="0" w:color="000000"/>
              <w:right w:val="single" w:sz="4" w:space="0" w:color="000000"/>
            </w:tcBorders>
            <w:shd w:val="clear" w:color="auto" w:fill="auto"/>
          </w:tcPr>
          <w:p w14:paraId="0A4F533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PLIN1</w:t>
            </w:r>
          </w:p>
        </w:tc>
        <w:tc>
          <w:tcPr>
            <w:tcW w:w="1185" w:type="dxa"/>
            <w:tcBorders>
              <w:top w:val="nil"/>
              <w:left w:val="nil"/>
              <w:bottom w:val="single" w:sz="4" w:space="0" w:color="000000"/>
              <w:right w:val="single" w:sz="4" w:space="0" w:color="000000"/>
            </w:tcBorders>
            <w:shd w:val="clear" w:color="auto" w:fill="auto"/>
          </w:tcPr>
          <w:p w14:paraId="20383FB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Plinkaigalis</w:t>
            </w:r>
          </w:p>
        </w:tc>
        <w:tc>
          <w:tcPr>
            <w:tcW w:w="2232" w:type="dxa"/>
            <w:tcBorders>
              <w:top w:val="nil"/>
              <w:left w:val="nil"/>
              <w:bottom w:val="single" w:sz="4" w:space="0" w:color="000000"/>
              <w:right w:val="single" w:sz="4" w:space="0" w:color="000000"/>
            </w:tcBorders>
            <w:shd w:val="clear" w:color="auto" w:fill="auto"/>
          </w:tcPr>
          <w:p w14:paraId="28F14E6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Deluvial loam, calcareous</w:t>
            </w:r>
          </w:p>
        </w:tc>
        <w:tc>
          <w:tcPr>
            <w:tcW w:w="1842" w:type="dxa"/>
            <w:tcBorders>
              <w:top w:val="nil"/>
              <w:left w:val="nil"/>
              <w:bottom w:val="single" w:sz="4" w:space="0" w:color="000000"/>
              <w:right w:val="single" w:sz="4" w:space="0" w:color="000000"/>
            </w:tcBorders>
            <w:shd w:val="clear" w:color="auto" w:fill="auto"/>
          </w:tcPr>
          <w:p w14:paraId="4C59E07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Ash (</w:t>
            </w:r>
            <w:r>
              <w:rPr>
                <w:rFonts w:ascii="Times New Roman" w:eastAsia="Times New Roman" w:hAnsi="Times New Roman" w:cs="Times New Roman"/>
                <w:i/>
                <w:sz w:val="20"/>
                <w:szCs w:val="20"/>
              </w:rPr>
              <w:t>Fraxinus excelsior</w:t>
            </w:r>
            <w:r>
              <w:rPr>
                <w:rFonts w:ascii="Times New Roman" w:eastAsia="Times New Roman" w:hAnsi="Times New Roman" w:cs="Times New Roman"/>
                <w:sz w:val="20"/>
                <w:szCs w:val="20"/>
              </w:rPr>
              <w:t>), 2 m</w:t>
            </w:r>
          </w:p>
        </w:tc>
        <w:tc>
          <w:tcPr>
            <w:tcW w:w="900" w:type="dxa"/>
            <w:tcBorders>
              <w:top w:val="single" w:sz="4" w:space="0" w:color="000000"/>
              <w:left w:val="single" w:sz="4" w:space="0" w:color="000000"/>
              <w:bottom w:val="single" w:sz="4" w:space="0" w:color="000000"/>
              <w:right w:val="single" w:sz="4" w:space="0" w:color="000000"/>
            </w:tcBorders>
          </w:tcPr>
          <w:p w14:paraId="2F04482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55.4131</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2502E9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23.6475</w:t>
            </w:r>
          </w:p>
        </w:tc>
        <w:tc>
          <w:tcPr>
            <w:tcW w:w="1050" w:type="dxa"/>
            <w:tcBorders>
              <w:top w:val="nil"/>
              <w:left w:val="single" w:sz="4" w:space="0" w:color="000000"/>
              <w:bottom w:val="single" w:sz="4" w:space="0" w:color="000000"/>
              <w:right w:val="single" w:sz="4" w:space="0" w:color="000000"/>
            </w:tcBorders>
            <w:shd w:val="clear" w:color="auto" w:fill="auto"/>
          </w:tcPr>
          <w:p w14:paraId="6917784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0.71598</w:t>
            </w:r>
          </w:p>
        </w:tc>
      </w:tr>
      <w:tr w:rsidR="00073701" w14:paraId="3CD995BB"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69AC3DB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85" w:type="dxa"/>
            <w:tcBorders>
              <w:top w:val="nil"/>
              <w:left w:val="nil"/>
              <w:bottom w:val="single" w:sz="4" w:space="0" w:color="000000"/>
              <w:right w:val="single" w:sz="4" w:space="0" w:color="000000"/>
            </w:tcBorders>
            <w:shd w:val="clear" w:color="auto" w:fill="auto"/>
          </w:tcPr>
          <w:p w14:paraId="0FC83C1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PLIN2</w:t>
            </w:r>
          </w:p>
        </w:tc>
        <w:tc>
          <w:tcPr>
            <w:tcW w:w="1185" w:type="dxa"/>
            <w:tcBorders>
              <w:top w:val="nil"/>
              <w:left w:val="nil"/>
              <w:bottom w:val="single" w:sz="4" w:space="0" w:color="000000"/>
              <w:right w:val="single" w:sz="4" w:space="0" w:color="000000"/>
            </w:tcBorders>
            <w:shd w:val="clear" w:color="auto" w:fill="auto"/>
          </w:tcPr>
          <w:p w14:paraId="0FB546E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Plinkaigalis</w:t>
            </w:r>
          </w:p>
        </w:tc>
        <w:tc>
          <w:tcPr>
            <w:tcW w:w="2232" w:type="dxa"/>
            <w:tcBorders>
              <w:top w:val="nil"/>
              <w:left w:val="nil"/>
              <w:bottom w:val="single" w:sz="4" w:space="0" w:color="000000"/>
              <w:right w:val="single" w:sz="4" w:space="0" w:color="000000"/>
            </w:tcBorders>
            <w:shd w:val="clear" w:color="auto" w:fill="auto"/>
          </w:tcPr>
          <w:p w14:paraId="386E910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Till, calcareous</w:t>
            </w:r>
          </w:p>
        </w:tc>
        <w:tc>
          <w:tcPr>
            <w:tcW w:w="1842" w:type="dxa"/>
            <w:tcBorders>
              <w:top w:val="nil"/>
              <w:left w:val="nil"/>
              <w:bottom w:val="single" w:sz="4" w:space="0" w:color="000000"/>
              <w:right w:val="single" w:sz="4" w:space="0" w:color="000000"/>
            </w:tcBorders>
            <w:shd w:val="clear" w:color="auto" w:fill="auto"/>
          </w:tcPr>
          <w:p w14:paraId="04BF2D8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Ash (</w:t>
            </w:r>
            <w:r>
              <w:rPr>
                <w:rFonts w:ascii="Times New Roman" w:eastAsia="Times New Roman" w:hAnsi="Times New Roman" w:cs="Times New Roman"/>
                <w:i/>
                <w:sz w:val="20"/>
                <w:szCs w:val="20"/>
              </w:rPr>
              <w:t>Fraxinus excelsior</w:t>
            </w:r>
            <w:r>
              <w:rPr>
                <w:rFonts w:ascii="Times New Roman" w:eastAsia="Times New Roman" w:hAnsi="Times New Roman" w:cs="Times New Roman"/>
                <w:sz w:val="20"/>
                <w:szCs w:val="20"/>
              </w:rPr>
              <w:t>), 2 m</w:t>
            </w:r>
          </w:p>
        </w:tc>
        <w:tc>
          <w:tcPr>
            <w:tcW w:w="900" w:type="dxa"/>
            <w:tcBorders>
              <w:top w:val="single" w:sz="4" w:space="0" w:color="000000"/>
              <w:left w:val="single" w:sz="4" w:space="0" w:color="000000"/>
              <w:bottom w:val="single" w:sz="4" w:space="0" w:color="000000"/>
              <w:right w:val="single" w:sz="4" w:space="0" w:color="000000"/>
            </w:tcBorders>
          </w:tcPr>
          <w:p w14:paraId="3541BE40"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55.4026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62C77E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23.6378</w:t>
            </w:r>
          </w:p>
        </w:tc>
        <w:tc>
          <w:tcPr>
            <w:tcW w:w="1050" w:type="dxa"/>
            <w:tcBorders>
              <w:top w:val="nil"/>
              <w:left w:val="single" w:sz="4" w:space="0" w:color="000000"/>
              <w:bottom w:val="single" w:sz="4" w:space="0" w:color="000000"/>
              <w:right w:val="single" w:sz="4" w:space="0" w:color="000000"/>
            </w:tcBorders>
            <w:shd w:val="clear" w:color="auto" w:fill="auto"/>
          </w:tcPr>
          <w:p w14:paraId="63011D9A"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0.712086</w:t>
            </w:r>
          </w:p>
        </w:tc>
      </w:tr>
      <w:tr w:rsidR="00073701" w14:paraId="0FBC1335"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0251F94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85" w:type="dxa"/>
            <w:tcBorders>
              <w:top w:val="nil"/>
              <w:left w:val="nil"/>
              <w:bottom w:val="single" w:sz="4" w:space="0" w:color="000000"/>
              <w:right w:val="single" w:sz="4" w:space="0" w:color="000000"/>
            </w:tcBorders>
            <w:shd w:val="clear" w:color="auto" w:fill="auto"/>
          </w:tcPr>
          <w:p w14:paraId="1DD50A89"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GVK1</w:t>
            </w:r>
          </w:p>
        </w:tc>
        <w:tc>
          <w:tcPr>
            <w:tcW w:w="1185" w:type="dxa"/>
            <w:tcBorders>
              <w:top w:val="nil"/>
              <w:left w:val="nil"/>
              <w:bottom w:val="single" w:sz="4" w:space="0" w:color="000000"/>
              <w:right w:val="single" w:sz="4" w:space="0" w:color="000000"/>
            </w:tcBorders>
            <w:shd w:val="clear" w:color="auto" w:fill="auto"/>
          </w:tcPr>
          <w:p w14:paraId="1101F946"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Gyvakarai</w:t>
            </w:r>
          </w:p>
        </w:tc>
        <w:tc>
          <w:tcPr>
            <w:tcW w:w="2232" w:type="dxa"/>
            <w:tcBorders>
              <w:top w:val="nil"/>
              <w:left w:val="nil"/>
              <w:bottom w:val="single" w:sz="4" w:space="0" w:color="000000"/>
              <w:right w:val="single" w:sz="4" w:space="0" w:color="000000"/>
            </w:tcBorders>
            <w:shd w:val="clear" w:color="auto" w:fill="auto"/>
          </w:tcPr>
          <w:p w14:paraId="13C4B23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Till, calcareous</w:t>
            </w:r>
          </w:p>
        </w:tc>
        <w:tc>
          <w:tcPr>
            <w:tcW w:w="1842" w:type="dxa"/>
            <w:tcBorders>
              <w:top w:val="nil"/>
              <w:left w:val="nil"/>
              <w:bottom w:val="single" w:sz="4" w:space="0" w:color="000000"/>
              <w:right w:val="single" w:sz="4" w:space="0" w:color="000000"/>
            </w:tcBorders>
            <w:shd w:val="clear" w:color="auto" w:fill="auto"/>
          </w:tcPr>
          <w:p w14:paraId="7BF4F1BE"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Alder (</w:t>
            </w:r>
            <w:r>
              <w:rPr>
                <w:rFonts w:ascii="Times New Roman" w:eastAsia="Times New Roman" w:hAnsi="Times New Roman" w:cs="Times New Roman"/>
                <w:i/>
                <w:sz w:val="20"/>
                <w:szCs w:val="20"/>
              </w:rPr>
              <w:t>Alnus incana</w:t>
            </w:r>
            <w:r>
              <w:rPr>
                <w:rFonts w:ascii="Times New Roman" w:eastAsia="Times New Roman" w:hAnsi="Times New Roman" w:cs="Times New Roman"/>
                <w:sz w:val="20"/>
                <w:szCs w:val="20"/>
              </w:rPr>
              <w:t>), 1.5 m</w:t>
            </w:r>
          </w:p>
        </w:tc>
        <w:tc>
          <w:tcPr>
            <w:tcW w:w="900" w:type="dxa"/>
            <w:tcBorders>
              <w:top w:val="single" w:sz="4" w:space="0" w:color="000000"/>
              <w:left w:val="single" w:sz="4" w:space="0" w:color="000000"/>
              <w:bottom w:val="single" w:sz="4" w:space="0" w:color="000000"/>
              <w:right w:val="single" w:sz="4" w:space="0" w:color="000000"/>
            </w:tcBorders>
          </w:tcPr>
          <w:p w14:paraId="7EEAEE18"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55.9184</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5BD1A7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24.9120</w:t>
            </w:r>
          </w:p>
        </w:tc>
        <w:tc>
          <w:tcPr>
            <w:tcW w:w="1050" w:type="dxa"/>
            <w:tcBorders>
              <w:top w:val="nil"/>
              <w:left w:val="single" w:sz="4" w:space="0" w:color="000000"/>
              <w:bottom w:val="single" w:sz="4" w:space="0" w:color="000000"/>
              <w:right w:val="single" w:sz="4" w:space="0" w:color="000000"/>
            </w:tcBorders>
            <w:shd w:val="clear" w:color="auto" w:fill="auto"/>
          </w:tcPr>
          <w:p w14:paraId="12ACF191"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0.711082</w:t>
            </w:r>
          </w:p>
        </w:tc>
      </w:tr>
      <w:tr w:rsidR="00073701" w14:paraId="478F8353"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3D398F54"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85" w:type="dxa"/>
            <w:tcBorders>
              <w:top w:val="nil"/>
              <w:left w:val="nil"/>
              <w:bottom w:val="single" w:sz="4" w:space="0" w:color="000000"/>
              <w:right w:val="single" w:sz="4" w:space="0" w:color="000000"/>
            </w:tcBorders>
            <w:shd w:val="clear" w:color="auto" w:fill="auto"/>
          </w:tcPr>
          <w:p w14:paraId="643C506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GVK2</w:t>
            </w:r>
          </w:p>
        </w:tc>
        <w:tc>
          <w:tcPr>
            <w:tcW w:w="1185" w:type="dxa"/>
            <w:tcBorders>
              <w:top w:val="nil"/>
              <w:left w:val="nil"/>
              <w:bottom w:val="single" w:sz="4" w:space="0" w:color="000000"/>
              <w:right w:val="single" w:sz="4" w:space="0" w:color="000000"/>
            </w:tcBorders>
            <w:shd w:val="clear" w:color="auto" w:fill="auto"/>
          </w:tcPr>
          <w:p w14:paraId="78E52C7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Gyvakarai</w:t>
            </w:r>
          </w:p>
        </w:tc>
        <w:tc>
          <w:tcPr>
            <w:tcW w:w="2232" w:type="dxa"/>
            <w:tcBorders>
              <w:top w:val="nil"/>
              <w:left w:val="nil"/>
              <w:bottom w:val="single" w:sz="4" w:space="0" w:color="000000"/>
              <w:right w:val="single" w:sz="4" w:space="0" w:color="000000"/>
            </w:tcBorders>
            <w:shd w:val="clear" w:color="auto" w:fill="auto"/>
          </w:tcPr>
          <w:p w14:paraId="0AE717F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Gravelly sand, non-calcareous</w:t>
            </w:r>
          </w:p>
        </w:tc>
        <w:tc>
          <w:tcPr>
            <w:tcW w:w="1842" w:type="dxa"/>
            <w:tcBorders>
              <w:top w:val="nil"/>
              <w:left w:val="nil"/>
              <w:bottom w:val="single" w:sz="4" w:space="0" w:color="000000"/>
              <w:right w:val="single" w:sz="4" w:space="0" w:color="000000"/>
            </w:tcBorders>
            <w:shd w:val="clear" w:color="auto" w:fill="auto"/>
          </w:tcPr>
          <w:p w14:paraId="5E900113"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Alder (</w:t>
            </w:r>
            <w:r>
              <w:rPr>
                <w:rFonts w:ascii="Times New Roman" w:eastAsia="Times New Roman" w:hAnsi="Times New Roman" w:cs="Times New Roman"/>
                <w:i/>
                <w:sz w:val="20"/>
                <w:szCs w:val="20"/>
              </w:rPr>
              <w:t>Alnus incana</w:t>
            </w:r>
            <w:r>
              <w:rPr>
                <w:rFonts w:ascii="Times New Roman" w:eastAsia="Times New Roman" w:hAnsi="Times New Roman" w:cs="Times New Roman"/>
                <w:sz w:val="20"/>
                <w:szCs w:val="20"/>
              </w:rPr>
              <w:t>), 3 m</w:t>
            </w:r>
          </w:p>
        </w:tc>
        <w:tc>
          <w:tcPr>
            <w:tcW w:w="900" w:type="dxa"/>
            <w:tcBorders>
              <w:top w:val="single" w:sz="4" w:space="0" w:color="000000"/>
              <w:left w:val="single" w:sz="4" w:space="0" w:color="000000"/>
              <w:bottom w:val="single" w:sz="4" w:space="0" w:color="000000"/>
              <w:right w:val="single" w:sz="4" w:space="0" w:color="000000"/>
            </w:tcBorders>
          </w:tcPr>
          <w:p w14:paraId="558630A2"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55.9096</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804A4E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24.9113</w:t>
            </w:r>
          </w:p>
        </w:tc>
        <w:tc>
          <w:tcPr>
            <w:tcW w:w="1050" w:type="dxa"/>
            <w:tcBorders>
              <w:top w:val="nil"/>
              <w:left w:val="single" w:sz="4" w:space="0" w:color="000000"/>
              <w:bottom w:val="single" w:sz="4" w:space="0" w:color="000000"/>
              <w:right w:val="single" w:sz="4" w:space="0" w:color="000000"/>
            </w:tcBorders>
            <w:shd w:val="clear" w:color="auto" w:fill="auto"/>
          </w:tcPr>
          <w:p w14:paraId="0537C50F"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0.715833</w:t>
            </w:r>
          </w:p>
        </w:tc>
      </w:tr>
      <w:tr w:rsidR="00073701" w14:paraId="18971399" w14:textId="77777777">
        <w:trPr>
          <w:trHeight w:val="340"/>
        </w:trPr>
        <w:tc>
          <w:tcPr>
            <w:tcW w:w="555" w:type="dxa"/>
            <w:tcBorders>
              <w:top w:val="nil"/>
              <w:left w:val="single" w:sz="4" w:space="0" w:color="000000"/>
              <w:bottom w:val="single" w:sz="4" w:space="0" w:color="000000"/>
              <w:right w:val="single" w:sz="4" w:space="0" w:color="000000"/>
            </w:tcBorders>
            <w:shd w:val="clear" w:color="auto" w:fill="auto"/>
          </w:tcPr>
          <w:p w14:paraId="67ADEDCD"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85" w:type="dxa"/>
            <w:tcBorders>
              <w:top w:val="nil"/>
              <w:left w:val="nil"/>
              <w:bottom w:val="single" w:sz="4" w:space="0" w:color="000000"/>
              <w:right w:val="single" w:sz="4" w:space="0" w:color="000000"/>
            </w:tcBorders>
            <w:shd w:val="clear" w:color="auto" w:fill="auto"/>
          </w:tcPr>
          <w:p w14:paraId="1688CBD5"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GVK3</w:t>
            </w:r>
          </w:p>
        </w:tc>
        <w:tc>
          <w:tcPr>
            <w:tcW w:w="1185" w:type="dxa"/>
            <w:tcBorders>
              <w:top w:val="nil"/>
              <w:left w:val="nil"/>
              <w:bottom w:val="single" w:sz="4" w:space="0" w:color="000000"/>
              <w:right w:val="single" w:sz="4" w:space="0" w:color="000000"/>
            </w:tcBorders>
            <w:shd w:val="clear" w:color="auto" w:fill="auto"/>
          </w:tcPr>
          <w:p w14:paraId="1900759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Gyvakarai</w:t>
            </w:r>
          </w:p>
        </w:tc>
        <w:tc>
          <w:tcPr>
            <w:tcW w:w="2232" w:type="dxa"/>
            <w:tcBorders>
              <w:top w:val="nil"/>
              <w:left w:val="nil"/>
              <w:bottom w:val="single" w:sz="4" w:space="0" w:color="000000"/>
              <w:right w:val="single" w:sz="4" w:space="0" w:color="000000"/>
            </w:tcBorders>
            <w:shd w:val="clear" w:color="auto" w:fill="auto"/>
          </w:tcPr>
          <w:p w14:paraId="41ACA33C"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Till, non-calcareous</w:t>
            </w:r>
          </w:p>
        </w:tc>
        <w:tc>
          <w:tcPr>
            <w:tcW w:w="1842" w:type="dxa"/>
            <w:tcBorders>
              <w:top w:val="nil"/>
              <w:left w:val="nil"/>
              <w:bottom w:val="single" w:sz="4" w:space="0" w:color="000000"/>
              <w:right w:val="single" w:sz="4" w:space="0" w:color="000000"/>
            </w:tcBorders>
            <w:shd w:val="clear" w:color="auto" w:fill="auto"/>
          </w:tcPr>
          <w:p w14:paraId="16FF0C2B"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Aspen (</w:t>
            </w:r>
            <w:r>
              <w:rPr>
                <w:rFonts w:ascii="Times New Roman" w:eastAsia="Times New Roman" w:hAnsi="Times New Roman" w:cs="Times New Roman"/>
                <w:i/>
                <w:sz w:val="20"/>
                <w:szCs w:val="20"/>
              </w:rPr>
              <w:t>Populus tremula</w:t>
            </w:r>
            <w:r>
              <w:rPr>
                <w:rFonts w:ascii="Times New Roman" w:eastAsia="Times New Roman" w:hAnsi="Times New Roman" w:cs="Times New Roman"/>
                <w:sz w:val="20"/>
                <w:szCs w:val="20"/>
              </w:rPr>
              <w:t>), 2 m</w:t>
            </w:r>
          </w:p>
        </w:tc>
        <w:tc>
          <w:tcPr>
            <w:tcW w:w="900" w:type="dxa"/>
            <w:tcBorders>
              <w:top w:val="single" w:sz="4" w:space="0" w:color="000000"/>
              <w:left w:val="single" w:sz="4" w:space="0" w:color="000000"/>
              <w:bottom w:val="single" w:sz="4" w:space="0" w:color="000000"/>
              <w:right w:val="single" w:sz="4" w:space="0" w:color="000000"/>
            </w:tcBorders>
          </w:tcPr>
          <w:p w14:paraId="5182792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55.9119</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56EBB7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24.9304</w:t>
            </w:r>
          </w:p>
        </w:tc>
        <w:tc>
          <w:tcPr>
            <w:tcW w:w="1050" w:type="dxa"/>
            <w:tcBorders>
              <w:top w:val="nil"/>
              <w:left w:val="single" w:sz="4" w:space="0" w:color="000000"/>
              <w:bottom w:val="single" w:sz="4" w:space="0" w:color="000000"/>
              <w:right w:val="single" w:sz="4" w:space="0" w:color="000000"/>
            </w:tcBorders>
            <w:shd w:val="clear" w:color="auto" w:fill="auto"/>
          </w:tcPr>
          <w:p w14:paraId="541A8617" w14:textId="77777777" w:rsidR="00073701" w:rsidRDefault="00C87DC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0.715114</w:t>
            </w:r>
          </w:p>
        </w:tc>
      </w:tr>
    </w:tbl>
    <w:p w14:paraId="76D795FE"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Table 3.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measurements for modern tree leaves via ID-TIMS</w:t>
      </w:r>
      <w:r>
        <w:rPr>
          <w:rFonts w:ascii="Times New Roman" w:eastAsia="Times New Roman" w:hAnsi="Times New Roman" w:cs="Times New Roman"/>
          <w:i/>
          <w:sz w:val="20"/>
          <w:szCs w:val="20"/>
          <w:vertAlign w:val="superscript"/>
        </w:rPr>
        <w:t xml:space="preserve"> </w:t>
      </w:r>
      <w:r>
        <w:rPr>
          <w:rFonts w:ascii="Times New Roman" w:eastAsia="Times New Roman" w:hAnsi="Times New Roman" w:cs="Times New Roman"/>
          <w:i/>
          <w:sz w:val="20"/>
          <w:szCs w:val="20"/>
        </w:rPr>
        <w:t>including species and subsoil descriptions. External precision (2σ) = 0.000013</w:t>
      </w:r>
    </w:p>
    <w:p w14:paraId="47A22111" w14:textId="77777777" w:rsidR="00073701" w:rsidRDefault="00073701">
      <w:pPr>
        <w:spacing w:after="0" w:line="240" w:lineRule="auto"/>
        <w:jc w:val="both"/>
        <w:rPr>
          <w:rFonts w:ascii="Times New Roman" w:eastAsia="Times New Roman" w:hAnsi="Times New Roman" w:cs="Times New Roman"/>
          <w:b/>
          <w:sz w:val="24"/>
          <w:szCs w:val="24"/>
        </w:rPr>
      </w:pPr>
    </w:p>
    <w:p w14:paraId="31DB635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II.4. Sources of bioavailable Sr</w:t>
      </w:r>
    </w:p>
    <w:p w14:paraId="487DE19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territory of Lithuania has experienced numerous glaciations, as such it is covered with a sequence of Quaternary deposits, mainly of glacia</w:t>
      </w:r>
      <w:r>
        <w:rPr>
          <w:rFonts w:ascii="Times New Roman" w:eastAsia="Times New Roman" w:hAnsi="Times New Roman" w:cs="Times New Roman"/>
          <w:sz w:val="24"/>
          <w:szCs w:val="24"/>
        </w:rPr>
        <w:t xml:space="preserve">l origin, the thicknesses of which reach more than 200 m in the highlands, but in places in the lowlands they are negligible (Aleksa 2007; Gorlach et al. 2015). In addition, in numerous river outcrops pre-Quaternary rocks are exposed. In many regions, the </w:t>
      </w:r>
      <w:r>
        <w:rPr>
          <w:rFonts w:ascii="Times New Roman" w:eastAsia="Times New Roman" w:hAnsi="Times New Roman" w:cs="Times New Roman"/>
          <w:sz w:val="24"/>
          <w:szCs w:val="24"/>
        </w:rPr>
        <w:t xml:space="preserve">surface is covered by glacial till, while patches of glaciofluvial sand and gravel or fine glaciolacustrine sediments are also common. </w:t>
      </w:r>
      <w:sdt>
        <w:sdtPr>
          <w:tag w:val="goog_rdk_2"/>
          <w:id w:val="1033391124"/>
        </w:sdtPr>
        <w:sdtEndPr/>
        <w:sdtContent>
          <w:r>
            <w:rPr>
              <w:rFonts w:ascii="Times New Roman" w:eastAsia="Times New Roman" w:hAnsi="Times New Roman" w:cs="Times New Roman"/>
              <w:sz w:val="24"/>
              <w:szCs w:val="24"/>
            </w:rPr>
            <w:t xml:space="preserve">Larger areas of sandy outwash and clayey glaciolacustrine sediments are also present. </w:t>
          </w:r>
        </w:sdtContent>
      </w:sdt>
      <w:sdt>
        <w:sdtPr>
          <w:tag w:val="goog_rdk_3"/>
          <w:id w:val="-312175303"/>
          <w:showingPlcHdr/>
        </w:sdtPr>
        <w:sdtEndPr/>
        <w:sdtContent>
          <w:r>
            <w:t xml:space="preserve">     </w:t>
          </w:r>
        </w:sdtContent>
      </w:sdt>
      <w:r>
        <w:rPr>
          <w:rFonts w:ascii="Times New Roman" w:eastAsia="Times New Roman" w:hAnsi="Times New Roman" w:cs="Times New Roman"/>
          <w:sz w:val="24"/>
          <w:szCs w:val="24"/>
        </w:rPr>
        <w:t>Glacial deposits contain Precambrian igneous and metamorphic rocks, transported by ice sheets from Scandinavia and pre-Quaternary sedimentary rocks eroded by glaciers more locally, mo</w:t>
      </w:r>
      <w:r>
        <w:rPr>
          <w:rFonts w:ascii="Times New Roman" w:eastAsia="Times New Roman" w:hAnsi="Times New Roman" w:cs="Times New Roman"/>
          <w:sz w:val="24"/>
          <w:szCs w:val="24"/>
        </w:rPr>
        <w:t>stly including Silurian, Devonian, Permian or Cretaceous carbonates (</w:t>
      </w:r>
      <w:sdt>
        <w:sdtPr>
          <w:tag w:val="goog_rdk_4"/>
          <w:id w:val="372120669"/>
          <w:showingPlcHdr/>
        </w:sdtPr>
        <w:sdtEndPr/>
        <w:sdtContent>
          <w:r>
            <w:t xml:space="preserve">     </w:t>
          </w:r>
        </w:sdtContent>
      </w:sdt>
      <w:sdt>
        <w:sdtPr>
          <w:tag w:val="goog_rdk_5"/>
          <w:id w:val="1790080320"/>
        </w:sdtPr>
        <w:sdtEndPr/>
        <w:sdtContent>
          <w:r>
            <w:rPr>
              <w:rFonts w:ascii="Times New Roman" w:eastAsia="Times New Roman" w:hAnsi="Times New Roman" w:cs="Times New Roman"/>
              <w:sz w:val="24"/>
              <w:szCs w:val="24"/>
            </w:rPr>
            <w:t>SI2</w:t>
          </w:r>
        </w:sdtContent>
      </w:sdt>
      <w:r>
        <w:rPr>
          <w:rFonts w:ascii="Times New Roman" w:eastAsia="Times New Roman" w:hAnsi="Times New Roman" w:cs="Times New Roman"/>
          <w:sz w:val="24"/>
          <w:szCs w:val="24"/>
        </w:rPr>
        <w:t>). The proportion of Precambrian and carbonate rock components, however, varies. According to some estimates, deposits transported from Scandinavia may compose ca. 25% of the</w:t>
      </w:r>
      <w:r>
        <w:rPr>
          <w:rFonts w:ascii="Times New Roman" w:eastAsia="Times New Roman" w:hAnsi="Times New Roman" w:cs="Times New Roman"/>
          <w:sz w:val="24"/>
          <w:szCs w:val="24"/>
        </w:rPr>
        <w:t xml:space="preserve"> glacial till in Lithuania (Kudaba 1983).</w:t>
      </w:r>
    </w:p>
    <w:p w14:paraId="2044E694" w14:textId="77777777" w:rsidR="00073701" w:rsidRDefault="00073701">
      <w:pPr>
        <w:spacing w:after="0" w:line="240" w:lineRule="auto"/>
        <w:jc w:val="both"/>
        <w:rPr>
          <w:rFonts w:ascii="Times New Roman" w:eastAsia="Times New Roman" w:hAnsi="Times New Roman" w:cs="Times New Roman"/>
          <w:sz w:val="24"/>
          <w:szCs w:val="24"/>
        </w:rPr>
      </w:pPr>
    </w:p>
    <w:p w14:paraId="0E4E8B7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may be assumed that three sources contributed to the formation of the bioavailable Sr in Lithuania: (i) high radiogenic Sr from Precambrian rock debris transported from Scandinavia by the ice sheets, (ii) low r</w:t>
      </w:r>
      <w:r>
        <w:rPr>
          <w:rFonts w:ascii="Times New Roman" w:eastAsia="Times New Roman" w:hAnsi="Times New Roman" w:cs="Times New Roman"/>
          <w:sz w:val="24"/>
          <w:szCs w:val="24"/>
        </w:rPr>
        <w:t>adiogenic Sr from marine carbonates, and (iii) low radiogenic Sr from the Baltic Sea which may have been incorporated into living organisms via marine foods or may have been introduced into soils of the coastal zone via the sea spray effect. In central and</w:t>
      </w:r>
      <w:r>
        <w:rPr>
          <w:rFonts w:ascii="Times New Roman" w:eastAsia="Times New Roman" w:hAnsi="Times New Roman" w:cs="Times New Roman"/>
          <w:sz w:val="24"/>
          <w:szCs w:val="24"/>
        </w:rPr>
        <w:t xml:space="preserve"> northern Sweden, the Proterozoic igneous and metamorphic rocks have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values between 0.7200 and 0.7400 as </w:t>
      </w:r>
      <w:r>
        <w:rPr>
          <w:rFonts w:ascii="Times New Roman" w:eastAsia="Times New Roman" w:hAnsi="Times New Roman" w:cs="Times New Roman"/>
          <w:sz w:val="24"/>
          <w:szCs w:val="24"/>
        </w:rPr>
        <w:lastRenderedPageBreak/>
        <w:t>demonstrated from measurements of surface water and archaeological animals (Bäckström and Price 2016; Löfvendahl et al. 1990; Price et al. 20</w:t>
      </w:r>
      <w:r>
        <w:rPr>
          <w:rFonts w:ascii="Times New Roman" w:eastAsia="Times New Roman" w:hAnsi="Times New Roman" w:cs="Times New Roman"/>
          <w:sz w:val="24"/>
          <w:szCs w:val="24"/>
        </w:rPr>
        <w:t xml:space="preserve">18). Since marine carbonate rocks inherit their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from seawater, they also contain more Sr and weather faster than other rock types (Palmer and Edmond 1992). Cretaceous marine carbonates have low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the order of 0.7073-0.7078 (McArthur et</w:t>
      </w:r>
      <w:r>
        <w:rPr>
          <w:rFonts w:ascii="Times New Roman" w:eastAsia="Times New Roman" w:hAnsi="Times New Roman" w:cs="Times New Roman"/>
          <w:sz w:val="24"/>
          <w:szCs w:val="24"/>
        </w:rPr>
        <w:t xml:space="preserve"> al. 2001; Veizer et al. 1997), whereas Silurian, Ordovician, Devonian marine carbonate rocks have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between 0.7078 and 0.7093 (Cramer et al. 2011; Diener et al. 1996; Edwards et al. 2015). Foods from marine environments have the same isotopic valu</w:t>
      </w:r>
      <w:r>
        <w:rPr>
          <w:rFonts w:ascii="Times New Roman" w:eastAsia="Times New Roman" w:hAnsi="Times New Roman" w:cs="Times New Roman"/>
          <w:sz w:val="24"/>
          <w:szCs w:val="24"/>
        </w:rPr>
        <w:t xml:space="preserve">es as seawater. Although surface water near Gotland in the Baltic Sea yielded 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 of 0.7093 (Andersson et al. 1992), values vary throughout the Baltic Sea due to the different catchment areas of all the rivers that enter it (Åberg and Wickman</w:t>
      </w:r>
      <w:r>
        <w:rPr>
          <w:rFonts w:ascii="Times New Roman" w:eastAsia="Times New Roman" w:hAnsi="Times New Roman" w:cs="Times New Roman"/>
          <w:sz w:val="24"/>
          <w:szCs w:val="24"/>
        </w:rPr>
        <w:t xml:space="preserve"> 1987; Löfvendahl et al. 1990). Significant consumption of marine fish or seals may shift consumers’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towards the value of seawater (see Eriksson et al. 2018; Lahtinen et al. 2021). However, due to the process of biopurification, marine dietary co</w:t>
      </w:r>
      <w:r>
        <w:rPr>
          <w:rFonts w:ascii="Times New Roman" w:eastAsia="Times New Roman" w:hAnsi="Times New Roman" w:cs="Times New Roman"/>
          <w:sz w:val="24"/>
          <w:szCs w:val="24"/>
        </w:rPr>
        <w:t xml:space="preserve">mponents contribute up to five times less Sr to the human diet compared to terrestrial ones (Fornander et al. 2015). Sea spray can have a similar effect on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humans since marine radiogenic Sr can then be mixed with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found in terrest</w:t>
      </w:r>
      <w:r>
        <w:rPr>
          <w:rFonts w:ascii="Times New Roman" w:eastAsia="Times New Roman" w:hAnsi="Times New Roman" w:cs="Times New Roman"/>
          <w:sz w:val="24"/>
          <w:szCs w:val="24"/>
        </w:rPr>
        <w:t xml:space="preserve">rial settings. In a study by Snoeck (2014), a significant impact of the sea spray effect in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was reported from up to 200 metres</w:t>
      </w:r>
      <w:r>
        <w:rPr>
          <w:rFonts w:ascii="Times New Roman" w:eastAsia="Times New Roman" w:hAnsi="Times New Roman" w:cs="Times New Roman"/>
          <w:sz w:val="24"/>
          <w:szCs w:val="24"/>
        </w:rPr>
        <w:t xml:space="preserve"> from the coastline (see also Alonzi et al. 2020). Considering that most of the areas analysed in this study are located between 80 and 320 km away from the Baltic Sea and long-distance transport of large quantities of seafood is highly unlikely during the</w:t>
      </w:r>
      <w:r>
        <w:rPr>
          <w:rFonts w:ascii="Times New Roman" w:eastAsia="Times New Roman" w:hAnsi="Times New Roman" w:cs="Times New Roman"/>
          <w:sz w:val="24"/>
          <w:szCs w:val="24"/>
        </w:rPr>
        <w:t xml:space="preserve"> Stone and Bronze Ages, it may be assumed that a sea-derived Sr would only influence one of the areas in this study, Šventoji (Fig. 1).</w:t>
      </w:r>
    </w:p>
    <w:p w14:paraId="764A1E70" w14:textId="77777777" w:rsidR="00073701" w:rsidRDefault="00073701">
      <w:pPr>
        <w:spacing w:after="0" w:line="240" w:lineRule="auto"/>
        <w:jc w:val="both"/>
        <w:rPr>
          <w:rFonts w:ascii="Times New Roman" w:eastAsia="Times New Roman" w:hAnsi="Times New Roman" w:cs="Times New Roman"/>
          <w:sz w:val="24"/>
          <w:szCs w:val="24"/>
        </w:rPr>
      </w:pPr>
    </w:p>
    <w:p w14:paraId="147E9B56" w14:textId="77777777" w:rsidR="00073701" w:rsidRDefault="00C87DCB">
      <w:pPr>
        <w:spacing w:after="0" w:line="240" w:lineRule="auto"/>
        <w:jc w:val="center"/>
        <w:rPr>
          <w:rFonts w:ascii="Times New Roman" w:eastAsia="Times New Roman" w:hAnsi="Times New Roman" w:cs="Times New Roman"/>
          <w:sz w:val="24"/>
          <w:szCs w:val="24"/>
        </w:rPr>
      </w:pPr>
      <w:sdt>
        <w:sdtPr>
          <w:tag w:val="goog_rdk_7"/>
          <w:id w:val="2078932674"/>
          <w:showingPlcHdr/>
        </w:sdtPr>
        <w:sdtEndPr/>
        <w:sdtContent>
          <w:r>
            <w:t xml:space="preserve">     </w:t>
          </w:r>
        </w:sdtContent>
      </w:sdt>
    </w:p>
    <w:p w14:paraId="5819F467" w14:textId="77777777" w:rsidR="00073701" w:rsidRDefault="00073701">
      <w:pPr>
        <w:spacing w:after="0" w:line="240" w:lineRule="auto"/>
        <w:jc w:val="both"/>
        <w:rPr>
          <w:rFonts w:ascii="Times New Roman" w:eastAsia="Times New Roman" w:hAnsi="Times New Roman" w:cs="Times New Roman"/>
          <w:sz w:val="24"/>
          <w:szCs w:val="24"/>
        </w:rPr>
      </w:pPr>
    </w:p>
    <w:p w14:paraId="76C1FC2A"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II.5. Regions studied</w:t>
      </w:r>
    </w:p>
    <w:p w14:paraId="0AF3D4E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of the seven study regions a Quaternary geological map with the locations of the sampled human, faunal and modern tree samples is given (</w:t>
      </w:r>
      <w:sdt>
        <w:sdtPr>
          <w:tag w:val="goog_rdk_8"/>
          <w:id w:val="-727000827"/>
          <w:showingPlcHdr/>
        </w:sdtPr>
        <w:sdtEndPr/>
        <w:sdtContent>
          <w:r>
            <w:t xml:space="preserve">     </w:t>
          </w:r>
        </w:sdtContent>
      </w:sdt>
      <w:sdt>
        <w:sdtPr>
          <w:tag w:val="goog_rdk_9"/>
          <w:id w:val="-88468228"/>
        </w:sdtPr>
        <w:sdtEndPr/>
        <w:sdtContent>
          <w:r>
            <w:rPr>
              <w:rFonts w:ascii="Times New Roman" w:eastAsia="Times New Roman" w:hAnsi="Times New Roman" w:cs="Times New Roman"/>
              <w:sz w:val="24"/>
              <w:szCs w:val="24"/>
            </w:rPr>
            <w:t>SI3</w:t>
          </w:r>
        </w:sdtContent>
      </w:sdt>
      <w:r>
        <w:rPr>
          <w:rFonts w:ascii="Times New Roman" w:eastAsia="Times New Roman" w:hAnsi="Times New Roman" w:cs="Times New Roman"/>
          <w:sz w:val="24"/>
          <w:szCs w:val="24"/>
        </w:rPr>
        <w:t>). The first region, Šventoji, is located on the Baltic Sea coast in northwestern Lithuania. Here</w:t>
      </w:r>
      <w:r>
        <w:rPr>
          <w:rFonts w:ascii="Times New Roman" w:eastAsia="Times New Roman" w:hAnsi="Times New Roman" w:cs="Times New Roman"/>
          <w:sz w:val="24"/>
          <w:szCs w:val="24"/>
        </w:rPr>
        <w:t>, Subneolithic dwellings and fishing sites are found on a sandy Littorina Sea terrace, on the banks as well as in the middle of the former lagoonal lake. Marine and Baltic Ice Lake sand and gravel cover large areas and stretch 5 km inland from the modern c</w:t>
      </w:r>
      <w:r>
        <w:rPr>
          <w:rFonts w:ascii="Times New Roman" w:eastAsia="Times New Roman" w:hAnsi="Times New Roman" w:cs="Times New Roman"/>
          <w:sz w:val="24"/>
          <w:szCs w:val="24"/>
        </w:rPr>
        <w:t>oastline. Further inland, glacial till rises to the surface (</w:t>
      </w:r>
      <w:sdt>
        <w:sdtPr>
          <w:tag w:val="goog_rdk_10"/>
          <w:id w:val="1343438763"/>
          <w:showingPlcHdr/>
        </w:sdtPr>
        <w:sdtEndPr/>
        <w:sdtContent>
          <w:r>
            <w:t xml:space="preserve">     </w:t>
          </w:r>
        </w:sdtContent>
      </w:sdt>
      <w:sdt>
        <w:sdtPr>
          <w:tag w:val="goog_rdk_11"/>
          <w:id w:val="-391960698"/>
        </w:sdtPr>
        <w:sdtEndPr/>
        <w:sdtContent>
          <w:r>
            <w:rPr>
              <w:rFonts w:ascii="Times New Roman" w:eastAsia="Times New Roman" w:hAnsi="Times New Roman" w:cs="Times New Roman"/>
              <w:sz w:val="24"/>
              <w:szCs w:val="24"/>
            </w:rPr>
            <w:t>SI3:</w:t>
          </w:r>
        </w:sdtContent>
      </w:sdt>
      <w:r>
        <w:rPr>
          <w:rFonts w:ascii="Times New Roman" w:eastAsia="Times New Roman" w:hAnsi="Times New Roman" w:cs="Times New Roman"/>
          <w:sz w:val="24"/>
          <w:szCs w:val="24"/>
        </w:rPr>
        <w:t>A). The second region includes Biržulis Lake with the Donkalnis and Spiginas Stone Age cemeteries that are located on islands in the lake. The lake is situated in the Žemaičiai Upla</w:t>
      </w:r>
      <w:r>
        <w:rPr>
          <w:rFonts w:ascii="Times New Roman" w:eastAsia="Times New Roman" w:hAnsi="Times New Roman" w:cs="Times New Roman"/>
          <w:sz w:val="24"/>
          <w:szCs w:val="24"/>
        </w:rPr>
        <w:t>nd and surrounded by morainic hills composed of till in the south and east, and with glaciofluvial landforms in the northwest (</w:t>
      </w:r>
      <w:sdt>
        <w:sdtPr>
          <w:tag w:val="goog_rdk_12"/>
          <w:id w:val="-1748877898"/>
        </w:sdtPr>
        <w:sdtEndPr/>
        <w:sdtContent>
          <w:r>
            <w:rPr>
              <w:rFonts w:ascii="Times New Roman" w:eastAsia="Times New Roman" w:hAnsi="Times New Roman" w:cs="Times New Roman"/>
              <w:sz w:val="24"/>
              <w:szCs w:val="24"/>
            </w:rPr>
            <w:t>SI3:</w:t>
          </w:r>
        </w:sdtContent>
      </w:sdt>
      <w:sdt>
        <w:sdtPr>
          <w:tag w:val="goog_rdk_13"/>
          <w:id w:val="-1302465201"/>
          <w:showingPlcHdr/>
        </w:sdtPr>
        <w:sdtEndPr/>
        <w:sdtContent>
          <w:r>
            <w:t xml:space="preserve">     </w:t>
          </w:r>
        </w:sdtContent>
      </w:sdt>
      <w:r>
        <w:rPr>
          <w:rFonts w:ascii="Times New Roman" w:eastAsia="Times New Roman" w:hAnsi="Times New Roman" w:cs="Times New Roman"/>
          <w:sz w:val="24"/>
          <w:szCs w:val="24"/>
        </w:rPr>
        <w:t>B). The third region includes the Plinkaigalis cemetery that is situated in the Middle Lithuanian Lowland, on the b</w:t>
      </w:r>
      <w:r>
        <w:rPr>
          <w:rFonts w:ascii="Times New Roman" w:eastAsia="Times New Roman" w:hAnsi="Times New Roman" w:cs="Times New Roman"/>
          <w:sz w:val="24"/>
          <w:szCs w:val="24"/>
        </w:rPr>
        <w:t>ank of the Šušvė River. It is surrounded by a rather extensive flat plain of glacial till with a narrow belt of an undulating surface stretching from south to north. However, large patches of glaciofluvial sand and gravel and fine proglacial lake sediments</w:t>
      </w:r>
      <w:r>
        <w:rPr>
          <w:rFonts w:ascii="Times New Roman" w:eastAsia="Times New Roman" w:hAnsi="Times New Roman" w:cs="Times New Roman"/>
          <w:sz w:val="24"/>
          <w:szCs w:val="24"/>
        </w:rPr>
        <w:t xml:space="preserve"> occur further to the west and south (</w:t>
      </w:r>
      <w:sdt>
        <w:sdtPr>
          <w:tag w:val="goog_rdk_14"/>
          <w:id w:val="918687921"/>
        </w:sdtPr>
        <w:sdtEndPr/>
        <w:sdtContent>
          <w:r>
            <w:rPr>
              <w:rFonts w:ascii="Times New Roman" w:eastAsia="Times New Roman" w:hAnsi="Times New Roman" w:cs="Times New Roman"/>
              <w:sz w:val="24"/>
              <w:szCs w:val="24"/>
            </w:rPr>
            <w:t>SI3:</w:t>
          </w:r>
        </w:sdtContent>
      </w:sdt>
      <w:sdt>
        <w:sdtPr>
          <w:tag w:val="goog_rdk_15"/>
          <w:id w:val="-1765150228"/>
          <w:showingPlcHdr/>
        </w:sdtPr>
        <w:sdtEndPr/>
        <w:sdtContent>
          <w:r>
            <w:t xml:space="preserve">     </w:t>
          </w:r>
        </w:sdtContent>
      </w:sdt>
      <w:r>
        <w:rPr>
          <w:rFonts w:ascii="Times New Roman" w:eastAsia="Times New Roman" w:hAnsi="Times New Roman" w:cs="Times New Roman"/>
          <w:sz w:val="24"/>
          <w:szCs w:val="24"/>
        </w:rPr>
        <w:t>C). The fourth region includes the Turlojiškė Bronze Age site and is situated in the Dzūkų Upland, in the middle of a former lake. The present-day peat bog is on a slightly undulated glaciofluvial and gla</w:t>
      </w:r>
      <w:r>
        <w:rPr>
          <w:rFonts w:ascii="Times New Roman" w:eastAsia="Times New Roman" w:hAnsi="Times New Roman" w:cs="Times New Roman"/>
          <w:sz w:val="24"/>
          <w:szCs w:val="24"/>
        </w:rPr>
        <w:t>ciolacustrine sediment surface, surrounded by ice-marginal hills composed of glacial till (</w:t>
      </w:r>
      <w:sdt>
        <w:sdtPr>
          <w:tag w:val="goog_rdk_16"/>
          <w:id w:val="1448271450"/>
        </w:sdtPr>
        <w:sdtEndPr/>
        <w:sdtContent>
          <w:r>
            <w:rPr>
              <w:rFonts w:ascii="Times New Roman" w:eastAsia="Times New Roman" w:hAnsi="Times New Roman" w:cs="Times New Roman"/>
              <w:sz w:val="24"/>
              <w:szCs w:val="24"/>
            </w:rPr>
            <w:t>SI3:</w:t>
          </w:r>
        </w:sdtContent>
      </w:sdt>
      <w:sdt>
        <w:sdtPr>
          <w:tag w:val="goog_rdk_17"/>
          <w:id w:val="-2041112055"/>
          <w:showingPlcHdr/>
        </w:sdtPr>
        <w:sdtEndPr/>
        <w:sdtContent>
          <w:r>
            <w:t xml:space="preserve">     </w:t>
          </w:r>
        </w:sdtContent>
      </w:sdt>
      <w:r>
        <w:rPr>
          <w:rFonts w:ascii="Times New Roman" w:eastAsia="Times New Roman" w:hAnsi="Times New Roman" w:cs="Times New Roman"/>
          <w:sz w:val="24"/>
          <w:szCs w:val="24"/>
        </w:rPr>
        <w:t>D). The fifth, Biržai, is a city in northern Lithuania at the mouth of the Apaščia River at the human-made Širvėna Lake. The surroundings are part of t</w:t>
      </w:r>
      <w:r>
        <w:rPr>
          <w:rFonts w:ascii="Times New Roman" w:eastAsia="Times New Roman" w:hAnsi="Times New Roman" w:cs="Times New Roman"/>
          <w:sz w:val="24"/>
          <w:szCs w:val="24"/>
        </w:rPr>
        <w:t>he Pasvalys Plain with a surface mainly covered by glacial till. However, large patches of glaciolacustrine sand exist only 5-10 km to the north and northeast (</w:t>
      </w:r>
      <w:sdt>
        <w:sdtPr>
          <w:tag w:val="goog_rdk_18"/>
          <w:id w:val="89435900"/>
        </w:sdtPr>
        <w:sdtEndPr/>
        <w:sdtContent>
          <w:r>
            <w:rPr>
              <w:rFonts w:ascii="Times New Roman" w:eastAsia="Times New Roman" w:hAnsi="Times New Roman" w:cs="Times New Roman"/>
              <w:sz w:val="24"/>
              <w:szCs w:val="24"/>
            </w:rPr>
            <w:t>SI3:</w:t>
          </w:r>
        </w:sdtContent>
      </w:sdt>
      <w:sdt>
        <w:sdtPr>
          <w:tag w:val="goog_rdk_19"/>
          <w:id w:val="1611002781"/>
          <w:showingPlcHdr/>
        </w:sdtPr>
        <w:sdtEndPr/>
        <w:sdtContent>
          <w:r>
            <w:t xml:space="preserve">     </w:t>
          </w:r>
        </w:sdtContent>
      </w:sdt>
      <w:r>
        <w:rPr>
          <w:rFonts w:ascii="Times New Roman" w:eastAsia="Times New Roman" w:hAnsi="Times New Roman" w:cs="Times New Roman"/>
          <w:sz w:val="24"/>
          <w:szCs w:val="24"/>
        </w:rPr>
        <w:t>E). The sixth region, Gyvakarai, is situated on the small Žvikė stream that flows through the Pasvalys Plain. Glacial till dominates the plain surface covered by patches of glaciofluvial and glaciolacustrine sediments (</w:t>
      </w:r>
      <w:sdt>
        <w:sdtPr>
          <w:tag w:val="goog_rdk_20"/>
          <w:id w:val="1240288116"/>
        </w:sdtPr>
        <w:sdtEndPr/>
        <w:sdtContent>
          <w:r>
            <w:rPr>
              <w:rFonts w:ascii="Times New Roman" w:eastAsia="Times New Roman" w:hAnsi="Times New Roman" w:cs="Times New Roman"/>
              <w:sz w:val="24"/>
              <w:szCs w:val="24"/>
            </w:rPr>
            <w:t>SI3:</w:t>
          </w:r>
        </w:sdtContent>
      </w:sdt>
      <w:sdt>
        <w:sdtPr>
          <w:tag w:val="goog_rdk_21"/>
          <w:id w:val="-334610774"/>
          <w:showingPlcHdr/>
        </w:sdtPr>
        <w:sdtEndPr/>
        <w:sdtContent>
          <w:r>
            <w:t xml:space="preserve">     </w:t>
          </w:r>
        </w:sdtContent>
      </w:sdt>
      <w:r>
        <w:rPr>
          <w:rFonts w:ascii="Times New Roman" w:eastAsia="Times New Roman" w:hAnsi="Times New Roman" w:cs="Times New Roman"/>
          <w:sz w:val="24"/>
          <w:szCs w:val="24"/>
        </w:rPr>
        <w:t>F). The seventh and fin</w:t>
      </w:r>
      <w:r>
        <w:rPr>
          <w:rFonts w:ascii="Times New Roman" w:eastAsia="Times New Roman" w:hAnsi="Times New Roman" w:cs="Times New Roman"/>
          <w:sz w:val="24"/>
          <w:szCs w:val="24"/>
        </w:rPr>
        <w:t xml:space="preserve">al region, Kretuonas Lake, is situated on the border of a large glaciofluvial undulating plain to the west with a hilly ice-marginal landscape, mainly composed of glacial till, to the east. A rather large </w:t>
      </w:r>
      <w:r>
        <w:rPr>
          <w:rFonts w:ascii="Times New Roman" w:eastAsia="Times New Roman" w:hAnsi="Times New Roman" w:cs="Times New Roman"/>
          <w:sz w:val="24"/>
          <w:szCs w:val="24"/>
        </w:rPr>
        <w:lastRenderedPageBreak/>
        <w:t xml:space="preserve">area to the southeast right beside the modern lake </w:t>
      </w:r>
      <w:r>
        <w:rPr>
          <w:rFonts w:ascii="Times New Roman" w:eastAsia="Times New Roman" w:hAnsi="Times New Roman" w:cs="Times New Roman"/>
          <w:sz w:val="24"/>
          <w:szCs w:val="24"/>
        </w:rPr>
        <w:t>is covered by sand deposited in the proglacial lake of the last glaciation (</w:t>
      </w:r>
      <w:sdt>
        <w:sdtPr>
          <w:tag w:val="goog_rdk_22"/>
          <w:id w:val="1261876963"/>
        </w:sdtPr>
        <w:sdtEndPr/>
        <w:sdtContent>
          <w:r>
            <w:rPr>
              <w:rFonts w:ascii="Times New Roman" w:eastAsia="Times New Roman" w:hAnsi="Times New Roman" w:cs="Times New Roman"/>
              <w:sz w:val="24"/>
              <w:szCs w:val="24"/>
            </w:rPr>
            <w:t>SI3:</w:t>
          </w:r>
        </w:sdtContent>
      </w:sdt>
      <w:sdt>
        <w:sdtPr>
          <w:tag w:val="goog_rdk_23"/>
          <w:id w:val="-2140954182"/>
          <w:showingPlcHdr/>
        </w:sdtPr>
        <w:sdtEndPr/>
        <w:sdtContent>
          <w:r>
            <w:t xml:space="preserve">     </w:t>
          </w:r>
        </w:sdtContent>
      </w:sdt>
      <w:r>
        <w:rPr>
          <w:rFonts w:ascii="Times New Roman" w:eastAsia="Times New Roman" w:hAnsi="Times New Roman" w:cs="Times New Roman"/>
          <w:sz w:val="24"/>
          <w:szCs w:val="24"/>
        </w:rPr>
        <w:t>G).</w:t>
      </w:r>
    </w:p>
    <w:p w14:paraId="473BE003" w14:textId="77777777" w:rsidR="00073701" w:rsidRDefault="00073701">
      <w:pPr>
        <w:spacing w:after="0" w:line="240" w:lineRule="auto"/>
        <w:jc w:val="both"/>
        <w:rPr>
          <w:rFonts w:ascii="Times New Roman" w:eastAsia="Times New Roman" w:hAnsi="Times New Roman" w:cs="Times New Roman"/>
          <w:sz w:val="24"/>
          <w:szCs w:val="24"/>
        </w:rPr>
      </w:pPr>
    </w:p>
    <w:p w14:paraId="5F0DA61C" w14:textId="77777777" w:rsidR="00073701" w:rsidRDefault="00C87DCB">
      <w:pPr>
        <w:spacing w:after="0" w:line="240" w:lineRule="auto"/>
        <w:jc w:val="both"/>
        <w:rPr>
          <w:rFonts w:ascii="Times New Roman" w:eastAsia="Times New Roman" w:hAnsi="Times New Roman" w:cs="Times New Roman"/>
          <w:sz w:val="24"/>
          <w:szCs w:val="24"/>
        </w:rPr>
      </w:pPr>
      <w:sdt>
        <w:sdtPr>
          <w:tag w:val="goog_rdk_25"/>
          <w:id w:val="-1219734195"/>
          <w:showingPlcHdr/>
        </w:sdtPr>
        <w:sdtEndPr/>
        <w:sdtContent>
          <w:r>
            <w:t xml:space="preserve">     </w:t>
          </w:r>
        </w:sdtContent>
      </w:sdt>
    </w:p>
    <w:p w14:paraId="29AA63E7" w14:textId="77777777" w:rsidR="00073701" w:rsidRDefault="00073701">
      <w:pPr>
        <w:spacing w:after="0" w:line="240" w:lineRule="auto"/>
        <w:jc w:val="both"/>
        <w:rPr>
          <w:rFonts w:ascii="Times New Roman" w:eastAsia="Times New Roman" w:hAnsi="Times New Roman" w:cs="Times New Roman"/>
          <w:sz w:val="24"/>
          <w:szCs w:val="24"/>
        </w:rPr>
      </w:pPr>
    </w:p>
    <w:p w14:paraId="08C765B2"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II.6. Methods</w:t>
      </w:r>
    </w:p>
    <w:p w14:paraId="649509C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analysis was carried at the Vegacenter at the Swedish Museum of Natural History in Stockholm by isotope dilution-thermal ionisation </w:t>
      </w:r>
      <w:r>
        <w:rPr>
          <w:rFonts w:ascii="Times New Roman" w:eastAsia="Times New Roman" w:hAnsi="Times New Roman" w:cs="Times New Roman"/>
          <w:sz w:val="24"/>
          <w:szCs w:val="24"/>
        </w:rPr>
        <w:t xml:space="preserve">mass spectrometry (ID-TIMS) and laser ablation-multi collector-inductively coupled plasma-mass spectrometry (LA-MC-ICP-MS).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are presented at four decimal places throughout this study.</w:t>
      </w:r>
    </w:p>
    <w:p w14:paraId="44A5B06D" w14:textId="77777777" w:rsidR="00073701" w:rsidRDefault="00073701">
      <w:pPr>
        <w:spacing w:after="0" w:line="240" w:lineRule="auto"/>
        <w:jc w:val="both"/>
        <w:rPr>
          <w:rFonts w:ascii="Times New Roman" w:eastAsia="Times New Roman" w:hAnsi="Times New Roman" w:cs="Times New Roman"/>
          <w:sz w:val="24"/>
          <w:szCs w:val="24"/>
        </w:rPr>
      </w:pPr>
    </w:p>
    <w:p w14:paraId="236E0CDB" w14:textId="77777777" w:rsidR="00073701" w:rsidRDefault="00C87DC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line="264"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II.6.1. Isotope dilution-thermal ionisation mass s</w:t>
      </w:r>
      <w:r>
        <w:rPr>
          <w:rFonts w:ascii="Times New Roman" w:eastAsia="Times New Roman" w:hAnsi="Times New Roman" w:cs="Times New Roman"/>
          <w:i/>
          <w:sz w:val="24"/>
          <w:szCs w:val="24"/>
        </w:rPr>
        <w:t>pectrometry</w:t>
      </w:r>
    </w:p>
    <w:p w14:paraId="4FEFFD6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ID-TIMS was used for bulk analysis of animal teeth and tree leaves in this study. The tooth samples were washed in an ultrasonic bath; first in ultra-pure water and then in ethanol. A Dremel tool was used for polishing, after which a piece of the polished </w:t>
      </w:r>
      <w:r>
        <w:rPr>
          <w:rFonts w:ascii="Times New Roman" w:eastAsia="Times New Roman" w:hAnsi="Times New Roman" w:cs="Times New Roman"/>
          <w:sz w:val="24"/>
          <w:szCs w:val="24"/>
        </w:rPr>
        <w:t>section was used for strontium extraction, followed by further washing in ultrapure water and ethanol. The extracted samples were treated with 0.1M acetic acid for 4 hours at room temperature (Balasse and Ambrose 2002), followed by an ultra-pure water wash</w:t>
      </w:r>
      <w:r>
        <w:rPr>
          <w:rFonts w:ascii="Times New Roman" w:eastAsia="Times New Roman" w:hAnsi="Times New Roman" w:cs="Times New Roman"/>
          <w:sz w:val="24"/>
          <w:szCs w:val="24"/>
        </w:rPr>
        <w:t xml:space="preserve"> and drying, weighing and dissolution in 8M nitric acid in Savillex beakers on a hot plate (95°C).</w:t>
      </w:r>
    </w:p>
    <w:p w14:paraId="44DA56ED" w14:textId="77777777" w:rsidR="00073701" w:rsidRDefault="00073701">
      <w:pPr>
        <w:spacing w:after="0" w:line="240" w:lineRule="auto"/>
        <w:jc w:val="both"/>
        <w:rPr>
          <w:rFonts w:ascii="Times New Roman" w:eastAsia="Times New Roman" w:hAnsi="Times New Roman" w:cs="Times New Roman"/>
          <w:sz w:val="24"/>
          <w:szCs w:val="24"/>
        </w:rPr>
      </w:pPr>
    </w:p>
    <w:p w14:paraId="0745A68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dried and homogenised plant material was weighed and, similar to the teeth, dissolved in Savillex beakers. Nitric acid (8M) and hydrogen peroxide were r</w:t>
      </w:r>
      <w:r>
        <w:rPr>
          <w:rFonts w:ascii="Times New Roman" w:eastAsia="Times New Roman" w:hAnsi="Times New Roman" w:cs="Times New Roman"/>
          <w:sz w:val="24"/>
          <w:szCs w:val="24"/>
        </w:rPr>
        <w:t>epeatedly added for oxidation and dissolution. The dried, dissolved samples were converted to chloride form by addition of 6M HCl. After drying, both types of samples were re-dissolved in 6M HCl and purified using a Sr specific ion exchange procedure (Delm</w:t>
      </w:r>
      <w:r>
        <w:rPr>
          <w:rFonts w:ascii="Times New Roman" w:eastAsia="Times New Roman" w:hAnsi="Times New Roman" w:cs="Times New Roman"/>
          <w:sz w:val="24"/>
          <w:szCs w:val="24"/>
        </w:rPr>
        <w:t>onte et al. 2008).</w:t>
      </w:r>
    </w:p>
    <w:p w14:paraId="161165A1" w14:textId="77777777" w:rsidR="00073701" w:rsidRDefault="00073701">
      <w:pPr>
        <w:spacing w:after="0" w:line="240" w:lineRule="auto"/>
        <w:jc w:val="both"/>
        <w:rPr>
          <w:rFonts w:ascii="Times New Roman" w:eastAsia="Times New Roman" w:hAnsi="Times New Roman" w:cs="Times New Roman"/>
          <w:sz w:val="24"/>
          <w:szCs w:val="24"/>
        </w:rPr>
      </w:pPr>
    </w:p>
    <w:p w14:paraId="34747EE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purified samples were mixed with a silicotungstic ionisation enhancer, loaded on Re single filaments and analysed using a Thermo Scientific Triton thermal ionisation mass spectrometer (TIMS). Two hundred 8 sec. integrations were rec</w:t>
      </w:r>
      <w:r>
        <w:rPr>
          <w:rFonts w:ascii="Times New Roman" w:eastAsia="Times New Roman" w:hAnsi="Times New Roman" w:cs="Times New Roman"/>
          <w:sz w:val="24"/>
          <w:szCs w:val="24"/>
        </w:rPr>
        <w:t xml:space="preserve">orded in multi-collector static mode, applying rotating gain compensation. Measured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 xml:space="preserve">Sr intensities were corrected for Rb interference using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Rb/</w:t>
      </w:r>
      <w:r>
        <w:rPr>
          <w:rFonts w:ascii="Times New Roman" w:eastAsia="Times New Roman" w:hAnsi="Times New Roman" w:cs="Times New Roman"/>
          <w:sz w:val="24"/>
          <w:szCs w:val="24"/>
          <w:vertAlign w:val="superscript"/>
        </w:rPr>
        <w:t>85</w:t>
      </w:r>
      <w:r>
        <w:rPr>
          <w:rFonts w:ascii="Times New Roman" w:eastAsia="Times New Roman" w:hAnsi="Times New Roman" w:cs="Times New Roman"/>
          <w:sz w:val="24"/>
          <w:szCs w:val="24"/>
        </w:rPr>
        <w:t xml:space="preserve">Rb = 0.38600 and ratios were reduced using the exponential fractionation law and </w:t>
      </w:r>
      <w:r>
        <w:rPr>
          <w:rFonts w:ascii="Times New Roman" w:eastAsia="Times New Roman" w:hAnsi="Times New Roman" w:cs="Times New Roman"/>
          <w:sz w:val="24"/>
          <w:szCs w:val="24"/>
          <w:vertAlign w:val="superscript"/>
        </w:rPr>
        <w:t>88</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 8.375209. The </w:t>
      </w:r>
      <w:r>
        <w:rPr>
          <w:rFonts w:ascii="Times New Roman" w:eastAsia="Times New Roman" w:hAnsi="Times New Roman" w:cs="Times New Roman"/>
          <w:sz w:val="24"/>
          <w:szCs w:val="24"/>
        </w:rPr>
        <w:t>isotope data were normalised to the NBS 987 Sr isotope reference, repeated analyses of which during the course of the analytical sessions for animal and plant samples yielded an external reproducibility of 17 ppm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12) and 18 ppm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20) respectively.</w:t>
      </w:r>
    </w:p>
    <w:p w14:paraId="7434F3E0" w14:textId="77777777" w:rsidR="00073701" w:rsidRDefault="00073701">
      <w:pPr>
        <w:spacing w:after="0" w:line="240" w:lineRule="auto"/>
        <w:jc w:val="both"/>
        <w:rPr>
          <w:rFonts w:ascii="Times New Roman" w:eastAsia="Times New Roman" w:hAnsi="Times New Roman" w:cs="Times New Roman"/>
          <w:sz w:val="24"/>
          <w:szCs w:val="24"/>
        </w:rPr>
      </w:pPr>
    </w:p>
    <w:p w14:paraId="2E7CCCAA" w14:textId="77777777" w:rsidR="00073701" w:rsidRDefault="00C87DC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II.6.2. Laser ablation-multi collector-inductively coupled plasma-mass spectrometry</w:t>
      </w:r>
    </w:p>
    <w:p w14:paraId="04C46C01" w14:textId="77777777" w:rsidR="00073701" w:rsidRDefault="00C87DC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LA-MC-ICP-MS was used for the human teeth in this study.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analysis was conducted on tooth samples using a NWR193 excimer laser ablation system (Electro Sc</w:t>
      </w:r>
      <w:r>
        <w:rPr>
          <w:rFonts w:ascii="Times New Roman" w:eastAsia="Times New Roman" w:hAnsi="Times New Roman" w:cs="Times New Roman"/>
          <w:sz w:val="24"/>
          <w:szCs w:val="24"/>
        </w:rPr>
        <w:t xml:space="preserve">ientific Industries) coupled to a Nu Plasma II multi-collector ICP mass spectrometer (Nu Instruments Ltd.) at the Vegacenter, Swedish Museum of Natural History, Stockholm. The instrument operating conditions are listed in SI1: Table 1 and the isotope data </w:t>
      </w:r>
      <w:r>
        <w:rPr>
          <w:rFonts w:ascii="Times New Roman" w:eastAsia="Times New Roman" w:hAnsi="Times New Roman" w:cs="Times New Roman"/>
          <w:sz w:val="24"/>
          <w:szCs w:val="24"/>
        </w:rPr>
        <w:t>for each ablated tooth are given in SI1: Tables 3-42. The method follows the procedures outlined in Boethius et al. (2021) and Glykou et al. (2018).</w:t>
      </w:r>
    </w:p>
    <w:p w14:paraId="7E701875" w14:textId="77777777" w:rsidR="00073701" w:rsidRDefault="00073701">
      <w:pPr>
        <w:spacing w:after="0" w:line="240" w:lineRule="auto"/>
        <w:jc w:val="both"/>
        <w:rPr>
          <w:rFonts w:ascii="Times New Roman" w:eastAsia="Times New Roman" w:hAnsi="Times New Roman" w:cs="Times New Roman"/>
          <w:i/>
          <w:sz w:val="24"/>
          <w:szCs w:val="24"/>
        </w:rPr>
      </w:pPr>
    </w:p>
    <w:p w14:paraId="2D67464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Ablations were made on the outer surface of the tooth enamel using line-scans with a 130 μm spot size star</w:t>
      </w:r>
      <w:r>
        <w:rPr>
          <w:rFonts w:ascii="Times New Roman" w:eastAsia="Times New Roman" w:hAnsi="Times New Roman" w:cs="Times New Roman"/>
          <w:sz w:val="24"/>
          <w:szCs w:val="24"/>
        </w:rPr>
        <w:t>ting at the tip of the tooth and moving down</w:t>
      </w:r>
      <w:r>
        <w:rPr>
          <w:sz w:val="24"/>
          <w:szCs w:val="24"/>
        </w:rPr>
        <w:t xml:space="preserve"> </w:t>
      </w:r>
      <w:r>
        <w:rPr>
          <w:rFonts w:ascii="Times New Roman" w:eastAsia="Times New Roman" w:hAnsi="Times New Roman" w:cs="Times New Roman"/>
          <w:sz w:val="24"/>
          <w:szCs w:val="24"/>
        </w:rPr>
        <w:t>towards the enamel–dentine junction. The number of ablation lines per tooth ranged from 9 to 20, depending on the size of the tooth. Prior to each ablation, the tooth was pre-ablated using a laser spot size of 1</w:t>
      </w:r>
      <w:r>
        <w:rPr>
          <w:rFonts w:ascii="Times New Roman" w:eastAsia="Times New Roman" w:hAnsi="Times New Roman" w:cs="Times New Roman"/>
          <w:sz w:val="24"/>
          <w:szCs w:val="24"/>
        </w:rPr>
        <w:t xml:space="preserve">50 μm to remove potential surface contamination, which could be caused by its depositional soil environment. The results show no increase in either rare earth elements (REE) or Rb, compared to the reference materials, </w:t>
      </w:r>
      <w:r>
        <w:rPr>
          <w:rFonts w:ascii="Times New Roman" w:eastAsia="Times New Roman" w:hAnsi="Times New Roman" w:cs="Times New Roman"/>
          <w:sz w:val="24"/>
          <w:szCs w:val="24"/>
        </w:rPr>
        <w:lastRenderedPageBreak/>
        <w:t>which indicates pre-ablation was succe</w:t>
      </w:r>
      <w:r>
        <w:rPr>
          <w:rFonts w:ascii="Times New Roman" w:eastAsia="Times New Roman" w:hAnsi="Times New Roman" w:cs="Times New Roman"/>
          <w:sz w:val="24"/>
          <w:szCs w:val="24"/>
        </w:rPr>
        <w:t>ssful. Analyses were also monitored for potential sampling of dentine, which may occur when the enamel layer is thin. Dentine has a lower density and a more porous structure than enamel and can be more easily contaminated. This can lead to anomalous diverg</w:t>
      </w:r>
      <w:r>
        <w:rPr>
          <w:rFonts w:ascii="Times New Roman" w:eastAsia="Times New Roman" w:hAnsi="Times New Roman" w:cs="Times New Roman"/>
          <w:sz w:val="24"/>
          <w:szCs w:val="24"/>
        </w:rPr>
        <w:t xml:space="preserve">ence in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Rb/</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but this was not observed for any analyses.</w:t>
      </w:r>
    </w:p>
    <w:p w14:paraId="6DFEE7EE" w14:textId="77777777" w:rsidR="00073701" w:rsidRDefault="00073701">
      <w:pPr>
        <w:spacing w:after="0" w:line="240" w:lineRule="auto"/>
        <w:jc w:val="both"/>
        <w:rPr>
          <w:rFonts w:ascii="Times New Roman" w:eastAsia="Times New Roman" w:hAnsi="Times New Roman" w:cs="Times New Roman"/>
          <w:sz w:val="24"/>
          <w:szCs w:val="24"/>
        </w:rPr>
      </w:pPr>
    </w:p>
    <w:p w14:paraId="671477C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isobaric interferences were corrected by subtracting a gas blank (84Kr) and by peak stripping (e.g., doubly charged REE, Ca-dimers/argides, 87Rb; cf. Glykou et al. 2018). A polyatomic</w:t>
      </w:r>
      <w:r>
        <w:rPr>
          <w:rFonts w:ascii="Times New Roman" w:eastAsia="Times New Roman" w:hAnsi="Times New Roman" w:cs="Times New Roman"/>
          <w:sz w:val="24"/>
          <w:szCs w:val="24"/>
        </w:rPr>
        <w:t xml:space="preserve"> interference on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87 has also been reported (Horstwood et al. 2008) and is described as (Ca/Ar)31P16O+. This interference has been reduced by a thorough low oxide tuning of the gases (Willmes et al. 2016). To verify successful removal of all interferenc</w:t>
      </w:r>
      <w:r>
        <w:rPr>
          <w:rFonts w:ascii="Times New Roman" w:eastAsia="Times New Roman" w:hAnsi="Times New Roman" w:cs="Times New Roman"/>
          <w:sz w:val="24"/>
          <w:szCs w:val="24"/>
        </w:rPr>
        <w:t>es, two reference materials (RM) with known Sr concentrations and ratios were repeatedly analysed throughout analytical sessions (SI1:Table 2). A spine from a velvet belly lantern shark (</w:t>
      </w:r>
      <w:r>
        <w:rPr>
          <w:rFonts w:ascii="Times New Roman" w:eastAsia="Times New Roman" w:hAnsi="Times New Roman" w:cs="Times New Roman"/>
          <w:i/>
          <w:sz w:val="24"/>
          <w:szCs w:val="24"/>
        </w:rPr>
        <w:t>Etmopterus spinax</w:t>
      </w:r>
      <w:r>
        <w:rPr>
          <w:rFonts w:ascii="Times New Roman" w:eastAsia="Times New Roman" w:hAnsi="Times New Roman" w:cs="Times New Roman"/>
          <w:sz w:val="24"/>
          <w:szCs w:val="24"/>
        </w:rPr>
        <w:t>) was used as the primary RM and a tooth from a moun</w:t>
      </w:r>
      <w:r>
        <w:rPr>
          <w:rFonts w:ascii="Times New Roman" w:eastAsia="Times New Roman" w:hAnsi="Times New Roman" w:cs="Times New Roman"/>
          <w:sz w:val="24"/>
          <w:szCs w:val="24"/>
        </w:rPr>
        <w:t>tain hare (</w:t>
      </w:r>
      <w:r>
        <w:rPr>
          <w:rFonts w:ascii="Times New Roman" w:eastAsia="Times New Roman" w:hAnsi="Times New Roman" w:cs="Times New Roman"/>
          <w:i/>
          <w:sz w:val="24"/>
          <w:szCs w:val="24"/>
        </w:rPr>
        <w:t>Lepus timidus</w:t>
      </w:r>
      <w:r>
        <w:rPr>
          <w:rFonts w:ascii="Times New Roman" w:eastAsia="Times New Roman" w:hAnsi="Times New Roman" w:cs="Times New Roman"/>
          <w:sz w:val="24"/>
          <w:szCs w:val="24"/>
        </w:rPr>
        <w:t xml:space="preserve">) was used as the secondary RM. The analyses on the shark spine yielded 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of 0.70919 ± 0.00034 (2SD,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103), which agrees well with the value of seawater of 0.709179 ± 0.000002 (Mokadem et al. 2015). The hare tooth yield</w:t>
      </w:r>
      <w:r>
        <w:rPr>
          <w:rFonts w:ascii="Times New Roman" w:eastAsia="Times New Roman" w:hAnsi="Times New Roman" w:cs="Times New Roman"/>
          <w:sz w:val="24"/>
          <w:szCs w:val="24"/>
        </w:rPr>
        <w:t xml:space="preserve">ed 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of 0.71002 ± 0.00017 (2SD,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22). This is in agreement with the value determined by TIMS (0.709988 ± 0.000015; Triton, Thermo Scientific) at the Swedish Museum of Natural History.</w:t>
      </w:r>
    </w:p>
    <w:p w14:paraId="17438009" w14:textId="77777777" w:rsidR="00073701" w:rsidRDefault="00073701">
      <w:pPr>
        <w:spacing w:after="0" w:line="240" w:lineRule="auto"/>
        <w:jc w:val="both"/>
        <w:rPr>
          <w:rFonts w:ascii="Times New Roman" w:eastAsia="Times New Roman" w:hAnsi="Times New Roman" w:cs="Times New Roman"/>
          <w:sz w:val="24"/>
          <w:szCs w:val="24"/>
        </w:rPr>
      </w:pPr>
    </w:p>
    <w:p w14:paraId="139386F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 Results</w:t>
      </w:r>
    </w:p>
    <w:p w14:paraId="1DADF70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vertAlign w:val="superscript"/>
        </w:rPr>
        <w:t>87</w:t>
      </w:r>
      <w:r>
        <w:rPr>
          <w:rFonts w:ascii="Times New Roman" w:eastAsia="Times New Roman" w:hAnsi="Times New Roman" w:cs="Times New Roman"/>
          <w:b/>
          <w:sz w:val="24"/>
          <w:szCs w:val="24"/>
        </w:rPr>
        <w:t>Sr/</w:t>
      </w:r>
      <w:r>
        <w:rPr>
          <w:rFonts w:ascii="Times New Roman" w:eastAsia="Times New Roman" w:hAnsi="Times New Roman" w:cs="Times New Roman"/>
          <w:b/>
          <w:sz w:val="24"/>
          <w:szCs w:val="24"/>
          <w:vertAlign w:val="superscript"/>
        </w:rPr>
        <w:t>86</w:t>
      </w:r>
      <w:r>
        <w:rPr>
          <w:rFonts w:ascii="Times New Roman" w:eastAsia="Times New Roman" w:hAnsi="Times New Roman" w:cs="Times New Roman"/>
          <w:b/>
          <w:sz w:val="24"/>
          <w:szCs w:val="24"/>
        </w:rPr>
        <w:t>Sr measurements and outliers</w:t>
      </w:r>
    </w:p>
    <w:p w14:paraId="35EA384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LA-ICP-MS measurements on 40 human teeth are presented in Table 1 and Supplementary Information SI1, ID-TIMS measurements on 72 animal teeth enamel samples in Table 2, and ID-TIMS measurements on leaves of 12 modern trees in Table 3. Before reconstruction </w:t>
      </w:r>
      <w:r>
        <w:rPr>
          <w:rFonts w:ascii="Times New Roman" w:eastAsia="Times New Roman" w:hAnsi="Times New Roman" w:cs="Times New Roman"/>
          <w:sz w:val="24"/>
          <w:szCs w:val="24"/>
        </w:rPr>
        <w:t xml:space="preserve">of local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baselines and a Lithuanian isoscape, two outlier measurements were identified and not used for further interpretations. Among the 72 animal teeth analysed for our project, a pig from Kėdainiai (0.7122) was considered to be an outlier due</w:t>
      </w:r>
      <w:r>
        <w:rPr>
          <w:rFonts w:ascii="Times New Roman" w:eastAsia="Times New Roman" w:hAnsi="Times New Roman" w:cs="Times New Roman"/>
          <w:sz w:val="24"/>
          <w:szCs w:val="24"/>
        </w:rPr>
        <w:t xml:space="preserve"> to an unusually low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 for central Lithuania. It could have been transported to the medieval town of Kėdainiai from a distant area, e.g. southwestern or coastal Lithuania. A beaver, from the Kretuonas 1C Neolithic settlement, was considered a</w:t>
      </w:r>
      <w:r>
        <w:rPr>
          <w:rFonts w:ascii="Times New Roman" w:eastAsia="Times New Roman" w:hAnsi="Times New Roman" w:cs="Times New Roman"/>
          <w:sz w:val="24"/>
          <w:szCs w:val="24"/>
        </w:rPr>
        <w:t xml:space="preserve"> second outlier (Piličiauskienė et al. 2022). The notably higher isotopic ratio of the beaver (0.7201) compared to the other animals from the Lake Kretuonas area (0.7136-0.7167) may indicate that either non-local animals had been sampled or it represents a</w:t>
      </w:r>
      <w:r>
        <w:rPr>
          <w:rFonts w:ascii="Times New Roman" w:eastAsia="Times New Roman" w:hAnsi="Times New Roman" w:cs="Times New Roman"/>
          <w:sz w:val="24"/>
          <w:szCs w:val="24"/>
        </w:rPr>
        <w:t xml:space="preserve"> localised anomaly. The analysed beaver tooth was removed from an isolated mandible found in the refuse layer and may have been transported to the site from elsewhere. Animal teeth are commonly used as pendants in this area from this time period (Girininka</w:t>
      </w:r>
      <w:r>
        <w:rPr>
          <w:rFonts w:ascii="Times New Roman" w:eastAsia="Times New Roman" w:hAnsi="Times New Roman" w:cs="Times New Roman"/>
          <w:sz w:val="24"/>
          <w:szCs w:val="24"/>
        </w:rPr>
        <w:t>s and Daugnora 2015).</w:t>
      </w:r>
    </w:p>
    <w:p w14:paraId="757D13B7" w14:textId="77777777" w:rsidR="00073701" w:rsidRDefault="00073701">
      <w:pPr>
        <w:spacing w:after="0" w:line="240" w:lineRule="auto"/>
        <w:jc w:val="both"/>
        <w:rPr>
          <w:rFonts w:ascii="Times New Roman" w:eastAsia="Times New Roman" w:hAnsi="Times New Roman" w:cs="Times New Roman"/>
          <w:sz w:val="24"/>
          <w:szCs w:val="24"/>
        </w:rPr>
      </w:pPr>
    </w:p>
    <w:p w14:paraId="5A6A4838"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III.2. Local </w:t>
      </w:r>
      <w:r>
        <w:rPr>
          <w:rFonts w:ascii="Times New Roman" w:eastAsia="Times New Roman" w:hAnsi="Times New Roman" w:cs="Times New Roman"/>
          <w:b/>
          <w:sz w:val="24"/>
          <w:szCs w:val="24"/>
          <w:vertAlign w:val="superscript"/>
        </w:rPr>
        <w:t>87</w:t>
      </w:r>
      <w:r>
        <w:rPr>
          <w:rFonts w:ascii="Times New Roman" w:eastAsia="Times New Roman" w:hAnsi="Times New Roman" w:cs="Times New Roman"/>
          <w:b/>
          <w:sz w:val="24"/>
          <w:szCs w:val="24"/>
        </w:rPr>
        <w:t>Sr/</w:t>
      </w:r>
      <w:r>
        <w:rPr>
          <w:rFonts w:ascii="Times New Roman" w:eastAsia="Times New Roman" w:hAnsi="Times New Roman" w:cs="Times New Roman"/>
          <w:b/>
          <w:sz w:val="24"/>
          <w:szCs w:val="24"/>
          <w:vertAlign w:val="superscript"/>
        </w:rPr>
        <w:t>86</w:t>
      </w:r>
      <w:r>
        <w:rPr>
          <w:rFonts w:ascii="Times New Roman" w:eastAsia="Times New Roman" w:hAnsi="Times New Roman" w:cs="Times New Roman"/>
          <w:b/>
          <w:sz w:val="24"/>
          <w:szCs w:val="24"/>
        </w:rPr>
        <w:t>Sr baselines</w:t>
      </w:r>
    </w:p>
    <w:p w14:paraId="3A61662F"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identify non-local humans, we reconstructed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baselines, based on the mean value </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2 SD of archaeological fauna, for the seven regions where human remains were sampled from (Fig. </w:t>
      </w:r>
      <w:sdt>
        <w:sdtPr>
          <w:tag w:val="goog_rdk_26"/>
          <w:id w:val="-1343152333"/>
          <w:showingPlcHdr/>
        </w:sdtPr>
        <w:sdtEndPr/>
        <w:sdtContent>
          <w:r>
            <w:t xml:space="preserve">     </w:t>
          </w:r>
        </w:sdtContent>
      </w:sdt>
      <w:sdt>
        <w:sdtPr>
          <w:tag w:val="goog_rdk_27"/>
          <w:id w:val="1168598873"/>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The robustness of those baselines is, however, greatly variable because of the different number and species of animals analysed, as well as the different distances between the studied sites containing animal and human remains. At Biržai, human remai</w:t>
      </w:r>
      <w:r>
        <w:rPr>
          <w:rFonts w:ascii="Times New Roman" w:eastAsia="Times New Roman" w:hAnsi="Times New Roman" w:cs="Times New Roman"/>
          <w:sz w:val="24"/>
          <w:szCs w:val="24"/>
        </w:rPr>
        <w:t>ns are located up to 0.5 km from sites from which the animal remains originated, at Turlojiškė up to 1 km, at Šventoji up 4 km, at Kretuonas up to 6.3 km, at Biržulis up to 9 km, at Gyvakarai up to 10 km, and at Plinkaigalis up to 40 km (</w:t>
      </w:r>
      <w:sdt>
        <w:sdtPr>
          <w:tag w:val="goog_rdk_28"/>
          <w:id w:val="195365831"/>
          <w:showingPlcHdr/>
        </w:sdtPr>
        <w:sdtEndPr/>
        <w:sdtContent>
          <w:r>
            <w:t xml:space="preserve">     </w:t>
          </w:r>
        </w:sdtContent>
      </w:sdt>
      <w:sdt>
        <w:sdtPr>
          <w:tag w:val="goog_rdk_29"/>
          <w:id w:val="209843047"/>
        </w:sdtPr>
        <w:sdtEndPr/>
        <w:sdtContent>
          <w:r>
            <w:rPr>
              <w:rFonts w:ascii="Times New Roman" w:eastAsia="Times New Roman" w:hAnsi="Times New Roman" w:cs="Times New Roman"/>
              <w:sz w:val="24"/>
              <w:szCs w:val="24"/>
            </w:rPr>
            <w:t>SI3</w:t>
          </w:r>
        </w:sdtContent>
      </w:sdt>
      <w:r>
        <w:rPr>
          <w:rFonts w:ascii="Times New Roman" w:eastAsia="Times New Roman" w:hAnsi="Times New Roman" w:cs="Times New Roman"/>
          <w:sz w:val="24"/>
          <w:szCs w:val="24"/>
        </w:rPr>
        <w:t>).</w:t>
      </w:r>
    </w:p>
    <w:p w14:paraId="4599EABF" w14:textId="77777777" w:rsidR="00073701" w:rsidRDefault="00073701">
      <w:pPr>
        <w:spacing w:after="0" w:line="240" w:lineRule="auto"/>
        <w:jc w:val="both"/>
        <w:rPr>
          <w:rFonts w:ascii="Times New Roman" w:eastAsia="Times New Roman" w:hAnsi="Times New Roman" w:cs="Times New Roman"/>
          <w:sz w:val="24"/>
          <w:szCs w:val="24"/>
        </w:rPr>
      </w:pPr>
    </w:p>
    <w:p w14:paraId="3CCF7AC7" w14:textId="77777777" w:rsidR="00073701" w:rsidRDefault="00C87DCB">
      <w:pPr>
        <w:spacing w:after="0" w:line="240" w:lineRule="auto"/>
        <w:jc w:val="center"/>
        <w:rPr>
          <w:rFonts w:ascii="Times New Roman" w:eastAsia="Times New Roman" w:hAnsi="Times New Roman" w:cs="Times New Roman"/>
          <w:sz w:val="24"/>
          <w:szCs w:val="24"/>
        </w:rPr>
      </w:pPr>
      <w:sdt>
        <w:sdtPr>
          <w:tag w:val="goog_rdk_31"/>
          <w:id w:val="358025665"/>
        </w:sdtPr>
        <w:sdtEndPr/>
        <w:sdtContent>
          <w:r w:rsidRPr="00C87DCB">
            <w:rPr>
              <w:rFonts w:ascii="Times New Roman" w:eastAsia="Times New Roman" w:hAnsi="Times New Roman" w:cs="Times New Roman"/>
              <w:noProof/>
              <w:sz w:val="24"/>
              <w:szCs w:val="24"/>
              <w:lang w:val="en-US"/>
            </w:rPr>
            <w:drawing>
              <wp:inline distT="0" distB="0" distL="0" distR="0" wp14:anchorId="0CD7EE65" wp14:editId="52E1401A">
                <wp:extent cx="6106795" cy="4611370"/>
                <wp:effectExtent l="0" t="0" r="0" b="0"/>
                <wp:docPr id="5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6106795" cy="4611370"/>
                        </a:xfrm>
                        <a:prstGeom prst="rect">
                          <a:avLst/>
                        </a:prstGeom>
                        <a:ln/>
                      </pic:spPr>
                    </pic:pic>
                  </a:graphicData>
                </a:graphic>
              </wp:inline>
            </w:drawing>
          </w:r>
        </w:sdtContent>
      </w:sdt>
      <w:sdt>
        <w:sdtPr>
          <w:tag w:val="goog_rdk_32"/>
          <w:id w:val="1878735935"/>
          <w:showingPlcHdr/>
        </w:sdtPr>
        <w:sdtEndPr/>
        <w:sdtContent>
          <w:r>
            <w:t xml:space="preserve">     </w:t>
          </w:r>
        </w:sdtContent>
      </w:sdt>
    </w:p>
    <w:p w14:paraId="7EA5F284"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33"/>
          <w:id w:val="-1816096484"/>
          <w:showingPlcHdr/>
        </w:sdtPr>
        <w:sdtEndPr/>
        <w:sdtContent>
          <w:r>
            <w:t xml:space="preserve">     </w:t>
          </w:r>
        </w:sdtContent>
      </w:sdt>
      <w:sdt>
        <w:sdtPr>
          <w:tag w:val="goog_rdk_34"/>
          <w:id w:val="1304048406"/>
        </w:sdtPr>
        <w:sdtEndPr/>
        <w:sdtContent>
          <w:r>
            <w:rPr>
              <w:rFonts w:ascii="Times New Roman" w:eastAsia="Times New Roman" w:hAnsi="Times New Roman" w:cs="Times New Roman"/>
              <w:i/>
              <w:sz w:val="20"/>
              <w:szCs w:val="20"/>
            </w:rPr>
            <w:t>2</w:t>
          </w:r>
        </w:sdtContent>
      </w:sdt>
      <w:r>
        <w:rPr>
          <w:rFonts w:ascii="Times New Roman" w:eastAsia="Times New Roman" w:hAnsi="Times New Roman" w:cs="Times New Roman"/>
          <w:i/>
          <w:sz w:val="20"/>
          <w:szCs w:val="20"/>
        </w:rPr>
        <w:t xml:space="preserve">. </w:t>
      </w:r>
      <w:sdt>
        <w:sdtPr>
          <w:tag w:val="goog_rdk_35"/>
          <w:id w:val="315466049"/>
        </w:sdtPr>
        <w:sdtEndPr/>
        <w:sdtContent>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isoscape in Lithuania mapped onto a modified Pre-Quaternary geological map 1:200 000 after the Lithuanian Geological Survey (</w:t>
          </w:r>
          <w:hyperlink r:id="rId13" w:history="1">
            <w:r>
              <w:rPr>
                <w:rFonts w:ascii="Times New Roman" w:eastAsia="Times New Roman" w:hAnsi="Times New Roman" w:cs="Times New Roman"/>
                <w:i/>
                <w:color w:val="0563C1"/>
                <w:sz w:val="20"/>
                <w:szCs w:val="20"/>
                <w:u w:val="single"/>
              </w:rPr>
              <w:t>https://www.lgt.lt/epaslaugos/elpaslauga.xhtml</w:t>
            </w:r>
          </w:hyperlink>
          <w:r>
            <w:rPr>
              <w:rFonts w:ascii="Times New Roman" w:eastAsia="Times New Roman" w:hAnsi="Times New Roman" w:cs="Times New Roman"/>
              <w:i/>
              <w:sz w:val="20"/>
              <w:szCs w:val="20"/>
            </w:rPr>
            <w:t>)</w:t>
          </w:r>
        </w:sdtContent>
      </w:sdt>
      <w:sdt>
        <w:sdtPr>
          <w:tag w:val="goog_rdk_36"/>
          <w:id w:val="-1408367031"/>
        </w:sdtPr>
        <w:sdtEndPr/>
        <w:sdtContent>
          <w:r>
            <w:rPr>
              <w:rFonts w:ascii="Times New Roman" w:eastAsia="Times New Roman" w:hAnsi="Times New Roman" w:cs="Times New Roman"/>
              <w:i/>
              <w:sz w:val="20"/>
              <w:szCs w:val="20"/>
            </w:rPr>
            <w:t xml:space="preserve"> and </w:t>
          </w:r>
        </w:sdtContent>
      </w:sdt>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baselines based on the mean value + 2 SD of archaeological fauna of the seven regions where human remains were sampled from</w:t>
      </w:r>
    </w:p>
    <w:p w14:paraId="3F55A412" w14:textId="77777777" w:rsidR="00073701" w:rsidRDefault="00073701">
      <w:pPr>
        <w:spacing w:after="0" w:line="240" w:lineRule="auto"/>
        <w:jc w:val="both"/>
        <w:rPr>
          <w:rFonts w:ascii="Times New Roman" w:eastAsia="Times New Roman" w:hAnsi="Times New Roman" w:cs="Times New Roman"/>
          <w:b/>
          <w:sz w:val="24"/>
          <w:szCs w:val="24"/>
        </w:rPr>
      </w:pPr>
    </w:p>
    <w:p w14:paraId="53841297" w14:textId="77777777" w:rsidR="00073701" w:rsidRDefault="00C87DCB">
      <w:pPr>
        <w:spacing w:after="0" w:line="240" w:lineRule="auto"/>
        <w:jc w:val="both"/>
        <w:rPr>
          <w:rFonts w:ascii="Times New Roman" w:eastAsia="Times New Roman" w:hAnsi="Times New Roman" w:cs="Times New Roman"/>
          <w:sz w:val="24"/>
          <w:szCs w:val="24"/>
        </w:rPr>
      </w:pPr>
      <w:sdt>
        <w:sdtPr>
          <w:tag w:val="goog_rdk_38"/>
          <w:id w:val="1884297405"/>
          <w:showingPlcHdr/>
        </w:sdtPr>
        <w:sdtEndPr/>
        <w:sdtContent>
          <w:r>
            <w:t xml:space="preserve">     </w:t>
          </w:r>
        </w:sdtContent>
      </w:sdt>
    </w:p>
    <w:p w14:paraId="0CCA12B6" w14:textId="77777777" w:rsidR="00073701" w:rsidRDefault="00C87DCB">
      <w:pPr>
        <w:spacing w:after="0" w:line="240" w:lineRule="auto"/>
        <w:jc w:val="both"/>
        <w:rPr>
          <w:rFonts w:ascii="Times New Roman" w:eastAsia="Times New Roman" w:hAnsi="Times New Roman" w:cs="Times New Roman"/>
          <w:i/>
          <w:sz w:val="20"/>
          <w:szCs w:val="20"/>
        </w:rPr>
      </w:pPr>
      <w:sdt>
        <w:sdtPr>
          <w:tag w:val="goog_rdk_40"/>
          <w:id w:val="1398397813"/>
          <w:showingPlcHdr/>
        </w:sdtPr>
        <w:sdtEndPr/>
        <w:sdtContent>
          <w:r>
            <w:t xml:space="preserve">     </w:t>
          </w:r>
        </w:sdtContent>
      </w:sdt>
      <w:sdt>
        <w:sdtPr>
          <w:tag w:val="goog_rdk_41"/>
          <w:id w:val="2035155027"/>
          <w:showingPlcHdr/>
        </w:sdtPr>
        <w:sdtEndPr/>
        <w:sdtContent>
          <w:r>
            <w:t xml:space="preserve">     </w:t>
          </w:r>
        </w:sdtContent>
      </w:sdt>
    </w:p>
    <w:p w14:paraId="3F3C7A27" w14:textId="77777777" w:rsidR="00073701" w:rsidRDefault="00073701">
      <w:pPr>
        <w:spacing w:after="0" w:line="240" w:lineRule="auto"/>
        <w:jc w:val="both"/>
        <w:rPr>
          <w:rFonts w:ascii="Times New Roman" w:eastAsia="Times New Roman" w:hAnsi="Times New Roman" w:cs="Times New Roman"/>
          <w:b/>
          <w:sz w:val="24"/>
          <w:szCs w:val="24"/>
        </w:rPr>
      </w:pPr>
    </w:p>
    <w:p w14:paraId="0E27003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III.2. </w:t>
      </w:r>
      <w:r>
        <w:rPr>
          <w:rFonts w:ascii="Times New Roman" w:eastAsia="Times New Roman" w:hAnsi="Times New Roman" w:cs="Times New Roman"/>
          <w:b/>
          <w:sz w:val="24"/>
          <w:szCs w:val="24"/>
          <w:vertAlign w:val="superscript"/>
        </w:rPr>
        <w:t>87</w:t>
      </w:r>
      <w:r>
        <w:rPr>
          <w:rFonts w:ascii="Times New Roman" w:eastAsia="Times New Roman" w:hAnsi="Times New Roman" w:cs="Times New Roman"/>
          <w:b/>
          <w:sz w:val="24"/>
          <w:szCs w:val="24"/>
        </w:rPr>
        <w:t>Sr/</w:t>
      </w:r>
      <w:r>
        <w:rPr>
          <w:rFonts w:ascii="Times New Roman" w:eastAsia="Times New Roman" w:hAnsi="Times New Roman" w:cs="Times New Roman"/>
          <w:b/>
          <w:sz w:val="24"/>
          <w:szCs w:val="24"/>
          <w:vertAlign w:val="superscript"/>
        </w:rPr>
        <w:t>86</w:t>
      </w:r>
      <w:r>
        <w:rPr>
          <w:rFonts w:ascii="Times New Roman" w:eastAsia="Times New Roman" w:hAnsi="Times New Roman" w:cs="Times New Roman"/>
          <w:b/>
          <w:sz w:val="24"/>
          <w:szCs w:val="24"/>
        </w:rPr>
        <w:t>Sr</w:t>
      </w:r>
      <w:r>
        <w:rPr>
          <w:rFonts w:ascii="Times New Roman" w:eastAsia="Times New Roman" w:hAnsi="Times New Roman" w:cs="Times New Roman"/>
          <w:b/>
          <w:sz w:val="24"/>
          <w:szCs w:val="24"/>
        </w:rPr>
        <w:t xml:space="preserve"> isoscape in Lithuania</w:t>
      </w:r>
    </w:p>
    <w:p w14:paraId="093EF8FF" w14:textId="77777777" w:rsidR="00073701" w:rsidRDefault="00C87DCB">
      <w:pPr>
        <w:spacing w:after="0" w:line="240" w:lineRule="auto"/>
        <w:jc w:val="both"/>
      </w:pPr>
      <w:r>
        <w:rPr>
          <w:rFonts w:ascii="Times New Roman" w:eastAsia="Times New Roman" w:hAnsi="Times New Roman" w:cs="Times New Roman"/>
          <w:sz w:val="24"/>
          <w:szCs w:val="24"/>
        </w:rPr>
        <w:t xml:space="preserve">For the reconstruction of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isoscape in Lithuania, we averaged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of archaeological fauna at each of the 24 localities. In doing so we grouped data from several sites only in cases when they were situated up to 4 km one from another. Then, the obtained means were used for interpolation of the isoscape using the</w:t>
      </w:r>
      <w:r>
        <w:rPr>
          <w:rFonts w:ascii="Times New Roman" w:eastAsia="Times New Roman" w:hAnsi="Times New Roman" w:cs="Times New Roman"/>
          <w:sz w:val="24"/>
          <w:szCs w:val="24"/>
        </w:rPr>
        <w:t xml:space="preserve"> Kriging method (Cressie 1991). The isoscape revealed several geographical trends in the variability of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the biosphere (Fig. </w:t>
      </w:r>
      <w:sdt>
        <w:sdtPr>
          <w:tag w:val="goog_rdk_42"/>
          <w:id w:val="-1275862455"/>
          <w:showingPlcHdr/>
        </w:sdtPr>
        <w:sdtEndPr/>
        <w:sdtContent>
          <w:r>
            <w:t xml:space="preserve">     </w:t>
          </w:r>
        </w:sdtContent>
      </w:sdt>
      <w:sdt>
        <w:sdtPr>
          <w:tag w:val="goog_rdk_43"/>
          <w:id w:val="1718625498"/>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For instance, Garniai and Kupiškis, both situated in northeastern Lithuania, demonstrate the highest faunal av</w:t>
      </w:r>
      <w:r>
        <w:rPr>
          <w:rFonts w:ascii="Times New Roman" w:eastAsia="Times New Roman" w:hAnsi="Times New Roman" w:cs="Times New Roman"/>
          <w:sz w:val="24"/>
          <w:szCs w:val="24"/>
        </w:rPr>
        <w:t xml:space="preserve">eraged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(0.7177) among all of the analysed sites (Fig. </w:t>
      </w:r>
      <w:sdt>
        <w:sdtPr>
          <w:tag w:val="goog_rdk_44"/>
          <w:id w:val="485667311"/>
          <w:showingPlcHdr/>
        </w:sdtPr>
        <w:sdtEndPr/>
        <w:sdtContent>
          <w:r>
            <w:t xml:space="preserve">     </w:t>
          </w:r>
        </w:sdtContent>
      </w:sdt>
      <w:sdt>
        <w:sdtPr>
          <w:tag w:val="goog_rdk_45"/>
          <w:id w:val="2107609858"/>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xml:space="preserve">). It can be assumed that the glacial deposits in this area contain more Precambrian rocks debris with high radiogenic Sr. In the central part of the country, the mean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w:t>
      </w:r>
      <w:r>
        <w:rPr>
          <w:rFonts w:ascii="Times New Roman" w:eastAsia="Times New Roman" w:hAnsi="Times New Roman" w:cs="Times New Roman"/>
          <w:sz w:val="24"/>
          <w:szCs w:val="24"/>
        </w:rPr>
        <w:t xml:space="preserve">atios of archaeological fauna vary between ca. 0.7142-0.7161. Southern Lithuanian appeared to have notably low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the order of ca. 0.7131-0.7137 (Fig. </w:t>
      </w:r>
      <w:sdt>
        <w:sdtPr>
          <w:tag w:val="goog_rdk_46"/>
          <w:id w:val="435957506"/>
          <w:showingPlcHdr/>
        </w:sdtPr>
        <w:sdtEndPr/>
        <w:sdtContent>
          <w:r>
            <w:t xml:space="preserve">     </w:t>
          </w:r>
        </w:sdtContent>
      </w:sdt>
      <w:sdt>
        <w:sdtPr>
          <w:tag w:val="goog_rdk_47"/>
          <w:id w:val="-1170177158"/>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In southwestern Lithuania, calcareous soils are common in which carbonate</w:t>
      </w:r>
      <w:r>
        <w:rPr>
          <w:rFonts w:ascii="Times New Roman" w:eastAsia="Times New Roman" w:hAnsi="Times New Roman" w:cs="Times New Roman"/>
          <w:sz w:val="24"/>
          <w:szCs w:val="24"/>
        </w:rPr>
        <w:t xml:space="preserve">s are found mostly as chalk debris, rather than limestone or dolomite crumbs or boulders. Cretaceous chalk from surface glacial and proglacial deposits may lower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However, the impact of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pre-Quaternary carbonates on the bioavail</w:t>
      </w:r>
      <w:r>
        <w:rPr>
          <w:rFonts w:ascii="Times New Roman" w:eastAsia="Times New Roman" w:hAnsi="Times New Roman" w:cs="Times New Roman"/>
          <w:sz w:val="24"/>
          <w:szCs w:val="24"/>
        </w:rPr>
        <w:t>able Sr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was negligible. For instance, at Biržai and Kupiškis, where Devonian dolomite and limestone are covered by only ca. 1-20 m thick glacial deposits, the mean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of </w:t>
      </w:r>
      <w:r>
        <w:rPr>
          <w:rFonts w:ascii="Times New Roman" w:eastAsia="Times New Roman" w:hAnsi="Times New Roman" w:cs="Times New Roman"/>
          <w:sz w:val="24"/>
          <w:szCs w:val="24"/>
        </w:rPr>
        <w:lastRenderedPageBreak/>
        <w:t>archaeological fauna appeared to be higher (0.7146 ± 0.0014 and 0.7177 ± 0.0007 respectively) to that of many other areas in Lithuania with much thicker cover of Quaternary deposits (</w:t>
      </w:r>
      <w:sdt>
        <w:sdtPr>
          <w:tag w:val="goog_rdk_48"/>
          <w:id w:val="1112401964"/>
          <w:showingPlcHdr/>
        </w:sdtPr>
        <w:sdtEndPr/>
        <w:sdtContent>
          <w:r>
            <w:t xml:space="preserve">     </w:t>
          </w:r>
        </w:sdtContent>
      </w:sdt>
      <w:sdt>
        <w:sdtPr>
          <w:tag w:val="goog_rdk_49"/>
          <w:id w:val="1298257349"/>
        </w:sdtPr>
        <w:sdtEndPr/>
        <w:sdtContent>
          <w:r>
            <w:rPr>
              <w:rFonts w:ascii="Times New Roman" w:eastAsia="Times New Roman" w:hAnsi="Times New Roman" w:cs="Times New Roman"/>
              <w:sz w:val="24"/>
              <w:szCs w:val="24"/>
            </w:rPr>
            <w:t>SI4</w:t>
          </w:r>
        </w:sdtContent>
      </w:sdt>
      <w:r>
        <w:rPr>
          <w:rFonts w:ascii="Times New Roman" w:eastAsia="Times New Roman" w:hAnsi="Times New Roman" w:cs="Times New Roman"/>
          <w:sz w:val="24"/>
          <w:szCs w:val="24"/>
        </w:rPr>
        <w:t>).</w:t>
      </w:r>
    </w:p>
    <w:p w14:paraId="4FE31405" w14:textId="77777777" w:rsidR="00073701" w:rsidRDefault="00073701">
      <w:pPr>
        <w:spacing w:after="0" w:line="240" w:lineRule="auto"/>
        <w:jc w:val="both"/>
        <w:rPr>
          <w:rFonts w:ascii="Times New Roman" w:eastAsia="Times New Roman" w:hAnsi="Times New Roman" w:cs="Times New Roman"/>
          <w:sz w:val="24"/>
          <w:szCs w:val="24"/>
        </w:rPr>
      </w:pPr>
    </w:p>
    <w:p w14:paraId="5583E54C"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51"/>
          <w:id w:val="1245456924"/>
          <w:showingPlcHdr/>
        </w:sdtPr>
        <w:sdtEndPr/>
        <w:sdtContent>
          <w:r>
            <w:t xml:space="preserve">     </w:t>
          </w:r>
        </w:sdtContent>
      </w:sdt>
    </w:p>
    <w:p w14:paraId="40007A83" w14:textId="77777777" w:rsidR="00073701" w:rsidRDefault="00073701">
      <w:pPr>
        <w:spacing w:after="0" w:line="240" w:lineRule="auto"/>
        <w:jc w:val="both"/>
        <w:rPr>
          <w:rFonts w:ascii="Times New Roman" w:eastAsia="Times New Roman" w:hAnsi="Times New Roman" w:cs="Times New Roman"/>
          <w:sz w:val="24"/>
          <w:szCs w:val="24"/>
        </w:rPr>
      </w:pPr>
    </w:p>
    <w:p w14:paraId="6D68CEA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lowest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was recorded at Šventoji on the Baltic coast. The Šventoji animals were sampled at five archaeological sites situated at 800-1100 metres from the modern coastline (</w:t>
      </w:r>
      <w:sdt>
        <w:sdtPr>
          <w:tag w:val="goog_rdk_52"/>
          <w:id w:val="-902747891"/>
          <w:showingPlcHdr/>
        </w:sdtPr>
        <w:sdtEndPr/>
        <w:sdtContent>
          <w:r>
            <w:t xml:space="preserve">     </w:t>
          </w:r>
        </w:sdtContent>
      </w:sdt>
      <w:sdt>
        <w:sdtPr>
          <w:tag w:val="goog_rdk_53"/>
          <w:id w:val="744697837"/>
        </w:sdtPr>
        <w:sdtEndPr/>
        <w:sdtContent>
          <w:r>
            <w:rPr>
              <w:rFonts w:ascii="Times New Roman" w:eastAsia="Times New Roman" w:hAnsi="Times New Roman" w:cs="Times New Roman"/>
              <w:sz w:val="24"/>
              <w:szCs w:val="24"/>
            </w:rPr>
            <w:t>SI:</w:t>
          </w:r>
        </w:sdtContent>
      </w:sdt>
      <w:r>
        <w:rPr>
          <w:rFonts w:ascii="Times New Roman" w:eastAsia="Times New Roman" w:hAnsi="Times New Roman" w:cs="Times New Roman"/>
          <w:sz w:val="24"/>
          <w:szCs w:val="24"/>
        </w:rPr>
        <w:t xml:space="preserve">3A) and they have unusually variable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within the range 0.7095-0.71</w:t>
      </w:r>
      <w:r>
        <w:rPr>
          <w:rFonts w:ascii="Times New Roman" w:eastAsia="Times New Roman" w:hAnsi="Times New Roman" w:cs="Times New Roman"/>
          <w:sz w:val="24"/>
          <w:szCs w:val="24"/>
        </w:rPr>
        <w:t xml:space="preserve">48 and a mean value of 0.7119 (Fig. </w:t>
      </w:r>
      <w:sdt>
        <w:sdtPr>
          <w:tag w:val="goog_rdk_54"/>
          <w:id w:val="-211966823"/>
          <w:showingPlcHdr/>
        </w:sdtPr>
        <w:sdtEndPr/>
        <w:sdtContent>
          <w:r>
            <w:t xml:space="preserve">     </w:t>
          </w:r>
        </w:sdtContent>
      </w:sdt>
      <w:sdt>
        <w:sdtPr>
          <w:tag w:val="goog_rdk_55"/>
          <w:id w:val="-573037292"/>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xml:space="preserve">). Some of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values are close to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 of Baltic Sea water (0.7092-0.7093) measured between Gotland and the Latvian coast (Andersson et al. 1992). Therefore, we hypothesised, that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at Šventoji was influenced by the sea spray effect (see Alonzi et al. 2020; Snoeck </w:t>
      </w:r>
      <w:r>
        <w:rPr>
          <w:rFonts w:ascii="Times New Roman" w:eastAsia="Times New Roman" w:hAnsi="Times New Roman" w:cs="Times New Roman"/>
          <w:sz w:val="24"/>
          <w:szCs w:val="24"/>
        </w:rPr>
        <w:t xml:space="preserve">2014) and that animals with lower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lived closer to the coast than animals with higher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This has further been confirmed by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modern tree leaves (Table 3</w:t>
      </w:r>
      <w:sdt>
        <w:sdtPr>
          <w:tag w:val="goog_rdk_56"/>
          <w:id w:val="-1336298420"/>
          <w:showingPlcHdr/>
        </w:sdtPr>
        <w:sdtEndPr/>
        <w:sdtContent>
          <w:r>
            <w:t xml:space="preserve">     </w:t>
          </w:r>
        </w:sdtContent>
      </w:sdt>
      <w:r>
        <w:rPr>
          <w:rFonts w:ascii="Times New Roman" w:eastAsia="Times New Roman" w:hAnsi="Times New Roman" w:cs="Times New Roman"/>
          <w:sz w:val="24"/>
          <w:szCs w:val="24"/>
        </w:rPr>
        <w:t>). At the Baltic coast, we found a positive correlation between d</w:t>
      </w:r>
      <w:r>
        <w:rPr>
          <w:rFonts w:ascii="Times New Roman" w:eastAsia="Times New Roman" w:hAnsi="Times New Roman" w:cs="Times New Roman"/>
          <w:sz w:val="24"/>
          <w:szCs w:val="24"/>
        </w:rPr>
        <w:t xml:space="preserve">istance from the coast and high radiogenic Sr in the leaves of young modern trees (Fig. </w:t>
      </w:r>
      <w:sdt>
        <w:sdtPr>
          <w:tag w:val="goog_rdk_57"/>
          <w:id w:val="472801174"/>
          <w:showingPlcHdr/>
        </w:sdtPr>
        <w:sdtEndPr/>
        <w:sdtContent>
          <w:r>
            <w:t xml:space="preserve">     </w:t>
          </w:r>
        </w:sdtContent>
      </w:sdt>
      <w:sdt>
        <w:sdtPr>
          <w:tag w:val="goog_rdk_58"/>
          <w:id w:val="1411118561"/>
        </w:sdtPr>
        <w:sdtEndPr/>
        <w:sdtContent>
          <w:r>
            <w:rPr>
              <w:rFonts w:ascii="Times New Roman" w:eastAsia="Times New Roman" w:hAnsi="Times New Roman" w:cs="Times New Roman"/>
              <w:sz w:val="24"/>
              <w:szCs w:val="24"/>
            </w:rPr>
            <w:t>3</w:t>
          </w:r>
        </w:sdtContent>
      </w:sdt>
      <w:r>
        <w:rPr>
          <w:rFonts w:ascii="Times New Roman" w:eastAsia="Times New Roman" w:hAnsi="Times New Roman" w:cs="Times New Roman"/>
          <w:sz w:val="24"/>
          <w:szCs w:val="24"/>
        </w:rPr>
        <w:t xml:space="preserve">). It appeared that the sea spray effect is very profound, in a very flat landscape with a similar geology, up to 1.5 km from the coastline, and might still have </w:t>
      </w:r>
      <w:r>
        <w:rPr>
          <w:rFonts w:ascii="Times New Roman" w:eastAsia="Times New Roman" w:hAnsi="Times New Roman" w:cs="Times New Roman"/>
          <w:sz w:val="24"/>
          <w:szCs w:val="24"/>
        </w:rPr>
        <w:t>an impact up to 5 km from the coastline. It has, however, no influence on the biologically available Sr further inland.</w:t>
      </w:r>
    </w:p>
    <w:p w14:paraId="68CBC490" w14:textId="77777777" w:rsidR="00073701" w:rsidRDefault="00073701">
      <w:pPr>
        <w:spacing w:after="0" w:line="240" w:lineRule="auto"/>
        <w:jc w:val="both"/>
        <w:rPr>
          <w:rFonts w:ascii="Times New Roman" w:eastAsia="Times New Roman" w:hAnsi="Times New Roman" w:cs="Times New Roman"/>
          <w:sz w:val="24"/>
          <w:szCs w:val="24"/>
        </w:rPr>
      </w:pPr>
    </w:p>
    <w:p w14:paraId="6C40ACA4" w14:textId="77777777" w:rsidR="00073701" w:rsidRDefault="00C8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665141E" wp14:editId="0EC1813E">
            <wp:extent cx="3600450" cy="2437448"/>
            <wp:effectExtent l="0" t="0" r="0" b="0"/>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600450" cy="2437448"/>
                    </a:xfrm>
                    <a:prstGeom prst="rect">
                      <a:avLst/>
                    </a:prstGeom>
                    <a:ln/>
                  </pic:spPr>
                </pic:pic>
              </a:graphicData>
            </a:graphic>
          </wp:inline>
        </w:drawing>
      </w:r>
    </w:p>
    <w:p w14:paraId="082BF1BD" w14:textId="77777777" w:rsidR="00073701" w:rsidRDefault="00C87DCB">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59"/>
          <w:id w:val="747303562"/>
          <w:showingPlcHdr/>
        </w:sdtPr>
        <w:sdtEndPr/>
        <w:sdtContent>
          <w:r>
            <w:t xml:space="preserve">     </w:t>
          </w:r>
        </w:sdtContent>
      </w:sdt>
      <w:sdt>
        <w:sdtPr>
          <w:tag w:val="goog_rdk_60"/>
          <w:id w:val="327793573"/>
        </w:sdtPr>
        <w:sdtEndPr/>
        <w:sdtContent>
          <w:r>
            <w:rPr>
              <w:rFonts w:ascii="Times New Roman" w:eastAsia="Times New Roman" w:hAnsi="Times New Roman" w:cs="Times New Roman"/>
              <w:i/>
              <w:sz w:val="20"/>
              <w:szCs w:val="20"/>
            </w:rPr>
            <w:t>3</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 modern trees leaves at Šventoji in respect to their distance to the Baltic Sea coast</w:t>
      </w:r>
    </w:p>
    <w:p w14:paraId="18E59157" w14:textId="77777777" w:rsidR="00073701" w:rsidRDefault="00073701">
      <w:pPr>
        <w:spacing w:after="0" w:line="240" w:lineRule="auto"/>
        <w:jc w:val="both"/>
        <w:rPr>
          <w:rFonts w:ascii="Times New Roman" w:eastAsia="Times New Roman" w:hAnsi="Times New Roman" w:cs="Times New Roman"/>
          <w:sz w:val="24"/>
          <w:szCs w:val="24"/>
        </w:rPr>
      </w:pPr>
    </w:p>
    <w:p w14:paraId="3A057A7E"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Discussion</w:t>
      </w:r>
    </w:p>
    <w:p w14:paraId="7F38FCFA"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IV.1. Modern samples for palaeomobility studies. Are they reliable?</w:t>
      </w:r>
    </w:p>
    <w:p w14:paraId="484DEE6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2019, Hoogewerff et al. published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obtained from grazing and agricultural soils across a large part of Europe. The study contained measurements from 17 locations in Lithuania, 10 in Latvia, 14 in Estonia, 64 in Poland and 94 in Ukraine. In these countries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of archa</w:t>
      </w:r>
      <w:r>
        <w:rPr>
          <w:rFonts w:ascii="Times New Roman" w:eastAsia="Times New Roman" w:hAnsi="Times New Roman" w:cs="Times New Roman"/>
          <w:sz w:val="24"/>
          <w:szCs w:val="24"/>
        </w:rPr>
        <w:t xml:space="preserve">eological fauna were either absent or very few, therefore, Hoogewerff et al.’s data might be useful for reconstructing local baselines in Lithuania. To do this it is essential to know whether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of modern soils are significantly altered by an</w:t>
      </w:r>
      <w:r>
        <w:rPr>
          <w:rFonts w:ascii="Times New Roman" w:eastAsia="Times New Roman" w:hAnsi="Times New Roman" w:cs="Times New Roman"/>
          <w:sz w:val="24"/>
          <w:szCs w:val="24"/>
        </w:rPr>
        <w:t xml:space="preserve">y modern agents. Therefore, we compared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values in modern soils and archaeological animals. Firstly, we interpolated Lithuanian soil data by the Natural Neighbour method (Cressie 1991). Then, we extracted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for each locality from which the</w:t>
      </w:r>
      <w:r>
        <w:rPr>
          <w:rFonts w:ascii="Times New Roman" w:eastAsia="Times New Roman" w:hAnsi="Times New Roman" w:cs="Times New Roman"/>
          <w:sz w:val="24"/>
          <w:szCs w:val="24"/>
        </w:rPr>
        <w:t xml:space="preserve"> animal remains were analysed for our study. Finally we plotted the interpolated soil values against measured faunal values (</w:t>
      </w:r>
      <w:sdt>
        <w:sdtPr>
          <w:tag w:val="goog_rdk_61"/>
          <w:id w:val="134535008"/>
          <w:showingPlcHdr/>
        </w:sdtPr>
        <w:sdtEndPr/>
        <w:sdtContent>
          <w:r>
            <w:t xml:space="preserve">     </w:t>
          </w:r>
        </w:sdtContent>
      </w:sdt>
      <w:sdt>
        <w:sdtPr>
          <w:tag w:val="goog_rdk_62"/>
          <w:id w:val="-580919720"/>
        </w:sdtPr>
        <w:sdtEndPr/>
        <w:sdtContent>
          <w:r>
            <w:rPr>
              <w:rFonts w:ascii="Times New Roman" w:eastAsia="Times New Roman" w:hAnsi="Times New Roman" w:cs="Times New Roman"/>
              <w:sz w:val="24"/>
              <w:szCs w:val="24"/>
            </w:rPr>
            <w:t>SI5</w:t>
          </w:r>
        </w:sdtContent>
      </w:sdt>
      <w:r>
        <w:rPr>
          <w:rFonts w:ascii="Times New Roman" w:eastAsia="Times New Roman" w:hAnsi="Times New Roman" w:cs="Times New Roman"/>
          <w:sz w:val="24"/>
          <w:szCs w:val="24"/>
        </w:rPr>
        <w:t xml:space="preserve">). From this plot a statistically significant (a paired-samples t-test, t = 17.71, df = 23,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0.001) offset between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modern soils and archaeological fauna is evident, with the former being lower by 0.0081 ± 0.0022. In addition, four small modern rodents from Minaičiai gave a mean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 of 0.7087 which is </w:t>
      </w:r>
      <w:r>
        <w:rPr>
          <w:rFonts w:ascii="Times New Roman" w:eastAsia="Times New Roman" w:hAnsi="Times New Roman" w:cs="Times New Roman"/>
          <w:sz w:val="24"/>
          <w:szCs w:val="24"/>
        </w:rPr>
        <w:lastRenderedPageBreak/>
        <w:t>very close to the soil but inconsistent with</w:t>
      </w:r>
      <w:r>
        <w:rPr>
          <w:rFonts w:ascii="Times New Roman" w:eastAsia="Times New Roman" w:hAnsi="Times New Roman" w:cs="Times New Roman"/>
          <w:sz w:val="24"/>
          <w:szCs w:val="24"/>
        </w:rPr>
        <w:t xml:space="preserve"> the archaeological animals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at any of the closest localities, e.g. Žilioniai (0.7152), Kėdainiai (0.7160) and Pašatrijys (0.7161) (</w:t>
      </w:r>
      <w:sdt>
        <w:sdtPr>
          <w:tag w:val="goog_rdk_63"/>
          <w:id w:val="872342684"/>
        </w:sdtPr>
        <w:sdtEndPr/>
        <w:sdtContent>
          <w:r>
            <w:rPr>
              <w:rFonts w:ascii="Times New Roman" w:eastAsia="Times New Roman" w:hAnsi="Times New Roman" w:cs="Times New Roman"/>
              <w:sz w:val="24"/>
              <w:szCs w:val="24"/>
            </w:rPr>
            <w:t>SI5</w:t>
          </w:r>
        </w:sdtContent>
      </w:sdt>
      <w:sdt>
        <w:sdtPr>
          <w:tag w:val="goog_rdk_64"/>
          <w:id w:val="-1532642864"/>
          <w:showingPlcHdr/>
        </w:sdtPr>
        <w:sdtEndPr/>
        <w:sdtContent>
          <w:r>
            <w:t xml:space="preserve">     </w:t>
          </w:r>
        </w:sdtContent>
      </w:sdt>
      <w:r>
        <w:rPr>
          <w:rFonts w:ascii="Times New Roman" w:eastAsia="Times New Roman" w:hAnsi="Times New Roman" w:cs="Times New Roman"/>
          <w:sz w:val="24"/>
          <w:szCs w:val="24"/>
        </w:rPr>
        <w:t xml:space="preserve">). Therefore it seems that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both soils and modern animals is affected by non-local stronti</w:t>
      </w:r>
      <w:r>
        <w:rPr>
          <w:rFonts w:ascii="Times New Roman" w:eastAsia="Times New Roman" w:hAnsi="Times New Roman" w:cs="Times New Roman"/>
          <w:sz w:val="24"/>
          <w:szCs w:val="24"/>
        </w:rPr>
        <w:t xml:space="preserve">um. Chemical fertilisers may be the reason for this (see Böhlke and Horan 2000). In Lithuania non-natural fertilisers have been extensively used after World War II. In addition, polluted precipitation may also introduce low radiogenic Sr into modern soils </w:t>
      </w:r>
      <w:r>
        <w:rPr>
          <w:rFonts w:ascii="Times New Roman" w:eastAsia="Times New Roman" w:hAnsi="Times New Roman" w:cs="Times New Roman"/>
          <w:sz w:val="24"/>
          <w:szCs w:val="24"/>
        </w:rPr>
        <w:t>and animals. It has been estimated that in some cases precipitation may supply up to 50-75% of the Sr available for plants (Graustein and Armstrong 1983; Sanusi et al. 1995).</w:t>
      </w:r>
    </w:p>
    <w:p w14:paraId="70C0526A" w14:textId="77777777" w:rsidR="00073701" w:rsidRDefault="00073701">
      <w:pPr>
        <w:spacing w:after="0" w:line="240" w:lineRule="auto"/>
        <w:jc w:val="both"/>
        <w:rPr>
          <w:rFonts w:ascii="Times New Roman" w:eastAsia="Times New Roman" w:hAnsi="Times New Roman" w:cs="Times New Roman"/>
          <w:sz w:val="24"/>
          <w:szCs w:val="24"/>
        </w:rPr>
      </w:pPr>
    </w:p>
    <w:p w14:paraId="1D269AA8" w14:textId="77777777" w:rsidR="00073701" w:rsidRDefault="00C87DCB">
      <w:pPr>
        <w:spacing w:after="0" w:line="240" w:lineRule="auto"/>
        <w:jc w:val="center"/>
        <w:rPr>
          <w:rFonts w:ascii="Times New Roman" w:eastAsia="Times New Roman" w:hAnsi="Times New Roman" w:cs="Times New Roman"/>
          <w:sz w:val="24"/>
          <w:szCs w:val="24"/>
        </w:rPr>
      </w:pPr>
      <w:sdt>
        <w:sdtPr>
          <w:tag w:val="goog_rdk_66"/>
          <w:id w:val="-842464103"/>
          <w:showingPlcHdr/>
        </w:sdtPr>
        <w:sdtEndPr/>
        <w:sdtContent>
          <w:r>
            <w:t xml:space="preserve">     </w:t>
          </w:r>
        </w:sdtContent>
      </w:sdt>
    </w:p>
    <w:sdt>
      <w:sdtPr>
        <w:tag w:val="goog_rdk_69"/>
        <w:id w:val="-1110902767"/>
      </w:sdtPr>
      <w:sdtEndPr/>
      <w:sdtContent>
        <w:p w14:paraId="6D07D31B" w14:textId="77777777" w:rsidR="00073701" w:rsidRDefault="00C87DCB">
          <w:pPr>
            <w:spacing w:after="0" w:line="240" w:lineRule="auto"/>
            <w:jc w:val="both"/>
            <w:rPr>
              <w:rFonts w:ascii="Times New Roman" w:eastAsia="Times New Roman" w:hAnsi="Times New Roman" w:cs="Times New Roman"/>
              <w:sz w:val="24"/>
              <w:szCs w:val="24"/>
            </w:rPr>
          </w:pPr>
          <w:sdt>
            <w:sdtPr>
              <w:tag w:val="goog_rdk_68"/>
              <w:id w:val="-1425257327"/>
              <w:showingPlcHdr/>
            </w:sdtPr>
            <w:sdtEndPr/>
            <w:sdtContent>
              <w:r>
                <w:t xml:space="preserve">     </w:t>
              </w:r>
            </w:sdtContent>
          </w:sdt>
        </w:p>
      </w:sdtContent>
    </w:sdt>
    <w:p w14:paraId="603A95D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we also found that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of modern plants (5/12) were incompatible with those of archaeological animals. The uptake of strontium by vegetation is dependent on many factors including fungi, root-depth and taxon (Dijkstra et al.</w:t>
      </w:r>
      <w:r>
        <w:rPr>
          <w:rFonts w:ascii="Times New Roman" w:eastAsia="Times New Roman" w:hAnsi="Times New Roman" w:cs="Times New Roman"/>
          <w:sz w:val="24"/>
          <w:szCs w:val="24"/>
        </w:rPr>
        <w:t xml:space="preserve"> 2003; Isermann 1981). Local anomalies in the geological background may also greatly influence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plants, for instance these may be caused by clastic carbonate components within glacial deposits. For example, at Gyvakarai, 2.0-3.0 m high alde</w:t>
      </w:r>
      <w:r>
        <w:rPr>
          <w:rFonts w:ascii="Times New Roman" w:eastAsia="Times New Roman" w:hAnsi="Times New Roman" w:cs="Times New Roman"/>
          <w:sz w:val="24"/>
          <w:szCs w:val="24"/>
        </w:rPr>
        <w:t xml:space="preserve">r and aspen trees, have only slightly lower ratios (0.7158 and 0.7151 respectively) compared to the local baseline based on archaeological fauna (0.7163-0.7190), while another 1.5 m high aspen had a much lower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 of 0.7111 (Fig. </w:t>
      </w:r>
      <w:sdt>
        <w:sdtPr>
          <w:tag w:val="goog_rdk_70"/>
          <w:id w:val="435953172"/>
          <w:showingPlcHdr/>
        </w:sdtPr>
        <w:sdtEndPr/>
        <w:sdtContent>
          <w:r>
            <w:t xml:space="preserve">     </w:t>
          </w:r>
        </w:sdtContent>
      </w:sdt>
      <w:sdt>
        <w:sdtPr>
          <w:tag w:val="goog_rdk_71"/>
          <w:id w:val="635773275"/>
        </w:sdtPr>
        <w:sdtEndPr/>
        <w:sdtContent>
          <w:r>
            <w:rPr>
              <w:rFonts w:ascii="Times New Roman" w:eastAsia="Times New Roman" w:hAnsi="Times New Roman" w:cs="Times New Roman"/>
              <w:sz w:val="24"/>
              <w:szCs w:val="24"/>
            </w:rPr>
            <w:t>4</w:t>
          </w:r>
        </w:sdtContent>
      </w:sdt>
      <w:r>
        <w:rPr>
          <w:rFonts w:ascii="Times New Roman" w:eastAsia="Times New Roman" w:hAnsi="Times New Roman" w:cs="Times New Roman"/>
          <w:sz w:val="24"/>
          <w:szCs w:val="24"/>
        </w:rPr>
        <w:t xml:space="preserve">). This aspen with the lowest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 was growing on calcareous subsoil, whilst the remaining two were growing on non-calcareous subsoil (Table 3). At Turlojiškė, from two young 1.5-2.0 m high lime trees that were growing 2.2 km apart, one had 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 of 0.7131, which is within the local baseline </w:t>
      </w:r>
      <w:r>
        <w:t>(</w:t>
      </w:r>
      <w:r>
        <w:rPr>
          <w:rFonts w:ascii="Times New Roman" w:eastAsia="Times New Roman" w:hAnsi="Times New Roman" w:cs="Times New Roman"/>
          <w:sz w:val="24"/>
          <w:szCs w:val="24"/>
        </w:rPr>
        <w:t xml:space="preserve">0.7116-7147), whilst the other had a higher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 of 0.7149 (Fig. </w:t>
      </w:r>
      <w:sdt>
        <w:sdtPr>
          <w:tag w:val="goog_rdk_72"/>
          <w:id w:val="-12843647"/>
          <w:showingPlcHdr/>
        </w:sdtPr>
        <w:sdtEndPr/>
        <w:sdtContent>
          <w:r>
            <w:t xml:space="preserve">     </w:t>
          </w:r>
        </w:sdtContent>
      </w:sdt>
      <w:sdt>
        <w:sdtPr>
          <w:tag w:val="goog_rdk_73"/>
          <w:id w:val="1567459062"/>
        </w:sdtPr>
        <w:sdtEndPr/>
        <w:sdtContent>
          <w:r>
            <w:rPr>
              <w:rFonts w:ascii="Times New Roman" w:eastAsia="Times New Roman" w:hAnsi="Times New Roman" w:cs="Times New Roman"/>
              <w:sz w:val="24"/>
              <w:szCs w:val="24"/>
            </w:rPr>
            <w:t>5</w:t>
          </w:r>
        </w:sdtContent>
      </w:sdt>
      <w:r>
        <w:rPr>
          <w:rFonts w:ascii="Times New Roman" w:eastAsia="Times New Roman" w:hAnsi="Times New Roman" w:cs="Times New Roman"/>
          <w:sz w:val="24"/>
          <w:szCs w:val="24"/>
        </w:rPr>
        <w:t xml:space="preserve">). Once again, the tree growing on calcareous clay had a lower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 than the one growing on non-calca</w:t>
      </w:r>
      <w:r>
        <w:rPr>
          <w:rFonts w:ascii="Times New Roman" w:eastAsia="Times New Roman" w:hAnsi="Times New Roman" w:cs="Times New Roman"/>
          <w:sz w:val="24"/>
          <w:szCs w:val="24"/>
        </w:rPr>
        <w:t xml:space="preserve">reous clay loam (Table 3). At Plinkaigalis, two ash trees that were both 2.0 m high and growing on calcareous subsoil showed very distant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of 0.7160 and 0.7121. While the higher value is within the local baseline based on archaeological fau</w:t>
      </w:r>
      <w:r>
        <w:rPr>
          <w:rFonts w:ascii="Times New Roman" w:eastAsia="Times New Roman" w:hAnsi="Times New Roman" w:cs="Times New Roman"/>
          <w:sz w:val="24"/>
          <w:szCs w:val="24"/>
        </w:rPr>
        <w:t xml:space="preserve">na (0.7142-0.7168), the other is much lower (Fig. </w:t>
      </w:r>
      <w:sdt>
        <w:sdtPr>
          <w:tag w:val="goog_rdk_74"/>
          <w:id w:val="-121074885"/>
          <w:showingPlcHdr/>
        </w:sdtPr>
        <w:sdtEndPr/>
        <w:sdtContent>
          <w:r>
            <w:t xml:space="preserve">     </w:t>
          </w:r>
        </w:sdtContent>
      </w:sdt>
      <w:sdt>
        <w:sdtPr>
          <w:tag w:val="goog_rdk_75"/>
          <w:id w:val="-1421413388"/>
        </w:sdtPr>
        <w:sdtEndPr/>
        <w:sdtContent>
          <w:r>
            <w:rPr>
              <w:rFonts w:ascii="Times New Roman" w:eastAsia="Times New Roman" w:hAnsi="Times New Roman" w:cs="Times New Roman"/>
              <w:sz w:val="24"/>
              <w:szCs w:val="24"/>
            </w:rPr>
            <w:t>4</w:t>
          </w:r>
        </w:sdtContent>
      </w:sdt>
      <w:r>
        <w:rPr>
          <w:rFonts w:ascii="Times New Roman" w:eastAsia="Times New Roman" w:hAnsi="Times New Roman" w:cs="Times New Roman"/>
          <w:sz w:val="24"/>
          <w:szCs w:val="24"/>
        </w:rPr>
        <w:t>). In this case, a more thorough analysis of the carbonate content in surface deposits is required in order to explain the anomalously low radiogenic value. Finally, the best fit between modern plant</w:t>
      </w:r>
      <w:r>
        <w:rPr>
          <w:rFonts w:ascii="Times New Roman" w:eastAsia="Times New Roman" w:hAnsi="Times New Roman" w:cs="Times New Roman"/>
          <w:sz w:val="24"/>
          <w:szCs w:val="24"/>
        </w:rPr>
        <w:t xml:space="preserve"> and archaeological animal ratios was found in the coastal area at Šventoji (Fig. </w:t>
      </w:r>
      <w:sdt>
        <w:sdtPr>
          <w:tag w:val="goog_rdk_76"/>
          <w:id w:val="1430695203"/>
          <w:showingPlcHdr/>
        </w:sdtPr>
        <w:sdtEndPr/>
        <w:sdtContent>
          <w:r>
            <w:t xml:space="preserve">     </w:t>
          </w:r>
        </w:sdtContent>
      </w:sdt>
      <w:sdt>
        <w:sdtPr>
          <w:tag w:val="goog_rdk_77"/>
          <w:id w:val="2073307837"/>
        </w:sdtPr>
        <w:sdtEndPr/>
        <w:sdtContent>
          <w:r>
            <w:rPr>
              <w:rFonts w:ascii="Times New Roman" w:eastAsia="Times New Roman" w:hAnsi="Times New Roman" w:cs="Times New Roman"/>
              <w:sz w:val="24"/>
              <w:szCs w:val="24"/>
            </w:rPr>
            <w:t>6</w:t>
          </w:r>
        </w:sdtContent>
      </w:sdt>
      <w:r>
        <w:rPr>
          <w:rFonts w:ascii="Times New Roman" w:eastAsia="Times New Roman" w:hAnsi="Times New Roman" w:cs="Times New Roman"/>
          <w:sz w:val="24"/>
          <w:szCs w:val="24"/>
        </w:rPr>
        <w:t>). However, this could be due to the sea spray effect, which is affecting the area today as well as in prehistory.</w:t>
      </w:r>
    </w:p>
    <w:p w14:paraId="42941E38" w14:textId="77777777" w:rsidR="00073701" w:rsidRDefault="00073701">
      <w:pPr>
        <w:spacing w:after="0" w:line="240" w:lineRule="auto"/>
        <w:jc w:val="both"/>
        <w:rPr>
          <w:rFonts w:ascii="Times New Roman" w:eastAsia="Times New Roman" w:hAnsi="Times New Roman" w:cs="Times New Roman"/>
          <w:sz w:val="24"/>
          <w:szCs w:val="24"/>
        </w:rPr>
      </w:pPr>
    </w:p>
    <w:p w14:paraId="4758298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summarise, we identified lower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modern soils and animals and in some cases also modern plant samples compared to the archaeological fauna throughout Lithuania, however, the reasons for this are far from clear. Based on these offsets we advise caution when using modern samples for t</w:t>
      </w:r>
      <w:r>
        <w:rPr>
          <w:rFonts w:ascii="Times New Roman" w:eastAsia="Times New Roman" w:hAnsi="Times New Roman" w:cs="Times New Roman"/>
          <w:sz w:val="24"/>
          <w:szCs w:val="24"/>
        </w:rPr>
        <w:t>he reconstruction of local baselines and isoscapes in Lithuania.</w:t>
      </w:r>
    </w:p>
    <w:p w14:paraId="1C3D0791" w14:textId="77777777" w:rsidR="00073701" w:rsidRDefault="00073701">
      <w:pPr>
        <w:spacing w:after="0" w:line="240" w:lineRule="auto"/>
        <w:jc w:val="both"/>
        <w:rPr>
          <w:rFonts w:ascii="Times New Roman" w:eastAsia="Times New Roman" w:hAnsi="Times New Roman" w:cs="Times New Roman"/>
          <w:sz w:val="24"/>
          <w:szCs w:val="24"/>
        </w:rPr>
      </w:pPr>
    </w:p>
    <w:p w14:paraId="6C580703" w14:textId="77777777" w:rsidR="00073701" w:rsidRDefault="00C87DCB">
      <w:pPr>
        <w:spacing w:after="0" w:line="240" w:lineRule="auto"/>
        <w:jc w:val="both"/>
        <w:rPr>
          <w:rFonts w:ascii="Times New Roman" w:eastAsia="Times New Roman" w:hAnsi="Times New Roman" w:cs="Times New Roman"/>
          <w:i/>
          <w:sz w:val="20"/>
          <w:szCs w:val="20"/>
        </w:rPr>
      </w:pPr>
      <w:sdt>
        <w:sdtPr>
          <w:tag w:val="goog_rdk_79"/>
          <w:id w:val="-335536361"/>
          <w:showingPlcHdr/>
        </w:sdtPr>
        <w:sdtEndPr/>
        <w:sdtContent>
          <w:r>
            <w:t xml:space="preserve">     </w:t>
          </w:r>
        </w:sdtContent>
      </w:sdt>
    </w:p>
    <w:sdt>
      <w:sdtPr>
        <w:tag w:val="goog_rdk_81"/>
        <w:id w:val="-1469199035"/>
      </w:sdtPr>
      <w:sdtEndPr/>
      <w:sdtContent>
        <w:p w14:paraId="0811E6EB"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drawing>
              <wp:inline distT="114300" distB="114300" distL="114300" distR="114300" wp14:anchorId="3087DFCC" wp14:editId="67A15865">
                <wp:extent cx="6106485" cy="4991100"/>
                <wp:effectExtent l="0" t="0" r="0" b="0"/>
                <wp:docPr id="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6106485" cy="4991100"/>
                        </a:xfrm>
                        <a:prstGeom prst="rect">
                          <a:avLst/>
                        </a:prstGeom>
                        <a:ln/>
                      </pic:spPr>
                    </pic:pic>
                  </a:graphicData>
                </a:graphic>
              </wp:inline>
            </w:drawing>
          </w:r>
          <w:sdt>
            <w:sdtPr>
              <w:tag w:val="goog_rdk_80"/>
              <w:id w:val="271527762"/>
            </w:sdtPr>
            <w:sdtEndPr/>
            <w:sdtContent/>
          </w:sdt>
        </w:p>
      </w:sdtContent>
    </w:sdt>
    <w:p w14:paraId="31D47D58"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82"/>
          <w:id w:val="890775701"/>
          <w:showingPlcHdr/>
        </w:sdtPr>
        <w:sdtEndPr/>
        <w:sdtContent>
          <w:r>
            <w:t xml:space="preserve">     </w:t>
          </w:r>
        </w:sdtContent>
      </w:sdt>
      <w:sdt>
        <w:sdtPr>
          <w:tag w:val="goog_rdk_83"/>
          <w:id w:val="453839564"/>
        </w:sdtPr>
        <w:sdtEndPr/>
        <w:sdtContent>
          <w:r>
            <w:rPr>
              <w:rFonts w:ascii="Times New Roman" w:eastAsia="Times New Roman" w:hAnsi="Times New Roman" w:cs="Times New Roman"/>
              <w:i/>
              <w:sz w:val="20"/>
              <w:szCs w:val="20"/>
            </w:rPr>
            <w:t>4</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intra-tooth variation of the human individual</w:t>
      </w:r>
      <w:sdt>
        <w:sdtPr>
          <w:tag w:val="goog_rdk_84"/>
          <w:id w:val="1830016398"/>
        </w:sdtPr>
        <w:sdtEndPr/>
        <w:sdtContent>
          <w:r>
            <w:rPr>
              <w:rFonts w:ascii="Times New Roman" w:eastAsia="Times New Roman" w:hAnsi="Times New Roman" w:cs="Times New Roman"/>
              <w:i/>
              <w:sz w:val="20"/>
              <w:szCs w:val="20"/>
            </w:rPr>
            <w:t>s</w:t>
          </w:r>
        </w:sdtContent>
      </w:sdt>
      <w:r>
        <w:rPr>
          <w:rFonts w:ascii="Times New Roman" w:eastAsia="Times New Roman" w:hAnsi="Times New Roman" w:cs="Times New Roman"/>
          <w:i/>
          <w:sz w:val="20"/>
          <w:szCs w:val="20"/>
        </w:rPr>
        <w:t xml:space="preserve"> from the Biržai, Plinkaigalis and Gyvakarai CWC graves plotted onto a local baselines, which were constructed from data obtained from archaeological animals (shaded in grey; at 2 SD). ID-TIMS measurements of modern tree leaves are denoted by black triangl</w:t>
      </w:r>
      <w:r>
        <w:rPr>
          <w:rFonts w:ascii="Times New Roman" w:eastAsia="Times New Roman" w:hAnsi="Times New Roman" w:cs="Times New Roman"/>
          <w:i/>
          <w:sz w:val="20"/>
          <w:szCs w:val="20"/>
        </w:rPr>
        <w:t>es</w:t>
      </w:r>
    </w:p>
    <w:p w14:paraId="3FD966BF"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lastRenderedPageBreak/>
        <w:drawing>
          <wp:inline distT="114300" distB="114300" distL="114300" distR="114300" wp14:anchorId="33C8F8E1" wp14:editId="40008F94">
            <wp:extent cx="6106485" cy="4699000"/>
            <wp:effectExtent l="0" t="0" r="0" b="0"/>
            <wp:docPr id="5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6106485" cy="4699000"/>
                    </a:xfrm>
                    <a:prstGeom prst="rect">
                      <a:avLst/>
                    </a:prstGeom>
                    <a:ln/>
                  </pic:spPr>
                </pic:pic>
              </a:graphicData>
            </a:graphic>
          </wp:inline>
        </w:drawing>
      </w:r>
    </w:p>
    <w:p w14:paraId="124775B2"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85"/>
          <w:id w:val="420453997"/>
          <w:showingPlcHdr/>
        </w:sdtPr>
        <w:sdtEndPr/>
        <w:sdtContent>
          <w:r>
            <w:t xml:space="preserve">     </w:t>
          </w:r>
        </w:sdtContent>
      </w:sdt>
      <w:sdt>
        <w:sdtPr>
          <w:tag w:val="goog_rdk_86"/>
          <w:id w:val="264666038"/>
        </w:sdtPr>
        <w:sdtEndPr/>
        <w:sdtContent>
          <w:r>
            <w:rPr>
              <w:rFonts w:ascii="Times New Roman" w:eastAsia="Times New Roman" w:hAnsi="Times New Roman" w:cs="Times New Roman"/>
              <w:i/>
              <w:sz w:val="20"/>
              <w:szCs w:val="20"/>
            </w:rPr>
            <w:t>5</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intra-tooth variation of the four human individuals from the Turlojiškė Late Bronze wetland deposition plotted onto a local baseline, which was constructed from data obtained from archaeological animals (shaded in grey; at 2 SD</w:t>
      </w:r>
      <w:r>
        <w:rPr>
          <w:rFonts w:ascii="Times New Roman" w:eastAsia="Times New Roman" w:hAnsi="Times New Roman" w:cs="Times New Roman"/>
          <w:i/>
          <w:sz w:val="20"/>
          <w:szCs w:val="20"/>
        </w:rPr>
        <w:t>). ID-TIMS measurements of modern tree leaves are denoted by black triangles</w:t>
      </w:r>
    </w:p>
    <w:p w14:paraId="5A7AEC01" w14:textId="77777777" w:rsidR="00073701" w:rsidRDefault="00073701">
      <w:pPr>
        <w:spacing w:after="0" w:line="240" w:lineRule="auto"/>
        <w:jc w:val="both"/>
        <w:rPr>
          <w:rFonts w:ascii="Times New Roman" w:eastAsia="Times New Roman" w:hAnsi="Times New Roman" w:cs="Times New Roman"/>
          <w:i/>
          <w:sz w:val="20"/>
          <w:szCs w:val="20"/>
        </w:rPr>
      </w:pPr>
    </w:p>
    <w:p w14:paraId="38BCC100" w14:textId="77777777" w:rsidR="00073701" w:rsidRDefault="00C87DCB">
      <w:pPr>
        <w:spacing w:after="0" w:line="240" w:lineRule="auto"/>
        <w:jc w:val="both"/>
        <w:rPr>
          <w:rFonts w:ascii="Times New Roman" w:eastAsia="Times New Roman" w:hAnsi="Times New Roman" w:cs="Times New Roman"/>
          <w:i/>
          <w:sz w:val="20"/>
          <w:szCs w:val="20"/>
        </w:rPr>
      </w:pPr>
      <w:sdt>
        <w:sdtPr>
          <w:tag w:val="goog_rdk_88"/>
          <w:id w:val="1560127009"/>
          <w:showingPlcHdr/>
        </w:sdtPr>
        <w:sdtEndPr/>
        <w:sdtContent>
          <w:r>
            <w:t xml:space="preserve">     </w:t>
          </w:r>
        </w:sdtContent>
      </w:sdt>
    </w:p>
    <w:sdt>
      <w:sdtPr>
        <w:tag w:val="goog_rdk_91"/>
        <w:id w:val="784002519"/>
      </w:sdtPr>
      <w:sdtEndPr/>
      <w:sdtContent>
        <w:p w14:paraId="3C44E049" w14:textId="77777777" w:rsidR="00073701" w:rsidRDefault="00C87DCB">
          <w:pPr>
            <w:spacing w:after="0" w:line="240" w:lineRule="auto"/>
            <w:jc w:val="both"/>
            <w:rPr>
              <w:rFonts w:ascii="Times New Roman" w:eastAsia="Times New Roman" w:hAnsi="Times New Roman" w:cs="Times New Roman"/>
              <w:i/>
              <w:sz w:val="20"/>
              <w:szCs w:val="20"/>
            </w:rPr>
          </w:pPr>
          <w:sdt>
            <w:sdtPr>
              <w:tag w:val="goog_rdk_90"/>
              <w:id w:val="-1738167608"/>
              <w:showingPlcHdr/>
            </w:sdtPr>
            <w:sdtEndPr/>
            <w:sdtContent>
              <w:r>
                <w:t xml:space="preserve">     </w:t>
              </w:r>
            </w:sdtContent>
          </w:sdt>
        </w:p>
      </w:sdtContent>
    </w:sdt>
    <w:p w14:paraId="395D2EB5"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drawing>
          <wp:inline distT="0" distB="0" distL="0" distR="0" wp14:anchorId="7090F150" wp14:editId="03866E05">
            <wp:extent cx="5867400" cy="3061970"/>
            <wp:effectExtent l="0" t="0" r="0" b="0"/>
            <wp:docPr id="59" name="image4.jpg" descr="E:\geologija\2020 MOBIL\STRAIPSNIS\12 Fig Sventoji.jpg"/>
            <wp:cNvGraphicFramePr/>
            <a:graphic xmlns:a="http://schemas.openxmlformats.org/drawingml/2006/main">
              <a:graphicData uri="http://schemas.openxmlformats.org/drawingml/2006/picture">
                <pic:pic xmlns:pic="http://schemas.openxmlformats.org/drawingml/2006/picture">
                  <pic:nvPicPr>
                    <pic:cNvPr id="0" name="image4.jpg" descr="E:\geologija\2020 MOBIL\STRAIPSNIS\12 Fig Sventoji.jpg"/>
                    <pic:cNvPicPr preferRelativeResize="0"/>
                  </pic:nvPicPr>
                  <pic:blipFill>
                    <a:blip r:embed="rId17"/>
                    <a:srcRect/>
                    <a:stretch>
                      <a:fillRect/>
                    </a:stretch>
                  </pic:blipFill>
                  <pic:spPr>
                    <a:xfrm>
                      <a:off x="0" y="0"/>
                      <a:ext cx="5867400" cy="3061970"/>
                    </a:xfrm>
                    <a:prstGeom prst="rect">
                      <a:avLst/>
                    </a:prstGeom>
                    <a:ln/>
                  </pic:spPr>
                </pic:pic>
              </a:graphicData>
            </a:graphic>
          </wp:inline>
        </w:drawing>
      </w:r>
    </w:p>
    <w:p w14:paraId="46D59598"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 xml:space="preserve">Fig. </w:t>
      </w:r>
      <w:sdt>
        <w:sdtPr>
          <w:tag w:val="goog_rdk_92"/>
          <w:id w:val="-1222911181"/>
          <w:showingPlcHdr/>
        </w:sdtPr>
        <w:sdtEndPr/>
        <w:sdtContent>
          <w:r>
            <w:t xml:space="preserve">     </w:t>
          </w:r>
        </w:sdtContent>
      </w:sdt>
      <w:sdt>
        <w:sdtPr>
          <w:tag w:val="goog_rdk_93"/>
          <w:id w:val="-1905288055"/>
        </w:sdtPr>
        <w:sdtEndPr/>
        <w:sdtContent>
          <w:r>
            <w:rPr>
              <w:rFonts w:ascii="Times New Roman" w:eastAsia="Times New Roman" w:hAnsi="Times New Roman" w:cs="Times New Roman"/>
              <w:i/>
              <w:sz w:val="20"/>
              <w:szCs w:val="20"/>
            </w:rPr>
            <w:t>6</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 xml:space="preserve">Sr intra-tooth variation of seven human individuals from the Šventoji Subneolithic dwelling sites plotted onto a local baseline, which was constructed from data obtained from archaeological animals </w:t>
      </w:r>
      <w:r>
        <w:rPr>
          <w:rFonts w:ascii="Times New Roman" w:eastAsia="Times New Roman" w:hAnsi="Times New Roman" w:cs="Times New Roman"/>
          <w:i/>
          <w:sz w:val="20"/>
          <w:szCs w:val="20"/>
        </w:rPr>
        <w:t>(shaded in grey; at 2 SD). ID-TIMS measurements of modern tree leaves are denoted by black triangles while accompanying numbers show their distance to the Baltic coastline</w:t>
      </w:r>
    </w:p>
    <w:p w14:paraId="0AD8B8C5" w14:textId="77777777" w:rsidR="00073701" w:rsidRDefault="00073701">
      <w:pPr>
        <w:spacing w:after="0" w:line="240" w:lineRule="auto"/>
        <w:jc w:val="both"/>
        <w:rPr>
          <w:rFonts w:ascii="Times New Roman" w:eastAsia="Times New Roman" w:hAnsi="Times New Roman" w:cs="Times New Roman"/>
          <w:b/>
          <w:sz w:val="24"/>
          <w:szCs w:val="24"/>
        </w:rPr>
      </w:pPr>
    </w:p>
    <w:p w14:paraId="37351B29"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1. Mobility patterns</w:t>
      </w:r>
    </w:p>
    <w:p w14:paraId="0B5FB33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compiled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intra-tooth variation curves from multiple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measurements for each human tooth and plotted them onto local baselines reconstructed from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(2 SD) of archaeological fauna (Fig. </w:t>
      </w:r>
      <w:sdt>
        <w:sdtPr>
          <w:tag w:val="goog_rdk_94"/>
          <w:id w:val="-1827273519"/>
          <w:showingPlcHdr/>
        </w:sdtPr>
        <w:sdtEndPr/>
        <w:sdtContent>
          <w:r>
            <w:t xml:space="preserve">     </w:t>
          </w:r>
        </w:sdtContent>
      </w:sdt>
      <w:sdt>
        <w:sdtPr>
          <w:tag w:val="goog_rdk_95"/>
          <w:id w:val="95455654"/>
        </w:sdtPr>
        <w:sdtEndPr/>
        <w:sdtContent>
          <w:r>
            <w:rPr>
              <w:rFonts w:ascii="Times New Roman" w:eastAsia="Times New Roman" w:hAnsi="Times New Roman" w:cs="Times New Roman"/>
              <w:sz w:val="24"/>
              <w:szCs w:val="24"/>
            </w:rPr>
            <w:t>4-9</w:t>
          </w:r>
        </w:sdtContent>
      </w:sdt>
      <w:r>
        <w:rPr>
          <w:rFonts w:ascii="Times New Roman" w:eastAsia="Times New Roman" w:hAnsi="Times New Roman" w:cs="Times New Roman"/>
          <w:sz w:val="24"/>
          <w:szCs w:val="24"/>
        </w:rPr>
        <w:t>). According to radiographic and histologica</w:t>
      </w:r>
      <w:r>
        <w:rPr>
          <w:rFonts w:ascii="Times New Roman" w:eastAsia="Times New Roman" w:hAnsi="Times New Roman" w:cs="Times New Roman"/>
          <w:sz w:val="24"/>
          <w:szCs w:val="24"/>
        </w:rPr>
        <w:t>l studies, enamel of the permanent M1 tooth forms at the age of 0-3 years, 3-6 years for M2, 8-11 years for M3, 2-6 years for premolars, and prior to birth and up to 0.5 years for dM1 (Massler et al. 1941; Reid and Dean 2006). Since we preferentially sampl</w:t>
      </w:r>
      <w:r>
        <w:rPr>
          <w:rFonts w:ascii="Times New Roman" w:eastAsia="Times New Roman" w:hAnsi="Times New Roman" w:cs="Times New Roman"/>
          <w:sz w:val="24"/>
          <w:szCs w:val="24"/>
        </w:rPr>
        <w:t>ed permanent M1 and M2 teeth from humans, the majority of the intra-tooth variation curves reflect the chronological sequence during early childhood (0-6 years). Despite this, there were several exceptions, the permanent M3 teeth from Šventoji 23 ‘grave’ 1</w:t>
      </w:r>
      <w:r>
        <w:rPr>
          <w:rFonts w:ascii="Times New Roman" w:eastAsia="Times New Roman" w:hAnsi="Times New Roman" w:cs="Times New Roman"/>
          <w:sz w:val="24"/>
          <w:szCs w:val="24"/>
        </w:rPr>
        <w:t xml:space="preserve"> and Donkalnis grave 3, both of which mineralised during late childhood (8-11 years), and the deciduous dM1 from Šventoji 43, which mineralised prior to birth and during early infancy.</w:t>
      </w:r>
    </w:p>
    <w:p w14:paraId="716AE4BF" w14:textId="77777777" w:rsidR="00073701" w:rsidRDefault="00073701">
      <w:pPr>
        <w:spacing w:after="0" w:line="240" w:lineRule="auto"/>
        <w:jc w:val="both"/>
        <w:rPr>
          <w:rFonts w:ascii="Times New Roman" w:eastAsia="Times New Roman" w:hAnsi="Times New Roman" w:cs="Times New Roman"/>
          <w:sz w:val="24"/>
          <w:szCs w:val="24"/>
        </w:rPr>
      </w:pPr>
    </w:p>
    <w:p w14:paraId="2CD67431" w14:textId="77777777" w:rsidR="00073701" w:rsidRDefault="00C87DCB">
      <w:pPr>
        <w:spacing w:after="0" w:line="240" w:lineRule="auto"/>
        <w:jc w:val="both"/>
        <w:rPr>
          <w:rFonts w:ascii="Times New Roman" w:eastAsia="Times New Roman" w:hAnsi="Times New Roman" w:cs="Times New Roman"/>
          <w:sz w:val="24"/>
          <w:szCs w:val="24"/>
        </w:rPr>
      </w:pPr>
      <w:sdt>
        <w:sdtPr>
          <w:tag w:val="goog_rdk_97"/>
          <w:id w:val="50354386"/>
          <w:showingPlcHdr/>
        </w:sdtPr>
        <w:sdtEndPr/>
        <w:sdtContent>
          <w:r>
            <w:t xml:space="preserve">     </w:t>
          </w:r>
        </w:sdtContent>
      </w:sdt>
    </w:p>
    <w:p w14:paraId="3A343891" w14:textId="77777777" w:rsidR="00073701" w:rsidRDefault="00C87DCB">
      <w:pPr>
        <w:spacing w:after="0" w:line="240" w:lineRule="auto"/>
        <w:jc w:val="both"/>
        <w:rPr>
          <w:rFonts w:ascii="Times New Roman" w:eastAsia="Times New Roman" w:hAnsi="Times New Roman" w:cs="Times New Roman"/>
          <w:i/>
          <w:sz w:val="20"/>
          <w:szCs w:val="20"/>
        </w:rPr>
      </w:pPr>
      <w:sdt>
        <w:sdtPr>
          <w:tag w:val="goog_rdk_100"/>
          <w:id w:val="-2135244867"/>
        </w:sdtPr>
        <w:sdtEndPr/>
        <w:sdtContent>
          <w:sdt>
            <w:sdtPr>
              <w:tag w:val="goog_rdk_99"/>
              <w:id w:val="-763067965"/>
              <w:showingPlcHdr/>
            </w:sdtPr>
            <w:sdtEndPr/>
            <w:sdtContent>
              <w:r>
                <w:t xml:space="preserve">     </w:t>
              </w:r>
            </w:sdtContent>
          </w:sdt>
        </w:sdtContent>
      </w:sdt>
      <w:r>
        <w:rPr>
          <w:rFonts w:ascii="Times New Roman" w:eastAsia="Times New Roman" w:hAnsi="Times New Roman" w:cs="Times New Roman"/>
          <w:i/>
          <w:noProof/>
          <w:sz w:val="20"/>
          <w:szCs w:val="20"/>
          <w:lang w:val="en-US"/>
        </w:rPr>
        <w:drawing>
          <wp:inline distT="0" distB="0" distL="0" distR="0" wp14:anchorId="57377548" wp14:editId="059B1F3B">
            <wp:extent cx="5943600" cy="4320540"/>
            <wp:effectExtent l="0" t="0" r="0" b="0"/>
            <wp:docPr id="62" name="image10.jpg" descr="E:\geologija\2020 MOBIL\STRAIPSNIS\Donkalnis.jpg"/>
            <wp:cNvGraphicFramePr/>
            <a:graphic xmlns:a="http://schemas.openxmlformats.org/drawingml/2006/main">
              <a:graphicData uri="http://schemas.openxmlformats.org/drawingml/2006/picture">
                <pic:pic xmlns:pic="http://schemas.openxmlformats.org/drawingml/2006/picture">
                  <pic:nvPicPr>
                    <pic:cNvPr id="0" name="image10.jpg" descr="E:\geologija\2020 MOBIL\STRAIPSNIS\Donkalnis.jpg"/>
                    <pic:cNvPicPr preferRelativeResize="0"/>
                  </pic:nvPicPr>
                  <pic:blipFill>
                    <a:blip r:embed="rId18"/>
                    <a:srcRect/>
                    <a:stretch>
                      <a:fillRect/>
                    </a:stretch>
                  </pic:blipFill>
                  <pic:spPr>
                    <a:xfrm>
                      <a:off x="0" y="0"/>
                      <a:ext cx="5943600" cy="4320540"/>
                    </a:xfrm>
                    <a:prstGeom prst="rect">
                      <a:avLst/>
                    </a:prstGeom>
                    <a:ln/>
                  </pic:spPr>
                </pic:pic>
              </a:graphicData>
            </a:graphic>
          </wp:inline>
        </w:drawing>
      </w:r>
    </w:p>
    <w:p w14:paraId="006AF86F"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101"/>
          <w:id w:val="438112219"/>
          <w:showingPlcHdr/>
        </w:sdtPr>
        <w:sdtEndPr/>
        <w:sdtContent>
          <w:r>
            <w:t xml:space="preserve">     </w:t>
          </w:r>
        </w:sdtContent>
      </w:sdt>
      <w:sdt>
        <w:sdtPr>
          <w:tag w:val="goog_rdk_102"/>
          <w:id w:val="-1831215555"/>
        </w:sdtPr>
        <w:sdtEndPr/>
        <w:sdtContent>
          <w:r>
            <w:rPr>
              <w:rFonts w:ascii="Times New Roman" w:eastAsia="Times New Roman" w:hAnsi="Times New Roman" w:cs="Times New Roman"/>
              <w:i/>
              <w:sz w:val="20"/>
              <w:szCs w:val="20"/>
            </w:rPr>
            <w:t>7</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intra-tooth variation for</w:t>
      </w:r>
      <w:r>
        <w:rPr>
          <w:rFonts w:ascii="Times New Roman" w:eastAsia="Times New Roman" w:hAnsi="Times New Roman" w:cs="Times New Roman"/>
          <w:i/>
          <w:sz w:val="20"/>
          <w:szCs w:val="20"/>
        </w:rPr>
        <w:t xml:space="preserve"> 11 human individuals from the Donkalnis Mesolithic-Subneolithic cemetery plotted onto a local baseline, which was constructed from data obtained from archaeological animals (shaded in grey; at 2 SD)</w:t>
      </w:r>
    </w:p>
    <w:p w14:paraId="22C96110" w14:textId="77777777" w:rsidR="00073701" w:rsidRDefault="00073701">
      <w:pPr>
        <w:spacing w:after="0" w:line="240" w:lineRule="auto"/>
        <w:jc w:val="both"/>
        <w:rPr>
          <w:rFonts w:ascii="Times New Roman" w:eastAsia="Times New Roman" w:hAnsi="Times New Roman" w:cs="Times New Roman"/>
          <w:i/>
          <w:sz w:val="20"/>
          <w:szCs w:val="20"/>
        </w:rPr>
      </w:pPr>
    </w:p>
    <w:p w14:paraId="229D7922" w14:textId="77777777" w:rsidR="00073701" w:rsidRDefault="00073701">
      <w:pPr>
        <w:spacing w:after="0" w:line="240" w:lineRule="auto"/>
        <w:jc w:val="both"/>
        <w:rPr>
          <w:rFonts w:ascii="Times New Roman" w:eastAsia="Times New Roman" w:hAnsi="Times New Roman" w:cs="Times New Roman"/>
          <w:i/>
          <w:sz w:val="20"/>
          <w:szCs w:val="20"/>
        </w:rPr>
      </w:pPr>
    </w:p>
    <w:p w14:paraId="0E3CD5EC"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lastRenderedPageBreak/>
        <w:drawing>
          <wp:inline distT="0" distB="0" distL="0" distR="0" wp14:anchorId="2B09C645" wp14:editId="31080282">
            <wp:extent cx="6327423" cy="2295719"/>
            <wp:effectExtent l="0" t="0" r="0" b="0"/>
            <wp:docPr id="63" name="image15.jpg" descr="E:\geologija\2020 MOBIL\STRAIPSNIS\Kretuonas.jpg"/>
            <wp:cNvGraphicFramePr/>
            <a:graphic xmlns:a="http://schemas.openxmlformats.org/drawingml/2006/main">
              <a:graphicData uri="http://schemas.openxmlformats.org/drawingml/2006/picture">
                <pic:pic xmlns:pic="http://schemas.openxmlformats.org/drawingml/2006/picture">
                  <pic:nvPicPr>
                    <pic:cNvPr id="0" name="image15.jpg" descr="E:\geologija\2020 MOBIL\STRAIPSNIS\Kretuonas.jpg"/>
                    <pic:cNvPicPr preferRelativeResize="0"/>
                  </pic:nvPicPr>
                  <pic:blipFill>
                    <a:blip r:embed="rId19"/>
                    <a:srcRect/>
                    <a:stretch>
                      <a:fillRect/>
                    </a:stretch>
                  </pic:blipFill>
                  <pic:spPr>
                    <a:xfrm>
                      <a:off x="0" y="0"/>
                      <a:ext cx="6327423" cy="2295719"/>
                    </a:xfrm>
                    <a:prstGeom prst="rect">
                      <a:avLst/>
                    </a:prstGeom>
                    <a:ln/>
                  </pic:spPr>
                </pic:pic>
              </a:graphicData>
            </a:graphic>
          </wp:inline>
        </w:drawing>
      </w:r>
    </w:p>
    <w:p w14:paraId="4EE78248"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103"/>
          <w:id w:val="631369662"/>
          <w:showingPlcHdr/>
        </w:sdtPr>
        <w:sdtEndPr/>
        <w:sdtContent>
          <w:r>
            <w:t xml:space="preserve">     </w:t>
          </w:r>
        </w:sdtContent>
      </w:sdt>
      <w:sdt>
        <w:sdtPr>
          <w:tag w:val="goog_rdk_104"/>
          <w:id w:val="-1276551037"/>
        </w:sdtPr>
        <w:sdtEndPr/>
        <w:sdtContent>
          <w:r>
            <w:rPr>
              <w:rFonts w:ascii="Times New Roman" w:eastAsia="Times New Roman" w:hAnsi="Times New Roman" w:cs="Times New Roman"/>
              <w:i/>
              <w:sz w:val="20"/>
              <w:szCs w:val="20"/>
            </w:rPr>
            <w:t>8</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intra-tooth variation for 12 human individuals from the Kretuonas Subneolithic-Neolithic site plotted onto a local baseline, which was constructed from data obtained from archaeological animals (shaded in grey; at 2 SD)</w:t>
      </w:r>
    </w:p>
    <w:p w14:paraId="227DE78D" w14:textId="77777777" w:rsidR="00073701" w:rsidRDefault="00073701">
      <w:pPr>
        <w:spacing w:after="0" w:line="240" w:lineRule="auto"/>
        <w:jc w:val="both"/>
        <w:rPr>
          <w:rFonts w:ascii="Times New Roman" w:eastAsia="Times New Roman" w:hAnsi="Times New Roman" w:cs="Times New Roman"/>
          <w:i/>
          <w:sz w:val="20"/>
          <w:szCs w:val="20"/>
        </w:rPr>
      </w:pPr>
    </w:p>
    <w:p w14:paraId="5328D0DB"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drawing>
          <wp:inline distT="0" distB="0" distL="0" distR="0" wp14:anchorId="1B550CF8" wp14:editId="28DF5478">
            <wp:extent cx="4242816" cy="3596640"/>
            <wp:effectExtent l="0" t="0" r="0" b="0"/>
            <wp:docPr id="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4242816" cy="3596640"/>
                    </a:xfrm>
                    <a:prstGeom prst="rect">
                      <a:avLst/>
                    </a:prstGeom>
                    <a:ln/>
                  </pic:spPr>
                </pic:pic>
              </a:graphicData>
            </a:graphic>
          </wp:inline>
        </w:drawing>
      </w:r>
    </w:p>
    <w:p w14:paraId="5FE14A15"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Fig. </w:t>
      </w:r>
      <w:sdt>
        <w:sdtPr>
          <w:tag w:val="goog_rdk_105"/>
          <w:id w:val="-497118709"/>
          <w:showingPlcHdr/>
        </w:sdtPr>
        <w:sdtEndPr/>
        <w:sdtContent>
          <w:r>
            <w:t xml:space="preserve">     </w:t>
          </w:r>
        </w:sdtContent>
      </w:sdt>
      <w:sdt>
        <w:sdtPr>
          <w:tag w:val="goog_rdk_106"/>
          <w:id w:val="213242541"/>
        </w:sdtPr>
        <w:sdtEndPr/>
        <w:sdtContent>
          <w:r>
            <w:rPr>
              <w:rFonts w:ascii="Times New Roman" w:eastAsia="Times New Roman" w:hAnsi="Times New Roman" w:cs="Times New Roman"/>
              <w:i/>
              <w:sz w:val="20"/>
              <w:szCs w:val="20"/>
            </w:rPr>
            <w:t>9</w:t>
          </w:r>
        </w:sdtContent>
      </w:sdt>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Sr intra-</w:t>
      </w:r>
      <w:r>
        <w:rPr>
          <w:rFonts w:ascii="Times New Roman" w:eastAsia="Times New Roman" w:hAnsi="Times New Roman" w:cs="Times New Roman"/>
          <w:i/>
          <w:sz w:val="20"/>
          <w:szCs w:val="20"/>
        </w:rPr>
        <w:t>tooth variation for two individuals from the Spiginas Mesolithic-Neolithic cemetery plotted onto a local baseline, which was constructed from data obtained from archaeological animals (shaded in grey; 2 SD)</w:t>
      </w:r>
    </w:p>
    <w:p w14:paraId="60E3F061" w14:textId="77777777" w:rsidR="00073701" w:rsidRDefault="00073701">
      <w:pPr>
        <w:spacing w:after="0" w:line="240" w:lineRule="auto"/>
        <w:jc w:val="both"/>
        <w:rPr>
          <w:rFonts w:ascii="Times New Roman" w:eastAsia="Times New Roman" w:hAnsi="Times New Roman" w:cs="Times New Roman"/>
          <w:b/>
          <w:sz w:val="24"/>
          <w:szCs w:val="24"/>
        </w:rPr>
      </w:pPr>
    </w:p>
    <w:p w14:paraId="23899088"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basis of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intra-tooth variation curves and SD values, which were calculated for each individual from multiple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measurements on the same tooth, we grouped human teeth measurements into four clusters termed here as local sedentary, local relocated, semi-lo</w:t>
      </w:r>
      <w:r>
        <w:rPr>
          <w:rFonts w:ascii="Times New Roman" w:eastAsia="Times New Roman" w:hAnsi="Times New Roman" w:cs="Times New Roman"/>
          <w:sz w:val="24"/>
          <w:szCs w:val="24"/>
        </w:rPr>
        <w:t xml:space="preserve">cal and non-local. Under local sedentary, we assume individuals whose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intra-tooth variation range does not exceed the local baseline and demonstrates low SD up to ±0.00035, i.e. individuals that are likely to have been born locally and did not le</w:t>
      </w:r>
      <w:r>
        <w:rPr>
          <w:rFonts w:ascii="Times New Roman" w:eastAsia="Times New Roman" w:hAnsi="Times New Roman" w:cs="Times New Roman"/>
          <w:sz w:val="24"/>
          <w:szCs w:val="24"/>
        </w:rPr>
        <w:t xml:space="preserve">ave the region during mineralisation of the tooth enamel. Individuals bearing local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but exhibiting significant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intra-tooth variation (SD &gt; ±0.00035) were grouped together as local relocated. They were most likely locally born but change</w:t>
      </w:r>
      <w:r>
        <w:rPr>
          <w:rFonts w:ascii="Times New Roman" w:eastAsia="Times New Roman" w:hAnsi="Times New Roman" w:cs="Times New Roman"/>
          <w:sz w:val="24"/>
          <w:szCs w:val="24"/>
        </w:rPr>
        <w:t>d their place of residence within an analysed region or moved between several areas with overlapping bioavailable</w:t>
      </w:r>
      <w:r>
        <w:rPr>
          <w:rFonts w:ascii="Times New Roman" w:eastAsia="Times New Roman" w:hAnsi="Times New Roman" w:cs="Times New Roman"/>
          <w:sz w:val="24"/>
          <w:szCs w:val="24"/>
          <w:vertAlign w:val="superscript"/>
        </w:rPr>
        <w:t xml:space="preserve"> 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Alternatively, high intra-tooth variation inside of the local </w:t>
      </w:r>
      <w:r>
        <w:rPr>
          <w:rFonts w:ascii="Times New Roman" w:eastAsia="Times New Roman" w:hAnsi="Times New Roman" w:cs="Times New Roman"/>
          <w:sz w:val="24"/>
          <w:szCs w:val="24"/>
        </w:rPr>
        <w:lastRenderedPageBreak/>
        <w:t>baseline range may indicate dietary shifts to seasonally available re</w:t>
      </w:r>
      <w:r>
        <w:rPr>
          <w:rFonts w:ascii="Times New Roman" w:eastAsia="Times New Roman" w:hAnsi="Times New Roman" w:cs="Times New Roman"/>
          <w:sz w:val="24"/>
          <w:szCs w:val="24"/>
        </w:rPr>
        <w:t>sources (e.g. migratory fish or waterfowl) or changes in the place of foraging, fishing or hunting without relocation of a whole group. Under the non-local category, we placed individuals whose all or at least two first measurements are outside of the loca</w:t>
      </w:r>
      <w:r>
        <w:rPr>
          <w:rFonts w:ascii="Times New Roman" w:eastAsia="Times New Roman" w:hAnsi="Times New Roman" w:cs="Times New Roman"/>
          <w:sz w:val="24"/>
          <w:szCs w:val="24"/>
        </w:rPr>
        <w:t>l baseline. They had to be born outside the region of death. Some of these people had already moved into the local region during mineralisation of the analysed tooth throughout their childhood (e.g. Kretuonas 1B grave 2) but some did so later as is shown b</w:t>
      </w:r>
      <w:r>
        <w:rPr>
          <w:rFonts w:ascii="Times New Roman" w:eastAsia="Times New Roman" w:hAnsi="Times New Roman" w:cs="Times New Roman"/>
          <w:sz w:val="24"/>
          <w:szCs w:val="24"/>
        </w:rPr>
        <w:t xml:space="preserve">y their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intra-tooth variation curves. The final group is semi-locals. In this case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the oldest part of the enamel (tooth crown) is within the local baseline. However, subsequent measurements exceed the local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range. This impl</w:t>
      </w:r>
      <w:r>
        <w:rPr>
          <w:rFonts w:ascii="Times New Roman" w:eastAsia="Times New Roman" w:hAnsi="Times New Roman" w:cs="Times New Roman"/>
          <w:sz w:val="24"/>
          <w:szCs w:val="24"/>
        </w:rPr>
        <w:t xml:space="preserve">ies that these individuals were most likely born locally but during childhood they changed their place of residence, entering an area with different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w:t>
      </w:r>
    </w:p>
    <w:p w14:paraId="6F7A7C55" w14:textId="77777777" w:rsidR="00073701" w:rsidRDefault="00073701">
      <w:pPr>
        <w:spacing w:after="0" w:line="240" w:lineRule="auto"/>
        <w:jc w:val="both"/>
        <w:rPr>
          <w:rFonts w:ascii="Times New Roman" w:eastAsia="Times New Roman" w:hAnsi="Times New Roman" w:cs="Times New Roman"/>
          <w:sz w:val="24"/>
          <w:szCs w:val="24"/>
        </w:rPr>
      </w:pPr>
    </w:p>
    <w:p w14:paraId="4900BB4B" w14:textId="77777777" w:rsidR="00073701" w:rsidRDefault="00C87DCB">
      <w:pPr>
        <w:spacing w:after="0" w:line="240" w:lineRule="auto"/>
        <w:jc w:val="center"/>
        <w:rPr>
          <w:rFonts w:ascii="Times New Roman" w:eastAsia="Times New Roman" w:hAnsi="Times New Roman" w:cs="Times New Roman"/>
          <w:i/>
          <w:sz w:val="20"/>
          <w:szCs w:val="20"/>
        </w:rPr>
      </w:pPr>
      <w:sdt>
        <w:sdtPr>
          <w:tag w:val="goog_rdk_108"/>
          <w:id w:val="-1494485219"/>
          <w:showingPlcHdr/>
        </w:sdtPr>
        <w:sdtEndPr/>
        <w:sdtContent>
          <w:r>
            <w:t xml:space="preserve">     </w:t>
          </w:r>
        </w:sdtContent>
      </w:sdt>
    </w:p>
    <w:sdt>
      <w:sdtPr>
        <w:tag w:val="goog_rdk_110"/>
        <w:id w:val="-1790425364"/>
      </w:sdtPr>
      <w:sdtEndPr/>
      <w:sdtContent>
        <w:p w14:paraId="3C1E142C" w14:textId="77777777" w:rsidR="00073701" w:rsidRDefault="00C87DCB">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lang w:val="en-US"/>
            </w:rPr>
            <w:drawing>
              <wp:inline distT="114300" distB="114300" distL="114300" distR="114300" wp14:anchorId="1AB85949" wp14:editId="2D460942">
                <wp:extent cx="5062057" cy="4163815"/>
                <wp:effectExtent l="0" t="0" r="0" b="0"/>
                <wp:docPr id="6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5062057" cy="4163815"/>
                        </a:xfrm>
                        <a:prstGeom prst="rect">
                          <a:avLst/>
                        </a:prstGeom>
                        <a:ln/>
                      </pic:spPr>
                    </pic:pic>
                  </a:graphicData>
                </a:graphic>
              </wp:inline>
            </w:drawing>
          </w:r>
          <w:sdt>
            <w:sdtPr>
              <w:tag w:val="goog_rdk_109"/>
              <w:id w:val="-1919244701"/>
            </w:sdtPr>
            <w:sdtEndPr/>
            <w:sdtContent/>
          </w:sdt>
        </w:p>
      </w:sdtContent>
    </w:sdt>
    <w:p w14:paraId="68F8B359"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w:t>
      </w:r>
      <w:sdt>
        <w:sdtPr>
          <w:tag w:val="goog_rdk_111"/>
          <w:id w:val="621729532"/>
        </w:sdtPr>
        <w:sdtEndPr/>
        <w:sdtContent>
          <w:r>
            <w:rPr>
              <w:rFonts w:ascii="Times New Roman" w:eastAsia="Times New Roman" w:hAnsi="Times New Roman" w:cs="Times New Roman"/>
              <w:i/>
              <w:sz w:val="20"/>
              <w:szCs w:val="20"/>
            </w:rPr>
            <w:t>.</w:t>
          </w:r>
        </w:sdtContent>
      </w:sdt>
      <w:r>
        <w:rPr>
          <w:rFonts w:ascii="Times New Roman" w:eastAsia="Times New Roman" w:hAnsi="Times New Roman" w:cs="Times New Roman"/>
          <w:i/>
          <w:sz w:val="20"/>
          <w:szCs w:val="20"/>
        </w:rPr>
        <w:t xml:space="preserve"> </w:t>
      </w:r>
      <w:sdt>
        <w:sdtPr>
          <w:tag w:val="goog_rdk_112"/>
          <w:id w:val="-649977566"/>
          <w:showingPlcHdr/>
        </w:sdtPr>
        <w:sdtEndPr/>
        <w:sdtContent>
          <w:r>
            <w:t xml:space="preserve">     </w:t>
          </w:r>
        </w:sdtContent>
      </w:sdt>
      <w:sdt>
        <w:sdtPr>
          <w:tag w:val="goog_rdk_113"/>
          <w:id w:val="1433243189"/>
        </w:sdtPr>
        <w:sdtEndPr/>
        <w:sdtContent>
          <w:r>
            <w:rPr>
              <w:rFonts w:ascii="Times New Roman" w:eastAsia="Times New Roman" w:hAnsi="Times New Roman" w:cs="Times New Roman"/>
              <w:i/>
              <w:sz w:val="20"/>
              <w:szCs w:val="20"/>
            </w:rPr>
            <w:t>10</w:t>
          </w:r>
        </w:sdtContent>
      </w:sdt>
      <w:r>
        <w:rPr>
          <w:rFonts w:ascii="Times New Roman" w:eastAsia="Times New Roman" w:hAnsi="Times New Roman" w:cs="Times New Roman"/>
          <w:i/>
          <w:sz w:val="20"/>
          <w:szCs w:val="20"/>
        </w:rPr>
        <w:t xml:space="preserve">. </w:t>
      </w:r>
      <w:sdt>
        <w:sdtPr>
          <w:tag w:val="goog_rdk_114"/>
          <w:id w:val="-40133050"/>
        </w:sdtPr>
        <w:sdtEndPr/>
        <w:sdtContent>
          <w:r>
            <w:rPr>
              <w:rFonts w:ascii="Times New Roman" w:eastAsia="Times New Roman" w:hAnsi="Times New Roman" w:cs="Times New Roman"/>
              <w:i/>
              <w:sz w:val="20"/>
              <w:szCs w:val="20"/>
              <w:vertAlign w:val="superscript"/>
            </w:rPr>
            <w:t>87</w:t>
          </w:r>
          <w:r>
            <w:rPr>
              <w:rFonts w:ascii="Times New Roman" w:eastAsia="Times New Roman" w:hAnsi="Times New Roman" w:cs="Times New Roman"/>
              <w:i/>
              <w:sz w:val="20"/>
              <w:szCs w:val="20"/>
            </w:rPr>
            <w:t>Sr/</w:t>
          </w:r>
          <w:r>
            <w:rPr>
              <w:rFonts w:ascii="Times New Roman" w:eastAsia="Times New Roman" w:hAnsi="Times New Roman" w:cs="Times New Roman"/>
              <w:i/>
              <w:sz w:val="20"/>
              <w:szCs w:val="20"/>
              <w:vertAlign w:val="superscript"/>
            </w:rPr>
            <w:t>86</w:t>
          </w:r>
          <w:r>
            <w:rPr>
              <w:rFonts w:ascii="Times New Roman" w:eastAsia="Times New Roman" w:hAnsi="Times New Roman" w:cs="Times New Roman"/>
              <w:i/>
              <w:sz w:val="20"/>
              <w:szCs w:val="20"/>
            </w:rPr>
            <w:t xml:space="preserve">Sr intra-tooth variation SDs estimated for different prehistoric periods and </w:t>
          </w:r>
        </w:sdtContent>
      </w:sdt>
      <w:sdt>
        <w:sdtPr>
          <w:tag w:val="goog_rdk_115"/>
          <w:id w:val="1242837769"/>
          <w:showingPlcHdr/>
        </w:sdtPr>
        <w:sdtEndPr/>
        <w:sdtContent>
          <w:r>
            <w:t xml:space="preserve">     </w:t>
          </w:r>
        </w:sdtContent>
      </w:sdt>
      <w:sdt>
        <w:sdtPr>
          <w:tag w:val="goog_rdk_116"/>
          <w:id w:val="575560659"/>
        </w:sdtPr>
        <w:sdtEndPr/>
        <w:sdtContent>
          <w:r>
            <w:rPr>
              <w:rFonts w:ascii="Times New Roman" w:eastAsia="Times New Roman" w:hAnsi="Times New Roman" w:cs="Times New Roman"/>
              <w:i/>
              <w:sz w:val="20"/>
              <w:szCs w:val="20"/>
            </w:rPr>
            <w:t xml:space="preserve">mobility </w:t>
          </w:r>
        </w:sdtContent>
      </w:sdt>
      <w:r>
        <w:rPr>
          <w:rFonts w:ascii="Times New Roman" w:eastAsia="Times New Roman" w:hAnsi="Times New Roman" w:cs="Times New Roman"/>
          <w:i/>
          <w:sz w:val="20"/>
          <w:szCs w:val="20"/>
        </w:rPr>
        <w:t xml:space="preserve">patterns revealed by strontium isotope ratios </w:t>
      </w:r>
      <w:sdt>
        <w:sdtPr>
          <w:tag w:val="goog_rdk_117"/>
          <w:id w:val="-102037042"/>
          <w:showingPlcHdr/>
        </w:sdtPr>
        <w:sdtEndPr/>
        <w:sdtContent>
          <w:r>
            <w:t xml:space="preserve">     </w:t>
          </w:r>
        </w:sdtContent>
      </w:sdt>
      <w:r>
        <w:rPr>
          <w:rFonts w:ascii="Times New Roman" w:eastAsia="Times New Roman" w:hAnsi="Times New Roman" w:cs="Times New Roman"/>
          <w:i/>
          <w:sz w:val="20"/>
          <w:szCs w:val="20"/>
        </w:rPr>
        <w:t>in Lithuania.</w:t>
      </w:r>
    </w:p>
    <w:p w14:paraId="28055598"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Four individuals supposedly dating to the Subneolithic-Neo</w:t>
      </w:r>
      <w:r>
        <w:rPr>
          <w:rFonts w:ascii="Times New Roman" w:eastAsia="Times New Roman" w:hAnsi="Times New Roman" w:cs="Times New Roman"/>
          <w:i/>
          <w:sz w:val="20"/>
          <w:szCs w:val="20"/>
        </w:rPr>
        <w:t>lithic were attributed to the Subneolithic here.</w:t>
      </w:r>
    </w:p>
    <w:p w14:paraId="6FB17026" w14:textId="77777777" w:rsidR="00073701" w:rsidRDefault="00C87DCB">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Data for the Roman and Migration periods (ca. 1-600 cal AD)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0"/>
          <w:szCs w:val="20"/>
        </w:rPr>
        <w:t>of the Iron Age are from Kurila et al. (in prep)</w:t>
      </w:r>
    </w:p>
    <w:p w14:paraId="05284A09" w14:textId="77777777" w:rsidR="00073701" w:rsidRDefault="00073701">
      <w:pPr>
        <w:spacing w:after="0" w:line="240" w:lineRule="auto"/>
        <w:jc w:val="both"/>
        <w:rPr>
          <w:rFonts w:ascii="Times New Roman" w:eastAsia="Times New Roman" w:hAnsi="Times New Roman" w:cs="Times New Roman"/>
          <w:sz w:val="24"/>
          <w:szCs w:val="24"/>
        </w:rPr>
      </w:pPr>
    </w:p>
    <w:p w14:paraId="75ACE1D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reveal trends in mobility patterns during the Stone and Bronze Ages, we estimated the percentages of local sedentary, local relocated, semi-local and non-local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intra-tooth values for the Late Mesolithic (ca. 7000-5000 cal BC), the Sub</w:t>
      </w:r>
      <w:r>
        <w:rPr>
          <w:rFonts w:ascii="Times New Roman" w:eastAsia="Times New Roman" w:hAnsi="Times New Roman" w:cs="Times New Roman"/>
          <w:sz w:val="24"/>
          <w:szCs w:val="24"/>
        </w:rPr>
        <w:t>neolithic (ca. 5000-2900 cal BC), the Neolithic (ca. 2900-1800 cal BC), and the Bronze Age (ca. 1800-500 cal BC) periods (Fig. 1</w:t>
      </w:r>
      <w:sdt>
        <w:sdtPr>
          <w:tag w:val="goog_rdk_118"/>
          <w:id w:val="1611016353"/>
        </w:sdtPr>
        <w:sdtEndPr/>
        <w:sdtContent>
          <w:r>
            <w:rPr>
              <w:rFonts w:ascii="Times New Roman" w:eastAsia="Times New Roman" w:hAnsi="Times New Roman" w:cs="Times New Roman"/>
              <w:sz w:val="24"/>
              <w:szCs w:val="24"/>
            </w:rPr>
            <w:t>0</w:t>
          </w:r>
        </w:sdtContent>
      </w:sdt>
      <w:sdt>
        <w:sdtPr>
          <w:tag w:val="goog_rdk_119"/>
          <w:id w:val="166529728"/>
          <w:showingPlcHdr/>
        </w:sdtPr>
        <w:sdtEndPr/>
        <w:sdtContent>
          <w:r>
            <w:t xml:space="preserve">     </w:t>
          </w:r>
        </w:sdtContent>
      </w:sdt>
      <w:r>
        <w:rPr>
          <w:rFonts w:ascii="Times New Roman" w:eastAsia="Times New Roman" w:hAnsi="Times New Roman" w:cs="Times New Roman"/>
          <w:sz w:val="24"/>
          <w:szCs w:val="24"/>
        </w:rPr>
        <w:t>). Not surprisingly, likely locally born individuals, classified as local relocated, local sedentary or semi-local, made t</w:t>
      </w:r>
      <w:r>
        <w:rPr>
          <w:rFonts w:ascii="Times New Roman" w:eastAsia="Times New Roman" w:hAnsi="Times New Roman" w:cs="Times New Roman"/>
          <w:sz w:val="24"/>
          <w:szCs w:val="24"/>
        </w:rPr>
        <w:t>he core of the population (50-75%) during all periods. Non-locals made up a substantial part (25-50%) of the Stone and Bronze Age individuals. An increase of non-locals during the Subneolithic (33%) and the Bronze Age (50%) periods compared to the Mesolith</w:t>
      </w:r>
      <w:r>
        <w:rPr>
          <w:rFonts w:ascii="Times New Roman" w:eastAsia="Times New Roman" w:hAnsi="Times New Roman" w:cs="Times New Roman"/>
          <w:sz w:val="24"/>
          <w:szCs w:val="24"/>
        </w:rPr>
        <w:t xml:space="preserve">ic (25%) and the Neolithic (25%) periods was present. However, this overrepresentation may be due </w:t>
      </w:r>
      <w:r>
        <w:rPr>
          <w:rFonts w:ascii="Times New Roman" w:eastAsia="Times New Roman" w:hAnsi="Times New Roman" w:cs="Times New Roman"/>
          <w:sz w:val="24"/>
          <w:szCs w:val="24"/>
        </w:rPr>
        <w:lastRenderedPageBreak/>
        <w:t xml:space="preserve">to the very low number of sampled individuals from the Mesolithic, Neolithic and Bronze Age periods and also due to the very likely sacrificial nature of the </w:t>
      </w:r>
      <w:r>
        <w:rPr>
          <w:rFonts w:ascii="Times New Roman" w:eastAsia="Times New Roman" w:hAnsi="Times New Roman" w:cs="Times New Roman"/>
          <w:sz w:val="24"/>
          <w:szCs w:val="24"/>
        </w:rPr>
        <w:t xml:space="preserve">Turlojiškė Late Bronze Age site. We should also wish to point out that in many areas of Lithuania the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values overlap at 0.7140-0.7160 (Fig. </w:t>
      </w:r>
      <w:sdt>
        <w:sdtPr>
          <w:tag w:val="goog_rdk_120"/>
          <w:id w:val="-994174197"/>
          <w:showingPlcHdr/>
        </w:sdtPr>
        <w:sdtEndPr/>
        <w:sdtContent>
          <w:r>
            <w:t xml:space="preserve">     </w:t>
          </w:r>
        </w:sdtContent>
      </w:sdt>
      <w:sdt>
        <w:sdtPr>
          <w:tag w:val="goog_rdk_121"/>
          <w:id w:val="-973665820"/>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This range could also be expected for neighbouring countries with similar geology. F</w:t>
      </w:r>
      <w:r>
        <w:rPr>
          <w:rFonts w:ascii="Times New Roman" w:eastAsia="Times New Roman" w:hAnsi="Times New Roman" w:cs="Times New Roman"/>
          <w:sz w:val="24"/>
          <w:szCs w:val="24"/>
        </w:rPr>
        <w:t xml:space="preserve">urthermore, it has been estimated that more than 90% of the terrestrial samples throughout the world have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that fall within the range of 0.7060 and 0.7200 (Bataille et al. 2020). Overlapping baselines across large areas reduce the possibility of i</w:t>
      </w:r>
      <w:r>
        <w:rPr>
          <w:rFonts w:ascii="Times New Roman" w:eastAsia="Times New Roman" w:hAnsi="Times New Roman" w:cs="Times New Roman"/>
          <w:sz w:val="24"/>
          <w:szCs w:val="24"/>
        </w:rPr>
        <w:t xml:space="preserve">dentifying non-locals via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analysis. Therefore, we should consider 25-50% non-locals as a minimum value.</w:t>
      </w:r>
    </w:p>
    <w:p w14:paraId="04617D4E" w14:textId="77777777" w:rsidR="00073701" w:rsidRDefault="00073701">
      <w:pPr>
        <w:spacing w:after="0" w:line="240" w:lineRule="auto"/>
        <w:jc w:val="both"/>
        <w:rPr>
          <w:rFonts w:ascii="Times New Roman" w:eastAsia="Times New Roman" w:hAnsi="Times New Roman" w:cs="Times New Roman"/>
          <w:sz w:val="24"/>
          <w:szCs w:val="24"/>
        </w:rPr>
      </w:pPr>
    </w:p>
    <w:p w14:paraId="2B10DECC" w14:textId="77777777" w:rsidR="00073701" w:rsidRDefault="00C87DCB">
      <w:pPr>
        <w:pBdr>
          <w:top w:val="nil"/>
          <w:left w:val="nil"/>
          <w:bottom w:val="nil"/>
          <w:right w:val="nil"/>
          <w:between w:val="nil"/>
        </w:pBdr>
        <w:spacing w:line="240" w:lineRule="auto"/>
        <w:jc w:val="both"/>
        <w:rPr>
          <w:color w:val="000000"/>
          <w:sz w:val="20"/>
          <w:szCs w:val="20"/>
        </w:rPr>
      </w:pPr>
      <w:r>
        <w:rPr>
          <w:rFonts w:ascii="Times New Roman" w:eastAsia="Times New Roman" w:hAnsi="Times New Roman" w:cs="Times New Roman"/>
          <w:color w:val="000000"/>
          <w:sz w:val="24"/>
          <w:szCs w:val="24"/>
        </w:rPr>
        <w:t xml:space="preserve">Profound, and in many cases cyclic, variation in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intra-tooth values in an individual is classified by us as a local relocated or semi-local individual, suggesting seasonal mobility to be a common phenomenon. This was identified in the Mesolithic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Subneolithic and </w:t>
      </w:r>
      <w:r>
        <w:rPr>
          <w:rFonts w:ascii="Times New Roman" w:eastAsia="Times New Roman" w:hAnsi="Times New Roman" w:cs="Times New Roman"/>
          <w:sz w:val="24"/>
          <w:szCs w:val="24"/>
        </w:rPr>
        <w:t>Neolithic</w:t>
      </w:r>
      <w:r>
        <w:rPr>
          <w:rFonts w:ascii="Times New Roman" w:eastAsia="Times New Roman" w:hAnsi="Times New Roman" w:cs="Times New Roman"/>
          <w:color w:val="000000"/>
          <w:sz w:val="24"/>
          <w:szCs w:val="24"/>
        </w:rPr>
        <w:t xml:space="preserve"> individuals, and perhaps som</w:t>
      </w:r>
      <w:r>
        <w:rPr>
          <w:rFonts w:ascii="Times New Roman" w:eastAsia="Times New Roman" w:hAnsi="Times New Roman" w:cs="Times New Roman"/>
          <w:color w:val="000000"/>
          <w:sz w:val="24"/>
          <w:szCs w:val="24"/>
        </w:rPr>
        <w:t>e of the Bronze Age individuals. This finding fits well with the mixed-type economy recently proposed for the southeastern Baltic population during the Neolithic and the Early Bronze periods, based on carbon and nitrogen stable isotope data, organic residu</w:t>
      </w:r>
      <w:r>
        <w:rPr>
          <w:rFonts w:ascii="Times New Roman" w:eastAsia="Times New Roman" w:hAnsi="Times New Roman" w:cs="Times New Roman"/>
          <w:color w:val="000000"/>
          <w:sz w:val="24"/>
          <w:szCs w:val="24"/>
        </w:rPr>
        <w:t>e analysis of ceramic vessels, and recent macrobotanical analyses (</w:t>
      </w:r>
      <w:r>
        <w:rPr>
          <w:rFonts w:ascii="Times New Roman" w:eastAsia="Times New Roman" w:hAnsi="Times New Roman" w:cs="Times New Roman"/>
          <w:sz w:val="24"/>
          <w:szCs w:val="24"/>
        </w:rPr>
        <w:t xml:space="preserve">Piličiauskas et al. 2017a, 2020, 2021; </w:t>
      </w:r>
      <w:r>
        <w:rPr>
          <w:rFonts w:ascii="Times New Roman" w:eastAsia="Times New Roman" w:hAnsi="Times New Roman" w:cs="Times New Roman"/>
          <w:color w:val="000000"/>
          <w:sz w:val="24"/>
          <w:szCs w:val="24"/>
        </w:rPr>
        <w:t xml:space="preserve">Robson et al. 2019). It seems that mobile stockbreeding and extensive barley farming was supplemented by the continued exploitation of wild resources </w:t>
      </w:r>
      <w:r>
        <w:rPr>
          <w:rFonts w:ascii="Times New Roman" w:eastAsia="Times New Roman" w:hAnsi="Times New Roman" w:cs="Times New Roman"/>
          <w:color w:val="000000"/>
          <w:sz w:val="24"/>
          <w:szCs w:val="24"/>
        </w:rPr>
        <w:t>for s</w:t>
      </w:r>
      <w:r>
        <w:rPr>
          <w:rFonts w:ascii="Times New Roman" w:eastAsia="Times New Roman" w:hAnsi="Times New Roman" w:cs="Times New Roman"/>
          <w:sz w:val="24"/>
          <w:szCs w:val="24"/>
        </w:rPr>
        <w:t>ome time</w:t>
      </w:r>
      <w:r>
        <w:rPr>
          <w:rFonts w:ascii="Times New Roman" w:eastAsia="Times New Roman" w:hAnsi="Times New Roman" w:cs="Times New Roman"/>
          <w:color w:val="000000"/>
          <w:sz w:val="24"/>
          <w:szCs w:val="24"/>
        </w:rPr>
        <w:t xml:space="preserve">. Strontium isotopic data from Turlojiškė argues for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continuation of a mobile way of life and perhaps also extensive farming into the Late Bronze Age, despite evidence for intensive farming around fortified settlements (Minkevičius et al. </w:t>
      </w:r>
      <w:r>
        <w:rPr>
          <w:rFonts w:ascii="Times New Roman" w:eastAsia="Times New Roman" w:hAnsi="Times New Roman" w:cs="Times New Roman"/>
          <w:color w:val="000000"/>
          <w:sz w:val="24"/>
          <w:szCs w:val="24"/>
        </w:rPr>
        <w:t xml:space="preserve">2020). Our interpretation of the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values of the Turlojiškė humans may, however, be incorrect (i.e. evidence for increasing mobility) due to the sacrificial nature of the site. Nevertheless, it seems that several types of economies involving differ</w:t>
      </w:r>
      <w:r>
        <w:rPr>
          <w:rFonts w:ascii="Times New Roman" w:eastAsia="Times New Roman" w:hAnsi="Times New Roman" w:cs="Times New Roman"/>
          <w:color w:val="000000"/>
          <w:sz w:val="24"/>
          <w:szCs w:val="24"/>
        </w:rPr>
        <w:t xml:space="preserve">ent degrees of sedentism are likely to have coexisted </w:t>
      </w:r>
      <w:r>
        <w:rPr>
          <w:rFonts w:ascii="Times New Roman" w:eastAsia="Times New Roman" w:hAnsi="Times New Roman" w:cs="Times New Roman"/>
          <w:sz w:val="24"/>
          <w:szCs w:val="24"/>
        </w:rPr>
        <w:t>in the southeastern Baltic</w:t>
      </w:r>
      <w:r>
        <w:rPr>
          <w:rFonts w:ascii="Times New Roman" w:eastAsia="Times New Roman" w:hAnsi="Times New Roman" w:cs="Times New Roman"/>
          <w:color w:val="000000"/>
          <w:sz w:val="24"/>
          <w:szCs w:val="24"/>
        </w:rPr>
        <w:t xml:space="preserve"> during the Bronze Age. Sedentary populations may have ploughed permanent fields and practised manuring in the vicinity of the fortified settlements. However, further away from</w:t>
      </w:r>
      <w:r>
        <w:rPr>
          <w:rFonts w:ascii="Times New Roman" w:eastAsia="Times New Roman" w:hAnsi="Times New Roman" w:cs="Times New Roman"/>
          <w:color w:val="000000"/>
          <w:sz w:val="24"/>
          <w:szCs w:val="24"/>
        </w:rPr>
        <w:t xml:space="preserve"> the local centres, in forested areas, semi-nomadic communities may have </w:t>
      </w:r>
      <w:r>
        <w:rPr>
          <w:rFonts w:ascii="Times New Roman" w:eastAsia="Times New Roman" w:hAnsi="Times New Roman" w:cs="Times New Roman"/>
          <w:sz w:val="24"/>
          <w:szCs w:val="24"/>
        </w:rPr>
        <w:t>practised</w:t>
      </w:r>
      <w:r>
        <w:rPr>
          <w:rFonts w:ascii="Times New Roman" w:eastAsia="Times New Roman" w:hAnsi="Times New Roman" w:cs="Times New Roman"/>
          <w:color w:val="000000"/>
          <w:sz w:val="24"/>
          <w:szCs w:val="24"/>
        </w:rPr>
        <w:t xml:space="preserve"> slash-and-burn agriculture.</w:t>
      </w:r>
    </w:p>
    <w:p w14:paraId="413FFA32" w14:textId="77777777" w:rsidR="00073701" w:rsidRDefault="00C87DCB">
      <w:pPr>
        <w:spacing w:after="0" w:line="240" w:lineRule="auto"/>
        <w:jc w:val="both"/>
        <w:rPr>
          <w:rFonts w:ascii="Times New Roman" w:eastAsia="Times New Roman" w:hAnsi="Times New Roman" w:cs="Times New Roman"/>
          <w:sz w:val="24"/>
          <w:szCs w:val="24"/>
        </w:rPr>
      </w:pPr>
      <w:sdt>
        <w:sdtPr>
          <w:tag w:val="goog_rdk_124"/>
          <w:id w:val="494460162"/>
        </w:sdtPr>
        <w:sdtEndPr/>
        <w:sdtContent>
          <w:sdt>
            <w:sdtPr>
              <w:tag w:val="goog_rdk_123"/>
              <w:id w:val="-1193988474"/>
            </w:sdtPr>
            <w:sdtEndPr/>
            <w:sdtContent/>
          </w:sdt>
        </w:sdtContent>
      </w:sdt>
      <w:sdt>
        <w:sdtPr>
          <w:tag w:val="goog_rdk_126"/>
          <w:id w:val="1596140052"/>
        </w:sdtPr>
        <w:sdtEndPr/>
        <w:sdtContent>
          <w:sdt>
            <w:sdtPr>
              <w:tag w:val="goog_rdk_125"/>
              <w:id w:val="72246690"/>
              <w:showingPlcHdr/>
            </w:sdtPr>
            <w:sdtEndPr/>
            <w:sdtContent>
              <w:r>
                <w:t xml:space="preserve">     </w:t>
              </w:r>
            </w:sdtContent>
          </w:sdt>
        </w:sdtContent>
      </w:sdt>
      <w:sdt>
        <w:sdtPr>
          <w:tag w:val="goog_rdk_128"/>
          <w:id w:val="1604450316"/>
        </w:sdtPr>
        <w:sdtEndPr/>
        <w:sdtContent>
          <w:sdt>
            <w:sdtPr>
              <w:tag w:val="goog_rdk_127"/>
              <w:id w:val="-2043198055"/>
              <w:showingPlcHdr/>
            </w:sdtPr>
            <w:sdtEndPr/>
            <w:sdtContent>
              <w:r>
                <w:t xml:space="preserve">     </w:t>
              </w:r>
            </w:sdtContent>
          </w:sdt>
        </w:sdtContent>
      </w:sdt>
      <w:sdt>
        <w:sdtPr>
          <w:tag w:val="goog_rdk_130"/>
          <w:id w:val="626359394"/>
        </w:sdtPr>
        <w:sdtEndPr/>
        <w:sdtContent>
          <w:sdt>
            <w:sdtPr>
              <w:tag w:val="goog_rdk_129"/>
              <w:id w:val="1578405651"/>
            </w:sdtPr>
            <w:sdtEndPr/>
            <w:sdtContent/>
          </w:sdt>
        </w:sdtContent>
      </w:sdt>
      <w:r>
        <w:rPr>
          <w:rFonts w:ascii="Times New Roman" w:eastAsia="Times New Roman" w:hAnsi="Times New Roman" w:cs="Times New Roman"/>
          <w:sz w:val="24"/>
          <w:szCs w:val="24"/>
        </w:rPr>
        <w:t xml:space="preserve">We demonstrate that under conditions of similar geology, in this case glacial and proglacial surface deposits,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standard deviations ma</w:t>
      </w:r>
      <w:r>
        <w:rPr>
          <w:rFonts w:ascii="Times New Roman" w:eastAsia="Times New Roman" w:hAnsi="Times New Roman" w:cs="Times New Roman"/>
          <w:sz w:val="24"/>
          <w:szCs w:val="24"/>
        </w:rPr>
        <w:t xml:space="preserve">y be used as proxy data for ascertaining the degree of mobility among prehistoric communities. We averaged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standard deviations for five prehistoric periods, Mesolithic, Subneolithic, Neolithic, Bronze Age, and Iron Age (Fig. </w:t>
      </w:r>
      <w:sdt>
        <w:sdtPr>
          <w:tag w:val="goog_rdk_131"/>
          <w:id w:val="710085177"/>
          <w:showingPlcHdr/>
        </w:sdtPr>
        <w:sdtEndPr/>
        <w:sdtContent>
          <w:r>
            <w:t xml:space="preserve">     </w:t>
          </w:r>
        </w:sdtContent>
      </w:sdt>
      <w:sdt>
        <w:sdtPr>
          <w:tag w:val="goog_rdk_132"/>
          <w:id w:val="1751304526"/>
        </w:sdtPr>
        <w:sdtEndPr/>
        <w:sdtContent>
          <w:r>
            <w:rPr>
              <w:rFonts w:ascii="Times New Roman" w:eastAsia="Times New Roman" w:hAnsi="Times New Roman" w:cs="Times New Roman"/>
              <w:sz w:val="24"/>
              <w:szCs w:val="24"/>
            </w:rPr>
            <w:t>10</w:t>
          </w:r>
        </w:sdtContent>
      </w:sdt>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found that the beginning of pottery technology at ca. 5000 cal BC did not reduce the mobility of hunter-gatherers in Lithuania. Furthermore, decreasing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variation from the Neolithic to the Iron Age is in agreement with the introdu</w:t>
      </w:r>
      <w:r>
        <w:rPr>
          <w:rFonts w:ascii="Times New Roman" w:eastAsia="Times New Roman" w:hAnsi="Times New Roman" w:cs="Times New Roman"/>
          <w:sz w:val="24"/>
          <w:szCs w:val="24"/>
        </w:rPr>
        <w:t>ction and subsequent slow and long-lasting intensification of farming and transition to a more sedentary way of life.</w:t>
      </w:r>
    </w:p>
    <w:p w14:paraId="4E6E31F2" w14:textId="77777777" w:rsidR="00073701" w:rsidRDefault="00073701">
      <w:pPr>
        <w:spacing w:after="0" w:line="240" w:lineRule="auto"/>
        <w:jc w:val="both"/>
        <w:rPr>
          <w:rFonts w:ascii="Times New Roman" w:eastAsia="Times New Roman" w:hAnsi="Times New Roman" w:cs="Times New Roman"/>
          <w:sz w:val="24"/>
          <w:szCs w:val="24"/>
        </w:rPr>
      </w:pPr>
    </w:p>
    <w:p w14:paraId="747EEC5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analysis, Stone Age year-round settlements may only have existed on the Baltic coast in Lithuania. At the coastal Šventoji sites, five of the seven Subneolithic individuals had a very low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intra-tooth variation with standard deviations between </w:t>
      </w:r>
      <w:r>
        <w:rPr>
          <w:rFonts w:ascii="Times New Roman" w:eastAsia="Times New Roman" w:hAnsi="Times New Roman" w:cs="Times New Roman"/>
          <w:sz w:val="24"/>
          <w:szCs w:val="24"/>
        </w:rPr>
        <w:t xml:space="preserve">0.0002 and 0.0003. Here, very rich marine and lagoonal food resources were available (Piličiauskas et al. 2017b). However, neither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within the local baseline nor the very low intra-tooth variation curves contradict the hypothesis that c</w:t>
      </w:r>
      <w:r>
        <w:rPr>
          <w:rFonts w:ascii="Times New Roman" w:eastAsia="Times New Roman" w:hAnsi="Times New Roman" w:cs="Times New Roman"/>
          <w:sz w:val="24"/>
          <w:szCs w:val="24"/>
        </w:rPr>
        <w:t xml:space="preserve">oastal fishers moved up and down the Baltic coast. Further, it is interesting to note that none of the inland Stone or Bronze Age individuals showed intra-tooth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standard deviations below 0.0004. Such low variation only reappears during the Iron A</w:t>
      </w:r>
      <w:r>
        <w:rPr>
          <w:rFonts w:ascii="Times New Roman" w:eastAsia="Times New Roman" w:hAnsi="Times New Roman" w:cs="Times New Roman"/>
          <w:sz w:val="24"/>
          <w:szCs w:val="24"/>
        </w:rPr>
        <w:t xml:space="preserve">ge (Fig. </w:t>
      </w:r>
      <w:sdt>
        <w:sdtPr>
          <w:tag w:val="goog_rdk_133"/>
          <w:id w:val="452069139"/>
          <w:showingPlcHdr/>
        </w:sdtPr>
        <w:sdtEndPr/>
        <w:sdtContent>
          <w:r>
            <w:t xml:space="preserve">     </w:t>
          </w:r>
        </w:sdtContent>
      </w:sdt>
      <w:sdt>
        <w:sdtPr>
          <w:tag w:val="goog_rdk_134"/>
          <w:id w:val="-1580364211"/>
        </w:sdtPr>
        <w:sdtEndPr/>
        <w:sdtContent>
          <w:r>
            <w:rPr>
              <w:rFonts w:ascii="Times New Roman" w:eastAsia="Times New Roman" w:hAnsi="Times New Roman" w:cs="Times New Roman"/>
              <w:sz w:val="24"/>
              <w:szCs w:val="24"/>
            </w:rPr>
            <w:t>10</w:t>
          </w:r>
        </w:sdtContent>
      </w:sdt>
      <w:r>
        <w:rPr>
          <w:rFonts w:ascii="Times New Roman" w:eastAsia="Times New Roman" w:hAnsi="Times New Roman" w:cs="Times New Roman"/>
          <w:sz w:val="24"/>
          <w:szCs w:val="24"/>
        </w:rPr>
        <w:t>), which may be connected with the intensification of agriculture, in connection to the introduction of iron tools, at the beginning of the Roman Period (Michelbertas 1986).</w:t>
      </w:r>
    </w:p>
    <w:p w14:paraId="443D1D12" w14:textId="77777777" w:rsidR="00073701" w:rsidRDefault="00073701">
      <w:pPr>
        <w:spacing w:after="0" w:line="240" w:lineRule="auto"/>
        <w:jc w:val="both"/>
        <w:rPr>
          <w:rFonts w:ascii="Times New Roman" w:eastAsia="Times New Roman" w:hAnsi="Times New Roman" w:cs="Times New Roman"/>
          <w:sz w:val="24"/>
          <w:szCs w:val="24"/>
        </w:rPr>
      </w:pPr>
    </w:p>
    <w:p w14:paraId="77910B2F"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Sex-biased mobility patterns were not possible to examine for th</w:t>
      </w:r>
      <w:r>
        <w:rPr>
          <w:rFonts w:ascii="Times New Roman" w:eastAsia="Times New Roman" w:hAnsi="Times New Roman" w:cs="Times New Roman"/>
          <w:sz w:val="24"/>
          <w:szCs w:val="24"/>
        </w:rPr>
        <w:t>e Neolithic and the Bronze Age due to the relatively low number of individuals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8 and 4 respectively), and the few secure sex determinations among them. However, if we combine all of the analysed Mesolithic and Subneolithic hunter-gatherers into a sing</w:t>
      </w:r>
      <w:r>
        <w:rPr>
          <w:rFonts w:ascii="Times New Roman" w:eastAsia="Times New Roman" w:hAnsi="Times New Roman" w:cs="Times New Roman"/>
          <w:sz w:val="24"/>
          <w:szCs w:val="24"/>
        </w:rPr>
        <w:t xml:space="preserve">le group, 13 individuals have been sexed. According to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data, two out of five females and four out of eight males were non-local. Thus, there is no significant difference in mobility patterns between males and females in the southeastern Balti</w:t>
      </w:r>
      <w:r>
        <w:rPr>
          <w:rFonts w:ascii="Times New Roman" w:eastAsia="Times New Roman" w:hAnsi="Times New Roman" w:cs="Times New Roman"/>
          <w:sz w:val="24"/>
          <w:szCs w:val="24"/>
        </w:rPr>
        <w:t>c hunters-gatherer communities.</w:t>
      </w:r>
    </w:p>
    <w:p w14:paraId="12670D80" w14:textId="77777777" w:rsidR="00073701" w:rsidRDefault="00073701">
      <w:pPr>
        <w:spacing w:after="0" w:line="240" w:lineRule="auto"/>
        <w:jc w:val="both"/>
        <w:rPr>
          <w:rFonts w:ascii="Times New Roman" w:eastAsia="Times New Roman" w:hAnsi="Times New Roman" w:cs="Times New Roman"/>
          <w:sz w:val="24"/>
          <w:szCs w:val="24"/>
        </w:rPr>
      </w:pPr>
    </w:p>
    <w:p w14:paraId="167DB20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Comparing the degree of mobility of the inhabitants of the southeastern Baltic during the Stone and Bronze Ages to that of other European regions is challenging, not least due to the different geologies but also the differe</w:t>
      </w:r>
      <w:r>
        <w:rPr>
          <w:rFonts w:ascii="Times New Roman" w:eastAsia="Times New Roman" w:hAnsi="Times New Roman" w:cs="Times New Roman"/>
          <w:sz w:val="24"/>
          <w:szCs w:val="24"/>
        </w:rPr>
        <w:t xml:space="preserve">nt methods applied. In previous mobility studies, TIMS was mostly used, which measures the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 of bulk enamel samples and does not provide any data on intra-tooth variation. In our study LA-ICP-MS was employed which records intra-tooth variatio</w:t>
      </w:r>
      <w:r>
        <w:rPr>
          <w:rFonts w:ascii="Times New Roman" w:eastAsia="Times New Roman" w:hAnsi="Times New Roman" w:cs="Times New Roman"/>
          <w:sz w:val="24"/>
          <w:szCs w:val="24"/>
        </w:rPr>
        <w:t>n that can further be used as proxy data to infer mobility patterns. Unfortunately, there are too few studies from Estonia and Finland (Oras et al. 2016) and they also derive from different periods (Lahtinen et al. 2021) to compare with our data from Lithu</w:t>
      </w:r>
      <w:r>
        <w:rPr>
          <w:rFonts w:ascii="Times New Roman" w:eastAsia="Times New Roman" w:hAnsi="Times New Roman" w:cs="Times New Roman"/>
          <w:sz w:val="24"/>
          <w:szCs w:val="24"/>
        </w:rPr>
        <w:t xml:space="preserve">ania. More extensive studies have been undertaken on Swedish and Danish individuals. Intriguingly, the number of non-locals dating to the Neolithic in Lithuania compared to those from the Early-Middle Neolithic in southwestern Sweden appear to be somewhat </w:t>
      </w:r>
      <w:r>
        <w:rPr>
          <w:rFonts w:ascii="Times New Roman" w:eastAsia="Times New Roman" w:hAnsi="Times New Roman" w:cs="Times New Roman"/>
          <w:sz w:val="24"/>
          <w:szCs w:val="24"/>
        </w:rPr>
        <w:t>comparable (25 and 18% respectively); whilst the number of non-locals dating to the Bronze Age in Lithuania was similar to those from the Neolithic to Early Bronze Age of southwestern Sweden (50 and 47% respectively) (Blank et al. 2021). Furthermore, the m</w:t>
      </w:r>
      <w:r>
        <w:rPr>
          <w:rFonts w:ascii="Times New Roman" w:eastAsia="Times New Roman" w:hAnsi="Times New Roman" w:cs="Times New Roman"/>
          <w:sz w:val="24"/>
          <w:szCs w:val="24"/>
        </w:rPr>
        <w:t>obility patterns of coastal Subneolithic fishers at Šventoji, show no or only a single non-local (14%) which is similar to the Neolithic Pitted Ware culture people on Gotland (9% of non-locals) (Ahlström and Price 2021). However, in both regions the low nu</w:t>
      </w:r>
      <w:r>
        <w:rPr>
          <w:rFonts w:ascii="Times New Roman" w:eastAsia="Times New Roman" w:hAnsi="Times New Roman" w:cs="Times New Roman"/>
          <w:sz w:val="24"/>
          <w:szCs w:val="24"/>
        </w:rPr>
        <w:t xml:space="preserve">mber of non-local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in humans is most likely the effect of the significant consumption of marine-derived protein or at Šventoji by the sea spray effect rather than reduced mobility. On the same island of Gotland, 23 individuals dated to the </w:t>
      </w:r>
      <w:r>
        <w:rPr>
          <w:rFonts w:ascii="Times New Roman" w:eastAsia="Times New Roman" w:hAnsi="Times New Roman" w:cs="Times New Roman"/>
          <w:sz w:val="24"/>
          <w:szCs w:val="24"/>
        </w:rPr>
        <w:t xml:space="preserve">Middle Neolithic (ca. 3300-2350 cal BC) and Late Neolithic-Early Bronze Age showed increased migration to Gotland during the latter period based on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data (Fraser at al. 2018). On the island of Öland,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from nine individuals from the</w:t>
      </w:r>
      <w:r>
        <w:rPr>
          <w:rFonts w:ascii="Times New Roman" w:eastAsia="Times New Roman" w:hAnsi="Times New Roman" w:cs="Times New Roman"/>
          <w:sz w:val="24"/>
          <w:szCs w:val="24"/>
        </w:rPr>
        <w:t xml:space="preserve"> passage grave at Resmo, dating to the Neolithic and the Bronze Age (ca. 3500-1000 cal BC), have been analysed and at least five non-local individuals representing at least two different geographical regions of origin were identified. It was also noted tha</w:t>
      </w:r>
      <w:r>
        <w:rPr>
          <w:rFonts w:ascii="Times New Roman" w:eastAsia="Times New Roman" w:hAnsi="Times New Roman" w:cs="Times New Roman"/>
          <w:sz w:val="24"/>
          <w:szCs w:val="24"/>
        </w:rPr>
        <w:t xml:space="preserve">t non-local individuals were more frequent during the Bronze Age than during previous periods (Fornander et al. 2015). In Denmark, also based on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data, mobility increased as well as the variation in the geographical origin of the migrants during t</w:t>
      </w:r>
      <w:r>
        <w:rPr>
          <w:rFonts w:ascii="Times New Roman" w:eastAsia="Times New Roman" w:hAnsi="Times New Roman" w:cs="Times New Roman"/>
          <w:sz w:val="24"/>
          <w:szCs w:val="24"/>
        </w:rPr>
        <w:t>he Early Bronze Age (ca. 1700-1100 cal BC) in parallel to the emergence of long-distance metal trade (Frei et al. 2019). However, Lithuania in contrast to southwestern Sweden, Gotland, Öland, and Denmark, did not demonstrate a significant increase in mobil</w:t>
      </w:r>
      <w:r>
        <w:rPr>
          <w:rFonts w:ascii="Times New Roman" w:eastAsia="Times New Roman" w:hAnsi="Times New Roman" w:cs="Times New Roman"/>
          <w:sz w:val="24"/>
          <w:szCs w:val="24"/>
        </w:rPr>
        <w:t xml:space="preserve">ity during the Neolithic or Bronze Age (Fig. </w:t>
      </w:r>
      <w:sdt>
        <w:sdtPr>
          <w:tag w:val="goog_rdk_135"/>
          <w:id w:val="1976098257"/>
          <w:showingPlcHdr/>
        </w:sdtPr>
        <w:sdtEndPr/>
        <w:sdtContent>
          <w:r>
            <w:t xml:space="preserve">     </w:t>
          </w:r>
        </w:sdtContent>
      </w:sdt>
      <w:sdt>
        <w:sdtPr>
          <w:tag w:val="goog_rdk_136"/>
          <w:id w:val="-144895392"/>
        </w:sdtPr>
        <w:sdtEndPr/>
        <w:sdtContent>
          <w:r>
            <w:rPr>
              <w:rFonts w:ascii="Times New Roman" w:eastAsia="Times New Roman" w:hAnsi="Times New Roman" w:cs="Times New Roman"/>
              <w:sz w:val="24"/>
              <w:szCs w:val="24"/>
            </w:rPr>
            <w:t>10</w:t>
          </w:r>
        </w:sdtContent>
      </w:sdt>
      <w:r>
        <w:rPr>
          <w:rFonts w:ascii="Times New Roman" w:eastAsia="Times New Roman" w:hAnsi="Times New Roman" w:cs="Times New Roman"/>
          <w:sz w:val="24"/>
          <w:szCs w:val="24"/>
        </w:rPr>
        <w:t>). Perhaps this may partly be explained by the delayed adoption of agriculture in the southeastern Baltic, which occurred ca. 1500 years later than the spread of stockbreeding (Piličiauskas et al. 2021). In addition, inland Lithuania was a periphery of the</w:t>
      </w:r>
      <w:r>
        <w:rPr>
          <w:rFonts w:ascii="Times New Roman" w:eastAsia="Times New Roman" w:hAnsi="Times New Roman" w:cs="Times New Roman"/>
          <w:sz w:val="24"/>
          <w:szCs w:val="24"/>
        </w:rPr>
        <w:t xml:space="preserve"> metal trade network during the Bronze Age (Luchtanas and Sidrys 1999).</w:t>
      </w:r>
    </w:p>
    <w:p w14:paraId="6F2492A8" w14:textId="77777777" w:rsidR="00073701" w:rsidRDefault="00073701">
      <w:pPr>
        <w:spacing w:after="0" w:line="240" w:lineRule="auto"/>
        <w:jc w:val="both"/>
        <w:rPr>
          <w:rFonts w:ascii="Times New Roman" w:eastAsia="Times New Roman" w:hAnsi="Times New Roman" w:cs="Times New Roman"/>
          <w:b/>
          <w:sz w:val="24"/>
          <w:szCs w:val="24"/>
        </w:rPr>
      </w:pPr>
    </w:p>
    <w:p w14:paraId="691B337C" w14:textId="77777777" w:rsidR="00073701" w:rsidRDefault="00C87DC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IV.2. The origins of non-locals</w:t>
      </w:r>
    </w:p>
    <w:p w14:paraId="5393110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very important question arises after identifying non-locally born individuals –– where did they come from? It is, however, rather hard to sugge</w:t>
      </w:r>
      <w:r>
        <w:rPr>
          <w:rFonts w:ascii="Times New Roman" w:eastAsia="Times New Roman" w:hAnsi="Times New Roman" w:cs="Times New Roman"/>
          <w:sz w:val="24"/>
          <w:szCs w:val="24"/>
        </w:rPr>
        <w:t xml:space="preserve">st potential areas of origin for the identified migrants due to the very few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measurements available from Eastern Europe as well as the overlapping local baselines inside Lithuania and adjoining countries and territories. For instance, two Late Br</w:t>
      </w:r>
      <w:r>
        <w:rPr>
          <w:rFonts w:ascii="Times New Roman" w:eastAsia="Times New Roman" w:hAnsi="Times New Roman" w:cs="Times New Roman"/>
          <w:sz w:val="24"/>
          <w:szCs w:val="24"/>
        </w:rPr>
        <w:t xml:space="preserve">onze Age non-locals at Turlojiškė (2 and 4) (Fig. </w:t>
      </w:r>
      <w:sdt>
        <w:sdtPr>
          <w:tag w:val="goog_rdk_137"/>
          <w:id w:val="800663901"/>
          <w:showingPlcHdr/>
        </w:sdtPr>
        <w:sdtEndPr/>
        <w:sdtContent>
          <w:r>
            <w:t xml:space="preserve">     </w:t>
          </w:r>
        </w:sdtContent>
      </w:sdt>
      <w:sdt>
        <w:sdtPr>
          <w:tag w:val="goog_rdk_138"/>
          <w:id w:val="533938012"/>
        </w:sdtPr>
        <w:sdtEndPr/>
        <w:sdtContent>
          <w:r>
            <w:rPr>
              <w:rFonts w:ascii="Times New Roman" w:eastAsia="Times New Roman" w:hAnsi="Times New Roman" w:cs="Times New Roman"/>
              <w:sz w:val="24"/>
              <w:szCs w:val="24"/>
            </w:rPr>
            <w:t>5</w:t>
          </w:r>
        </w:sdtContent>
      </w:sdt>
      <w:r>
        <w:rPr>
          <w:rFonts w:ascii="Times New Roman" w:eastAsia="Times New Roman" w:hAnsi="Times New Roman" w:cs="Times New Roman"/>
          <w:sz w:val="24"/>
          <w:szCs w:val="24"/>
        </w:rPr>
        <w:t xml:space="preserve">) and four Subneolithic-Neolithic non-locals at Kretuonas (Kretuonas 1A B2, Kretuonas 1B graves 1, 2 and 5) (Fig. </w:t>
      </w:r>
      <w:sdt>
        <w:sdtPr>
          <w:tag w:val="goog_rdk_139"/>
          <w:id w:val="-102659216"/>
          <w:showingPlcHdr/>
        </w:sdtPr>
        <w:sdtEndPr/>
        <w:sdtContent>
          <w:r>
            <w:t xml:space="preserve">     </w:t>
          </w:r>
        </w:sdtContent>
      </w:sdt>
      <w:sdt>
        <w:sdtPr>
          <w:tag w:val="goog_rdk_140"/>
          <w:id w:val="-1751344669"/>
        </w:sdtPr>
        <w:sdtEndPr/>
        <w:sdtContent>
          <w:r>
            <w:rPr>
              <w:rFonts w:ascii="Times New Roman" w:eastAsia="Times New Roman" w:hAnsi="Times New Roman" w:cs="Times New Roman"/>
              <w:sz w:val="24"/>
              <w:szCs w:val="24"/>
            </w:rPr>
            <w:t>8</w:t>
          </w:r>
        </w:sdtContent>
      </w:sdt>
      <w:r>
        <w:rPr>
          <w:rFonts w:ascii="Times New Roman" w:eastAsia="Times New Roman" w:hAnsi="Times New Roman" w:cs="Times New Roman"/>
          <w:sz w:val="24"/>
          <w:szCs w:val="24"/>
        </w:rPr>
        <w:t xml:space="preserve">) may have come from multiple areas in Lithuania having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ranges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 0.7160-0.7190 </w:t>
      </w:r>
      <w:r>
        <w:rPr>
          <w:rFonts w:ascii="Times New Roman" w:eastAsia="Times New Roman" w:hAnsi="Times New Roman" w:cs="Times New Roman"/>
          <w:sz w:val="24"/>
          <w:szCs w:val="24"/>
        </w:rPr>
        <w:lastRenderedPageBreak/>
        <w:t xml:space="preserve">(Fig. </w:t>
      </w:r>
      <w:sdt>
        <w:sdtPr>
          <w:tag w:val="goog_rdk_141"/>
          <w:id w:val="211928345"/>
          <w:showingPlcHdr/>
        </w:sdtPr>
        <w:sdtEndPr/>
        <w:sdtContent>
          <w:r>
            <w:t xml:space="preserve">     </w:t>
          </w:r>
        </w:sdtContent>
      </w:sdt>
      <w:sdt>
        <w:sdtPr>
          <w:tag w:val="goog_rdk_142"/>
          <w:id w:val="-1313860842"/>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xml:space="preserve">). Only in extreme cases with higher and lower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more specific places of origin may be suggested for several individuals. For instance, 6/13 Mesolithic-Neolithic non-locals show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intra-tooth valu</w:t>
      </w:r>
      <w:r>
        <w:rPr>
          <w:rFonts w:ascii="Times New Roman" w:eastAsia="Times New Roman" w:hAnsi="Times New Roman" w:cs="Times New Roman"/>
          <w:sz w:val="24"/>
          <w:szCs w:val="24"/>
        </w:rPr>
        <w:t xml:space="preserve">es which begin from above 0.7200. Such high ratios are not known in Lithuania with the exception of a single beaver from Kretuonas 1C (0.7201). Therefore, these people most likely arrived from outside of modern day Lithuania. Such high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values are</w:t>
      </w:r>
      <w:r>
        <w:rPr>
          <w:rFonts w:ascii="Times New Roman" w:eastAsia="Times New Roman" w:hAnsi="Times New Roman" w:cs="Times New Roman"/>
          <w:sz w:val="24"/>
          <w:szCs w:val="24"/>
        </w:rPr>
        <w:t xml:space="preserve"> known from Fennoscandia where Precambrian rocks with high radiogenic Sr are exposed (Fig. 1; Åberg and Wickman 1987; Voerkelius et al. 2010; Lahtinen et al. 2021). However, there is currently no evidence that Stone Age peoples were able to cross the Balti</w:t>
      </w:r>
      <w:r>
        <w:rPr>
          <w:rFonts w:ascii="Times New Roman" w:eastAsia="Times New Roman" w:hAnsi="Times New Roman" w:cs="Times New Roman"/>
          <w:sz w:val="24"/>
          <w:szCs w:val="24"/>
        </w:rPr>
        <w:t xml:space="preserve">c Sea in other places than through Denmark or the Åland Islands. The shortest way to the Baltic Shield from the southeastern Baltic was through Karelia or southern Finland. Therefore, it may be speculated that the Mesolithic individual at Donkalnis 2, the </w:t>
      </w:r>
      <w:r>
        <w:rPr>
          <w:rFonts w:ascii="Times New Roman" w:eastAsia="Times New Roman" w:hAnsi="Times New Roman" w:cs="Times New Roman"/>
          <w:sz w:val="24"/>
          <w:szCs w:val="24"/>
        </w:rPr>
        <w:t xml:space="preserve">Subneolithic individuals Donkalnis 7 and VI (Fig. </w:t>
      </w:r>
      <w:sdt>
        <w:sdtPr>
          <w:tag w:val="goog_rdk_143"/>
          <w:id w:val="-2110736200"/>
        </w:sdtPr>
        <w:sdtEndPr/>
        <w:sdtContent>
          <w:r>
            <w:rPr>
              <w:rFonts w:ascii="Times New Roman" w:eastAsia="Times New Roman" w:hAnsi="Times New Roman" w:cs="Times New Roman"/>
              <w:sz w:val="24"/>
              <w:szCs w:val="24"/>
            </w:rPr>
            <w:t>7</w:t>
          </w:r>
        </w:sdtContent>
      </w:sdt>
      <w:sdt>
        <w:sdtPr>
          <w:tag w:val="goog_rdk_144"/>
          <w:id w:val="-1022705183"/>
          <w:showingPlcHdr/>
        </w:sdtPr>
        <w:sdtEndPr/>
        <w:sdtContent>
          <w:r>
            <w:t xml:space="preserve">     </w:t>
          </w:r>
        </w:sdtContent>
      </w:sdt>
      <w:r>
        <w:rPr>
          <w:rFonts w:ascii="Times New Roman" w:eastAsia="Times New Roman" w:hAnsi="Times New Roman" w:cs="Times New Roman"/>
          <w:sz w:val="24"/>
          <w:szCs w:val="24"/>
        </w:rPr>
        <w:t xml:space="preserve">), the Subneolithic-Neolithic individuals Kretuonas 1 (pl2:O94) and Kretuonas 1C (Č102) (Fig. </w:t>
      </w:r>
      <w:sdt>
        <w:sdtPr>
          <w:tag w:val="goog_rdk_145"/>
          <w:id w:val="1049042147"/>
          <w:showingPlcHdr/>
        </w:sdtPr>
        <w:sdtEndPr/>
        <w:sdtContent>
          <w:r>
            <w:t xml:space="preserve">     </w:t>
          </w:r>
        </w:sdtContent>
      </w:sdt>
      <w:sdt>
        <w:sdtPr>
          <w:tag w:val="goog_rdk_146"/>
          <w:id w:val="2143997787"/>
        </w:sdtPr>
        <w:sdtEndPr/>
        <w:sdtContent>
          <w:r>
            <w:rPr>
              <w:rFonts w:ascii="Times New Roman" w:eastAsia="Times New Roman" w:hAnsi="Times New Roman" w:cs="Times New Roman"/>
              <w:sz w:val="24"/>
              <w:szCs w:val="24"/>
            </w:rPr>
            <w:t>8</w:t>
          </w:r>
        </w:sdtContent>
      </w:sdt>
      <w:r>
        <w:rPr>
          <w:rFonts w:ascii="Times New Roman" w:eastAsia="Times New Roman" w:hAnsi="Times New Roman" w:cs="Times New Roman"/>
          <w:sz w:val="24"/>
          <w:szCs w:val="24"/>
        </w:rPr>
        <w:t xml:space="preserve">), as well as the Neolithic individual from the Gyvakarai CWC grave (Fig. </w:t>
      </w:r>
      <w:sdt>
        <w:sdtPr>
          <w:tag w:val="goog_rdk_147"/>
          <w:id w:val="1024673110"/>
          <w:showingPlcHdr/>
        </w:sdtPr>
        <w:sdtEndPr/>
        <w:sdtContent>
          <w:r>
            <w:t xml:space="preserve">     </w:t>
          </w:r>
        </w:sdtContent>
      </w:sdt>
      <w:sdt>
        <w:sdtPr>
          <w:tag w:val="goog_rdk_148"/>
          <w:id w:val="1490682369"/>
        </w:sdtPr>
        <w:sdtEndPr/>
        <w:sdtContent>
          <w:r>
            <w:rPr>
              <w:rFonts w:ascii="Times New Roman" w:eastAsia="Times New Roman" w:hAnsi="Times New Roman" w:cs="Times New Roman"/>
              <w:sz w:val="24"/>
              <w:szCs w:val="24"/>
            </w:rPr>
            <w:t>4</w:t>
          </w:r>
        </w:sdtContent>
      </w:sdt>
      <w:r>
        <w:rPr>
          <w:rFonts w:ascii="Times New Roman" w:eastAsia="Times New Roman" w:hAnsi="Times New Roman" w:cs="Times New Roman"/>
          <w:sz w:val="24"/>
          <w:szCs w:val="24"/>
        </w:rPr>
        <w:t>) were born in the northeastern Baltic region rather than the southeastern. Such a distant origin (ca. 500-700 km) for a relatively high number of analysed Lithuanian Stone Age people (6/36) is not unexpected in light of aDNA and archaeological data. The i</w:t>
      </w:r>
      <w:r>
        <w:rPr>
          <w:rFonts w:ascii="Times New Roman" w:eastAsia="Times New Roman" w:hAnsi="Times New Roman" w:cs="Times New Roman"/>
          <w:sz w:val="24"/>
          <w:szCs w:val="24"/>
        </w:rPr>
        <w:t>ndividual from Donkalnis 7, dated to 3521-3371 cal BC, has previously been reported as having a substantial part of its ancestry from Eastern Hunter-Gatherers (30%) compared to other people from Donkalnis and Spiginas that have a Western Hunter-Gatherer an</w:t>
      </w:r>
      <w:r>
        <w:rPr>
          <w:rFonts w:ascii="Times New Roman" w:eastAsia="Times New Roman" w:hAnsi="Times New Roman" w:cs="Times New Roman"/>
          <w:sz w:val="24"/>
          <w:szCs w:val="24"/>
        </w:rPr>
        <w:t>cestry, without or with a very small Eastern Hunter-Gatherer genetic component (0-10%) (Mittnik et al. 2018). Archaeologically, the Eastern Hunter-Gatherer ancestry in the eastern Baltic, including Lithuania, is the Comb Ware culture. Its pottery spread wi</w:t>
      </w:r>
      <w:r>
        <w:rPr>
          <w:rFonts w:ascii="Times New Roman" w:eastAsia="Times New Roman" w:hAnsi="Times New Roman" w:cs="Times New Roman"/>
          <w:sz w:val="24"/>
          <w:szCs w:val="24"/>
        </w:rPr>
        <w:t>dely throughout the region from ca. 3900-3500 cal BC (Nordqvist 2018; Piličiauskas et al. 2019). Furthermore, at the same time amber, Carboniferous flint and slate tools started to be transported routinely in large quantities between southeastern Baltic, n</w:t>
      </w:r>
      <w:r>
        <w:rPr>
          <w:rFonts w:ascii="Times New Roman" w:eastAsia="Times New Roman" w:hAnsi="Times New Roman" w:cs="Times New Roman"/>
          <w:sz w:val="24"/>
          <w:szCs w:val="24"/>
        </w:rPr>
        <w:t xml:space="preserve">orthwestern Russia and southern Finland (Núñez and Franzén 2011; Piličiauskas et al. 2019; Tarasov and Nordqvist 2021; Zhulnikov 2008). Based on the aDNA and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data, these contacts involved long-distance migration of individuals or perhaps even gro</w:t>
      </w:r>
      <w:r>
        <w:rPr>
          <w:rFonts w:ascii="Times New Roman" w:eastAsia="Times New Roman" w:hAnsi="Times New Roman" w:cs="Times New Roman"/>
          <w:sz w:val="24"/>
          <w:szCs w:val="24"/>
        </w:rPr>
        <w:t xml:space="preserve">ups of hunter-gatherers. Furthermore, it seems that these routes were already active during the Late Mesolithic as demonstrated by the non-local (according to the Sr data) individual from Donkalnis 2 that dates from ca. 6400-6110 cal BC (Antanaitis-Jacobs </w:t>
      </w:r>
      <w:r>
        <w:rPr>
          <w:rFonts w:ascii="Times New Roman" w:eastAsia="Times New Roman" w:hAnsi="Times New Roman" w:cs="Times New Roman"/>
          <w:sz w:val="24"/>
          <w:szCs w:val="24"/>
        </w:rPr>
        <w:t>et al. 2009).</w:t>
      </w:r>
    </w:p>
    <w:p w14:paraId="4C006852" w14:textId="77777777" w:rsidR="00073701" w:rsidRDefault="00073701">
      <w:pPr>
        <w:spacing w:after="0" w:line="240" w:lineRule="auto"/>
        <w:jc w:val="both"/>
        <w:rPr>
          <w:rFonts w:ascii="Times New Roman" w:eastAsia="Times New Roman" w:hAnsi="Times New Roman" w:cs="Times New Roman"/>
          <w:sz w:val="24"/>
          <w:szCs w:val="24"/>
        </w:rPr>
      </w:pPr>
    </w:p>
    <w:p w14:paraId="46AEEF8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different picture concerns the male in the CWC grave at Gyvakarai, dated to ca. 2620-2470 cal BC (Piličiauskas et al. 2017a), which according to aDNA data, lacks the minor Anatolian component which is very common for other CWC people (Mitt</w:t>
      </w:r>
      <w:r>
        <w:rPr>
          <w:rFonts w:ascii="Times New Roman" w:eastAsia="Times New Roman" w:hAnsi="Times New Roman" w:cs="Times New Roman"/>
          <w:sz w:val="24"/>
          <w:szCs w:val="24"/>
        </w:rPr>
        <w:t xml:space="preserve">nik et al. 2018). Genetically, he stands very close to the nomadic Yamnaya culture people. However,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above 0.7200 is so far unknown from the southeastern European steppe while in central Europe, high radiogenic Sr is found in isolated</w:t>
      </w:r>
      <w:r>
        <w:rPr>
          <w:rFonts w:ascii="Times New Roman" w:eastAsia="Times New Roman" w:hAnsi="Times New Roman" w:cs="Times New Roman"/>
          <w:sz w:val="24"/>
          <w:szCs w:val="24"/>
        </w:rPr>
        <w:t xml:space="preserve"> patches in the Carpathian Mountains (Gerling 2015). Therefore, southern Finland and Karelia appear to be the most plausible candidates of origin for the Mesolithic and Subneolithic people as well as the Gyvakarai individual. Thus, Gyvakarai may represent </w:t>
      </w:r>
      <w:r>
        <w:rPr>
          <w:rFonts w:ascii="Times New Roman" w:eastAsia="Times New Roman" w:hAnsi="Times New Roman" w:cs="Times New Roman"/>
          <w:sz w:val="24"/>
          <w:szCs w:val="24"/>
        </w:rPr>
        <w:t>a case of long-distance trade or a return migration by CWC individual(s) who entered southern Finland at ca. 2800 cal BC (Nordqvist 2018).</w:t>
      </w:r>
    </w:p>
    <w:p w14:paraId="4027CA6F" w14:textId="77777777" w:rsidR="00073701" w:rsidRDefault="00073701">
      <w:pPr>
        <w:spacing w:after="0" w:line="240" w:lineRule="auto"/>
        <w:jc w:val="both"/>
        <w:rPr>
          <w:rFonts w:ascii="Times New Roman" w:eastAsia="Times New Roman" w:hAnsi="Times New Roman" w:cs="Times New Roman"/>
          <w:sz w:val="24"/>
          <w:szCs w:val="24"/>
        </w:rPr>
      </w:pPr>
    </w:p>
    <w:p w14:paraId="518DED9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it might be possible to suggest the origin of humans with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lower than the local baselines. At the </w:t>
      </w:r>
      <w:r>
        <w:rPr>
          <w:rFonts w:ascii="Times New Roman" w:eastAsia="Times New Roman" w:hAnsi="Times New Roman" w:cs="Times New Roman"/>
          <w:sz w:val="24"/>
          <w:szCs w:val="24"/>
        </w:rPr>
        <w:t xml:space="preserve">Donkalnis cemetery –– Mesolithic grave 5 and Subneolithic grave 3 (Fig. </w:t>
      </w:r>
      <w:sdt>
        <w:sdtPr>
          <w:tag w:val="goog_rdk_149"/>
          <w:id w:val="823552309"/>
          <w:showingPlcHdr/>
        </w:sdtPr>
        <w:sdtEndPr/>
        <w:sdtContent>
          <w:r>
            <w:t xml:space="preserve">     </w:t>
          </w:r>
        </w:sdtContent>
      </w:sdt>
      <w:sdt>
        <w:sdtPr>
          <w:tag w:val="goog_rdk_150"/>
          <w:id w:val="1855539581"/>
        </w:sdtPr>
        <w:sdtEndPr/>
        <w:sdtContent>
          <w:r>
            <w:rPr>
              <w:rFonts w:ascii="Times New Roman" w:eastAsia="Times New Roman" w:hAnsi="Times New Roman" w:cs="Times New Roman"/>
              <w:sz w:val="24"/>
              <w:szCs w:val="24"/>
            </w:rPr>
            <w:t>7</w:t>
          </w:r>
        </w:sdtContent>
      </w:sdt>
      <w:r>
        <w:rPr>
          <w:rFonts w:ascii="Times New Roman" w:eastAsia="Times New Roman" w:hAnsi="Times New Roman" w:cs="Times New Roman"/>
          <w:sz w:val="24"/>
          <w:szCs w:val="24"/>
        </w:rPr>
        <w:t xml:space="preserve">) represent two such cases. Animals with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ratios in-between 0.7100-0.7120 are only known from a single place in Lithuania, which is Šventoji on the Baltic coast (Fig. </w:t>
      </w:r>
      <w:sdt>
        <w:sdtPr>
          <w:tag w:val="goog_rdk_151"/>
          <w:id w:val="-1904443521"/>
          <w:showingPlcHdr/>
        </w:sdtPr>
        <w:sdtEndPr/>
        <w:sdtContent>
          <w:r>
            <w:t xml:space="preserve">     </w:t>
          </w:r>
        </w:sdtContent>
      </w:sdt>
      <w:sdt>
        <w:sdtPr>
          <w:tag w:val="goog_rdk_152"/>
          <w:id w:val="2067073078"/>
        </w:sdtPr>
        <w:sdtEndPr/>
        <w:sdtContent>
          <w:r>
            <w:rPr>
              <w:rFonts w:ascii="Times New Roman" w:eastAsia="Times New Roman" w:hAnsi="Times New Roman" w:cs="Times New Roman"/>
              <w:sz w:val="24"/>
              <w:szCs w:val="24"/>
            </w:rPr>
            <w:t>2</w:t>
          </w:r>
        </w:sdtContent>
      </w:sdt>
      <w:r>
        <w:rPr>
          <w:rFonts w:ascii="Times New Roman" w:eastAsia="Times New Roman" w:hAnsi="Times New Roman" w:cs="Times New Roman"/>
          <w:sz w:val="24"/>
          <w:szCs w:val="24"/>
        </w:rPr>
        <w:t xml:space="preserve">). Such low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are determined by the seawater Sr transported onto the coast via sea spray. Human mobility between Lake Biržulis and the Baltic Sea, a distance of 85 km, may have been a common practice during the Subneolithic</w:t>
      </w:r>
      <w:r>
        <w:rPr>
          <w:rFonts w:ascii="Times New Roman" w:eastAsia="Times New Roman" w:hAnsi="Times New Roman" w:cs="Times New Roman"/>
          <w:sz w:val="24"/>
          <w:szCs w:val="24"/>
        </w:rPr>
        <w:t>. Numerous amber finds at the Daktariškė 5 dwelling site situated at a distance of 2.6 km from the Donkalnis cemetery on the same Biržulis Lake supports this (Piličiauskas 2018).</w:t>
      </w:r>
    </w:p>
    <w:p w14:paraId="4CE0E84A" w14:textId="77777777" w:rsidR="00073701" w:rsidRDefault="00073701">
      <w:pPr>
        <w:spacing w:after="0" w:line="240" w:lineRule="auto"/>
        <w:jc w:val="both"/>
        <w:rPr>
          <w:rFonts w:ascii="Times New Roman" w:eastAsia="Times New Roman" w:hAnsi="Times New Roman" w:cs="Times New Roman"/>
          <w:b/>
          <w:sz w:val="24"/>
          <w:szCs w:val="24"/>
        </w:rPr>
      </w:pPr>
      <w:bookmarkStart w:id="3" w:name="_heading=h.1fob9te" w:colFirst="0" w:colLast="0"/>
      <w:bookmarkEnd w:id="3"/>
    </w:p>
    <w:p w14:paraId="6B3C3353"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Conclusions</w:t>
      </w:r>
    </w:p>
    <w:p w14:paraId="7F89EC30"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Even in areas entirely covered by glacial deposits, it is pos</w:t>
      </w:r>
      <w:r>
        <w:rPr>
          <w:rFonts w:ascii="Times New Roman" w:eastAsia="Times New Roman" w:hAnsi="Times New Roman" w:cs="Times New Roman"/>
          <w:sz w:val="24"/>
          <w:szCs w:val="24"/>
        </w:rPr>
        <w:t>sible to identify patterns of migration d</w:t>
      </w:r>
      <w:r>
        <w:rPr>
          <w:rFonts w:ascii="Times New Roman" w:eastAsia="Times New Roman" w:hAnsi="Times New Roman" w:cs="Times New Roman"/>
          <w:color w:val="000000"/>
          <w:sz w:val="24"/>
          <w:szCs w:val="24"/>
        </w:rPr>
        <w:t xml:space="preserve">ue to significant variation of bioavailable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w:t>
      </w:r>
    </w:p>
    <w:p w14:paraId="6936E326"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documented significant and systematic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offsets between modern soils, animals and in some cases plants and archaeological animal samples. Thus, this finding cautions against the use of modern samples for palaeomobility studies at least in the southeastern Baltic region.</w:t>
      </w:r>
    </w:p>
    <w:p w14:paraId="79B5106D"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Strontium isotope anal</w:t>
      </w:r>
      <w:r>
        <w:rPr>
          <w:rFonts w:ascii="Times New Roman" w:eastAsia="Times New Roman" w:hAnsi="Times New Roman" w:cs="Times New Roman"/>
          <w:color w:val="000000"/>
          <w:sz w:val="24"/>
          <w:szCs w:val="24"/>
        </w:rPr>
        <w:t xml:space="preserve">ysis via LA-MC-ICP-MS not only allowed us to identify migration but also enabled us to evaluate the degree of mobility through recorded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intra-tooth variation. Furthermore, using LA-MC-ICP-MS it is possible to trace immigrants who moved to their p</w:t>
      </w:r>
      <w:r>
        <w:rPr>
          <w:rFonts w:ascii="Times New Roman" w:eastAsia="Times New Roman" w:hAnsi="Times New Roman" w:cs="Times New Roman"/>
          <w:color w:val="000000"/>
          <w:sz w:val="24"/>
          <w:szCs w:val="24"/>
        </w:rPr>
        <w:t>laces of death/burial even before final mineralisation of tooth enamel.</w:t>
      </w:r>
    </w:p>
    <w:p w14:paraId="32442DD2"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 xml:space="preserve">Sr ratios, non-locally born individuals </w:t>
      </w:r>
      <w:r>
        <w:rPr>
          <w:rFonts w:ascii="Times New Roman" w:eastAsia="Times New Roman" w:hAnsi="Times New Roman" w:cs="Times New Roman"/>
          <w:sz w:val="24"/>
          <w:szCs w:val="24"/>
        </w:rPr>
        <w:t xml:space="preserve">made up at least </w:t>
      </w:r>
      <w:r>
        <w:rPr>
          <w:rFonts w:ascii="Times New Roman" w:eastAsia="Times New Roman" w:hAnsi="Times New Roman" w:cs="Times New Roman"/>
          <w:color w:val="000000"/>
          <w:sz w:val="24"/>
          <w:szCs w:val="24"/>
        </w:rPr>
        <w:t xml:space="preserve">25-50% of the population during the Stone and Bronze Ages. Their numbers may have been higher </w:t>
      </w:r>
      <w:r>
        <w:rPr>
          <w:rFonts w:ascii="Times New Roman" w:eastAsia="Times New Roman" w:hAnsi="Times New Roman" w:cs="Times New Roman"/>
          <w:sz w:val="24"/>
          <w:szCs w:val="24"/>
        </w:rPr>
        <w:t xml:space="preserve">due to the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z w:val="24"/>
          <w:szCs w:val="24"/>
        </w:rPr>
        <w:t xml:space="preserve">erlapping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baselines.</w:t>
      </w:r>
    </w:p>
    <w:p w14:paraId="7C9E8D74"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Six of the 11 Mesolithic and Subneolithic non-locals had higher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 xml:space="preserve">Sr ratios than </w:t>
      </w:r>
      <w:r>
        <w:rPr>
          <w:rFonts w:ascii="Times New Roman" w:eastAsia="Times New Roman" w:hAnsi="Times New Roman" w:cs="Times New Roman"/>
          <w:sz w:val="24"/>
          <w:szCs w:val="24"/>
        </w:rPr>
        <w:t xml:space="preserve">0.7200, </w:t>
      </w:r>
      <w:r>
        <w:rPr>
          <w:rFonts w:ascii="Times New Roman" w:eastAsia="Times New Roman" w:hAnsi="Times New Roman" w:cs="Times New Roman"/>
          <w:color w:val="000000"/>
          <w:sz w:val="24"/>
          <w:szCs w:val="24"/>
        </w:rPr>
        <w:t>indicating that they might have come from southern Finland and/or Karelia. Two Mesolithic and Subneolithic individuals from the Don</w:t>
      </w:r>
      <w:r>
        <w:rPr>
          <w:rFonts w:ascii="Times New Roman" w:eastAsia="Times New Roman" w:hAnsi="Times New Roman" w:cs="Times New Roman"/>
          <w:color w:val="000000"/>
          <w:sz w:val="24"/>
          <w:szCs w:val="24"/>
        </w:rPr>
        <w:t xml:space="preserve">kalnis cemetery with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lower t</w:t>
      </w:r>
      <w:r>
        <w:rPr>
          <w:rFonts w:ascii="Times New Roman" w:eastAsia="Times New Roman" w:hAnsi="Times New Roman" w:cs="Times New Roman"/>
          <w:sz w:val="24"/>
          <w:szCs w:val="24"/>
        </w:rPr>
        <w:t>han</w:t>
      </w:r>
      <w:r>
        <w:rPr>
          <w:rFonts w:ascii="Times New Roman" w:eastAsia="Times New Roman" w:hAnsi="Times New Roman" w:cs="Times New Roman"/>
          <w:color w:val="000000"/>
          <w:sz w:val="24"/>
          <w:szCs w:val="24"/>
        </w:rPr>
        <w:t xml:space="preserve"> 0.7120 are suggested to have come from the </w:t>
      </w:r>
      <w:r>
        <w:rPr>
          <w:rFonts w:ascii="Times New Roman" w:eastAsia="Times New Roman" w:hAnsi="Times New Roman" w:cs="Times New Roman"/>
          <w:sz w:val="24"/>
          <w:szCs w:val="24"/>
        </w:rPr>
        <w:t xml:space="preserve">Lithuanian </w:t>
      </w:r>
      <w:r>
        <w:rPr>
          <w:rFonts w:ascii="Times New Roman" w:eastAsia="Times New Roman" w:hAnsi="Times New Roman" w:cs="Times New Roman"/>
          <w:color w:val="000000"/>
          <w:sz w:val="24"/>
          <w:szCs w:val="24"/>
        </w:rPr>
        <w:t>coast of the Baltic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sea indicating a mobility between the coast and the inland up to 85 km. Overlapping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 xml:space="preserve">Sr baselines as well as an </w:t>
      </w:r>
      <w:r>
        <w:rPr>
          <w:rFonts w:ascii="Times New Roman" w:eastAsia="Times New Roman" w:hAnsi="Times New Roman" w:cs="Times New Roman"/>
          <w:sz w:val="24"/>
          <w:szCs w:val="24"/>
        </w:rPr>
        <w:t>absence or scarcity of</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bioavailable</w:t>
      </w:r>
      <w:r>
        <w:rPr>
          <w:rFonts w:ascii="Times New Roman" w:eastAsia="Times New Roman" w:hAnsi="Times New Roman" w:cs="Times New Roman"/>
          <w:sz w:val="24"/>
          <w:szCs w:val="24"/>
          <w:vertAlign w:val="superscript"/>
        </w:rPr>
        <w:t xml:space="preserve"> 87</w:t>
      </w:r>
      <w:r>
        <w:rPr>
          <w:rFonts w:ascii="Times New Roman" w:eastAsia="Times New Roman" w:hAnsi="Times New Roman" w:cs="Times New Roman"/>
          <w:sz w:val="24"/>
          <w:szCs w:val="24"/>
        </w:rPr>
        <w:t>Sr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data from the neighbouring countries complicates the interpretation of places of origin for other non-locals.</w:t>
      </w:r>
    </w:p>
    <w:p w14:paraId="69A595DF" w14:textId="77777777" w:rsidR="00073701" w:rsidRDefault="00C87DC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Medium/high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intra-tooth variation (SD range 0.0004-0.0023) appeared to be a characteristic of inland people from</w:t>
      </w:r>
      <w:r>
        <w:rPr>
          <w:rFonts w:ascii="Times New Roman" w:eastAsia="Times New Roman" w:hAnsi="Times New Roman" w:cs="Times New Roman"/>
          <w:color w:val="000000"/>
          <w:sz w:val="24"/>
          <w:szCs w:val="24"/>
        </w:rPr>
        <w:t xml:space="preserve"> the Mesolithic, Subneolithic, Neolithic, and the Bronze Age periods while the lowest (SD range 0.0002-0.0003) were only found among the coastal Subneolithic fishers and seal hunters. This </w:t>
      </w:r>
      <w:r>
        <w:rPr>
          <w:rFonts w:ascii="Times New Roman" w:eastAsia="Times New Roman" w:hAnsi="Times New Roman" w:cs="Times New Roman"/>
          <w:sz w:val="24"/>
          <w:szCs w:val="24"/>
        </w:rPr>
        <w:t>suggests that</w:t>
      </w:r>
      <w:r>
        <w:rPr>
          <w:rFonts w:ascii="Times New Roman" w:eastAsia="Times New Roman" w:hAnsi="Times New Roman" w:cs="Times New Roman"/>
          <w:color w:val="000000"/>
          <w:sz w:val="24"/>
          <w:szCs w:val="24"/>
        </w:rPr>
        <w:t xml:space="preserve"> seasonal mobility has been practised widely not only </w:t>
      </w:r>
      <w:r>
        <w:rPr>
          <w:rFonts w:ascii="Times New Roman" w:eastAsia="Times New Roman" w:hAnsi="Times New Roman" w:cs="Times New Roman"/>
          <w:color w:val="000000"/>
          <w:sz w:val="24"/>
          <w:szCs w:val="24"/>
        </w:rPr>
        <w:t xml:space="preserve">by inland Mesolithic-Subneolithic hunter-gatherers but also by the first animal herders and farmers.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data suggests that the most sedentary way of life was among Subneolithic coastal people during th</w:t>
      </w:r>
      <w:r>
        <w:rPr>
          <w:rFonts w:ascii="Times New Roman" w:eastAsia="Times New Roman" w:hAnsi="Times New Roman" w:cs="Times New Roman"/>
          <w:sz w:val="24"/>
          <w:szCs w:val="24"/>
        </w:rPr>
        <w:t xml:space="preserve">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millennium cal BC for whom numerous marine and lagoonal food resources were available. Alternatively, the lowest intra-tooth variation at the coastal zone may b</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caused by the sea spray effect which, according to </w:t>
      </w:r>
      <w:r>
        <w:rPr>
          <w:rFonts w:ascii="Times New Roman" w:eastAsia="Times New Roman" w:hAnsi="Times New Roman" w:cs="Times New Roman"/>
          <w:color w:val="000000"/>
          <w:sz w:val="24"/>
          <w:szCs w:val="24"/>
          <w:vertAlign w:val="superscript"/>
        </w:rPr>
        <w:t>87</w:t>
      </w:r>
      <w:r>
        <w:rPr>
          <w:rFonts w:ascii="Times New Roman" w:eastAsia="Times New Roman" w:hAnsi="Times New Roman" w:cs="Times New Roman"/>
          <w:color w:val="000000"/>
          <w:sz w:val="24"/>
          <w:szCs w:val="24"/>
        </w:rPr>
        <w:t>Sr/</w:t>
      </w:r>
      <w:r>
        <w:rPr>
          <w:rFonts w:ascii="Times New Roman" w:eastAsia="Times New Roman" w:hAnsi="Times New Roman" w:cs="Times New Roman"/>
          <w:color w:val="000000"/>
          <w:sz w:val="24"/>
          <w:szCs w:val="24"/>
          <w:vertAlign w:val="superscript"/>
        </w:rPr>
        <w:t>86</w:t>
      </w:r>
      <w:r>
        <w:rPr>
          <w:rFonts w:ascii="Times New Roman" w:eastAsia="Times New Roman" w:hAnsi="Times New Roman" w:cs="Times New Roman"/>
          <w:color w:val="000000"/>
          <w:sz w:val="24"/>
          <w:szCs w:val="24"/>
        </w:rPr>
        <w:t>Sr ratios of modern tree leaves, is</w:t>
      </w:r>
      <w:r>
        <w:rPr>
          <w:rFonts w:ascii="Times New Roman" w:eastAsia="Times New Roman" w:hAnsi="Times New Roman" w:cs="Times New Roman"/>
          <w:color w:val="000000"/>
          <w:sz w:val="24"/>
          <w:szCs w:val="24"/>
        </w:rPr>
        <w:t xml:space="preserve"> significant up to 5 km from the Baltic coast.</w:t>
      </w:r>
    </w:p>
    <w:p w14:paraId="10737A3C" w14:textId="77777777" w:rsidR="00073701" w:rsidRDefault="00C87DCB">
      <w:pPr>
        <w:rPr>
          <w:rFonts w:ascii="Times New Roman" w:eastAsia="Times New Roman" w:hAnsi="Times New Roman" w:cs="Times New Roman"/>
          <w:sz w:val="24"/>
          <w:szCs w:val="24"/>
        </w:rPr>
      </w:pPr>
      <w:r>
        <w:br w:type="page"/>
      </w:r>
    </w:p>
    <w:p w14:paraId="39250AB1" w14:textId="77777777" w:rsidR="00073701" w:rsidRDefault="00073701">
      <w:pPr>
        <w:spacing w:after="0" w:line="240" w:lineRule="auto"/>
        <w:jc w:val="both"/>
        <w:rPr>
          <w:rFonts w:ascii="Times New Roman" w:eastAsia="Times New Roman" w:hAnsi="Times New Roman" w:cs="Times New Roman"/>
          <w:sz w:val="24"/>
          <w:szCs w:val="24"/>
        </w:rPr>
      </w:pPr>
    </w:p>
    <w:p w14:paraId="5D17F94C"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7BC3C00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was financially supported by the Research Council of Lithuania (S-MIP-20-49) and was implemented in collaboration with the Vegacenter (joint publication with Vegacenter #049</w:t>
      </w:r>
      <w:r>
        <w:rPr>
          <w:rFonts w:ascii="Times New Roman" w:eastAsia="Times New Roman" w:hAnsi="Times New Roman" w:cs="Times New Roman"/>
          <w:sz w:val="24"/>
          <w:szCs w:val="24"/>
        </w:rPr>
        <w:t>). NordSIMS-Vegacenter is funded by the Swedish Research Council as a national research infrastructure. We thank Karin Wallner and Hans Schöberg for the chemical preparation and ID-TIMS analyses and Melanie Kielman-Schmitt for the LA-ICPMS support.</w:t>
      </w:r>
    </w:p>
    <w:p w14:paraId="1FAA000B" w14:textId="77777777" w:rsidR="00073701" w:rsidRDefault="00073701">
      <w:pPr>
        <w:spacing w:after="0" w:line="240" w:lineRule="auto"/>
        <w:jc w:val="both"/>
        <w:rPr>
          <w:rFonts w:ascii="Times New Roman" w:eastAsia="Times New Roman" w:hAnsi="Times New Roman" w:cs="Times New Roman"/>
          <w:b/>
          <w:sz w:val="24"/>
          <w:szCs w:val="24"/>
        </w:rPr>
      </w:pPr>
    </w:p>
    <w:p w14:paraId="57D06E73"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w:t>
      </w:r>
      <w:r>
        <w:rPr>
          <w:rFonts w:ascii="Times New Roman" w:eastAsia="Times New Roman" w:hAnsi="Times New Roman" w:cs="Times New Roman"/>
          <w:b/>
          <w:sz w:val="24"/>
          <w:szCs w:val="24"/>
        </w:rPr>
        <w:t>ations</w:t>
      </w:r>
    </w:p>
    <w:p w14:paraId="722A246A"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have no relevant financial or non-financial interests to disclose.</w:t>
      </w:r>
    </w:p>
    <w:p w14:paraId="55C3F343" w14:textId="77777777" w:rsidR="00073701" w:rsidRDefault="00073701">
      <w:pPr>
        <w:spacing w:after="0" w:line="240" w:lineRule="auto"/>
        <w:jc w:val="both"/>
        <w:rPr>
          <w:rFonts w:ascii="Times New Roman" w:eastAsia="Times New Roman" w:hAnsi="Times New Roman" w:cs="Times New Roman"/>
          <w:b/>
          <w:sz w:val="24"/>
          <w:szCs w:val="24"/>
        </w:rPr>
      </w:pPr>
    </w:p>
    <w:p w14:paraId="59583BD0"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8FB78AD" w14:textId="77777777" w:rsidR="00073701" w:rsidRDefault="00073701">
      <w:pPr>
        <w:spacing w:after="0" w:line="240" w:lineRule="auto"/>
        <w:jc w:val="both"/>
        <w:rPr>
          <w:rFonts w:ascii="Times New Roman" w:eastAsia="Times New Roman" w:hAnsi="Times New Roman" w:cs="Times New Roman"/>
          <w:b/>
          <w:sz w:val="24"/>
          <w:szCs w:val="24"/>
        </w:rPr>
      </w:pPr>
    </w:p>
    <w:p w14:paraId="52513DB8"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Åberg G, Wickman FE (1987) Variations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in water from streams discharging into the Bothnian Bay, Baltic Sea. Nordic Hydrology 18(1):33</w:t>
      </w:r>
      <w:r>
        <w:rPr>
          <w:rFonts w:ascii="3rd Man" w:eastAsia="3rd Man" w:hAnsi="3rd Man" w:cs="3rd Man"/>
          <w:sz w:val="24"/>
          <w:szCs w:val="24"/>
        </w:rPr>
        <w:t>‐</w:t>
      </w:r>
      <w:r>
        <w:rPr>
          <w:rFonts w:ascii="Times New Roman" w:eastAsia="Times New Roman" w:hAnsi="Times New Roman" w:cs="Times New Roman"/>
          <w:sz w:val="24"/>
          <w:szCs w:val="24"/>
        </w:rPr>
        <w:t xml:space="preserve">42. </w:t>
      </w:r>
      <w:hyperlink r:id="rId22">
        <w:r>
          <w:rPr>
            <w:rFonts w:ascii="Times New Roman" w:eastAsia="Times New Roman" w:hAnsi="Times New Roman" w:cs="Times New Roman"/>
            <w:color w:val="0563C1"/>
            <w:sz w:val="24"/>
            <w:szCs w:val="24"/>
            <w:u w:val="single"/>
          </w:rPr>
          <w:t>https://doi.org/10.2166/nh.1987.0003</w:t>
        </w:r>
      </w:hyperlink>
    </w:p>
    <w:p w14:paraId="11B99084" w14:textId="77777777" w:rsidR="00073701" w:rsidRDefault="00073701">
      <w:pPr>
        <w:spacing w:after="0" w:line="240" w:lineRule="auto"/>
        <w:jc w:val="both"/>
        <w:rPr>
          <w:rFonts w:ascii="Times New Roman" w:eastAsia="Times New Roman" w:hAnsi="Times New Roman" w:cs="Times New Roman"/>
          <w:b/>
          <w:sz w:val="24"/>
          <w:szCs w:val="24"/>
        </w:rPr>
      </w:pPr>
    </w:p>
    <w:p w14:paraId="16E9D52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Ahlström T, Price TD (2021) Mobile or stationary? An analysis of strontium and carbon isotopes from Västerbjers, Gotland, Sweden. J Archaeol Sci Rep 36:102902. </w:t>
      </w:r>
      <w:hyperlink r:id="rId23">
        <w:r>
          <w:rPr>
            <w:rFonts w:ascii="Times New Roman" w:eastAsia="Times New Roman" w:hAnsi="Times New Roman" w:cs="Times New Roman"/>
            <w:color w:val="0563C1"/>
            <w:sz w:val="24"/>
            <w:szCs w:val="24"/>
            <w:u w:val="single"/>
          </w:rPr>
          <w:t>https://doi.org/10.1016/j.jasrep.2021.102902</w:t>
        </w:r>
      </w:hyperlink>
    </w:p>
    <w:p w14:paraId="23A3BBD3" w14:textId="77777777" w:rsidR="00073701" w:rsidRDefault="00073701">
      <w:pPr>
        <w:spacing w:after="0" w:line="240" w:lineRule="auto"/>
        <w:jc w:val="both"/>
        <w:rPr>
          <w:rFonts w:ascii="Times New Roman" w:eastAsia="Times New Roman" w:hAnsi="Times New Roman" w:cs="Times New Roman"/>
          <w:b/>
          <w:sz w:val="24"/>
          <w:szCs w:val="24"/>
        </w:rPr>
      </w:pPr>
    </w:p>
    <w:p w14:paraId="5B694207"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Aleksa P (2007) Kvartero nuogulų storis Lietuvoje. Geologijos akiračiai 1:64-68</w:t>
      </w:r>
    </w:p>
    <w:p w14:paraId="7016DF1B" w14:textId="77777777" w:rsidR="00073701" w:rsidRDefault="00073701">
      <w:pPr>
        <w:spacing w:after="0" w:line="240" w:lineRule="auto"/>
        <w:jc w:val="both"/>
        <w:rPr>
          <w:rFonts w:ascii="Times New Roman" w:eastAsia="Times New Roman" w:hAnsi="Times New Roman" w:cs="Times New Roman"/>
          <w:b/>
          <w:sz w:val="24"/>
          <w:szCs w:val="24"/>
        </w:rPr>
      </w:pPr>
    </w:p>
    <w:p w14:paraId="387A037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Allentoft ME, Sikora M, Sjögren K-G, Rasmussen S, Rasmussen M, Sten</w:t>
      </w:r>
      <w:r>
        <w:rPr>
          <w:rFonts w:ascii="Times New Roman" w:eastAsia="Times New Roman" w:hAnsi="Times New Roman" w:cs="Times New Roman"/>
          <w:sz w:val="24"/>
          <w:szCs w:val="24"/>
        </w:rPr>
        <w:t xml:space="preserve">derup J, Damgaard PB, Schroeder H, Ahlstrom T, Vinner L et al (2015) Population genomics of Bronze Age Eurasia. Nature 522:167-172. </w:t>
      </w:r>
      <w:hyperlink r:id="rId24">
        <w:r>
          <w:rPr>
            <w:rFonts w:ascii="Times New Roman" w:eastAsia="Times New Roman" w:hAnsi="Times New Roman" w:cs="Times New Roman"/>
            <w:color w:val="0563C1"/>
            <w:sz w:val="24"/>
            <w:szCs w:val="24"/>
            <w:u w:val="single"/>
          </w:rPr>
          <w:t>https://doi.org/10.1038/nature14507</w:t>
        </w:r>
      </w:hyperlink>
    </w:p>
    <w:p w14:paraId="3BE40BC1" w14:textId="77777777" w:rsidR="00073701" w:rsidRDefault="00073701">
      <w:pPr>
        <w:spacing w:after="0" w:line="240" w:lineRule="auto"/>
        <w:jc w:val="both"/>
        <w:rPr>
          <w:rFonts w:ascii="Times New Roman" w:eastAsia="Times New Roman" w:hAnsi="Times New Roman" w:cs="Times New Roman"/>
          <w:b/>
          <w:sz w:val="24"/>
          <w:szCs w:val="24"/>
        </w:rPr>
      </w:pPr>
    </w:p>
    <w:p w14:paraId="36A3B9F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Alonzi E, Pacheco-Forés S, Gordo</w:t>
      </w:r>
      <w:r>
        <w:rPr>
          <w:rFonts w:ascii="Times New Roman" w:eastAsia="Times New Roman" w:hAnsi="Times New Roman" w:cs="Times New Roman"/>
          <w:sz w:val="24"/>
          <w:szCs w:val="24"/>
        </w:rPr>
        <w:t xml:space="preserve">n GW, Kujit I, Knudson KJ (2020) New understandings of the Sea Spray Effect and its impact on bioavailable radiogenic strontium isotope ratios in coastal environments. J Archaeol Sci Rep 33:102452. </w:t>
      </w:r>
      <w:hyperlink r:id="rId25">
        <w:r>
          <w:rPr>
            <w:rFonts w:ascii="Times New Roman" w:eastAsia="Times New Roman" w:hAnsi="Times New Roman" w:cs="Times New Roman"/>
            <w:color w:val="0563C1"/>
            <w:sz w:val="24"/>
            <w:szCs w:val="24"/>
            <w:u w:val="single"/>
          </w:rPr>
          <w:t>https://doi.org/10.1016/j.jasrep.2020.102462</w:t>
        </w:r>
      </w:hyperlink>
    </w:p>
    <w:p w14:paraId="42210953" w14:textId="77777777" w:rsidR="00073701" w:rsidRDefault="00073701">
      <w:pPr>
        <w:spacing w:after="0" w:line="240" w:lineRule="auto"/>
        <w:jc w:val="both"/>
        <w:rPr>
          <w:rFonts w:ascii="Times New Roman" w:eastAsia="Times New Roman" w:hAnsi="Times New Roman" w:cs="Times New Roman"/>
          <w:sz w:val="24"/>
          <w:szCs w:val="24"/>
        </w:rPr>
      </w:pPr>
    </w:p>
    <w:p w14:paraId="086F8687"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Andersson PS, Wasserbur GJ, Ingri J (1992) The sources and transport of Sr and Nd isotopes in the Baltic Sea. Earth Planet. Sci. Lett. 113:459-472. </w:t>
      </w:r>
      <w:hyperlink r:id="rId26">
        <w:r>
          <w:rPr>
            <w:rFonts w:ascii="Times New Roman" w:eastAsia="Times New Roman" w:hAnsi="Times New Roman" w:cs="Times New Roman"/>
            <w:color w:val="0563C1"/>
            <w:sz w:val="24"/>
            <w:szCs w:val="24"/>
            <w:u w:val="single"/>
          </w:rPr>
          <w:t>https://doi.org/10.1016/0012-821X(92)90124-E</w:t>
        </w:r>
      </w:hyperlink>
    </w:p>
    <w:p w14:paraId="3988A68F" w14:textId="77777777" w:rsidR="00073701" w:rsidRDefault="00073701">
      <w:pPr>
        <w:spacing w:after="0" w:line="240" w:lineRule="auto"/>
        <w:jc w:val="both"/>
        <w:rPr>
          <w:rFonts w:ascii="Times New Roman" w:eastAsia="Times New Roman" w:hAnsi="Times New Roman" w:cs="Times New Roman"/>
          <w:sz w:val="24"/>
          <w:szCs w:val="24"/>
        </w:rPr>
      </w:pPr>
    </w:p>
    <w:p w14:paraId="4A6A9AA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Antanaitis-Jacobs I, Kisielienė D, Stančikaitė M (2002) Macrobotanical and palynological research at two archaeological sites in Lithuania. Nordic archaeobotany-NAG 2000 in Umeå. Archaeol Environ 15:5-2</w:t>
      </w:r>
      <w:r>
        <w:rPr>
          <w:rFonts w:ascii="Times New Roman" w:eastAsia="Times New Roman" w:hAnsi="Times New Roman" w:cs="Times New Roman"/>
          <w:sz w:val="24"/>
          <w:szCs w:val="24"/>
        </w:rPr>
        <w:t>1</w:t>
      </w:r>
    </w:p>
    <w:p w14:paraId="76BC0FA5" w14:textId="77777777" w:rsidR="00073701" w:rsidRDefault="00073701">
      <w:pPr>
        <w:spacing w:after="0" w:line="240" w:lineRule="auto"/>
        <w:jc w:val="both"/>
        <w:rPr>
          <w:rFonts w:ascii="Times New Roman" w:eastAsia="Times New Roman" w:hAnsi="Times New Roman" w:cs="Times New Roman"/>
          <w:sz w:val="24"/>
          <w:szCs w:val="24"/>
        </w:rPr>
      </w:pPr>
    </w:p>
    <w:p w14:paraId="27B12D5F"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Antanaitis-Jacobs I, Richards M, Daugnora L, Jankauskas R, Ogrinc N (2009) Diet in early Lithuanian prehistory and the new stable isotope evidence. Archaeologia Baltica 12:12–30</w:t>
      </w:r>
    </w:p>
    <w:p w14:paraId="532655E0" w14:textId="77777777" w:rsidR="00073701" w:rsidRDefault="00073701">
      <w:pPr>
        <w:spacing w:after="0" w:line="240" w:lineRule="auto"/>
        <w:jc w:val="both"/>
        <w:rPr>
          <w:rFonts w:ascii="Times New Roman" w:eastAsia="Times New Roman" w:hAnsi="Times New Roman" w:cs="Times New Roman"/>
          <w:sz w:val="24"/>
          <w:szCs w:val="24"/>
        </w:rPr>
      </w:pPr>
    </w:p>
    <w:p w14:paraId="00B94D58"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Bäckström Y, Price TD (2016) Social identity and mobility at a pre-industr</w:t>
      </w:r>
      <w:r>
        <w:rPr>
          <w:rFonts w:ascii="Times New Roman" w:eastAsia="Times New Roman" w:hAnsi="Times New Roman" w:cs="Times New Roman"/>
          <w:sz w:val="24"/>
          <w:szCs w:val="24"/>
        </w:rPr>
        <w:t xml:space="preserve">ial mining complex, Sweden. J Archaeol Sci 66:154-168. </w:t>
      </w:r>
      <w:hyperlink r:id="rId27">
        <w:r>
          <w:rPr>
            <w:rFonts w:ascii="Times New Roman" w:eastAsia="Times New Roman" w:hAnsi="Times New Roman" w:cs="Times New Roman"/>
            <w:color w:val="0563C1"/>
            <w:sz w:val="24"/>
            <w:szCs w:val="24"/>
            <w:u w:val="single"/>
          </w:rPr>
          <w:t>https://doi.org/10.1016/j.jas.2016.01.004</w:t>
        </w:r>
      </w:hyperlink>
    </w:p>
    <w:p w14:paraId="5FD8C9B6" w14:textId="77777777" w:rsidR="00073701" w:rsidRDefault="00073701">
      <w:pPr>
        <w:spacing w:after="0" w:line="240" w:lineRule="auto"/>
        <w:jc w:val="both"/>
        <w:rPr>
          <w:rFonts w:ascii="Times New Roman" w:eastAsia="Times New Roman" w:hAnsi="Times New Roman" w:cs="Times New Roman"/>
          <w:sz w:val="24"/>
          <w:szCs w:val="24"/>
        </w:rPr>
      </w:pPr>
    </w:p>
    <w:p w14:paraId="1ABF336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Balasse M (2002) Reconstructing dietary and environmental history from enamel isotopic analysis: Time resolution of intra-tooth sequential sampling. Int J Osteoarchaeol 12:155-165. </w:t>
      </w:r>
      <w:hyperlink r:id="rId28">
        <w:r>
          <w:rPr>
            <w:rFonts w:ascii="Times New Roman" w:eastAsia="Times New Roman" w:hAnsi="Times New Roman" w:cs="Times New Roman"/>
            <w:color w:val="0563C1"/>
            <w:sz w:val="24"/>
            <w:szCs w:val="24"/>
            <w:u w:val="single"/>
          </w:rPr>
          <w:t>https://doi.org/10.1002/o</w:t>
        </w:r>
        <w:r>
          <w:rPr>
            <w:rFonts w:ascii="Times New Roman" w:eastAsia="Times New Roman" w:hAnsi="Times New Roman" w:cs="Times New Roman"/>
            <w:color w:val="0563C1"/>
            <w:sz w:val="24"/>
            <w:szCs w:val="24"/>
            <w:u w:val="single"/>
          </w:rPr>
          <w:t>a.601</w:t>
        </w:r>
      </w:hyperlink>
    </w:p>
    <w:p w14:paraId="34246F2E" w14:textId="77777777" w:rsidR="00073701" w:rsidRDefault="00073701">
      <w:pPr>
        <w:spacing w:after="0" w:line="240" w:lineRule="auto"/>
        <w:jc w:val="both"/>
        <w:rPr>
          <w:rFonts w:ascii="Times New Roman" w:eastAsia="Times New Roman" w:hAnsi="Times New Roman" w:cs="Times New Roman"/>
          <w:sz w:val="24"/>
          <w:szCs w:val="24"/>
        </w:rPr>
      </w:pPr>
    </w:p>
    <w:p w14:paraId="74CA1358" w14:textId="77777777" w:rsidR="00073701" w:rsidRDefault="00C87DCB">
      <w:pPr>
        <w:spacing w:after="0" w:line="24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Balasse M (2003) Potential biases in sampling design and interpretation of intra-tooth isotope analysis. Int J Osteoarchaeol 13:3-10. </w:t>
      </w:r>
      <w:hyperlink r:id="rId29">
        <w:r>
          <w:rPr>
            <w:rFonts w:ascii="Times New Roman" w:eastAsia="Times New Roman" w:hAnsi="Times New Roman" w:cs="Times New Roman"/>
            <w:color w:val="0563C1"/>
            <w:sz w:val="24"/>
            <w:szCs w:val="24"/>
            <w:u w:val="single"/>
          </w:rPr>
          <w:t>https://doi.org/10.1002/oa.656</w:t>
        </w:r>
      </w:hyperlink>
    </w:p>
    <w:p w14:paraId="07551CCB" w14:textId="77777777" w:rsidR="00073701" w:rsidRDefault="00073701">
      <w:pPr>
        <w:widowControl w:val="0"/>
        <w:spacing w:after="0" w:line="264" w:lineRule="auto"/>
        <w:jc w:val="both"/>
        <w:rPr>
          <w:rFonts w:ascii="Times New Roman" w:eastAsia="Times New Roman" w:hAnsi="Times New Roman" w:cs="Times New Roman"/>
          <w:color w:val="000000"/>
          <w:sz w:val="24"/>
          <w:szCs w:val="24"/>
        </w:rPr>
      </w:pPr>
    </w:p>
    <w:p w14:paraId="673E5B1B" w14:textId="77777777" w:rsidR="00073701" w:rsidRDefault="00C87DCB">
      <w:pPr>
        <w:widowControl w:val="0"/>
        <w:spacing w:after="0" w:line="26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Balasse M, Ambrose SH (2002) The </w:t>
      </w:r>
      <w:r>
        <w:rPr>
          <w:rFonts w:ascii="Times New Roman" w:eastAsia="Times New Roman" w:hAnsi="Times New Roman" w:cs="Times New Roman"/>
          <w:color w:val="000000"/>
          <w:sz w:val="24"/>
          <w:szCs w:val="24"/>
        </w:rPr>
        <w:t xml:space="preserve">seasonal mobility model for prehistoric herders in the south-western cape of South Africa assessed by isotopic analysis of sheep tooth enamel. </w:t>
      </w:r>
      <w:r>
        <w:rPr>
          <w:rFonts w:ascii="Times New Roman" w:eastAsia="Times New Roman" w:hAnsi="Times New Roman" w:cs="Times New Roman"/>
          <w:sz w:val="24"/>
          <w:szCs w:val="24"/>
        </w:rPr>
        <w:t>J Archaeol Sci</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29:917-932. </w:t>
      </w:r>
      <w:hyperlink r:id="rId30">
        <w:r>
          <w:rPr>
            <w:rFonts w:ascii="Times New Roman" w:eastAsia="Times New Roman" w:hAnsi="Times New Roman" w:cs="Times New Roman"/>
            <w:color w:val="0563C1"/>
            <w:sz w:val="24"/>
            <w:szCs w:val="24"/>
            <w:u w:val="single"/>
          </w:rPr>
          <w:t>https://doi.org/10.1006/jasc.2001.0787</w:t>
        </w:r>
      </w:hyperlink>
    </w:p>
    <w:p w14:paraId="5E39FFF6" w14:textId="77777777" w:rsidR="00073701" w:rsidRDefault="00073701">
      <w:pPr>
        <w:spacing w:after="0" w:line="240" w:lineRule="auto"/>
        <w:jc w:val="both"/>
        <w:rPr>
          <w:rFonts w:ascii="Times New Roman" w:eastAsia="Times New Roman" w:hAnsi="Times New Roman" w:cs="Times New Roman"/>
          <w:color w:val="000000"/>
          <w:sz w:val="24"/>
          <w:szCs w:val="24"/>
          <w:u w:val="single"/>
        </w:rPr>
      </w:pPr>
    </w:p>
    <w:p w14:paraId="721D627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Bataille CP, Crowley BE, Wooler MK, Bowen GJ (2020) Advances in global bioavailable strontium isoscapes. Palaeogeogr Palaeoclimatol Palaeoecol 555:109849. </w:t>
      </w:r>
      <w:hyperlink r:id="rId31">
        <w:r>
          <w:rPr>
            <w:rFonts w:ascii="Times New Roman" w:eastAsia="Times New Roman" w:hAnsi="Times New Roman" w:cs="Times New Roman"/>
            <w:color w:val="0563C1"/>
            <w:sz w:val="24"/>
            <w:szCs w:val="24"/>
            <w:u w:val="single"/>
          </w:rPr>
          <w:t>https://doi.org/10.1016/j.palaeo.2020.109849</w:t>
        </w:r>
      </w:hyperlink>
    </w:p>
    <w:p w14:paraId="6C56A6B3" w14:textId="77777777" w:rsidR="00073701" w:rsidRDefault="00073701">
      <w:pPr>
        <w:spacing w:after="0" w:line="240" w:lineRule="auto"/>
        <w:jc w:val="both"/>
        <w:rPr>
          <w:rFonts w:ascii="Times New Roman" w:eastAsia="Times New Roman" w:hAnsi="Times New Roman" w:cs="Times New Roman"/>
          <w:sz w:val="24"/>
          <w:szCs w:val="24"/>
        </w:rPr>
      </w:pPr>
    </w:p>
    <w:p w14:paraId="5346017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Bentley RA (2006) Strontium isotopes from the earth to the archaeological skeleton: a review. J Archaeol Method Theory 13:135-187. </w:t>
      </w:r>
      <w:hyperlink r:id="rId32">
        <w:r>
          <w:rPr>
            <w:rFonts w:ascii="Times New Roman" w:eastAsia="Times New Roman" w:hAnsi="Times New Roman" w:cs="Times New Roman"/>
            <w:color w:val="0563C1"/>
            <w:sz w:val="24"/>
            <w:szCs w:val="24"/>
            <w:u w:val="single"/>
          </w:rPr>
          <w:t>https://doi.org</w:t>
        </w:r>
        <w:r>
          <w:rPr>
            <w:rFonts w:ascii="Times New Roman" w:eastAsia="Times New Roman" w:hAnsi="Times New Roman" w:cs="Times New Roman"/>
            <w:color w:val="0563C1"/>
            <w:sz w:val="24"/>
            <w:szCs w:val="24"/>
            <w:u w:val="single"/>
          </w:rPr>
          <w:t>/10.1007/s10816-006-9009-x</w:t>
        </w:r>
      </w:hyperlink>
    </w:p>
    <w:p w14:paraId="3FB2DD04" w14:textId="77777777" w:rsidR="00073701" w:rsidRDefault="00073701">
      <w:pPr>
        <w:spacing w:after="0" w:line="240" w:lineRule="auto"/>
        <w:jc w:val="both"/>
        <w:rPr>
          <w:rFonts w:ascii="Times New Roman" w:eastAsia="Times New Roman" w:hAnsi="Times New Roman" w:cs="Times New Roman"/>
          <w:sz w:val="24"/>
          <w:szCs w:val="24"/>
        </w:rPr>
      </w:pPr>
    </w:p>
    <w:p w14:paraId="4BD5B16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Bentley RA, Knipper C (2005) Geographic patterns in biologically-available strontium, carbon and oxygen isotopes signatures in prehistoric SW Germany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Archaeometry 47:629-644. </w:t>
      </w:r>
      <w:hyperlink r:id="rId33">
        <w:r>
          <w:rPr>
            <w:rFonts w:ascii="Times New Roman" w:eastAsia="Times New Roman" w:hAnsi="Times New Roman" w:cs="Times New Roman"/>
            <w:color w:val="0563C1"/>
            <w:sz w:val="24"/>
            <w:szCs w:val="24"/>
            <w:u w:val="single"/>
          </w:rPr>
          <w:t>https://doi.org/10.1111/j.1475-4754.2005.00223.x</w:t>
        </w:r>
      </w:hyperlink>
    </w:p>
    <w:p w14:paraId="60048DAB" w14:textId="77777777" w:rsidR="00073701" w:rsidRDefault="00073701">
      <w:pPr>
        <w:spacing w:after="0" w:line="240" w:lineRule="auto"/>
        <w:jc w:val="both"/>
        <w:rPr>
          <w:rFonts w:ascii="Times New Roman" w:eastAsia="Times New Roman" w:hAnsi="Times New Roman" w:cs="Times New Roman"/>
          <w:sz w:val="24"/>
          <w:szCs w:val="24"/>
        </w:rPr>
      </w:pPr>
    </w:p>
    <w:p w14:paraId="29BBC89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Blank M, Sjögren K-G, Knipper C, Frei KM, Malmström H, Fraser M, Svensson EM, Günther T, Yngve H, Jakobsson M, Götherström A, Storå J (2021) Mobility patterns in inland southwestern Sweden d</w:t>
      </w:r>
      <w:r>
        <w:rPr>
          <w:rFonts w:ascii="Times New Roman" w:eastAsia="Times New Roman" w:hAnsi="Times New Roman" w:cs="Times New Roman"/>
          <w:sz w:val="24"/>
          <w:szCs w:val="24"/>
        </w:rPr>
        <w:t xml:space="preserve">uring the Neolithic and Early Bronze Age. Archaeol Anthropol Sci 13:64. </w:t>
      </w:r>
      <w:hyperlink r:id="rId34">
        <w:r>
          <w:rPr>
            <w:rFonts w:ascii="Times New Roman" w:eastAsia="Times New Roman" w:hAnsi="Times New Roman" w:cs="Times New Roman"/>
            <w:color w:val="0563C1"/>
            <w:sz w:val="24"/>
            <w:szCs w:val="24"/>
            <w:u w:val="single"/>
          </w:rPr>
          <w:t>https://doi.org/10.1007/s12520-021-01294-4</w:t>
        </w:r>
      </w:hyperlink>
    </w:p>
    <w:p w14:paraId="240C13AA" w14:textId="77777777" w:rsidR="00073701" w:rsidRDefault="00073701">
      <w:pPr>
        <w:spacing w:after="0" w:line="240" w:lineRule="auto"/>
        <w:jc w:val="both"/>
        <w:rPr>
          <w:rFonts w:ascii="Times New Roman" w:eastAsia="Times New Roman" w:hAnsi="Times New Roman" w:cs="Times New Roman"/>
          <w:sz w:val="24"/>
          <w:szCs w:val="24"/>
        </w:rPr>
      </w:pPr>
    </w:p>
    <w:p w14:paraId="7E5B386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Boethius A, Kjällquist M, Kielman-Schmitt M, Ahlström T, Larsson L (2021) Earl</w:t>
      </w:r>
      <w:r>
        <w:rPr>
          <w:rFonts w:ascii="Times New Roman" w:eastAsia="Times New Roman" w:hAnsi="Times New Roman" w:cs="Times New Roman"/>
          <w:sz w:val="24"/>
          <w:szCs w:val="24"/>
        </w:rPr>
        <w:t xml:space="preserve">y Holocene Scandinavian foragers on a journey to affluence: Mesolithic fish exploitation, seasonal abundance and storage investigated through strontium isotope ratios by laser ablation (LA-MC-ICP-MS). PLoS ONE 16(1):e0245222. </w:t>
      </w:r>
      <w:hyperlink r:id="rId35">
        <w:r>
          <w:rPr>
            <w:rFonts w:ascii="Times New Roman" w:eastAsia="Times New Roman" w:hAnsi="Times New Roman" w:cs="Times New Roman"/>
            <w:color w:val="0563C1"/>
            <w:sz w:val="24"/>
            <w:szCs w:val="24"/>
            <w:u w:val="single"/>
          </w:rPr>
          <w:t>https://doi.org/10.1371/journal.pone.0245222</w:t>
        </w:r>
      </w:hyperlink>
    </w:p>
    <w:p w14:paraId="0C907502" w14:textId="77777777" w:rsidR="00073701" w:rsidRDefault="00073701">
      <w:pPr>
        <w:spacing w:after="0" w:line="240" w:lineRule="auto"/>
        <w:jc w:val="both"/>
        <w:rPr>
          <w:rFonts w:ascii="Times New Roman" w:eastAsia="Times New Roman" w:hAnsi="Times New Roman" w:cs="Times New Roman"/>
          <w:sz w:val="24"/>
          <w:szCs w:val="24"/>
        </w:rPr>
      </w:pPr>
    </w:p>
    <w:p w14:paraId="1CE5854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Böhlke JK, Horan M (2000) Strontium isotope geochemistry of groundwaters and streams affected by agriculture, Locust Grove, MD. Applied Geochemistry 15(5):599-609. </w:t>
      </w:r>
      <w:hyperlink r:id="rId36">
        <w:r>
          <w:rPr>
            <w:rFonts w:ascii="Times New Roman" w:eastAsia="Times New Roman" w:hAnsi="Times New Roman" w:cs="Times New Roman"/>
            <w:color w:val="0563C1"/>
            <w:sz w:val="24"/>
            <w:szCs w:val="24"/>
            <w:u w:val="single"/>
          </w:rPr>
          <w:t>https://doi.org/10.1016/S0883-2927(99)00075-X</w:t>
        </w:r>
      </w:hyperlink>
    </w:p>
    <w:p w14:paraId="2C35B295" w14:textId="77777777" w:rsidR="00073701" w:rsidRDefault="00073701">
      <w:pPr>
        <w:spacing w:after="0" w:line="240" w:lineRule="auto"/>
        <w:jc w:val="both"/>
        <w:rPr>
          <w:rFonts w:ascii="Times New Roman" w:eastAsia="Times New Roman" w:hAnsi="Times New Roman" w:cs="Times New Roman"/>
          <w:sz w:val="24"/>
          <w:szCs w:val="24"/>
        </w:rPr>
      </w:pPr>
    </w:p>
    <w:p w14:paraId="2310B8C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Borić D, Price TD (2013) Strontium isotopes document greater human mobility at the start of the Balkan Neolithic. Proc Natl Acad Sci U S A 110(9):3298-3303.</w:t>
      </w:r>
      <w:r>
        <w:rPr>
          <w:rFonts w:ascii="Times New Roman" w:eastAsia="Times New Roman" w:hAnsi="Times New Roman" w:cs="Times New Roman"/>
          <w:sz w:val="24"/>
          <w:szCs w:val="24"/>
        </w:rPr>
        <w:t xml:space="preserve"> </w:t>
      </w:r>
      <w:hyperlink r:id="rId37">
        <w:r>
          <w:rPr>
            <w:rFonts w:ascii="Times New Roman" w:eastAsia="Times New Roman" w:hAnsi="Times New Roman" w:cs="Times New Roman"/>
            <w:color w:val="0563C1"/>
            <w:sz w:val="24"/>
            <w:szCs w:val="24"/>
            <w:u w:val="single"/>
          </w:rPr>
          <w:t>https://doi.org/10.1073/pnas.1211474110</w:t>
        </w:r>
      </w:hyperlink>
    </w:p>
    <w:p w14:paraId="538E4C90" w14:textId="77777777" w:rsidR="00073701" w:rsidRDefault="00073701">
      <w:pPr>
        <w:spacing w:after="0" w:line="240" w:lineRule="auto"/>
        <w:jc w:val="both"/>
        <w:rPr>
          <w:rFonts w:ascii="Times New Roman" w:eastAsia="Times New Roman" w:hAnsi="Times New Roman" w:cs="Times New Roman"/>
          <w:sz w:val="24"/>
          <w:szCs w:val="24"/>
        </w:rPr>
      </w:pPr>
    </w:p>
    <w:p w14:paraId="151C241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Boulton GS, Dongelmans P, Punkari M, Broadgate M (2001) Palaeoglaciology of an ice sheet through a glacial cycle: the European ice sheet through the Weichselian. Quaternary Science Reviews 20:591-625. </w:t>
      </w:r>
      <w:hyperlink r:id="rId38">
        <w:r>
          <w:rPr>
            <w:rFonts w:ascii="Times New Roman" w:eastAsia="Times New Roman" w:hAnsi="Times New Roman" w:cs="Times New Roman"/>
            <w:color w:val="0563C1"/>
            <w:sz w:val="24"/>
            <w:szCs w:val="24"/>
            <w:u w:val="single"/>
          </w:rPr>
          <w:t>https://doi.org/10.1016/S0277-3791(00)00160-8</w:t>
        </w:r>
      </w:hyperlink>
    </w:p>
    <w:p w14:paraId="73A0DF17" w14:textId="77777777" w:rsidR="00073701" w:rsidRDefault="00073701">
      <w:pPr>
        <w:spacing w:after="0" w:line="240" w:lineRule="auto"/>
        <w:jc w:val="both"/>
        <w:rPr>
          <w:rFonts w:ascii="Times New Roman" w:eastAsia="Times New Roman" w:hAnsi="Times New Roman" w:cs="Times New Roman"/>
          <w:sz w:val="24"/>
          <w:szCs w:val="24"/>
        </w:rPr>
      </w:pPr>
    </w:p>
    <w:p w14:paraId="7D9B6EA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Cramer BD, Munnecke A, Schofield DI, Haase KM, Haase-Schramm A (2011) A revised</w:t>
      </w:r>
      <w:r>
        <w:rPr>
          <w:rFonts w:ascii="Times New Roman" w:eastAsia="Times New Roman" w:hAnsi="Times New Roman" w:cs="Times New Roman"/>
          <w:sz w:val="24"/>
          <w:szCs w:val="24"/>
          <w:vertAlign w:val="superscript"/>
        </w:rPr>
        <w:t xml:space="preserve"> 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curve for the Silurian: implications for global ocean chemistry and the Silurian timescale. J Geol 119(4):335</w:t>
      </w:r>
      <w:r>
        <w:rPr>
          <w:rFonts w:ascii="Times New Roman" w:eastAsia="Times New Roman" w:hAnsi="Times New Roman" w:cs="Times New Roman"/>
          <w:sz w:val="24"/>
          <w:szCs w:val="24"/>
        </w:rPr>
        <w:t>-349</w:t>
      </w:r>
    </w:p>
    <w:p w14:paraId="4EF14C98" w14:textId="77777777" w:rsidR="00073701" w:rsidRDefault="00073701">
      <w:pPr>
        <w:spacing w:after="0" w:line="240" w:lineRule="auto"/>
        <w:jc w:val="both"/>
        <w:rPr>
          <w:rFonts w:ascii="Times New Roman" w:eastAsia="Times New Roman" w:hAnsi="Times New Roman" w:cs="Times New Roman"/>
          <w:sz w:val="24"/>
          <w:szCs w:val="24"/>
        </w:rPr>
      </w:pPr>
    </w:p>
    <w:p w14:paraId="1A143F2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Cressie N (1991) Statistics for spatial data. Wiley, New York</w:t>
      </w:r>
    </w:p>
    <w:p w14:paraId="15C7B681" w14:textId="77777777" w:rsidR="00073701" w:rsidRDefault="00073701">
      <w:pPr>
        <w:spacing w:after="0" w:line="240" w:lineRule="auto"/>
        <w:jc w:val="both"/>
        <w:rPr>
          <w:rFonts w:ascii="Times New Roman" w:eastAsia="Times New Roman" w:hAnsi="Times New Roman" w:cs="Times New Roman"/>
          <w:sz w:val="24"/>
          <w:szCs w:val="24"/>
        </w:rPr>
      </w:pPr>
    </w:p>
    <w:p w14:paraId="29B12597"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Delmonte B, Andersson PS, Hansson M, Schöberg H, Petit JR, Basile-Doelsch I, Maggi V (2008) Aeolian dust in East Antarctica (EPICA-Dome C and Vostok): Provenance during glacial ages over </w:t>
      </w:r>
      <w:r>
        <w:rPr>
          <w:rFonts w:ascii="Times New Roman" w:eastAsia="Times New Roman" w:hAnsi="Times New Roman" w:cs="Times New Roman"/>
          <w:sz w:val="24"/>
          <w:szCs w:val="24"/>
        </w:rPr>
        <w:t xml:space="preserve">the last 800 kyr. Geophysical Research Letters 35(7):1-6. </w:t>
      </w:r>
      <w:hyperlink r:id="rId39">
        <w:r>
          <w:rPr>
            <w:rFonts w:ascii="Times New Roman" w:eastAsia="Times New Roman" w:hAnsi="Times New Roman" w:cs="Times New Roman"/>
            <w:color w:val="0563C1"/>
            <w:sz w:val="24"/>
            <w:szCs w:val="24"/>
            <w:u w:val="single"/>
          </w:rPr>
          <w:t>https://doi.org/10.1029/2008GL033382</w:t>
        </w:r>
      </w:hyperlink>
    </w:p>
    <w:p w14:paraId="0BFBEA93" w14:textId="77777777" w:rsidR="00073701" w:rsidRDefault="00073701">
      <w:pPr>
        <w:spacing w:after="0" w:line="240" w:lineRule="auto"/>
        <w:jc w:val="both"/>
        <w:rPr>
          <w:rFonts w:ascii="Times New Roman" w:eastAsia="Times New Roman" w:hAnsi="Times New Roman" w:cs="Times New Roman"/>
          <w:sz w:val="24"/>
          <w:szCs w:val="24"/>
        </w:rPr>
      </w:pPr>
    </w:p>
    <w:p w14:paraId="5A62BF4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Diener A, Ebneth S, Veizer J, Buhl D (1996) Strontium isotope stratigraphy of the middle Devonian: brachiopods and conodonts. Geochim Cosmochim Acta 60:639-652. </w:t>
      </w:r>
      <w:hyperlink r:id="rId40">
        <w:r>
          <w:rPr>
            <w:rFonts w:ascii="Times New Roman" w:eastAsia="Times New Roman" w:hAnsi="Times New Roman" w:cs="Times New Roman"/>
            <w:color w:val="0563C1"/>
            <w:sz w:val="24"/>
            <w:szCs w:val="24"/>
            <w:u w:val="single"/>
          </w:rPr>
          <w:t>https://doi.org/10.1016/0016-70</w:t>
        </w:r>
        <w:r>
          <w:rPr>
            <w:rFonts w:ascii="Times New Roman" w:eastAsia="Times New Roman" w:hAnsi="Times New Roman" w:cs="Times New Roman"/>
            <w:color w:val="0563C1"/>
            <w:sz w:val="24"/>
            <w:szCs w:val="24"/>
            <w:u w:val="single"/>
          </w:rPr>
          <w:t>37(95)00409-2</w:t>
        </w:r>
      </w:hyperlink>
    </w:p>
    <w:p w14:paraId="1950D146" w14:textId="77777777" w:rsidR="00073701" w:rsidRDefault="00073701">
      <w:pPr>
        <w:spacing w:after="0" w:line="240" w:lineRule="auto"/>
        <w:jc w:val="both"/>
        <w:rPr>
          <w:rFonts w:ascii="Times New Roman" w:eastAsia="Times New Roman" w:hAnsi="Times New Roman" w:cs="Times New Roman"/>
          <w:sz w:val="24"/>
          <w:szCs w:val="24"/>
        </w:rPr>
      </w:pPr>
    </w:p>
    <w:p w14:paraId="4C79330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Dijkstra FA, Van Breemen N, Jongmans AG, Davies GR, Likens GE (2003) Calcium weathering in forested soils and the effect of different tree species. Biogeochemistry 62:253-275. </w:t>
      </w:r>
      <w:hyperlink r:id="rId41">
        <w:r>
          <w:rPr>
            <w:rFonts w:ascii="Times New Roman" w:eastAsia="Times New Roman" w:hAnsi="Times New Roman" w:cs="Times New Roman"/>
            <w:color w:val="0563C1"/>
            <w:sz w:val="24"/>
            <w:szCs w:val="24"/>
            <w:u w:val="single"/>
          </w:rPr>
          <w:t>https:</w:t>
        </w:r>
        <w:r>
          <w:rPr>
            <w:rFonts w:ascii="Times New Roman" w:eastAsia="Times New Roman" w:hAnsi="Times New Roman" w:cs="Times New Roman"/>
            <w:color w:val="0563C1"/>
            <w:sz w:val="24"/>
            <w:szCs w:val="24"/>
            <w:u w:val="single"/>
          </w:rPr>
          <w:t>//doi.org/10.1023/A:1021132132199</w:t>
        </w:r>
      </w:hyperlink>
    </w:p>
    <w:p w14:paraId="60A7BA7B" w14:textId="77777777" w:rsidR="00073701" w:rsidRDefault="00073701">
      <w:pPr>
        <w:spacing w:after="0" w:line="240" w:lineRule="auto"/>
        <w:jc w:val="both"/>
        <w:rPr>
          <w:rFonts w:ascii="Times New Roman" w:eastAsia="Times New Roman" w:hAnsi="Times New Roman" w:cs="Times New Roman"/>
          <w:b/>
          <w:sz w:val="24"/>
          <w:szCs w:val="24"/>
        </w:rPr>
      </w:pPr>
    </w:p>
    <w:p w14:paraId="1DA9F53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CT, Saltzman MR, Leslie SA, Bergstrom SM, Sedlacek ARC, Howard A, Bauer JA, Sweet WC, Young SA (2015) Strontium isotope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stratigraphy of Ordovician bulk carbonate: implications for preservation of prima</w:t>
      </w:r>
      <w:r>
        <w:rPr>
          <w:rFonts w:ascii="Times New Roman" w:eastAsia="Times New Roman" w:hAnsi="Times New Roman" w:cs="Times New Roman"/>
          <w:sz w:val="24"/>
          <w:szCs w:val="24"/>
        </w:rPr>
        <w:t xml:space="preserve">ry seawater values. GSA Bull 127(9-10):1275-1289. </w:t>
      </w:r>
      <w:hyperlink r:id="rId42">
        <w:r>
          <w:rPr>
            <w:rFonts w:ascii="Times New Roman" w:eastAsia="Times New Roman" w:hAnsi="Times New Roman" w:cs="Times New Roman"/>
            <w:color w:val="0563C1"/>
            <w:sz w:val="24"/>
            <w:szCs w:val="24"/>
            <w:u w:val="single"/>
          </w:rPr>
          <w:t>https://doi.org/10.1130/B31149.1</w:t>
        </w:r>
      </w:hyperlink>
    </w:p>
    <w:p w14:paraId="1C306A50" w14:textId="77777777" w:rsidR="00073701" w:rsidRDefault="00073701">
      <w:pPr>
        <w:spacing w:after="0" w:line="240" w:lineRule="auto"/>
        <w:jc w:val="both"/>
        <w:rPr>
          <w:rFonts w:ascii="Times New Roman" w:eastAsia="Times New Roman" w:hAnsi="Times New Roman" w:cs="Times New Roman"/>
          <w:b/>
          <w:sz w:val="24"/>
          <w:szCs w:val="24"/>
        </w:rPr>
      </w:pPr>
    </w:p>
    <w:p w14:paraId="086B4F2A"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Ericson JE (1985) Strontium isotope characterization in the study of prehistoric human ecology. J Hum Evol 14(5):503-514</w:t>
      </w:r>
      <w:r>
        <w:rPr>
          <w:rFonts w:ascii="Times New Roman" w:eastAsia="Times New Roman" w:hAnsi="Times New Roman" w:cs="Times New Roman"/>
          <w:sz w:val="24"/>
          <w:szCs w:val="24"/>
        </w:rPr>
        <w:t xml:space="preserve">. </w:t>
      </w:r>
      <w:hyperlink r:id="rId43">
        <w:r>
          <w:rPr>
            <w:rFonts w:ascii="Times New Roman" w:eastAsia="Times New Roman" w:hAnsi="Times New Roman" w:cs="Times New Roman"/>
            <w:color w:val="0563C1"/>
            <w:sz w:val="24"/>
            <w:szCs w:val="24"/>
            <w:u w:val="single"/>
          </w:rPr>
          <w:t>https://doi.org/10.1016/S0047-2484(85)80029-4</w:t>
        </w:r>
      </w:hyperlink>
    </w:p>
    <w:p w14:paraId="17C8B868" w14:textId="77777777" w:rsidR="00073701" w:rsidRDefault="00073701">
      <w:pPr>
        <w:spacing w:after="0" w:line="240" w:lineRule="auto"/>
        <w:jc w:val="both"/>
        <w:rPr>
          <w:rFonts w:ascii="Times New Roman" w:eastAsia="Times New Roman" w:hAnsi="Times New Roman" w:cs="Times New Roman"/>
          <w:sz w:val="24"/>
          <w:szCs w:val="24"/>
        </w:rPr>
      </w:pPr>
    </w:p>
    <w:p w14:paraId="0A571F7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Eriksson G, Frei KM, Howcroft R, Gummesson S, Molin F, Lidén K, Frei R, Hallgren F (2018) Diet and mobility among Mesolithic hunter-gatherers </w:t>
      </w:r>
      <w:r>
        <w:rPr>
          <w:rFonts w:ascii="Times New Roman" w:eastAsia="Times New Roman" w:hAnsi="Times New Roman" w:cs="Times New Roman"/>
          <w:sz w:val="24"/>
          <w:szCs w:val="24"/>
        </w:rPr>
        <w:t xml:space="preserve">in Motala (Sweden) - The isotope perspective. J Archaeol Sci Rep 17:904-918. </w:t>
      </w:r>
      <w:hyperlink r:id="rId44">
        <w:r>
          <w:rPr>
            <w:rFonts w:ascii="Times New Roman" w:eastAsia="Times New Roman" w:hAnsi="Times New Roman" w:cs="Times New Roman"/>
            <w:color w:val="0563C1"/>
            <w:sz w:val="24"/>
            <w:szCs w:val="24"/>
            <w:u w:val="single"/>
          </w:rPr>
          <w:t>https://doi.org/10.1016/j.jasrep.2016.05.052</w:t>
        </w:r>
      </w:hyperlink>
    </w:p>
    <w:p w14:paraId="4B5EB5C0" w14:textId="77777777" w:rsidR="00073701" w:rsidRDefault="00073701">
      <w:pPr>
        <w:spacing w:after="0" w:line="240" w:lineRule="auto"/>
        <w:jc w:val="both"/>
        <w:rPr>
          <w:rFonts w:ascii="Times New Roman" w:eastAsia="Times New Roman" w:hAnsi="Times New Roman" w:cs="Times New Roman"/>
          <w:sz w:val="24"/>
          <w:szCs w:val="24"/>
        </w:rPr>
      </w:pPr>
    </w:p>
    <w:p w14:paraId="0B6F765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Fraser M, Sjödin P, Sanchez-Quinto F, Evans J, Svedjemo G, Knutsson K</w:t>
      </w:r>
      <w:r>
        <w:rPr>
          <w:rFonts w:ascii="Times New Roman" w:eastAsia="Times New Roman" w:hAnsi="Times New Roman" w:cs="Times New Roman"/>
          <w:sz w:val="24"/>
          <w:szCs w:val="24"/>
        </w:rPr>
        <w:t xml:space="preserve">, Götherström A, Jakobsson M, Wallin P, Storå J (2018) The Stone Cist Conundrum. A multidisciplinary approach to investigate Late Neolithic/Early Bronze Age population demography on the Island of Gotland. J Archaeol Sci Rep 20:324-337. </w:t>
      </w:r>
      <w:hyperlink r:id="rId45">
        <w:r>
          <w:rPr>
            <w:rFonts w:ascii="Times New Roman" w:eastAsia="Times New Roman" w:hAnsi="Times New Roman" w:cs="Times New Roman"/>
            <w:color w:val="0563C1"/>
            <w:sz w:val="24"/>
            <w:szCs w:val="24"/>
            <w:u w:val="single"/>
          </w:rPr>
          <w:t>https://doi.org/10.1016/j.jasrep.2018.02.045</w:t>
        </w:r>
      </w:hyperlink>
    </w:p>
    <w:p w14:paraId="4E1AED06" w14:textId="77777777" w:rsidR="00073701" w:rsidRDefault="00073701">
      <w:pPr>
        <w:spacing w:after="0" w:line="240" w:lineRule="auto"/>
        <w:jc w:val="both"/>
        <w:rPr>
          <w:rFonts w:ascii="Times New Roman" w:eastAsia="Times New Roman" w:hAnsi="Times New Roman" w:cs="Times New Roman"/>
          <w:sz w:val="24"/>
          <w:szCs w:val="24"/>
        </w:rPr>
      </w:pPr>
    </w:p>
    <w:p w14:paraId="7A03D2B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Frei KM, Bergerbrant S, Sjögren KG, Jørkov ML, Lynnerup N, Harvig L, Allentoft ME, Sikora M, Price TD, Frei R, Kristiansen K (2019) Mapping human mobility during the third and second millennia BC in present-day Denmark. PLoS ONE 14:e0219850. </w:t>
      </w:r>
      <w:hyperlink r:id="rId46">
        <w:r>
          <w:rPr>
            <w:rFonts w:ascii="Times New Roman" w:eastAsia="Times New Roman" w:hAnsi="Times New Roman" w:cs="Times New Roman"/>
            <w:color w:val="0563C1"/>
            <w:sz w:val="24"/>
            <w:szCs w:val="24"/>
            <w:u w:val="single"/>
          </w:rPr>
          <w:t>https://doi.org/10.1371/journal.pone.0219850</w:t>
        </w:r>
      </w:hyperlink>
    </w:p>
    <w:p w14:paraId="7FB7F159" w14:textId="77777777" w:rsidR="00073701" w:rsidRDefault="00073701">
      <w:pPr>
        <w:spacing w:after="0" w:line="240" w:lineRule="auto"/>
        <w:jc w:val="both"/>
        <w:rPr>
          <w:rFonts w:ascii="Times New Roman" w:eastAsia="Times New Roman" w:hAnsi="Times New Roman" w:cs="Times New Roman"/>
          <w:sz w:val="24"/>
          <w:szCs w:val="24"/>
        </w:rPr>
      </w:pPr>
    </w:p>
    <w:p w14:paraId="4EB2E42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Gerling C (2015) Prehistoric mobility and diet in the West Eurasian steppes 3500 to 300 BC: An isotopic approach. Walter de Gruyter GmbH, Berlin.</w:t>
      </w:r>
    </w:p>
    <w:p w14:paraId="3FE6CF7B" w14:textId="77777777" w:rsidR="00073701" w:rsidRDefault="00073701">
      <w:pPr>
        <w:spacing w:after="0" w:line="240" w:lineRule="auto"/>
        <w:jc w:val="both"/>
        <w:rPr>
          <w:rFonts w:ascii="Times New Roman" w:eastAsia="Times New Roman" w:hAnsi="Times New Roman" w:cs="Times New Roman"/>
          <w:sz w:val="24"/>
          <w:szCs w:val="24"/>
        </w:rPr>
      </w:pPr>
    </w:p>
    <w:p w14:paraId="14B2877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Girininkas A,</w:t>
      </w:r>
      <w:r>
        <w:rPr>
          <w:rFonts w:ascii="Times New Roman" w:eastAsia="Times New Roman" w:hAnsi="Times New Roman" w:cs="Times New Roman"/>
          <w:sz w:val="24"/>
          <w:szCs w:val="24"/>
        </w:rPr>
        <w:t xml:space="preserve"> Daugnora L (2015) Ūkis ir visuomenė Lietuvos priešistorėje. I. Klaipėdos universiteto leidykla, Klaipėda</w:t>
      </w:r>
    </w:p>
    <w:p w14:paraId="2002A0CA" w14:textId="77777777" w:rsidR="00073701" w:rsidRDefault="00073701">
      <w:pPr>
        <w:spacing w:after="0" w:line="240" w:lineRule="auto"/>
        <w:jc w:val="both"/>
        <w:rPr>
          <w:rFonts w:ascii="Times New Roman" w:eastAsia="Times New Roman" w:hAnsi="Times New Roman" w:cs="Times New Roman"/>
          <w:sz w:val="24"/>
          <w:szCs w:val="24"/>
        </w:rPr>
      </w:pPr>
    </w:p>
    <w:p w14:paraId="1FDF3BB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Glykou A, Eriksson G, Storå J, Schmitt M, Kooijman E, Lidén K (2018) Intra-and inter-tooth variation in strontium isotope ratios from prehistoric sea</w:t>
      </w:r>
      <w:r>
        <w:rPr>
          <w:rFonts w:ascii="Times New Roman" w:eastAsia="Times New Roman" w:hAnsi="Times New Roman" w:cs="Times New Roman"/>
          <w:sz w:val="24"/>
          <w:szCs w:val="24"/>
        </w:rPr>
        <w:t xml:space="preserve">ls by laser ablation (LA)-MC-ICP-MS. Rapid Communications in Mass Spectrometry 32(15):1215-1224. </w:t>
      </w:r>
      <w:hyperlink r:id="rId47">
        <w:r>
          <w:rPr>
            <w:rFonts w:ascii="Times New Roman" w:eastAsia="Times New Roman" w:hAnsi="Times New Roman" w:cs="Times New Roman"/>
            <w:color w:val="0563C1"/>
            <w:sz w:val="24"/>
            <w:szCs w:val="24"/>
            <w:u w:val="single"/>
          </w:rPr>
          <w:t>https://doi.org/10.1002/rcm.8158</w:t>
        </w:r>
      </w:hyperlink>
    </w:p>
    <w:p w14:paraId="52022575" w14:textId="77777777" w:rsidR="00073701" w:rsidRDefault="00073701">
      <w:pPr>
        <w:spacing w:after="0" w:line="240" w:lineRule="auto"/>
        <w:jc w:val="both"/>
        <w:rPr>
          <w:rFonts w:ascii="Times New Roman" w:eastAsia="Times New Roman" w:hAnsi="Times New Roman" w:cs="Times New Roman"/>
          <w:sz w:val="24"/>
          <w:szCs w:val="24"/>
        </w:rPr>
      </w:pPr>
    </w:p>
    <w:p w14:paraId="3763D4C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Gorlach A, Kalm V, Hang T (2015) Thickness distribution of Quaternary dep</w:t>
      </w:r>
      <w:r>
        <w:rPr>
          <w:rFonts w:ascii="Times New Roman" w:eastAsia="Times New Roman" w:hAnsi="Times New Roman" w:cs="Times New Roman"/>
          <w:sz w:val="24"/>
          <w:szCs w:val="24"/>
        </w:rPr>
        <w:t xml:space="preserve">osits in formerly glaciated part of East European Plain. J Maps 11(4):625-635. </w:t>
      </w:r>
      <w:hyperlink r:id="rId48">
        <w:r>
          <w:rPr>
            <w:rFonts w:ascii="Times New Roman" w:eastAsia="Times New Roman" w:hAnsi="Times New Roman" w:cs="Times New Roman"/>
            <w:color w:val="0563C1"/>
            <w:sz w:val="24"/>
            <w:szCs w:val="24"/>
            <w:u w:val="single"/>
          </w:rPr>
          <w:t>https://doi.org/10.1080/17445647.2014.954646</w:t>
        </w:r>
      </w:hyperlink>
    </w:p>
    <w:p w14:paraId="0BE64630" w14:textId="77777777" w:rsidR="00073701" w:rsidRDefault="00073701">
      <w:pPr>
        <w:spacing w:after="0" w:line="240" w:lineRule="auto"/>
        <w:jc w:val="both"/>
        <w:rPr>
          <w:rFonts w:ascii="Times New Roman" w:eastAsia="Times New Roman" w:hAnsi="Times New Roman" w:cs="Times New Roman"/>
          <w:sz w:val="24"/>
          <w:szCs w:val="24"/>
        </w:rPr>
      </w:pPr>
    </w:p>
    <w:p w14:paraId="1C1F50E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Graustein WC, Armstrong RL (1983) The use of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ratios to me</w:t>
      </w:r>
      <w:r>
        <w:rPr>
          <w:rFonts w:ascii="Times New Roman" w:eastAsia="Times New Roman" w:hAnsi="Times New Roman" w:cs="Times New Roman"/>
          <w:sz w:val="24"/>
          <w:szCs w:val="24"/>
        </w:rPr>
        <w:t xml:space="preserve">asure atmospheric transport into forested watersheds. Science 219(4582):289-292. </w:t>
      </w:r>
      <w:hyperlink r:id="rId49">
        <w:r>
          <w:rPr>
            <w:rFonts w:ascii="Times New Roman" w:eastAsia="Times New Roman" w:hAnsi="Times New Roman" w:cs="Times New Roman"/>
            <w:color w:val="0563C1"/>
            <w:sz w:val="24"/>
            <w:szCs w:val="24"/>
            <w:u w:val="single"/>
          </w:rPr>
          <w:t>DOI: 10.1126/science.219.4582.289</w:t>
        </w:r>
      </w:hyperlink>
    </w:p>
    <w:p w14:paraId="786F102B" w14:textId="77777777" w:rsidR="00073701" w:rsidRDefault="00073701">
      <w:pPr>
        <w:spacing w:after="0" w:line="240" w:lineRule="auto"/>
        <w:jc w:val="both"/>
        <w:rPr>
          <w:rFonts w:ascii="Times New Roman" w:eastAsia="Times New Roman" w:hAnsi="Times New Roman" w:cs="Times New Roman"/>
          <w:sz w:val="24"/>
          <w:szCs w:val="24"/>
        </w:rPr>
      </w:pPr>
    </w:p>
    <w:p w14:paraId="57CC3D8D" w14:textId="77777777" w:rsidR="00073701" w:rsidRDefault="00C87DCB">
      <w:pPr>
        <w:spacing w:after="0" w:line="24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Gregoricka LA (2013) Residential mobility and social identity in the periphe</w:t>
      </w:r>
      <w:r>
        <w:rPr>
          <w:rFonts w:ascii="Times New Roman" w:eastAsia="Times New Roman" w:hAnsi="Times New Roman" w:cs="Times New Roman"/>
          <w:sz w:val="24"/>
          <w:szCs w:val="24"/>
        </w:rPr>
        <w:t xml:space="preserve">ry: strontium isotope analysis of archaeological tooth enamel from southeastern Arabia. J Archaeol Sci 40(1):452-464. </w:t>
      </w:r>
      <w:hyperlink r:id="rId50">
        <w:r>
          <w:rPr>
            <w:rFonts w:ascii="Times New Roman" w:eastAsia="Times New Roman" w:hAnsi="Times New Roman" w:cs="Times New Roman"/>
            <w:color w:val="0563C1"/>
            <w:sz w:val="24"/>
            <w:szCs w:val="24"/>
            <w:u w:val="single"/>
          </w:rPr>
          <w:t>https://doi.org/10.1016/j.jas.2012.07.017</w:t>
        </w:r>
      </w:hyperlink>
    </w:p>
    <w:p w14:paraId="516234D8" w14:textId="77777777" w:rsidR="00073701" w:rsidRDefault="00073701">
      <w:pPr>
        <w:spacing w:after="0" w:line="240" w:lineRule="auto"/>
        <w:jc w:val="both"/>
        <w:rPr>
          <w:rFonts w:ascii="Times New Roman" w:eastAsia="Times New Roman" w:hAnsi="Times New Roman" w:cs="Times New Roman"/>
          <w:sz w:val="24"/>
          <w:szCs w:val="24"/>
        </w:rPr>
      </w:pPr>
    </w:p>
    <w:p w14:paraId="3F922E8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Haak W, Lazaridis I, Patterson N, </w:t>
      </w:r>
      <w:r>
        <w:rPr>
          <w:rFonts w:ascii="Times New Roman" w:eastAsia="Times New Roman" w:hAnsi="Times New Roman" w:cs="Times New Roman"/>
          <w:sz w:val="24"/>
          <w:szCs w:val="24"/>
        </w:rPr>
        <w:t xml:space="preserve">Rohland N, Mallick S, Llamas B, Brandt G, Nordenfelt S, Harney E, Stewardson K, Fu Q, Mittnik A, Bánffy E, Economou C, Francken M, Friederich S, Pena </w:t>
      </w:r>
      <w:r>
        <w:rPr>
          <w:rFonts w:ascii="Times New Roman" w:eastAsia="Times New Roman" w:hAnsi="Times New Roman" w:cs="Times New Roman"/>
          <w:sz w:val="24"/>
          <w:szCs w:val="24"/>
        </w:rPr>
        <w:lastRenderedPageBreak/>
        <w:t>RG, Hallgren F, Khartanovich V, Khokhlov A, Kunst M, Kuznetsov P, Meller H, Mochalov O, Moiseyev V, Nickli</w:t>
      </w:r>
      <w:r>
        <w:rPr>
          <w:rFonts w:ascii="Times New Roman" w:eastAsia="Times New Roman" w:hAnsi="Times New Roman" w:cs="Times New Roman"/>
          <w:sz w:val="24"/>
          <w:szCs w:val="24"/>
        </w:rPr>
        <w:t xml:space="preserve">sch N, Pichler SL, Risch R, Rojo Guerra MA, Roth C, Szécsényi-Nagy A, Wahl J, Meyer M, Krause J, Brown D, Anthony D, Cooper A, Alt KW, Reich D (2015) Massive migration from the steppe was a source for Indo-European languages in Europe. Nature 518:284–285. </w:t>
      </w:r>
      <w:hyperlink r:id="rId51">
        <w:r>
          <w:rPr>
            <w:rFonts w:ascii="Times New Roman" w:eastAsia="Times New Roman" w:hAnsi="Times New Roman" w:cs="Times New Roman"/>
            <w:color w:val="0563C1"/>
            <w:sz w:val="24"/>
            <w:szCs w:val="24"/>
            <w:u w:val="single"/>
          </w:rPr>
          <w:t>https://doi.org/10.1038/nature14317</w:t>
        </w:r>
      </w:hyperlink>
    </w:p>
    <w:p w14:paraId="660F54F1" w14:textId="77777777" w:rsidR="00073701" w:rsidRDefault="00073701">
      <w:pPr>
        <w:spacing w:after="0" w:line="240" w:lineRule="auto"/>
        <w:jc w:val="both"/>
        <w:rPr>
          <w:rFonts w:ascii="Times New Roman" w:eastAsia="Times New Roman" w:hAnsi="Times New Roman" w:cs="Times New Roman"/>
          <w:sz w:val="24"/>
          <w:szCs w:val="24"/>
        </w:rPr>
      </w:pPr>
    </w:p>
    <w:p w14:paraId="753A9D5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Hoogewerff JA, Reimann C, Ueckermann H, Frei R, Frei KM, van Aswegen T, Stirling C, Reid M, Clayton A, Ladenberger A (2019) Bioavailable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in European soils: a baseline for provenancing studies. Sci Total Environ 672:1033-1044. </w:t>
      </w:r>
      <w:hyperlink r:id="rId52">
        <w:r>
          <w:rPr>
            <w:rFonts w:ascii="Times New Roman" w:eastAsia="Times New Roman" w:hAnsi="Times New Roman" w:cs="Times New Roman"/>
            <w:color w:val="0563C1"/>
            <w:sz w:val="24"/>
            <w:szCs w:val="24"/>
            <w:u w:val="single"/>
          </w:rPr>
          <w:t>https://doi.org/10.1016/j.scitotenv.2019.03.387</w:t>
        </w:r>
      </w:hyperlink>
    </w:p>
    <w:p w14:paraId="64B2A26A" w14:textId="77777777" w:rsidR="00073701" w:rsidRDefault="00073701">
      <w:pPr>
        <w:spacing w:after="0" w:line="240" w:lineRule="auto"/>
        <w:jc w:val="both"/>
        <w:rPr>
          <w:rFonts w:ascii="Times New Roman" w:eastAsia="Times New Roman" w:hAnsi="Times New Roman" w:cs="Times New Roman"/>
          <w:sz w:val="24"/>
          <w:szCs w:val="24"/>
        </w:rPr>
      </w:pPr>
    </w:p>
    <w:p w14:paraId="340DA2F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Holt E, Evans JA, Madgwick R (2021) Strontium (</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 xml:space="preserve">Sr) mapping: A critical review of methods and approaches. Earth-Science Reviews 216:103593. </w:t>
      </w:r>
      <w:hyperlink r:id="rId53">
        <w:r>
          <w:rPr>
            <w:rFonts w:ascii="Times New Roman" w:eastAsia="Times New Roman" w:hAnsi="Times New Roman" w:cs="Times New Roman"/>
            <w:color w:val="0563C1"/>
            <w:sz w:val="24"/>
            <w:szCs w:val="24"/>
            <w:u w:val="single"/>
          </w:rPr>
          <w:t>https://doi.org/10.1016/j.earscirev.2021.103593</w:t>
        </w:r>
      </w:hyperlink>
    </w:p>
    <w:p w14:paraId="0A309048" w14:textId="77777777" w:rsidR="00073701" w:rsidRDefault="00073701">
      <w:pPr>
        <w:spacing w:after="0" w:line="240" w:lineRule="auto"/>
        <w:jc w:val="both"/>
        <w:rPr>
          <w:rFonts w:ascii="Times New Roman" w:eastAsia="Times New Roman" w:hAnsi="Times New Roman" w:cs="Times New Roman"/>
          <w:sz w:val="24"/>
          <w:szCs w:val="24"/>
        </w:rPr>
      </w:pPr>
    </w:p>
    <w:p w14:paraId="041BCB6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Horstwood M, Evans J, Montgomery J (2008) Determination of Sr isotopes in calcium phosphates using laser ablation inductively coupled plasma mass spectrometry and their application to archaeological tooth enamel. Geochimica et Cosmochimica Acta 72(23): 565</w:t>
      </w:r>
      <w:r>
        <w:rPr>
          <w:rFonts w:ascii="Times New Roman" w:eastAsia="Times New Roman" w:hAnsi="Times New Roman" w:cs="Times New Roman"/>
          <w:sz w:val="24"/>
          <w:szCs w:val="24"/>
        </w:rPr>
        <w:t xml:space="preserve">9-5674. </w:t>
      </w:r>
      <w:hyperlink r:id="rId54">
        <w:r>
          <w:rPr>
            <w:rFonts w:ascii="Times New Roman" w:eastAsia="Times New Roman" w:hAnsi="Times New Roman" w:cs="Times New Roman"/>
            <w:color w:val="0563C1"/>
            <w:sz w:val="24"/>
            <w:szCs w:val="24"/>
            <w:u w:val="single"/>
          </w:rPr>
          <w:t>https://doi.org/10.1016/j.gca.2008.08.016</w:t>
        </w:r>
      </w:hyperlink>
    </w:p>
    <w:p w14:paraId="39565567" w14:textId="77777777" w:rsidR="00073701" w:rsidRDefault="00073701">
      <w:pPr>
        <w:spacing w:after="0" w:line="240" w:lineRule="auto"/>
        <w:jc w:val="both"/>
        <w:rPr>
          <w:rFonts w:ascii="Times New Roman" w:eastAsia="Times New Roman" w:hAnsi="Times New Roman" w:cs="Times New Roman"/>
          <w:sz w:val="24"/>
          <w:szCs w:val="24"/>
        </w:rPr>
      </w:pPr>
    </w:p>
    <w:p w14:paraId="40173259" w14:textId="77777777" w:rsidR="00073701" w:rsidRDefault="00C87DCB">
      <w:pPr>
        <w:spacing w:after="0" w:line="24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IGME5000 (2005) The 1:5 Million International Geological Map of Europe and Adjacent Areas (IGME5000). </w:t>
      </w:r>
      <w:hyperlink r:id="rId55">
        <w:r>
          <w:rPr>
            <w:rFonts w:ascii="Times New Roman" w:eastAsia="Times New Roman" w:hAnsi="Times New Roman" w:cs="Times New Roman"/>
            <w:color w:val="0563C1"/>
            <w:sz w:val="24"/>
            <w:szCs w:val="24"/>
            <w:u w:val="single"/>
          </w:rPr>
          <w:t>http://www.europe-geology.eu/onshore-geology/geological-map/igme5000/</w:t>
        </w:r>
      </w:hyperlink>
    </w:p>
    <w:p w14:paraId="54F369AE" w14:textId="77777777" w:rsidR="00073701" w:rsidRDefault="00073701">
      <w:pPr>
        <w:spacing w:after="0" w:line="240" w:lineRule="auto"/>
        <w:jc w:val="both"/>
        <w:rPr>
          <w:rFonts w:ascii="Times New Roman" w:eastAsia="Times New Roman" w:hAnsi="Times New Roman" w:cs="Times New Roman"/>
          <w:color w:val="000000"/>
          <w:sz w:val="24"/>
          <w:szCs w:val="24"/>
          <w:u w:val="single"/>
        </w:rPr>
      </w:pPr>
    </w:p>
    <w:p w14:paraId="192A20E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Isermann K (1981) Uptake of stable strontium by plants and effects on plant growth. In: Skoryna SC (ed) Handbook of Stable Strontium. Spri</w:t>
      </w:r>
      <w:r>
        <w:rPr>
          <w:rFonts w:ascii="Times New Roman" w:eastAsia="Times New Roman" w:hAnsi="Times New Roman" w:cs="Times New Roman"/>
          <w:sz w:val="24"/>
          <w:szCs w:val="24"/>
        </w:rPr>
        <w:t>nger, US, pp 65-86</w:t>
      </w:r>
    </w:p>
    <w:p w14:paraId="003C74CB" w14:textId="77777777" w:rsidR="00073701" w:rsidRDefault="00073701">
      <w:pPr>
        <w:spacing w:after="0" w:line="240" w:lineRule="auto"/>
        <w:jc w:val="both"/>
        <w:rPr>
          <w:rFonts w:ascii="Times New Roman" w:eastAsia="Times New Roman" w:hAnsi="Times New Roman" w:cs="Times New Roman"/>
          <w:sz w:val="24"/>
          <w:szCs w:val="24"/>
        </w:rPr>
      </w:pPr>
    </w:p>
    <w:p w14:paraId="2A59386F"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Knudson KJ, Pestle WJ, Torres Rouff C, Pimentel G (2012) Assessing the life history of an Andean traveller through biogeochemistry: stable and radiogenic isotope analyses of archaeological human remains from Northern Chile. Int J Osteoa</w:t>
      </w:r>
      <w:r>
        <w:rPr>
          <w:rFonts w:ascii="Times New Roman" w:eastAsia="Times New Roman" w:hAnsi="Times New Roman" w:cs="Times New Roman"/>
          <w:sz w:val="24"/>
          <w:szCs w:val="24"/>
        </w:rPr>
        <w:t xml:space="preserve">rchaeol 22(4):435-451. </w:t>
      </w:r>
      <w:hyperlink r:id="rId56">
        <w:r>
          <w:rPr>
            <w:rFonts w:ascii="Times New Roman" w:eastAsia="Times New Roman" w:hAnsi="Times New Roman" w:cs="Times New Roman"/>
            <w:color w:val="0563C1"/>
            <w:sz w:val="24"/>
            <w:szCs w:val="24"/>
            <w:u w:val="single"/>
          </w:rPr>
          <w:t>https://doi.org/10.1002/oa.1217</w:t>
        </w:r>
      </w:hyperlink>
    </w:p>
    <w:p w14:paraId="3BD6C601" w14:textId="77777777" w:rsidR="00073701" w:rsidRDefault="00073701">
      <w:pPr>
        <w:spacing w:after="0" w:line="240" w:lineRule="auto"/>
        <w:jc w:val="both"/>
        <w:rPr>
          <w:rFonts w:ascii="Times New Roman" w:eastAsia="Times New Roman" w:hAnsi="Times New Roman" w:cs="Times New Roman"/>
          <w:sz w:val="24"/>
          <w:szCs w:val="24"/>
        </w:rPr>
      </w:pPr>
    </w:p>
    <w:p w14:paraId="3976E7C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Kurila L, Piličiauskienė G, Simčenka E, Lidén K, Kooijman E, Miliauskienė Ž (in prep) Late Roman and Migration Period Elites from Lithuania – Locals </w:t>
      </w:r>
      <w:r>
        <w:rPr>
          <w:rFonts w:ascii="Times New Roman" w:eastAsia="Times New Roman" w:hAnsi="Times New Roman" w:cs="Times New Roman"/>
          <w:sz w:val="24"/>
          <w:szCs w:val="24"/>
        </w:rPr>
        <w:t xml:space="preserve">or Migrants? Reinterpretation of the Current Concept Based on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Stable Isotope Analysis.</w:t>
      </w:r>
    </w:p>
    <w:p w14:paraId="21A5DDB0" w14:textId="77777777" w:rsidR="00073701" w:rsidRDefault="00073701">
      <w:pPr>
        <w:spacing w:after="0" w:line="240" w:lineRule="auto"/>
        <w:jc w:val="both"/>
        <w:rPr>
          <w:rFonts w:ascii="Times New Roman" w:eastAsia="Times New Roman" w:hAnsi="Times New Roman" w:cs="Times New Roman"/>
          <w:sz w:val="24"/>
          <w:szCs w:val="24"/>
        </w:rPr>
      </w:pPr>
    </w:p>
    <w:p w14:paraId="7336651A"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Lahtinen M, Arppe L, Nowell G (2021) Source of strontium in archaeological mobility studies—marine diet contribution to the isotopic composition. Archaeol Ant</w:t>
      </w:r>
      <w:r>
        <w:rPr>
          <w:rFonts w:ascii="Times New Roman" w:eastAsia="Times New Roman" w:hAnsi="Times New Roman" w:cs="Times New Roman"/>
          <w:sz w:val="24"/>
          <w:szCs w:val="24"/>
        </w:rPr>
        <w:t xml:space="preserve">hropol Sci 13:1. </w:t>
      </w:r>
      <w:hyperlink r:id="rId57">
        <w:r>
          <w:rPr>
            <w:rFonts w:ascii="Times New Roman" w:eastAsia="Times New Roman" w:hAnsi="Times New Roman" w:cs="Times New Roman"/>
            <w:color w:val="0563C1"/>
            <w:sz w:val="24"/>
            <w:szCs w:val="24"/>
            <w:u w:val="single"/>
          </w:rPr>
          <w:t>https://doi.org/10.1007/s12520-020-01240-w</w:t>
        </w:r>
      </w:hyperlink>
    </w:p>
    <w:p w14:paraId="08D1912E" w14:textId="77777777" w:rsidR="00073701" w:rsidRDefault="00073701">
      <w:pPr>
        <w:spacing w:after="0" w:line="240" w:lineRule="auto"/>
        <w:jc w:val="both"/>
        <w:rPr>
          <w:rFonts w:ascii="Times New Roman" w:eastAsia="Times New Roman" w:hAnsi="Times New Roman" w:cs="Times New Roman"/>
          <w:sz w:val="24"/>
          <w:szCs w:val="24"/>
        </w:rPr>
      </w:pPr>
    </w:p>
    <w:p w14:paraId="6ABB599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Lazzerini N, Balter V, Coulon A, Tacail T, Marchina C, Lemoine M, Bayarkhuu N, Turbat Ts, Lepetz S, Zazzo A (2021) Monthly mobility i</w:t>
      </w:r>
      <w:r>
        <w:rPr>
          <w:rFonts w:ascii="Times New Roman" w:eastAsia="Times New Roman" w:hAnsi="Times New Roman" w:cs="Times New Roman"/>
          <w:sz w:val="24"/>
          <w:szCs w:val="24"/>
        </w:rPr>
        <w:t xml:space="preserve">nferred from isoscapes and laser ablation strontium isotope ratios in caprine tooth enamel. Scientific Reports 11:2277. </w:t>
      </w:r>
      <w:hyperlink r:id="rId58">
        <w:r>
          <w:rPr>
            <w:rFonts w:ascii="Times New Roman" w:eastAsia="Times New Roman" w:hAnsi="Times New Roman" w:cs="Times New Roman"/>
            <w:color w:val="0563C1"/>
            <w:sz w:val="24"/>
            <w:szCs w:val="24"/>
            <w:u w:val="single"/>
          </w:rPr>
          <w:t>https://doi.org/10.1038/s41598-021-81923-z</w:t>
        </w:r>
      </w:hyperlink>
    </w:p>
    <w:p w14:paraId="3067F0EF" w14:textId="77777777" w:rsidR="00073701" w:rsidRDefault="00073701">
      <w:pPr>
        <w:spacing w:after="0" w:line="240" w:lineRule="auto"/>
        <w:jc w:val="both"/>
        <w:rPr>
          <w:rFonts w:ascii="Times New Roman" w:eastAsia="Times New Roman" w:hAnsi="Times New Roman" w:cs="Times New Roman"/>
          <w:sz w:val="24"/>
          <w:szCs w:val="24"/>
        </w:rPr>
      </w:pPr>
    </w:p>
    <w:p w14:paraId="1E92D1D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Löfvendahl R, Aberg G, Hamilto</w:t>
      </w:r>
      <w:r>
        <w:rPr>
          <w:rFonts w:ascii="Times New Roman" w:eastAsia="Times New Roman" w:hAnsi="Times New Roman" w:cs="Times New Roman"/>
          <w:sz w:val="24"/>
          <w:szCs w:val="24"/>
        </w:rPr>
        <w:t xml:space="preserve">n PJ (1990) Strontium in rivers of the Baltic Basin. Aquatic Science 52:315-329. </w:t>
      </w:r>
      <w:hyperlink r:id="rId59">
        <w:r>
          <w:rPr>
            <w:rFonts w:ascii="Times New Roman" w:eastAsia="Times New Roman" w:hAnsi="Times New Roman" w:cs="Times New Roman"/>
            <w:color w:val="0563C1"/>
            <w:sz w:val="24"/>
            <w:szCs w:val="24"/>
            <w:u w:val="single"/>
          </w:rPr>
          <w:t>https://doi.org/10.1007/BF00879760</w:t>
        </w:r>
      </w:hyperlink>
    </w:p>
    <w:p w14:paraId="01884CB2" w14:textId="77777777" w:rsidR="00073701" w:rsidRDefault="00073701">
      <w:pPr>
        <w:spacing w:after="0" w:line="240" w:lineRule="auto"/>
        <w:jc w:val="both"/>
        <w:rPr>
          <w:rFonts w:ascii="Times New Roman" w:eastAsia="Times New Roman" w:hAnsi="Times New Roman" w:cs="Times New Roman"/>
          <w:sz w:val="24"/>
          <w:szCs w:val="24"/>
        </w:rPr>
      </w:pPr>
    </w:p>
    <w:p w14:paraId="64F2EF4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Luchtanas A, Sidrys RV (1999) Bronzos plitimas rytiniame Pabaltijo regione iki Krista</w:t>
      </w:r>
      <w:r>
        <w:rPr>
          <w:rFonts w:ascii="Times New Roman" w:eastAsia="Times New Roman" w:hAnsi="Times New Roman" w:cs="Times New Roman"/>
          <w:sz w:val="24"/>
          <w:szCs w:val="24"/>
        </w:rPr>
        <w:t>us. Archaeologia Lituana 1:15-55</w:t>
      </w:r>
    </w:p>
    <w:p w14:paraId="56D158FE" w14:textId="77777777" w:rsidR="00073701" w:rsidRDefault="00073701">
      <w:pPr>
        <w:spacing w:after="0" w:line="240" w:lineRule="auto"/>
        <w:jc w:val="both"/>
        <w:rPr>
          <w:rFonts w:ascii="Times New Roman" w:eastAsia="Times New Roman" w:hAnsi="Times New Roman" w:cs="Times New Roman"/>
          <w:sz w:val="24"/>
          <w:szCs w:val="24"/>
        </w:rPr>
      </w:pPr>
    </w:p>
    <w:p w14:paraId="384FFF6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Massler M, Shour I, Poncher HG (1941) Developmental pattern of the child as reflected in the calcification pattern of the teeth. Am J Dis Child 62:33-67</w:t>
      </w:r>
    </w:p>
    <w:p w14:paraId="700631A3" w14:textId="77777777" w:rsidR="00073701" w:rsidRDefault="00073701">
      <w:pPr>
        <w:spacing w:after="0" w:line="240" w:lineRule="auto"/>
        <w:jc w:val="both"/>
        <w:rPr>
          <w:rFonts w:ascii="Times New Roman" w:eastAsia="Times New Roman" w:hAnsi="Times New Roman" w:cs="Times New Roman"/>
          <w:sz w:val="24"/>
          <w:szCs w:val="24"/>
        </w:rPr>
      </w:pPr>
    </w:p>
    <w:p w14:paraId="38AB39E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Mathieson I, Alpaslan-Roodenberg S, Posth C, Szécsényi-Nagy A, Rohla</w:t>
      </w:r>
      <w:r>
        <w:rPr>
          <w:rFonts w:ascii="Times New Roman" w:eastAsia="Times New Roman" w:hAnsi="Times New Roman" w:cs="Times New Roman"/>
          <w:sz w:val="24"/>
          <w:szCs w:val="24"/>
        </w:rPr>
        <w:t>nd N, Mallick S, Olalde I, Broomandkhoshbacht N, Candilio F, Cheronet O, Fernandes D, Ferry M, Gamarra B, Fortes GG, Haak W, Harney E, Jones E, Keating D, Krause-Kyora B, Kucukkalipci I, Michel M, Mittnik A, Nägele K, Novak M, Oppenheimer J, Patterson N, P</w:t>
      </w:r>
      <w:r>
        <w:rPr>
          <w:rFonts w:ascii="Times New Roman" w:eastAsia="Times New Roman" w:hAnsi="Times New Roman" w:cs="Times New Roman"/>
          <w:sz w:val="24"/>
          <w:szCs w:val="24"/>
        </w:rPr>
        <w:t>frengle S, Sirak K, Stewardson K, Vai S, Alexandrov S, Alt KW, Andreescu R, Antonović D, Ash A, Atanassova N, Bacvarov K, Gusztáv MB, Bocherens H, Bolus M, Boroneanţ A, Boyadzhiev Y, Budnik A, Burmaz J, Chohadzhiev S, Conard NJ, Cottiaux R, Čuka M, Cupilla</w:t>
      </w:r>
      <w:r>
        <w:rPr>
          <w:rFonts w:ascii="Times New Roman" w:eastAsia="Times New Roman" w:hAnsi="Times New Roman" w:cs="Times New Roman"/>
          <w:sz w:val="24"/>
          <w:szCs w:val="24"/>
        </w:rPr>
        <w:t>rd C, Drucker DG, Elenski N, Francken M, Galabova B, Ganetsovski G, Gély B, Hajdu T, Handzhyiska V, Harvati K, Higham T, Iliev S, Janković I, Karavanić I, Kennett DJ, Komšo D, Kozak A, Labuda D, Lari M, Lazar C, Leppek M, Leshtakov K, Vetro DL, Los D, Loza</w:t>
      </w:r>
      <w:r>
        <w:rPr>
          <w:rFonts w:ascii="Times New Roman" w:eastAsia="Times New Roman" w:hAnsi="Times New Roman" w:cs="Times New Roman"/>
          <w:sz w:val="24"/>
          <w:szCs w:val="24"/>
        </w:rPr>
        <w:t xml:space="preserve">nov I, Malina M, Martini F, McSweeney K, Meller H, Menđušić M, Mirea P, Moiseyev V, Petrova V, Price TD, Simalcsik A, Sineo L, Šlaus M, Slavchev V, Stanev P, Starović A, Szeniczey T, Talamo S, Teschler-Nicola M, Thevenet C, Valchev I, Valentin F, Vasilyev </w:t>
      </w:r>
      <w:r>
        <w:rPr>
          <w:rFonts w:ascii="Times New Roman" w:eastAsia="Times New Roman" w:hAnsi="Times New Roman" w:cs="Times New Roman"/>
          <w:sz w:val="24"/>
          <w:szCs w:val="24"/>
        </w:rPr>
        <w:t>S, Veljanovska F, Venelinova S, Veselovskaya E, Viola B, Virag C, Zaninović J, Zäuner S, Stockhammer PW, Catalano G, Krauß R, Caramelli D, Zariņa G, Gaydarska B, Lillie M, Nikitin AG,</w:t>
      </w:r>
      <w:r>
        <w:t xml:space="preserve"> </w:t>
      </w:r>
      <w:r>
        <w:rPr>
          <w:rFonts w:ascii="Times New Roman" w:eastAsia="Times New Roman" w:hAnsi="Times New Roman" w:cs="Times New Roman"/>
          <w:sz w:val="24"/>
          <w:szCs w:val="24"/>
        </w:rPr>
        <w:t xml:space="preserve">Potekhina I, Papathanasiou A, Borić D, Bonsall C, Krause J, Pinhasi R, Reich D (2018) The genomic history of southeastern Europe. Nature 555:197-203. </w:t>
      </w:r>
      <w:hyperlink r:id="rId60">
        <w:r>
          <w:rPr>
            <w:rFonts w:ascii="Times New Roman" w:eastAsia="Times New Roman" w:hAnsi="Times New Roman" w:cs="Times New Roman"/>
            <w:color w:val="0563C1"/>
            <w:sz w:val="24"/>
            <w:szCs w:val="24"/>
            <w:u w:val="single"/>
          </w:rPr>
          <w:t>https://doi.org/10.1038/nature25778</w:t>
        </w:r>
      </w:hyperlink>
    </w:p>
    <w:p w14:paraId="1BD8CD73" w14:textId="77777777" w:rsidR="00073701" w:rsidRDefault="00073701">
      <w:pPr>
        <w:spacing w:after="0" w:line="240" w:lineRule="auto"/>
        <w:jc w:val="both"/>
        <w:rPr>
          <w:rFonts w:ascii="Times New Roman" w:eastAsia="Times New Roman" w:hAnsi="Times New Roman" w:cs="Times New Roman"/>
          <w:sz w:val="24"/>
          <w:szCs w:val="24"/>
        </w:rPr>
      </w:pPr>
    </w:p>
    <w:p w14:paraId="674E84A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McArthur JM, H</w:t>
      </w:r>
      <w:r>
        <w:rPr>
          <w:rFonts w:ascii="Times New Roman" w:eastAsia="Times New Roman" w:hAnsi="Times New Roman" w:cs="Times New Roman"/>
          <w:sz w:val="24"/>
          <w:szCs w:val="24"/>
        </w:rPr>
        <w:t xml:space="preserve">owarth RJ, Bailey TR (2001) Strontium isotope stratigraphy: LOWESS Version 3: best fit to the marine Sr-isotope curve for 0–509 Ma and accompanying look-up table for deriving numerical age. J Geology 109(2):155-170. </w:t>
      </w:r>
      <w:hyperlink r:id="rId61">
        <w:r>
          <w:rPr>
            <w:rFonts w:ascii="Times New Roman" w:eastAsia="Times New Roman" w:hAnsi="Times New Roman" w:cs="Times New Roman"/>
            <w:color w:val="0563C1"/>
            <w:sz w:val="24"/>
            <w:szCs w:val="24"/>
            <w:u w:val="single"/>
          </w:rPr>
          <w:t>http://dx.doi.org/10.1086/319243</w:t>
        </w:r>
      </w:hyperlink>
    </w:p>
    <w:p w14:paraId="4A43C645" w14:textId="77777777" w:rsidR="00073701" w:rsidRDefault="00073701">
      <w:pPr>
        <w:spacing w:after="0" w:line="240" w:lineRule="auto"/>
        <w:jc w:val="both"/>
        <w:rPr>
          <w:rFonts w:ascii="Times New Roman" w:eastAsia="Times New Roman" w:hAnsi="Times New Roman" w:cs="Times New Roman"/>
          <w:sz w:val="24"/>
          <w:szCs w:val="24"/>
        </w:rPr>
      </w:pPr>
    </w:p>
    <w:p w14:paraId="251A2979"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Merkevičius A (2012) Turlojiškė archaeological complex. In: Zabiela G, Baubonis Z, Marcinkevičiūtė E (eds) Archaeological investigations in independent Lithuania (1990-2010). Society of the Lithuanian Archaeology, Vilnius, pp 12-16</w:t>
      </w:r>
    </w:p>
    <w:p w14:paraId="77B5C9B7" w14:textId="77777777" w:rsidR="00073701" w:rsidRDefault="00073701">
      <w:pPr>
        <w:spacing w:after="0" w:line="240" w:lineRule="auto"/>
        <w:jc w:val="both"/>
        <w:rPr>
          <w:rFonts w:ascii="Times New Roman" w:eastAsia="Times New Roman" w:hAnsi="Times New Roman" w:cs="Times New Roman"/>
          <w:sz w:val="24"/>
          <w:szCs w:val="24"/>
        </w:rPr>
      </w:pPr>
    </w:p>
    <w:p w14:paraId="14086B9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Michelbertas M (1986) S</w:t>
      </w:r>
      <w:r>
        <w:rPr>
          <w:rFonts w:ascii="Times New Roman" w:eastAsia="Times New Roman" w:hAnsi="Times New Roman" w:cs="Times New Roman"/>
          <w:sz w:val="24"/>
          <w:szCs w:val="24"/>
        </w:rPr>
        <w:t>enasis geležies amžius Lietuvoje. I-IV amžius. Mokslas, Vilnius</w:t>
      </w:r>
    </w:p>
    <w:p w14:paraId="221542E0" w14:textId="77777777" w:rsidR="00073701" w:rsidRDefault="00073701">
      <w:pPr>
        <w:spacing w:after="0" w:line="240" w:lineRule="auto"/>
        <w:jc w:val="both"/>
        <w:rPr>
          <w:rFonts w:ascii="Times New Roman" w:eastAsia="Times New Roman" w:hAnsi="Times New Roman" w:cs="Times New Roman"/>
          <w:sz w:val="24"/>
          <w:szCs w:val="24"/>
        </w:rPr>
      </w:pPr>
    </w:p>
    <w:p w14:paraId="24B340E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Minkevičius K, Podėnas V, Urbonaitė-Ubė M, Ubis E, Kisielienė D (2020) New evidence on the southeast Baltic Late Bronze Age agrarian intensification and the earliest AMS dates of </w:t>
      </w:r>
      <w:r>
        <w:rPr>
          <w:rFonts w:ascii="Times New Roman" w:eastAsia="Times New Roman" w:hAnsi="Times New Roman" w:cs="Times New Roman"/>
          <w:i/>
          <w:sz w:val="24"/>
          <w:szCs w:val="24"/>
        </w:rPr>
        <w:t>Lens culinar</w:t>
      </w:r>
      <w:r>
        <w:rPr>
          <w:rFonts w:ascii="Times New Roman" w:eastAsia="Times New Roman" w:hAnsi="Times New Roman" w:cs="Times New Roman"/>
          <w:i/>
          <w:sz w:val="24"/>
          <w:szCs w:val="24"/>
        </w:rPr>
        <w:t>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Vicia faba</w:t>
      </w:r>
      <w:r>
        <w:rPr>
          <w:rFonts w:ascii="Times New Roman" w:eastAsia="Times New Roman" w:hAnsi="Times New Roman" w:cs="Times New Roman"/>
          <w:sz w:val="24"/>
          <w:szCs w:val="24"/>
        </w:rPr>
        <w:t xml:space="preserve">. Veg Hist Archaeobot 29:327-338. </w:t>
      </w:r>
      <w:hyperlink r:id="rId62">
        <w:r>
          <w:rPr>
            <w:rFonts w:ascii="Times New Roman" w:eastAsia="Times New Roman" w:hAnsi="Times New Roman" w:cs="Times New Roman"/>
            <w:color w:val="0563C1"/>
            <w:sz w:val="24"/>
            <w:szCs w:val="24"/>
            <w:u w:val="single"/>
          </w:rPr>
          <w:t>https://doi.org/10.1007/s00334-019-00745-2</w:t>
        </w:r>
      </w:hyperlink>
    </w:p>
    <w:p w14:paraId="0BCC9F61" w14:textId="77777777" w:rsidR="00073701" w:rsidRDefault="00073701">
      <w:pPr>
        <w:spacing w:after="0" w:line="240" w:lineRule="auto"/>
        <w:jc w:val="both"/>
        <w:rPr>
          <w:rFonts w:ascii="Times New Roman" w:eastAsia="Times New Roman" w:hAnsi="Times New Roman" w:cs="Times New Roman"/>
          <w:sz w:val="24"/>
          <w:szCs w:val="24"/>
        </w:rPr>
      </w:pPr>
    </w:p>
    <w:p w14:paraId="440B031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Mokadem F, Parkinson IJ, Hathorne EC, Anand P, Allen JT, Burton KW (2015) High-precision radiogenic</w:t>
      </w:r>
      <w:r>
        <w:rPr>
          <w:rFonts w:ascii="Times New Roman" w:eastAsia="Times New Roman" w:hAnsi="Times New Roman" w:cs="Times New Roman"/>
          <w:sz w:val="24"/>
          <w:szCs w:val="24"/>
        </w:rPr>
        <w:t xml:space="preserve"> strontium isotope measurements of the modern and glacial ocean: Limits on glacial–interglacial variations in continental weathering. Earth and Planetary Science Letters 415:111-120. </w:t>
      </w:r>
      <w:hyperlink r:id="rId63">
        <w:r>
          <w:rPr>
            <w:rFonts w:ascii="Times New Roman" w:eastAsia="Times New Roman" w:hAnsi="Times New Roman" w:cs="Times New Roman"/>
            <w:color w:val="0563C1"/>
            <w:sz w:val="24"/>
            <w:szCs w:val="24"/>
            <w:u w:val="single"/>
          </w:rPr>
          <w:t>https://doi</w:t>
        </w:r>
        <w:r>
          <w:rPr>
            <w:rFonts w:ascii="Times New Roman" w:eastAsia="Times New Roman" w:hAnsi="Times New Roman" w:cs="Times New Roman"/>
            <w:color w:val="0563C1"/>
            <w:sz w:val="24"/>
            <w:szCs w:val="24"/>
            <w:u w:val="single"/>
          </w:rPr>
          <w:t>.org/10.1016/j.epsl.2015.01.036</w:t>
        </w:r>
      </w:hyperlink>
    </w:p>
    <w:p w14:paraId="75823B54" w14:textId="77777777" w:rsidR="00073701" w:rsidRDefault="00073701">
      <w:pPr>
        <w:spacing w:after="0" w:line="240" w:lineRule="auto"/>
        <w:jc w:val="both"/>
        <w:rPr>
          <w:rFonts w:ascii="Times New Roman" w:eastAsia="Times New Roman" w:hAnsi="Times New Roman" w:cs="Times New Roman"/>
          <w:sz w:val="24"/>
          <w:szCs w:val="24"/>
        </w:rPr>
      </w:pPr>
    </w:p>
    <w:p w14:paraId="202B0BA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Montgomery J (2010) Passports from the past. Investigating human dispersals using strontium isotope analysis of tooth enamel. Ann Hum Biol 37(3):325-346. </w:t>
      </w:r>
      <w:hyperlink r:id="rId64">
        <w:r>
          <w:rPr>
            <w:rFonts w:ascii="Times New Roman" w:eastAsia="Times New Roman" w:hAnsi="Times New Roman" w:cs="Times New Roman"/>
            <w:color w:val="0563C1"/>
            <w:sz w:val="24"/>
            <w:szCs w:val="24"/>
            <w:u w:val="single"/>
          </w:rPr>
          <w:t>https://</w:t>
        </w:r>
        <w:r>
          <w:rPr>
            <w:rFonts w:ascii="Times New Roman" w:eastAsia="Times New Roman" w:hAnsi="Times New Roman" w:cs="Times New Roman"/>
            <w:color w:val="0563C1"/>
            <w:sz w:val="24"/>
            <w:szCs w:val="24"/>
            <w:u w:val="single"/>
          </w:rPr>
          <w:t>doi.org/10.3109/03014461003649297</w:t>
        </w:r>
      </w:hyperlink>
    </w:p>
    <w:p w14:paraId="2E6A4B73" w14:textId="77777777" w:rsidR="00073701" w:rsidRDefault="00073701">
      <w:pPr>
        <w:spacing w:after="0" w:line="240" w:lineRule="auto"/>
        <w:jc w:val="both"/>
        <w:rPr>
          <w:rFonts w:ascii="Times New Roman" w:eastAsia="Times New Roman" w:hAnsi="Times New Roman" w:cs="Times New Roman"/>
          <w:color w:val="0563C1"/>
          <w:sz w:val="24"/>
          <w:szCs w:val="24"/>
          <w:u w:val="single"/>
        </w:rPr>
      </w:pPr>
    </w:p>
    <w:p w14:paraId="3EDD4F72"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Nordqvist K (2018) The Stone Age of north-eastern Europe 5500–1800 cal BC. Bridging the gap between the East and the West. Acta Universitatis Ouluensis, B Humaniora 160. University of Oulu, Oulu</w:t>
      </w:r>
    </w:p>
    <w:p w14:paraId="4B3DABFE" w14:textId="77777777" w:rsidR="00073701" w:rsidRDefault="00073701">
      <w:pPr>
        <w:spacing w:after="0" w:line="240" w:lineRule="auto"/>
        <w:jc w:val="both"/>
        <w:rPr>
          <w:rFonts w:ascii="Times New Roman" w:eastAsia="Times New Roman" w:hAnsi="Times New Roman" w:cs="Times New Roman"/>
          <w:sz w:val="24"/>
          <w:szCs w:val="24"/>
        </w:rPr>
      </w:pPr>
    </w:p>
    <w:p w14:paraId="17FC187A"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Núñez M, Franzén P (2011)</w:t>
      </w:r>
      <w:r>
        <w:rPr>
          <w:rFonts w:ascii="Times New Roman" w:eastAsia="Times New Roman" w:hAnsi="Times New Roman" w:cs="Times New Roman"/>
          <w:sz w:val="24"/>
          <w:szCs w:val="24"/>
        </w:rPr>
        <w:t xml:space="preserve"> Baltiško gintaro radiniai Šiaurės Suomijoje 4000–2000 m. pr. Kr. Archaeologia Lituana 12:10-24</w:t>
      </w:r>
    </w:p>
    <w:p w14:paraId="3D43B4B2" w14:textId="77777777" w:rsidR="00073701" w:rsidRDefault="00073701">
      <w:pPr>
        <w:spacing w:after="0" w:line="240" w:lineRule="auto"/>
        <w:jc w:val="both"/>
        <w:rPr>
          <w:rFonts w:ascii="Times New Roman" w:eastAsia="Times New Roman" w:hAnsi="Times New Roman" w:cs="Times New Roman"/>
          <w:sz w:val="24"/>
          <w:szCs w:val="24"/>
        </w:rPr>
      </w:pPr>
    </w:p>
    <w:p w14:paraId="6977E93A"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Olalde I, Brace S, Allentoft ME, Armit I, Kristiansen K, Booth T, Rohland N, et al (2018) The Beaker phenomenon and the genomic transformation of northwest Eur</w:t>
      </w:r>
      <w:r>
        <w:rPr>
          <w:rFonts w:ascii="Times New Roman" w:eastAsia="Times New Roman" w:hAnsi="Times New Roman" w:cs="Times New Roman"/>
          <w:sz w:val="24"/>
          <w:szCs w:val="24"/>
        </w:rPr>
        <w:t xml:space="preserve">ope. Nature 555:190-196. </w:t>
      </w:r>
      <w:hyperlink r:id="rId65">
        <w:r>
          <w:rPr>
            <w:rFonts w:ascii="Times New Roman" w:eastAsia="Times New Roman" w:hAnsi="Times New Roman" w:cs="Times New Roman"/>
            <w:color w:val="0563C1"/>
            <w:sz w:val="24"/>
            <w:szCs w:val="24"/>
            <w:u w:val="single"/>
          </w:rPr>
          <w:t>https://doi.org/10.1038/nature25738</w:t>
        </w:r>
      </w:hyperlink>
    </w:p>
    <w:p w14:paraId="383B4ABC" w14:textId="77777777" w:rsidR="00073701" w:rsidRDefault="00073701">
      <w:pPr>
        <w:spacing w:after="0" w:line="240" w:lineRule="auto"/>
        <w:jc w:val="both"/>
        <w:rPr>
          <w:rFonts w:ascii="Times New Roman" w:eastAsia="Times New Roman" w:hAnsi="Times New Roman" w:cs="Times New Roman"/>
          <w:sz w:val="24"/>
          <w:szCs w:val="24"/>
        </w:rPr>
      </w:pPr>
    </w:p>
    <w:p w14:paraId="55AEE10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Petersone-Gordina E, Montgomery J, Millard AR, Nowell G, Peterkin J, Roberts C, Gerhards G, Zelčs V (2022) Strontium isotope identification</w:t>
      </w:r>
      <w:r>
        <w:rPr>
          <w:rFonts w:ascii="Times New Roman" w:eastAsia="Times New Roman" w:hAnsi="Times New Roman" w:cs="Times New Roman"/>
          <w:sz w:val="24"/>
          <w:szCs w:val="24"/>
        </w:rPr>
        <w:t xml:space="preserve"> of possible rural immigrants in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mass graves at St Gertrude church cemetery in Riga, Latvia. Archaeometry. </w:t>
      </w:r>
      <w:hyperlink r:id="rId66">
        <w:r>
          <w:rPr>
            <w:rFonts w:ascii="Times New Roman" w:eastAsia="Times New Roman" w:hAnsi="Times New Roman" w:cs="Times New Roman"/>
            <w:color w:val="1155CC"/>
            <w:sz w:val="24"/>
            <w:szCs w:val="24"/>
            <w:u w:val="single"/>
          </w:rPr>
          <w:t>https://doi.org/10.1111/arcm.12759</w:t>
        </w:r>
      </w:hyperlink>
    </w:p>
    <w:p w14:paraId="30FB44AD" w14:textId="77777777" w:rsidR="00073701" w:rsidRDefault="00073701">
      <w:pPr>
        <w:spacing w:after="0" w:line="240" w:lineRule="auto"/>
        <w:jc w:val="both"/>
        <w:rPr>
          <w:rFonts w:ascii="Times New Roman" w:eastAsia="Times New Roman" w:hAnsi="Times New Roman" w:cs="Times New Roman"/>
          <w:sz w:val="24"/>
          <w:szCs w:val="24"/>
        </w:rPr>
      </w:pPr>
    </w:p>
    <w:p w14:paraId="32865BB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Palmer MR, Edmond JM (1992) Controls over the strontium isotope composition of river water. Geochim Cosmochim Acta 56(5):2099-2111. </w:t>
      </w:r>
      <w:hyperlink r:id="rId67">
        <w:r>
          <w:rPr>
            <w:rFonts w:ascii="Times New Roman" w:eastAsia="Times New Roman" w:hAnsi="Times New Roman" w:cs="Times New Roman"/>
            <w:color w:val="0563C1"/>
            <w:sz w:val="24"/>
            <w:szCs w:val="24"/>
            <w:u w:val="single"/>
          </w:rPr>
          <w:t>https://doi.org/10.1016/0016-7037(92)90332-D</w:t>
        </w:r>
      </w:hyperlink>
    </w:p>
    <w:p w14:paraId="677A5905" w14:textId="77777777" w:rsidR="00073701" w:rsidRDefault="00073701">
      <w:pPr>
        <w:spacing w:after="0" w:line="240" w:lineRule="auto"/>
        <w:jc w:val="both"/>
        <w:rPr>
          <w:rFonts w:ascii="Times New Roman" w:eastAsia="Times New Roman" w:hAnsi="Times New Roman" w:cs="Times New Roman"/>
          <w:sz w:val="24"/>
          <w:szCs w:val="24"/>
        </w:rPr>
      </w:pPr>
    </w:p>
    <w:p w14:paraId="5BB5FC37"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Piličiauskas G</w:t>
      </w:r>
      <w:r>
        <w:rPr>
          <w:rFonts w:ascii="Times New Roman" w:eastAsia="Times New Roman" w:hAnsi="Times New Roman" w:cs="Times New Roman"/>
          <w:sz w:val="24"/>
          <w:szCs w:val="24"/>
        </w:rPr>
        <w:t xml:space="preserve"> (2018) Virvelinės keramikos kultūra Lietuvoje 2800–2400 cal BC. Lietuvos istorijos institutas, Vilnius</w:t>
      </w:r>
    </w:p>
    <w:p w14:paraId="6F99BD4B" w14:textId="77777777" w:rsidR="00073701" w:rsidRDefault="00073701">
      <w:pPr>
        <w:spacing w:after="0" w:line="240" w:lineRule="auto"/>
        <w:jc w:val="both"/>
        <w:rPr>
          <w:rFonts w:ascii="Times New Roman" w:eastAsia="Times New Roman" w:hAnsi="Times New Roman" w:cs="Times New Roman"/>
          <w:sz w:val="24"/>
          <w:szCs w:val="24"/>
        </w:rPr>
      </w:pPr>
    </w:p>
    <w:p w14:paraId="77FFD4F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Piličiauskas G, Lavento M, Oinonen M, Grižas G (2011) New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C Dates of Neolithic and Early Metal Period Ceramics in Lithuania. Radiocarbon 53(4):629-64</w:t>
      </w:r>
      <w:r>
        <w:rPr>
          <w:rFonts w:ascii="Times New Roman" w:eastAsia="Times New Roman" w:hAnsi="Times New Roman" w:cs="Times New Roman"/>
          <w:sz w:val="24"/>
          <w:szCs w:val="24"/>
        </w:rPr>
        <w:t xml:space="preserve">3. </w:t>
      </w:r>
      <w:hyperlink r:id="rId68">
        <w:r>
          <w:rPr>
            <w:rFonts w:ascii="Times New Roman" w:eastAsia="Times New Roman" w:hAnsi="Times New Roman" w:cs="Times New Roman"/>
            <w:color w:val="1155CC"/>
            <w:sz w:val="24"/>
            <w:szCs w:val="24"/>
            <w:u w:val="single"/>
          </w:rPr>
          <w:t>https://doi.org/10.1017/S0033822200039096</w:t>
        </w:r>
      </w:hyperlink>
    </w:p>
    <w:p w14:paraId="2C9AD9BC" w14:textId="77777777" w:rsidR="00073701" w:rsidRDefault="00073701">
      <w:pPr>
        <w:spacing w:after="0" w:line="240" w:lineRule="auto"/>
        <w:jc w:val="both"/>
        <w:rPr>
          <w:rFonts w:ascii="Times New Roman" w:eastAsia="Times New Roman" w:hAnsi="Times New Roman" w:cs="Times New Roman"/>
          <w:sz w:val="24"/>
          <w:szCs w:val="24"/>
        </w:rPr>
      </w:pPr>
    </w:p>
    <w:p w14:paraId="4B9FC37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Piličiauskas G, Jankauskas R, Piličiauskienė G, Craig OE, Charlton S, Dupras T (2017a) The transition from foraging to farming (7000–500 cal BC) in t</w:t>
      </w:r>
      <w:r>
        <w:rPr>
          <w:rFonts w:ascii="Times New Roman" w:eastAsia="Times New Roman" w:hAnsi="Times New Roman" w:cs="Times New Roman"/>
          <w:sz w:val="24"/>
          <w:szCs w:val="24"/>
        </w:rPr>
        <w:t xml:space="preserve">he SE Baltic: A re-evaluation of chronological and palaeodietary evidence from human remains. J Archaeol Sci Rep 14:530-542. </w:t>
      </w:r>
      <w:hyperlink r:id="rId69">
        <w:r>
          <w:rPr>
            <w:rFonts w:ascii="Times New Roman" w:eastAsia="Times New Roman" w:hAnsi="Times New Roman" w:cs="Times New Roman"/>
            <w:color w:val="0563C1"/>
            <w:sz w:val="24"/>
            <w:szCs w:val="24"/>
            <w:u w:val="single"/>
          </w:rPr>
          <w:t>https://doi.org/10.1016/j.jasrep.2017.06.004</w:t>
        </w:r>
      </w:hyperlink>
    </w:p>
    <w:p w14:paraId="4B1A4841" w14:textId="77777777" w:rsidR="00073701" w:rsidRDefault="00073701">
      <w:pPr>
        <w:spacing w:after="0" w:line="240" w:lineRule="auto"/>
        <w:jc w:val="both"/>
        <w:rPr>
          <w:rFonts w:ascii="Times New Roman" w:eastAsia="Times New Roman" w:hAnsi="Times New Roman" w:cs="Times New Roman"/>
          <w:sz w:val="24"/>
          <w:szCs w:val="24"/>
        </w:rPr>
      </w:pPr>
    </w:p>
    <w:p w14:paraId="4A52BCE8" w14:textId="77777777" w:rsidR="00073701" w:rsidRDefault="00C87DC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Piličiauskas G, Pilič</w:t>
      </w:r>
      <w:r>
        <w:rPr>
          <w:rFonts w:ascii="Times New Roman" w:eastAsia="Times New Roman" w:hAnsi="Times New Roman" w:cs="Times New Roman"/>
          <w:color w:val="000000"/>
          <w:sz w:val="24"/>
          <w:szCs w:val="24"/>
        </w:rPr>
        <w:t xml:space="preserve">iauskienė G, Jankauskas R, Dupras T (2017b) Reconstructing Subneolithic and Neolithic diets of the inhabitants of the SE Baltic coast (3100−2500 cal BC) using stable isotope analysis. </w:t>
      </w:r>
      <w:r>
        <w:rPr>
          <w:rFonts w:ascii="Times New Roman" w:eastAsia="Times New Roman" w:hAnsi="Times New Roman" w:cs="Times New Roman"/>
          <w:sz w:val="24"/>
          <w:szCs w:val="24"/>
        </w:rPr>
        <w:t>Archaeol Anthropol Sci</w:t>
      </w:r>
      <w:r>
        <w:rPr>
          <w:rFonts w:ascii="Times New Roman" w:eastAsia="Times New Roman" w:hAnsi="Times New Roman" w:cs="Times New Roman"/>
          <w:color w:val="000000"/>
          <w:sz w:val="24"/>
          <w:szCs w:val="24"/>
        </w:rPr>
        <w:t xml:space="preserve"> 9:1421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1437. </w:t>
      </w:r>
      <w:hyperlink r:id="rId70">
        <w:r>
          <w:rPr>
            <w:rFonts w:ascii="Times New Roman" w:eastAsia="Times New Roman" w:hAnsi="Times New Roman" w:cs="Times New Roman"/>
            <w:color w:val="0563C1"/>
            <w:sz w:val="24"/>
            <w:szCs w:val="24"/>
            <w:u w:val="single"/>
          </w:rPr>
          <w:t>https://doi.org/10.1007/s12520-017-0463-z</w:t>
        </w:r>
      </w:hyperlink>
    </w:p>
    <w:p w14:paraId="6325DB35" w14:textId="77777777" w:rsidR="00073701" w:rsidRDefault="00073701">
      <w:pPr>
        <w:spacing w:after="0" w:line="240" w:lineRule="auto"/>
        <w:jc w:val="both"/>
        <w:rPr>
          <w:rFonts w:ascii="Times New Roman" w:eastAsia="Times New Roman" w:hAnsi="Times New Roman" w:cs="Times New Roman"/>
          <w:sz w:val="24"/>
          <w:szCs w:val="24"/>
        </w:rPr>
      </w:pPr>
    </w:p>
    <w:p w14:paraId="3E5772A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Piličiauskas G, Kisielienė D, Piličiauskienė G, Gaižauskas L, Kalinauskas A (2019) Comb Ware culture in Lithuania: new evidence from Šventoji 43. Lietuvos archeologija 45:43-96</w:t>
      </w:r>
    </w:p>
    <w:p w14:paraId="3BD6F1F9" w14:textId="77777777" w:rsidR="00073701" w:rsidRDefault="00073701">
      <w:pPr>
        <w:spacing w:after="0" w:line="240" w:lineRule="auto"/>
        <w:jc w:val="both"/>
        <w:rPr>
          <w:rFonts w:ascii="Times New Roman" w:eastAsia="Times New Roman" w:hAnsi="Times New Roman" w:cs="Times New Roman"/>
          <w:sz w:val="24"/>
          <w:szCs w:val="24"/>
        </w:rPr>
      </w:pPr>
    </w:p>
    <w:p w14:paraId="400DADD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Piličiauskas G, Kluczynska G, Kisielienė D, Skipitytė R, Peseckas K, Matuzevičiūtė S, Lukešová H, Lucquin A, Craig OE, Robson HK (2020) Fishers of the Corded Ware Culture in the Eastern Baltic. Acta Archaeologica 91(1):95-120. </w:t>
      </w:r>
      <w:hyperlink r:id="rId71">
        <w:r>
          <w:rPr>
            <w:rFonts w:ascii="Times New Roman" w:eastAsia="Times New Roman" w:hAnsi="Times New Roman" w:cs="Times New Roman"/>
            <w:color w:val="0563C1"/>
            <w:sz w:val="24"/>
            <w:szCs w:val="24"/>
            <w:u w:val="single"/>
          </w:rPr>
          <w:t>https://doi.org/10.1111/j.1600-0390.2020.12223.x</w:t>
        </w:r>
      </w:hyperlink>
    </w:p>
    <w:p w14:paraId="67D38093" w14:textId="77777777" w:rsidR="00073701" w:rsidRDefault="00073701">
      <w:pPr>
        <w:spacing w:after="0" w:line="240" w:lineRule="auto"/>
        <w:jc w:val="both"/>
        <w:rPr>
          <w:rFonts w:ascii="Times New Roman" w:eastAsia="Times New Roman" w:hAnsi="Times New Roman" w:cs="Times New Roman"/>
          <w:sz w:val="24"/>
          <w:szCs w:val="24"/>
        </w:rPr>
      </w:pPr>
    </w:p>
    <w:p w14:paraId="37F87553" w14:textId="77777777" w:rsidR="00073701" w:rsidRDefault="00C87DCB">
      <w:pPr>
        <w:spacing w:after="0" w:line="24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Piličiauskas G, Vengalis R, Minkevičius K, Kisielienė D, Ežerinskis Ž, Šapolaitė J, Robson HK (2021) The earliest evidence for crop cultivation during the Early Bronze Age in the southeastern Baltic. J Archaeol Sci Rep 36:102881. </w:t>
      </w:r>
      <w:hyperlink r:id="rId72">
        <w:r>
          <w:rPr>
            <w:rFonts w:ascii="Times New Roman" w:eastAsia="Times New Roman" w:hAnsi="Times New Roman" w:cs="Times New Roman"/>
            <w:color w:val="0563C1"/>
            <w:sz w:val="24"/>
            <w:szCs w:val="24"/>
            <w:u w:val="single"/>
          </w:rPr>
          <w:t>https://doi.org/10.1016/j.jasrep.2021.102881</w:t>
        </w:r>
      </w:hyperlink>
    </w:p>
    <w:p w14:paraId="51B9B689" w14:textId="77777777" w:rsidR="00073701" w:rsidRDefault="00073701">
      <w:pPr>
        <w:spacing w:after="0" w:line="240" w:lineRule="auto"/>
        <w:jc w:val="both"/>
        <w:rPr>
          <w:rFonts w:ascii="Times New Roman" w:eastAsia="Times New Roman" w:hAnsi="Times New Roman" w:cs="Times New Roman"/>
          <w:color w:val="0563C1"/>
          <w:sz w:val="24"/>
          <w:szCs w:val="24"/>
          <w:u w:val="single"/>
        </w:rPr>
      </w:pPr>
    </w:p>
    <w:p w14:paraId="5C9C874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Piličiauskas G, Vengalis R, Minkevičius K, Skridlaitė G, Piličiauskienė G (in prep) Towards better understanding of economy and culture of the southeastern Baltic during th</w:t>
      </w:r>
      <w:r>
        <w:rPr>
          <w:rFonts w:ascii="Times New Roman" w:eastAsia="Times New Roman" w:hAnsi="Times New Roman" w:cs="Times New Roman"/>
          <w:sz w:val="24"/>
          <w:szCs w:val="24"/>
        </w:rPr>
        <w:t>e Bronze Age: Tarbiškės settlements.</w:t>
      </w:r>
    </w:p>
    <w:p w14:paraId="7BFD8826" w14:textId="77777777" w:rsidR="00073701" w:rsidRDefault="00073701">
      <w:pPr>
        <w:spacing w:after="0" w:line="240" w:lineRule="auto"/>
        <w:jc w:val="both"/>
        <w:rPr>
          <w:rFonts w:ascii="Times New Roman" w:eastAsia="Times New Roman" w:hAnsi="Times New Roman" w:cs="Times New Roman"/>
          <w:sz w:val="24"/>
          <w:szCs w:val="24"/>
        </w:rPr>
      </w:pPr>
    </w:p>
    <w:p w14:paraId="485D1B3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Piličiauskienė G, Kurila L, Simčenka E, Lidén K, Kooijman E, Kielman-Schmitt M, Piličiauskas G (2022) The Origin of Late Roman Period–Post-Migration Period Lithuanian Horses. Heritage 5(1):332-352. </w:t>
      </w:r>
      <w:hyperlink r:id="rId73">
        <w:r>
          <w:rPr>
            <w:rFonts w:ascii="Times New Roman" w:eastAsia="Times New Roman" w:hAnsi="Times New Roman" w:cs="Times New Roman"/>
            <w:color w:val="0563C1"/>
            <w:sz w:val="24"/>
            <w:szCs w:val="24"/>
            <w:u w:val="single"/>
          </w:rPr>
          <w:t>https://doi.org/10.3390/heritage5010018</w:t>
        </w:r>
      </w:hyperlink>
    </w:p>
    <w:p w14:paraId="36E98E68" w14:textId="77777777" w:rsidR="00073701" w:rsidRDefault="00073701">
      <w:pPr>
        <w:spacing w:after="0" w:line="240" w:lineRule="auto"/>
        <w:jc w:val="both"/>
        <w:rPr>
          <w:rFonts w:ascii="Times New Roman" w:eastAsia="Times New Roman" w:hAnsi="Times New Roman" w:cs="Times New Roman"/>
          <w:sz w:val="24"/>
          <w:szCs w:val="24"/>
        </w:rPr>
      </w:pPr>
    </w:p>
    <w:p w14:paraId="3908F09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Price TD, Grupe G, Schröter P (1994) Reconstruction of migration patterns in the Bell Beaker period by stable strontium isotope analysis. Applied Geochemistry 9(4):413-417. </w:t>
      </w:r>
      <w:hyperlink r:id="rId74">
        <w:r>
          <w:rPr>
            <w:rFonts w:ascii="Times New Roman" w:eastAsia="Times New Roman" w:hAnsi="Times New Roman" w:cs="Times New Roman"/>
            <w:color w:val="0563C1"/>
            <w:sz w:val="24"/>
            <w:szCs w:val="24"/>
            <w:u w:val="single"/>
          </w:rPr>
          <w:t>https://doi.org/10.1016/0883-2927(94)90063-9</w:t>
        </w:r>
      </w:hyperlink>
    </w:p>
    <w:p w14:paraId="2701BAC7" w14:textId="77777777" w:rsidR="00073701" w:rsidRDefault="00073701">
      <w:pPr>
        <w:spacing w:after="0" w:line="240" w:lineRule="auto"/>
        <w:jc w:val="both"/>
        <w:rPr>
          <w:rFonts w:ascii="Times New Roman" w:eastAsia="Times New Roman" w:hAnsi="Times New Roman" w:cs="Times New Roman"/>
          <w:sz w:val="24"/>
          <w:szCs w:val="24"/>
        </w:rPr>
      </w:pPr>
    </w:p>
    <w:p w14:paraId="08671E7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 TD, Arcini C, Gustin I, Drenze L, Kalmring S (2018) Isotopes and Human Burials at Viking Age Birka and the Mälaren Region, East Central Sweden.</w:t>
      </w:r>
      <w:r>
        <w:rPr>
          <w:rFonts w:ascii="Times New Roman" w:eastAsia="Times New Roman" w:hAnsi="Times New Roman" w:cs="Times New Roman"/>
          <w:sz w:val="24"/>
          <w:szCs w:val="24"/>
        </w:rPr>
        <w:t xml:space="preserve"> J Anthropol. Archaeol. 49:19-38. </w:t>
      </w:r>
      <w:hyperlink r:id="rId75">
        <w:r>
          <w:rPr>
            <w:rFonts w:ascii="Times New Roman" w:eastAsia="Times New Roman" w:hAnsi="Times New Roman" w:cs="Times New Roman"/>
            <w:color w:val="0563C1"/>
            <w:sz w:val="24"/>
            <w:szCs w:val="24"/>
            <w:u w:val="single"/>
          </w:rPr>
          <w:t>https://doi.org/10.1016/j.jaa.2017.10.002</w:t>
        </w:r>
      </w:hyperlink>
    </w:p>
    <w:p w14:paraId="770786BA" w14:textId="77777777" w:rsidR="00073701" w:rsidRDefault="00073701">
      <w:pPr>
        <w:spacing w:after="0" w:line="240" w:lineRule="auto"/>
        <w:jc w:val="both"/>
        <w:rPr>
          <w:rFonts w:ascii="Times New Roman" w:eastAsia="Times New Roman" w:hAnsi="Times New Roman" w:cs="Times New Roman"/>
          <w:sz w:val="24"/>
          <w:szCs w:val="24"/>
        </w:rPr>
      </w:pPr>
    </w:p>
    <w:p w14:paraId="76C877D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 TD, Peets J, Allmäe R, Maldre L, Price N (2020) Human remains, context, and place of origin for the Salme, Eston</w:t>
      </w:r>
      <w:r>
        <w:rPr>
          <w:rFonts w:ascii="Times New Roman" w:eastAsia="Times New Roman" w:hAnsi="Times New Roman" w:cs="Times New Roman"/>
          <w:sz w:val="24"/>
          <w:szCs w:val="24"/>
        </w:rPr>
        <w:t xml:space="preserve">ia, boat burials. J Anthropol. Archaeol. 58:101149. </w:t>
      </w:r>
      <w:hyperlink r:id="rId76">
        <w:r>
          <w:rPr>
            <w:rFonts w:ascii="Times New Roman" w:eastAsia="Times New Roman" w:hAnsi="Times New Roman" w:cs="Times New Roman"/>
            <w:color w:val="0563C1"/>
            <w:sz w:val="24"/>
            <w:szCs w:val="24"/>
            <w:u w:val="single"/>
          </w:rPr>
          <w:t>https://doi.org/10.1016/j.jaa.2020.101149</w:t>
        </w:r>
      </w:hyperlink>
    </w:p>
    <w:p w14:paraId="03A97CA6" w14:textId="77777777" w:rsidR="00073701" w:rsidRDefault="00073701">
      <w:pPr>
        <w:spacing w:after="0" w:line="240" w:lineRule="auto"/>
        <w:jc w:val="both"/>
        <w:rPr>
          <w:rFonts w:ascii="Times New Roman" w:eastAsia="Times New Roman" w:hAnsi="Times New Roman" w:cs="Times New Roman"/>
          <w:sz w:val="24"/>
          <w:szCs w:val="24"/>
        </w:rPr>
      </w:pPr>
    </w:p>
    <w:p w14:paraId="181F993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Reid DJ, Dean MC (2006) Variation in modern human enamel formation times. J Hum Evol 50(3): 329-346.</w:t>
      </w:r>
      <w:r>
        <w:rPr>
          <w:rFonts w:ascii="Times New Roman" w:eastAsia="Times New Roman" w:hAnsi="Times New Roman" w:cs="Times New Roman"/>
          <w:sz w:val="24"/>
          <w:szCs w:val="24"/>
        </w:rPr>
        <w:t xml:space="preserve"> </w:t>
      </w:r>
      <w:hyperlink r:id="rId77">
        <w:r>
          <w:rPr>
            <w:rFonts w:ascii="Times New Roman" w:eastAsia="Times New Roman" w:hAnsi="Times New Roman" w:cs="Times New Roman"/>
            <w:color w:val="0563C1"/>
            <w:sz w:val="24"/>
            <w:szCs w:val="24"/>
            <w:u w:val="single"/>
          </w:rPr>
          <w:t>https://doi.org/10.1016/j.jhevol.2005.09.003</w:t>
        </w:r>
      </w:hyperlink>
    </w:p>
    <w:p w14:paraId="0F4498B6" w14:textId="77777777" w:rsidR="00073701" w:rsidRDefault="00073701">
      <w:pPr>
        <w:spacing w:after="0" w:line="240" w:lineRule="auto"/>
        <w:jc w:val="both"/>
        <w:rPr>
          <w:rFonts w:ascii="Times New Roman" w:eastAsia="Times New Roman" w:hAnsi="Times New Roman" w:cs="Times New Roman"/>
          <w:sz w:val="24"/>
          <w:szCs w:val="24"/>
        </w:rPr>
      </w:pPr>
    </w:p>
    <w:p w14:paraId="55A34287"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Rimantienė R (1989) Nida. Senųjų baltų gyvenvietė. Mokslas, Vilnius</w:t>
      </w:r>
    </w:p>
    <w:p w14:paraId="733C08A9" w14:textId="77777777" w:rsidR="00073701" w:rsidRDefault="00073701">
      <w:pPr>
        <w:spacing w:after="0" w:line="240" w:lineRule="auto"/>
        <w:jc w:val="both"/>
        <w:rPr>
          <w:rFonts w:ascii="Times New Roman" w:eastAsia="Times New Roman" w:hAnsi="Times New Roman" w:cs="Times New Roman"/>
          <w:sz w:val="24"/>
          <w:szCs w:val="24"/>
        </w:rPr>
      </w:pPr>
    </w:p>
    <w:p w14:paraId="61253081"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Rimantienė R (2002) Rutulinių amforų kultūra Vakarų Lietuvoje. Lietuvos arch</w:t>
      </w:r>
      <w:r>
        <w:rPr>
          <w:rFonts w:ascii="Times New Roman" w:eastAsia="Times New Roman" w:hAnsi="Times New Roman" w:cs="Times New Roman"/>
          <w:sz w:val="24"/>
          <w:szCs w:val="24"/>
        </w:rPr>
        <w:t>eologija 23:41-50</w:t>
      </w:r>
    </w:p>
    <w:p w14:paraId="6AC2C177" w14:textId="77777777" w:rsidR="00073701" w:rsidRDefault="00073701">
      <w:pPr>
        <w:spacing w:after="0" w:line="240" w:lineRule="auto"/>
        <w:jc w:val="both"/>
        <w:rPr>
          <w:rFonts w:ascii="Times New Roman" w:eastAsia="Times New Roman" w:hAnsi="Times New Roman" w:cs="Times New Roman"/>
          <w:sz w:val="24"/>
          <w:szCs w:val="24"/>
        </w:rPr>
      </w:pPr>
    </w:p>
    <w:p w14:paraId="4C84F50E"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Robson HK, Skipitytė R, Piličiauskienė G, Lucquin A, Heron C, Craig OE, Piličiauskas G (2019) Diet, cuisine and consumption practices of the first farmers in the southeastern Baltic. Archaeol Anthropol Sci 11:4011-4024. </w:t>
      </w:r>
      <w:hyperlink r:id="rId78">
        <w:r>
          <w:rPr>
            <w:rFonts w:ascii="Times New Roman" w:eastAsia="Times New Roman" w:hAnsi="Times New Roman" w:cs="Times New Roman"/>
            <w:color w:val="0563C1"/>
            <w:sz w:val="24"/>
            <w:szCs w:val="24"/>
            <w:u w:val="single"/>
          </w:rPr>
          <w:t>https://doi.org/10.1007/s12520-019-00804-9</w:t>
        </w:r>
      </w:hyperlink>
    </w:p>
    <w:p w14:paraId="23B9F979" w14:textId="77777777" w:rsidR="00073701" w:rsidRDefault="00073701">
      <w:pPr>
        <w:spacing w:after="0" w:line="240" w:lineRule="auto"/>
        <w:jc w:val="both"/>
        <w:rPr>
          <w:rFonts w:ascii="Times New Roman" w:eastAsia="Times New Roman" w:hAnsi="Times New Roman" w:cs="Times New Roman"/>
          <w:sz w:val="24"/>
          <w:szCs w:val="24"/>
        </w:rPr>
      </w:pPr>
    </w:p>
    <w:p w14:paraId="30A4533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Sanusi A, Wortham H, Millet M, Mirabel P (1995) Chemical composition of rainwater in eastern France. Atmospheric Environment 30(1):59-71. </w:t>
      </w:r>
      <w:hyperlink r:id="rId79">
        <w:r>
          <w:rPr>
            <w:rFonts w:ascii="Times New Roman" w:eastAsia="Times New Roman" w:hAnsi="Times New Roman" w:cs="Times New Roman"/>
            <w:color w:val="0563C1"/>
            <w:sz w:val="24"/>
            <w:szCs w:val="24"/>
            <w:u w:val="single"/>
          </w:rPr>
          <w:t>https://doi.org/10.1016/1352-2310(95)00237-S</w:t>
        </w:r>
      </w:hyperlink>
    </w:p>
    <w:p w14:paraId="2B18A6DE" w14:textId="77777777" w:rsidR="00073701" w:rsidRDefault="00073701">
      <w:pPr>
        <w:spacing w:after="0" w:line="240" w:lineRule="auto"/>
        <w:jc w:val="both"/>
        <w:rPr>
          <w:rFonts w:ascii="Times New Roman" w:eastAsia="Times New Roman" w:hAnsi="Times New Roman" w:cs="Times New Roman"/>
          <w:sz w:val="24"/>
          <w:szCs w:val="24"/>
        </w:rPr>
      </w:pPr>
    </w:p>
    <w:p w14:paraId="6BC6563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Saag L, Vasilyev SV, Varul L, Kosorukova NV, Gerasimov DV, Oshibkina SV, Griffith SJ, Solnik A, Saag L, D’Atanasio E, Metspalu E, Reidla M, Rootsi S, Kivisild T, Scheib CL, Ta</w:t>
      </w:r>
      <w:r>
        <w:rPr>
          <w:rFonts w:ascii="Times New Roman" w:eastAsia="Times New Roman" w:hAnsi="Times New Roman" w:cs="Times New Roman"/>
          <w:sz w:val="24"/>
          <w:szCs w:val="24"/>
        </w:rPr>
        <w:t xml:space="preserve">mbets K, Kriiska A, Metspalu M (2021) Genetic ancestry changes in Stone to Bronze Age transition in the East European plain. Science Advances 7(4):eabd6535. </w:t>
      </w:r>
      <w:hyperlink r:id="rId80">
        <w:r>
          <w:rPr>
            <w:rFonts w:ascii="Times New Roman" w:eastAsia="Times New Roman" w:hAnsi="Times New Roman" w:cs="Times New Roman"/>
            <w:color w:val="0563C1"/>
            <w:sz w:val="24"/>
            <w:szCs w:val="24"/>
            <w:u w:val="single"/>
          </w:rPr>
          <w:t>https://doi.org/10.1126/sciadv.abd6535</w:t>
        </w:r>
      </w:hyperlink>
    </w:p>
    <w:p w14:paraId="32E70F7E" w14:textId="77777777" w:rsidR="00073701" w:rsidRDefault="00073701">
      <w:pPr>
        <w:spacing w:after="0" w:line="240" w:lineRule="auto"/>
        <w:jc w:val="both"/>
        <w:rPr>
          <w:rFonts w:ascii="Times New Roman" w:eastAsia="Times New Roman" w:hAnsi="Times New Roman" w:cs="Times New Roman"/>
          <w:sz w:val="24"/>
          <w:szCs w:val="24"/>
        </w:rPr>
      </w:pPr>
    </w:p>
    <w:p w14:paraId="654A2A90"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Shaw B, Buckley H, Summerhayes G, Anson D, Garling S, Valentin F, Mandui H, Stirling C, Reid M (2010) Migration and mobility at the Late Lapita site of Reber–Rakival (SAC), Watom Island using isotope and trace element analysis: a new insight into Lapita in</w:t>
      </w:r>
      <w:r>
        <w:rPr>
          <w:rFonts w:ascii="Times New Roman" w:eastAsia="Times New Roman" w:hAnsi="Times New Roman" w:cs="Times New Roman"/>
          <w:sz w:val="24"/>
          <w:szCs w:val="24"/>
        </w:rPr>
        <w:t xml:space="preserve">teraction in the Bismarck Archipelago. J Archaeol Sci 37(3):605-613. </w:t>
      </w:r>
      <w:hyperlink r:id="rId81">
        <w:r>
          <w:rPr>
            <w:rFonts w:ascii="Times New Roman" w:eastAsia="Times New Roman" w:hAnsi="Times New Roman" w:cs="Times New Roman"/>
            <w:color w:val="0563C1"/>
            <w:sz w:val="24"/>
            <w:szCs w:val="24"/>
            <w:u w:val="single"/>
          </w:rPr>
          <w:t>https://doi.org/10.1016/j.jas.2009.10.025</w:t>
        </w:r>
      </w:hyperlink>
    </w:p>
    <w:p w14:paraId="694FD5B0" w14:textId="77777777" w:rsidR="00073701" w:rsidRDefault="00073701">
      <w:pPr>
        <w:spacing w:after="0" w:line="240" w:lineRule="auto"/>
        <w:jc w:val="both"/>
        <w:rPr>
          <w:rFonts w:ascii="Times New Roman" w:eastAsia="Times New Roman" w:hAnsi="Times New Roman" w:cs="Times New Roman"/>
          <w:sz w:val="24"/>
          <w:szCs w:val="24"/>
        </w:rPr>
      </w:pPr>
    </w:p>
    <w:p w14:paraId="36C5B90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Simčenka E, Kozakaitė J, Piličiauskienė G, Piličiauskas G (in prep) Human diet duri</w:t>
      </w:r>
      <w:r>
        <w:rPr>
          <w:rFonts w:ascii="Times New Roman" w:eastAsia="Times New Roman" w:hAnsi="Times New Roman" w:cs="Times New Roman"/>
          <w:sz w:val="24"/>
          <w:szCs w:val="24"/>
        </w:rPr>
        <w:t xml:space="preserve">ng Stone Age and Early Metal Period (7000–1 cal BC) in Lithuania: an update of chronology and </w:t>
      </w:r>
      <w:r>
        <w:rPr>
          <w:rFonts w:ascii="Times New Roman" w:eastAsia="Times New Roman" w:hAnsi="Times New Roman" w:cs="Times New Roman"/>
          <w:i/>
          <w:sz w:val="24"/>
          <w:szCs w:val="24"/>
        </w:rPr>
        <w:t>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and </w:t>
      </w:r>
      <w:r>
        <w:rPr>
          <w:rFonts w:ascii="Times New Roman" w:eastAsia="Times New Roman" w:hAnsi="Times New Roman" w:cs="Times New Roman"/>
          <w:i/>
          <w:sz w:val="24"/>
          <w:szCs w:val="24"/>
        </w:rPr>
        <w:t>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data.</w:t>
      </w:r>
    </w:p>
    <w:p w14:paraId="5A58E1B7" w14:textId="77777777" w:rsidR="00073701" w:rsidRDefault="00073701">
      <w:pPr>
        <w:spacing w:after="0" w:line="240" w:lineRule="auto"/>
        <w:jc w:val="both"/>
        <w:rPr>
          <w:rFonts w:ascii="Times New Roman" w:eastAsia="Times New Roman" w:hAnsi="Times New Roman" w:cs="Times New Roman"/>
          <w:sz w:val="24"/>
          <w:szCs w:val="24"/>
        </w:rPr>
      </w:pPr>
    </w:p>
    <w:p w14:paraId="1ED819F3"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Snoeck C (2014) Impact of strontium sea spray effect on the isotopic ratio (</w:t>
      </w:r>
      <w:r>
        <w:rPr>
          <w:rFonts w:ascii="Times New Roman" w:eastAsia="Times New Roman" w:hAnsi="Times New Roman" w:cs="Times New Roman"/>
          <w:sz w:val="24"/>
          <w:szCs w:val="24"/>
          <w:vertAlign w:val="superscript"/>
        </w:rPr>
        <w:t>87</w:t>
      </w:r>
      <w:r>
        <w:rPr>
          <w:rFonts w:ascii="Times New Roman" w:eastAsia="Times New Roman" w:hAnsi="Times New Roman" w:cs="Times New Roman"/>
          <w:sz w:val="24"/>
          <w:szCs w:val="24"/>
        </w:rPr>
        <w:t>Sr/</w:t>
      </w:r>
      <w:r>
        <w:rPr>
          <w:rFonts w:ascii="Times New Roman" w:eastAsia="Times New Roman" w:hAnsi="Times New Roman" w:cs="Times New Roman"/>
          <w:sz w:val="24"/>
          <w:szCs w:val="24"/>
          <w:vertAlign w:val="superscript"/>
        </w:rPr>
        <w:t>86</w:t>
      </w:r>
      <w:r>
        <w:rPr>
          <w:rFonts w:ascii="Times New Roman" w:eastAsia="Times New Roman" w:hAnsi="Times New Roman" w:cs="Times New Roman"/>
          <w:sz w:val="24"/>
          <w:szCs w:val="24"/>
        </w:rPr>
        <w:t>Sr) of plants in coastal Ireland. Quaternary Newsletter 134:37-39</w:t>
      </w:r>
    </w:p>
    <w:p w14:paraId="63684B67" w14:textId="77777777" w:rsidR="00073701" w:rsidRDefault="00073701">
      <w:pPr>
        <w:spacing w:after="0" w:line="240" w:lineRule="auto"/>
        <w:jc w:val="both"/>
        <w:rPr>
          <w:rFonts w:ascii="Times New Roman" w:eastAsia="Times New Roman" w:hAnsi="Times New Roman" w:cs="Times New Roman"/>
          <w:sz w:val="24"/>
          <w:szCs w:val="24"/>
        </w:rPr>
      </w:pPr>
    </w:p>
    <w:p w14:paraId="33219D3D"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Szczepanek A, Belka Z, Jarosz P, Pospieszny Ł, Dopieralska J, Frei KM, Rauba-Bukowska A, Werens K, Górski J, Hozer M, Mazurek M (2018) Understanding Final Neolithic communities in south-eas</w:t>
      </w:r>
      <w:r>
        <w:rPr>
          <w:rFonts w:ascii="Times New Roman" w:eastAsia="Times New Roman" w:hAnsi="Times New Roman" w:cs="Times New Roman"/>
          <w:sz w:val="24"/>
          <w:szCs w:val="24"/>
        </w:rPr>
        <w:t xml:space="preserve">tern Poland: New insights on diet and mobility from isotopic data. PloS ONE 13(12):e0207748. </w:t>
      </w:r>
      <w:hyperlink r:id="rId82">
        <w:r>
          <w:rPr>
            <w:rFonts w:ascii="Times New Roman" w:eastAsia="Times New Roman" w:hAnsi="Times New Roman" w:cs="Times New Roman"/>
            <w:color w:val="0563C1"/>
            <w:sz w:val="24"/>
            <w:szCs w:val="24"/>
            <w:u w:val="single"/>
          </w:rPr>
          <w:t>https://doi.org/10.1371/journal.pone.0207748</w:t>
        </w:r>
      </w:hyperlink>
    </w:p>
    <w:p w14:paraId="2B99F970" w14:textId="77777777" w:rsidR="00073701" w:rsidRDefault="00073701">
      <w:pPr>
        <w:spacing w:after="0" w:line="240" w:lineRule="auto"/>
        <w:jc w:val="both"/>
        <w:rPr>
          <w:rFonts w:ascii="Times New Roman" w:eastAsia="Times New Roman" w:hAnsi="Times New Roman" w:cs="Times New Roman"/>
          <w:sz w:val="24"/>
          <w:szCs w:val="24"/>
        </w:rPr>
      </w:pPr>
    </w:p>
    <w:p w14:paraId="4D031414"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Szostek K, Madrzyk K, Cienkosz-Stepańczak B (2015) St</w:t>
      </w:r>
      <w:r>
        <w:rPr>
          <w:rFonts w:ascii="Times New Roman" w:eastAsia="Times New Roman" w:hAnsi="Times New Roman" w:cs="Times New Roman"/>
          <w:sz w:val="24"/>
          <w:szCs w:val="24"/>
        </w:rPr>
        <w:t xml:space="preserve">rontium isotopes as an indicator of human migration – easy questions, difficult answers. Anthropol Rev 78(2):133-156. </w:t>
      </w:r>
      <w:hyperlink r:id="rId83">
        <w:r>
          <w:rPr>
            <w:rFonts w:ascii="Times New Roman" w:eastAsia="Times New Roman" w:hAnsi="Times New Roman" w:cs="Times New Roman"/>
            <w:color w:val="0563C1"/>
            <w:sz w:val="24"/>
            <w:szCs w:val="24"/>
            <w:u w:val="single"/>
          </w:rPr>
          <w:t>https://doi.org/10.1515/anre-2015-0010</w:t>
        </w:r>
      </w:hyperlink>
    </w:p>
    <w:p w14:paraId="0A262DAB" w14:textId="77777777" w:rsidR="00073701" w:rsidRDefault="00073701">
      <w:pPr>
        <w:spacing w:after="0" w:line="240" w:lineRule="auto"/>
        <w:jc w:val="both"/>
        <w:rPr>
          <w:rFonts w:ascii="Times New Roman" w:eastAsia="Times New Roman" w:hAnsi="Times New Roman" w:cs="Times New Roman"/>
          <w:sz w:val="24"/>
          <w:szCs w:val="24"/>
        </w:rPr>
      </w:pPr>
    </w:p>
    <w:p w14:paraId="75B2A9E5"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Tarasov A, Nordqvist K (2021) Made for e</w:t>
      </w:r>
      <w:r>
        <w:rPr>
          <w:rFonts w:ascii="Times New Roman" w:eastAsia="Times New Roman" w:hAnsi="Times New Roman" w:cs="Times New Roman"/>
          <w:sz w:val="24"/>
          <w:szCs w:val="24"/>
        </w:rPr>
        <w:t xml:space="preserve">xchange: The Russian Karelian lithic industry and hunter-fisher-gatherer exchange networks in prehistoric north-eastern Europe. Antiquity 1-17. </w:t>
      </w:r>
      <w:hyperlink r:id="rId84">
        <w:r>
          <w:rPr>
            <w:rFonts w:ascii="Times New Roman" w:eastAsia="Times New Roman" w:hAnsi="Times New Roman" w:cs="Times New Roman"/>
            <w:color w:val="1155CC"/>
            <w:sz w:val="24"/>
            <w:szCs w:val="24"/>
            <w:u w:val="single"/>
          </w:rPr>
          <w:t>https://doi:10.15184/aqy.2021.133</w:t>
        </w:r>
      </w:hyperlink>
    </w:p>
    <w:p w14:paraId="622CBFE8" w14:textId="77777777" w:rsidR="00073701" w:rsidRDefault="00073701">
      <w:pPr>
        <w:spacing w:after="0" w:line="240" w:lineRule="auto"/>
        <w:jc w:val="both"/>
        <w:rPr>
          <w:rFonts w:ascii="Times New Roman" w:eastAsia="Times New Roman" w:hAnsi="Times New Roman" w:cs="Times New Roman"/>
          <w:sz w:val="24"/>
          <w:szCs w:val="24"/>
        </w:rPr>
      </w:pPr>
    </w:p>
    <w:p w14:paraId="69CB2216"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Veizer J, Buhl D, Diener A, Ebneth S, Podlah OG, Bruckschen P, Jasper T, Korte C, Schaaf M</w:t>
      </w:r>
      <w:r>
        <w:rPr>
          <w:rFonts w:ascii="Times New Roman" w:eastAsia="Times New Roman" w:hAnsi="Times New Roman" w:cs="Times New Roman"/>
          <w:sz w:val="24"/>
          <w:szCs w:val="24"/>
        </w:rPr>
        <w:t xml:space="preserve">, Ala D, Azmy K (1997) Strontium isotope stratigraphy: potential resolution and event correlation. Palaeogeography Palaeoclimatology Palaeoecology 132(1-4):65-77. </w:t>
      </w:r>
      <w:hyperlink r:id="rId85">
        <w:r>
          <w:rPr>
            <w:rFonts w:ascii="Times New Roman" w:eastAsia="Times New Roman" w:hAnsi="Times New Roman" w:cs="Times New Roman"/>
            <w:color w:val="1155CC"/>
            <w:sz w:val="24"/>
            <w:szCs w:val="24"/>
            <w:u w:val="single"/>
          </w:rPr>
          <w:t>https://doi.org/10.1016/S003</w:t>
        </w:r>
        <w:r>
          <w:rPr>
            <w:rFonts w:ascii="Times New Roman" w:eastAsia="Times New Roman" w:hAnsi="Times New Roman" w:cs="Times New Roman"/>
            <w:color w:val="1155CC"/>
            <w:sz w:val="24"/>
            <w:szCs w:val="24"/>
            <w:u w:val="single"/>
          </w:rPr>
          <w:t>1-0182(97)00054-0</w:t>
        </w:r>
      </w:hyperlink>
    </w:p>
    <w:p w14:paraId="30E79B08" w14:textId="77777777" w:rsidR="00073701" w:rsidRDefault="00073701">
      <w:pPr>
        <w:spacing w:after="0" w:line="240" w:lineRule="auto"/>
        <w:jc w:val="both"/>
        <w:rPr>
          <w:rFonts w:ascii="Times New Roman" w:eastAsia="Times New Roman" w:hAnsi="Times New Roman" w:cs="Times New Roman"/>
          <w:sz w:val="24"/>
          <w:szCs w:val="24"/>
        </w:rPr>
      </w:pPr>
    </w:p>
    <w:p w14:paraId="4033511B"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Voerkelius S, Lorenz GD, Rummel S, Quétel CR, Heiss G, Baxter M, Brach-Papa C, Deters-Itzelsberger P, Hoelzl S, Hoogewerff J, Ponzevera E (2010) Strontium isotopic signatures of natural mineral waters, the reference to a simple geologica</w:t>
      </w:r>
      <w:r>
        <w:rPr>
          <w:rFonts w:ascii="Times New Roman" w:eastAsia="Times New Roman" w:hAnsi="Times New Roman" w:cs="Times New Roman"/>
          <w:sz w:val="24"/>
          <w:szCs w:val="24"/>
        </w:rPr>
        <w:t xml:space="preserve">l map and its potential for authentication of food. Food Chemistry 118(4):933-940. </w:t>
      </w:r>
      <w:hyperlink r:id="rId86">
        <w:r>
          <w:rPr>
            <w:rFonts w:ascii="Times New Roman" w:eastAsia="Times New Roman" w:hAnsi="Times New Roman" w:cs="Times New Roman"/>
            <w:color w:val="0563C1"/>
            <w:sz w:val="24"/>
            <w:szCs w:val="24"/>
            <w:u w:val="single"/>
          </w:rPr>
          <w:t>https://doi.org/10.1016/j.foodchem.2009.04.125</w:t>
        </w:r>
      </w:hyperlink>
    </w:p>
    <w:p w14:paraId="0BBB526D" w14:textId="77777777" w:rsidR="00073701" w:rsidRDefault="00073701">
      <w:pPr>
        <w:spacing w:after="0" w:line="240" w:lineRule="auto"/>
        <w:jc w:val="both"/>
        <w:rPr>
          <w:rFonts w:ascii="Times New Roman" w:eastAsia="Times New Roman" w:hAnsi="Times New Roman" w:cs="Times New Roman"/>
          <w:sz w:val="24"/>
          <w:szCs w:val="24"/>
        </w:rPr>
      </w:pPr>
    </w:p>
    <w:p w14:paraId="2C55DC5E" w14:textId="77777777" w:rsidR="00073701" w:rsidRDefault="00C87DCB">
      <w:pPr>
        <w:widowControl w:val="0"/>
        <w:spacing w:after="0" w:line="264" w:lineRule="auto"/>
        <w:ind w:right="-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Willmes M, Kinsley L, Moncel MH, Armstrong R, Aubert M, Egg</w:t>
      </w:r>
      <w:r>
        <w:rPr>
          <w:rFonts w:ascii="Times New Roman" w:eastAsia="Times New Roman" w:hAnsi="Times New Roman" w:cs="Times New Roman"/>
          <w:sz w:val="24"/>
          <w:szCs w:val="24"/>
        </w:rPr>
        <w:t xml:space="preserve">ins S, Grün R (2016) Improvement of laser ablation in situ micro-analysis to identify diagenetic alteration and measure strontium isotope ratios in fossil human teeth. J Archaeol Sci 70:102-116. </w:t>
      </w:r>
      <w:hyperlink r:id="rId87">
        <w:r>
          <w:rPr>
            <w:rFonts w:ascii="Times New Roman" w:eastAsia="Times New Roman" w:hAnsi="Times New Roman" w:cs="Times New Roman"/>
            <w:color w:val="0563C1"/>
            <w:sz w:val="24"/>
            <w:szCs w:val="24"/>
            <w:u w:val="single"/>
          </w:rPr>
          <w:t>https://doi.org/10.1016/j.jas.2016.04.017</w:t>
        </w:r>
      </w:hyperlink>
    </w:p>
    <w:p w14:paraId="74F3C189" w14:textId="77777777" w:rsidR="00073701" w:rsidRDefault="00073701">
      <w:pPr>
        <w:spacing w:after="0" w:line="240" w:lineRule="auto"/>
        <w:jc w:val="both"/>
        <w:rPr>
          <w:rFonts w:ascii="Times New Roman" w:eastAsia="Times New Roman" w:hAnsi="Times New Roman" w:cs="Times New Roman"/>
          <w:sz w:val="24"/>
          <w:szCs w:val="24"/>
        </w:rPr>
      </w:pPr>
    </w:p>
    <w:p w14:paraId="4654983C" w14:textId="77777777" w:rsidR="00073701" w:rsidRDefault="00C8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Zhulnikov A (2008) Exchange of amber in northern Europe in the III millennium BC as a factor of social interactions. Estonian J Archaeol 12:3-15</w:t>
      </w:r>
    </w:p>
    <w:p w14:paraId="36610C31" w14:textId="77777777" w:rsidR="00073701" w:rsidRDefault="00073701">
      <w:pPr>
        <w:spacing w:after="0" w:line="240" w:lineRule="auto"/>
        <w:jc w:val="both"/>
        <w:rPr>
          <w:rFonts w:ascii="Times New Roman" w:eastAsia="Times New Roman" w:hAnsi="Times New Roman" w:cs="Times New Roman"/>
          <w:b/>
          <w:sz w:val="24"/>
          <w:szCs w:val="24"/>
        </w:rPr>
      </w:pPr>
    </w:p>
    <w:p w14:paraId="441D77D6" w14:textId="77777777" w:rsidR="00073701" w:rsidRDefault="00C8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398B23E2" w14:textId="77777777" w:rsidR="00073701" w:rsidRDefault="00073701">
      <w:pPr>
        <w:spacing w:after="0" w:line="240" w:lineRule="auto"/>
        <w:jc w:val="both"/>
        <w:rPr>
          <w:rFonts w:ascii="Times New Roman" w:eastAsia="Times New Roman" w:hAnsi="Times New Roman" w:cs="Times New Roman"/>
          <w:b/>
          <w:sz w:val="24"/>
          <w:szCs w:val="24"/>
        </w:rPr>
      </w:pPr>
    </w:p>
    <w:p w14:paraId="29EC7875" w14:textId="77777777" w:rsidR="00073701" w:rsidRDefault="00C87DC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SI1. </w:t>
      </w:r>
      <w:r>
        <w:rPr>
          <w:rFonts w:ascii="Times New Roman" w:eastAsia="Times New Roman" w:hAnsi="Times New Roman" w:cs="Times New Roman"/>
          <w:i/>
          <w:sz w:val="24"/>
          <w:szCs w:val="24"/>
          <w:vertAlign w:val="superscript"/>
        </w:rPr>
        <w:t>87</w:t>
      </w:r>
      <w:r>
        <w:rPr>
          <w:rFonts w:ascii="Times New Roman" w:eastAsia="Times New Roman" w:hAnsi="Times New Roman" w:cs="Times New Roman"/>
          <w:i/>
          <w:sz w:val="24"/>
          <w:szCs w:val="24"/>
        </w:rPr>
        <w:t>Sr/</w:t>
      </w:r>
      <w:r>
        <w:rPr>
          <w:rFonts w:ascii="Times New Roman" w:eastAsia="Times New Roman" w:hAnsi="Times New Roman" w:cs="Times New Roman"/>
          <w:i/>
          <w:sz w:val="24"/>
          <w:szCs w:val="24"/>
          <w:vertAlign w:val="superscript"/>
        </w:rPr>
        <w:t>86</w:t>
      </w:r>
      <w:r>
        <w:rPr>
          <w:rFonts w:ascii="Times New Roman" w:eastAsia="Times New Roman" w:hAnsi="Times New Roman" w:cs="Times New Roman"/>
          <w:i/>
          <w:sz w:val="24"/>
          <w:szCs w:val="24"/>
        </w:rPr>
        <w:t>Sr measurements (LA-MC-ICP-MS) on human teeth enamel</w:t>
      </w:r>
    </w:p>
    <w:p w14:paraId="6FD5F4CC" w14:textId="77777777" w:rsidR="00073701" w:rsidRDefault="00073701">
      <w:pPr>
        <w:spacing w:after="0" w:line="240" w:lineRule="auto"/>
        <w:jc w:val="both"/>
        <w:rPr>
          <w:rFonts w:ascii="Times New Roman" w:eastAsia="Times New Roman" w:hAnsi="Times New Roman" w:cs="Times New Roman"/>
          <w:i/>
          <w:sz w:val="24"/>
          <w:szCs w:val="24"/>
        </w:rPr>
      </w:pPr>
    </w:p>
    <w:sdt>
      <w:sdtPr>
        <w:tag w:val="goog_rdk_155"/>
        <w:id w:val="-1487546121"/>
      </w:sdtPr>
      <w:sdtEndPr/>
      <w:sdtContent>
        <w:p w14:paraId="7E1D1D35"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54"/>
              <w:id w:val="1104534850"/>
            </w:sdtPr>
            <w:sdtEndPr/>
            <w:sdtContent>
              <w:r>
                <w:rPr>
                  <w:rFonts w:ascii="Times New Roman" w:eastAsia="Times New Roman" w:hAnsi="Times New Roman" w:cs="Times New Roman"/>
                  <w:i/>
                  <w:sz w:val="24"/>
                  <w:szCs w:val="24"/>
                </w:rPr>
                <w:t>SI2. Pre-Quaternary geological map of Eastern and Northern Europe (based on IGME5000, 2005) and the maximum extent of the last glaciation ice sheet with trajectories of the major ice streams which exist</w:t>
              </w:r>
              <w:r>
                <w:rPr>
                  <w:rFonts w:ascii="Times New Roman" w:eastAsia="Times New Roman" w:hAnsi="Times New Roman" w:cs="Times New Roman"/>
                  <w:i/>
                  <w:sz w:val="24"/>
                  <w:szCs w:val="24"/>
                </w:rPr>
                <w:t>ed during the decay of the ice sheet according to Boulton et al. (2001)</w:t>
              </w:r>
            </w:sdtContent>
          </w:sdt>
        </w:p>
      </w:sdtContent>
    </w:sdt>
    <w:sdt>
      <w:sdtPr>
        <w:tag w:val="goog_rdk_157"/>
        <w:id w:val="172623871"/>
      </w:sdtPr>
      <w:sdtEndPr/>
      <w:sdtContent>
        <w:p w14:paraId="3DF6780F"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56"/>
              <w:id w:val="-664170727"/>
            </w:sdtPr>
            <w:sdtEndPr/>
            <w:sdtContent/>
          </w:sdt>
        </w:p>
      </w:sdtContent>
    </w:sdt>
    <w:sdt>
      <w:sdtPr>
        <w:tag w:val="goog_rdk_159"/>
        <w:id w:val="-1257593796"/>
      </w:sdtPr>
      <w:sdtEndPr/>
      <w:sdtContent>
        <w:p w14:paraId="3368B064"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58"/>
              <w:id w:val="141618573"/>
            </w:sdtPr>
            <w:sdtEndPr/>
            <w:sdtContent>
              <w:r>
                <w:rPr>
                  <w:rFonts w:ascii="Times New Roman" w:eastAsia="Times New Roman" w:hAnsi="Times New Roman" w:cs="Times New Roman"/>
                  <w:i/>
                  <w:sz w:val="24"/>
                  <w:szCs w:val="24"/>
                </w:rPr>
                <w:t>SI3. Fig. 3. Archaeological sites with human, animal and plant samples analysed mapped onto a Quaternary geological map 1:200 000 after Lithuanian Geological Survey (</w:t>
              </w:r>
              <w:hyperlink r:id="rId88" w:history="1">
                <w:r>
                  <w:rPr>
                    <w:rFonts w:ascii="Times New Roman" w:eastAsia="Times New Roman" w:hAnsi="Times New Roman" w:cs="Times New Roman"/>
                    <w:i/>
                    <w:sz w:val="24"/>
                    <w:szCs w:val="24"/>
                  </w:rPr>
                  <w:t>https://www.lgt.lt/epaslaugos/elpaslauga.xhtml</w:t>
                </w:r>
              </w:hyperlink>
              <w:r>
                <w:rPr>
                  <w:rFonts w:ascii="Times New Roman" w:eastAsia="Times New Roman" w:hAnsi="Times New Roman" w:cs="Times New Roman"/>
                  <w:i/>
                  <w:sz w:val="24"/>
                  <w:szCs w:val="24"/>
                </w:rPr>
                <w:t>). H – Holocene, LP – Late Pleistocene, MP – Middle Pleistocene</w:t>
              </w:r>
            </w:sdtContent>
          </w:sdt>
        </w:p>
      </w:sdtContent>
    </w:sdt>
    <w:sdt>
      <w:sdtPr>
        <w:tag w:val="goog_rdk_161"/>
        <w:id w:val="-1627928326"/>
      </w:sdtPr>
      <w:sdtEndPr/>
      <w:sdtContent>
        <w:p w14:paraId="5243B71B"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60"/>
              <w:id w:val="-171874541"/>
            </w:sdtPr>
            <w:sdtEndPr/>
            <w:sdtContent/>
          </w:sdt>
        </w:p>
      </w:sdtContent>
    </w:sdt>
    <w:sdt>
      <w:sdtPr>
        <w:tag w:val="goog_rdk_163"/>
        <w:id w:val="-45607159"/>
      </w:sdtPr>
      <w:sdtEndPr/>
      <w:sdtContent>
        <w:p w14:paraId="0AD46B4A"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62"/>
              <w:id w:val="-1900505292"/>
            </w:sdtPr>
            <w:sdtEndPr/>
            <w:sdtContent>
              <w:r>
                <w:rPr>
                  <w:rFonts w:ascii="Times New Roman" w:eastAsia="Times New Roman" w:hAnsi="Times New Roman" w:cs="Times New Roman"/>
                  <w:i/>
                  <w:sz w:val="24"/>
                  <w:szCs w:val="24"/>
                </w:rPr>
                <w:t xml:space="preserve">SI4. Mean 87Sr/86Sr ratios of archaeological fauna from this study and from </w:t>
              </w:r>
              <w:r>
                <w:rPr>
                  <w:rFonts w:ascii="Times New Roman" w:eastAsia="Times New Roman" w:hAnsi="Times New Roman" w:cs="Times New Roman"/>
                  <w:i/>
                  <w:sz w:val="24"/>
                  <w:szCs w:val="24"/>
                </w:rPr>
                <w:t>Piličiauskienė et al. (in prep) plotted on the interpolation of thickness of Quaternary deposits (from Aleksa 2007 with permission)</w:t>
              </w:r>
            </w:sdtContent>
          </w:sdt>
        </w:p>
      </w:sdtContent>
    </w:sdt>
    <w:sdt>
      <w:sdtPr>
        <w:tag w:val="goog_rdk_165"/>
        <w:id w:val="1811753115"/>
      </w:sdtPr>
      <w:sdtEndPr/>
      <w:sdtContent>
        <w:p w14:paraId="1224BF9E"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64"/>
              <w:id w:val="109558956"/>
            </w:sdtPr>
            <w:sdtEndPr/>
            <w:sdtContent/>
          </w:sdt>
        </w:p>
      </w:sdtContent>
    </w:sdt>
    <w:sdt>
      <w:sdtPr>
        <w:tag w:val="goog_rdk_167"/>
        <w:id w:val="1261113710"/>
      </w:sdtPr>
      <w:sdtEndPr/>
      <w:sdtContent>
        <w:p w14:paraId="26D7B9B0" w14:textId="77777777" w:rsidR="00073701" w:rsidRDefault="00C87DCB">
          <w:pPr>
            <w:spacing w:after="0" w:line="240" w:lineRule="auto"/>
            <w:jc w:val="both"/>
            <w:rPr>
              <w:rFonts w:ascii="Times New Roman" w:eastAsia="Times New Roman" w:hAnsi="Times New Roman" w:cs="Times New Roman"/>
              <w:i/>
              <w:sz w:val="24"/>
              <w:szCs w:val="24"/>
            </w:rPr>
          </w:pPr>
          <w:sdt>
            <w:sdtPr>
              <w:tag w:val="goog_rdk_166"/>
              <w:id w:val="90593660"/>
            </w:sdtPr>
            <w:sdtEndPr/>
            <w:sdtContent>
              <w:r>
                <w:rPr>
                  <w:rFonts w:ascii="Times New Roman" w:eastAsia="Times New Roman" w:hAnsi="Times New Roman" w:cs="Times New Roman"/>
                  <w:i/>
                  <w:sz w:val="24"/>
                  <w:szCs w:val="24"/>
                </w:rPr>
                <w:t>SI5. Measured 87Sr/86Sr ratios of fauna and interpolated 87Sr/86Sr ratios of modern grazing and agricultural soil (</w:t>
              </w:r>
              <w:r>
                <w:rPr>
                  <w:rFonts w:ascii="Times New Roman" w:eastAsia="Times New Roman" w:hAnsi="Times New Roman" w:cs="Times New Roman"/>
                  <w:i/>
                  <w:sz w:val="24"/>
                  <w:szCs w:val="24"/>
                </w:rPr>
                <w:t>from data published by Hoogewerff et al. 2019). Note that all animals are from archaeological sites with a single exception of Minaičiai (marked with *) in which four modern small rodents were analysed</w:t>
              </w:r>
            </w:sdtContent>
          </w:sdt>
        </w:p>
      </w:sdtContent>
    </w:sdt>
    <w:p w14:paraId="3CFB4BA3" w14:textId="77777777" w:rsidR="00073701" w:rsidRDefault="00073701">
      <w:pPr>
        <w:spacing w:after="0" w:line="240" w:lineRule="auto"/>
        <w:jc w:val="both"/>
        <w:rPr>
          <w:rFonts w:ascii="Times New Roman" w:eastAsia="Times New Roman" w:hAnsi="Times New Roman" w:cs="Times New Roman"/>
          <w:sz w:val="24"/>
          <w:szCs w:val="24"/>
        </w:rPr>
      </w:pPr>
    </w:p>
    <w:sectPr w:rsidR="00073701">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C478E" w14:textId="77777777" w:rsidR="00000000" w:rsidRDefault="00C87DCB">
      <w:pPr>
        <w:spacing w:after="0" w:line="240" w:lineRule="auto"/>
      </w:pPr>
      <w:r>
        <w:separator/>
      </w:r>
    </w:p>
  </w:endnote>
  <w:endnote w:type="continuationSeparator" w:id="0">
    <w:p w14:paraId="2C8F8E60" w14:textId="77777777" w:rsidR="00000000" w:rsidRDefault="00C8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Times New Roman"/>
    <w:panose1 w:val="00000000000000000000"/>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3rd Man">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F24A9" w14:textId="77777777" w:rsidR="00073701" w:rsidRDefault="00C87DCB">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4ABE449B" w14:textId="77777777" w:rsidR="00073701" w:rsidRDefault="0007370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DE43E" w14:textId="77777777" w:rsidR="00000000" w:rsidRDefault="00C87DCB">
      <w:pPr>
        <w:spacing w:after="0" w:line="240" w:lineRule="auto"/>
      </w:pPr>
      <w:r>
        <w:separator/>
      </w:r>
    </w:p>
  </w:footnote>
  <w:footnote w:type="continuationSeparator" w:id="0">
    <w:p w14:paraId="5CEF4CBB" w14:textId="77777777" w:rsidR="00000000" w:rsidRDefault="00C87DC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E37"/>
    <w:multiLevelType w:val="multilevel"/>
    <w:tmpl w:val="C60C3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3701"/>
    <w:rsid w:val="00073701"/>
    <w:rsid w:val="00C87D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AC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8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1654F8"/>
    <w:rPr>
      <w:color w:val="0563C1" w:themeColor="hyperlink"/>
      <w:u w:val="single"/>
    </w:rPr>
  </w:style>
  <w:style w:type="character" w:styleId="CommentReference">
    <w:name w:val="annotation reference"/>
    <w:basedOn w:val="DefaultParagraphFont"/>
    <w:uiPriority w:val="99"/>
    <w:semiHidden/>
    <w:unhideWhenUsed/>
    <w:rsid w:val="00D10036"/>
    <w:rPr>
      <w:sz w:val="16"/>
      <w:szCs w:val="16"/>
    </w:rPr>
  </w:style>
  <w:style w:type="paragraph" w:styleId="CommentText">
    <w:name w:val="annotation text"/>
    <w:basedOn w:val="Normal"/>
    <w:link w:val="CommentTextChar"/>
    <w:uiPriority w:val="99"/>
    <w:unhideWhenUsed/>
    <w:rsid w:val="00D10036"/>
    <w:pPr>
      <w:spacing w:line="240" w:lineRule="auto"/>
    </w:pPr>
    <w:rPr>
      <w:sz w:val="20"/>
      <w:szCs w:val="20"/>
    </w:rPr>
  </w:style>
  <w:style w:type="character" w:customStyle="1" w:styleId="CommentTextChar">
    <w:name w:val="Comment Text Char"/>
    <w:basedOn w:val="DefaultParagraphFont"/>
    <w:link w:val="CommentText"/>
    <w:uiPriority w:val="99"/>
    <w:rsid w:val="00D10036"/>
    <w:rPr>
      <w:sz w:val="20"/>
      <w:szCs w:val="20"/>
    </w:rPr>
  </w:style>
  <w:style w:type="paragraph" w:styleId="CommentSubject">
    <w:name w:val="annotation subject"/>
    <w:basedOn w:val="CommentText"/>
    <w:next w:val="CommentText"/>
    <w:link w:val="CommentSubjectChar"/>
    <w:uiPriority w:val="99"/>
    <w:semiHidden/>
    <w:unhideWhenUsed/>
    <w:rsid w:val="00D10036"/>
    <w:rPr>
      <w:b/>
      <w:bCs/>
    </w:rPr>
  </w:style>
  <w:style w:type="character" w:customStyle="1" w:styleId="CommentSubjectChar">
    <w:name w:val="Comment Subject Char"/>
    <w:basedOn w:val="CommentTextChar"/>
    <w:link w:val="CommentSubject"/>
    <w:uiPriority w:val="99"/>
    <w:semiHidden/>
    <w:rsid w:val="00D10036"/>
    <w:rPr>
      <w:b/>
      <w:bCs/>
      <w:sz w:val="20"/>
      <w:szCs w:val="20"/>
    </w:rPr>
  </w:style>
  <w:style w:type="paragraph" w:styleId="BalloonText">
    <w:name w:val="Balloon Text"/>
    <w:basedOn w:val="Normal"/>
    <w:link w:val="BalloonTextChar"/>
    <w:uiPriority w:val="99"/>
    <w:semiHidden/>
    <w:unhideWhenUsed/>
    <w:rsid w:val="00D10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036"/>
    <w:rPr>
      <w:rFonts w:ascii="Segoe UI" w:hAnsi="Segoe UI" w:cs="Segoe UI"/>
      <w:sz w:val="18"/>
      <w:szCs w:val="18"/>
    </w:rPr>
  </w:style>
  <w:style w:type="paragraph" w:styleId="FootnoteText">
    <w:name w:val="footnote text"/>
    <w:basedOn w:val="Normal"/>
    <w:link w:val="FootnoteTextChar"/>
    <w:uiPriority w:val="99"/>
    <w:semiHidden/>
    <w:unhideWhenUsed/>
    <w:rsid w:val="004D5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5B8C"/>
    <w:rPr>
      <w:sz w:val="20"/>
      <w:szCs w:val="20"/>
    </w:rPr>
  </w:style>
  <w:style w:type="character" w:styleId="FootnoteReference">
    <w:name w:val="footnote reference"/>
    <w:basedOn w:val="DefaultParagraphFont"/>
    <w:uiPriority w:val="99"/>
    <w:semiHidden/>
    <w:unhideWhenUsed/>
    <w:rsid w:val="004D5B8C"/>
    <w:rPr>
      <w:vertAlign w:val="superscript"/>
    </w:rPr>
  </w:style>
  <w:style w:type="character" w:styleId="Emphasis">
    <w:name w:val="Emphasis"/>
    <w:basedOn w:val="DefaultParagraphFont"/>
    <w:uiPriority w:val="20"/>
    <w:qFormat/>
    <w:rsid w:val="00F06D29"/>
    <w:rPr>
      <w:i/>
      <w:iCs/>
    </w:rPr>
  </w:style>
  <w:style w:type="paragraph" w:styleId="ListParagraph">
    <w:name w:val="List Paragraph"/>
    <w:basedOn w:val="Normal"/>
    <w:uiPriority w:val="34"/>
    <w:qFormat/>
    <w:rsid w:val="00CC7CA6"/>
    <w:pPr>
      <w:ind w:left="720"/>
      <w:contextualSpacing/>
    </w:pPr>
  </w:style>
  <w:style w:type="paragraph" w:styleId="Header">
    <w:name w:val="header"/>
    <w:basedOn w:val="Normal"/>
    <w:link w:val="HeaderChar"/>
    <w:uiPriority w:val="99"/>
    <w:unhideWhenUsed/>
    <w:rsid w:val="003E6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B78"/>
  </w:style>
  <w:style w:type="paragraph" w:styleId="Footer">
    <w:name w:val="footer"/>
    <w:basedOn w:val="Normal"/>
    <w:link w:val="FooterChar"/>
    <w:uiPriority w:val="99"/>
    <w:unhideWhenUsed/>
    <w:rsid w:val="003E6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B78"/>
  </w:style>
  <w:style w:type="character" w:styleId="FollowedHyperlink">
    <w:name w:val="FollowedHyperlink"/>
    <w:basedOn w:val="DefaultParagraphFont"/>
    <w:uiPriority w:val="99"/>
    <w:semiHidden/>
    <w:unhideWhenUsed/>
    <w:rsid w:val="00A43C44"/>
    <w:rPr>
      <w:color w:val="954F72" w:themeColor="followedHyperlink"/>
      <w:u w:val="single"/>
    </w:rPr>
  </w:style>
  <w:style w:type="paragraph" w:styleId="EndnoteText">
    <w:name w:val="endnote text"/>
    <w:basedOn w:val="Normal"/>
    <w:link w:val="EndnoteTextChar"/>
    <w:uiPriority w:val="99"/>
    <w:semiHidden/>
    <w:unhideWhenUsed/>
    <w:rsid w:val="008D2F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2F5E"/>
    <w:rPr>
      <w:sz w:val="20"/>
      <w:szCs w:val="20"/>
    </w:rPr>
  </w:style>
  <w:style w:type="character" w:styleId="EndnoteReference">
    <w:name w:val="endnote reference"/>
    <w:basedOn w:val="DefaultParagraphFont"/>
    <w:uiPriority w:val="99"/>
    <w:semiHidden/>
    <w:unhideWhenUsed/>
    <w:rsid w:val="008D2F5E"/>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7F71B7"/>
    <w:pPr>
      <w:spacing w:after="0" w:line="240" w:lineRule="auto"/>
    </w:p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character" w:customStyle="1" w:styleId="Olstomnmnande1">
    <w:name w:val="Olöst omnämnande1"/>
    <w:basedOn w:val="DefaultParagraphFont"/>
    <w:uiPriority w:val="99"/>
    <w:semiHidden/>
    <w:unhideWhenUsed/>
    <w:rsid w:val="00710AFC"/>
    <w:rPr>
      <w:color w:val="605E5C"/>
      <w:shd w:val="clear" w:color="auto" w:fill="E1DFDD"/>
    </w:r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8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1654F8"/>
    <w:rPr>
      <w:color w:val="0563C1" w:themeColor="hyperlink"/>
      <w:u w:val="single"/>
    </w:rPr>
  </w:style>
  <w:style w:type="character" w:styleId="CommentReference">
    <w:name w:val="annotation reference"/>
    <w:basedOn w:val="DefaultParagraphFont"/>
    <w:uiPriority w:val="99"/>
    <w:semiHidden/>
    <w:unhideWhenUsed/>
    <w:rsid w:val="00D10036"/>
    <w:rPr>
      <w:sz w:val="16"/>
      <w:szCs w:val="16"/>
    </w:rPr>
  </w:style>
  <w:style w:type="paragraph" w:styleId="CommentText">
    <w:name w:val="annotation text"/>
    <w:basedOn w:val="Normal"/>
    <w:link w:val="CommentTextChar"/>
    <w:uiPriority w:val="99"/>
    <w:unhideWhenUsed/>
    <w:rsid w:val="00D10036"/>
    <w:pPr>
      <w:spacing w:line="240" w:lineRule="auto"/>
    </w:pPr>
    <w:rPr>
      <w:sz w:val="20"/>
      <w:szCs w:val="20"/>
    </w:rPr>
  </w:style>
  <w:style w:type="character" w:customStyle="1" w:styleId="CommentTextChar">
    <w:name w:val="Comment Text Char"/>
    <w:basedOn w:val="DefaultParagraphFont"/>
    <w:link w:val="CommentText"/>
    <w:uiPriority w:val="99"/>
    <w:rsid w:val="00D10036"/>
    <w:rPr>
      <w:sz w:val="20"/>
      <w:szCs w:val="20"/>
    </w:rPr>
  </w:style>
  <w:style w:type="paragraph" w:styleId="CommentSubject">
    <w:name w:val="annotation subject"/>
    <w:basedOn w:val="CommentText"/>
    <w:next w:val="CommentText"/>
    <w:link w:val="CommentSubjectChar"/>
    <w:uiPriority w:val="99"/>
    <w:semiHidden/>
    <w:unhideWhenUsed/>
    <w:rsid w:val="00D10036"/>
    <w:rPr>
      <w:b/>
      <w:bCs/>
    </w:rPr>
  </w:style>
  <w:style w:type="character" w:customStyle="1" w:styleId="CommentSubjectChar">
    <w:name w:val="Comment Subject Char"/>
    <w:basedOn w:val="CommentTextChar"/>
    <w:link w:val="CommentSubject"/>
    <w:uiPriority w:val="99"/>
    <w:semiHidden/>
    <w:rsid w:val="00D10036"/>
    <w:rPr>
      <w:b/>
      <w:bCs/>
      <w:sz w:val="20"/>
      <w:szCs w:val="20"/>
    </w:rPr>
  </w:style>
  <w:style w:type="paragraph" w:styleId="BalloonText">
    <w:name w:val="Balloon Text"/>
    <w:basedOn w:val="Normal"/>
    <w:link w:val="BalloonTextChar"/>
    <w:uiPriority w:val="99"/>
    <w:semiHidden/>
    <w:unhideWhenUsed/>
    <w:rsid w:val="00D10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036"/>
    <w:rPr>
      <w:rFonts w:ascii="Segoe UI" w:hAnsi="Segoe UI" w:cs="Segoe UI"/>
      <w:sz w:val="18"/>
      <w:szCs w:val="18"/>
    </w:rPr>
  </w:style>
  <w:style w:type="paragraph" w:styleId="FootnoteText">
    <w:name w:val="footnote text"/>
    <w:basedOn w:val="Normal"/>
    <w:link w:val="FootnoteTextChar"/>
    <w:uiPriority w:val="99"/>
    <w:semiHidden/>
    <w:unhideWhenUsed/>
    <w:rsid w:val="004D5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5B8C"/>
    <w:rPr>
      <w:sz w:val="20"/>
      <w:szCs w:val="20"/>
    </w:rPr>
  </w:style>
  <w:style w:type="character" w:styleId="FootnoteReference">
    <w:name w:val="footnote reference"/>
    <w:basedOn w:val="DefaultParagraphFont"/>
    <w:uiPriority w:val="99"/>
    <w:semiHidden/>
    <w:unhideWhenUsed/>
    <w:rsid w:val="004D5B8C"/>
    <w:rPr>
      <w:vertAlign w:val="superscript"/>
    </w:rPr>
  </w:style>
  <w:style w:type="character" w:styleId="Emphasis">
    <w:name w:val="Emphasis"/>
    <w:basedOn w:val="DefaultParagraphFont"/>
    <w:uiPriority w:val="20"/>
    <w:qFormat/>
    <w:rsid w:val="00F06D29"/>
    <w:rPr>
      <w:i/>
      <w:iCs/>
    </w:rPr>
  </w:style>
  <w:style w:type="paragraph" w:styleId="ListParagraph">
    <w:name w:val="List Paragraph"/>
    <w:basedOn w:val="Normal"/>
    <w:uiPriority w:val="34"/>
    <w:qFormat/>
    <w:rsid w:val="00CC7CA6"/>
    <w:pPr>
      <w:ind w:left="720"/>
      <w:contextualSpacing/>
    </w:pPr>
  </w:style>
  <w:style w:type="paragraph" w:styleId="Header">
    <w:name w:val="header"/>
    <w:basedOn w:val="Normal"/>
    <w:link w:val="HeaderChar"/>
    <w:uiPriority w:val="99"/>
    <w:unhideWhenUsed/>
    <w:rsid w:val="003E6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B78"/>
  </w:style>
  <w:style w:type="paragraph" w:styleId="Footer">
    <w:name w:val="footer"/>
    <w:basedOn w:val="Normal"/>
    <w:link w:val="FooterChar"/>
    <w:uiPriority w:val="99"/>
    <w:unhideWhenUsed/>
    <w:rsid w:val="003E6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B78"/>
  </w:style>
  <w:style w:type="character" w:styleId="FollowedHyperlink">
    <w:name w:val="FollowedHyperlink"/>
    <w:basedOn w:val="DefaultParagraphFont"/>
    <w:uiPriority w:val="99"/>
    <w:semiHidden/>
    <w:unhideWhenUsed/>
    <w:rsid w:val="00A43C44"/>
    <w:rPr>
      <w:color w:val="954F72" w:themeColor="followedHyperlink"/>
      <w:u w:val="single"/>
    </w:rPr>
  </w:style>
  <w:style w:type="paragraph" w:styleId="EndnoteText">
    <w:name w:val="endnote text"/>
    <w:basedOn w:val="Normal"/>
    <w:link w:val="EndnoteTextChar"/>
    <w:uiPriority w:val="99"/>
    <w:semiHidden/>
    <w:unhideWhenUsed/>
    <w:rsid w:val="008D2F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2F5E"/>
    <w:rPr>
      <w:sz w:val="20"/>
      <w:szCs w:val="20"/>
    </w:rPr>
  </w:style>
  <w:style w:type="character" w:styleId="EndnoteReference">
    <w:name w:val="endnote reference"/>
    <w:basedOn w:val="DefaultParagraphFont"/>
    <w:uiPriority w:val="99"/>
    <w:semiHidden/>
    <w:unhideWhenUsed/>
    <w:rsid w:val="008D2F5E"/>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7F71B7"/>
    <w:pPr>
      <w:spacing w:after="0" w:line="240" w:lineRule="auto"/>
    </w:p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character" w:customStyle="1" w:styleId="Olstomnmnande1">
    <w:name w:val="Olöst omnämnande1"/>
    <w:basedOn w:val="DefaultParagraphFont"/>
    <w:uiPriority w:val="99"/>
    <w:semiHidden/>
    <w:unhideWhenUsed/>
    <w:rsid w:val="00710AFC"/>
    <w:rPr>
      <w:color w:val="605E5C"/>
      <w:shd w:val="clear" w:color="auto" w:fill="E1DFDD"/>
    </w:r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ytis.piliciauskas@gmail.com" TargetMode="External"/><Relationship Id="rId10" Type="http://schemas.openxmlformats.org/officeDocument/2006/relationships/footer" Target="footer1.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hyperlink" Target="https://www.lgt.lt/epaslaugos/elpaslauga.xhtml"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30" Type="http://schemas.openxmlformats.org/officeDocument/2006/relationships/hyperlink" Target="https://doi.org/10.1006/jasc.2001.0787" TargetMode="External"/><Relationship Id="rId31" Type="http://schemas.openxmlformats.org/officeDocument/2006/relationships/hyperlink" Target="https://doi.org/10.1016/j.palaeo.2020.109849" TargetMode="External"/><Relationship Id="rId32" Type="http://schemas.openxmlformats.org/officeDocument/2006/relationships/hyperlink" Target="https://doi.org/10.1007/s10816-006-9009-x" TargetMode="External"/><Relationship Id="rId33" Type="http://schemas.openxmlformats.org/officeDocument/2006/relationships/hyperlink" Target="https://doi.org/10.1111/j.1475-4754.2005.00223.x" TargetMode="External"/><Relationship Id="rId34" Type="http://schemas.openxmlformats.org/officeDocument/2006/relationships/hyperlink" Target="https://doi.org/10.1007/s12520-021-01294-4" TargetMode="External"/><Relationship Id="rId35" Type="http://schemas.openxmlformats.org/officeDocument/2006/relationships/hyperlink" Target="https://doi.org/10.1371/journal.pone.0245222" TargetMode="External"/><Relationship Id="rId36" Type="http://schemas.openxmlformats.org/officeDocument/2006/relationships/hyperlink" Target="https://doi.org/10.1016/S0883-2927(99)00075-X" TargetMode="External"/><Relationship Id="rId37" Type="http://schemas.openxmlformats.org/officeDocument/2006/relationships/hyperlink" Target="https://doi.org/10.1073/pnas.1211474110" TargetMode="External"/><Relationship Id="rId38" Type="http://schemas.openxmlformats.org/officeDocument/2006/relationships/hyperlink" Target="https://doi.org/10.1016/S0277-3791(00)00160-8" TargetMode="External"/><Relationship Id="rId39" Type="http://schemas.openxmlformats.org/officeDocument/2006/relationships/hyperlink" Target="https://doi.org/10.1029/2008GL033382" TargetMode="External"/><Relationship Id="rId50" Type="http://schemas.openxmlformats.org/officeDocument/2006/relationships/hyperlink" Target="https://doi.org/10.1016/j.jas.2012.07.017" TargetMode="External"/><Relationship Id="rId51" Type="http://schemas.openxmlformats.org/officeDocument/2006/relationships/hyperlink" Target="https://doi.org/10.1038/nature14317" TargetMode="External"/><Relationship Id="rId52" Type="http://schemas.openxmlformats.org/officeDocument/2006/relationships/hyperlink" Target="https://doi.org/10.1016/j.scitotenv.2019.03.387" TargetMode="External"/><Relationship Id="rId53" Type="http://schemas.openxmlformats.org/officeDocument/2006/relationships/hyperlink" Target="https://doi.org/10.1016/j.earscirev.2021.103593" TargetMode="External"/><Relationship Id="rId54" Type="http://schemas.openxmlformats.org/officeDocument/2006/relationships/hyperlink" Target="https://doi.org/10.1016/j.gca.2008.08.016" TargetMode="External"/><Relationship Id="rId55" Type="http://schemas.openxmlformats.org/officeDocument/2006/relationships/hyperlink" Target="http://www.europe-geology.eu/onshore-geology/geological-map/igme5000/" TargetMode="External"/><Relationship Id="rId56" Type="http://schemas.openxmlformats.org/officeDocument/2006/relationships/hyperlink" Target="https://doi.org/10.1002/oa.1217" TargetMode="External"/><Relationship Id="rId57" Type="http://schemas.openxmlformats.org/officeDocument/2006/relationships/hyperlink" Target="https://doi.org/10.1007/s12520-020-01240-w" TargetMode="External"/><Relationship Id="rId58" Type="http://schemas.openxmlformats.org/officeDocument/2006/relationships/hyperlink" Target="https://doi.org/10.1038/s41598-021-81923-z" TargetMode="External"/><Relationship Id="rId59" Type="http://schemas.openxmlformats.org/officeDocument/2006/relationships/hyperlink" Target="https://doi.org/10.1007/BF00879760" TargetMode="External"/><Relationship Id="rId70" Type="http://schemas.openxmlformats.org/officeDocument/2006/relationships/hyperlink" Target="https://doi.org/10.1007/s12520-017-0463-z" TargetMode="External"/><Relationship Id="rId71" Type="http://schemas.openxmlformats.org/officeDocument/2006/relationships/hyperlink" Target="https://doi.org/10.1111/j.1600-0390.2020.12223.x" TargetMode="External"/><Relationship Id="rId72" Type="http://schemas.openxmlformats.org/officeDocument/2006/relationships/hyperlink" Target="https://doi.org/10.1016/j.jasrep.2021.102881" TargetMode="External"/><Relationship Id="rId73" Type="http://schemas.openxmlformats.org/officeDocument/2006/relationships/hyperlink" Target="https://doi.org/10.3390/heritage5010018" TargetMode="External"/><Relationship Id="rId74" Type="http://schemas.openxmlformats.org/officeDocument/2006/relationships/hyperlink" Target="https://doi.org/10.1016/0883-2927(94)90063-9" TargetMode="External"/><Relationship Id="rId75" Type="http://schemas.openxmlformats.org/officeDocument/2006/relationships/hyperlink" Target="https://doi.org/10.1016/j.jaa.2017.10.002" TargetMode="External"/><Relationship Id="rId76" Type="http://schemas.openxmlformats.org/officeDocument/2006/relationships/hyperlink" Target="https://doi.org/10.1016/j.jaa.2020.101149" TargetMode="External"/><Relationship Id="rId77" Type="http://schemas.openxmlformats.org/officeDocument/2006/relationships/hyperlink" Target="https://doi.org/10.1016/j.jhevol.2005.09.003" TargetMode="External"/><Relationship Id="rId78" Type="http://schemas.openxmlformats.org/officeDocument/2006/relationships/hyperlink" Target="https://doi.org/10.1007/s12520-019-00804-9" TargetMode="External"/><Relationship Id="rId79" Type="http://schemas.openxmlformats.org/officeDocument/2006/relationships/hyperlink" Target="https://doi.org/10.1016/1352-2310(95)00237-S" TargetMode="External"/><Relationship Id="rId90" Type="http://schemas.openxmlformats.org/officeDocument/2006/relationships/theme" Target="theme/theme1.xm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s://doi.org/10.2166/nh.1987.0003" TargetMode="External"/><Relationship Id="rId23" Type="http://schemas.openxmlformats.org/officeDocument/2006/relationships/hyperlink" Target="https://doi.org/10.1016/j.jasrep.2021.102902" TargetMode="External"/><Relationship Id="rId24" Type="http://schemas.openxmlformats.org/officeDocument/2006/relationships/hyperlink" Target="https://doi.org/10.1038/nature14507" TargetMode="External"/><Relationship Id="rId25" Type="http://schemas.openxmlformats.org/officeDocument/2006/relationships/hyperlink" Target="https://doi.org/10.1016/j.jasrep.2020.102462" TargetMode="External"/><Relationship Id="rId26" Type="http://schemas.openxmlformats.org/officeDocument/2006/relationships/hyperlink" Target="https://doi.org/10.1016/0012-821X(92)90124-E" TargetMode="External"/><Relationship Id="rId27" Type="http://schemas.openxmlformats.org/officeDocument/2006/relationships/hyperlink" Target="https://doi.org/10.1016/j.jas.2016.01.004" TargetMode="External"/><Relationship Id="rId28" Type="http://schemas.openxmlformats.org/officeDocument/2006/relationships/hyperlink" Target="https://doi.org/10.1002/oa.601" TargetMode="External"/><Relationship Id="rId29" Type="http://schemas.openxmlformats.org/officeDocument/2006/relationships/hyperlink" Target="https://doi.org/10.1002/oa.656" TargetMode="External"/><Relationship Id="rId40" Type="http://schemas.openxmlformats.org/officeDocument/2006/relationships/hyperlink" Target="https://doi.org/10.1016/0016-7037(95)00409-2" TargetMode="External"/><Relationship Id="rId41" Type="http://schemas.openxmlformats.org/officeDocument/2006/relationships/hyperlink" Target="https://doi.org/10.1023/A:1021132132199" TargetMode="External"/><Relationship Id="rId42" Type="http://schemas.openxmlformats.org/officeDocument/2006/relationships/hyperlink" Target="https://doi.org/10.1130/B31149.1" TargetMode="External"/><Relationship Id="rId43" Type="http://schemas.openxmlformats.org/officeDocument/2006/relationships/hyperlink" Target="https://doi.org/10.1016/S0047-2484(85)80029-4" TargetMode="External"/><Relationship Id="rId44" Type="http://schemas.openxmlformats.org/officeDocument/2006/relationships/hyperlink" Target="https://doi.org/10.1016/j.jasrep.2016.05.052" TargetMode="External"/><Relationship Id="rId45" Type="http://schemas.openxmlformats.org/officeDocument/2006/relationships/hyperlink" Target="https://doi.org/10.1016/j.jasrep.2018.02.045" TargetMode="External"/><Relationship Id="rId46" Type="http://schemas.openxmlformats.org/officeDocument/2006/relationships/hyperlink" Target="https://doi.org/10.1371/journal.pone.0219850" TargetMode="External"/><Relationship Id="rId47" Type="http://schemas.openxmlformats.org/officeDocument/2006/relationships/hyperlink" Target="https://doi.org/10.1002/rcm.8158" TargetMode="External"/><Relationship Id="rId48" Type="http://schemas.openxmlformats.org/officeDocument/2006/relationships/hyperlink" Target="https://doi.org/10.1080/17445647.2014.954646" TargetMode="External"/><Relationship Id="rId49" Type="http://schemas.openxmlformats.org/officeDocument/2006/relationships/hyperlink" Target="https://doi.org/10.1126/science.219.4582.289" TargetMode="External"/><Relationship Id="rId60" Type="http://schemas.openxmlformats.org/officeDocument/2006/relationships/hyperlink" Target="https://doi.org/10.1038/nature25778" TargetMode="External"/><Relationship Id="rId61" Type="http://schemas.openxmlformats.org/officeDocument/2006/relationships/hyperlink" Target="http://dx.doi.org/10.1086/319243" TargetMode="External"/><Relationship Id="rId62" Type="http://schemas.openxmlformats.org/officeDocument/2006/relationships/hyperlink" Target="https://doi.org/10.1007/s00334-019-00745-2" TargetMode="External"/><Relationship Id="rId63" Type="http://schemas.openxmlformats.org/officeDocument/2006/relationships/hyperlink" Target="https://doi.org/10.1016/j.epsl.2015.01.036" TargetMode="External"/><Relationship Id="rId64" Type="http://schemas.openxmlformats.org/officeDocument/2006/relationships/hyperlink" Target="https://doi.org/10.3109/03014461003649297" TargetMode="External"/><Relationship Id="rId65" Type="http://schemas.openxmlformats.org/officeDocument/2006/relationships/hyperlink" Target="https://doi.org/10.1038/nature25738" TargetMode="External"/><Relationship Id="rId66" Type="http://schemas.openxmlformats.org/officeDocument/2006/relationships/hyperlink" Target="https://doi.org/10.1111/arcm.12759" TargetMode="External"/><Relationship Id="rId67" Type="http://schemas.openxmlformats.org/officeDocument/2006/relationships/hyperlink" Target="https://doi.org/10.1016/0016-7037(92)90332-D" TargetMode="External"/><Relationship Id="rId68" Type="http://schemas.openxmlformats.org/officeDocument/2006/relationships/hyperlink" Target="https://doi.org/10.1017/S0033822200039096" TargetMode="External"/><Relationship Id="rId69" Type="http://schemas.openxmlformats.org/officeDocument/2006/relationships/hyperlink" Target="https://doi.org/10.1016/j.jasrep.2017.06.004" TargetMode="External"/><Relationship Id="rId80" Type="http://schemas.openxmlformats.org/officeDocument/2006/relationships/hyperlink" Target="https://doi.org/10.1126/sciadv.abd6535" TargetMode="External"/><Relationship Id="rId81" Type="http://schemas.openxmlformats.org/officeDocument/2006/relationships/hyperlink" Target="https://doi.org/10.1016/j.jas.2009.10.025" TargetMode="External"/><Relationship Id="rId82" Type="http://schemas.openxmlformats.org/officeDocument/2006/relationships/hyperlink" Target="https://doi.org/10.1371/journal.pone.0207748" TargetMode="External"/><Relationship Id="rId83" Type="http://schemas.openxmlformats.org/officeDocument/2006/relationships/hyperlink" Target="https://doi.org/10.1515/anre-2015-0010" TargetMode="External"/><Relationship Id="rId84" Type="http://schemas.openxmlformats.org/officeDocument/2006/relationships/hyperlink" Target="https://www.cambridge.org/core/journals/antiquity/article/made-for-exchange-the-russian-karelian-lithic-industry-and-hunterfishergatherer-exchange-networks-in-prehistoric-northeastern-europe/3DAF9A274EDE6D99B1DB042EB9CF4866" TargetMode="External"/><Relationship Id="rId85" Type="http://schemas.openxmlformats.org/officeDocument/2006/relationships/hyperlink" Target="https://doi.org/10.1016/S0031-0182(97)00054-0" TargetMode="External"/><Relationship Id="rId86" Type="http://schemas.openxmlformats.org/officeDocument/2006/relationships/hyperlink" Target="https://doi.org/10.1016/j.foodchem.2009.04.125" TargetMode="External"/><Relationship Id="rId87" Type="http://schemas.openxmlformats.org/officeDocument/2006/relationships/hyperlink" Target="https://doi.org/10.1016/j.jas.2016.04.017" TargetMode="External"/><Relationship Id="rId88" Type="http://schemas.openxmlformats.org/officeDocument/2006/relationships/hyperlink" Target="https://www.lgt.lt/epaslaugos/elpaslauga.xhtml" TargetMode="External"/><Relationship Id="rId8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vdrT9M6ogsE0qZQtjSJSUzBJDw==">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14179</Words>
  <Characters>80824</Characters>
  <Application>Microsoft Macintosh Word</Application>
  <DocSecurity>0</DocSecurity>
  <Lines>673</Lines>
  <Paragraphs>189</Paragraphs>
  <ScaleCrop>false</ScaleCrop>
  <Company/>
  <LinksUpToDate>false</LinksUpToDate>
  <CharactersWithSpaces>94814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dc:creator>
  <cp:lastModifiedBy>Harry Robson</cp:lastModifiedBy>
  <cp:revision>2</cp:revision>
  <dcterms:created xsi:type="dcterms:W3CDTF">2022-02-10T09:37:00Z</dcterms:created>
  <dcterms:modified xsi:type="dcterms:W3CDTF">2022-03-30T13:40:00Z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0x0101005F0DB63EAC14F844A59AAB03C1322964</vt:lpwstr>
  </property>
</Properties>
</file>