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A9909" w14:textId="75B7F4AD" w:rsidR="00785753" w:rsidRPr="00E860AC" w:rsidRDefault="00785753">
      <w:pPr>
        <w:rPr>
          <w:rFonts w:ascii="Times New Roman" w:hAnsi="Times New Roman" w:cs="Times New Roman"/>
          <w:b/>
          <w:bCs/>
          <w:sz w:val="24"/>
          <w:szCs w:val="24"/>
        </w:rPr>
      </w:pPr>
      <w:r w:rsidRPr="00E860AC">
        <w:rPr>
          <w:rFonts w:ascii="Times New Roman" w:hAnsi="Times New Roman" w:cs="Times New Roman"/>
          <w:b/>
          <w:bCs/>
          <w:sz w:val="24"/>
          <w:szCs w:val="24"/>
        </w:rPr>
        <w:t>POVERTIES</w:t>
      </w:r>
    </w:p>
    <w:p w14:paraId="2D327A0C" w14:textId="35B71472" w:rsidR="00785753" w:rsidRPr="0090257E" w:rsidRDefault="00785753">
      <w:pPr>
        <w:rPr>
          <w:rFonts w:ascii="Times New Roman" w:hAnsi="Times New Roman" w:cs="Times New Roman"/>
          <w:sz w:val="24"/>
          <w:szCs w:val="24"/>
        </w:rPr>
      </w:pPr>
      <w:r w:rsidRPr="0090257E">
        <w:rPr>
          <w:rFonts w:ascii="Times New Roman" w:hAnsi="Times New Roman" w:cs="Times New Roman"/>
          <w:sz w:val="24"/>
          <w:szCs w:val="24"/>
        </w:rPr>
        <w:t>Jonathan Bradshaw</w:t>
      </w:r>
    </w:p>
    <w:p w14:paraId="2E287531" w14:textId="77777777" w:rsidR="0095143F" w:rsidRPr="00F5139E" w:rsidRDefault="0095143F" w:rsidP="00F5139E">
      <w:pPr>
        <w:spacing w:after="0" w:line="240" w:lineRule="auto"/>
        <w:rPr>
          <w:rFonts w:ascii="Times New Roman" w:hAnsi="Times New Roman" w:cs="Times New Roman"/>
          <w:sz w:val="24"/>
          <w:szCs w:val="24"/>
        </w:rPr>
      </w:pPr>
      <w:r w:rsidRPr="00F5139E">
        <w:rPr>
          <w:rFonts w:ascii="Times New Roman" w:hAnsi="Times New Roman" w:cs="Times New Roman"/>
          <w:sz w:val="24"/>
          <w:szCs w:val="24"/>
        </w:rPr>
        <w:t xml:space="preserve">Many of us have been irritated by the disaggregation of the notion of poverty in recent years. Food poverty, fuel poverty, water poverty, digital poverty, transport poverty, period poverty – </w:t>
      </w:r>
      <w:proofErr w:type="gramStart"/>
      <w:r w:rsidRPr="00F5139E">
        <w:rPr>
          <w:rFonts w:ascii="Times New Roman" w:hAnsi="Times New Roman" w:cs="Times New Roman"/>
          <w:sz w:val="24"/>
          <w:szCs w:val="24"/>
        </w:rPr>
        <w:t>surely</w:t>
      </w:r>
      <w:proofErr w:type="gramEnd"/>
      <w:r w:rsidRPr="00F5139E">
        <w:rPr>
          <w:rFonts w:ascii="Times New Roman" w:hAnsi="Times New Roman" w:cs="Times New Roman"/>
          <w:sz w:val="24"/>
          <w:szCs w:val="24"/>
        </w:rPr>
        <w:t xml:space="preserve"> they are all just poverty we have cried – just a relative lack of income.</w:t>
      </w:r>
    </w:p>
    <w:p w14:paraId="2B959EC8" w14:textId="77777777" w:rsidR="00CA6A61" w:rsidRDefault="00CA6A61" w:rsidP="00F5139E">
      <w:pPr>
        <w:spacing w:after="0" w:line="240" w:lineRule="auto"/>
        <w:rPr>
          <w:rFonts w:ascii="Times New Roman" w:hAnsi="Times New Roman" w:cs="Times New Roman"/>
          <w:sz w:val="24"/>
          <w:szCs w:val="24"/>
        </w:rPr>
      </w:pPr>
    </w:p>
    <w:p w14:paraId="4B982923" w14:textId="48ACE337" w:rsidR="00785753" w:rsidRDefault="0095143F" w:rsidP="00F5139E">
      <w:pPr>
        <w:spacing w:after="0" w:line="240" w:lineRule="auto"/>
        <w:rPr>
          <w:rFonts w:ascii="Times New Roman" w:hAnsi="Times New Roman" w:cs="Times New Roman"/>
          <w:sz w:val="24"/>
          <w:szCs w:val="24"/>
        </w:rPr>
      </w:pPr>
      <w:r w:rsidRPr="00F5139E">
        <w:rPr>
          <w:rFonts w:ascii="Times New Roman" w:hAnsi="Times New Roman" w:cs="Times New Roman"/>
          <w:sz w:val="24"/>
          <w:szCs w:val="24"/>
        </w:rPr>
        <w:t xml:space="preserve">In the case of </w:t>
      </w:r>
      <w:r w:rsidRPr="00F5139E">
        <w:rPr>
          <w:rFonts w:ascii="Times New Roman" w:hAnsi="Times New Roman" w:cs="Times New Roman"/>
          <w:b/>
          <w:bCs/>
          <w:sz w:val="24"/>
          <w:szCs w:val="24"/>
        </w:rPr>
        <w:t>food poverty</w:t>
      </w:r>
      <w:r w:rsidR="00FE3485" w:rsidRPr="00F5139E">
        <w:rPr>
          <w:rFonts w:ascii="Times New Roman" w:hAnsi="Times New Roman" w:cs="Times New Roman"/>
          <w:sz w:val="24"/>
          <w:szCs w:val="24"/>
        </w:rPr>
        <w:t>,</w:t>
      </w:r>
      <w:r w:rsidRPr="00F5139E">
        <w:rPr>
          <w:rFonts w:ascii="Times New Roman" w:hAnsi="Times New Roman" w:cs="Times New Roman"/>
          <w:sz w:val="24"/>
          <w:szCs w:val="24"/>
        </w:rPr>
        <w:t xml:space="preserve"> it is</w:t>
      </w:r>
      <w:r w:rsidR="00785753" w:rsidRPr="00F5139E">
        <w:rPr>
          <w:rFonts w:ascii="Times New Roman" w:hAnsi="Times New Roman" w:cs="Times New Roman"/>
          <w:sz w:val="24"/>
          <w:szCs w:val="24"/>
        </w:rPr>
        <w:t xml:space="preserve"> </w:t>
      </w:r>
      <w:r w:rsidR="00FE5C50" w:rsidRPr="00F5139E">
        <w:rPr>
          <w:rFonts w:ascii="Times New Roman" w:hAnsi="Times New Roman" w:cs="Times New Roman"/>
          <w:sz w:val="24"/>
          <w:szCs w:val="24"/>
        </w:rPr>
        <w:t>d</w:t>
      </w:r>
      <w:r w:rsidRPr="00F5139E">
        <w:rPr>
          <w:rFonts w:ascii="Times New Roman" w:hAnsi="Times New Roman" w:cs="Times New Roman"/>
          <w:sz w:val="24"/>
          <w:szCs w:val="24"/>
        </w:rPr>
        <w:t xml:space="preserve">ifficult to see any </w:t>
      </w:r>
      <w:r w:rsidR="00FE5C50" w:rsidRPr="00F5139E">
        <w:rPr>
          <w:rFonts w:ascii="Times New Roman" w:hAnsi="Times New Roman" w:cs="Times New Roman"/>
          <w:sz w:val="24"/>
          <w:szCs w:val="24"/>
        </w:rPr>
        <w:t xml:space="preserve">reason why it should not be attributed entirely to a lack of income, except perhaps </w:t>
      </w:r>
      <w:r w:rsidR="00FE3485" w:rsidRPr="00F5139E">
        <w:rPr>
          <w:rFonts w:ascii="Times New Roman" w:hAnsi="Times New Roman" w:cs="Times New Roman"/>
          <w:sz w:val="24"/>
          <w:szCs w:val="24"/>
        </w:rPr>
        <w:t xml:space="preserve">the </w:t>
      </w:r>
      <w:r w:rsidR="00FE5C50" w:rsidRPr="00F5139E">
        <w:rPr>
          <w:rFonts w:ascii="Times New Roman" w:hAnsi="Times New Roman" w:cs="Times New Roman"/>
          <w:sz w:val="24"/>
          <w:szCs w:val="24"/>
        </w:rPr>
        <w:t xml:space="preserve">possibility of food deserts – people living in places without easy access to cheap food outlets. The justification for the notion of food poverty rests almost entirely on the basis that the idea of hungry children resonates more than ‘living on equivalent income less than 60% </w:t>
      </w:r>
      <w:r w:rsidR="00FE3485" w:rsidRPr="00F5139E">
        <w:rPr>
          <w:rFonts w:ascii="Times New Roman" w:hAnsi="Times New Roman" w:cs="Times New Roman"/>
          <w:sz w:val="24"/>
          <w:szCs w:val="24"/>
        </w:rPr>
        <w:t>of the median</w:t>
      </w:r>
      <w:r w:rsidR="00FE5C50" w:rsidRPr="00F5139E">
        <w:rPr>
          <w:rFonts w:ascii="Times New Roman" w:hAnsi="Times New Roman" w:cs="Times New Roman"/>
          <w:sz w:val="24"/>
          <w:szCs w:val="24"/>
        </w:rPr>
        <w:t>’.</w:t>
      </w:r>
    </w:p>
    <w:p w14:paraId="7CE3480D" w14:textId="77777777" w:rsidR="00E860AC" w:rsidRPr="00F5139E" w:rsidRDefault="00E860AC" w:rsidP="00F5139E">
      <w:pPr>
        <w:spacing w:after="0" w:line="240" w:lineRule="auto"/>
        <w:rPr>
          <w:rFonts w:ascii="Times New Roman" w:hAnsi="Times New Roman" w:cs="Times New Roman"/>
          <w:sz w:val="24"/>
          <w:szCs w:val="24"/>
        </w:rPr>
      </w:pPr>
    </w:p>
    <w:p w14:paraId="730C078B" w14:textId="2653D233" w:rsidR="00F5139E" w:rsidRPr="00F5139E" w:rsidRDefault="00FE3485" w:rsidP="00F5139E">
      <w:pPr>
        <w:autoSpaceDE w:val="0"/>
        <w:autoSpaceDN w:val="0"/>
        <w:adjustRightInd w:val="0"/>
        <w:spacing w:after="0" w:line="240" w:lineRule="auto"/>
        <w:rPr>
          <w:rFonts w:ascii="Times New Roman" w:hAnsi="Times New Roman" w:cs="Times New Roman"/>
          <w:sz w:val="24"/>
          <w:szCs w:val="24"/>
        </w:rPr>
      </w:pPr>
      <w:r w:rsidRPr="00F5139E">
        <w:rPr>
          <w:rFonts w:ascii="Times New Roman" w:hAnsi="Times New Roman" w:cs="Times New Roman"/>
          <w:sz w:val="24"/>
          <w:szCs w:val="24"/>
        </w:rPr>
        <w:t xml:space="preserve">But in the case of </w:t>
      </w:r>
      <w:r w:rsidRPr="00F5139E">
        <w:rPr>
          <w:rFonts w:ascii="Times New Roman" w:hAnsi="Times New Roman" w:cs="Times New Roman"/>
          <w:b/>
          <w:bCs/>
          <w:sz w:val="24"/>
          <w:szCs w:val="24"/>
        </w:rPr>
        <w:t>fuel poverty</w:t>
      </w:r>
      <w:r w:rsidRPr="00F5139E">
        <w:rPr>
          <w:rFonts w:ascii="Times New Roman" w:hAnsi="Times New Roman" w:cs="Times New Roman"/>
          <w:sz w:val="24"/>
          <w:szCs w:val="24"/>
        </w:rPr>
        <w:t xml:space="preserve"> there is a much stronger case for differentiating it from income poverty. The conventional measure of fuel poverty used to be households spending more than 10% of their income on fuel. (There is a separate argument to be had about whether it is gross or net income and whether income should or should not be equivalised). </w:t>
      </w:r>
      <w:r w:rsidR="001E4F3A" w:rsidRPr="00F5139E">
        <w:rPr>
          <w:rFonts w:ascii="Times New Roman" w:hAnsi="Times New Roman" w:cs="Times New Roman"/>
          <w:sz w:val="24"/>
          <w:szCs w:val="24"/>
        </w:rPr>
        <w:t xml:space="preserve"> I found in an analysis of the Expenditure and Food Survey</w:t>
      </w:r>
      <w:r w:rsidR="001E4F3A" w:rsidRPr="00F5139E">
        <w:rPr>
          <w:rStyle w:val="FootnoteReference"/>
          <w:rFonts w:ascii="Times New Roman" w:hAnsi="Times New Roman" w:cs="Times New Roman"/>
          <w:sz w:val="24"/>
          <w:szCs w:val="24"/>
        </w:rPr>
        <w:footnoteReference w:id="1"/>
      </w:r>
      <w:r w:rsidR="001E4F3A" w:rsidRPr="00F5139E">
        <w:rPr>
          <w:rFonts w:ascii="Times New Roman" w:hAnsi="Times New Roman" w:cs="Times New Roman"/>
          <w:sz w:val="24"/>
          <w:szCs w:val="24"/>
        </w:rPr>
        <w:t xml:space="preserve"> that only </w:t>
      </w:r>
      <w:r w:rsidR="001E4F3A" w:rsidRPr="00F5139E">
        <w:rPr>
          <w:rFonts w:ascii="Times New Roman" w:hAnsi="Times New Roman" w:cs="Times New Roman"/>
          <w:sz w:val="24"/>
          <w:szCs w:val="24"/>
        </w:rPr>
        <w:t>29% of those in come poverty were in fu</w:t>
      </w:r>
      <w:r w:rsidR="008302D4" w:rsidRPr="00F5139E">
        <w:rPr>
          <w:rFonts w:ascii="Times New Roman" w:hAnsi="Times New Roman" w:cs="Times New Roman"/>
          <w:sz w:val="24"/>
          <w:szCs w:val="24"/>
        </w:rPr>
        <w:t>el</w:t>
      </w:r>
      <w:r w:rsidR="001E4F3A" w:rsidRPr="00F5139E">
        <w:rPr>
          <w:rFonts w:ascii="Times New Roman" w:hAnsi="Times New Roman" w:cs="Times New Roman"/>
          <w:sz w:val="24"/>
          <w:szCs w:val="24"/>
        </w:rPr>
        <w:t xml:space="preserve"> poverty and 2% of those in fuel poverty were not in income poverty. Then the late </w:t>
      </w:r>
      <w:r w:rsidRPr="00F5139E">
        <w:rPr>
          <w:rFonts w:ascii="Times New Roman" w:hAnsi="Times New Roman" w:cs="Times New Roman"/>
          <w:sz w:val="24"/>
          <w:szCs w:val="24"/>
        </w:rPr>
        <w:t>Professor Sir John Hills in his government review of fu</w:t>
      </w:r>
      <w:r w:rsidR="00EF1FBD" w:rsidRPr="00F5139E">
        <w:rPr>
          <w:rFonts w:ascii="Times New Roman" w:hAnsi="Times New Roman" w:cs="Times New Roman"/>
          <w:sz w:val="24"/>
          <w:szCs w:val="24"/>
        </w:rPr>
        <w:t>el</w:t>
      </w:r>
      <w:r w:rsidRPr="00F5139E">
        <w:rPr>
          <w:rFonts w:ascii="Times New Roman" w:hAnsi="Times New Roman" w:cs="Times New Roman"/>
          <w:sz w:val="24"/>
          <w:szCs w:val="24"/>
        </w:rPr>
        <w:t xml:space="preserve"> poverty</w:t>
      </w:r>
      <w:r w:rsidR="0090257E" w:rsidRPr="00F5139E">
        <w:rPr>
          <w:rStyle w:val="FootnoteReference"/>
          <w:rFonts w:ascii="Times New Roman" w:hAnsi="Times New Roman" w:cs="Times New Roman"/>
          <w:sz w:val="24"/>
          <w:szCs w:val="24"/>
        </w:rPr>
        <w:footnoteReference w:id="2"/>
      </w:r>
      <w:r w:rsidRPr="00F5139E">
        <w:rPr>
          <w:rFonts w:ascii="Times New Roman" w:hAnsi="Times New Roman" w:cs="Times New Roman"/>
          <w:sz w:val="24"/>
          <w:szCs w:val="24"/>
        </w:rPr>
        <w:t xml:space="preserve"> pointed out that we should also </w:t>
      </w:r>
      <w:proofErr w:type="gramStart"/>
      <w:r w:rsidRPr="00F5139E">
        <w:rPr>
          <w:rFonts w:ascii="Times New Roman" w:hAnsi="Times New Roman" w:cs="Times New Roman"/>
          <w:sz w:val="24"/>
          <w:szCs w:val="24"/>
        </w:rPr>
        <w:t>take into account</w:t>
      </w:r>
      <w:proofErr w:type="gramEnd"/>
      <w:r w:rsidRPr="00F5139E">
        <w:rPr>
          <w:rFonts w:ascii="Times New Roman" w:hAnsi="Times New Roman" w:cs="Times New Roman"/>
          <w:sz w:val="24"/>
          <w:szCs w:val="24"/>
        </w:rPr>
        <w:t xml:space="preserve"> the </w:t>
      </w:r>
      <w:r w:rsidR="00EF1FBD" w:rsidRPr="00F5139E">
        <w:rPr>
          <w:rFonts w:ascii="Times New Roman" w:hAnsi="Times New Roman" w:cs="Times New Roman"/>
          <w:sz w:val="24"/>
          <w:szCs w:val="24"/>
        </w:rPr>
        <w:t>thermal efficiency of the housing that people lived in</w:t>
      </w:r>
      <w:r w:rsidR="00ED6B7A" w:rsidRPr="00F5139E">
        <w:rPr>
          <w:rFonts w:ascii="Times New Roman" w:hAnsi="Times New Roman" w:cs="Times New Roman"/>
          <w:sz w:val="24"/>
          <w:szCs w:val="24"/>
        </w:rPr>
        <w:t xml:space="preserve"> and recommended a measure based on low income and high costs</w:t>
      </w:r>
      <w:r w:rsidR="001E4F3A" w:rsidRPr="00F5139E">
        <w:rPr>
          <w:rFonts w:ascii="Times New Roman" w:hAnsi="Times New Roman" w:cs="Times New Roman"/>
          <w:sz w:val="24"/>
          <w:szCs w:val="24"/>
        </w:rPr>
        <w:t>. He proposed that fu</w:t>
      </w:r>
      <w:r w:rsidR="008302D4" w:rsidRPr="00F5139E">
        <w:rPr>
          <w:rFonts w:ascii="Times New Roman" w:hAnsi="Times New Roman" w:cs="Times New Roman"/>
          <w:sz w:val="24"/>
          <w:szCs w:val="24"/>
        </w:rPr>
        <w:t>el</w:t>
      </w:r>
      <w:r w:rsidR="001E4F3A" w:rsidRPr="00F5139E">
        <w:rPr>
          <w:rFonts w:ascii="Times New Roman" w:hAnsi="Times New Roman" w:cs="Times New Roman"/>
          <w:sz w:val="24"/>
          <w:szCs w:val="24"/>
        </w:rPr>
        <w:t xml:space="preserve"> poverty existed </w:t>
      </w:r>
      <w:r w:rsidR="00ED6B7A" w:rsidRPr="00F5139E">
        <w:rPr>
          <w:rFonts w:ascii="Times New Roman" w:hAnsi="Times New Roman" w:cs="Times New Roman"/>
          <w:sz w:val="24"/>
          <w:szCs w:val="24"/>
        </w:rPr>
        <w:t>if the</w:t>
      </w:r>
      <w:r w:rsidR="00CA6A61">
        <w:rPr>
          <w:rFonts w:ascii="Times New Roman" w:hAnsi="Times New Roman" w:cs="Times New Roman"/>
          <w:sz w:val="24"/>
          <w:szCs w:val="24"/>
        </w:rPr>
        <w:t xml:space="preserve"> household requir</w:t>
      </w:r>
      <w:r w:rsidR="00ED6B7A" w:rsidRPr="00F5139E">
        <w:rPr>
          <w:rFonts w:ascii="Times New Roman" w:hAnsi="Times New Roman" w:cs="Times New Roman"/>
          <w:sz w:val="24"/>
          <w:szCs w:val="24"/>
        </w:rPr>
        <w:t>ed fuel costs that are above the median level; and</w:t>
      </w:r>
      <w:r w:rsidR="00F5139E" w:rsidRPr="00F5139E">
        <w:rPr>
          <w:rFonts w:ascii="Times New Roman" w:hAnsi="Times New Roman" w:cs="Times New Roman"/>
          <w:sz w:val="24"/>
          <w:szCs w:val="24"/>
        </w:rPr>
        <w:t xml:space="preserve"> </w:t>
      </w:r>
      <w:r w:rsidR="00ED6B7A" w:rsidRPr="00F5139E">
        <w:rPr>
          <w:rFonts w:ascii="Times New Roman" w:hAnsi="Times New Roman" w:cs="Times New Roman"/>
          <w:sz w:val="24"/>
          <w:szCs w:val="24"/>
        </w:rPr>
        <w:t>were they to spend that amount they would be left with a residual income below</w:t>
      </w:r>
      <w:r w:rsidR="0090257E" w:rsidRPr="00F5139E">
        <w:rPr>
          <w:rFonts w:ascii="Times New Roman" w:hAnsi="Times New Roman" w:cs="Times New Roman"/>
          <w:sz w:val="24"/>
          <w:szCs w:val="24"/>
        </w:rPr>
        <w:t xml:space="preserve"> the poverty line.</w:t>
      </w:r>
      <w:r w:rsidR="00C54DB2" w:rsidRPr="00F5139E">
        <w:rPr>
          <w:rFonts w:ascii="Times New Roman" w:hAnsi="Times New Roman" w:cs="Times New Roman"/>
          <w:sz w:val="24"/>
          <w:szCs w:val="24"/>
        </w:rPr>
        <w:t xml:space="preserve"> The latest proposal from the previous government</w:t>
      </w:r>
      <w:r w:rsidR="008302D4" w:rsidRPr="00F5139E">
        <w:rPr>
          <w:rStyle w:val="FootnoteReference"/>
          <w:rFonts w:ascii="Times New Roman" w:hAnsi="Times New Roman" w:cs="Times New Roman"/>
          <w:sz w:val="24"/>
          <w:szCs w:val="24"/>
        </w:rPr>
        <w:footnoteReference w:id="3"/>
      </w:r>
      <w:r w:rsidR="00C54DB2" w:rsidRPr="00F5139E">
        <w:rPr>
          <w:rFonts w:ascii="Times New Roman" w:hAnsi="Times New Roman" w:cs="Times New Roman"/>
          <w:sz w:val="24"/>
          <w:szCs w:val="24"/>
        </w:rPr>
        <w:t xml:space="preserve"> was to broaden the measure to capture all low-income households living in homes with inherently inefficient energy use.</w:t>
      </w:r>
      <w:r w:rsidR="008302D4" w:rsidRPr="00F5139E">
        <w:rPr>
          <w:rFonts w:ascii="Times New Roman" w:hAnsi="Times New Roman" w:cs="Times New Roman"/>
          <w:sz w:val="24"/>
          <w:szCs w:val="24"/>
        </w:rPr>
        <w:t xml:space="preserve"> So</w:t>
      </w:r>
      <w:r w:rsidR="00CA6A61">
        <w:rPr>
          <w:rFonts w:ascii="Times New Roman" w:hAnsi="Times New Roman" w:cs="Times New Roman"/>
          <w:sz w:val="24"/>
          <w:szCs w:val="24"/>
        </w:rPr>
        <w:t>,</w:t>
      </w:r>
      <w:r w:rsidR="008302D4" w:rsidRPr="00F5139E">
        <w:rPr>
          <w:rFonts w:ascii="Times New Roman" w:hAnsi="Times New Roman" w:cs="Times New Roman"/>
          <w:sz w:val="24"/>
          <w:szCs w:val="24"/>
        </w:rPr>
        <w:t xml:space="preserve"> the focus of fuel poverty is becoming much less on income and more on inefficient energy use.</w:t>
      </w:r>
    </w:p>
    <w:p w14:paraId="697513FC" w14:textId="77777777" w:rsidR="00F5139E" w:rsidRPr="00F5139E" w:rsidRDefault="00F5139E" w:rsidP="00F5139E">
      <w:pPr>
        <w:autoSpaceDE w:val="0"/>
        <w:autoSpaceDN w:val="0"/>
        <w:adjustRightInd w:val="0"/>
        <w:spacing w:after="0" w:line="240" w:lineRule="auto"/>
        <w:rPr>
          <w:rFonts w:ascii="Times New Roman" w:hAnsi="Times New Roman" w:cs="Times New Roman"/>
          <w:sz w:val="24"/>
          <w:szCs w:val="24"/>
        </w:rPr>
      </w:pPr>
    </w:p>
    <w:p w14:paraId="6ECF9763" w14:textId="2F8A5895" w:rsidR="00553784" w:rsidRPr="00F5139E" w:rsidRDefault="00553784" w:rsidP="00F5139E">
      <w:pPr>
        <w:autoSpaceDE w:val="0"/>
        <w:autoSpaceDN w:val="0"/>
        <w:adjustRightInd w:val="0"/>
        <w:spacing w:after="0" w:line="240" w:lineRule="auto"/>
        <w:rPr>
          <w:rFonts w:ascii="Times New Roman" w:hAnsi="Times New Roman" w:cs="Times New Roman"/>
          <w:sz w:val="24"/>
          <w:szCs w:val="24"/>
        </w:rPr>
      </w:pPr>
      <w:r w:rsidRPr="00F5139E">
        <w:rPr>
          <w:rFonts w:ascii="Times New Roman" w:hAnsi="Times New Roman" w:cs="Times New Roman"/>
          <w:sz w:val="24"/>
          <w:szCs w:val="24"/>
        </w:rPr>
        <w:t xml:space="preserve">There is no official definition of </w:t>
      </w:r>
      <w:r w:rsidRPr="00F5139E">
        <w:rPr>
          <w:rFonts w:ascii="Times New Roman" w:hAnsi="Times New Roman" w:cs="Times New Roman"/>
          <w:b/>
          <w:bCs/>
          <w:sz w:val="24"/>
          <w:szCs w:val="24"/>
        </w:rPr>
        <w:t>water poverty</w:t>
      </w:r>
      <w:r w:rsidRPr="00F5139E">
        <w:rPr>
          <w:rFonts w:ascii="Times New Roman" w:hAnsi="Times New Roman" w:cs="Times New Roman"/>
          <w:sz w:val="24"/>
          <w:szCs w:val="24"/>
        </w:rPr>
        <w:t>, or how it should be measured. By convention households have been defined as water poor if they spend more than three per cent of their income on water bills. OFWAT discusses the limitations of this definition but acknowledges its usefulness in identifying trends and patterns in water affordability. The Consumer Council for Water</w:t>
      </w:r>
      <w:r w:rsidRPr="00F5139E">
        <w:rPr>
          <w:rStyle w:val="FootnoteReference"/>
          <w:rFonts w:ascii="Times New Roman" w:hAnsi="Times New Roman" w:cs="Times New Roman"/>
          <w:sz w:val="24"/>
          <w:szCs w:val="24"/>
        </w:rPr>
        <w:footnoteReference w:id="4"/>
      </w:r>
      <w:r w:rsidRPr="00F5139E">
        <w:rPr>
          <w:rFonts w:ascii="Times New Roman" w:hAnsi="Times New Roman" w:cs="Times New Roman"/>
          <w:sz w:val="24"/>
          <w:szCs w:val="24"/>
        </w:rPr>
        <w:t xml:space="preserve"> and OFWAT also use an additional measure - the percentage of households spending more than five per cent of their income on water bills. The numerator is the household water </w:t>
      </w:r>
      <w:proofErr w:type="gramStart"/>
      <w:r w:rsidRPr="00F5139E">
        <w:rPr>
          <w:rFonts w:ascii="Times New Roman" w:hAnsi="Times New Roman" w:cs="Times New Roman"/>
          <w:sz w:val="24"/>
          <w:szCs w:val="24"/>
        </w:rPr>
        <w:t>bill</w:t>
      </w:r>
      <w:proofErr w:type="gramEnd"/>
      <w:r w:rsidRPr="00F5139E">
        <w:rPr>
          <w:rFonts w:ascii="Times New Roman" w:hAnsi="Times New Roman" w:cs="Times New Roman"/>
          <w:sz w:val="24"/>
          <w:szCs w:val="24"/>
        </w:rPr>
        <w:t xml:space="preserve"> and the denominator is calculated as net household income after housing costs but before water payments. </w:t>
      </w:r>
      <w:r w:rsidR="00C264B3" w:rsidRPr="00F5139E">
        <w:rPr>
          <w:rFonts w:ascii="Times New Roman" w:hAnsi="Times New Roman" w:cs="Times New Roman"/>
          <w:sz w:val="24"/>
          <w:szCs w:val="24"/>
        </w:rPr>
        <w:t>(There is again an argument to be had about whether income is equivalised or not).</w:t>
      </w:r>
    </w:p>
    <w:p w14:paraId="458C536C" w14:textId="77777777" w:rsidR="00F5139E" w:rsidRDefault="00F5139E" w:rsidP="00F5139E">
      <w:pPr>
        <w:spacing w:after="0" w:line="240" w:lineRule="auto"/>
        <w:rPr>
          <w:rFonts w:ascii="Times New Roman" w:hAnsi="Times New Roman" w:cs="Times New Roman"/>
          <w:sz w:val="24"/>
          <w:szCs w:val="24"/>
        </w:rPr>
      </w:pPr>
    </w:p>
    <w:p w14:paraId="2B2920BD" w14:textId="706C0227" w:rsidR="00553784" w:rsidRDefault="00553784" w:rsidP="00F5139E">
      <w:pPr>
        <w:spacing w:after="0" w:line="240" w:lineRule="auto"/>
        <w:rPr>
          <w:rFonts w:ascii="Times New Roman" w:hAnsi="Times New Roman" w:cs="Times New Roman"/>
          <w:sz w:val="24"/>
          <w:szCs w:val="24"/>
        </w:rPr>
      </w:pPr>
      <w:r w:rsidRPr="00F5139E">
        <w:rPr>
          <w:rFonts w:ascii="Times New Roman" w:hAnsi="Times New Roman" w:cs="Times New Roman"/>
          <w:sz w:val="24"/>
          <w:szCs w:val="24"/>
        </w:rPr>
        <w:t>Of course, the 3% and 5% thresholds are conventions without any particular scientific merit, though 3% was endorsed by the UN in 2013 and has some support from the Minimum Income Standard estimate for water.</w:t>
      </w:r>
      <w:r w:rsidRPr="00F5139E">
        <w:rPr>
          <w:rFonts w:ascii="Times New Roman" w:hAnsi="Times New Roman" w:cs="Times New Roman"/>
          <w:sz w:val="24"/>
          <w:szCs w:val="24"/>
          <w:vertAlign w:val="superscript"/>
        </w:rPr>
        <w:footnoteReference w:id="5"/>
      </w:r>
      <w:r w:rsidRPr="00F5139E">
        <w:rPr>
          <w:rFonts w:ascii="Times New Roman" w:hAnsi="Times New Roman" w:cs="Times New Roman"/>
          <w:sz w:val="24"/>
          <w:szCs w:val="24"/>
        </w:rPr>
        <w:t xml:space="preserve"> One obvious criticism of these thresholds is that they </w:t>
      </w:r>
      <w:r w:rsidRPr="00F5139E">
        <w:rPr>
          <w:rFonts w:ascii="Times New Roman" w:hAnsi="Times New Roman" w:cs="Times New Roman"/>
          <w:sz w:val="24"/>
          <w:szCs w:val="24"/>
        </w:rPr>
        <w:lastRenderedPageBreak/>
        <w:t>take no account of consumption. A household may not be spending more than 3% or 5% because they are trying to reduce their bills (if on a water meter) and may be risking their health and well-being as a result. Alternatively, a poor or non-poor household may be in water poverty unnecessarily because they are behaving wastefully. It might be possible to combine an estimate of consumption adequacy using both a share of total expenditure and an estimate of an amount needed to be spent for healthy living. This amount would of course need to vary by household size and type and, possibly, water region, to take account of price differences. The constraint in the case of water is that only half of households are metered.</w:t>
      </w:r>
      <w:r w:rsidR="00C264B3" w:rsidRPr="00F5139E">
        <w:rPr>
          <w:rFonts w:ascii="Times New Roman" w:hAnsi="Times New Roman" w:cs="Times New Roman"/>
          <w:sz w:val="24"/>
          <w:szCs w:val="24"/>
        </w:rPr>
        <w:t xml:space="preserve"> Recent research</w:t>
      </w:r>
      <w:r w:rsidR="00F5139E" w:rsidRPr="00F5139E">
        <w:rPr>
          <w:rStyle w:val="FootnoteReference"/>
          <w:rFonts w:ascii="Times New Roman" w:hAnsi="Times New Roman" w:cs="Times New Roman"/>
          <w:sz w:val="24"/>
          <w:szCs w:val="24"/>
        </w:rPr>
        <w:footnoteReference w:id="6"/>
      </w:r>
      <w:r w:rsidR="00C264B3" w:rsidRPr="00F5139E">
        <w:rPr>
          <w:rFonts w:ascii="Times New Roman" w:hAnsi="Times New Roman" w:cs="Times New Roman"/>
          <w:sz w:val="24"/>
          <w:szCs w:val="24"/>
        </w:rPr>
        <w:t xml:space="preserve"> for CCW using the 2018/19 Family Resources Survey found that water poverty was slightly higher for non-metered customers and larger families but that there was a rather limited overlap with income poverty – although 73% of those in water poverty were in income poverty only 69%of those in income poverty were in water poverty at the 3% threshold. The figures at the 5% threshold were 92% and 37%. </w:t>
      </w:r>
    </w:p>
    <w:p w14:paraId="7A9B7A04" w14:textId="39A4E25D" w:rsidR="00E860AC" w:rsidRDefault="00E860AC" w:rsidP="00F5139E">
      <w:pPr>
        <w:spacing w:after="0" w:line="240" w:lineRule="auto"/>
        <w:rPr>
          <w:rFonts w:ascii="Times New Roman" w:hAnsi="Times New Roman" w:cs="Times New Roman"/>
          <w:sz w:val="24"/>
          <w:szCs w:val="24"/>
        </w:rPr>
      </w:pPr>
    </w:p>
    <w:p w14:paraId="058CEDD1" w14:textId="4D5F9AC6" w:rsidR="00E860AC" w:rsidRDefault="00E860AC" w:rsidP="00F5139E">
      <w:pPr>
        <w:spacing w:after="0" w:line="240" w:lineRule="auto"/>
        <w:rPr>
          <w:rFonts w:ascii="Times New Roman" w:hAnsi="Times New Roman" w:cs="Times New Roman"/>
          <w:sz w:val="24"/>
          <w:szCs w:val="24"/>
        </w:rPr>
      </w:pPr>
      <w:r w:rsidRPr="00CF49F6">
        <w:rPr>
          <w:rFonts w:ascii="Times New Roman" w:hAnsi="Times New Roman" w:cs="Times New Roman"/>
          <w:sz w:val="24"/>
          <w:szCs w:val="24"/>
        </w:rPr>
        <w:t xml:space="preserve">As for the other poverties, I can see no reason why </w:t>
      </w:r>
      <w:r w:rsidRPr="00CF49F6">
        <w:rPr>
          <w:rFonts w:ascii="Times New Roman" w:hAnsi="Times New Roman" w:cs="Times New Roman"/>
          <w:b/>
          <w:bCs/>
          <w:sz w:val="24"/>
          <w:szCs w:val="24"/>
        </w:rPr>
        <w:t>period poverty</w:t>
      </w:r>
      <w:r w:rsidRPr="00CF49F6">
        <w:rPr>
          <w:rFonts w:ascii="Times New Roman" w:hAnsi="Times New Roman" w:cs="Times New Roman"/>
          <w:sz w:val="24"/>
          <w:szCs w:val="24"/>
        </w:rPr>
        <w:t xml:space="preserve"> is not just income poverty – though there is of course a gender justice issue here. </w:t>
      </w:r>
      <w:r w:rsidRPr="00CF49F6">
        <w:rPr>
          <w:rFonts w:ascii="Times New Roman" w:hAnsi="Times New Roman" w:cs="Times New Roman"/>
          <w:b/>
          <w:bCs/>
          <w:sz w:val="24"/>
          <w:szCs w:val="24"/>
        </w:rPr>
        <w:t>Digital poverty</w:t>
      </w:r>
      <w:r w:rsidRPr="00CF49F6">
        <w:rPr>
          <w:rFonts w:ascii="Times New Roman" w:hAnsi="Times New Roman" w:cs="Times New Roman"/>
          <w:sz w:val="24"/>
          <w:szCs w:val="24"/>
        </w:rPr>
        <w:t xml:space="preserve"> has some age, skills, and geographic (rural) dimensions but </w:t>
      </w:r>
      <w:r w:rsidR="00496121" w:rsidRPr="00CF49F6">
        <w:rPr>
          <w:rFonts w:ascii="Times New Roman" w:hAnsi="Times New Roman" w:cs="Times New Roman"/>
          <w:sz w:val="24"/>
          <w:szCs w:val="24"/>
        </w:rPr>
        <w:t>The Good Things Foundation</w:t>
      </w:r>
      <w:r w:rsidR="00CF49F6">
        <w:rPr>
          <w:rStyle w:val="FootnoteReference"/>
          <w:rFonts w:ascii="Times New Roman" w:hAnsi="Times New Roman" w:cs="Times New Roman"/>
          <w:sz w:val="24"/>
          <w:szCs w:val="24"/>
        </w:rPr>
        <w:footnoteReference w:id="7"/>
      </w:r>
      <w:r w:rsidR="00496121" w:rsidRPr="00CF49F6">
        <w:rPr>
          <w:rFonts w:ascii="Times New Roman" w:hAnsi="Times New Roman" w:cs="Times New Roman"/>
          <w:sz w:val="24"/>
          <w:szCs w:val="24"/>
        </w:rPr>
        <w:t xml:space="preserve"> found that affordability was not the most important reason for people not using the internet. </w:t>
      </w:r>
      <w:r w:rsidR="00496121" w:rsidRPr="00CF49F6">
        <w:rPr>
          <w:rFonts w:ascii="Times New Roman" w:hAnsi="Times New Roman" w:cs="Times New Roman"/>
          <w:sz w:val="24"/>
          <w:szCs w:val="24"/>
        </w:rPr>
        <w:t xml:space="preserve">If it is driven </w:t>
      </w:r>
      <w:r w:rsidRPr="00CF49F6">
        <w:rPr>
          <w:rFonts w:ascii="Times New Roman" w:hAnsi="Times New Roman" w:cs="Times New Roman"/>
          <w:sz w:val="24"/>
          <w:szCs w:val="24"/>
        </w:rPr>
        <w:t xml:space="preserve">by income </w:t>
      </w:r>
      <w:r w:rsidR="00496121" w:rsidRPr="00CF49F6">
        <w:rPr>
          <w:rFonts w:ascii="Times New Roman" w:hAnsi="Times New Roman" w:cs="Times New Roman"/>
          <w:sz w:val="24"/>
          <w:szCs w:val="24"/>
        </w:rPr>
        <w:t>it p</w:t>
      </w:r>
      <w:r w:rsidRPr="00CF49F6">
        <w:rPr>
          <w:rFonts w:ascii="Times New Roman" w:hAnsi="Times New Roman" w:cs="Times New Roman"/>
          <w:sz w:val="24"/>
          <w:szCs w:val="24"/>
        </w:rPr>
        <w:t xml:space="preserve">robably </w:t>
      </w:r>
      <w:r w:rsidR="00496121" w:rsidRPr="00CF49F6">
        <w:rPr>
          <w:rFonts w:ascii="Times New Roman" w:hAnsi="Times New Roman" w:cs="Times New Roman"/>
          <w:sz w:val="24"/>
          <w:szCs w:val="24"/>
        </w:rPr>
        <w:t xml:space="preserve">goes </w:t>
      </w:r>
      <w:r w:rsidRPr="00CF49F6">
        <w:rPr>
          <w:rFonts w:ascii="Times New Roman" w:hAnsi="Times New Roman" w:cs="Times New Roman"/>
          <w:sz w:val="24"/>
          <w:szCs w:val="24"/>
        </w:rPr>
        <w:t xml:space="preserve">beyond the poverty threshold. </w:t>
      </w:r>
      <w:r w:rsidR="00CF49F6">
        <w:rPr>
          <w:rFonts w:ascii="Times New Roman" w:hAnsi="Times New Roman" w:cs="Times New Roman"/>
          <w:sz w:val="24"/>
          <w:szCs w:val="24"/>
        </w:rPr>
        <w:t>T</w:t>
      </w:r>
      <w:r w:rsidR="00CF49F6" w:rsidRPr="00CF49F6">
        <w:rPr>
          <w:rFonts w:ascii="Times New Roman" w:hAnsi="Times New Roman" w:cs="Times New Roman"/>
          <w:sz w:val="24"/>
          <w:szCs w:val="24"/>
        </w:rPr>
        <w:t>he annual UK Consumer Digital Index (CDI) from Lloyds Bank</w:t>
      </w:r>
      <w:r w:rsidR="00CF49F6">
        <w:rPr>
          <w:rFonts w:ascii="Times New Roman" w:hAnsi="Times New Roman" w:cs="Times New Roman"/>
          <w:sz w:val="24"/>
          <w:szCs w:val="24"/>
        </w:rPr>
        <w:t xml:space="preserve"> in 2019</w:t>
      </w:r>
      <w:r w:rsidR="00CF49F6" w:rsidRPr="00CF49F6">
        <w:rPr>
          <w:rFonts w:ascii="Times New Roman" w:hAnsi="Times New Roman" w:cs="Times New Roman"/>
          <w:sz w:val="24"/>
          <w:szCs w:val="24"/>
        </w:rPr>
        <w:t xml:space="preserve"> shows that 11.9m people (22% of the population) do not have the digital skills needed for everyday life in the UK. By 2030, it is predicted that 4.5m people (8% of the population) will remain digitally disengaged. People with a disability are 35% less likely to have essential digital skills for life. </w:t>
      </w:r>
      <w:r w:rsidRPr="00CF49F6">
        <w:rPr>
          <w:rFonts w:ascii="Times New Roman" w:hAnsi="Times New Roman" w:cs="Times New Roman"/>
          <w:b/>
          <w:bCs/>
          <w:sz w:val="24"/>
          <w:szCs w:val="24"/>
        </w:rPr>
        <w:t>Transport poverty</w:t>
      </w:r>
      <w:r w:rsidRPr="00CF49F6">
        <w:rPr>
          <w:rFonts w:ascii="Times New Roman" w:hAnsi="Times New Roman" w:cs="Times New Roman"/>
          <w:sz w:val="24"/>
          <w:szCs w:val="24"/>
        </w:rPr>
        <w:t xml:space="preserve"> is </w:t>
      </w:r>
      <w:r w:rsidR="00496121" w:rsidRPr="00CF49F6">
        <w:rPr>
          <w:rFonts w:ascii="Times New Roman" w:hAnsi="Times New Roman" w:cs="Times New Roman"/>
          <w:sz w:val="24"/>
          <w:szCs w:val="24"/>
        </w:rPr>
        <w:t>about availability as well as affordability</w:t>
      </w:r>
      <w:r w:rsidR="00CF49F6">
        <w:rPr>
          <w:rFonts w:ascii="Times New Roman" w:hAnsi="Times New Roman" w:cs="Times New Roman"/>
          <w:sz w:val="24"/>
          <w:szCs w:val="24"/>
        </w:rPr>
        <w:t xml:space="preserve">. It is </w:t>
      </w:r>
      <w:r w:rsidRPr="00CF49F6">
        <w:rPr>
          <w:rFonts w:ascii="Times New Roman" w:hAnsi="Times New Roman" w:cs="Times New Roman"/>
          <w:sz w:val="24"/>
          <w:szCs w:val="24"/>
        </w:rPr>
        <w:t>certainly partly to do with geography and age group (passes</w:t>
      </w:r>
      <w:proofErr w:type="gramStart"/>
      <w:r w:rsidRPr="00CF49F6">
        <w:rPr>
          <w:rFonts w:ascii="Times New Roman" w:hAnsi="Times New Roman" w:cs="Times New Roman"/>
          <w:sz w:val="24"/>
          <w:szCs w:val="24"/>
        </w:rPr>
        <w:t>)</w:t>
      </w:r>
      <w:proofErr w:type="gramEnd"/>
      <w:r w:rsidRPr="00CF49F6">
        <w:rPr>
          <w:rFonts w:ascii="Times New Roman" w:hAnsi="Times New Roman" w:cs="Times New Roman"/>
          <w:sz w:val="24"/>
          <w:szCs w:val="24"/>
        </w:rPr>
        <w:t xml:space="preserve"> but no doubt has a</w:t>
      </w:r>
      <w:r w:rsidR="00CA6A61">
        <w:rPr>
          <w:rFonts w:ascii="Times New Roman" w:hAnsi="Times New Roman" w:cs="Times New Roman"/>
          <w:sz w:val="24"/>
          <w:szCs w:val="24"/>
        </w:rPr>
        <w:t>n income</w:t>
      </w:r>
      <w:r w:rsidRPr="00CF49F6">
        <w:rPr>
          <w:rFonts w:ascii="Times New Roman" w:hAnsi="Times New Roman" w:cs="Times New Roman"/>
          <w:sz w:val="24"/>
          <w:szCs w:val="24"/>
        </w:rPr>
        <w:t xml:space="preserve"> poverty dimension.</w:t>
      </w:r>
      <w:r w:rsidR="00CF49F6">
        <w:rPr>
          <w:rStyle w:val="FootnoteReference"/>
          <w:rFonts w:ascii="Times New Roman" w:hAnsi="Times New Roman" w:cs="Times New Roman"/>
          <w:sz w:val="24"/>
          <w:szCs w:val="24"/>
        </w:rPr>
        <w:footnoteReference w:id="8"/>
      </w:r>
    </w:p>
    <w:p w14:paraId="67C1737F" w14:textId="0378B99D" w:rsidR="00CA6A61" w:rsidRDefault="00CA6A61" w:rsidP="00F5139E">
      <w:pPr>
        <w:spacing w:after="0" w:line="240" w:lineRule="auto"/>
        <w:rPr>
          <w:rFonts w:ascii="Times New Roman" w:hAnsi="Times New Roman" w:cs="Times New Roman"/>
          <w:sz w:val="24"/>
          <w:szCs w:val="24"/>
        </w:rPr>
      </w:pPr>
    </w:p>
    <w:p w14:paraId="497573C8" w14:textId="77777777" w:rsidR="00CA6A61" w:rsidRPr="00CF49F6" w:rsidRDefault="00CA6A61" w:rsidP="00F5139E">
      <w:pPr>
        <w:spacing w:after="0" w:line="240" w:lineRule="auto"/>
        <w:rPr>
          <w:rFonts w:ascii="Times New Roman" w:hAnsi="Times New Roman" w:cs="Times New Roman"/>
          <w:sz w:val="24"/>
          <w:szCs w:val="24"/>
        </w:rPr>
      </w:pPr>
    </w:p>
    <w:p w14:paraId="0EDC78DB" w14:textId="77777777" w:rsidR="00A918E4" w:rsidRPr="00F5139E" w:rsidRDefault="00A918E4" w:rsidP="00F5139E">
      <w:pPr>
        <w:spacing w:after="0" w:line="240" w:lineRule="auto"/>
        <w:rPr>
          <w:rFonts w:ascii="Times New Roman" w:hAnsi="Times New Roman" w:cs="Times New Roman"/>
          <w:sz w:val="24"/>
          <w:szCs w:val="24"/>
        </w:rPr>
      </w:pPr>
    </w:p>
    <w:p w14:paraId="57780176" w14:textId="77777777" w:rsidR="008302D4" w:rsidRPr="00F5139E" w:rsidRDefault="008302D4" w:rsidP="00F5139E">
      <w:pPr>
        <w:spacing w:after="0" w:line="240" w:lineRule="auto"/>
        <w:rPr>
          <w:rFonts w:ascii="Times New Roman" w:hAnsi="Times New Roman" w:cs="Times New Roman"/>
          <w:sz w:val="24"/>
          <w:szCs w:val="24"/>
        </w:rPr>
      </w:pPr>
    </w:p>
    <w:p w14:paraId="54B9020E" w14:textId="5890A641" w:rsidR="00C90947" w:rsidRPr="00F5139E" w:rsidRDefault="00C90947" w:rsidP="00F5139E">
      <w:pPr>
        <w:spacing w:after="0" w:line="240" w:lineRule="auto"/>
        <w:rPr>
          <w:rFonts w:ascii="Times New Roman" w:hAnsi="Times New Roman" w:cs="Times New Roman"/>
          <w:sz w:val="24"/>
          <w:szCs w:val="24"/>
        </w:rPr>
      </w:pPr>
    </w:p>
    <w:p w14:paraId="4046FD48" w14:textId="77777777" w:rsidR="00C90947" w:rsidRPr="00F5139E" w:rsidRDefault="00C90947" w:rsidP="00F5139E">
      <w:pPr>
        <w:spacing w:after="0" w:line="240" w:lineRule="auto"/>
        <w:rPr>
          <w:rFonts w:ascii="Times New Roman" w:hAnsi="Times New Roman" w:cs="Times New Roman"/>
          <w:sz w:val="24"/>
          <w:szCs w:val="24"/>
        </w:rPr>
      </w:pPr>
    </w:p>
    <w:sectPr w:rsidR="00C90947" w:rsidRPr="00F513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A2592" w14:textId="77777777" w:rsidR="00C67D92" w:rsidRDefault="00C67D92" w:rsidP="00ED6B7A">
      <w:pPr>
        <w:spacing w:after="0" w:line="240" w:lineRule="auto"/>
      </w:pPr>
      <w:r>
        <w:separator/>
      </w:r>
    </w:p>
  </w:endnote>
  <w:endnote w:type="continuationSeparator" w:id="0">
    <w:p w14:paraId="392716D3" w14:textId="77777777" w:rsidR="00C67D92" w:rsidRDefault="00C67D92" w:rsidP="00ED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940C6" w14:textId="77777777" w:rsidR="00C67D92" w:rsidRDefault="00C67D92" w:rsidP="00ED6B7A">
      <w:pPr>
        <w:spacing w:after="0" w:line="240" w:lineRule="auto"/>
      </w:pPr>
      <w:r>
        <w:separator/>
      </w:r>
    </w:p>
  </w:footnote>
  <w:footnote w:type="continuationSeparator" w:id="0">
    <w:p w14:paraId="5A7FF69C" w14:textId="77777777" w:rsidR="00C67D92" w:rsidRDefault="00C67D92" w:rsidP="00ED6B7A">
      <w:pPr>
        <w:spacing w:after="0" w:line="240" w:lineRule="auto"/>
      </w:pPr>
      <w:r>
        <w:continuationSeparator/>
      </w:r>
    </w:p>
  </w:footnote>
  <w:footnote w:id="1">
    <w:p w14:paraId="7493C547" w14:textId="77777777" w:rsidR="001E4F3A" w:rsidRPr="00F5139E" w:rsidRDefault="001E4F3A" w:rsidP="001E4F3A">
      <w:pPr>
        <w:pStyle w:val="FootnoteText"/>
        <w:rPr>
          <w:rFonts w:ascii="Times New Roman" w:hAnsi="Times New Roman" w:cs="Times New Roman"/>
        </w:rPr>
      </w:pPr>
      <w:r w:rsidRPr="00F5139E">
        <w:rPr>
          <w:rStyle w:val="FootnoteReference"/>
          <w:rFonts w:ascii="Times New Roman" w:hAnsi="Times New Roman" w:cs="Times New Roman"/>
        </w:rPr>
        <w:footnoteRef/>
      </w:r>
      <w:r w:rsidRPr="00F5139E">
        <w:rPr>
          <w:rFonts w:ascii="Times New Roman" w:hAnsi="Times New Roman" w:cs="Times New Roman"/>
        </w:rPr>
        <w:t xml:space="preserve"> Bradshaw, J. (2008). “Who is fuel poor?”, Poverty 131, Autumn, pp. 9-11.</w:t>
      </w:r>
    </w:p>
  </w:footnote>
  <w:footnote w:id="2">
    <w:p w14:paraId="3EFD18E9" w14:textId="67608F7C" w:rsidR="0090257E" w:rsidRPr="00F5139E" w:rsidRDefault="0090257E">
      <w:pPr>
        <w:pStyle w:val="FootnoteText"/>
        <w:rPr>
          <w:rFonts w:ascii="Times New Roman" w:hAnsi="Times New Roman" w:cs="Times New Roman"/>
        </w:rPr>
      </w:pPr>
      <w:r w:rsidRPr="00F5139E">
        <w:rPr>
          <w:rStyle w:val="FootnoteReference"/>
          <w:rFonts w:ascii="Times New Roman" w:hAnsi="Times New Roman" w:cs="Times New Roman"/>
        </w:rPr>
        <w:footnoteRef/>
      </w:r>
      <w:r w:rsidRPr="00F5139E">
        <w:rPr>
          <w:rFonts w:ascii="Times New Roman" w:hAnsi="Times New Roman" w:cs="Times New Roman"/>
        </w:rPr>
        <w:t xml:space="preserve"> </w:t>
      </w:r>
      <w:r w:rsidRPr="00F5139E">
        <w:rPr>
          <w:rFonts w:ascii="Times New Roman" w:hAnsi="Times New Roman" w:cs="Times New Roman"/>
        </w:rPr>
        <w:t>Hills, J. (2012). Getting the measure of fuel poverty: Final Report of the Fuel poverty Review.http://eprints.lse.ac.uk/51237/1/__libfile_REPOSITORY_Content_CASE_CASEreports_CASEreport72.pdf</w:t>
      </w:r>
    </w:p>
  </w:footnote>
  <w:footnote w:id="3">
    <w:p w14:paraId="5C127005" w14:textId="412392D2" w:rsidR="008302D4" w:rsidRPr="00F5139E" w:rsidRDefault="008302D4">
      <w:pPr>
        <w:pStyle w:val="FootnoteText"/>
        <w:rPr>
          <w:rFonts w:ascii="Times New Roman" w:hAnsi="Times New Roman" w:cs="Times New Roman"/>
        </w:rPr>
      </w:pPr>
      <w:r w:rsidRPr="00F5139E">
        <w:rPr>
          <w:rStyle w:val="FootnoteReference"/>
          <w:rFonts w:ascii="Times New Roman" w:hAnsi="Times New Roman" w:cs="Times New Roman"/>
        </w:rPr>
        <w:footnoteRef/>
      </w:r>
      <w:r w:rsidRPr="00F5139E">
        <w:rPr>
          <w:rFonts w:ascii="Times New Roman" w:hAnsi="Times New Roman" w:cs="Times New Roman"/>
        </w:rPr>
        <w:t xml:space="preserve"> </w:t>
      </w:r>
      <w:r w:rsidRPr="00F5139E">
        <w:rPr>
          <w:rFonts w:ascii="Times New Roman" w:hAnsi="Times New Roman" w:cs="Times New Roman"/>
        </w:rPr>
        <w:t>https://assets.publishing.service.gov.uk/government/uploads/system/uploads/attachment_data/file/819606/fuel-poverty-strategy-england-consultation.pdf</w:t>
      </w:r>
    </w:p>
  </w:footnote>
  <w:footnote w:id="4">
    <w:p w14:paraId="2CEFB31E" w14:textId="77777777" w:rsidR="00553784" w:rsidRPr="00F5139E" w:rsidRDefault="00553784" w:rsidP="00553784">
      <w:pPr>
        <w:pStyle w:val="FootnoteText"/>
        <w:rPr>
          <w:rFonts w:ascii="Times New Roman" w:hAnsi="Times New Roman" w:cs="Times New Roman"/>
        </w:rPr>
      </w:pPr>
      <w:r w:rsidRPr="00F5139E">
        <w:rPr>
          <w:rStyle w:val="FootnoteReference"/>
          <w:rFonts w:ascii="Times New Roman" w:hAnsi="Times New Roman" w:cs="Times New Roman"/>
        </w:rPr>
        <w:footnoteRef/>
      </w:r>
      <w:r w:rsidRPr="00F5139E">
        <w:rPr>
          <w:rFonts w:ascii="Times New Roman" w:hAnsi="Times New Roman" w:cs="Times New Roman"/>
        </w:rPr>
        <w:t xml:space="preserve"> Snell, C. and Bradshaw, J. (2009) Water Affordability in England and Wales: A report prepared for </w:t>
      </w:r>
      <w:proofErr w:type="spellStart"/>
      <w:r w:rsidRPr="00F5139E">
        <w:rPr>
          <w:rFonts w:ascii="Times New Roman" w:hAnsi="Times New Roman" w:cs="Times New Roman"/>
        </w:rPr>
        <w:t>CCWater</w:t>
      </w:r>
      <w:proofErr w:type="spellEnd"/>
      <w:r w:rsidRPr="00F5139E">
        <w:rPr>
          <w:rFonts w:ascii="Times New Roman" w:hAnsi="Times New Roman" w:cs="Times New Roman"/>
        </w:rPr>
        <w:t xml:space="preserve"> http://www.ccwater.org.uk/server.php?show=nav.444</w:t>
      </w:r>
    </w:p>
  </w:footnote>
  <w:footnote w:id="5">
    <w:p w14:paraId="63D9C528" w14:textId="77777777" w:rsidR="00553784" w:rsidRPr="00F5139E" w:rsidRDefault="00553784" w:rsidP="00553784">
      <w:pPr>
        <w:pStyle w:val="FootnoteText"/>
        <w:rPr>
          <w:rFonts w:ascii="Times New Roman" w:hAnsi="Times New Roman" w:cs="Times New Roman"/>
        </w:rPr>
      </w:pPr>
      <w:r w:rsidRPr="00F5139E">
        <w:rPr>
          <w:rStyle w:val="FootnoteReference"/>
          <w:rFonts w:ascii="Times New Roman" w:hAnsi="Times New Roman" w:cs="Times New Roman"/>
        </w:rPr>
        <w:footnoteRef/>
      </w:r>
      <w:r w:rsidRPr="00F5139E">
        <w:rPr>
          <w:rFonts w:ascii="Times New Roman" w:hAnsi="Times New Roman" w:cs="Times New Roman"/>
        </w:rPr>
        <w:t xml:space="preserve"> NEA Discussion Paper (2019). Water Poverty: A Common Measurement.</w:t>
      </w:r>
    </w:p>
  </w:footnote>
  <w:footnote w:id="6">
    <w:p w14:paraId="43AAB6C2" w14:textId="605CF6AE" w:rsidR="00F5139E" w:rsidRPr="00CF49F6" w:rsidRDefault="00F5139E" w:rsidP="00CF49F6">
      <w:pPr>
        <w:rPr>
          <w:rFonts w:ascii="Times New Roman" w:eastAsia="Times New Roman" w:hAnsi="Times New Roman" w:cs="Times New Roman"/>
          <w:sz w:val="20"/>
          <w:szCs w:val="20"/>
          <w:lang w:eastAsia="en-GB"/>
        </w:rPr>
      </w:pPr>
      <w:r w:rsidRPr="00F5139E">
        <w:rPr>
          <w:rStyle w:val="FootnoteReference"/>
          <w:rFonts w:ascii="Times New Roman" w:hAnsi="Times New Roman" w:cs="Times New Roman"/>
          <w:sz w:val="20"/>
          <w:szCs w:val="20"/>
        </w:rPr>
        <w:footnoteRef/>
      </w:r>
      <w:r w:rsidRPr="00F5139E">
        <w:rPr>
          <w:rFonts w:ascii="Times New Roman" w:hAnsi="Times New Roman" w:cs="Times New Roman"/>
          <w:sz w:val="20"/>
          <w:szCs w:val="20"/>
        </w:rPr>
        <w:t xml:space="preserve"> </w:t>
      </w:r>
      <w:r w:rsidRPr="00F5139E">
        <w:rPr>
          <w:rFonts w:ascii="Times New Roman" w:eastAsia="Times New Roman" w:hAnsi="Times New Roman" w:cs="Times New Roman"/>
          <w:sz w:val="20"/>
          <w:szCs w:val="20"/>
          <w:lang w:eastAsia="en-GB"/>
        </w:rPr>
        <w:t>Bradshaw, J. R. &amp; Keung, A., (2021) WATER POVERTY IN ENGLAND AND WALES, Water Consumer Council, 12 p.</w:t>
      </w:r>
      <w:r w:rsidRPr="00F5139E">
        <w:rPr>
          <w:rFonts w:ascii="Times New Roman" w:eastAsia="Times New Roman" w:hAnsi="Times New Roman" w:cs="Times New Roman"/>
          <w:sz w:val="20"/>
          <w:szCs w:val="20"/>
          <w:shd w:val="clear" w:color="auto" w:fill="E1EBF8"/>
          <w:lang w:val="en-US"/>
        </w:rPr>
        <w:t xml:space="preserve"> </w:t>
      </w:r>
      <w:r w:rsidRPr="00F5139E">
        <w:rPr>
          <w:rFonts w:ascii="Times New Roman" w:eastAsia="Times New Roman" w:hAnsi="Times New Roman" w:cs="Times New Roman"/>
          <w:b/>
          <w:bCs/>
          <w:sz w:val="20"/>
          <w:szCs w:val="20"/>
          <w:shd w:val="clear" w:color="auto" w:fill="E1EBF8"/>
          <w:lang w:val="en-US"/>
        </w:rPr>
        <w:t>https://www.ccwater.org.uk/wp-content/uploads/2021/04/1.-Jonathan-Bradshaw.pdf</w:t>
      </w:r>
    </w:p>
  </w:footnote>
  <w:footnote w:id="7">
    <w:p w14:paraId="02C0C889" w14:textId="22FD36DC" w:rsidR="00CF49F6" w:rsidRDefault="00CF49F6">
      <w:pPr>
        <w:pStyle w:val="FootnoteText"/>
      </w:pPr>
      <w:r>
        <w:rPr>
          <w:rStyle w:val="FootnoteReference"/>
        </w:rPr>
        <w:footnoteRef/>
      </w:r>
      <w:r>
        <w:t xml:space="preserve"> </w:t>
      </w:r>
      <w:r w:rsidRPr="00CF49F6">
        <w:t>https://www.goodthingsfoundation.org/sites/default/files/personas_its_too_expensive.pdf</w:t>
      </w:r>
    </w:p>
  </w:footnote>
  <w:footnote w:id="8">
    <w:p w14:paraId="49A45C19" w14:textId="77777777" w:rsidR="00CF49F6" w:rsidRPr="00CF49F6" w:rsidRDefault="00CF49F6" w:rsidP="00CF49F6">
      <w:pPr>
        <w:rPr>
          <w:rFonts w:ascii="Times New Roman" w:eastAsia="Times New Roman" w:hAnsi="Times New Roman" w:cs="Times New Roman"/>
          <w:sz w:val="24"/>
          <w:szCs w:val="24"/>
          <w:lang w:val="en-US"/>
        </w:rPr>
      </w:pPr>
      <w:r>
        <w:rPr>
          <w:rStyle w:val="FootnoteReference"/>
        </w:rPr>
        <w:footnoteRef/>
      </w:r>
      <w:r>
        <w:t xml:space="preserve"> </w:t>
      </w:r>
      <w:r w:rsidRPr="00CF49F6">
        <w:rPr>
          <w:rFonts w:ascii="Times New Roman" w:eastAsia="Times New Roman" w:hAnsi="Times New Roman" w:cs="Times New Roman"/>
          <w:sz w:val="24"/>
          <w:szCs w:val="24"/>
          <w:lang w:val="en-US"/>
        </w:rPr>
        <w:t xml:space="preserve">Bradshaw, J. R., </w:t>
      </w:r>
      <w:proofErr w:type="spellStart"/>
      <w:r w:rsidRPr="00CF49F6">
        <w:rPr>
          <w:rFonts w:ascii="Times New Roman" w:eastAsia="Times New Roman" w:hAnsi="Times New Roman" w:cs="Times New Roman"/>
          <w:sz w:val="24"/>
          <w:szCs w:val="24"/>
          <w:lang w:val="en-US"/>
        </w:rPr>
        <w:t>Kempson</w:t>
      </w:r>
      <w:proofErr w:type="spellEnd"/>
      <w:r w:rsidRPr="00CF49F6">
        <w:rPr>
          <w:rFonts w:ascii="Times New Roman" w:eastAsia="Times New Roman" w:hAnsi="Times New Roman" w:cs="Times New Roman"/>
          <w:sz w:val="24"/>
          <w:szCs w:val="24"/>
          <w:lang w:val="en-US"/>
        </w:rPr>
        <w:t>, E. &amp; Mullen, C., (2020) Access to Essential Services for Low-income people, European Commission. 31 p.</w:t>
      </w:r>
    </w:p>
    <w:p w14:paraId="40C0D69A" w14:textId="416E11A9" w:rsidR="00CF49F6" w:rsidRDefault="00CF49F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53"/>
    <w:rsid w:val="001E4F3A"/>
    <w:rsid w:val="00496121"/>
    <w:rsid w:val="00553784"/>
    <w:rsid w:val="00785753"/>
    <w:rsid w:val="008302D4"/>
    <w:rsid w:val="0090257E"/>
    <w:rsid w:val="0095143F"/>
    <w:rsid w:val="00A918E4"/>
    <w:rsid w:val="00C264B3"/>
    <w:rsid w:val="00C54DB2"/>
    <w:rsid w:val="00C67D92"/>
    <w:rsid w:val="00C90947"/>
    <w:rsid w:val="00CA6A61"/>
    <w:rsid w:val="00CF49F6"/>
    <w:rsid w:val="00E860AC"/>
    <w:rsid w:val="00ED6B7A"/>
    <w:rsid w:val="00EF1FBD"/>
    <w:rsid w:val="00F5139E"/>
    <w:rsid w:val="00FE3485"/>
    <w:rsid w:val="00FE5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114B"/>
  <w15:chartTrackingRefBased/>
  <w15:docId w15:val="{357D9AB9-8C5C-43DB-BFC8-BEC13E18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6B7A"/>
    <w:pPr>
      <w:spacing w:after="0" w:line="240" w:lineRule="auto"/>
    </w:pPr>
    <w:rPr>
      <w:sz w:val="20"/>
      <w:szCs w:val="20"/>
    </w:rPr>
  </w:style>
  <w:style w:type="character" w:customStyle="1" w:styleId="FootnoteTextChar">
    <w:name w:val="Footnote Text Char"/>
    <w:basedOn w:val="DefaultParagraphFont"/>
    <w:link w:val="FootnoteText"/>
    <w:uiPriority w:val="99"/>
    <w:rsid w:val="00ED6B7A"/>
    <w:rPr>
      <w:sz w:val="20"/>
      <w:szCs w:val="20"/>
    </w:rPr>
  </w:style>
  <w:style w:type="character" w:styleId="FootnoteReference">
    <w:name w:val="footnote reference"/>
    <w:aliases w:val=" BVI fnr,-E Fußnotenzeichen,BVI fnr,E FNZ,EN Footnote Reference,Exposant 3 Point,Footnote,Footnote Reference Number,Footnote Reference Superscript,Footnote reference number,Footnote symbol,Footnote#,Ref,Times 10 Point,note TESI,SUPERS"/>
    <w:basedOn w:val="DefaultParagraphFont"/>
    <w:link w:val="FootnoteReferneceCarcter"/>
    <w:uiPriority w:val="99"/>
    <w:unhideWhenUsed/>
    <w:qFormat/>
    <w:rsid w:val="00ED6B7A"/>
    <w:rPr>
      <w:vertAlign w:val="superscript"/>
    </w:rPr>
  </w:style>
  <w:style w:type="paragraph" w:styleId="CommentText">
    <w:name w:val="annotation text"/>
    <w:basedOn w:val="Normal"/>
    <w:link w:val="CommentTextChar"/>
    <w:uiPriority w:val="99"/>
    <w:semiHidden/>
    <w:rsid w:val="00553784"/>
    <w:pPr>
      <w:spacing w:after="200" w:line="240" w:lineRule="auto"/>
    </w:pPr>
    <w:rPr>
      <w:rFonts w:ascii="Times New Roman" w:eastAsia="Calibri" w:hAnsi="Times New Roman" w:cs="Times New Roman"/>
      <w:sz w:val="24"/>
      <w:szCs w:val="24"/>
    </w:rPr>
  </w:style>
  <w:style w:type="character" w:customStyle="1" w:styleId="CommentTextChar">
    <w:name w:val="Comment Text Char"/>
    <w:basedOn w:val="DefaultParagraphFont"/>
    <w:link w:val="CommentText"/>
    <w:uiPriority w:val="99"/>
    <w:semiHidden/>
    <w:rsid w:val="00553784"/>
    <w:rPr>
      <w:rFonts w:ascii="Times New Roman" w:eastAsia="Calibri" w:hAnsi="Times New Roman" w:cs="Times New Roman"/>
      <w:sz w:val="24"/>
      <w:szCs w:val="24"/>
    </w:rPr>
  </w:style>
  <w:style w:type="paragraph" w:customStyle="1" w:styleId="FootnoteReferneceCarcter">
    <w:name w:val="Footnote Refernece Carácter"/>
    <w:aliases w:val="ftref Carácter,4_G Carácter"/>
    <w:basedOn w:val="Normal"/>
    <w:link w:val="FootnoteReference"/>
    <w:uiPriority w:val="99"/>
    <w:rsid w:val="00553784"/>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8CEC0-8B2A-4BDB-8878-BEF4E56C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4</cp:revision>
  <dcterms:created xsi:type="dcterms:W3CDTF">2021-09-22T19:33:00Z</dcterms:created>
  <dcterms:modified xsi:type="dcterms:W3CDTF">2021-09-23T16:36:00Z</dcterms:modified>
</cp:coreProperties>
</file>