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FAAE8" w14:textId="277C8E8B" w:rsidR="00C14064" w:rsidRPr="00C5316E" w:rsidRDefault="00C14064" w:rsidP="000D12DE">
      <w:pPr>
        <w:pStyle w:val="Heading1"/>
        <w:spacing w:before="0"/>
      </w:pPr>
      <w:r w:rsidRPr="00C5316E">
        <w:t>Scaling Up Quality Improvement for Surgical Teams (QIST) - avoiding surgical site infection and anaemia at the time of surgery: a cluster randomised controlled trial</w:t>
      </w:r>
      <w:r w:rsidR="000C7EDD" w:rsidRPr="00C5316E">
        <w:t xml:space="preserve"> of the effectiveness of </w:t>
      </w:r>
      <w:r w:rsidR="00F7004D" w:rsidRPr="00C5316E">
        <w:t xml:space="preserve">quality </w:t>
      </w:r>
      <w:r w:rsidR="000C7EDD" w:rsidRPr="00C5316E">
        <w:t>improvement collaboratives to introduce change in the NHS</w:t>
      </w:r>
      <w:r w:rsidR="00BF7DCC">
        <w:t xml:space="preserve"> </w:t>
      </w:r>
    </w:p>
    <w:p w14:paraId="5DAA1168" w14:textId="77777777" w:rsidR="001230B2" w:rsidRPr="00C5316E" w:rsidRDefault="001230B2" w:rsidP="001230B2">
      <w:pPr>
        <w:spacing w:after="0"/>
      </w:pPr>
    </w:p>
    <w:p w14:paraId="60B995AB" w14:textId="57355EFF" w:rsidR="00406CFA" w:rsidRPr="00D76E63" w:rsidRDefault="00C14064" w:rsidP="00C14064">
      <w:pPr>
        <w:spacing w:after="0"/>
        <w:rPr>
          <w:rFonts w:asciiTheme="minorHAnsi" w:hAnsiTheme="minorHAnsi" w:cstheme="minorHAnsi"/>
        </w:rPr>
      </w:pPr>
      <w:r w:rsidRPr="00035759">
        <w:rPr>
          <w:rFonts w:asciiTheme="minorHAnsi" w:hAnsiTheme="minorHAnsi" w:cstheme="minorHAnsi"/>
        </w:rPr>
        <w:t>Ashley</w:t>
      </w:r>
      <w:r w:rsidR="0000787C">
        <w:rPr>
          <w:rFonts w:asciiTheme="minorHAnsi" w:hAnsiTheme="minorHAnsi" w:cstheme="minorHAnsi"/>
        </w:rPr>
        <w:t xml:space="preserve"> B</w:t>
      </w:r>
      <w:r w:rsidR="000C4D31">
        <w:rPr>
          <w:rFonts w:asciiTheme="minorHAnsi" w:hAnsiTheme="minorHAnsi" w:cstheme="minorHAnsi"/>
        </w:rPr>
        <w:t>rian</w:t>
      </w:r>
      <w:r w:rsidRPr="00035759">
        <w:rPr>
          <w:rFonts w:asciiTheme="minorHAnsi" w:hAnsiTheme="minorHAnsi" w:cstheme="minorHAnsi"/>
        </w:rPr>
        <w:t xml:space="preserve"> Scrimshire</w:t>
      </w:r>
      <w:r w:rsidR="005F47F0">
        <w:rPr>
          <w:rFonts w:asciiTheme="minorHAnsi" w:hAnsiTheme="minorHAnsi" w:cstheme="minorHAnsi"/>
          <w:vertAlign w:val="superscript"/>
        </w:rPr>
        <w:t>1a,2b</w:t>
      </w:r>
      <w:r w:rsidR="005F47F0">
        <w:rPr>
          <w:rFonts w:asciiTheme="minorHAnsi" w:hAnsiTheme="minorHAnsi" w:cstheme="minorHAnsi"/>
        </w:rPr>
        <w:t xml:space="preserve">, </w:t>
      </w:r>
      <w:r w:rsidR="005F47F0" w:rsidRPr="00035759">
        <w:rPr>
          <w:rFonts w:asciiTheme="minorHAnsi" w:hAnsiTheme="minorHAnsi" w:cstheme="minorHAnsi"/>
        </w:rPr>
        <w:t>Alison Booth</w:t>
      </w:r>
      <w:r w:rsidR="005F47F0">
        <w:rPr>
          <w:rFonts w:asciiTheme="minorHAnsi" w:hAnsiTheme="minorHAnsi" w:cstheme="minorHAnsi"/>
          <w:vertAlign w:val="superscript"/>
        </w:rPr>
        <w:t>2c</w:t>
      </w:r>
      <w:r w:rsidR="005F47F0">
        <w:rPr>
          <w:rFonts w:asciiTheme="minorHAnsi" w:hAnsiTheme="minorHAnsi" w:cstheme="minorHAnsi"/>
        </w:rPr>
        <w:t>,</w:t>
      </w:r>
      <w:r w:rsidR="005F47F0" w:rsidRPr="005F47F0">
        <w:rPr>
          <w:rFonts w:asciiTheme="minorHAnsi" w:hAnsiTheme="minorHAnsi" w:cstheme="minorHAnsi"/>
        </w:rPr>
        <w:t xml:space="preserve"> </w:t>
      </w:r>
      <w:r w:rsidR="005F47F0" w:rsidRPr="00035759">
        <w:rPr>
          <w:rFonts w:asciiTheme="minorHAnsi" w:hAnsiTheme="minorHAnsi" w:cstheme="minorHAnsi"/>
        </w:rPr>
        <w:t>Caroline Fairhurst</w:t>
      </w:r>
      <w:r w:rsidR="005F47F0">
        <w:rPr>
          <w:rFonts w:asciiTheme="minorHAnsi" w:hAnsiTheme="minorHAnsi" w:cstheme="minorHAnsi"/>
          <w:vertAlign w:val="superscript"/>
        </w:rPr>
        <w:t>2d</w:t>
      </w:r>
      <w:r w:rsidR="005F47F0" w:rsidRPr="00035759">
        <w:rPr>
          <w:rFonts w:asciiTheme="minorHAnsi" w:hAnsiTheme="minorHAnsi" w:cstheme="minorHAnsi"/>
        </w:rPr>
        <w:t>,</w:t>
      </w:r>
      <w:r w:rsidR="005F47F0" w:rsidRPr="005F47F0">
        <w:rPr>
          <w:rFonts w:asciiTheme="minorHAnsi" w:hAnsiTheme="minorHAnsi" w:cstheme="minorHAnsi"/>
        </w:rPr>
        <w:t xml:space="preserve"> </w:t>
      </w:r>
      <w:r w:rsidR="005F47F0">
        <w:rPr>
          <w:rFonts w:asciiTheme="minorHAnsi" w:hAnsiTheme="minorHAnsi" w:cstheme="minorHAnsi"/>
        </w:rPr>
        <w:t>Elizabeth Coleman</w:t>
      </w:r>
      <w:r w:rsidR="005F47F0">
        <w:rPr>
          <w:rFonts w:asciiTheme="minorHAnsi" w:hAnsiTheme="minorHAnsi" w:cstheme="minorHAnsi"/>
          <w:vertAlign w:val="superscript"/>
        </w:rPr>
        <w:t>2d</w:t>
      </w:r>
      <w:r w:rsidR="005F47F0">
        <w:rPr>
          <w:rFonts w:asciiTheme="minorHAnsi" w:hAnsiTheme="minorHAnsi" w:cstheme="minorHAnsi"/>
        </w:rPr>
        <w:t xml:space="preserve">, </w:t>
      </w:r>
      <w:r w:rsidR="001230B2">
        <w:rPr>
          <w:rFonts w:asciiTheme="minorHAnsi" w:hAnsiTheme="minorHAnsi" w:cstheme="minorHAnsi"/>
        </w:rPr>
        <w:t>Ajay Malviya</w:t>
      </w:r>
      <w:r w:rsidR="001230B2">
        <w:rPr>
          <w:rFonts w:asciiTheme="minorHAnsi" w:hAnsiTheme="minorHAnsi" w:cstheme="minorHAnsi"/>
          <w:vertAlign w:val="superscript"/>
        </w:rPr>
        <w:t>1e</w:t>
      </w:r>
      <w:r w:rsidR="001230B2">
        <w:rPr>
          <w:rFonts w:asciiTheme="minorHAnsi" w:hAnsiTheme="minorHAnsi" w:cstheme="minorHAnsi"/>
        </w:rPr>
        <w:t>, Alwyn Kotze</w:t>
      </w:r>
      <w:r w:rsidR="001230B2">
        <w:rPr>
          <w:rFonts w:asciiTheme="minorHAnsi" w:hAnsiTheme="minorHAnsi" w:cstheme="minorHAnsi"/>
          <w:vertAlign w:val="superscript"/>
        </w:rPr>
        <w:t>3f</w:t>
      </w:r>
      <w:r w:rsidR="001230B2">
        <w:rPr>
          <w:rFonts w:asciiTheme="minorHAnsi" w:hAnsiTheme="minorHAnsi" w:cstheme="minorHAnsi"/>
        </w:rPr>
        <w:t>, Chris Tiplady</w:t>
      </w:r>
      <w:r w:rsidR="001230B2">
        <w:rPr>
          <w:rFonts w:asciiTheme="minorHAnsi" w:hAnsiTheme="minorHAnsi" w:cstheme="minorHAnsi"/>
          <w:vertAlign w:val="superscript"/>
        </w:rPr>
        <w:t>1g</w:t>
      </w:r>
      <w:r w:rsidR="001230B2">
        <w:rPr>
          <w:rFonts w:asciiTheme="minorHAnsi" w:hAnsiTheme="minorHAnsi" w:cstheme="minorHAnsi"/>
        </w:rPr>
        <w:t>, David Tate</w:t>
      </w:r>
      <w:r w:rsidR="001230B2">
        <w:rPr>
          <w:rFonts w:asciiTheme="minorHAnsi" w:hAnsiTheme="minorHAnsi" w:cstheme="minorHAnsi"/>
          <w:vertAlign w:val="superscript"/>
        </w:rPr>
        <w:t>1h</w:t>
      </w:r>
      <w:r w:rsidR="001230B2">
        <w:rPr>
          <w:rFonts w:asciiTheme="minorHAnsi" w:hAnsiTheme="minorHAnsi" w:cstheme="minorHAnsi"/>
        </w:rPr>
        <w:t xml:space="preserve">, </w:t>
      </w:r>
      <w:r w:rsidR="005F47F0" w:rsidRPr="00035759">
        <w:rPr>
          <w:rFonts w:asciiTheme="minorHAnsi" w:hAnsiTheme="minorHAnsi" w:cstheme="minorHAnsi"/>
        </w:rPr>
        <w:t>Annie Laverty</w:t>
      </w:r>
      <w:r w:rsidR="005F47F0">
        <w:rPr>
          <w:rFonts w:asciiTheme="minorHAnsi" w:hAnsiTheme="minorHAnsi" w:cstheme="minorHAnsi"/>
          <w:vertAlign w:val="superscript"/>
        </w:rPr>
        <w:t>1</w:t>
      </w:r>
      <w:r w:rsidR="001230B2">
        <w:rPr>
          <w:rFonts w:asciiTheme="minorHAnsi" w:hAnsiTheme="minorHAnsi" w:cstheme="minorHAnsi"/>
          <w:vertAlign w:val="superscript"/>
        </w:rPr>
        <w:t>i</w:t>
      </w:r>
      <w:r w:rsidR="005F47F0">
        <w:rPr>
          <w:rFonts w:asciiTheme="minorHAnsi" w:hAnsiTheme="minorHAnsi" w:cstheme="minorHAnsi"/>
        </w:rPr>
        <w:t xml:space="preserve">, </w:t>
      </w:r>
      <w:r w:rsidR="000D12DE" w:rsidRPr="004A6163">
        <w:rPr>
          <w:rFonts w:cs="Arial"/>
        </w:rPr>
        <w:t>Gillian Davis</w:t>
      </w:r>
      <w:r w:rsidR="000D12DE">
        <w:rPr>
          <w:rFonts w:cs="Arial"/>
          <w:vertAlign w:val="superscript"/>
        </w:rPr>
        <w:t>1</w:t>
      </w:r>
      <w:r w:rsidR="001230B2">
        <w:rPr>
          <w:rFonts w:cs="Arial"/>
          <w:vertAlign w:val="superscript"/>
        </w:rPr>
        <w:t>j</w:t>
      </w:r>
      <w:r w:rsidR="000D12DE">
        <w:rPr>
          <w:rFonts w:asciiTheme="minorHAnsi" w:hAnsiTheme="minorHAnsi" w:cstheme="minorHAnsi"/>
        </w:rPr>
        <w:t xml:space="preserve">, </w:t>
      </w:r>
      <w:r w:rsidR="00636AFC">
        <w:rPr>
          <w:rFonts w:asciiTheme="minorHAnsi" w:hAnsiTheme="minorHAnsi" w:cstheme="minorHAnsi"/>
        </w:rPr>
        <w:t xml:space="preserve">Win </w:t>
      </w:r>
      <w:r w:rsidR="001230B2">
        <w:rPr>
          <w:rFonts w:asciiTheme="minorHAnsi" w:hAnsiTheme="minorHAnsi" w:cstheme="minorHAnsi"/>
        </w:rPr>
        <w:t>Tadd</w:t>
      </w:r>
      <w:r w:rsidR="001230B2">
        <w:rPr>
          <w:rFonts w:asciiTheme="minorHAnsi" w:hAnsiTheme="minorHAnsi" w:cstheme="minorHAnsi"/>
          <w:vertAlign w:val="superscript"/>
        </w:rPr>
        <w:t>4k</w:t>
      </w:r>
      <w:r w:rsidR="00636AFC">
        <w:rPr>
          <w:rFonts w:asciiTheme="minorHAnsi" w:hAnsiTheme="minorHAnsi" w:cstheme="minorHAnsi"/>
        </w:rPr>
        <w:t xml:space="preserve">, </w:t>
      </w:r>
      <w:r w:rsidR="005F47F0" w:rsidRPr="00035759">
        <w:rPr>
          <w:rFonts w:asciiTheme="minorHAnsi" w:hAnsiTheme="minorHAnsi" w:cstheme="minorHAnsi"/>
        </w:rPr>
        <w:t>Belen Corbacho</w:t>
      </w:r>
      <w:r w:rsidR="005F47F0">
        <w:rPr>
          <w:rFonts w:asciiTheme="minorHAnsi" w:hAnsiTheme="minorHAnsi" w:cstheme="minorHAnsi"/>
          <w:vertAlign w:val="superscript"/>
        </w:rPr>
        <w:t>2</w:t>
      </w:r>
      <w:r w:rsidR="001230B2">
        <w:rPr>
          <w:rFonts w:asciiTheme="minorHAnsi" w:hAnsiTheme="minorHAnsi" w:cstheme="minorHAnsi"/>
          <w:vertAlign w:val="superscript"/>
        </w:rPr>
        <w:t>l</w:t>
      </w:r>
      <w:r w:rsidR="005F47F0">
        <w:rPr>
          <w:rFonts w:asciiTheme="minorHAnsi" w:hAnsiTheme="minorHAnsi" w:cstheme="minorHAnsi"/>
        </w:rPr>
        <w:t>,</w:t>
      </w:r>
      <w:r w:rsidR="009D5527">
        <w:rPr>
          <w:rFonts w:asciiTheme="minorHAnsi" w:hAnsiTheme="minorHAnsi" w:cstheme="minorHAnsi"/>
        </w:rPr>
        <w:t xml:space="preserve"> </w:t>
      </w:r>
      <w:r w:rsidR="005F47F0" w:rsidRPr="00035759">
        <w:rPr>
          <w:rFonts w:asciiTheme="minorHAnsi" w:hAnsiTheme="minorHAnsi" w:cstheme="minorHAnsi"/>
        </w:rPr>
        <w:t xml:space="preserve">Prof David </w:t>
      </w:r>
      <w:r w:rsidR="00BC64F9">
        <w:rPr>
          <w:rFonts w:asciiTheme="minorHAnsi" w:hAnsiTheme="minorHAnsi" w:cstheme="minorHAnsi"/>
        </w:rPr>
        <w:t xml:space="preserve">J </w:t>
      </w:r>
      <w:r w:rsidR="005F47F0" w:rsidRPr="00035759">
        <w:rPr>
          <w:rFonts w:asciiTheme="minorHAnsi" w:hAnsiTheme="minorHAnsi" w:cstheme="minorHAnsi"/>
        </w:rPr>
        <w:t>Torgerson</w:t>
      </w:r>
      <w:r w:rsidR="001230B2">
        <w:rPr>
          <w:rFonts w:asciiTheme="minorHAnsi" w:hAnsiTheme="minorHAnsi" w:cstheme="minorHAnsi"/>
          <w:vertAlign w:val="superscript"/>
        </w:rPr>
        <w:t>2m</w:t>
      </w:r>
      <w:r w:rsidR="005F47F0">
        <w:rPr>
          <w:rFonts w:asciiTheme="minorHAnsi" w:hAnsiTheme="minorHAnsi" w:cstheme="minorHAnsi"/>
        </w:rPr>
        <w:t>,</w:t>
      </w:r>
      <w:r w:rsidR="005F47F0" w:rsidRPr="005F47F0">
        <w:rPr>
          <w:rFonts w:asciiTheme="minorHAnsi" w:hAnsiTheme="minorHAnsi" w:cstheme="minorHAnsi"/>
        </w:rPr>
        <w:t xml:space="preserve"> </w:t>
      </w:r>
      <w:r w:rsidR="005F47F0" w:rsidRPr="00035759">
        <w:rPr>
          <w:rFonts w:asciiTheme="minorHAnsi" w:hAnsiTheme="minorHAnsi" w:cstheme="minorHAnsi"/>
        </w:rPr>
        <w:t>Dr Catriona McDaid</w:t>
      </w:r>
      <w:r w:rsidR="005F47F0">
        <w:rPr>
          <w:rFonts w:asciiTheme="minorHAnsi" w:hAnsiTheme="minorHAnsi" w:cstheme="minorHAnsi"/>
          <w:vertAlign w:val="superscript"/>
        </w:rPr>
        <w:t>2</w:t>
      </w:r>
      <w:r w:rsidR="001230B2">
        <w:rPr>
          <w:rFonts w:asciiTheme="minorHAnsi" w:hAnsiTheme="minorHAnsi" w:cstheme="minorHAnsi"/>
          <w:vertAlign w:val="superscript"/>
        </w:rPr>
        <w:t>n</w:t>
      </w:r>
      <w:r w:rsidR="005F47F0">
        <w:rPr>
          <w:rFonts w:asciiTheme="minorHAnsi" w:hAnsiTheme="minorHAnsi" w:cstheme="minorHAnsi"/>
        </w:rPr>
        <w:t xml:space="preserve">, </w:t>
      </w:r>
      <w:r w:rsidR="005F47F0" w:rsidRPr="00035759">
        <w:rPr>
          <w:rFonts w:asciiTheme="minorHAnsi" w:hAnsiTheme="minorHAnsi" w:cstheme="minorHAnsi"/>
        </w:rPr>
        <w:t>Prof Mike Reed</w:t>
      </w:r>
      <w:r w:rsidR="005F47F0">
        <w:rPr>
          <w:rFonts w:asciiTheme="minorHAnsi" w:hAnsiTheme="minorHAnsi" w:cstheme="minorHAnsi"/>
          <w:vertAlign w:val="superscript"/>
        </w:rPr>
        <w:t>1</w:t>
      </w:r>
      <w:r w:rsidR="001230B2">
        <w:rPr>
          <w:rFonts w:asciiTheme="minorHAnsi" w:hAnsiTheme="minorHAnsi" w:cstheme="minorHAnsi"/>
          <w:vertAlign w:val="superscript"/>
        </w:rPr>
        <w:t>e</w:t>
      </w:r>
      <w:r w:rsidR="00D76E63">
        <w:rPr>
          <w:rFonts w:asciiTheme="minorHAnsi" w:hAnsiTheme="minorHAnsi" w:cstheme="minorHAnsi"/>
          <w:vertAlign w:val="superscript"/>
        </w:rPr>
        <w:t xml:space="preserve"> </w:t>
      </w:r>
      <w:r w:rsidR="00D76E63">
        <w:rPr>
          <w:rFonts w:asciiTheme="minorHAnsi" w:hAnsiTheme="minorHAnsi" w:cstheme="minorHAnsi"/>
        </w:rPr>
        <w:t>and the QIST collaborators</w:t>
      </w:r>
    </w:p>
    <w:p w14:paraId="4EE3F503" w14:textId="77777777" w:rsidR="00406CFA" w:rsidRDefault="00406CFA" w:rsidP="00C14064">
      <w:pPr>
        <w:spacing w:after="0"/>
        <w:rPr>
          <w:rFonts w:asciiTheme="minorHAnsi" w:hAnsiTheme="minorHAnsi" w:cstheme="minorHAnsi"/>
        </w:rPr>
      </w:pPr>
    </w:p>
    <w:p w14:paraId="608554A7" w14:textId="7BDF1CA8" w:rsidR="0000787C" w:rsidRDefault="005F47F0" w:rsidP="00C14064">
      <w:pPr>
        <w:spacing w:after="0"/>
        <w:rPr>
          <w:rFonts w:asciiTheme="minorHAnsi" w:hAnsiTheme="minorHAnsi" w:cstheme="minorHAnsi"/>
        </w:rPr>
      </w:pPr>
      <w:r>
        <w:rPr>
          <w:rFonts w:asciiTheme="minorHAnsi" w:hAnsiTheme="minorHAnsi" w:cstheme="minorHAnsi"/>
          <w:vertAlign w:val="superscript"/>
        </w:rPr>
        <w:t xml:space="preserve">1 </w:t>
      </w:r>
      <w:r w:rsidR="00B4525E" w:rsidRPr="00AD29B0">
        <w:rPr>
          <w:rFonts w:asciiTheme="minorHAnsi" w:hAnsiTheme="minorHAnsi" w:cstheme="minorHAnsi"/>
        </w:rPr>
        <w:t>Northumbria Healthcare NHS Foundation Trust</w:t>
      </w:r>
      <w:r>
        <w:rPr>
          <w:rFonts w:asciiTheme="minorHAnsi" w:hAnsiTheme="minorHAnsi" w:cstheme="minorHAnsi"/>
        </w:rPr>
        <w:t>,</w:t>
      </w:r>
      <w:r w:rsidR="00C14064" w:rsidRPr="003E2F54">
        <w:rPr>
          <w:rFonts w:asciiTheme="minorHAnsi" w:hAnsiTheme="minorHAnsi" w:cstheme="minorHAnsi"/>
        </w:rPr>
        <w:t xml:space="preserve"> </w:t>
      </w:r>
      <w:r w:rsidRPr="00035759">
        <w:rPr>
          <w:rFonts w:asciiTheme="minorHAnsi" w:hAnsiTheme="minorHAnsi" w:cstheme="minorHAnsi"/>
        </w:rPr>
        <w:t>Woodhorn Lane, Ashington, NE63 9JJ</w:t>
      </w:r>
    </w:p>
    <w:p w14:paraId="25143E7B" w14:textId="7811D454" w:rsidR="005379DE" w:rsidRDefault="005379DE" w:rsidP="005379DE">
      <w:pPr>
        <w:spacing w:after="0"/>
        <w:rPr>
          <w:rFonts w:asciiTheme="minorHAnsi" w:hAnsiTheme="minorHAnsi" w:cstheme="minorHAnsi"/>
        </w:rPr>
      </w:pPr>
      <w:r>
        <w:rPr>
          <w:rFonts w:asciiTheme="minorHAnsi" w:hAnsiTheme="minorHAnsi" w:cstheme="minorHAnsi"/>
          <w:vertAlign w:val="superscript"/>
        </w:rPr>
        <w:t xml:space="preserve">2 </w:t>
      </w:r>
      <w:r>
        <w:rPr>
          <w:rFonts w:asciiTheme="minorHAnsi" w:hAnsiTheme="minorHAnsi" w:cstheme="minorHAnsi"/>
        </w:rPr>
        <w:t xml:space="preserve">York Trials </w:t>
      </w:r>
      <w:r w:rsidRPr="009E4784">
        <w:rPr>
          <w:rFonts w:asciiTheme="minorHAnsi" w:hAnsiTheme="minorHAnsi" w:cstheme="minorHAnsi"/>
        </w:rPr>
        <w:t xml:space="preserve">Unit, </w:t>
      </w:r>
      <w:r w:rsidRPr="003E2F54">
        <w:rPr>
          <w:rFonts w:asciiTheme="minorHAnsi" w:hAnsiTheme="minorHAnsi" w:cstheme="minorHAnsi"/>
        </w:rPr>
        <w:t>Department of Health Sciences, University of York, York</w:t>
      </w:r>
      <w:r>
        <w:rPr>
          <w:rFonts w:asciiTheme="minorHAnsi" w:hAnsiTheme="minorHAnsi" w:cstheme="minorHAnsi"/>
        </w:rPr>
        <w:t>,</w:t>
      </w:r>
      <w:r w:rsidRPr="003E2F54">
        <w:rPr>
          <w:rFonts w:asciiTheme="minorHAnsi" w:hAnsiTheme="minorHAnsi" w:cstheme="minorHAnsi"/>
        </w:rPr>
        <w:t xml:space="preserve"> YO10 5DD</w:t>
      </w:r>
      <w:r w:rsidRPr="00035759">
        <w:rPr>
          <w:rFonts w:asciiTheme="minorHAnsi" w:hAnsiTheme="minorHAnsi" w:cstheme="minorHAnsi"/>
        </w:rPr>
        <w:t xml:space="preserve"> </w:t>
      </w:r>
    </w:p>
    <w:p w14:paraId="5F0B836A" w14:textId="4B71CDC9" w:rsidR="001230B2" w:rsidRPr="001230B2" w:rsidRDefault="001230B2" w:rsidP="005379DE">
      <w:pPr>
        <w:spacing w:after="0"/>
        <w:rPr>
          <w:rFonts w:asciiTheme="minorHAnsi" w:hAnsiTheme="minorHAnsi" w:cstheme="minorHAnsi"/>
        </w:rPr>
      </w:pPr>
      <w:r>
        <w:rPr>
          <w:rFonts w:asciiTheme="minorHAnsi" w:hAnsiTheme="minorHAnsi" w:cstheme="minorHAnsi"/>
          <w:vertAlign w:val="superscript"/>
        </w:rPr>
        <w:t xml:space="preserve">3 </w:t>
      </w:r>
      <w:r>
        <w:rPr>
          <w:rFonts w:asciiTheme="minorHAnsi" w:hAnsiTheme="minorHAnsi" w:cstheme="minorHAnsi"/>
        </w:rPr>
        <w:t>Leeds Teaching Hospitals, Leeds, UK</w:t>
      </w:r>
    </w:p>
    <w:p w14:paraId="3063A84E" w14:textId="4AFA88CC" w:rsidR="00636AFC" w:rsidRPr="00636AFC" w:rsidRDefault="001230B2" w:rsidP="005379DE">
      <w:pPr>
        <w:spacing w:after="0"/>
        <w:rPr>
          <w:rFonts w:asciiTheme="minorHAnsi" w:hAnsiTheme="minorHAnsi" w:cstheme="minorHAnsi"/>
          <w:color w:val="555555"/>
          <w:shd w:val="clear" w:color="auto" w:fill="FFFFFF"/>
        </w:rPr>
      </w:pPr>
      <w:r>
        <w:rPr>
          <w:rFonts w:asciiTheme="minorHAnsi" w:hAnsiTheme="minorHAnsi" w:cstheme="minorHAnsi"/>
          <w:vertAlign w:val="superscript"/>
        </w:rPr>
        <w:t>4</w:t>
      </w:r>
      <w:r w:rsidR="00636AFC">
        <w:rPr>
          <w:rFonts w:asciiTheme="minorHAnsi" w:hAnsiTheme="minorHAnsi" w:cstheme="minorHAnsi"/>
        </w:rPr>
        <w:t xml:space="preserve"> Cardiff, UK</w:t>
      </w:r>
    </w:p>
    <w:p w14:paraId="65E7A33F" w14:textId="77777777" w:rsidR="005F47F0" w:rsidRPr="00AD29B0" w:rsidRDefault="005F47F0" w:rsidP="00C14064">
      <w:pPr>
        <w:spacing w:after="0"/>
        <w:rPr>
          <w:rFonts w:asciiTheme="minorHAnsi" w:hAnsiTheme="minorHAnsi" w:cstheme="minorHAnsi"/>
          <w:color w:val="555555"/>
          <w:shd w:val="clear" w:color="auto" w:fill="FFFFFF"/>
        </w:rPr>
      </w:pPr>
    </w:p>
    <w:p w14:paraId="73499FBD" w14:textId="452F9B20" w:rsidR="005F47F0" w:rsidRDefault="005F47F0" w:rsidP="005F47F0">
      <w:pPr>
        <w:spacing w:after="0"/>
        <w:rPr>
          <w:rFonts w:asciiTheme="minorHAnsi" w:hAnsiTheme="minorHAnsi" w:cstheme="minorHAnsi"/>
        </w:rPr>
      </w:pPr>
      <w:r>
        <w:rPr>
          <w:rFonts w:asciiTheme="minorHAnsi" w:hAnsiTheme="minorHAnsi" w:cstheme="minorHAnsi"/>
          <w:vertAlign w:val="superscript"/>
        </w:rPr>
        <w:t xml:space="preserve">a </w:t>
      </w:r>
      <w:r>
        <w:rPr>
          <w:rFonts w:asciiTheme="minorHAnsi" w:hAnsiTheme="minorHAnsi" w:cstheme="minorHAnsi"/>
        </w:rPr>
        <w:t>Trauma and orthopaedic registrar</w:t>
      </w:r>
    </w:p>
    <w:p w14:paraId="2B6B7AD1" w14:textId="2A769AAF" w:rsidR="00C14064" w:rsidRPr="005F47F0" w:rsidRDefault="005F47F0" w:rsidP="00C14064">
      <w:pPr>
        <w:spacing w:after="0"/>
        <w:rPr>
          <w:rFonts w:asciiTheme="minorHAnsi" w:hAnsiTheme="minorHAnsi" w:cstheme="minorHAnsi"/>
        </w:rPr>
      </w:pPr>
      <w:r>
        <w:rPr>
          <w:rFonts w:asciiTheme="minorHAnsi" w:hAnsiTheme="minorHAnsi" w:cstheme="minorHAnsi"/>
          <w:vertAlign w:val="superscript"/>
        </w:rPr>
        <w:t xml:space="preserve">b </w:t>
      </w:r>
      <w:r>
        <w:rPr>
          <w:rFonts w:asciiTheme="minorHAnsi" w:hAnsiTheme="minorHAnsi" w:cstheme="minorHAnsi"/>
        </w:rPr>
        <w:t>PhD student</w:t>
      </w:r>
    </w:p>
    <w:p w14:paraId="05F1C897" w14:textId="0AD3FB10" w:rsidR="005F47F0" w:rsidRDefault="005F47F0" w:rsidP="00306DF8">
      <w:pPr>
        <w:spacing w:after="0"/>
        <w:rPr>
          <w:rFonts w:asciiTheme="minorHAnsi" w:hAnsiTheme="minorHAnsi" w:cstheme="minorHAnsi"/>
        </w:rPr>
      </w:pPr>
      <w:r>
        <w:rPr>
          <w:rFonts w:asciiTheme="minorHAnsi" w:hAnsiTheme="minorHAnsi" w:cstheme="minorHAnsi"/>
          <w:vertAlign w:val="superscript"/>
        </w:rPr>
        <w:t xml:space="preserve">c </w:t>
      </w:r>
      <w:r w:rsidR="008C605B">
        <w:rPr>
          <w:rFonts w:asciiTheme="minorHAnsi" w:hAnsiTheme="minorHAnsi" w:cstheme="minorHAnsi"/>
          <w:vertAlign w:val="superscript"/>
        </w:rPr>
        <w:t xml:space="preserve"> </w:t>
      </w:r>
      <w:r w:rsidR="008C605B">
        <w:rPr>
          <w:rFonts w:asciiTheme="minorHAnsi" w:hAnsiTheme="minorHAnsi" w:cstheme="minorHAnsi"/>
        </w:rPr>
        <w:t xml:space="preserve">Senior </w:t>
      </w:r>
      <w:r w:rsidR="007F6D4A">
        <w:rPr>
          <w:rFonts w:asciiTheme="minorHAnsi" w:hAnsiTheme="minorHAnsi" w:cstheme="minorHAnsi"/>
        </w:rPr>
        <w:t>R</w:t>
      </w:r>
      <w:r w:rsidR="0000787C">
        <w:rPr>
          <w:rFonts w:asciiTheme="minorHAnsi" w:hAnsiTheme="minorHAnsi" w:cstheme="minorHAnsi"/>
        </w:rPr>
        <w:t>esearch Fellow</w:t>
      </w:r>
    </w:p>
    <w:p w14:paraId="6D9CC553" w14:textId="7411D311" w:rsidR="005F47F0" w:rsidRDefault="005F47F0" w:rsidP="00306DF8">
      <w:pPr>
        <w:spacing w:after="0"/>
        <w:rPr>
          <w:rFonts w:asciiTheme="minorHAnsi" w:hAnsiTheme="minorHAnsi" w:cstheme="minorHAnsi"/>
        </w:rPr>
      </w:pPr>
      <w:r>
        <w:rPr>
          <w:rFonts w:asciiTheme="minorHAnsi" w:hAnsiTheme="minorHAnsi" w:cstheme="minorHAnsi"/>
          <w:vertAlign w:val="superscript"/>
        </w:rPr>
        <w:t xml:space="preserve">d </w:t>
      </w:r>
      <w:r>
        <w:rPr>
          <w:rFonts w:asciiTheme="minorHAnsi" w:hAnsiTheme="minorHAnsi" w:cstheme="minorHAnsi"/>
        </w:rPr>
        <w:t>Statistician</w:t>
      </w:r>
    </w:p>
    <w:p w14:paraId="6ADB2810" w14:textId="075C0C11" w:rsidR="001230B2" w:rsidRDefault="001230B2" w:rsidP="00306DF8">
      <w:pPr>
        <w:spacing w:after="0"/>
        <w:rPr>
          <w:rFonts w:asciiTheme="minorHAnsi" w:hAnsiTheme="minorHAnsi" w:cstheme="minorHAnsi"/>
        </w:rPr>
      </w:pPr>
      <w:r>
        <w:rPr>
          <w:rFonts w:asciiTheme="minorHAnsi" w:hAnsiTheme="minorHAnsi" w:cstheme="minorHAnsi"/>
          <w:vertAlign w:val="superscript"/>
        </w:rPr>
        <w:t xml:space="preserve">e </w:t>
      </w:r>
      <w:r>
        <w:rPr>
          <w:rFonts w:asciiTheme="minorHAnsi" w:hAnsiTheme="minorHAnsi" w:cstheme="minorHAnsi"/>
        </w:rPr>
        <w:t>Consultant trauma and orthopaedic surgeon</w:t>
      </w:r>
    </w:p>
    <w:p w14:paraId="1476730C" w14:textId="540275A9" w:rsidR="001230B2" w:rsidRDefault="001230B2" w:rsidP="00306DF8">
      <w:pPr>
        <w:spacing w:after="0"/>
        <w:rPr>
          <w:rFonts w:asciiTheme="minorHAnsi" w:hAnsiTheme="minorHAnsi" w:cstheme="minorHAnsi"/>
        </w:rPr>
      </w:pPr>
      <w:r>
        <w:rPr>
          <w:rFonts w:asciiTheme="minorHAnsi" w:hAnsiTheme="minorHAnsi" w:cstheme="minorHAnsi"/>
          <w:vertAlign w:val="superscript"/>
        </w:rPr>
        <w:t xml:space="preserve">f </w:t>
      </w:r>
      <w:r>
        <w:rPr>
          <w:rFonts w:asciiTheme="minorHAnsi" w:hAnsiTheme="minorHAnsi" w:cstheme="minorHAnsi"/>
        </w:rPr>
        <w:t>Consultant anaesthetist</w:t>
      </w:r>
    </w:p>
    <w:p w14:paraId="7D68A9BC" w14:textId="453A578D" w:rsidR="001230B2" w:rsidRDefault="001230B2" w:rsidP="00306DF8">
      <w:pPr>
        <w:spacing w:after="0"/>
        <w:rPr>
          <w:rFonts w:asciiTheme="minorHAnsi" w:hAnsiTheme="minorHAnsi" w:cstheme="minorHAnsi"/>
        </w:rPr>
      </w:pPr>
      <w:r>
        <w:rPr>
          <w:rFonts w:asciiTheme="minorHAnsi" w:hAnsiTheme="minorHAnsi" w:cstheme="minorHAnsi"/>
          <w:vertAlign w:val="superscript"/>
        </w:rPr>
        <w:t xml:space="preserve">g </w:t>
      </w:r>
      <w:r>
        <w:rPr>
          <w:rFonts w:asciiTheme="minorHAnsi" w:hAnsiTheme="minorHAnsi" w:cstheme="minorHAnsi"/>
        </w:rPr>
        <w:t>Consultant haematologist</w:t>
      </w:r>
    </w:p>
    <w:p w14:paraId="3FB50B9E" w14:textId="58BC6ED4" w:rsidR="001230B2" w:rsidRDefault="001230B2" w:rsidP="00306DF8">
      <w:pPr>
        <w:spacing w:after="0"/>
        <w:rPr>
          <w:rFonts w:asciiTheme="minorHAnsi" w:hAnsiTheme="minorHAnsi" w:cstheme="minorHAnsi"/>
        </w:rPr>
      </w:pPr>
      <w:r>
        <w:rPr>
          <w:rFonts w:asciiTheme="minorHAnsi" w:hAnsiTheme="minorHAnsi" w:cstheme="minorHAnsi"/>
          <w:vertAlign w:val="superscript"/>
        </w:rPr>
        <w:t xml:space="preserve">h </w:t>
      </w:r>
      <w:r>
        <w:rPr>
          <w:rFonts w:asciiTheme="minorHAnsi" w:hAnsiTheme="minorHAnsi" w:cstheme="minorHAnsi"/>
        </w:rPr>
        <w:t>Consultant microbiologist</w:t>
      </w:r>
    </w:p>
    <w:p w14:paraId="3DDC17B0" w14:textId="2CDDA9C1" w:rsidR="005F47F0" w:rsidRDefault="003F1328" w:rsidP="00306DF8">
      <w:pPr>
        <w:spacing w:after="0"/>
      </w:pPr>
      <w:r>
        <w:rPr>
          <w:rFonts w:asciiTheme="minorHAnsi" w:hAnsiTheme="minorHAnsi" w:cstheme="minorHAnsi"/>
          <w:vertAlign w:val="superscript"/>
        </w:rPr>
        <w:t>i</w:t>
      </w:r>
      <w:r w:rsidR="005F47F0">
        <w:rPr>
          <w:rFonts w:asciiTheme="minorHAnsi" w:hAnsiTheme="minorHAnsi" w:cstheme="minorHAnsi"/>
        </w:rPr>
        <w:t xml:space="preserve"> </w:t>
      </w:r>
      <w:r w:rsidR="005F47F0">
        <w:t>Chief Experience Officer</w:t>
      </w:r>
    </w:p>
    <w:p w14:paraId="0A52851B" w14:textId="3E96EE85" w:rsidR="0088511E" w:rsidRPr="0088511E" w:rsidRDefault="001230B2" w:rsidP="00306DF8">
      <w:pPr>
        <w:spacing w:after="0"/>
      </w:pPr>
      <w:r>
        <w:rPr>
          <w:vertAlign w:val="superscript"/>
        </w:rPr>
        <w:t>j</w:t>
      </w:r>
      <w:r w:rsidR="0088511E">
        <w:rPr>
          <w:vertAlign w:val="superscript"/>
        </w:rPr>
        <w:t xml:space="preserve"> </w:t>
      </w:r>
      <w:r w:rsidR="0088511E">
        <w:t>Project manager</w:t>
      </w:r>
    </w:p>
    <w:p w14:paraId="2F85468E" w14:textId="76BA4385" w:rsidR="0088511E" w:rsidRPr="0088511E" w:rsidRDefault="001230B2" w:rsidP="00306DF8">
      <w:pPr>
        <w:spacing w:after="0"/>
        <w:rPr>
          <w:rFonts w:asciiTheme="minorHAnsi" w:hAnsiTheme="minorHAnsi" w:cstheme="minorHAnsi"/>
        </w:rPr>
      </w:pPr>
      <w:r>
        <w:rPr>
          <w:rFonts w:asciiTheme="minorHAnsi" w:hAnsiTheme="minorHAnsi" w:cstheme="minorHAnsi"/>
          <w:vertAlign w:val="superscript"/>
        </w:rPr>
        <w:t>k</w:t>
      </w:r>
      <w:r w:rsidR="0088511E">
        <w:rPr>
          <w:rFonts w:asciiTheme="minorHAnsi" w:hAnsiTheme="minorHAnsi" w:cstheme="minorHAnsi"/>
          <w:vertAlign w:val="superscript"/>
        </w:rPr>
        <w:t xml:space="preserve"> </w:t>
      </w:r>
      <w:r w:rsidR="0088511E">
        <w:rPr>
          <w:rFonts w:asciiTheme="minorHAnsi" w:hAnsiTheme="minorHAnsi" w:cstheme="minorHAnsi"/>
        </w:rPr>
        <w:t>Qualitative researcher</w:t>
      </w:r>
    </w:p>
    <w:p w14:paraId="35C30B98" w14:textId="087F6CD8" w:rsidR="005F47F0" w:rsidRDefault="001230B2" w:rsidP="00306DF8">
      <w:pPr>
        <w:spacing w:after="0"/>
        <w:rPr>
          <w:rFonts w:asciiTheme="minorHAnsi" w:hAnsiTheme="minorHAnsi" w:cstheme="minorHAnsi"/>
        </w:rPr>
      </w:pPr>
      <w:r>
        <w:rPr>
          <w:rFonts w:asciiTheme="minorHAnsi" w:hAnsiTheme="minorHAnsi" w:cstheme="minorHAnsi"/>
          <w:vertAlign w:val="superscript"/>
        </w:rPr>
        <w:t>l</w:t>
      </w:r>
      <w:r w:rsidR="005F47F0">
        <w:rPr>
          <w:rFonts w:asciiTheme="minorHAnsi" w:hAnsiTheme="minorHAnsi" w:cstheme="minorHAnsi"/>
          <w:vertAlign w:val="superscript"/>
        </w:rPr>
        <w:t xml:space="preserve"> </w:t>
      </w:r>
      <w:r w:rsidR="005F47F0">
        <w:rPr>
          <w:rFonts w:asciiTheme="minorHAnsi" w:hAnsiTheme="minorHAnsi" w:cstheme="minorHAnsi"/>
        </w:rPr>
        <w:t xml:space="preserve">Health </w:t>
      </w:r>
      <w:r>
        <w:rPr>
          <w:rFonts w:asciiTheme="minorHAnsi" w:hAnsiTheme="minorHAnsi" w:cstheme="minorHAnsi"/>
        </w:rPr>
        <w:t>e</w:t>
      </w:r>
      <w:r w:rsidR="005F47F0">
        <w:rPr>
          <w:rFonts w:asciiTheme="minorHAnsi" w:hAnsiTheme="minorHAnsi" w:cstheme="minorHAnsi"/>
        </w:rPr>
        <w:t>conomist</w:t>
      </w:r>
    </w:p>
    <w:p w14:paraId="42B5D94E" w14:textId="1B7F4A5A" w:rsidR="005F47F0" w:rsidRDefault="001230B2" w:rsidP="00306DF8">
      <w:pPr>
        <w:spacing w:after="0"/>
        <w:rPr>
          <w:rFonts w:asciiTheme="minorHAnsi" w:hAnsiTheme="minorHAnsi" w:cstheme="minorHAnsi"/>
        </w:rPr>
      </w:pPr>
      <w:r>
        <w:rPr>
          <w:rFonts w:asciiTheme="minorHAnsi" w:hAnsiTheme="minorHAnsi" w:cstheme="minorHAnsi"/>
          <w:vertAlign w:val="superscript"/>
        </w:rPr>
        <w:t>m</w:t>
      </w:r>
      <w:r w:rsidR="005F47F0">
        <w:rPr>
          <w:rFonts w:asciiTheme="minorHAnsi" w:hAnsiTheme="minorHAnsi" w:cstheme="minorHAnsi"/>
        </w:rPr>
        <w:t xml:space="preserve"> Director </w:t>
      </w:r>
      <w:r w:rsidR="005379DE">
        <w:rPr>
          <w:rFonts w:asciiTheme="minorHAnsi" w:hAnsiTheme="minorHAnsi" w:cstheme="minorHAnsi"/>
        </w:rPr>
        <w:t xml:space="preserve">of </w:t>
      </w:r>
      <w:r w:rsidR="005F47F0">
        <w:rPr>
          <w:rFonts w:asciiTheme="minorHAnsi" w:hAnsiTheme="minorHAnsi" w:cstheme="minorHAnsi"/>
        </w:rPr>
        <w:t>York Trials Unit</w:t>
      </w:r>
    </w:p>
    <w:p w14:paraId="38A800C8" w14:textId="0741EE8B" w:rsidR="005F47F0" w:rsidRDefault="001230B2" w:rsidP="00306DF8">
      <w:pPr>
        <w:spacing w:after="0"/>
        <w:rPr>
          <w:rFonts w:asciiTheme="minorHAnsi" w:hAnsiTheme="minorHAnsi" w:cstheme="minorHAnsi"/>
        </w:rPr>
      </w:pPr>
      <w:r>
        <w:rPr>
          <w:rFonts w:asciiTheme="minorHAnsi" w:hAnsiTheme="minorHAnsi" w:cstheme="minorHAnsi"/>
          <w:vertAlign w:val="superscript"/>
        </w:rPr>
        <w:t xml:space="preserve">n </w:t>
      </w:r>
      <w:r w:rsidR="005F47F0">
        <w:rPr>
          <w:rFonts w:asciiTheme="minorHAnsi" w:hAnsiTheme="minorHAnsi" w:cstheme="minorHAnsi"/>
        </w:rPr>
        <w:t xml:space="preserve">Reader in </w:t>
      </w:r>
      <w:r>
        <w:rPr>
          <w:rFonts w:asciiTheme="minorHAnsi" w:hAnsiTheme="minorHAnsi" w:cstheme="minorHAnsi"/>
        </w:rPr>
        <w:t>t</w:t>
      </w:r>
      <w:r w:rsidR="005F47F0">
        <w:rPr>
          <w:rFonts w:asciiTheme="minorHAnsi" w:hAnsiTheme="minorHAnsi" w:cstheme="minorHAnsi"/>
        </w:rPr>
        <w:t>rials</w:t>
      </w:r>
    </w:p>
    <w:p w14:paraId="0769120E" w14:textId="6D090A85" w:rsidR="00406CFA" w:rsidRDefault="00406CFA" w:rsidP="00306DF8">
      <w:pPr>
        <w:spacing w:after="0"/>
        <w:rPr>
          <w:rFonts w:asciiTheme="minorHAnsi" w:hAnsiTheme="minorHAnsi" w:cstheme="minorHAnsi"/>
        </w:rPr>
      </w:pPr>
    </w:p>
    <w:p w14:paraId="71A195B6" w14:textId="435C62F3" w:rsidR="00EF50F0" w:rsidRDefault="00B22ED2" w:rsidP="00F57E24">
      <w:pPr>
        <w:spacing w:after="0"/>
        <w:rPr>
          <w:b/>
          <w:bCs/>
        </w:rPr>
      </w:pPr>
      <w:r w:rsidRPr="00111360">
        <w:rPr>
          <w:b/>
          <w:bCs/>
        </w:rPr>
        <w:t>Corresponding author: Ashley B Scrimshire</w:t>
      </w:r>
    </w:p>
    <w:p w14:paraId="4A4CEE73" w14:textId="309540D2" w:rsidR="0081510F" w:rsidRDefault="0081510F" w:rsidP="00F57E24">
      <w:pPr>
        <w:spacing w:after="0"/>
        <w:rPr>
          <w:rFonts w:eastAsiaTheme="majorEastAsia" w:cstheme="minorHAnsi"/>
          <w:b/>
          <w:sz w:val="28"/>
          <w:szCs w:val="28"/>
        </w:rPr>
      </w:pPr>
      <w:r>
        <w:rPr>
          <w:b/>
          <w:bCs/>
        </w:rPr>
        <w:t>Correspondence to: Ashley.scrimshire@nhs.net</w:t>
      </w:r>
    </w:p>
    <w:p w14:paraId="7F4BA76C" w14:textId="1344126A" w:rsidR="00C32ACD" w:rsidRDefault="00C32ACD">
      <w:pPr>
        <w:spacing w:after="0" w:line="240" w:lineRule="auto"/>
        <w:rPr>
          <w:rFonts w:asciiTheme="minorHAnsi" w:eastAsiaTheme="majorEastAsia" w:hAnsiTheme="minorHAnsi" w:cstheme="minorHAnsi"/>
          <w:bCs/>
          <w:sz w:val="28"/>
          <w:szCs w:val="28"/>
        </w:rPr>
      </w:pPr>
      <w:r>
        <w:rPr>
          <w:b/>
        </w:rPr>
        <w:br w:type="page"/>
      </w:r>
    </w:p>
    <w:p w14:paraId="08D2E325" w14:textId="079AC26F" w:rsidR="00F02DCB" w:rsidRPr="00C5316E" w:rsidRDefault="00F02DCB" w:rsidP="00C23310">
      <w:pPr>
        <w:pStyle w:val="Heading1"/>
        <w:spacing w:before="0" w:line="480" w:lineRule="auto"/>
      </w:pPr>
      <w:r w:rsidRPr="00C5316E">
        <w:lastRenderedPageBreak/>
        <w:t>Abstract</w:t>
      </w:r>
    </w:p>
    <w:p w14:paraId="28353517" w14:textId="10A82F47" w:rsidR="00282AAD" w:rsidRPr="00C5316E" w:rsidRDefault="00EF50F0" w:rsidP="00327B6F">
      <w:pPr>
        <w:pStyle w:val="Heading2"/>
        <w:spacing w:line="480" w:lineRule="auto"/>
        <w:rPr>
          <w:bCs/>
        </w:rPr>
      </w:pPr>
      <w:r>
        <w:rPr>
          <w:bCs/>
        </w:rPr>
        <w:t>Background</w:t>
      </w:r>
    </w:p>
    <w:p w14:paraId="74D18FFF" w14:textId="68E4835D" w:rsidR="00836AC0" w:rsidRPr="00C5316E" w:rsidRDefault="00836AC0" w:rsidP="00327B6F">
      <w:pPr>
        <w:spacing w:line="480" w:lineRule="auto"/>
      </w:pPr>
      <w:r>
        <w:t>T</w:t>
      </w:r>
      <w:r w:rsidR="007F6D4A">
        <w:t>he aim</w:t>
      </w:r>
      <w:r w:rsidR="00B10FF3">
        <w:t xml:space="preserve"> of this trial</w:t>
      </w:r>
      <w:r w:rsidR="007F6D4A">
        <w:t xml:space="preserve"> was t</w:t>
      </w:r>
      <w:r w:rsidRPr="00C5316E">
        <w:t xml:space="preserve">o assess the effectiveness of </w:t>
      </w:r>
      <w:r w:rsidR="00114ED3">
        <w:t>q</w:t>
      </w:r>
      <w:r w:rsidRPr="00C5316E">
        <w:t xml:space="preserve">uality </w:t>
      </w:r>
      <w:r w:rsidR="00B9376C">
        <w:t>i</w:t>
      </w:r>
      <w:r w:rsidRPr="00C5316E">
        <w:t xml:space="preserve">mprovement </w:t>
      </w:r>
      <w:r w:rsidR="00B9376C">
        <w:t>c</w:t>
      </w:r>
      <w:r w:rsidRPr="00C5316E">
        <w:t>ollaboratives</w:t>
      </w:r>
      <w:r w:rsidR="00C81D70">
        <w:t xml:space="preserve"> </w:t>
      </w:r>
      <w:r w:rsidRPr="00C5316E">
        <w:t xml:space="preserve">to implement large-scale change in the </w:t>
      </w:r>
      <w:r w:rsidR="00745662">
        <w:t xml:space="preserve">National Health Service (NHS) in </w:t>
      </w:r>
      <w:r w:rsidR="007F6D4A">
        <w:t>the United Kingdom</w:t>
      </w:r>
      <w:r w:rsidRPr="00C5316E">
        <w:t>, specifically for improving outcomes in patients undergoing primary</w:t>
      </w:r>
      <w:r w:rsidR="00A73B90">
        <w:t>,</w:t>
      </w:r>
      <w:r w:rsidRPr="00C5316E">
        <w:t xml:space="preserve"> elective total hip </w:t>
      </w:r>
      <w:r w:rsidR="00B10FF3">
        <w:t>or</w:t>
      </w:r>
      <w:r w:rsidRPr="00C5316E">
        <w:t xml:space="preserve"> knee replacement. </w:t>
      </w:r>
    </w:p>
    <w:p w14:paraId="41CB46FA" w14:textId="77777777" w:rsidR="00EF50F0" w:rsidRDefault="00EF50F0" w:rsidP="00327B6F">
      <w:pPr>
        <w:pStyle w:val="Heading2"/>
        <w:spacing w:line="480" w:lineRule="auto"/>
        <w:rPr>
          <w:bCs/>
        </w:rPr>
      </w:pPr>
      <w:r>
        <w:rPr>
          <w:bCs/>
        </w:rPr>
        <w:t>Methods</w:t>
      </w:r>
    </w:p>
    <w:p w14:paraId="003521D2" w14:textId="5103FCFC" w:rsidR="00EF50F0" w:rsidRPr="00C5316E" w:rsidRDefault="007F6D4A" w:rsidP="00327B6F">
      <w:pPr>
        <w:spacing w:line="480" w:lineRule="auto"/>
      </w:pPr>
      <w:r>
        <w:t xml:space="preserve">We undertook a </w:t>
      </w:r>
      <w:r w:rsidRPr="00C5316E">
        <w:t>two</w:t>
      </w:r>
      <w:r>
        <w:t xml:space="preserve"> arm,</w:t>
      </w:r>
      <w:r w:rsidRPr="00C5316E">
        <w:t xml:space="preserve"> cluster randomised controlled trial comparing the roll-out of two preoperative pathways</w:t>
      </w:r>
      <w:r>
        <w:t xml:space="preserve">: Methicillin-sensitive Staphylococcus Aureus (MSSA) decolonisation (infection arm); and anaemia screening and treatment (anaemia arm). </w:t>
      </w:r>
      <w:r w:rsidR="00C81D70">
        <w:t>NHS</w:t>
      </w:r>
      <w:r w:rsidR="00E77369">
        <w:t xml:space="preserve"> Trusts are public sector organisations that provide healthcare within a geographical </w:t>
      </w:r>
      <w:r w:rsidR="00C81D70">
        <w:t>area</w:t>
      </w:r>
      <w:r w:rsidR="00E77369">
        <w:t>.</w:t>
      </w:r>
      <w:r w:rsidR="00EF50F0">
        <w:t xml:space="preserve"> </w:t>
      </w:r>
      <w:r w:rsidR="00EF50F0" w:rsidRPr="00C5316E">
        <w:t xml:space="preserve">NHS Trusts </w:t>
      </w:r>
      <w:r>
        <w:t>(n=41) in England providing</w:t>
      </w:r>
      <w:r w:rsidR="00E77369">
        <w:t xml:space="preserve"> primary, elective total hip and knee replacements</w:t>
      </w:r>
      <w:r w:rsidR="00A73B90">
        <w:t>,</w:t>
      </w:r>
      <w:r w:rsidR="00E77369">
        <w:t xml:space="preserve"> but that </w:t>
      </w:r>
      <w:r w:rsidR="00EF50F0" w:rsidRPr="00C5316E">
        <w:t>d</w:t>
      </w:r>
      <w:r w:rsidR="00EF50F0">
        <w:t>id</w:t>
      </w:r>
      <w:r w:rsidR="00EF50F0" w:rsidRPr="00C5316E">
        <w:t xml:space="preserve"> not have a preoperative anaemia screening or MSSA decoloni</w:t>
      </w:r>
      <w:r w:rsidR="00EF50F0">
        <w:t>s</w:t>
      </w:r>
      <w:r w:rsidR="00EF50F0" w:rsidRPr="00C5316E">
        <w:t>ation pathway in place</w:t>
      </w:r>
      <w:r w:rsidR="00EF50F0">
        <w:t>,</w:t>
      </w:r>
      <w:r w:rsidR="00EF50F0" w:rsidRPr="005960F8">
        <w:t xml:space="preserve"> </w:t>
      </w:r>
      <w:r w:rsidR="00EF50F0" w:rsidRPr="00C5316E">
        <w:t>were randomi</w:t>
      </w:r>
      <w:r w:rsidR="00EF50F0">
        <w:t>s</w:t>
      </w:r>
      <w:r w:rsidR="00EF50F0" w:rsidRPr="00C5316E">
        <w:t>ed to one of</w:t>
      </w:r>
      <w:r>
        <w:t xml:space="preserve"> the two parallel collaboratives</w:t>
      </w:r>
      <w:r w:rsidR="00EF50F0">
        <w:t xml:space="preserve">. </w:t>
      </w:r>
      <w:r w:rsidR="00EF50F0" w:rsidRPr="00C5316E">
        <w:t xml:space="preserve">Collaboratives took place from </w:t>
      </w:r>
      <w:r w:rsidR="00EF50F0">
        <w:t>May 2018</w:t>
      </w:r>
      <w:r w:rsidR="00EF50F0" w:rsidRPr="00C5316E">
        <w:t xml:space="preserve"> to </w:t>
      </w:r>
      <w:r w:rsidR="00EF50F0">
        <w:t>November 2019.</w:t>
      </w:r>
      <w:r w:rsidR="00EF50F0" w:rsidRPr="00C5316E">
        <w:t xml:space="preserve"> </w:t>
      </w:r>
      <w:r>
        <w:t>Twenty-seven</w:t>
      </w:r>
      <w:r w:rsidRPr="00C5316E">
        <w:t xml:space="preserve"> </w:t>
      </w:r>
      <w:r w:rsidR="00EF50F0">
        <w:t xml:space="preserve">Trusts </w:t>
      </w:r>
      <w:r w:rsidR="00EF50F0" w:rsidRPr="00C5316E">
        <w:t xml:space="preserve">completed </w:t>
      </w:r>
      <w:r w:rsidR="003614DF">
        <w:t>the trial</w:t>
      </w:r>
      <w:r w:rsidR="00EF50F0" w:rsidRPr="00C5316E">
        <w:t xml:space="preserve"> </w:t>
      </w:r>
      <w:r w:rsidR="00EF50F0">
        <w:t>(</w:t>
      </w:r>
      <w:r w:rsidR="00EF50F0" w:rsidRPr="00C5316E">
        <w:t>11 anaemia, 16 infection</w:t>
      </w:r>
      <w:r w:rsidR="00EF50F0">
        <w:t>)</w:t>
      </w:r>
      <w:r w:rsidR="00EF50F0" w:rsidRPr="00C5316E">
        <w:t xml:space="preserve">. </w:t>
      </w:r>
      <w:r w:rsidR="00EF50F0">
        <w:t xml:space="preserve">Outcome </w:t>
      </w:r>
      <w:r w:rsidR="00EF50F0" w:rsidRPr="00C5316E">
        <w:t xml:space="preserve">data were collected </w:t>
      </w:r>
      <w:r w:rsidR="00EF50F0">
        <w:t>for procedures performed between November 2018 and November 2019</w:t>
      </w:r>
      <w:r w:rsidR="00EF50F0" w:rsidRPr="00C5316E">
        <w:t xml:space="preserve">. </w:t>
      </w:r>
    </w:p>
    <w:p w14:paraId="25C30D5D" w14:textId="210D3F0B" w:rsidR="00EF50F0" w:rsidRPr="00EF50F0" w:rsidRDefault="00EF50F0" w:rsidP="00327B6F">
      <w:pPr>
        <w:spacing w:line="480" w:lineRule="auto"/>
      </w:pPr>
      <w:r>
        <w:t>C</w:t>
      </w:r>
      <w:r w:rsidRPr="00C5316E">
        <w:t xml:space="preserve">o-primary outcomes were perioperative blood transfusion (within 7 days of surgery) and deep surgical site infection </w:t>
      </w:r>
      <w:r>
        <w:t xml:space="preserve">(SSI) </w:t>
      </w:r>
      <w:r w:rsidRPr="00C5316E">
        <w:t xml:space="preserve">caused by MSSA (within 90 days </w:t>
      </w:r>
      <w:r>
        <w:t>post-</w:t>
      </w:r>
      <w:r w:rsidRPr="00C5316E">
        <w:t xml:space="preserve">surgery) for the </w:t>
      </w:r>
      <w:r w:rsidRPr="004055D0">
        <w:t>anaemia</w:t>
      </w:r>
      <w:r w:rsidRPr="00C5316E">
        <w:t xml:space="preserve"> and infection trial arms respectively. Secondary outcomes </w:t>
      </w:r>
      <w:r w:rsidR="00B10FF3">
        <w:t>were</w:t>
      </w:r>
      <w:r w:rsidR="00B10FF3" w:rsidRPr="00C5316E">
        <w:t xml:space="preserve"> </w:t>
      </w:r>
      <w:r w:rsidRPr="00C5316E">
        <w:t>deep and superficial SSI</w:t>
      </w:r>
      <w:r w:rsidR="003614DF">
        <w:t>s</w:t>
      </w:r>
      <w:r w:rsidRPr="00C5316E">
        <w:t xml:space="preserve"> </w:t>
      </w:r>
      <w:r w:rsidR="003614DF">
        <w:t>(</w:t>
      </w:r>
      <w:r w:rsidRPr="00C5316E">
        <w:t>any organism</w:t>
      </w:r>
      <w:r w:rsidR="003614DF">
        <w:t>)</w:t>
      </w:r>
      <w:r w:rsidRPr="00C5316E">
        <w:t xml:space="preserve">, length of hospital stay, critical care admissions, and unplanned readmissions. Process measures </w:t>
      </w:r>
      <w:r w:rsidR="00081B92">
        <w:t>include</w:t>
      </w:r>
      <w:r w:rsidR="00B10FF3">
        <w:t>d</w:t>
      </w:r>
      <w:r w:rsidRPr="00C5316E">
        <w:t xml:space="preserve"> the proportion of </w:t>
      </w:r>
      <w:r w:rsidR="00793F55">
        <w:t xml:space="preserve">eligible </w:t>
      </w:r>
      <w:r w:rsidRPr="00C5316E">
        <w:t>patients receiving each preoperative initiative.</w:t>
      </w:r>
    </w:p>
    <w:p w14:paraId="5D925287" w14:textId="17A79F99" w:rsidR="005E7F34" w:rsidRPr="00C5316E" w:rsidRDefault="005E7F34" w:rsidP="00327B6F">
      <w:pPr>
        <w:pStyle w:val="Heading2"/>
        <w:spacing w:line="480" w:lineRule="auto"/>
        <w:rPr>
          <w:bCs/>
        </w:rPr>
      </w:pPr>
      <w:r w:rsidRPr="00C5316E">
        <w:rPr>
          <w:bCs/>
        </w:rPr>
        <w:lastRenderedPageBreak/>
        <w:t>Results</w:t>
      </w:r>
      <w:bookmarkStart w:id="0" w:name="_GoBack"/>
      <w:bookmarkEnd w:id="0"/>
    </w:p>
    <w:p w14:paraId="7608A2A5" w14:textId="3D83ED22" w:rsidR="00273069" w:rsidRPr="00C5316E" w:rsidRDefault="007F6D4A" w:rsidP="00327B6F">
      <w:pPr>
        <w:spacing w:line="480" w:lineRule="auto"/>
      </w:pPr>
      <w:r>
        <w:t xml:space="preserve">There were </w:t>
      </w:r>
      <w:r w:rsidR="00F7004D" w:rsidRPr="002A5BF2">
        <w:t xml:space="preserve">19,254 procedures from 27 NHS Trusts included in </w:t>
      </w:r>
      <w:r w:rsidR="0075517F">
        <w:t>the</w:t>
      </w:r>
      <w:r w:rsidR="0075517F" w:rsidRPr="002A5BF2">
        <w:t xml:space="preserve"> </w:t>
      </w:r>
      <w:r w:rsidR="00F7004D" w:rsidRPr="002A5BF2">
        <w:t xml:space="preserve">results (6,324 from 11 Trusts in the anaemia arm, 12,930 from 16 Trusts in the infection arm). </w:t>
      </w:r>
      <w:r w:rsidR="00AB2371" w:rsidRPr="002A5BF2">
        <w:t xml:space="preserve">There were no improvements observed for </w:t>
      </w:r>
      <w:r w:rsidR="00370620" w:rsidRPr="002A5BF2">
        <w:t>blood transfusion (</w:t>
      </w:r>
      <w:r w:rsidR="002A5BF2">
        <w:t xml:space="preserve">anaemia </w:t>
      </w:r>
      <w:r w:rsidR="00EB2FDC">
        <w:t xml:space="preserve">arm </w:t>
      </w:r>
      <w:r w:rsidR="002A5BF2">
        <w:rPr>
          <w:rFonts w:eastAsia="Calibri"/>
        </w:rPr>
        <w:t xml:space="preserve">183 (2.9%); infection </w:t>
      </w:r>
      <w:r w:rsidR="00EB2FDC">
        <w:rPr>
          <w:rFonts w:eastAsia="Calibri"/>
        </w:rPr>
        <w:t xml:space="preserve">arm </w:t>
      </w:r>
      <w:r w:rsidR="002A5BF2">
        <w:rPr>
          <w:rFonts w:eastAsia="Calibri"/>
        </w:rPr>
        <w:t>302 (2.3%)</w:t>
      </w:r>
      <w:r w:rsidR="0075517F">
        <w:rPr>
          <w:rFonts w:eastAsia="Calibri"/>
        </w:rPr>
        <w:t xml:space="preserve"> transfusions</w:t>
      </w:r>
      <w:r w:rsidR="002A5BF2">
        <w:rPr>
          <w:rFonts w:eastAsia="Calibri"/>
        </w:rPr>
        <w:t>;</w:t>
      </w:r>
      <w:r w:rsidR="002A5BF2" w:rsidRPr="002A5BF2">
        <w:t xml:space="preserve"> </w:t>
      </w:r>
      <w:r w:rsidR="00416C94" w:rsidRPr="002A5BF2">
        <w:t xml:space="preserve">adjusted </w:t>
      </w:r>
      <w:r w:rsidR="00F836B8">
        <w:t>odds ratio</w:t>
      </w:r>
      <w:r w:rsidR="00370620" w:rsidRPr="002A5BF2">
        <w:rPr>
          <w:rFonts w:eastAsia="Calibri"/>
        </w:rPr>
        <w:t xml:space="preserve"> </w:t>
      </w:r>
      <w:r w:rsidR="002A5BF2">
        <w:rPr>
          <w:rFonts w:eastAsia="Calibri"/>
        </w:rPr>
        <w:t>1.20, 95% CI 0.52</w:t>
      </w:r>
      <w:r w:rsidR="00114ED3">
        <w:rPr>
          <w:rFonts w:eastAsia="Calibri"/>
        </w:rPr>
        <w:t>-</w:t>
      </w:r>
      <w:r w:rsidR="002A5BF2">
        <w:rPr>
          <w:rFonts w:eastAsia="Calibri"/>
        </w:rPr>
        <w:t>2.75, p=0.67</w:t>
      </w:r>
      <w:r w:rsidR="00370620" w:rsidRPr="002A5BF2">
        <w:rPr>
          <w:rFonts w:eastAsia="Calibri"/>
        </w:rPr>
        <w:t xml:space="preserve">) or </w:t>
      </w:r>
      <w:r w:rsidR="00416C94" w:rsidRPr="002A5BF2">
        <w:rPr>
          <w:rFonts w:eastAsia="Calibri"/>
        </w:rPr>
        <w:t>MSSA deep SSI (</w:t>
      </w:r>
      <w:r w:rsidR="002A5BF2">
        <w:rPr>
          <w:rFonts w:eastAsia="Calibri"/>
        </w:rPr>
        <w:t xml:space="preserve">anaemia </w:t>
      </w:r>
      <w:r w:rsidR="00EB2FDC">
        <w:rPr>
          <w:rFonts w:eastAsia="Calibri"/>
        </w:rPr>
        <w:t xml:space="preserve">arm </w:t>
      </w:r>
      <w:r w:rsidR="002A5BF2">
        <w:rPr>
          <w:rFonts w:eastAsia="Calibri"/>
        </w:rPr>
        <w:t xml:space="preserve">8 (0.13%); infection </w:t>
      </w:r>
      <w:r w:rsidR="00EB2FDC">
        <w:rPr>
          <w:rFonts w:eastAsia="Calibri"/>
        </w:rPr>
        <w:t xml:space="preserve">arm </w:t>
      </w:r>
      <w:r w:rsidR="002A5BF2">
        <w:rPr>
          <w:rFonts w:eastAsia="Calibri"/>
        </w:rPr>
        <w:t xml:space="preserve">18 (0.14%); </w:t>
      </w:r>
      <w:r w:rsidR="00416C94" w:rsidRPr="002A5BF2">
        <w:rPr>
          <w:rFonts w:eastAsia="Calibri"/>
        </w:rPr>
        <w:t xml:space="preserve">adjusted </w:t>
      </w:r>
      <w:r w:rsidR="00793F55">
        <w:rPr>
          <w:rFonts w:eastAsia="Calibri"/>
        </w:rPr>
        <w:t>odds ratio</w:t>
      </w:r>
      <w:r w:rsidR="00793F55" w:rsidRPr="002A5BF2">
        <w:rPr>
          <w:rFonts w:eastAsia="Calibri"/>
        </w:rPr>
        <w:t xml:space="preserve"> </w:t>
      </w:r>
      <w:r w:rsidR="00416C94" w:rsidRPr="002A5BF2">
        <w:rPr>
          <w:rFonts w:eastAsia="Calibri"/>
        </w:rPr>
        <w:t>1.0</w:t>
      </w:r>
      <w:r w:rsidR="002A5BF2">
        <w:rPr>
          <w:rFonts w:eastAsia="Calibri"/>
        </w:rPr>
        <w:t>1</w:t>
      </w:r>
      <w:r w:rsidR="00416C94" w:rsidRPr="002A5BF2">
        <w:rPr>
          <w:rFonts w:eastAsia="Calibri"/>
        </w:rPr>
        <w:t>, 95% CI 0.42</w:t>
      </w:r>
      <w:r w:rsidR="00114ED3">
        <w:rPr>
          <w:rFonts w:eastAsia="Calibri"/>
        </w:rPr>
        <w:t>-</w:t>
      </w:r>
      <w:r w:rsidR="00416C94" w:rsidRPr="002A5BF2">
        <w:rPr>
          <w:rFonts w:eastAsia="Calibri"/>
        </w:rPr>
        <w:t>2.4</w:t>
      </w:r>
      <w:r w:rsidR="002A5BF2">
        <w:rPr>
          <w:rFonts w:eastAsia="Calibri"/>
        </w:rPr>
        <w:t>6</w:t>
      </w:r>
      <w:r w:rsidR="00416C94" w:rsidRPr="002A5BF2">
        <w:rPr>
          <w:rFonts w:eastAsia="Calibri"/>
        </w:rPr>
        <w:t>,</w:t>
      </w:r>
      <w:r w:rsidR="00CA00A1">
        <w:rPr>
          <w:rFonts w:eastAsia="Calibri"/>
        </w:rPr>
        <w:t xml:space="preserve"> </w:t>
      </w:r>
      <w:r w:rsidR="00416C94" w:rsidRPr="002A5BF2">
        <w:rPr>
          <w:rFonts w:eastAsia="Calibri"/>
        </w:rPr>
        <w:t>p=0.9</w:t>
      </w:r>
      <w:r w:rsidR="002A5BF2">
        <w:rPr>
          <w:rFonts w:eastAsia="Calibri"/>
        </w:rPr>
        <w:t>8</w:t>
      </w:r>
      <w:r w:rsidR="00416C94" w:rsidRPr="002A5BF2">
        <w:rPr>
          <w:rFonts w:eastAsia="Calibri"/>
        </w:rPr>
        <w:t>). There were no significant improvements in any secondary</w:t>
      </w:r>
      <w:r w:rsidR="00AB2371" w:rsidRPr="002A5BF2">
        <w:t xml:space="preserve"> outcome. </w:t>
      </w:r>
      <w:r w:rsidR="0022733B">
        <w:t>This is despite p</w:t>
      </w:r>
      <w:r w:rsidR="0022733B" w:rsidRPr="002A5BF2">
        <w:t>rocess measures show</w:t>
      </w:r>
      <w:r w:rsidR="0022733B">
        <w:t>ing</w:t>
      </w:r>
      <w:r w:rsidR="0022733B" w:rsidRPr="002A5BF2">
        <w:t xml:space="preserve"> </w:t>
      </w:r>
      <w:r w:rsidR="007959A7">
        <w:t xml:space="preserve">the </w:t>
      </w:r>
      <w:r w:rsidR="0022733B" w:rsidRPr="002A5BF2">
        <w:t xml:space="preserve">preoperative pathways were implemented </w:t>
      </w:r>
      <w:r w:rsidR="008961E2">
        <w:t>for</w:t>
      </w:r>
      <w:r w:rsidR="0022733B" w:rsidRPr="00C47031">
        <w:t xml:space="preserve"> </w:t>
      </w:r>
      <w:r w:rsidR="0022733B" w:rsidRPr="00374E50">
        <w:t>73.7</w:t>
      </w:r>
      <w:r w:rsidR="0022733B" w:rsidRPr="00C47031">
        <w:t xml:space="preserve">% </w:t>
      </w:r>
      <w:r w:rsidR="007959A7">
        <w:t xml:space="preserve">and 61.1% </w:t>
      </w:r>
      <w:r w:rsidR="008961E2">
        <w:t xml:space="preserve">of eligible procedures </w:t>
      </w:r>
      <w:r w:rsidR="007959A7" w:rsidRPr="00C47031">
        <w:t>in the infection and anaemia arm</w:t>
      </w:r>
      <w:r w:rsidR="007959A7">
        <w:t>s respectively.</w:t>
      </w:r>
    </w:p>
    <w:p w14:paraId="7C2325E9" w14:textId="77777777" w:rsidR="00836AC0" w:rsidRPr="00C5316E" w:rsidRDefault="00836AC0" w:rsidP="00327B6F">
      <w:pPr>
        <w:pStyle w:val="Heading2"/>
        <w:spacing w:line="480" w:lineRule="auto"/>
        <w:rPr>
          <w:bCs/>
        </w:rPr>
      </w:pPr>
      <w:r w:rsidRPr="00C5316E">
        <w:rPr>
          <w:bCs/>
        </w:rPr>
        <w:t>Conclusions</w:t>
      </w:r>
    </w:p>
    <w:p w14:paraId="613165A5" w14:textId="092D0F2A" w:rsidR="00B17D07" w:rsidRDefault="00583FC7" w:rsidP="00327B6F">
      <w:pPr>
        <w:spacing w:line="480" w:lineRule="auto"/>
      </w:pPr>
      <w:r>
        <w:t>Quality improvement collaboratives</w:t>
      </w:r>
      <w:r w:rsidRPr="0050087A">
        <w:t xml:space="preserve"> </w:t>
      </w:r>
      <w:r w:rsidR="00CA00A1">
        <w:t>did not result in improved patient outcomes in this trial</w:t>
      </w:r>
      <w:r w:rsidR="00B10FF3">
        <w:t>;</w:t>
      </w:r>
      <w:r w:rsidR="00CA00A1">
        <w:t xml:space="preserve"> </w:t>
      </w:r>
      <w:r w:rsidR="00B17D07">
        <w:t>however,</w:t>
      </w:r>
      <w:r w:rsidR="00CA00A1">
        <w:t xml:space="preserve"> </w:t>
      </w:r>
      <w:r w:rsidR="00B17D07">
        <w:t>there was some evidence they may support successful implementation of new preoperative pathways in the NHS.</w:t>
      </w:r>
    </w:p>
    <w:p w14:paraId="17026D8B" w14:textId="77777777" w:rsidR="005F56B6" w:rsidRPr="00BE205A" w:rsidRDefault="005F56B6" w:rsidP="00327B6F">
      <w:pPr>
        <w:spacing w:line="480" w:lineRule="auto"/>
      </w:pPr>
    </w:p>
    <w:p w14:paraId="1D122764" w14:textId="44078B17" w:rsidR="00836AC0" w:rsidRPr="00C5316E" w:rsidRDefault="00836AC0" w:rsidP="00327B6F">
      <w:pPr>
        <w:pStyle w:val="Heading2"/>
        <w:spacing w:line="480" w:lineRule="auto"/>
        <w:rPr>
          <w:bCs/>
        </w:rPr>
      </w:pPr>
      <w:r w:rsidRPr="00C5316E">
        <w:rPr>
          <w:bCs/>
        </w:rPr>
        <w:t xml:space="preserve">Trial registration </w:t>
      </w:r>
    </w:p>
    <w:p w14:paraId="7EDAAE21" w14:textId="072F71B2" w:rsidR="005065E4" w:rsidRDefault="00836AC0" w:rsidP="00C32ACD">
      <w:pPr>
        <w:spacing w:after="0" w:line="480" w:lineRule="auto"/>
        <w:rPr>
          <w:rFonts w:eastAsiaTheme="majorEastAsia" w:cstheme="minorHAnsi"/>
        </w:rPr>
      </w:pPr>
      <w:r w:rsidRPr="00C5316E">
        <w:rPr>
          <w:rFonts w:eastAsiaTheme="majorEastAsia" w:cstheme="minorHAnsi"/>
        </w:rPr>
        <w:t>Prospectively registered on 15 February 2018</w:t>
      </w:r>
      <w:r w:rsidR="00BE4F06">
        <w:rPr>
          <w:rFonts w:eastAsiaTheme="majorEastAsia" w:cstheme="minorHAnsi"/>
        </w:rPr>
        <w:t xml:space="preserve">, </w:t>
      </w:r>
      <w:r w:rsidRPr="00C5316E">
        <w:rPr>
          <w:rFonts w:eastAsiaTheme="majorEastAsia" w:cstheme="minorHAnsi"/>
        </w:rPr>
        <w:t>ISRCTN 11085475</w:t>
      </w:r>
      <w:r w:rsidR="00BE4F06">
        <w:rPr>
          <w:rFonts w:eastAsiaTheme="majorEastAsia" w:cstheme="minorHAnsi"/>
        </w:rPr>
        <w:t>,</w:t>
      </w:r>
      <w:r w:rsidR="00C32ACD">
        <w:rPr>
          <w:rFonts w:eastAsiaTheme="majorEastAsia" w:cstheme="minorHAnsi"/>
        </w:rPr>
        <w:t xml:space="preserve"> </w:t>
      </w:r>
      <w:hyperlink r:id="rId8" w:history="1">
        <w:r w:rsidR="00C32ACD" w:rsidRPr="00C32ACD">
          <w:rPr>
            <w:rStyle w:val="Hyperlink"/>
            <w:rFonts w:eastAsiaTheme="majorEastAsia" w:cstheme="minorHAnsi"/>
          </w:rPr>
          <w:t>https://www.isrctn.com/ISRCTN11085475?q=11085475&amp;filters=&amp;sort=&amp;offset=1&amp;totalResults=1&amp;page=1&amp;pageSize=10&amp;sear</w:t>
        </w:r>
        <w:r w:rsidR="00C32ACD" w:rsidRPr="00C8611F">
          <w:rPr>
            <w:rStyle w:val="Hyperlink"/>
            <w:rFonts w:eastAsiaTheme="majorEastAsia" w:cstheme="minorHAnsi"/>
          </w:rPr>
          <w:t>chType=basic-search</w:t>
        </w:r>
      </w:hyperlink>
      <w:r w:rsidR="00BE4F06">
        <w:rPr>
          <w:rFonts w:eastAsiaTheme="majorEastAsia" w:cstheme="minorHAnsi"/>
        </w:rPr>
        <w:t xml:space="preserve"> </w:t>
      </w:r>
    </w:p>
    <w:p w14:paraId="4229705D" w14:textId="77777777" w:rsidR="005F56B6" w:rsidRDefault="005F56B6" w:rsidP="00C32ACD">
      <w:pPr>
        <w:spacing w:after="0" w:line="480" w:lineRule="auto"/>
        <w:rPr>
          <w:rFonts w:eastAsiaTheme="majorEastAsia" w:cstheme="minorHAnsi"/>
          <w:b/>
          <w:sz w:val="28"/>
          <w:szCs w:val="28"/>
        </w:rPr>
      </w:pPr>
    </w:p>
    <w:p w14:paraId="729FD657" w14:textId="77777777" w:rsidR="005065E4" w:rsidRDefault="005065E4" w:rsidP="005065E4">
      <w:pPr>
        <w:spacing w:after="0" w:line="480" w:lineRule="auto"/>
        <w:rPr>
          <w:rFonts w:eastAsiaTheme="majorEastAsia" w:cstheme="minorHAnsi"/>
          <w:b/>
        </w:rPr>
      </w:pPr>
      <w:r>
        <w:rPr>
          <w:rFonts w:eastAsiaTheme="majorEastAsia" w:cstheme="minorHAnsi"/>
          <w:b/>
        </w:rPr>
        <w:t>Key words</w:t>
      </w:r>
    </w:p>
    <w:p w14:paraId="775EA7AC" w14:textId="20AB819F" w:rsidR="0033269A" w:rsidRDefault="005065E4" w:rsidP="00610F23">
      <w:pPr>
        <w:spacing w:line="480" w:lineRule="auto"/>
        <w:rPr>
          <w:rFonts w:eastAsiaTheme="majorEastAsia" w:cstheme="minorHAnsi"/>
          <w:b/>
          <w:sz w:val="28"/>
          <w:szCs w:val="28"/>
        </w:rPr>
      </w:pPr>
      <w:r w:rsidRPr="00327B6F">
        <w:t>Qu</w:t>
      </w:r>
      <w:r>
        <w:t>a</w:t>
      </w:r>
      <w:r w:rsidRPr="00327B6F">
        <w:t>lit</w:t>
      </w:r>
      <w:r>
        <w:t>y</w:t>
      </w:r>
      <w:r w:rsidRPr="00327B6F">
        <w:t xml:space="preserve"> improvement collaborative, cluster, preoperative anaemia, MSSA, decolonisation, hip replacement, knee replacement</w:t>
      </w:r>
      <w:r w:rsidR="00CA00A1">
        <w:t>, staphylococcus aureus</w:t>
      </w:r>
      <w:r w:rsidR="0033269A">
        <w:rPr>
          <w:rFonts w:eastAsiaTheme="majorEastAsia" w:cstheme="minorHAnsi"/>
          <w:b/>
          <w:sz w:val="28"/>
          <w:szCs w:val="28"/>
        </w:rPr>
        <w:br w:type="page"/>
      </w:r>
    </w:p>
    <w:p w14:paraId="4887694B" w14:textId="1CBF70FF" w:rsidR="005065E4" w:rsidRPr="00C5316E" w:rsidRDefault="005065E4" w:rsidP="005065E4">
      <w:pPr>
        <w:spacing w:after="0" w:line="480" w:lineRule="auto"/>
        <w:rPr>
          <w:rFonts w:eastAsiaTheme="majorEastAsia" w:cstheme="minorHAnsi"/>
          <w:b/>
          <w:sz w:val="28"/>
          <w:szCs w:val="28"/>
        </w:rPr>
      </w:pPr>
      <w:r>
        <w:rPr>
          <w:rFonts w:eastAsiaTheme="majorEastAsia" w:cstheme="minorHAnsi"/>
          <w:b/>
          <w:sz w:val="28"/>
          <w:szCs w:val="28"/>
        </w:rPr>
        <w:t>Contribution to the literature</w:t>
      </w:r>
    </w:p>
    <w:p w14:paraId="0DDF2BD4" w14:textId="19B870D8" w:rsidR="005065E4" w:rsidRDefault="005065E4" w:rsidP="005065E4">
      <w:pPr>
        <w:pStyle w:val="ListParagraph"/>
        <w:numPr>
          <w:ilvl w:val="0"/>
          <w:numId w:val="29"/>
        </w:numPr>
        <w:spacing w:line="480" w:lineRule="auto"/>
      </w:pPr>
      <w:r>
        <w:t>Quality improvement collaboratives are increasingly used to implement change in healthcare</w:t>
      </w:r>
      <w:r w:rsidR="00B9376C">
        <w:t>;</w:t>
      </w:r>
      <w:r>
        <w:t xml:space="preserve"> </w:t>
      </w:r>
      <w:r w:rsidR="00B9376C">
        <w:t>h</w:t>
      </w:r>
      <w:r>
        <w:t>owever, there are few randomised controlled trials on their effectiveness to improve patient</w:t>
      </w:r>
      <w:r w:rsidR="005F56B6">
        <w:t xml:space="preserve"> </w:t>
      </w:r>
      <w:r>
        <w:t>or provider-level outcomes.</w:t>
      </w:r>
    </w:p>
    <w:p w14:paraId="523135DF" w14:textId="67A096E8" w:rsidR="005065E4" w:rsidRPr="00C23310" w:rsidRDefault="005F56B6" w:rsidP="00810165">
      <w:pPr>
        <w:pStyle w:val="ListParagraph"/>
        <w:numPr>
          <w:ilvl w:val="0"/>
          <w:numId w:val="29"/>
        </w:numPr>
        <w:spacing w:after="0" w:line="480" w:lineRule="auto"/>
        <w:rPr>
          <w:rFonts w:eastAsiaTheme="majorEastAsia" w:cstheme="minorHAnsi"/>
          <w:b/>
          <w:sz w:val="28"/>
          <w:szCs w:val="28"/>
        </w:rPr>
      </w:pPr>
      <w:r>
        <w:rPr>
          <w:rFonts w:eastAsiaTheme="majorEastAsia" w:cstheme="minorHAnsi"/>
          <w:bCs/>
        </w:rPr>
        <w:t>C</w:t>
      </w:r>
      <w:r w:rsidR="005065E4" w:rsidRPr="00EF50F0">
        <w:rPr>
          <w:rFonts w:eastAsiaTheme="majorEastAsia" w:cstheme="minorHAnsi"/>
          <w:bCs/>
        </w:rPr>
        <w:t xml:space="preserve">ollaboratives </w:t>
      </w:r>
      <w:r w:rsidR="00B57578">
        <w:rPr>
          <w:rFonts w:eastAsiaTheme="majorEastAsia" w:cstheme="minorHAnsi"/>
          <w:bCs/>
        </w:rPr>
        <w:t>may</w:t>
      </w:r>
      <w:r w:rsidR="00B57578" w:rsidRPr="00EF50F0">
        <w:rPr>
          <w:rFonts w:eastAsiaTheme="majorEastAsia" w:cstheme="minorHAnsi"/>
          <w:bCs/>
        </w:rPr>
        <w:t xml:space="preserve"> </w:t>
      </w:r>
      <w:r w:rsidR="005065E4" w:rsidRPr="00EF50F0">
        <w:rPr>
          <w:rFonts w:eastAsiaTheme="majorEastAsia" w:cstheme="minorHAnsi"/>
          <w:bCs/>
        </w:rPr>
        <w:t>be effective for implementing large</w:t>
      </w:r>
      <w:r w:rsidR="00266316">
        <w:rPr>
          <w:rFonts w:eastAsiaTheme="majorEastAsia" w:cstheme="minorHAnsi"/>
          <w:bCs/>
        </w:rPr>
        <w:t>-</w:t>
      </w:r>
      <w:r w:rsidR="005065E4" w:rsidRPr="00EF50F0">
        <w:rPr>
          <w:rFonts w:eastAsiaTheme="majorEastAsia" w:cstheme="minorHAnsi"/>
          <w:bCs/>
        </w:rPr>
        <w:t>scale change in the NHS</w:t>
      </w:r>
      <w:r w:rsidR="00B9376C">
        <w:rPr>
          <w:rFonts w:eastAsiaTheme="majorEastAsia" w:cstheme="minorHAnsi"/>
          <w:bCs/>
        </w:rPr>
        <w:t>;</w:t>
      </w:r>
      <w:r w:rsidR="005065E4" w:rsidRPr="00EF50F0">
        <w:rPr>
          <w:rFonts w:eastAsiaTheme="majorEastAsia" w:cstheme="minorHAnsi"/>
          <w:bCs/>
        </w:rPr>
        <w:t xml:space="preserve"> </w:t>
      </w:r>
      <w:r w:rsidR="00B9376C">
        <w:rPr>
          <w:rFonts w:eastAsiaTheme="majorEastAsia" w:cstheme="minorHAnsi"/>
          <w:bCs/>
        </w:rPr>
        <w:t>h</w:t>
      </w:r>
      <w:r w:rsidR="005065E4" w:rsidRPr="00C23310">
        <w:rPr>
          <w:rFonts w:eastAsiaTheme="majorEastAsia" w:cstheme="minorHAnsi"/>
          <w:bCs/>
        </w:rPr>
        <w:t xml:space="preserve">owever, changes in institutional behaviour may not lead to improvements in clinical outcomes. </w:t>
      </w:r>
    </w:p>
    <w:p w14:paraId="3A001E45" w14:textId="7B00C497" w:rsidR="00B57578" w:rsidRPr="00065B16" w:rsidRDefault="005065E4" w:rsidP="00065B16">
      <w:pPr>
        <w:pStyle w:val="ListParagraph"/>
        <w:numPr>
          <w:ilvl w:val="0"/>
          <w:numId w:val="29"/>
        </w:numPr>
        <w:spacing w:after="0" w:line="480" w:lineRule="auto"/>
        <w:rPr>
          <w:rFonts w:eastAsiaTheme="majorEastAsia" w:cstheme="minorHAnsi"/>
          <w:bCs/>
        </w:rPr>
      </w:pPr>
      <w:r w:rsidRPr="00B57578">
        <w:rPr>
          <w:rFonts w:eastAsiaTheme="majorEastAsia" w:cstheme="minorHAnsi"/>
          <w:bCs/>
        </w:rPr>
        <w:t xml:space="preserve">Future trials </w:t>
      </w:r>
      <w:r w:rsidR="00B57578" w:rsidRPr="00B57578">
        <w:rPr>
          <w:rFonts w:eastAsiaTheme="majorEastAsia" w:cstheme="minorHAnsi"/>
          <w:bCs/>
        </w:rPr>
        <w:t xml:space="preserve">should </w:t>
      </w:r>
      <w:r w:rsidRPr="00B57578">
        <w:rPr>
          <w:rFonts w:eastAsiaTheme="majorEastAsia" w:cstheme="minorHAnsi"/>
          <w:bCs/>
        </w:rPr>
        <w:t>expect a high early</w:t>
      </w:r>
      <w:r w:rsidR="005F56B6">
        <w:rPr>
          <w:rFonts w:eastAsiaTheme="majorEastAsia" w:cstheme="minorHAnsi"/>
          <w:bCs/>
        </w:rPr>
        <w:t xml:space="preserve"> </w:t>
      </w:r>
      <w:r w:rsidRPr="00B57578">
        <w:rPr>
          <w:rFonts w:eastAsiaTheme="majorEastAsia" w:cstheme="minorHAnsi"/>
          <w:bCs/>
        </w:rPr>
        <w:t>dropout rate</w:t>
      </w:r>
      <w:r w:rsidR="005D1658">
        <w:rPr>
          <w:rFonts w:eastAsiaTheme="majorEastAsia" w:cstheme="minorHAnsi"/>
          <w:bCs/>
        </w:rPr>
        <w:t xml:space="preserve"> and </w:t>
      </w:r>
      <w:r w:rsidR="00B57578" w:rsidRPr="00065B16">
        <w:rPr>
          <w:rFonts w:eastAsiaTheme="majorEastAsia" w:cstheme="minorHAnsi"/>
          <w:bCs/>
        </w:rPr>
        <w:t>develop a recruitment strategy to mitigate against this</w:t>
      </w:r>
      <w:r w:rsidR="005D1658">
        <w:rPr>
          <w:rFonts w:eastAsiaTheme="majorEastAsia" w:cstheme="minorHAnsi"/>
          <w:bCs/>
        </w:rPr>
        <w:t>.</w:t>
      </w:r>
      <w:r w:rsidR="00B57578" w:rsidRPr="00065B16">
        <w:rPr>
          <w:rFonts w:eastAsiaTheme="majorEastAsia" w:cstheme="minorHAnsi"/>
          <w:bCs/>
        </w:rPr>
        <w:t xml:space="preserve"> </w:t>
      </w:r>
      <w:r w:rsidR="005D1658">
        <w:t>S</w:t>
      </w:r>
      <w:r w:rsidR="00B57578">
        <w:t xml:space="preserve">taggered implementation </w:t>
      </w:r>
      <w:r w:rsidR="00266316">
        <w:t>of</w:t>
      </w:r>
      <w:r w:rsidR="00B57578">
        <w:t xml:space="preserve"> collaboratives so additional sites can be </w:t>
      </w:r>
      <w:r w:rsidR="00383146">
        <w:t>recruited</w:t>
      </w:r>
      <w:r w:rsidR="005D1658">
        <w:t xml:space="preserve"> </w:t>
      </w:r>
      <w:r w:rsidR="00823D62">
        <w:t xml:space="preserve">later </w:t>
      </w:r>
      <w:r w:rsidR="005D1658">
        <w:t>may help</w:t>
      </w:r>
      <w:r w:rsidR="00B9376C">
        <w:t>.</w:t>
      </w:r>
    </w:p>
    <w:p w14:paraId="7A0BE7C4" w14:textId="1AAB941F" w:rsidR="00304F08" w:rsidRPr="00BE0C7A" w:rsidRDefault="005D1658" w:rsidP="00610F23">
      <w:pPr>
        <w:pStyle w:val="ListParagraph"/>
        <w:numPr>
          <w:ilvl w:val="0"/>
          <w:numId w:val="29"/>
        </w:numPr>
        <w:spacing w:after="0" w:line="480" w:lineRule="auto"/>
      </w:pPr>
      <w:r>
        <w:rPr>
          <w:rFonts w:eastAsiaTheme="majorEastAsia" w:cstheme="minorHAnsi"/>
          <w:bCs/>
        </w:rPr>
        <w:t xml:space="preserve">Implementing </w:t>
      </w:r>
      <w:r w:rsidR="00B57578">
        <w:rPr>
          <w:rFonts w:eastAsiaTheme="majorEastAsia" w:cstheme="minorHAnsi"/>
          <w:bCs/>
        </w:rPr>
        <w:t>new preoperative</w:t>
      </w:r>
      <w:r>
        <w:rPr>
          <w:rFonts w:eastAsiaTheme="majorEastAsia" w:cstheme="minorHAnsi"/>
          <w:bCs/>
        </w:rPr>
        <w:t xml:space="preserve"> </w:t>
      </w:r>
      <w:r w:rsidR="00B57578">
        <w:rPr>
          <w:rFonts w:eastAsiaTheme="majorEastAsia" w:cstheme="minorHAnsi"/>
          <w:bCs/>
        </w:rPr>
        <w:t xml:space="preserve">pathways </w:t>
      </w:r>
      <w:r w:rsidR="005F56B6">
        <w:rPr>
          <w:rFonts w:eastAsiaTheme="majorEastAsia" w:cstheme="minorHAnsi"/>
          <w:bCs/>
        </w:rPr>
        <w:t>using collaboratives in the</w:t>
      </w:r>
      <w:r w:rsidR="00B57578">
        <w:rPr>
          <w:rFonts w:eastAsiaTheme="majorEastAsia" w:cstheme="minorHAnsi"/>
          <w:bCs/>
        </w:rPr>
        <w:t xml:space="preserve"> NHS </w:t>
      </w:r>
      <w:r>
        <w:rPr>
          <w:rFonts w:eastAsiaTheme="majorEastAsia" w:cstheme="minorHAnsi"/>
          <w:bCs/>
        </w:rPr>
        <w:t>may take</w:t>
      </w:r>
      <w:r w:rsidR="005065E4" w:rsidRPr="00610F23">
        <w:rPr>
          <w:rFonts w:eastAsiaTheme="majorEastAsia" w:cstheme="minorHAnsi"/>
          <w:bCs/>
        </w:rPr>
        <w:t xml:space="preserve"> 9-10 </w:t>
      </w:r>
      <w:r w:rsidR="00B9376C" w:rsidRPr="00610F23">
        <w:rPr>
          <w:rFonts w:eastAsiaTheme="majorEastAsia" w:cstheme="minorHAnsi"/>
          <w:bCs/>
        </w:rPr>
        <w:t>months</w:t>
      </w:r>
      <w:r w:rsidR="00B57578" w:rsidRPr="00610F23">
        <w:rPr>
          <w:rFonts w:eastAsiaTheme="majorEastAsia" w:cstheme="minorHAnsi"/>
          <w:bCs/>
        </w:rPr>
        <w:t>.</w:t>
      </w:r>
      <w:r w:rsidR="00304F08" w:rsidRPr="00610F23">
        <w:rPr>
          <w:rFonts w:eastAsiaTheme="majorEastAsia" w:cstheme="minorHAnsi"/>
          <w:bCs/>
        </w:rPr>
        <w:br w:type="page"/>
      </w:r>
    </w:p>
    <w:p w14:paraId="315438DE" w14:textId="071671EC" w:rsidR="0087503F" w:rsidRPr="0087503F" w:rsidRDefault="00BE44E2" w:rsidP="00327B6F">
      <w:pPr>
        <w:pStyle w:val="Heading1"/>
        <w:spacing w:line="480" w:lineRule="auto"/>
      </w:pPr>
      <w:r w:rsidRPr="0087503F">
        <w:t>Introduction</w:t>
      </w:r>
    </w:p>
    <w:p w14:paraId="3904E4BA" w14:textId="71EFFEA5" w:rsidR="00596213" w:rsidRDefault="0075517F" w:rsidP="000F6BF9">
      <w:pPr>
        <w:spacing w:line="480" w:lineRule="auto"/>
      </w:pPr>
      <w:r>
        <w:t>T</w:t>
      </w:r>
      <w:r w:rsidR="00FA2B45" w:rsidRPr="00AD29B0">
        <w:t>here are known gaps between what evidence shows to be best practice and the care that patients recei</w:t>
      </w:r>
      <w:r w:rsidR="00FA2B45" w:rsidRPr="00035759">
        <w:t>ve. The reasons for this are complex and multifactorial</w:t>
      </w:r>
      <w:r w:rsidR="00B9376C">
        <w:t>,</w:t>
      </w:r>
      <w:r w:rsidR="00FA2B45">
        <w:t xml:space="preserve"> and</w:t>
      </w:r>
      <w:r w:rsidR="00FA2B45" w:rsidRPr="00035759">
        <w:t xml:space="preserve"> </w:t>
      </w:r>
      <w:r w:rsidR="00FA2B45">
        <w:t>e</w:t>
      </w:r>
      <w:r w:rsidR="00FA2B45" w:rsidRPr="00035759">
        <w:t xml:space="preserve">fforts to improve quality show mostly inconsistent and patchy results </w:t>
      </w:r>
      <w:r w:rsidR="00FA2B45" w:rsidRPr="00AD29B0">
        <w:fldChar w:fldCharType="begin" w:fldLock="1"/>
      </w:r>
      <w:r w:rsidR="00C76DCB">
        <w:instrText>ADDIN CSL_CITATION {"citationItems":[{"id":"ITEM-1","itemData":{"DOI":"10.7326/0003-4819-154-10-201105170-00011","ISSN":"0003-4819","PMID":"21576538","abstract":"Despite a decade's worth of effort, patient safety has improved slowly, in part because of the limited evidence base for the development and widespread dissemination of successful patient safety practices. The Agency for Healthcare Research and Quality sponsored an international group of experts in patient safety and evaluation methods to develop criteria to improve the design, evaluation, and reporting of practice research in patient safety. This article reports the findings and recommendations of this group, which include greater use of theory and logic models, more detailed descriptions of interventions and their implementation, enhanced explanation of desired and unintended outcomes, and better description and measurement of context and of how context influences interventions. Using these criteria and measuring and reporting contexts will improve the science of patient safety.","author":[{"dropping-particle":"","family":"Shekelle","given":"Paul G","non-dropping-particle":"","parse-names":false,"suffix":""},{"dropping-particle":"","family":"Pronovost","given":"Peter J","non-dropping-particle":"","parse-names":false,"suffix":""},{"dropping-particle":"","family":"Wachter","given":"Robert M","non-dropping-particle":"","parse-names":false,"suffix":""},{"dropping-particle":"","family":"Taylor","given":"Stephanie L","non-dropping-particle":"","parse-names":false,"suffix":""},{"dropping-particle":"","family":"Dy","given":"Sydney M","non-dropping-particle":"","parse-names":false,"suffix":""},{"dropping-particle":"","family":"Foy","given":"Robbie","non-dropping-particle":"","parse-names":false,"suffix":""},{"dropping-particle":"","family":"Hempel","given":"Susanne","non-dropping-particle":"","parse-names":false,"suffix":""},{"dropping-particle":"","family":"McDonald","given":"Kathryn M","non-dropping-particle":"","parse-names":false,"suffix":""},{"dropping-particle":"","family":"Ovretveit","given":"John","non-dropping-particle":"","parse-names":false,"suffix":""},{"dropping-particle":"V","family":"Rubenstein","given":"Lisa","non-dropping-particle":"","parse-names":false,"suffix":""},{"dropping-particle":"","family":"Adams","given":"Alyce S","non-dropping-particle":"","parse-names":false,"suffix":""},{"dropping-particle":"","family":"Angood","given":"Peter B","non-dropping-particle":"","parse-names":false,"suffix":""},{"dropping-particle":"","family":"Bates","given":"David W","non-dropping-particle":"","parse-names":false,"suffix":""},{"dropping-particle":"","family":"Bickman","given":"Leonard","non-dropping-particle":"","parse-names":false,"suffix":""},{"dropping-particle":"","family":"Carayon","given":"Pascale","non-dropping-particle":"","parse-names":false,"suffix":""},{"dropping-particle":"","family":"Donaldson","given":"Liam","non-dropping-particle":"","parse-names":false,"suffix":""},{"dropping-particle":"","family":"Duan","given":"Naihua","non-dropping-particle":"","parse-names":false,"suffix":""},{"dropping-particle":"","family":"Farley","given":"Donna O","non-dropping-particle":"","parse-names":false,"suffix":""},{"dropping-particle":"","family":"Greenhalgh","given":"Trisha","non-dropping-particle":"","parse-names":false,"suffix":""},{"dropping-particle":"","family":"Haughom","given":"John","non-dropping-particle":"","parse-names":false,"suffix":""},{"dropping-particle":"","family":"Lake","given":"Eileen T","non-dropping-particle":"","parse-names":false,"suffix":""},{"dropping-particle":"","family":"Lilford","given":"Richard","non-dropping-particle":"","parse-names":false,"suffix":""},{"dropping-particle":"","family":"Lohr","given":"Kathleen N","non-dropping-particle":"","parse-names":false,"suffix":""},{"dropping-particle":"","family":"Meyer","given":"Gregg S","non-dropping-particle":"","parse-names":false,"suffix":""},{"dropping-particle":"","family":"Miller","given":"Marlene R","non-dropping-particle":"","parse-names":false,"suffix":""},{"dropping-particle":"V","family":"Neuhauser","given":"Duncan","non-dropping-particle":"","parse-names":false,"suffix":""},{"dropping-particle":"","family":"Ryan","given":"Gery","non-dropping-particle":"","parse-names":false,"suffix":""},{"dropping-particle":"","family":"Saint","given":"Sanjay","non-dropping-particle":"","parse-names":false,"suffix":""},{"dropping-particle":"","family":"Shojania","given":"Kaveh G","non-dropping-particle":"","parse-names":false,"suffix":""},{"dropping-particle":"","family":"Shortell","given":"Stephen M","non-dropping-particle":"","parse-names":false,"suffix":""},{"dropping-particle":"","family":"Stevens","given":"David P","non-dropping-particle":"","parse-names":false,"suffix":""},{"dropping-particle":"","family":"Walshe","given":"Kieran","non-dropping-particle":"","parse-names":false,"suffix":""}],"container-title":"Annals of Internal Medicine","id":"ITEM-1","issue":"10","issued":{"date-parts":[["2011","5","17"]]},"language":"eng","page":"693","title":"Advancing the science of patient safety","type":"article-journal","volume":"154"},"uris":["http://www.mendeley.com/documents/?uuid=c15fb752-e5db-4c29-bcb3-87f3cc3c74e0"]},{"id":"ITEM-2","itemData":{"DOI":"10.1136/qshc.2007.023622","ISSN":"1475-3898","PMID":"18519629","abstract":"INTRODUCTION: Adverse events in hospitals constitute a serious problem with grave consequences. Many studies have been conducted to gain an insight into this problem, but a general overview of the data is lacking. We performed a systematic review of the literature on in-hospital adverse events. METHODS: A formal search of Embase, Cochrane and Medline was performed. Studies were reviewed independently for methodology, inclusion and exclusion criteria and endpoints. Primary endpoints were incidence of in-hospital adverse events and percentage of preventability. Secondary endpoints were adverse event outcome and subdivision by provider of care, location and type of event. RESULTS: Eight studies including a total of 74 485 patient records were selected. The median overall incidence of in-hospital adverse events was 9.2%, with a median percentage of preventability of 43.5%. More than half (56.3%) of patients experienced no or minor disability, whereas 7.4% of events were lethal. Operation- (39.6%) and medication-related (15.1%) events constituted the majority. We present a summary of evidence-based interventions aimed at these categories of events. CONCLUSIONS: Adverse events during hospital admission affect nearly one out of 10 patients. A substantial part of these events are preventable. Since a large proportion of the in-hospital events are operation- or drug-related, interventions aimed at preventing these events have the potential to make a substantial difference.","author":[{"dropping-particle":"","family":"Vries","given":"E N","non-dropping-particle":"de","parse-names":false,"suffix":""},{"dropping-particle":"","family":"Ramrattan","given":"M A","non-dropping-particle":"","parse-names":false,"suffix":""},{"dropping-particle":"","family":"Smorenburg","given":"S M","non-dropping-particle":"","parse-names":false,"suffix":""},{"dropping-particle":"","family":"Gouma","given":"D J","non-dropping-particle":"","parse-names":false,"suffix":""},{"dropping-particle":"","family":"Boermeester","given":"M A","non-dropping-particle":"","parse-names":false,"suffix":""}],"container-title":"Quality and Safety in Health Care","id":"ITEM-2","issue":"3","issued":{"date-parts":[["2008","6","1"]]},"page":"216-223","title":"The incidence and nature of in-hospital adverse events: a systematic review","type":"article-journal","volume":"17"},"uris":["http://www.mendeley.com/documents/?uuid=7f757e45-70cc-4ec7-8cf4-ac01dbe74bf1"]},{"id":"ITEM-3","itemData":{"DOI":"10.1001/jama.2009.1845","ISSN":"1538-3598 (Electronic)","PMID":"20009058","abstract":"Rigorous experimental methods suppress differences among study participants (noise) to detect true intervention effects (signals). But suppressing participants' heterogeneity obscures an essential dimension of biological and clinical knowledge. Medicine is therefore ambivalent about the influence of heterogeneity on outcomes and struggles to find ways to take it properly into account in both clinical practice and research. This analysis explores the roots of that ambivalence. Drawing on the evaluation of 2 health care improvement initiatives, this article examines the unique features of improvement that help to understand heterogeneity's influence on study methods, and suggests a variety of ways to assess the effect of heterogeneity on study outcome measures.","author":[{"dropping-particle":"","family":"Davidoff","given":"Frank","non-dropping-particle":"","parse-names":false,"suffix":""}],"container-title":"JAMA","id":"ITEM-3","issue":"23","issued":{"date-parts":[["2009","12"]]},"language":"eng","page":"2580-2586","title":"Heterogeneity is not always noise: lessons from improvement","type":"article-journal","volume":"302"},"uris":["http://www.mendeley.com/documents/?uuid=4995f9d0-61d1-4d78-b418-b032042cab20"]}],"mendeley":{"formattedCitation":"(1–3)","plainTextFormattedCitation":"(1–3)","previouslyFormattedCitation":"(1–3)"},"properties":{"noteIndex":0},"schema":"https://github.com/citation-style-language/schema/raw/master/csl-citation.json"}</w:instrText>
      </w:r>
      <w:r w:rsidR="00FA2B45" w:rsidRPr="00AD29B0">
        <w:fldChar w:fldCharType="separate"/>
      </w:r>
      <w:r w:rsidR="00FA2B45" w:rsidRPr="00AD29B0">
        <w:rPr>
          <w:noProof/>
        </w:rPr>
        <w:t>(1–3)</w:t>
      </w:r>
      <w:r w:rsidR="00FA2B45" w:rsidRPr="00AD29B0">
        <w:fldChar w:fldCharType="end"/>
      </w:r>
      <w:r w:rsidR="00191D50">
        <w:t>.</w:t>
      </w:r>
      <w:r w:rsidR="00991C8A">
        <w:t xml:space="preserve"> </w:t>
      </w:r>
      <w:r w:rsidR="00845E08">
        <w:t>Such evidence-</w:t>
      </w:r>
      <w:r w:rsidR="00AF4C45">
        <w:t>to-</w:t>
      </w:r>
      <w:r w:rsidR="00845E08">
        <w:t xml:space="preserve">practice gaps exist </w:t>
      </w:r>
      <w:r w:rsidR="000F6BF9">
        <w:t>in the fields of</w:t>
      </w:r>
      <w:r w:rsidR="00683C01">
        <w:t xml:space="preserve"> </w:t>
      </w:r>
      <w:r w:rsidR="00845E08">
        <w:t xml:space="preserve">preoperative anaemia </w:t>
      </w:r>
      <w:r w:rsidR="00683C01">
        <w:t xml:space="preserve">screening and </w:t>
      </w:r>
      <w:r w:rsidR="00845E08">
        <w:t>optimisation</w:t>
      </w:r>
      <w:r w:rsidR="00683C01">
        <w:t>,</w:t>
      </w:r>
      <w:r w:rsidR="00845E08">
        <w:t xml:space="preserve"> and </w:t>
      </w:r>
      <w:r w:rsidR="00784ABB">
        <w:t xml:space="preserve">preoperative </w:t>
      </w:r>
      <w:r w:rsidR="00417AFF">
        <w:t>Methicillin-sensitive Staphylococcus Aureus (</w:t>
      </w:r>
      <w:r w:rsidR="00845E08">
        <w:t>MSSA</w:t>
      </w:r>
      <w:r w:rsidR="00417AFF">
        <w:t xml:space="preserve">) (a </w:t>
      </w:r>
      <w:r w:rsidR="00417AFF">
        <w:rPr>
          <w:i/>
          <w:iCs/>
        </w:rPr>
        <w:t xml:space="preserve">S.Aureus </w:t>
      </w:r>
      <w:r w:rsidR="00417AFF" w:rsidRPr="00C90C16">
        <w:rPr>
          <w:iCs/>
        </w:rPr>
        <w:t>bacterium</w:t>
      </w:r>
      <w:r w:rsidR="00417AFF">
        <w:t>)</w:t>
      </w:r>
      <w:r w:rsidR="00845E08">
        <w:t xml:space="preserve"> decolonisation</w:t>
      </w:r>
      <w:r w:rsidR="000F6BF9">
        <w:t>, before major surgery</w:t>
      </w:r>
      <w:r w:rsidR="00845E08">
        <w:t xml:space="preserve">. These </w:t>
      </w:r>
      <w:r w:rsidR="00683C01">
        <w:t xml:space="preserve">practices </w:t>
      </w:r>
      <w:r w:rsidR="00845E08">
        <w:t>have been recommended by multiple national and international guidelines and consensus statements since 2015</w:t>
      </w:r>
      <w:r w:rsidR="00A73B90">
        <w:t>/16</w:t>
      </w:r>
      <w:r w:rsidR="000F6BF9">
        <w:t>, and have been the focus of previous improvement programmes in the U</w:t>
      </w:r>
      <w:r w:rsidR="00417AFF">
        <w:t xml:space="preserve">nited </w:t>
      </w:r>
      <w:r w:rsidR="000F6BF9">
        <w:t>K</w:t>
      </w:r>
      <w:r w:rsidR="00417AFF">
        <w:t>ingdom (UK)</w:t>
      </w:r>
      <w:r w:rsidR="00845E08">
        <w:t xml:space="preserve"> </w:t>
      </w:r>
      <w:r w:rsidR="00A73B90">
        <w:fldChar w:fldCharType="begin" w:fldLock="1"/>
      </w:r>
      <w:r w:rsidR="003F790D">
        <w:instrText>ADDIN CSL_CITATION {"citationItems":[{"id":"ITEM-1","itemData":{"PMID":"26065061","abstract":"Many adult hospital inpatients need intravenous (IV) fluid therapy to prevent or correct problems with their fluid and/or electrolyte status. This may be because they cannot meet their normal needs through oral or enteral routes (for example, they have swallowing problems or gastrointestinal dysfunction) or because they have unusual fluid and/or electrolyte deficits or demands caused by illness or injury (for example, high gastrointestinal or renal losses). Deciding on the optimal amount and composition of IV fluids to be administered and the best rate at which to give them can be a difficult task, and decisions must be based on careful assessment of the patient’s individual needs. Despite","author":[{"dropping-particle":"","family":"National Institute for Health and Care Excellence","given":"","non-dropping-particle":"","parse-names":false,"suffix":""}],"id":"ITEM-1","issued":{"date-parts":[["2015"]]},"title":"Blood Transfusion (NICE guideline NG24)","type":"book"},"uris":["http://www.mendeley.com/documents/?uuid=fd9dd8fc-0bbb-4caa-b1d1-17569c9baffe"]},{"id":"ITEM-2","itemData":{"author":[{"dropping-particle":"","family":"Royal College of Anaesthetists","given":"","non-dropping-particle":"","parse-names":false,"suffix":""}],"id":"ITEM-2","issued":{"date-parts":[["2018"]]},"title":"Scottish standard for the optimisation of preoperative anaemia","type":"report"},"uris":["http://www.mendeley.com/documents/?uuid=5a014332-bd62-3014-9f1e-9a271df8a28c"]},{"id":"ITEM-3","itemData":{"DOI":"10.1111/anae.13773","ISBN":"0003-2409","ISSN":"13652044","PMID":"27996086","abstract":"Despite current recommendations on the management of pre-operative anaemia, there is no pragmatic guidance for the diagnosis and management of anaemia and iron deficiency in surgical patients. A number of experienced researchers and clinicians took part in an expert workshop and developed the following consensus statement. After presentation of our own research data and local policies and procedures, appropriate relevant literature was reviewed and discussed. We developed a series of best-practice and evidence-based statements to advise on patient care with respect to anaemia and iron deficiency in the peri-operative period. These statements include: a diagnostic approach for anaemia and iron deficiency in surgical patients; identification of patients appropriate for treatment; and advice on practical management and follow-up. We urge anaesthetists and peri-operative physicians to embrace these recommendations, and hospital administrators to enable implementation of these concepts by allocating adequate resources.","author":[{"dropping-particle":"","family":"Muñoz","given":"M.","non-dropping-particle":"","parse-names":false,"suffix":""},{"dropping-particle":"","family":"Acheson","given":"A. G.","non-dropping-particle":"","parse-names":false,"suffix":""},{"dropping-particle":"","family":"Auerbach","given":"M.","non-dropping-particle":"","parse-names":false,"suffix":""},{"dropping-particle":"","family":"Besser","given":"M.","non-dropping-particle":"","parse-names":false,"suffix":""},{"dropping-particle":"","family":"Habler","given":"O.","non-dropping-particle":"","parse-names":false,"suffix":""},{"dropping-particle":"","family":"Kehlet","given":"H.","non-dropping-particle":"","parse-names":false,"suffix":""},{"dropping-particle":"","family":"Liumbruno","given":"G. M.","non-dropping-particle":"","parse-names":false,"suffix":""},{"dropping-particle":"","family":"Lasocki","given":"S.","non-dropping-particle":"","parse-names":false,"suffix":""},{"dropping-particle":"","family":"Meybohm","given":"P.","non-dropping-particle":"","parse-names":false,"suffix":""},{"dropping-particle":"","family":"Rao Baikady","given":"R.","non-dropping-particle":"","parse-names":false,"suffix":""},{"dropping-particle":"","family":"Richards","given":"T.","non-dropping-particle":"","parse-names":false,"suffix":""},{"dropping-particle":"","family":"Shander","given":"A.","non-dropping-particle":"","parse-names":false,"suffix":""},{"dropping-particle":"","family":"So-Osman","given":"C.","non-dropping-particle":"","parse-names":false,"suffix":""},{"dropping-particle":"","family":"Spahn","given":"D. R.","non-dropping-particle":"","parse-names":false,"suffix":""},{"dropping-particle":"","family":"Klein","given":"A. A.","non-dropping-particle":"","parse-names":false,"suffix":""}],"container-title":"Anaesthesia","id":"ITEM-3","issue":"2","issued":{"date-parts":[["2017"]]},"page":"233-247","title":"International consensus statement on the peri-operative management of anaemia and iron deficiency","type":"article-journal","volume":"72"},"uris":["http://www.mendeley.com/documents/?uuid=806c906b-4fb4-41ad-a239-66ac18be7835"]},{"id":"ITEM-4","itemData":{"DOI":"10.1001/jama.2019.0554","ISSN":"0098-7484","abstract":"Importance: Blood transfusion is one of the most frequently used therapies worldwide and is associated with benefits, risks, and costs. Objective(s): To develop a set of evidence-based recommendations for patient blood management (PBM) and for research. Evidence Review: The scientific committee developed 17 Population/Intervention/Comparison/Outcome (PICO) questions for red blood cell (RBC) transfusion in adult patients in 3 areas: preoperative anemia (3 questions), RBC transfusion thresholds (11 questions), and implementation of PBM programs (3 questions). These questions guided the literature search in 4 biomedical databases (MEDLINE, EMBASE, Cochrane Library, Transfusion Evidence Library), searched from inception to January 2018. Meta-analyses were conducted with the GRADE (Grading of Recommendations, Assessment, Development, and Evaluation) methodology and the Evidence-to-Decision framework by 3 panels including clinical and scientific experts, nurses, patient representatives, and methodologists, to develop clinical recommendations during a consensus conference in Frankfurt/Main, Germany, in April 2018. Finding(s): From 17607 literature citations associated with the 17 PICO questions, 145 studies, including 63 randomized clinical trials with 23143 patients and 82 observational studies with more than 4 million patients, were analyzed. For preoperative anemia, 4 clinical and 3 research recommendations were developed, including the strong recommendation to detect and manage anemia sufficiently early before major elective surgery. For RBC transfusion thresholds, 4 clinical and 6 research recommendations were developed, including 2 strong clinical recommendations for critically ill but clinically stable intensive care patients with or without septic shock (recommended threshold for RBC transfusion, hemoglobin concentration &lt;7 g/dL) as well as for patients undergoing cardiac surgery (recommended threshold for RBC transfusion, hemoglobin concentration &lt;7.5 g/dL). For implementation of PBM programs, 2 clinical and 3 research recommendations were developed, including recommendations to implement comprehensive PBM programs and to use electronic decision support systems (both conditional recommendations) to improve appropriate RBC utilization. Conclusions and Relevance: The 2018 PBM International Consensus Conference defined the current status of the PBM evidence base for practice and research purposes and established 10 clinical recommendations and 12 researc…","author":[{"dropping-particle":"","family":"Mueller","given":"Markus M.","non-dropping-particle":"","parse-names":false,"suffix":""},{"dropping-particle":"","family":"Remoortel","given":"Hans","non-dropping-particle":"Van","parse-names":false,"suffix":""},{"dropping-particle":"","family":"Meybohm","given":"Patrick","non-dropping-particle":"","parse-names":false,"suffix":""},{"dropping-particle":"","family":"Aranko","given":"Kari","non-dropping-particle":"","parse-names":false,"suffix":""},{"dropping-particle":"","family":"Aubron","given":"Cécile","non-dropping-particle":"","parse-names":false,"suffix":""},{"dropping-particle":"","family":"Burger","given":"Reinhard","non-dropping-particle":"","parse-names":false,"suffix":""},{"dropping-particle":"","family":"Carson","given":"Jeffrey L.","non-dropping-particle":"","parse-names":false,"suffix":""},{"dropping-particle":"","family":"Cichutek","given":"Klaus","non-dropping-particle":"","parse-names":false,"suffix":""},{"dropping-particle":"","family":"Buck","given":"Emmy","non-dropping-particle":"De","parse-names":false,"suffix":""},{"dropping-particle":"","family":"Devine","given":"Dana","non-dropping-particle":"","parse-names":false,"suffix":""},{"dropping-particle":"","family":"Fergusson","given":"Dean","non-dropping-particle":"","parse-names":false,"suffix":""},{"dropping-particle":"","family":"Folléa","given":"Gilles","non-dropping-particle":"","parse-names":false,"suffix":""},{"dropping-particle":"","family":"French","given":"Craig","non-dropping-particle":"","parse-names":false,"suffix":""},{"dropping-particle":"","family":"Frey","given":"Kathrine P.","non-dropping-particle":"","parse-names":false,"suffix":""},{"dropping-particle":"","family":"Gammon","given":"Richard","non-dropping-particle":"","parse-names":false,"suffix":""},{"dropping-particle":"","family":"Levy","given":"Jerrold H.","non-dropping-particle":"","parse-names":false,"suffix":""},{"dropping-particle":"","family":"Murphy","given":"Michael F.","non-dropping-particle":"","parse-names":false,"suffix":""},{"dropping-particle":"","family":"Ozier","given":"Yves","non-dropping-particle":"","parse-names":false,"suffix":""},{"dropping-particle":"","family":"Pavenski","given":"Katerina","non-dropping-particle":"","parse-names":false,"suffix":""},{"dropping-particle":"","family":"So-Osman","given":"Cynthia","non-dropping-particle":"","parse-names":false,"suffix":""},{"dropping-particle":"","family":"Tiberghien","given":"Pierre","non-dropping-particle":"","parse-names":false,"suffix":""},{"dropping-particle":"","family":"Volmink","given":"Jimmy","non-dropping-particle":"","parse-names":false,"suffix":""},{"dropping-particle":"","family":"Waters","given":"Jonathan H.","non-dropping-particle":"","parse-names":false,"suffix":""},{"dropping-particle":"","family":"Wood","given":"Erica M.","non-dropping-particle":"","parse-names":false,"suffix":""},{"dropping-particle":"","family":"Seifried","given":"Erhard","non-dropping-particle":"","parse-names":false,"suffix":""}],"container-title":"JAMA","id":"ITEM-4","issue":"10","issued":{"date-parts":[["2019"]]},"page":"983","title":"Patient Blood Management: Recommendations from the 2018 Frankfurt consensus conference","type":"article-journal","volume":"321"},"uris":["http://www.mendeley.com/documents/?uuid=110d198b-0eab-49b3-8890-3ee8b3cd66a1"]},{"id":"ITEM-5","itemData":{"ISBN":"9781473138278","abstract":"This guideline covers care for adults (aged 18 and over) having elective or emergency surgery, including dental surgery. It covers all phases of perioperative care, from the time people are booked for surgery until they are discharged afterward. The guideline includes recommendations on preparing for surgery, keeping people safe during surgery and pain relief during recovery. The recommendations in this guideline were developed before the COVID-19 pandemic. See NICE's COVID-19 rapid guideline on arranging planned care in hospitals and diagnostic services and NHS England's operating framework for urgent and planned services in hospital settings during COVID-19 for guidance on minimising the risk from COVID-19.WHO IS IT FOR? Healthcare professionals, including dentists, in primary, secondary and tertiary care. Commissioners, planners and service providers, including those in non-NHS organisations commissioned to provide services for the NHS or local authorities. Adults having elective or emergency surgery, their families and carers.","author":[{"dropping-particle":"","family":"National Institute for Health and Care Excellence","given":"","non-dropping-particle":"","parse-names":false,"suffix":""}],"id":"ITEM-5","issue":"August","issued":{"date-parts":[["2020"]]},"number-of-pages":"1-26","title":"Perioperative care in adults (NICE guideline NG180)","type":"report"},"uris":["http://www.mendeley.com/documents/?uuid=630141f3-276c-426c-a521-061a9ae8ba1f"]},{"id":"ITEM-6","itemData":{"DOI":"10.1016/S1473-3099(16)30398-X","ISSN":"14744457","PMID":"27816413","abstract":"Surgical site infections (SSIs) are among the most preventable health-care-associated infections and are a substantial burden to health-care systems and service payers worldwide in terms of patient morbidity, mortality, and additional costs. SSI prevention is complex and requires the integration of a range of measures before, during, and after surgery. No international guidelines are available and inconsistencies in the interpretation of evidence and recommendations of national guidelines have been identified. Given the burden of SSIs worldwide, the numerous gaps in evidence-based guidance, and the need for standardisation and a global approach, WHO decided to prioritise the development of evidence-based recommendations for the prevention of SSIs. The guidelines take into account the balance between benefits and harms, the evidence quality, cost and resource use implications, and patient values and preferences. On the basis of systematic literature reviews and expert consensus, we present 13 recommendations on preoperative preventive measures.","author":[{"dropping-particle":"","family":"Allegranzi","given":"Benedetta","non-dropping-particle":"","parse-names":false,"suffix":""},{"dropping-particle":"","family":"Bischoff","given":"Peter","non-dropping-particle":"","parse-names":false,"suffix":""},{"dropping-particle":"","family":"Jonge","given":"Stijn","non-dropping-particle":"de","parse-names":false,"suffix":""},{"dropping-particle":"","family":"Kubilay","given":"N. Zeynep","non-dropping-particle":"","parse-names":false,"suffix":""},{"dropping-particle":"","family":"Zayed","given":"Bassim","non-dropping-particle":"","parse-names":false,"suffix":""},{"dropping-particle":"","family":"Gomes","given":"Stacey M.","non-dropping-particle":"","parse-names":false,"suffix":""},{"dropping-particle":"","family":"Abbas","given":"Mohamed","non-dropping-particle":"","parse-names":false,"suffix":""},{"dropping-particle":"","family":"Atema","given":"Jasper J.","non-dropping-particle":"","parse-names":false,"suffix":""},{"dropping-particle":"","family":"Gans","given":"Sarah","non-dropping-particle":"","parse-names":false,"suffix":""},{"dropping-particle":"","family":"Rijen","given":"Miranda","non-dropping-particle":"van","parse-names":false,"suffix":""},{"dropping-particle":"","family":"Boermeester","given":"Marja A.","non-dropping-particle":"","parse-names":false,"suffix":""},{"dropping-particle":"","family":"Egger","given":"Matthias","non-dropping-particle":"","parse-names":false,"suffix":""},{"dropping-particle":"","family":"Kluytmans","given":"Jan","non-dropping-particle":"","parse-names":false,"suffix":""},{"dropping-particle":"","family":"Pittet","given":"Didier","non-dropping-particle":"","parse-names":false,"suffix":""},{"dropping-particle":"","family":"Solomkin","given":"Joseph S.","non-dropping-particle":"","parse-names":false,"suffix":""}],"container-title":"The Lancet Infectious Diseases","id":"ITEM-6","issue":"12","issued":{"date-parts":[["2016"]]},"page":"e276-e287","title":"New WHO recommendations on preoperative measures for surgical site infection prevention: an evidence-based global perspective","type":"article-journal","volume":"16"},"uris":["http://www.mendeley.com/documents/?uuid=6d88785c-75dd-4362-a4fe-4248b96773aa"]},{"id":"ITEM-7","itemData":{"abstract":"This guideline covers preventing and treating surgical site infections in adults, young people and children who are having a surgical procedure involving a cut through the skin. It recommends effective methods to use before, during and after surgery to minimise the risk of infection. In February 2017 a footnote was added to recommendation 1.2.11&amp;nbsp;linking to related recommendations in the NICE guideline on caesarean section. Recommendations This guideline includes recommendations on: information for patients and carers the preoperative phase the intraoperative phase the postoperative phase Who is it for? Healthcare professionals Commissioners and providers People who are having surgery and their families and carers Is this guideline up to date? We checked this guideline in January 2017&amp;nbsp;and we are updating the following recommendations: nasal decontamination of Staphylococcus aureus choice of preoperative skin antiseptics application of intraoperative topical antiseptics/antimicrobials before wound closure type of suture. See the guideline&amp;nbsp;in development page&amp;nbsp;for progress of the update. Guideline development process How we develop NICE guidelines This guideline updates and replaces NICE technology appraisal guidance TA24 (April 2001). This guideline was previously called surgical site infection: prevention and treatment of surgical site infection.","author":[{"dropping-particle":"","family":"National Institute for Health and Care Excellence","given":"","non-dropping-particle":"","parse-names":false,"suffix":""}],"id":"ITEM-7","issued":{"date-parts":[["2019"]]},"title":"Surgical site infections - prevention and treatment (NICE guideline NG125)","type":"report"},"uris":["http://www.mendeley.com/documents/?uuid=fa67b546-a419-4277-a03f-4a88058713b2"]},{"id":"ITEM-8","itemData":{"author":[{"dropping-particle":"","family":"Royal College of Anaesthetists","given":"","non-dropping-particle":"","parse-names":false,"suffix":""}],"id":"ITEM-8","issued":{"date-parts":[["2019"]]},"title":"Perioperative quality improvement programme annual report 2018-19","type":"report"},"uris":["http://www.mendeley.com/documents/?uuid=85007050-bf0d-4641-afec-f5860f8e4ab3"]}],"mendeley":{"formattedCitation":"(4–11)","plainTextFormattedCitation":"(4–11)","previouslyFormattedCitation":"(4–11)"},"properties":{"noteIndex":0},"schema":"https://github.com/citation-style-language/schema/raw/master/csl-citation.json"}</w:instrText>
      </w:r>
      <w:r w:rsidR="00A73B90">
        <w:fldChar w:fldCharType="separate"/>
      </w:r>
      <w:r w:rsidR="00A73B90" w:rsidRPr="00A73B90">
        <w:rPr>
          <w:noProof/>
        </w:rPr>
        <w:t>(4–11)</w:t>
      </w:r>
      <w:r w:rsidR="00A73B90">
        <w:fldChar w:fldCharType="end"/>
      </w:r>
      <w:r w:rsidR="00191D50">
        <w:t>.</w:t>
      </w:r>
      <w:r w:rsidR="000F6BF9">
        <w:t xml:space="preserve"> Yet despite this, </w:t>
      </w:r>
      <w:r w:rsidR="000F6BF9" w:rsidRPr="002B15D8">
        <w:t xml:space="preserve">the uptake of preoperative anaemia </w:t>
      </w:r>
      <w:r w:rsidR="000F6BF9">
        <w:t>optimisation</w:t>
      </w:r>
      <w:r w:rsidR="000F6BF9" w:rsidRPr="002B15D8">
        <w:t xml:space="preserve"> remains low</w:t>
      </w:r>
      <w:r w:rsidR="000F6BF9">
        <w:t xml:space="preserve">, and considerable variability exists in </w:t>
      </w:r>
      <w:r w:rsidR="000F6BF9">
        <w:rPr>
          <w:i/>
          <w:iCs/>
        </w:rPr>
        <w:t>S.Aureus</w:t>
      </w:r>
      <w:r w:rsidR="000F6BF9">
        <w:t xml:space="preserve"> decolonisation practices in the UK </w:t>
      </w:r>
      <w:r w:rsidR="000F6BF9">
        <w:fldChar w:fldCharType="begin" w:fldLock="1"/>
      </w:r>
      <w:r w:rsidR="00AF4C45">
        <w:instrText>ADDIN CSL_CITATION {"citationItems":[{"id":"ITEM-1","itemData":{"abstract":"This guideline covers preventing and treating surgical site infections in adults, young people and children who are having a surgical procedure involving a cut through the skin. It recommends effective methods to use before, during and after surgery to minimise the risk of infection. In February 2017 a footnote was added to recommendation 1.2.11&amp;nbsp;linking to related recommendations in the NICE guideline on caesarean section. Recommendations This guideline includes recommendations on: information for patients and carers the preoperative phase the intraoperative phase the postoperative phase Who is it for? Healthcare professionals Commissioners and providers People who are having surgery and their families and carers Is this guideline up to date? We checked this guideline in January 2017&amp;nbsp;and we are updating the following recommendations: nasal decontamination of Staphylococcus aureus choice of preoperative skin antiseptics application of intraoperative topical antiseptics/antimicrobials before wound closure type of suture. See the guideline&amp;nbsp;in development page&amp;nbsp;for progress of the update. Guideline development process How we develop NICE guidelines This guideline updates and replaces NICE technology appraisal guidance TA24 (April 2001). This guideline was previously called surgical site infection: prevention and treatment of surgical site infection.","author":[{"dropping-particle":"","family":"National Institute for Health and Care Excellence","given":"","non-dropping-particle":"","parse-names":false,"suffix":""}],"id":"ITEM-1","issued":{"date-parts":[["2019"]]},"title":"Surgical site infections - prevention and treatment (NICE guideline NG125)","type":"report"},"uris":["http://www.mendeley.com/documents/?uuid=fa67b546-a419-4277-a03f-4a88058713b2"]},{"id":"ITEM-2","itemData":{"DOI":"10.1308/rcsann.2019.0064","ISSN":"0035-8843","author":[{"dropping-particle":"","family":"Wong","given":"JLC","non-dropping-particle":"","parse-names":false,"suffix":""},{"dropping-particle":"","family":"Ho","given":"CWY","non-dropping-particle":"","parse-names":false,"suffix":""},{"dropping-particle":"","family":"Scott","given":"G","non-dropping-particle":"","parse-names":false,"suffix":""},{"dropping-particle":"","family":"Machin","given":"JT","non-dropping-particle":"","parse-names":false,"suffix":""},{"dropping-particle":"","family":"Briggs","given":"TWR","non-dropping-particle":"","parse-names":false,"suffix":""}],"container-title":"The Annals of The Royal College of Surgeons of England","id":"ITEM-2","issue":"7","issued":{"date-parts":[["2019","9"]]},"page":"463-471","title":"Getting It Right First Time: the national survey of surgical site infection rates in NHS trusts in England","type":"article-journal","volume":"101"},"uris":["http://www.mendeley.com/documents/?uuid=cf7d77b1-63d8-4385-a290-35ff8be13804"]},{"id":"ITEM-3","itemData":{"PMID":"26065061","abstract":"Many adult hospital inpatients need intravenous (IV) fluid therapy to prevent or correct problems with their fluid and/or electrolyte status. This may be because they cannot meet their normal needs through oral or enteral routes (for example, they have swallowing problems or gastrointestinal dysfunction) or because they have unusual fluid and/or electrolyte deficits or demands caused by illness or injury (for example, high gastrointestinal or renal losses). Deciding on the optimal amount and composition of IV fluids to be administered and the best rate at which to give them can be a difficult task, and decisions must be based on careful assessment of the patient’s individual needs. Despite","author":[{"dropping-particle":"","family":"National Institute for Health and Care Excellence","given":"","non-dropping-particle":"","parse-names":false,"suffix":""}],"id":"ITEM-3","issued":{"date-parts":[["2015"]]},"title":"Blood Transfusion (NICE guideline NG24)","type":"book"},"uris":["http://www.mendeley.com/documents/?uuid=fd9dd8fc-0bbb-4caa-b1d1-17569c9baffe"]},{"id":"ITEM-4","itemData":{"DOI":"10.1111/anae.13773","ISBN":"0003-2409","ISSN":"13652044","PMID":"27996086","abstract":"Despite current recommendations on the management of pre-operative anaemia, there is no pragmatic guidance for the diagnosis and management of anaemia and iron deficiency in surgical patients. A number of experienced researchers and clinicians took part in an expert workshop and developed the following consensus statement. After presentation of our own research data and local policies and procedures, appropriate relevant literature was reviewed and discussed. We developed a series of best-practice and evidence-based statements to advise on patient care with respect to anaemia and iron deficiency in the peri-operative period. These statements include: a diagnostic approach for anaemia and iron deficiency in surgical patients; identification of patients appropriate for treatment; and advice on practical management and follow-up. We urge anaesthetists and peri-operative physicians to embrace these recommendations, and hospital administrators to enable implementation of these concepts by allocating adequate resources.","author":[{"dropping-particle":"","family":"Muñoz","given":"M.","non-dropping-particle":"","parse-names":false,"suffix":""},{"dropping-particle":"","family":"Acheson","given":"A. G.","non-dropping-particle":"","parse-names":false,"suffix":""},{"dropping-particle":"","family":"Auerbach","given":"M.","non-dropping-particle":"","parse-names":false,"suffix":""},{"dropping-particle":"","family":"Besser","given":"M.","non-dropping-particle":"","parse-names":false,"suffix":""},{"dropping-particle":"","family":"Habler","given":"O.","non-dropping-particle":"","parse-names":false,"suffix":""},{"dropping-particle":"","family":"Kehlet","given":"H.","non-dropping-particle":"","parse-names":false,"suffix":""},{"dropping-particle":"","family":"Liumbruno","given":"G. M.","non-dropping-particle":"","parse-names":false,"suffix":""},{"dropping-particle":"","family":"Lasocki","given":"S.","non-dropping-particle":"","parse-names":false,"suffix":""},{"dropping-particle":"","family":"Meybohm","given":"P.","non-dropping-particle":"","parse-names":false,"suffix":""},{"dropping-particle":"","family":"Rao Baikady","given":"R.","non-dropping-particle":"","parse-names":false,"suffix":""},{"dropping-particle":"","family":"Richards","given":"T.","non-dropping-particle":"","parse-names":false,"suffix":""},{"dropping-particle":"","family":"Shander","given":"A.","non-dropping-particle":"","parse-names":false,"suffix":""},{"dropping-particle":"","family":"So-Osman","given":"C.","non-dropping-particle":"","parse-names":false,"suffix":""},{"dropping-particle":"","family":"Spahn","given":"D. R.","non-dropping-particle":"","parse-names":false,"suffix":""},{"dropping-particle":"","family":"Klein","given":"A. A.","non-dropping-particle":"","parse-names":false,"suffix":""}],"container-title":"Anaesthesia","id":"ITEM-4","issue":"2","issued":{"date-parts":[["2017"]]},"page":"233-247","title":"International consensus statement on the peri-operative management of anaemia and iron deficiency","type":"article-journal","volume":"72"},"uris":["http://www.mendeley.com/documents/?uuid=806c906b-4fb4-41ad-a239-66ac18be7835"]}],"mendeley":{"formattedCitation":"(4,6,10,12)","plainTextFormattedCitation":"(4,6,10,12)","previouslyFormattedCitation":"(4,6,10,12)"},"properties":{"noteIndex":0},"schema":"https://github.com/citation-style-language/schema/raw/master/csl-citation.json"}</w:instrText>
      </w:r>
      <w:r w:rsidR="000F6BF9">
        <w:fldChar w:fldCharType="separate"/>
      </w:r>
      <w:r w:rsidR="000F6BF9" w:rsidRPr="000F6BF9">
        <w:rPr>
          <w:noProof/>
        </w:rPr>
        <w:t>(4,6,10,12)</w:t>
      </w:r>
      <w:r w:rsidR="000F6BF9">
        <w:fldChar w:fldCharType="end"/>
      </w:r>
      <w:r w:rsidR="000F6BF9">
        <w:t xml:space="preserve"> and other European countries </w:t>
      </w:r>
      <w:r w:rsidR="000F6BF9">
        <w:fldChar w:fldCharType="begin" w:fldLock="1"/>
      </w:r>
      <w:r w:rsidR="00AF4C45">
        <w:instrText>ADDIN CSL_CITATION {"citationItems":[{"id":"ITEM-1","itemData":{"DOI":"10.1016/j.jhin.2020.08.008","ISSN":"15322939","PMID":"32805310","abstract":"The objective was to describe French hospital nasal screening and decolonization procedures before clean surgery procedures. Information for participants was sent to the French Society for Infection Control members in June 2018. Seventy hospitals participated in the survey; 40% (N = 28) declared having institutional decolonization procedures: 64% (N = 18) in orthopaedic and 56% (N = 15) in cardiac surgeries. All hospitals used mupirocin for nasal decolonization and body decolonization with chlorhexidine (N = 16) or povidone iodine (N = 10). This study is the first to be performed in France giving information in this field. Screening/decolonization procedures are heterogeneous and the evaluation of their clinical impact remains complex.","author":[{"dropping-particle":"","family":"Ong","given":"C.","non-dropping-particle":"","parse-names":false,"suffix":""},{"dropping-particle":"","family":"Lucet","given":"J. C.","non-dropping-particle":"","parse-names":false,"suffix":""},{"dropping-particle":"","family":"Bourigault","given":"C.","non-dropping-particle":"","parse-names":false,"suffix":""},{"dropping-particle":"","family":"Birgand","given":"G.","non-dropping-particle":"","parse-names":false,"suffix":""},{"dropping-particle":"","family":"Aho","given":"S.","non-dropping-particle":"","parse-names":false,"suffix":""},{"dropping-particle":"","family":"Lepelletier","given":"D.","non-dropping-particle":"","parse-names":false,"suffix":""}],"container-title":"Journal of Hospital Infection","id":"ITEM-1","issue":"2","issued":{"date-parts":[["2020"]]},"page":"332-334","title":"Staphylococcus aureus nasal decolonization before cardiac and orthopaedic surgeries: first descriptive survey in France","type":"article-journal","volume":"106"},"uris":["http://www.mendeley.com/documents/?uuid=84c54018-e16a-4e55-bbf7-cb857f9341db"]},{"id":"ITEM-2","itemData":{"DOI":"10.1016/j.jhin.2018.07.019","ISSN":"15322939","PMID":"30031167","abstract":"Background: Various measures are considered to reduce the risk of surgical site infection (SSI), including preoperative decolonization. Details of preoperative decolonization practices in surgical departments have not been investigated in Austria. Aim: To analyse the current situation of pre-surgical patient decolonization in national hospitals and to assess the current knowledge on this procedure among surgeons of different surgical disciplines. Methods: A 12-point structured questionnaire was distributed to all Austrian hospitals with at least one surgical department. Findings: Two-thirds (103/158; 65%) of responding surgeons stated that any type of preoperative decolonization is implemented in their surgical department. There was heterogeneity of different protocols, ranging from decolonization of only known S. aureus carriers, of a subgroup of patients, or universal decolonization of all patients before elective surgery. Octenidine was the most frequently used antimicrobial compound (60.2%), followed by mupirocin (38.8%), triclosan (14.6%), polyhexanide (12.6%), chlorhexidine (11.7%), and didecyldimonium chloride (7.8%). Conclusion: Preoperative decolonization seems to be performed in Austrian hospitals on a routine basis. However, this measure is implemented using a variety of modalities, antimicrobial compounds, and staff. Since our survey also demonstrated that those who are better informed about preoperative decolonization are also those who are more convinced of the usefulness of the preventive measure, future activities should not only focus on generating more comparable studies in this field, but should also include targeted education.","author":[{"dropping-particle":"","family":"Tschelaut","given":"L.","non-dropping-particle":"","parse-names":false,"suffix":""},{"dropping-particle":"","family":"Assadian","given":"O.","non-dropping-particle":"","parse-names":false,"suffix":""},{"dropping-particle":"","family":"Strauss","given":"R.","non-dropping-particle":"","parse-names":false,"suffix":""},{"dropping-particle":"","family":"Matiasek","given":"J.","non-dropping-particle":"","parse-names":false,"suffix":""},{"dropping-particle":"","family":"Beer","given":"M.","non-dropping-particle":"","parse-names":false,"suffix":""},{"dropping-particle":"","family":"Angerler","given":"G.","non-dropping-particle":"","parse-names":false,"suffix":""},{"dropping-particle":"","family":"Berger-Grabner","given":"D.","non-dropping-particle":"","parse-names":false,"suffix":""},{"dropping-particle":"","family":"Presterl","given":"E.","non-dropping-particle":"","parse-names":false,"suffix":""}],"container-title":"Journal of Hospital Infection","id":"ITEM-2","issue":"4","issued":{"date-parts":[["2018"]]},"page":"386-392","title":"A survey on current knowledge, practice and beliefs related to preoperative antimicrobial decolonization regimens for prevention of surgical site infections among Austrian surgeons","type":"article-journal","volume":"100"},"uris":["http://www.mendeley.com/documents/?uuid=7c0b9e19-9ef3-4965-8196-f39d576d8591"]},{"id":"ITEM-3","itemData":{"DOI":"10.1111/vox.12872","ISSN":"14230410","PMID":"31877577","abstract":"Background and objectives: Preoperative anaemia is an independent risk factor for a higher morbidity and mortality, a longer hospitalization and increased perioperative transfusion rates. Managing preoperative anaemia is the first of three pillars of Patient Blood Management (PBM), a multidisciplinary concept to improve patient safety. While various studies provide medical information on (successful) anaemia treatment pathways, knowledge of organizational details of diagnosis and management of preoperative anaemia across Europe is scarce. Materials and methods: To gain information on various aspects of preoperative anaemia management including organization, financing, diagnostics and treatment, we conducted a survey (74 questions) in ten hospitals from seven European nations within the PaBloE (Patient Blood Management in Europe) working group covering the year 2016. Results: Organization and activity in the field of preoperative anaemia management were heterogeneous in the participating hospitals. Almost all hospitals had pathways for managing preoperative anaemia in place, however, only two nations had national guidelines. In six of the ten participating hospitals, preoperative anaemia management was organized by anaesthetists. Diagnostics and treatment focused on iron deficiency anaemia which, in most hospitals, was corrected with intravenous iron. Conclusion: Implementation and approaches of preoperative anaemia management vary across Europe with a primary focus on treating iron deficiency anaemia. Findings of this survey motivated the hospitals involved to critically evaluate their practice and may also help other hospitals interested in PBM to develop action plans for diagnosis and management of preoperative anaemia.","author":[{"dropping-particle":"","family":"Jung-König","given":"Mona","non-dropping-particle":"","parse-names":false,"suffix":""},{"dropping-particle":"","family":"Füllenbach","given":"Christoph","non-dropping-particle":"","parse-names":false,"suffix":""},{"dropping-particle":"","family":"Murphy","given":"Michael F.","non-dropping-particle":"","parse-names":false,"suffix":""},{"dropping-particle":"","family":"Manzini","given":"Paola","non-dropping-particle":"","parse-names":false,"suffix":""},{"dropping-particle":"","family":"Laspina","given":"Stefan","non-dropping-particle":"","parse-names":false,"suffix":""},{"dropping-particle":"","family":"Pendry","given":"Kate","non-dropping-particle":"","parse-names":false,"suffix":""},{"dropping-particle":"","family":"Mühling","given":"Jörg","non-dropping-particle":"","parse-names":false,"suffix":""},{"dropping-particle":"","family":"Wikman","given":"Agneta","non-dropping-particle":"","parse-names":false,"suffix":""},{"dropping-particle":"","family":"Humbrecht","given":"Catherine","non-dropping-particle":"","parse-names":false,"suffix":""},{"dropping-particle":"","family":"Rigal","given":"Jean Christophe","non-dropping-particle":"","parse-names":false,"suffix":""},{"dropping-particle":"","family":"Lasocki","given":"Sigismond","non-dropping-particle":"","parse-names":false,"suffix":""},{"dropping-particle":"","family":"Folléa","given":"Gilles","non-dropping-particle":"","parse-names":false,"suffix":""},{"dropping-particle":"","family":"Seifried","given":"Erhard","non-dropping-particle":"","parse-names":false,"suffix":""},{"dropping-particle":"","family":"Müller","given":"Markus M.","non-dropping-particle":"","parse-names":false,"suffix":""},{"dropping-particle":"","family":"Geisen","given":"Christof","non-dropping-particle":"","parse-names":false,"suffix":""},{"dropping-particle":"","family":"Aranko","given":"Kari","non-dropping-particle":"","parse-names":false,"suffix":""},{"dropping-particle":"","family":"Zacharowski","given":"Kai","non-dropping-particle":"","parse-names":false,"suffix":""},{"dropping-particle":"","family":"Meybohm","given":"Patrick","non-dropping-particle":"","parse-names":false,"suffix":""}],"container-title":"Vox Sanguinis","id":"ITEM-3","issue":"3","issued":{"date-parts":[["2020"]]},"page":"182-191","title":"Programmes for the management of preoperative anaemia: audit in ten European hospitals within the PaBloE (Patient Blood Management in Europe) Working Group","type":"article-journal","volume":"115"},"uris":["http://www.mendeley.com/documents/?uuid=e0d9318d-0528-4fcd-8181-6444231b47f8"]},{"id":"ITEM-4","itemData":{"DOI":"http://dx.doi.org/10.2450/2017.0177-16","ISSN":"1723-2007","abstract":"In patients undergoing major orthopaedic surgery, pre-operative anaemia, peri-operative bleeding and a liberal transfusion policy are the main risk factors for requiring red blood cell transfusion (RBCT). The clinical and economic disadvantages of RBCT have led to the development and implementation of multidisciplinary, multimodal, individualised strategies, collectively termed patient blood management, which aim to reduce RBCT and improve patients' clinical outcome and safety. Within a patient blood management programme, low pre-operative haemoglobin is one of the few modifiable risk factors for RBCT. However, a survey among Anaesthesia Departments in Spain revealed that, although preoperative assessment was performed in the vast majority of hospitals, optimisation of haemoglobin concentration was attempted in &lt;40% of patients who may have benefitted from it, despite there being enough time prior to surgery. This indicates that haemoglobin optimisation takes planning and forethought to be implemented in an effective manner. This review, based on available clinical evidence and our experience, is intended to provide clinicians with a practical tool to optimise pre-operative haemoglobin levels, in order to minimise the risk of patients requiring RBCT. To this purpose, after reviewing the diagnostic value and limitations of available laboratory parameters, we developed an algorithm for the detection, classification and treatment of pre-operative anaemia, with a patienttailored approach that facilitates decision-making in the pre-operative assessment. We also reviewed the efficacy of the different pharmacological options for pre-operative and post-operative management of anaemia. We consider that such an institutional pathway for anaemia management could be a viable, cost-effective strategy that is beneficial to both patients and healthcare systems.Copyright © SIMTI Servizi Srl.","author":[{"dropping-particle":"","family":"Bisbe","given":"E","non-dropping-particle":"","parse-names":false,"suffix":""},{"dropping-particle":"","family":"Basora","given":"M","non-dropping-particle":"","parse-names":false,"suffix":""}],"container-title":"Blood Transfusion","id":"ITEM-4","issue":"4","issued":{"date-parts":[["2017"]]},"page":"296-306","title":"Peri-operative treatment of anaemia in major orthopaedic surgery: A practical approach from Spain","type":"article-journal","volume":"15"},"uris":["http://www.mendeley.com/documents/?uuid=be89ae47-6de7-4f78-b55e-dcf0b316ef73"]}],"mendeley":{"formattedCitation":"(13–16)","plainTextFormattedCitation":"(13–16)","previouslyFormattedCitation":"(13–16)"},"properties":{"noteIndex":0},"schema":"https://github.com/citation-style-language/schema/raw/master/csl-citation.json"}</w:instrText>
      </w:r>
      <w:r w:rsidR="000F6BF9">
        <w:fldChar w:fldCharType="separate"/>
      </w:r>
      <w:r w:rsidR="000F6BF9" w:rsidRPr="000F6BF9">
        <w:rPr>
          <w:noProof/>
        </w:rPr>
        <w:t>(13–16)</w:t>
      </w:r>
      <w:r w:rsidR="000F6BF9">
        <w:fldChar w:fldCharType="end"/>
      </w:r>
      <w:r w:rsidR="00191D50">
        <w:t>.</w:t>
      </w:r>
      <w:r w:rsidR="000F6BF9">
        <w:t xml:space="preserve"> As such</w:t>
      </w:r>
      <w:r w:rsidR="00B9376C">
        <w:t>,</w:t>
      </w:r>
      <w:r w:rsidR="000F6BF9">
        <w:t xml:space="preserve"> an alternative approach to </w:t>
      </w:r>
      <w:r w:rsidR="00B9376C">
        <w:t xml:space="preserve">the </w:t>
      </w:r>
      <w:r w:rsidR="000F6BF9">
        <w:t xml:space="preserve">implementation of these guidelines is warranted. </w:t>
      </w:r>
    </w:p>
    <w:p w14:paraId="155AEE9C" w14:textId="6221630C" w:rsidR="00173094" w:rsidRPr="00610F23" w:rsidRDefault="00F74E65" w:rsidP="00327B6F">
      <w:pPr>
        <w:spacing w:line="480" w:lineRule="auto"/>
        <w:rPr>
          <w:color w:val="131413"/>
        </w:rPr>
      </w:pPr>
      <w:r>
        <w:t>The development and implementation of clinical guidelines is intended to improve the quality, outcomes and cost-effectiveness</w:t>
      </w:r>
      <w:r w:rsidRPr="00B6358E">
        <w:t xml:space="preserve"> </w:t>
      </w:r>
      <w:r>
        <w:t xml:space="preserve">of patient care </w:t>
      </w:r>
      <w:r>
        <w:fldChar w:fldCharType="begin" w:fldLock="1"/>
      </w:r>
      <w:r w:rsidR="00AF4C45">
        <w:instrText>ADDIN CSL_CITATION {"citationItems":[{"id":"ITEM-1","itemData":{"DOI":"10.3390/healthcare4030036","ISSN":"2227-9032","PMID":"27417624","abstract":"Research indicates that clinical guidelines are often not applied. The success of their implementation depends on the consideration of a variety of barriers and the use of adequate strategies to overcome them. Therefore, this scoping review aims to describe and categorize the most important barriers to guideline implementation. Furthermore, it provides an overview of different kinds of suitable strategies that are tailored to overcome these barriers. The search algorithm led to the identification of 1659 articles in PubMed. Overall, 69 articles were included in the data synthesis. The content of these articles was analysed by using a qualitative synthesis approach, to extract the most important information on barriers and strategies. The barriers to guideline implementation can be differentiated into personal factors, guideline-related factors, and external factors. The scoping review revealed the following aspects as central elements of successful strategies for guideline implementation: dissemination, education and training, social interaction, decision support systems and standing orders. Available evidence indicates that a structured implementation can improve adherence to guidelines. Therefore, the barriers to guideline implementation and adherence need to be analysed in advance so that strategies that are tailored to the specific setting and target groups can be developed.","author":[{"dropping-particle":"","family":"Fischer","given":"Florian","non-dropping-particle":"","parse-names":false,"suffix":""},{"dropping-particle":"","family":"Lange","given":"Kerstin","non-dropping-particle":"","parse-names":false,"suffix":""},{"dropping-particle":"","family":"Klose","given":"Kristina","non-dropping-particle":"","parse-names":false,"suffix":""},{"dropping-particle":"","family":"Greiner","given":"Wolfgang","non-dropping-particle":"","parse-names":false,"suffix":""},{"dropping-particle":"","family":"Kraemer","given":"Alexander","non-dropping-particle":"","parse-names":false,"suffix":""}],"container-title":"Healthcare","id":"ITEM-1","issue":"3","issued":{"date-parts":[["2016"]]},"page":"36","title":"Barriers and strategies in guideline implementation — a scoping review","type":"article-journal","volume":"4"},"uris":["http://www.mendeley.com/documents/?uuid=8594788c-956c-4da4-834c-f00e4b9838b2"]}],"mendeley":{"formattedCitation":"(17)","plainTextFormattedCitation":"(17)","previouslyFormattedCitation":"(17)"},"properties":{"noteIndex":0},"schema":"https://github.com/citation-style-language/schema/raw/master/csl-citation.json"}</w:instrText>
      </w:r>
      <w:r>
        <w:fldChar w:fldCharType="separate"/>
      </w:r>
      <w:r w:rsidR="000F6BF9" w:rsidRPr="000F6BF9">
        <w:rPr>
          <w:noProof/>
        </w:rPr>
        <w:t>(17)</w:t>
      </w:r>
      <w:r>
        <w:fldChar w:fldCharType="end"/>
      </w:r>
      <w:r w:rsidR="00191D50">
        <w:t>.</w:t>
      </w:r>
      <w:r>
        <w:t xml:space="preserve"> However, as these two examples highlight, the implementation of clinical guidelines is challenging.</w:t>
      </w:r>
      <w:r w:rsidR="00AF4C45">
        <w:t xml:space="preserve"> </w:t>
      </w:r>
      <w:r w:rsidR="006C2278">
        <w:rPr>
          <w:color w:val="131413"/>
        </w:rPr>
        <w:t>T</w:t>
      </w:r>
      <w:r w:rsidR="00B9376C">
        <w:rPr>
          <w:color w:val="131413"/>
        </w:rPr>
        <w:t>he following barriers to guideline implementation</w:t>
      </w:r>
      <w:r w:rsidR="006C2278">
        <w:rPr>
          <w:color w:val="131413"/>
        </w:rPr>
        <w:t xml:space="preserve"> have been identified in previous systematic reviews</w:t>
      </w:r>
      <w:r w:rsidR="00B9376C">
        <w:rPr>
          <w:color w:val="131413"/>
        </w:rPr>
        <w:t>:</w:t>
      </w:r>
      <w:r w:rsidR="00596213">
        <w:rPr>
          <w:color w:val="131413"/>
        </w:rPr>
        <w:t xml:space="preserve"> guidelines</w:t>
      </w:r>
      <w:r w:rsidR="00D15330">
        <w:rPr>
          <w:color w:val="131413"/>
        </w:rPr>
        <w:t xml:space="preserve"> that</w:t>
      </w:r>
      <w:r w:rsidR="00596213">
        <w:rPr>
          <w:color w:val="131413"/>
        </w:rPr>
        <w:t xml:space="preserve"> </w:t>
      </w:r>
      <w:r w:rsidR="00B9376C">
        <w:rPr>
          <w:color w:val="131413"/>
        </w:rPr>
        <w:t xml:space="preserve">are </w:t>
      </w:r>
      <w:r w:rsidR="00596213">
        <w:rPr>
          <w:color w:val="131413"/>
        </w:rPr>
        <w:t>complex to implement</w:t>
      </w:r>
      <w:r w:rsidR="00B9376C">
        <w:rPr>
          <w:color w:val="131413"/>
        </w:rPr>
        <w:t>;</w:t>
      </w:r>
      <w:r w:rsidR="00596213">
        <w:rPr>
          <w:color w:val="131413"/>
        </w:rPr>
        <w:t xml:space="preserve"> healthcare professionals lack</w:t>
      </w:r>
      <w:r w:rsidR="00417AFF">
        <w:rPr>
          <w:color w:val="131413"/>
        </w:rPr>
        <w:t xml:space="preserve"> </w:t>
      </w:r>
      <w:r w:rsidR="00596213">
        <w:rPr>
          <w:color w:val="131413"/>
        </w:rPr>
        <w:t>awareness or understanding</w:t>
      </w:r>
      <w:r w:rsidR="00B9376C">
        <w:rPr>
          <w:color w:val="131413"/>
        </w:rPr>
        <w:t>;</w:t>
      </w:r>
      <w:r w:rsidR="00596213">
        <w:rPr>
          <w:color w:val="131413"/>
        </w:rPr>
        <w:t xml:space="preserve"> organisational constraints</w:t>
      </w:r>
      <w:r w:rsidR="00B9376C">
        <w:rPr>
          <w:color w:val="131413"/>
        </w:rPr>
        <w:t>;</w:t>
      </w:r>
      <w:r w:rsidR="00596213">
        <w:rPr>
          <w:color w:val="131413"/>
        </w:rPr>
        <w:t xml:space="preserve"> and a lack of resource</w:t>
      </w:r>
      <w:r w:rsidR="00B9376C">
        <w:rPr>
          <w:color w:val="131413"/>
        </w:rPr>
        <w:t>s</w:t>
      </w:r>
      <w:r w:rsidR="00596213">
        <w:rPr>
          <w:color w:val="131413"/>
        </w:rPr>
        <w:t xml:space="preserve"> or collaboration. </w:t>
      </w:r>
      <w:r w:rsidR="00417AFF">
        <w:rPr>
          <w:color w:val="131413"/>
        </w:rPr>
        <w:t xml:space="preserve">However, </w:t>
      </w:r>
      <w:r w:rsidR="00596213">
        <w:t xml:space="preserve">implementation strategies that </w:t>
      </w:r>
      <w:r w:rsidR="00B9376C">
        <w:t xml:space="preserve">i) </w:t>
      </w:r>
      <w:r w:rsidR="00596213">
        <w:t>are multifaceted</w:t>
      </w:r>
      <w:r w:rsidR="00417AFF">
        <w:t xml:space="preserve"> and adequately resourced;</w:t>
      </w:r>
      <w:r w:rsidR="00596213">
        <w:t xml:space="preserve"> </w:t>
      </w:r>
      <w:r w:rsidR="00B9376C">
        <w:t xml:space="preserve">ii) </w:t>
      </w:r>
      <w:r w:rsidR="00596213">
        <w:t>incorporate guideline dissemination, education, audit and feedback</w:t>
      </w:r>
      <w:r w:rsidR="00417AFF">
        <w:t>;</w:t>
      </w:r>
      <w:r w:rsidR="00596213">
        <w:t xml:space="preserve"> </w:t>
      </w:r>
      <w:r w:rsidR="00B9376C">
        <w:t xml:space="preserve">and iii) </w:t>
      </w:r>
      <w:r w:rsidR="00596213">
        <w:t>actively engage clinicians and improve multi-professional collaboration</w:t>
      </w:r>
      <w:r w:rsidR="00417AFF">
        <w:t>,</w:t>
      </w:r>
      <w:r w:rsidR="00596213">
        <w:t xml:space="preserve"> are </w:t>
      </w:r>
      <w:r w:rsidR="00AF4C45">
        <w:t xml:space="preserve">more </w:t>
      </w:r>
      <w:r w:rsidR="00596213">
        <w:t xml:space="preserve">likely to </w:t>
      </w:r>
      <w:r w:rsidR="00173094">
        <w:t>succeed</w:t>
      </w:r>
      <w:r w:rsidR="00596213">
        <w:t xml:space="preserve"> </w:t>
      </w:r>
      <w:r w:rsidR="00596213">
        <w:fldChar w:fldCharType="begin" w:fldLock="1"/>
      </w:r>
      <w:r w:rsidR="00AF4C45">
        <w:instrText>ADDIN CSL_CITATION {"citationItems":[{"id":"ITEM-1","itemData":{"DOI":"10.1111/j.1365-2753.2008.01014.x","ISSN":"13561294","PMID":"19018923","abstract":"Objective: To establish the effectiveness of clinical guideline implementation strategies. Data sources/study setting: Systematic reviews in full text, English language, 1987-2007, reporting any measure of clinical process change or cost-benefit analysis. Study design: Overview of secondary evidence Data collection/extraction methods: Independent critical appraisal using AMSTAR, primary author undertaking all data extraction using a purpose-built form. Principal findings: We identified 144 potential papers, from which 33 systematic reviews were included. These reflected 714 primary studies involving 22 512 clinicians, in a range of health care settings. Implementation strategies were varied, rarely comparable, with variable outcomes. Effective implementation strategies included multifaceted interventions, interactive education and clinical reminder systems. Didactic education and passive dissemination strategies were ineffective. Cost-effectiveness studies were rare. Conclusions: Successful guideline implementation strategies should be multifaceted, and actively engage clinicians throughout the process. © 2008 The Authors.","author":[{"dropping-particle":"","family":"Prior","given":"Mathew","non-dropping-particle":"","parse-names":false,"suffix":""},{"dropping-particle":"","family":"Guerin","given":"Michelle","non-dropping-particle":"","parse-names":false,"suffix":""},{"dropping-particle":"","family":"Grimmer-Somers","given":"Karen","non-dropping-particle":"","parse-names":false,"suffix":""}],"container-title":"Journal of Evaluation in Clinical Practice","id":"ITEM-1","issue":"5","issued":{"date-parts":[["2008"]]},"page":"888-897","title":"The effectiveness of clinical guideline implementation strategies - A synthesis of systematic review findings","type":"article-journal","volume":"14"},"uris":["http://www.mendeley.com/documents/?uuid=1969acf0-3a94-491d-8409-6f66a542dd76"]},{"id":"ITEM-2","itemData":{"DOI":"10.1186/s13012-017-0560-5","ISSN":"17485908","PMID":"28259168","abstract":"Background: Systematic reviews consistently indicate that interventions to change healthcare professional (HCP) behaviour are haphazardly designed and poorly specified. Clarity about methods for designing and specifying interventions is needed. The objective of this review was to identify published methods for designing interventions to change HCP behaviour. Methods: A search of MEDLINE, Embase, and PsycINFO was conducted from 1996 to April 2015. Using inclusion/exclusion criteria, a broad screen of abstracts by one rater was followed by a strict screen of full text for all potentially relevant papers by three raters. An inductive approach was first applied to the included studies to identify commonalities and differences between the descriptions of methods across the papers. Based on this process and knowledge of related literatures, we developed a data extraction framework that included, e.g. level of change (e.g. individual versus organization); context of development; a brief description of the method; tasks included in the method (e.g. barrier identification, component selection, use of theory). Results: 3966 titles and abstracts and 64 full-text papers were screened to yield 15 papers included in the review, each outlining one design method. All of the papers reported methods developed within a specific context. Thirteen papers included barrier identification and 13 included linking barriers to intervention components; although not the same 13 papers. Thirteen papers targeted individual HCPs with only one paper targeting change across individual, organization, and system levels. The use of theory and user engagement were included in 13/15 and 13/15 papers, respectively. Conclusions: There is an agreement across methods of four tasks that need to be completed when designing individual-level interventions: identifying barriers, selecting intervention components, using theory, and engaging end-users. Methods also consist of further additional tasks. Examples of methods for designing the organisation and system-level interventions were limited. Further analysis of design tasks could facilitate the development of detailed guidelines for designing interventions.","author":[{"dropping-particle":"","family":"Colquhoun","given":"Heather L.","non-dropping-particle":"","parse-names":false,"suffix":""},{"dropping-particle":"","family":"Squires","given":"Janet E.","non-dropping-particle":"","parse-names":false,"suffix":""},{"dropping-particle":"","family":"Kolehmainen","given":"Niina","non-dropping-particle":"","parse-names":false,"suffix":""},{"dropping-particle":"","family":"Fraser","given":"Cynthia","non-dropping-particle":"","parse-names":false,"suffix":""},{"dropping-particle":"","family":"Grimshaw","given":"Jeremy M.","non-dropping-particle":"","parse-names":false,"suffix":""}],"container-title":"Implementation Science","id":"ITEM-2","issue":"1","issued":{"date-parts":[["2017"]]},"page":"1-11","title":"Methods for designing interventions to change healthcare professionals' behaviour: A systematic review","type":"article-journal","volume":"12"},"uris":["http://www.mendeley.com/documents/?uuid=370470ef-e015-480e-a498-f9f7809f18cc"]},{"id":"ITEM-3","itemData":{"DOI":"10.3390/healthcare4030036","ISSN":"2227-9032","PMID":"27417624","abstract":"Research indicates that clinical guidelines are often not applied. The success of their implementation depends on the consideration of a variety of barriers and the use of adequate strategies to overcome them. Therefore, this scoping review aims to describe and categorize the most important barriers to guideline implementation. Furthermore, it provides an overview of different kinds of suitable strategies that are tailored to overcome these barriers. The search algorithm led to the identification of 1659 articles in PubMed. Overall, 69 articles were included in the data synthesis. The content of these articles was analysed by using a qualitative synthesis approach, to extract the most important information on barriers and strategies. The barriers to guideline implementation can be differentiated into personal factors, guideline-related factors, and external factors. The scoping review revealed the following aspects as central elements of successful strategies for guideline implementation: dissemination, education and training, social interaction, decision support systems and standing orders. Available evidence indicates that a structured implementation can improve adherence to guidelines. Therefore, the barriers to guideline implementation and adherence need to be analysed in advance so that strategies that are tailored to the specific setting and target groups can be developed.","author":[{"dropping-particle":"","family":"Fischer","given":"Florian","non-dropping-particle":"","parse-names":false,"suffix":""},{"dropping-particle":"","family":"Lange","given":"Kerstin","non-dropping-particle":"","parse-names":false,"suffix":""},{"dropping-particle":"","family":"Klose","given":"Kristina","non-dropping-particle":"","parse-names":false,"suffix":""},{"dropping-particle":"","family":"Greiner","given":"Wolfgang","non-dropping-particle":"","parse-names":false,"suffix":""},{"dropping-particle":"","family":"Kraemer","given":"Alexander","non-dropping-particle":"","parse-names":false,"suffix":""}],"container-title":"Healthcare","id":"ITEM-3","issue":"3","issued":{"date-parts":[["2016"]]},"page":"36","title":"Barriers and strategies in guideline implementation — a scoping review","type":"article-journal","volume":"4"},"uris":["http://www.mendeley.com/documents/?uuid=8594788c-956c-4da4-834c-f00e4b9838b2"]},{"id":"ITEM-4","itemData":{"DOI":"10.1186/1472-6947-8-38","ISBN":"1472694783","ISSN":"14726947","PMID":"18789150","abstract":"Background. Nowadays more and more clinical guidelines for health care professionals are being developed. However, this does not automatically mean that these guidelines are actually implemented. The aim of this meta-review is twofold: firstly, to gain a better understanding of which factors affect the implementation of guidelines, and secondly, to provide insight into the \"state-of-the-art\" regarding research within this field. Methods. A search of five literature databases and one website was performed to find relevant existing systematic reviews or meta-reviews. Subsequently, a two-step inclusion process was conducted: (1) screening on the basis of references and abstracts and (2) screening based on full-text papers. After that, relevant data from the included reviews were extracted and the methodological quality of the reviews was assessed by using the Quality Assessment Checklist for Reviews. Results. Twelve systematic reviews met our inclusion criteria. No previous systematic meta-reviews meeting all our inclusion criteria were found. Two of the twelve reviews scored high on the checklist used, indicating only \"minimal\" or \"minor flaws\". The other ten reviews scored in the lowest of middle ranges, indicating \"extensive\" or \"major\" flaws. A substantial proportion (although not all) of the reviews indicates that effective strategies often have multiple components and that the use of one single strategy, such as reminders only or an educational intervention, is less effective. Besides, characteristics of the guidelines themselves affect actual use. For instance, guidelines that are easy to understand, can easily be tried out, and do not require specific resources, have a greater chance of implementation. In addition, characteristics of professionals - e.g., awareness of the existence of the guideline and familiarity with its content - likewise affect implementation. Furthermore, patient characteristics appear to exert influence: for instance, co-morbidity reduces the chance that guidelines are followed. Finally, environmental characteristics may influence guideline implementation. For example, a lack of support from peers or superiors, as well as insufficient staff and time, appear to be the main impediments. Conclusion. Existing reviews describe various factors that influence whether guidelines are actually used. However, the evidence base is still thin, and future sound research - for instance comparing combinations of implementation strategies ver…","author":[{"dropping-particle":"","family":"Francke","given":"Anneke L.","non-dropping-particle":"","parse-names":false,"suffix":""},{"dropping-particle":"","family":"Smit","given":"Marieke C.","non-dropping-particle":"","parse-names":false,"suffix":""},{"dropping-particle":"","family":"Veer","given":"Anke J.E.","non-dropping-particle":"De","parse-names":false,"suffix":""},{"dropping-particle":"","family":"Mistiaen","given":"Patriek","non-dropping-particle":"","parse-names":false,"suffix":""}],"container-title":"BMC Medical Informatics and Decision Making","id":"ITEM-4","issued":{"date-parts":[["2008"]]},"page":"1-11","title":"Factors influencing the implementation of clinical guidelines for health care professionals: A systematic meta-review","type":"article-journal","volume":"8"},"uris":["http://www.mendeley.com/documents/?uuid=09ea3296-1a79-49f7-ab71-cd867763531f"]},{"id":"ITEM-5","itemData":{"DOI":"10.1186/s13643-018-0734-5","ISSN":"20464053","PMID":"29729669","abstract":"Background: Organizational contextual features have been recognized as important determinants for implementing evidence-based practices across healthcare settings for over a decade. However, implementation scientists have not reached consensus on which features are most important for implementing evidence-based practices. The aims of this review were to identify the most commonly reported organizational contextual features that influence the implementation of evidence-based practices across healthcare settings, and to describe how these features affect implementation. Methods: An integrative review was undertaken following literature searches in CINAHL, MEDLINE, PsycINFO, EMBASE, Web of Science, and Cochrane databases from January 2005 to June 2017. English language, peer-reviewed empirical studies exploring organizational context in at least one implementation initiative within a healthcare setting were included. Quality appraisal of the included studies was performed using the Mixed Methods Appraisal Tool. Inductive content analysis informed data extraction and reduction. Results: The search generated 5152 citations. After removing duplicates and applying eligibility criteria, 36 journal articles were included. The majority (n=20) of the study designs were qualitative, 11 were quantitative, and 5 used a mixed methods approach. Six main organizational contextual features (organizational culture; leadership; networks and communication; resources; evaluation, monitoring and feedback; and champions) were most commonly reported to influence implementation outcomes in the selected studies across a wide range of healthcare settings. Conclusions: We identified six organizational contextual features that appear to be interrelated and work synergistically to influence the implementation of evidence-based practices within an organization. Organizational contextual features did not influence implementation efforts independently from other features. Rather, features were interrelated and often influenced each other in complex, dynamic ways to effect change. These features corresponded to the constructs in the Consolidated Framework for Implementation Research (CFIR), which supports the use of CFIR as a guiding framework for studies that explore the relationship between organizational context and implementation. Organizational culture was most commonly reported to affect implementation. Leadership exerted influence on the five other features, indicating it may be a…","author":[{"dropping-particle":"","family":"Li","given":"Shelly Anne","non-dropping-particle":"","parse-names":false,"suffix":""},{"dropping-particle":"","family":"Jeffs","given":"Lianne","non-dropping-particle":"","parse-names":false,"suffix":""},{"dropping-particle":"","family":"Barwick","given":"Melanie","non-dropping-particle":"","parse-names":false,"suffix":""},{"dropping-particle":"","family":"Stevens","given":"Bonnie","non-dropping-particle":"","parse-names":false,"suffix":""}],"container-title":"Systematic Reviews","id":"ITEM-5","issue":"1","issued":{"date-parts":[["2018"]]},"title":"Organizational contextual features that influence the implementation of evidence-based practices across healthcare settings: A systematic integrative review","type":"article-journal","volume":"7"},"uris":["http://www.mendeley.com/documents/?uuid=5950b858-5bf4-4388-87e2-d0930cf5cb56"]},{"id":"ITEM-6","itemData":{"DOI":"10.1186/s13012-018-0726-9","ISBN":"1301201807269","ISSN":"17485908","PMID":"29475440","abstract":"Background: Translation of evidence-based interventions into hospital systems can provide immediate and substantial benefits to patient care and outcomes, but successful implementation is often not achieved. Existing literature describes a range of barriers and facilitators to the implementation process. This systematic review identifies and explores relationships between these barriers and facilitators to highlight key domains that need to be addressed by researchers and clinicians seeking to implement hospital-based, patient-focused interventions. Methods: We searched MEDLINE, PsychInfo, Embase, Web of Science, and CINAHL using search terms focused specifically on barriers and facilitators to the implementation of patient-focused interventions in hospital settings. To be eligible, papers needed to have collected formal data (qualitative or quantitative) that specifically assessed the implementation process, as experienced by the staff involved. Results: Of 4239 papers initially retrieved, 43 papers met inclusion criteria. Staff-identified barriers and facilitators to implementation were grouped into three main domains: system, staff, and intervention. Bi-directional associations were evident between these domains, with the strongest links evident between staff and intervention. Conclusions: Researchers and health professionals engaged in designing patient-focused interventions need to consider barriers and facilitators across all three identified domains to increase the likelihood of implementation success. The interrelationships between domains are also crucial, as resources in one area can be leveraged to address barriers in others. These findings emphasize the importance of careful intervention design and pre-implementation planning in response to the specific system and staff context in order to increase likelihood of effective and sustainable implementation.","author":[{"dropping-particle":"","family":"Geerligs","given":"Liesbeth","non-dropping-particle":"","parse-names":false,"suffix":""},{"dropping-particle":"","family":"Rankin","given":"Nicole M.","non-dropping-particle":"","parse-names":false,"suffix":""},{"dropping-particle":"","family":"Shepherd","given":"Heather L.","non-dropping-particle":"","parse-names":false,"suffix":""},{"dropping-particle":"","family":"Butow","given":"Phyllis","non-dropping-particle":"","parse-names":false,"suffix":""}],"container-title":"Implementation Science","id":"ITEM-6","issue":"1","issued":{"date-parts":[["2018"]]},"page":"1-17","title":"Hospital-based interventions: A systematic review of staff-reported barriers and facilitators to implementation processes","type":"article-journal","volume":"13"},"uris":["http://www.mendeley.com/documents/?uuid=24d2a965-dc03-44cd-89e1-d03072437eb4"]}],"mendeley":{"formattedCitation":"(17–22)","plainTextFormattedCitation":"(17–22)","previouslyFormattedCitation":"(17–22)"},"properties":{"noteIndex":0},"schema":"https://github.com/citation-style-language/schema/raw/master/csl-citation.json"}</w:instrText>
      </w:r>
      <w:r w:rsidR="00596213">
        <w:fldChar w:fldCharType="separate"/>
      </w:r>
      <w:r w:rsidR="00AF4C45" w:rsidRPr="00AF4C45">
        <w:rPr>
          <w:noProof/>
        </w:rPr>
        <w:t>(17–22)</w:t>
      </w:r>
      <w:r w:rsidR="00596213">
        <w:fldChar w:fldCharType="end"/>
      </w:r>
      <w:r w:rsidR="00191D50">
        <w:t>.</w:t>
      </w:r>
    </w:p>
    <w:p w14:paraId="2A454AB4" w14:textId="2F12D444" w:rsidR="00A557BE" w:rsidRDefault="00B9376C" w:rsidP="00327B6F">
      <w:pPr>
        <w:spacing w:line="480" w:lineRule="auto"/>
      </w:pPr>
      <w:r>
        <w:t>Q</w:t>
      </w:r>
      <w:r w:rsidR="00AF4C45">
        <w:t>ualitative work specifically focussing on the barriers and facilitators to</w:t>
      </w:r>
      <w:r>
        <w:t xml:space="preserve"> the</w:t>
      </w:r>
      <w:r w:rsidR="00AF4C45">
        <w:t xml:space="preserve"> </w:t>
      </w:r>
      <w:r w:rsidR="00A73B90">
        <w:t>implementation</w:t>
      </w:r>
      <w:r>
        <w:t xml:space="preserve"> of</w:t>
      </w:r>
      <w:r w:rsidR="00AF4C45">
        <w:t xml:space="preserve"> preoperative anaemia optimisation pathways</w:t>
      </w:r>
      <w:r>
        <w:t xml:space="preserve"> have reported similar findings</w:t>
      </w:r>
      <w:r w:rsidR="00AF4C45" w:rsidRPr="00AF4C45">
        <w:t xml:space="preserve"> </w:t>
      </w:r>
      <w:r w:rsidR="00AF4C45">
        <w:fldChar w:fldCharType="begin" w:fldLock="1"/>
      </w:r>
      <w:r w:rsidR="00AF4C45">
        <w:instrText>ADDIN CSL_CITATION {"citationItems":[{"id":"ITEM-1","itemData":{"DOI":"10.1016/j.jhin.2018.07.019","ISSN":"15322939","PMID":"30031167","abstract":"Background: Various measures are considered to reduce the risk of surgical site infection (SSI), including preoperative decolonization. Details of preoperative decolonization practices in surgical departments have not been investigated in Austria. Aim: To analyse the current situation of pre-surgical patient decolonization in national hospitals and to assess the current knowledge on this procedure among surgeons of different surgical disciplines. Methods: A 12-point structured questionnaire was distributed to all Austrian hospitals with at least one surgical department. Findings: Two-thirds (103/158; 65%) of responding surgeons stated that any type of preoperative decolonization is implemented in their surgical department. There was heterogeneity of different protocols, ranging from decolonization of only known S. aureus carriers, of a subgroup of patients, or universal decolonization of all patients before elective surgery. Octenidine was the most frequently used antimicrobial compound (60.2%), followed by mupirocin (38.8%), triclosan (14.6%), polyhexanide (12.6%), chlorhexidine (11.7%), and didecyldimonium chloride (7.8%). Conclusion: Preoperative decolonization seems to be performed in Austrian hospitals on a routine basis. However, this measure is implemented using a variety of modalities, antimicrobial compounds, and staff. Since our survey also demonstrated that those who are better informed about preoperative decolonization are also those who are more convinced of the usefulness of the preventive measure, future activities should not only focus on generating more comparable studies in this field, but should also include targeted education.","author":[{"dropping-particle":"","family":"Tschelaut","given":"L.","non-dropping-particle":"","parse-names":false,"suffix":""},{"dropping-particle":"","family":"Assadian","given":"O.","non-dropping-particle":"","parse-names":false,"suffix":""},{"dropping-particle":"","family":"Strauss","given":"R.","non-dropping-particle":"","parse-names":false,"suffix":""},{"dropping-particle":"","family":"Matiasek","given":"J.","non-dropping-particle":"","parse-names":false,"suffix":""},{"dropping-particle":"","family":"Beer","given":"M.","non-dropping-particle":"","parse-names":false,"suffix":""},{"dropping-particle":"","family":"Angerler","given":"G.","non-dropping-particle":"","parse-names":false,"suffix":""},{"dropping-particle":"","family":"Berger-Grabner","given":"D.","non-dropping-particle":"","parse-names":false,"suffix":""},{"dropping-particle":"","family":"Presterl","given":"E.","non-dropping-particle":"","parse-names":false,"suffix":""}],"container-title":"Journal of Hospital Infection","id":"ITEM-1","issue":"4","issued":{"date-parts":[["2018"]]},"page":"386-392","title":"A survey on current knowledge, practice and beliefs related to preoperative antimicrobial decolonization regimens for prevention of surgical site infections among Austrian surgeons","type":"article-journal","volume":"100"},"uris":["http://www.mendeley.com/documents/?uuid=7c0b9e19-9ef3-4965-8196-f39d576d8591"]},{"id":"ITEM-2","itemData":{"DOI":"10.1093/bja/aev165","ISSN":"00070912","author":[{"dropping-particle":"","family":"Muñoz","given":"M.","non-dropping-particle":"","parse-names":false,"suffix":""},{"dropping-particle":"","family":"Gómez-Ramírez","given":"S.","non-dropping-particle":"","parse-names":false,"suffix":""},{"dropping-particle":"","family":"Kozek-Langeneker","given":"S.","non-dropping-particle":"","parse-names":false,"suffix":""},{"dropping-particle":"","family":"Shander","given":"A","non-dropping-particle":"","parse-names":false,"suffix":""},{"dropping-particle":"","family":"Richards","given":"T","non-dropping-particle":"","parse-names":false,"suffix":""},{"dropping-particle":"","family":"Pavía","given":"J","non-dropping-particle":"","parse-names":false,"suffix":""},{"dropping-particle":"","family":"Kehlet","given":"H","non-dropping-particle":"","parse-names":false,"suffix":""},{"dropping-particle":"","family":"Acheson","given":"A.G.","non-dropping-particle":"","parse-names":false,"suffix":""},{"dropping-particle":"","family":"Evans","given":"C","non-dropping-particle":"","parse-names":false,"suffix":""},{"dropping-particle":"","family":"Raobaikady","given":"R","non-dropping-particle":"","parse-names":false,"suffix":""},{"dropping-particle":"","family":"Javidroozi","given":"M","non-dropping-particle":"","parse-names":false,"suffix":""},{"dropping-particle":"","family":"Auerbach","given":"M","non-dropping-particle":"","parse-names":false,"suffix":""}],"container-title":"British Journal of Anaesthesia","id":"ITEM-2","issue":"1","issued":{"date-parts":[["2015","7"]]},"page":"15-24","title":"‘Fit to fly’: overcoming barriers to preoperative haemoglobin optimization in surgical patients","type":"article-journal","volume":"115"},"uris":["http://www.mendeley.com/documents/?uuid=a01f4cc6-e550-46af-b6cb-bdb990b79eaa"]},{"id":"ITEM-3","itemData":{"author":[{"dropping-particle":"","family":"NHS Blood and Transplant","given":"","non-dropping-particle":"","parse-names":false,"suffix":""}],"id":"ITEM-3","issued":{"date-parts":[["2016"]]},"title":"National comparative audit of blood transfusion - repeat audit of patient blood management in adults undergoing elective, scheduled surgery","type":"report"},"uris":["http://www.mendeley.com/documents/?uuid=6568f276-83f3-42c1-a017-e1e9bee25464"]},{"id":"ITEM-4","itemData":{"DOI":"10.1186/s13012-020-0965-4","ISSN":"17485908","PMID":"31952514","abstract":"Background: Blood transfusions are associated with a range of adverse patient outcomes, including coagulopathy, immunomodulation and haemolysis, which increase the risk of morbidity and mortality. Consideration of these risks and potential benefits are necessary when deciding to transfuse. Patient blood management (PBM) guidelines exist to assist in clinical decision-making, but they are underutilised. Exploration of barriers to the implementation and utilisation of the PBM guidelines is required. This study aimed to identify common barriers and implementation strategies used to implement PBM guidelines, with a comparison against current expert opinion. Methods: A restricted review approach was used to identify the barriers to PBM guideline implementation as reported by health professionals and to review which implementation strategies have been used. Searches were undertaken in MEDLINE/PubMed, CINAHL, Embase, Scopus and the Cochrane library. The Consolidated Framework for Implementation Research (CFIR) was used to code barriers. The Expert Recommendations for Implementing Change (ERIC) tool was used to code implementation strategies, and subsequently, develop recommendations based on expert opinion. Results: We identified 14 studies suitable for inclusion. There was a cluster of barriers commonly reported: access to knowledge and information (n = 7), knowledge and beliefs about the intervention (= 7) and tension for change (n = 6). Implementation strategies used varied widely (n = 25). Only one study reported the use of an implementation theory, model or framework. Most studies (n = 11) had at least 50% agreement with the ERIC recommendations. Conclusions: There are common barriers experienced by health professionals when trying to implement PBM guidelines. There is currently no conclusive evidence to suggest which implementation strategies are most effective. Further research using validated implementation approaches and improved reporting is required.","author":[{"dropping-particle":"","family":"Delaforce","given":"Alana","non-dropping-particle":"","parse-names":false,"suffix":""},{"dropping-particle":"","family":"Duff","given":"Jed","non-dropping-particle":"","parse-names":false,"suffix":""},{"dropping-particle":"","family":"Munday","given":"Judy","non-dropping-particle":"","parse-names":false,"suffix":""},{"dropping-particle":"","family":"Hardy","given":"Janet","non-dropping-particle":"","parse-names":false,"suffix":""}],"container-title":"Implementation Science","id":"ITEM-4","issue":"1","issued":{"date-parts":[["2020"]]},"page":"1-13","title":"Overcoming barriers to evidence-based patient blood management: A restricted review","type":"article-journal","volume":"15"},"uris":["http://www.mendeley.com/documents/?uuid=63323e79-3ba1-4079-90f0-3075896e5875"]},{"id":"ITEM-5","itemData":{"DOI":"10.2147/JMDH.S282308","ISSN":"1178-2390","author":[{"dropping-particle":"","family":"Delaforce","given":"Alana","non-dropping-particle":"","parse-names":false,"suffix":""},{"dropping-particle":"","family":"Duff","given":"Jed","non-dropping-particle":"","parse-names":false,"suffix":""},{"dropping-particle":"","family":"Munday","given":"Judy","non-dropping-particle":"","parse-names":false,"suffix":""},{"dropping-particle":"","family":"Hardy","given":"Janet","non-dropping-particle":"","parse-names":false,"suffix":""}],"container-title":"Journal of Multidisciplinary Healthcare","id":"ITEM-5","issued":{"date-parts":[["2020","12"]]},"page":"1759-1770","title":"Preoperative anemia and iron deficiency screening, evaluation and management: barrier identification and implementation strategy mapping","type":"article-journal","volume":"13"},"uris":["http://www.mendeley.com/documents/?uuid=3fb6c69d-2da9-4e6c-a40b-0812b91f6584"]}],"mendeley":{"formattedCitation":"(14,23–26)","plainTextFormattedCitation":"(14,23–26)","previouslyFormattedCitation":"(14,23–26)"},"properties":{"noteIndex":0},"schema":"https://github.com/citation-style-language/schema/raw/master/csl-citation.json"}</w:instrText>
      </w:r>
      <w:r w:rsidR="00AF4C45">
        <w:fldChar w:fldCharType="separate"/>
      </w:r>
      <w:r w:rsidR="00AF4C45" w:rsidRPr="00AF4C45">
        <w:rPr>
          <w:noProof/>
        </w:rPr>
        <w:t>(14,23–26)</w:t>
      </w:r>
      <w:r w:rsidR="00AF4C45">
        <w:fldChar w:fldCharType="end"/>
      </w:r>
      <w:r w:rsidR="00191D50">
        <w:t>.</w:t>
      </w:r>
    </w:p>
    <w:p w14:paraId="28AA247B" w14:textId="363377D5" w:rsidR="00A413D2" w:rsidRDefault="00FA2B45" w:rsidP="00327B6F">
      <w:pPr>
        <w:spacing w:line="480" w:lineRule="auto"/>
      </w:pPr>
      <w:r w:rsidRPr="00AD29B0">
        <w:t>Quality improvement programmes provide a framework to bridge the evidence-</w:t>
      </w:r>
      <w:r w:rsidRPr="003E2F54">
        <w:t xml:space="preserve">to-practice gap. One </w:t>
      </w:r>
      <w:r w:rsidR="00AF4C45">
        <w:t xml:space="preserve">increasingly popular </w:t>
      </w:r>
      <w:r w:rsidRPr="00035759">
        <w:t>technique is the quality improvement collaborative (QIC)</w:t>
      </w:r>
      <w:r w:rsidR="00A413D2">
        <w:t xml:space="preserve">. </w:t>
      </w:r>
      <w:r w:rsidR="00A413D2" w:rsidRPr="00035759">
        <w:t xml:space="preserve">The Institute for Healthcare Improvement developed the Breakthrough Series Collaborative methodology to design and deliver </w:t>
      </w:r>
      <w:r w:rsidR="00A413D2">
        <w:t>QICs</w:t>
      </w:r>
      <w:r w:rsidR="00A413D2" w:rsidRPr="00035759">
        <w:t xml:space="preserve"> </w:t>
      </w:r>
      <w:r w:rsidR="00AF4C45">
        <w:fldChar w:fldCharType="begin" w:fldLock="1"/>
      </w:r>
      <w:r w:rsidR="00AF4C45">
        <w:instrText>ADDIN CSL_CITATION {"citationItems":[{"id":"ITEM-1","itemData":{"ISBN":"9781906461119","abstract":"QQUIP and the Quality Enhancing Interventions project QQUIP (Quest for Quality and Improved Performance) is a five-year research initiative of The Health Foun-dation. QQUIP provides independent reports on a wide range of data about the quality of healthcare in the UK. It draws on the international evidence base to produce information on where healthcare resources are currently being spent, whether they provide value for money and how interventions in the UK and around the world have been used to improve healthcare quality. The Quality Enhancing Interventions component of the QQUIP initiative provides a series of structured evi-dence-based reviews of the effectiveness of a wide range of interventions designed to improve the quality of healthcare. The six main categories of Quality Enhancing Interventions for which evidence will be reviewed are shown below.","author":[{"dropping-particle":"","family":"Hulscher","given":"Marlies","non-dropping-particle":"","parse-names":false,"suffix":""},{"dropping-particle":"","family":"Schouten","given":"Loes","non-dropping-particle":"","parse-names":false,"suffix":""},{"dropping-particle":"","family":"Grol","given":"Richard","non-dropping-particle":"","parse-names":false,"suffix":""}],"container-title":"Quest for Quality and Improved Performance","id":"ITEM-1","issued":{"date-parts":[["2009"]]},"publisher":"The Health Foundation","title":"Collaboratives","type":"report"},"uris":["http://www.mendeley.com/documents/?uuid=0a0ec54d-fffd-4f66-9c47-a3660d40db6d"]},{"id":"ITEM-2","itemData":{"abstract":"The Breakthrough Series: IHI’s Collaborative Model for Achieving Breakthrough Improvement. IHI Innovation Series white paper. Boston: Institute for Healthcare Improvement; 2003.","author":[{"dropping-particle":"","family":"Institute for Healthcare Improvement","given":"","non-dropping-particle":"","parse-names":false,"suffix":""}],"container-title":"IHI Innovation Series white paper","id":"ITEM-2","issued":{"date-parts":[["2003"]]},"publisher-place":"Boston","title":"The Breakthrough Series: IHI’s collaborative model for achieving breakthrough improvement","type":"article-journal"},"uris":["http://www.mendeley.com/documents/?uuid=b9c1bc8f-32e7-4d2f-b412-8c51fe17f450"]}],"mendeley":{"formattedCitation":"(27,28)","plainTextFormattedCitation":"(27,28)","previouslyFormattedCitation":"(27,28)"},"properties":{"noteIndex":0},"schema":"https://github.com/citation-style-language/schema/raw/master/csl-citation.json"}</w:instrText>
      </w:r>
      <w:r w:rsidR="00AF4C45">
        <w:fldChar w:fldCharType="separate"/>
      </w:r>
      <w:r w:rsidR="00AF4C45" w:rsidRPr="00AF4C45">
        <w:rPr>
          <w:noProof/>
        </w:rPr>
        <w:t>(27,28)</w:t>
      </w:r>
      <w:r w:rsidR="00AF4C45">
        <w:fldChar w:fldCharType="end"/>
      </w:r>
      <w:r w:rsidR="00191D50">
        <w:t>.</w:t>
      </w:r>
      <w:r w:rsidR="00A413D2">
        <w:t xml:space="preserve"> Whilst the </w:t>
      </w:r>
      <w:r w:rsidR="00A413D2" w:rsidRPr="00AD29B0">
        <w:t>clinical process</w:t>
      </w:r>
      <w:r w:rsidR="00A413D2" w:rsidRPr="00035759">
        <w:t>, pathway or outcome being targeted</w:t>
      </w:r>
      <w:r w:rsidR="0018185D">
        <w:t>,</w:t>
      </w:r>
      <w:r w:rsidR="00A413D2" w:rsidRPr="00035759">
        <w:t xml:space="preserve"> </w:t>
      </w:r>
      <w:r w:rsidR="00A413D2">
        <w:t>and</w:t>
      </w:r>
      <w:r w:rsidR="00A413D2" w:rsidRPr="00035759">
        <w:t xml:space="preserve"> the setting in which </w:t>
      </w:r>
      <w:r w:rsidR="00A413D2">
        <w:t>they</w:t>
      </w:r>
      <w:r w:rsidR="00A413D2" w:rsidRPr="00035759">
        <w:t xml:space="preserve"> are implemented</w:t>
      </w:r>
      <w:r w:rsidR="00A413D2">
        <w:t xml:space="preserve"> can vary, </w:t>
      </w:r>
      <w:r w:rsidR="0018185D">
        <w:t>the overarching aim of</w:t>
      </w:r>
      <w:r w:rsidR="00A413D2">
        <w:t xml:space="preserve"> QICs </w:t>
      </w:r>
      <w:r w:rsidR="0018185D">
        <w:t>is</w:t>
      </w:r>
      <w:r w:rsidR="00A413D2">
        <w:t xml:space="preserve"> to </w:t>
      </w:r>
      <w:r w:rsidRPr="00AD29B0">
        <w:t xml:space="preserve">introduce change at scale by encouraging collaboration between teams from </w:t>
      </w:r>
      <w:r w:rsidR="00E11B61">
        <w:t xml:space="preserve">within </w:t>
      </w:r>
      <w:r w:rsidR="00497871">
        <w:t>and</w:t>
      </w:r>
      <w:r w:rsidR="00E11B61">
        <w:t xml:space="preserve"> between</w:t>
      </w:r>
      <w:r w:rsidR="00E11B61" w:rsidRPr="00AD29B0">
        <w:t xml:space="preserve"> </w:t>
      </w:r>
      <w:r w:rsidRPr="00AD29B0">
        <w:t xml:space="preserve">healthcare </w:t>
      </w:r>
      <w:r w:rsidR="00463D25">
        <w:t>organisations</w:t>
      </w:r>
      <w:r w:rsidRPr="00AD29B0">
        <w:t xml:space="preserve">. </w:t>
      </w:r>
      <w:r w:rsidR="00AF4C45">
        <w:t>The QIC methodology incorporates many of the factors identified as contributing to a successful implementation strategy. For example, a QIC involves a series of educational meetings (learning events) during which details of evidence-based changes</w:t>
      </w:r>
      <w:r w:rsidR="00A73B90">
        <w:t xml:space="preserve"> and guidelines</w:t>
      </w:r>
      <w:r w:rsidR="00AF4C45">
        <w:t xml:space="preserve"> are disseminated and training and education is provided from a panel of expert faculty. These meetings </w:t>
      </w:r>
      <w:r w:rsidR="001C5D1C">
        <w:t>actively engage clinician</w:t>
      </w:r>
      <w:r w:rsidR="00810165">
        <w:t>-</w:t>
      </w:r>
      <w:r w:rsidR="001C5D1C">
        <w:t xml:space="preserve"> and management</w:t>
      </w:r>
      <w:r w:rsidR="00810165">
        <w:t>-</w:t>
      </w:r>
      <w:r w:rsidR="001C5D1C">
        <w:t xml:space="preserve">led </w:t>
      </w:r>
      <w:r w:rsidR="00A73B90">
        <w:t>multi-professional</w:t>
      </w:r>
      <w:r w:rsidR="00AF4C45">
        <w:t xml:space="preserve"> implementation teams from participating </w:t>
      </w:r>
      <w:r w:rsidR="00A73B90">
        <w:t>organisation</w:t>
      </w:r>
      <w:r w:rsidR="001C5D1C">
        <w:t xml:space="preserve">s, </w:t>
      </w:r>
      <w:r w:rsidR="00AF4C45">
        <w:t>and networking and collaborative working is encouraged. In the time between these meetings (action periods)</w:t>
      </w:r>
      <w:r w:rsidR="00E11B61">
        <w:t>,</w:t>
      </w:r>
      <w:r w:rsidR="00AF4C45">
        <w:t xml:space="preserve"> teams work on implementing changes in their local setting, taking into consideration the particular needs and local environment in which they operate. The use of initial small</w:t>
      </w:r>
      <w:r w:rsidR="00E11B61">
        <w:t>-</w:t>
      </w:r>
      <w:r w:rsidR="00AF4C45">
        <w:t>scale, pilot changes is encouraged, and a programme of data collection</w:t>
      </w:r>
      <w:r w:rsidR="001C5D1C">
        <w:t xml:space="preserve"> (audit)</w:t>
      </w:r>
      <w:r w:rsidR="00AF4C45">
        <w:t xml:space="preserve"> and feedback </w:t>
      </w:r>
      <w:r w:rsidR="00E11B61">
        <w:t>should be</w:t>
      </w:r>
      <w:r w:rsidR="00AF4C45">
        <w:t xml:space="preserve"> embedded to monitor and evidence change </w:t>
      </w:r>
      <w:r w:rsidR="00810165">
        <w:fldChar w:fldCharType="begin" w:fldLock="1"/>
      </w:r>
      <w:r w:rsidR="00C10AF0">
        <w:instrText>ADDIN CSL_CITATION {"citationItems":[{"id":"ITEM-1","itemData":{"abstract":"The Breakthrough Series: IHI’s Collaborative Model for Achieving Breakthrough Improvement. IHI Innovation Series white paper. Boston: Institute for Healthcare Improvement; 2003.","author":[{"dropping-particle":"","family":"Institute for Healthcare Improvement","given":"","non-dropping-particle":"","parse-names":false,"suffix":""}],"container-title":"IHI Innovation Series white paper","id":"ITEM-1","issued":{"date-parts":[["2003"]]},"publisher-place":"Boston","title":"The Breakthrough Series: IHI’s collaborative model for achieving breakthrough improvement","type":"article-journal"},"uris":["http://www.mendeley.com/documents/?uuid=b9c1bc8f-32e7-4d2f-b412-8c51fe17f450"]}],"mendeley":{"formattedCitation":"(28)","plainTextFormattedCitation":"(28)","previouslyFormattedCitation":"(28)"},"properties":{"noteIndex":0},"schema":"https://github.com/citation-style-language/schema/raw/master/csl-citation.json"}</w:instrText>
      </w:r>
      <w:r w:rsidR="00810165">
        <w:fldChar w:fldCharType="separate"/>
      </w:r>
      <w:r w:rsidR="00810165" w:rsidRPr="00810165">
        <w:rPr>
          <w:noProof/>
        </w:rPr>
        <w:t>(28)</w:t>
      </w:r>
      <w:r w:rsidR="00810165">
        <w:fldChar w:fldCharType="end"/>
      </w:r>
      <w:r w:rsidR="00191D50">
        <w:t>.</w:t>
      </w:r>
    </w:p>
    <w:p w14:paraId="3C28A6EA" w14:textId="7CC5BFAD" w:rsidR="00C76DCB" w:rsidRDefault="00C76DCB" w:rsidP="00327B6F">
      <w:pPr>
        <w:spacing w:line="480" w:lineRule="auto"/>
        <w:rPr>
          <w:shd w:val="clear" w:color="auto" w:fill="FFFFFF"/>
        </w:rPr>
      </w:pPr>
      <w:r w:rsidRPr="006C3BFE">
        <w:t xml:space="preserve">A systematic review </w:t>
      </w:r>
      <w:r>
        <w:t>of 24 studies</w:t>
      </w:r>
      <w:r w:rsidR="00E11B61">
        <w:t>,</w:t>
      </w:r>
      <w:r>
        <w:t xml:space="preserve"> </w:t>
      </w:r>
      <w:r w:rsidR="00E11B61">
        <w:t xml:space="preserve">including </w:t>
      </w:r>
      <w:r>
        <w:t xml:space="preserve">five </w:t>
      </w:r>
      <w:r w:rsidR="00E11B61" w:rsidRPr="006C3BFE">
        <w:t>ra</w:t>
      </w:r>
      <w:r w:rsidR="00E11B61">
        <w:t>ndomised controlled trials (</w:t>
      </w:r>
      <w:r>
        <w:t>RCTs)</w:t>
      </w:r>
      <w:r w:rsidR="00E11B61">
        <w:t>,</w:t>
      </w:r>
      <w:r w:rsidRPr="006C3BFE">
        <w:t xml:space="preserve"> </w:t>
      </w:r>
      <w:r>
        <w:t xml:space="preserve">found that QICs can be effective at implementing change in healthcare, particularly for improving process of care measures </w:t>
      </w:r>
      <w:r>
        <w:fldChar w:fldCharType="begin" w:fldLock="1"/>
      </w:r>
      <w:r w:rsidR="00845E08">
        <w:instrText>ADDIN CSL_CITATION {"citationItems":[{"id":"ITEM-1","itemData":{"DOI":"10.1111/milq.12016","ISSN":"0887378X","PMID":"23758514","abstract":"CONTEXT: In response to national efforts to improve quality of care, policymakers and health care leaders have increasingly turned to quality improvement collaboratives (QICs) as an efficient approach to improving provider practices and patient outcomes through the dissemination of evidence-based practices. This article presents findings from a systematic review of the literature on QICs, focusing on the identification of common components of QICs in health care and exploring, when possible, relations between QIC components and outcomes at the patient or provider level. METHODS: A systematic search of five major health care databases generated 294 unique articles, twenty-four of which met our criteria for inclusion in our final analysis. These articles pertained to either randomized controlled trials or quasi-experimental studies with comparison groups, and they reported the findings from twenty different studies of QICs in health care. We coded the articles to identify the components reported for each collaborative. FINDINGS: We found fourteen crosscutting components as common ingredients in health care QICs (e.g., in-person learning sessions, phone meetings, data reporting, leadership involvement, and training in QI methods). The collaboratives reported included, on average, six to seven of these components. The most common were in-person learning sessions, plan-do-study-act (PDSA) cycles, multidisciplinary QI teams, and data collection for QI. The outcomes data from these studies indicate the greatest impact of QICs at the provider level; patient-level findings were less robust. CONCLUSIONS: Reporting on specific components of the collaborative was imprecise across articles, rendering it impossible to identify active QIC ingredients linked to improved care. Although QICs appear to have some promise in improving the process of care, there is great need for further controlled research examining the core components of these collaboratives related to patient- and provider-level outcomes.","author":[{"dropping-particle":"","family":"Nadeem","given":"ERUM","non-dropping-particle":"","parse-names":false,"suffix":""},{"dropping-particle":"","family":"Olin","given":"S. SERENE","non-dropping-particle":"","parse-names":false,"suffix":""},{"dropping-particle":"","family":"Hill","given":"LAURA CAMPBELL","non-dropping-particle":"","parse-names":false,"suffix":""},{"dropping-particle":"","family":"Hoagwood","given":"KIMBERLY EATON","non-dropping-particle":"","parse-names":false,"suffix":""},{"dropping-particle":"","family":"Horwitz","given":"SARAH McCUE","non-dropping-particle":"","parse-names":false,"suffix":""}],"container-title":"Milbank Quarterly","id":"ITEM-1","issue":"2","issued":{"date-parts":[["2013"]]},"page":"354-394","title":"Understanding the Components of Quality Improvement Collaboratives: A Systematic Literature Review","type":"article-journal","volume":"91"},"uris":["http://www.mendeley.com/documents/?uuid=381d1c47-2ea3-4a37-8fff-462854e8793e"]}],"mendeley":{"formattedCitation":"(29)","plainTextFormattedCitation":"(29)","previouslyFormattedCitation":"(29)"},"properties":{"noteIndex":0},"schema":"https://github.com/citation-style-language/schema/raw/master/csl-citation.json"}</w:instrText>
      </w:r>
      <w:r>
        <w:fldChar w:fldCharType="separate"/>
      </w:r>
      <w:r w:rsidR="00845E08" w:rsidRPr="00845E08">
        <w:rPr>
          <w:noProof/>
        </w:rPr>
        <w:t>(29)</w:t>
      </w:r>
      <w:r>
        <w:fldChar w:fldCharType="end"/>
      </w:r>
      <w:r w:rsidR="00191D50">
        <w:t>.</w:t>
      </w:r>
      <w:r>
        <w:t xml:space="preserve"> However, the </w:t>
      </w:r>
      <w:r w:rsidR="004D26BA">
        <w:t xml:space="preserve">review </w:t>
      </w:r>
      <w:r>
        <w:t>authors highlight</w:t>
      </w:r>
      <w:r w:rsidR="00E11B61">
        <w:t>ed</w:t>
      </w:r>
      <w:r>
        <w:t xml:space="preserve"> </w:t>
      </w:r>
      <w:r w:rsidRPr="006C3BFE">
        <w:t xml:space="preserve">the need for </w:t>
      </w:r>
      <w:r w:rsidR="00E11B61">
        <w:t xml:space="preserve">more RCTs </w:t>
      </w:r>
      <w:r w:rsidRPr="006C3BFE">
        <w:t xml:space="preserve">to assess </w:t>
      </w:r>
      <w:r>
        <w:t>the</w:t>
      </w:r>
      <w:r w:rsidRPr="006C3BFE">
        <w:t xml:space="preserve"> effects</w:t>
      </w:r>
      <w:r>
        <w:t xml:space="preserve"> of QICs</w:t>
      </w:r>
      <w:r w:rsidRPr="006C3BFE">
        <w:t xml:space="preserve"> on provider- and patient-level outcomes.</w:t>
      </w:r>
      <w:r>
        <w:t xml:space="preserve"> </w:t>
      </w:r>
      <w:r w:rsidRPr="006C3BFE">
        <w:t>In particular</w:t>
      </w:r>
      <w:r>
        <w:t>,</w:t>
      </w:r>
      <w:r w:rsidRPr="006C3BFE">
        <w:t xml:space="preserve"> the review identified a lack of evidence on whether the procedural improvements associated with collaboratives translate into </w:t>
      </w:r>
      <w:r>
        <w:t xml:space="preserve">improved </w:t>
      </w:r>
      <w:r w:rsidRPr="006C3BFE">
        <w:t>patient outcomes.</w:t>
      </w:r>
    </w:p>
    <w:p w14:paraId="204E517A" w14:textId="4957555F" w:rsidR="00C76DCB" w:rsidRDefault="00463D25" w:rsidP="00327B6F">
      <w:pPr>
        <w:spacing w:line="480" w:lineRule="auto"/>
        <w:rPr>
          <w:shd w:val="clear" w:color="auto" w:fill="FFFFFF"/>
        </w:rPr>
      </w:pPr>
      <w:r>
        <w:rPr>
          <w:shd w:val="clear" w:color="auto" w:fill="FFFFFF"/>
        </w:rPr>
        <w:t xml:space="preserve">A </w:t>
      </w:r>
      <w:r w:rsidR="00C76DCB">
        <w:rPr>
          <w:shd w:val="clear" w:color="auto" w:fill="FFFFFF"/>
        </w:rPr>
        <w:t xml:space="preserve">more recent </w:t>
      </w:r>
      <w:r>
        <w:rPr>
          <w:shd w:val="clear" w:color="auto" w:fill="FFFFFF"/>
        </w:rPr>
        <w:t>s</w:t>
      </w:r>
      <w:r w:rsidR="00FA2B45" w:rsidRPr="00AD29B0">
        <w:rPr>
          <w:shd w:val="clear" w:color="auto" w:fill="FFFFFF"/>
        </w:rPr>
        <w:t xml:space="preserve">ystematic </w:t>
      </w:r>
      <w:r w:rsidR="00C76DCB">
        <w:rPr>
          <w:shd w:val="clear" w:color="auto" w:fill="FFFFFF"/>
        </w:rPr>
        <w:t xml:space="preserve">review of 64 studies (10 </w:t>
      </w:r>
      <w:r w:rsidR="002F11F8">
        <w:rPr>
          <w:shd w:val="clear" w:color="auto" w:fill="FFFFFF"/>
        </w:rPr>
        <w:t>RCTs</w:t>
      </w:r>
      <w:r w:rsidR="00C76DCB">
        <w:rPr>
          <w:shd w:val="clear" w:color="auto" w:fill="FFFFFF"/>
        </w:rPr>
        <w:t xml:space="preserve">, 24 before-after studies and 30 interrupted time series studies) on the effectiveness of QICs </w:t>
      </w:r>
      <w:r>
        <w:rPr>
          <w:shd w:val="clear" w:color="auto" w:fill="FFFFFF"/>
        </w:rPr>
        <w:t xml:space="preserve">found </w:t>
      </w:r>
      <w:r w:rsidR="0034268E">
        <w:rPr>
          <w:shd w:val="clear" w:color="auto" w:fill="FFFFFF"/>
        </w:rPr>
        <w:t xml:space="preserve">that </w:t>
      </w:r>
      <w:r>
        <w:t>83% of published studies report</w:t>
      </w:r>
      <w:r w:rsidR="0034268E">
        <w:t>ed</w:t>
      </w:r>
      <w:r>
        <w:t xml:space="preserve"> a statistically significant improvement in at least one process or patient outcome measure,</w:t>
      </w:r>
      <w:r w:rsidRPr="00463D25">
        <w:t xml:space="preserve"> </w:t>
      </w:r>
      <w:r>
        <w:t xml:space="preserve">suggesting QICs may be an effective approach for introducing change in healthcare </w:t>
      </w:r>
      <w:r w:rsidRPr="00AD29B0">
        <w:rPr>
          <w:shd w:val="clear" w:color="auto" w:fill="FFFFFF"/>
        </w:rPr>
        <w:fldChar w:fldCharType="begin" w:fldLock="1"/>
      </w:r>
      <w:r w:rsidR="00845E08">
        <w:rPr>
          <w:shd w:val="clear" w:color="auto" w:fill="FFFFFF"/>
        </w:rPr>
        <w:instrText>ADDIN CSL_CITATION {"citationItems":[{"id":"ITEM-1","itemData":{"DOI":"10.1136/bmjqs-2017-006926","ISSN":"2044-5415","PMID":"29055899","abstract":"BACKGROUND Quality improvement collaboratives (QIC) have proliferated internationally, but there is little empirical evidence for their effectiveness. METHOD We searched Medline, Embase, CINAHL, PsycINFO and the Cochrane Library databases from January 1995 to December 2014. Studies were included if they met the criteria for a QIC intervention and the Cochrane Effective Practice and Organisation of Care (EPOC) minimum study design characteristics for inclusion in a review. We assessed study bias using the EPOC checklist and the quality of the reported intervention using a subset of SQUIRE 1.0 standards. RESULTS Of the 220 studies meeting QIC criteria, 64 met EPOC study design standards for inclusion. There were 10 cluster randomised controlled trials, 24 controlled before-after studies and 30 interrupted time series studies. QICs encompassed a broad range of clinical settings, topics and populations ranging from neonates to the elderly. Few reports fully described QIC implementation and methods, intensity of activities, degree of site engagement and important contextual factors. By care setting, an improvement was reported for one or more of the study's primary effect measures in 83% of the studies (32/39 (82%) hospital based, 17/20 (85%) ambulatory care, 3/4 nursing home and a sole ambulance QIC). Eight studies described persistence of the intervention effect 6 months to 2 years after the end of the collaborative. Collaboratives reporting success generally addressed relatively straightforward aspects of care, had a strong evidence base and noted a clear evidence-practice gap in an accepted clinical pathway or guideline. CONCLUSIONS QICs have been adopted widely as an approach to shared learning and improvement in healthcare. Overall, the QICs included in this review reported significant improvements in targeted clinical processes and patient outcomes. These reports are encouraging, but most be interpreted cautiously since fewer than a third met established quality and reporting criteria, and publication bias is likely.","author":[{"dropping-particle":"","family":"Wells","given":"Susan","non-dropping-particle":"","parse-names":false,"suffix":""},{"dropping-particle":"","family":"Tamir","given":"Orly","non-dropping-particle":"","parse-names":false,"suffix":""},{"dropping-particle":"","family":"Gray","given":"Jonathon","non-dropping-particle":"","parse-names":false,"suffix":""},{"dropping-particle":"","family":"Naidoo","given":"Dhevaksha","non-dropping-particle":"","parse-names":false,"suffix":""},{"dropping-particle":"","family":"Bekhit","given":"Mark","non-dropping-particle":"","parse-names":false,"suffix":""},{"dropping-particle":"","family":"Goldmann","given":"Don","non-dropping-particle":"","parse-names":false,"suffix":""}],"container-title":"BMJ Quality &amp; Safety","id":"ITEM-1","issue":"3","issued":{"date-parts":[["2018","3","1"]]},"page":"226-240","title":"Are quality improvement collaboratives effective? A systematic review","type":"article-journal","volume":"27"},"uris":["http://www.mendeley.com/documents/?uuid=97dff673-b1fc-4db5-86b9-8405ba486517"]}],"mendeley":{"formattedCitation":"(30)","plainTextFormattedCitation":"(30)","previouslyFormattedCitation":"(30)"},"properties":{"noteIndex":0},"schema":"https://github.com/citation-style-language/schema/raw/master/csl-citation.json"}</w:instrText>
      </w:r>
      <w:r w:rsidRPr="00AD29B0">
        <w:rPr>
          <w:shd w:val="clear" w:color="auto" w:fill="FFFFFF"/>
        </w:rPr>
        <w:fldChar w:fldCharType="separate"/>
      </w:r>
      <w:r w:rsidR="00845E08" w:rsidRPr="00845E08">
        <w:rPr>
          <w:noProof/>
          <w:shd w:val="clear" w:color="auto" w:fill="FFFFFF"/>
        </w:rPr>
        <w:t>(30)</w:t>
      </w:r>
      <w:r w:rsidRPr="00AD29B0">
        <w:rPr>
          <w:shd w:val="clear" w:color="auto" w:fill="FFFFFF"/>
        </w:rPr>
        <w:fldChar w:fldCharType="end"/>
      </w:r>
      <w:r w:rsidR="00191D50">
        <w:rPr>
          <w:shd w:val="clear" w:color="auto" w:fill="FFFFFF"/>
        </w:rPr>
        <w:t>.</w:t>
      </w:r>
      <w:r>
        <w:rPr>
          <w:shd w:val="clear" w:color="auto" w:fill="FFFFFF"/>
        </w:rPr>
        <w:t xml:space="preserve"> However, </w:t>
      </w:r>
      <w:r w:rsidR="00C76DCB" w:rsidRPr="006C3BFE">
        <w:t>the authors highlight</w:t>
      </w:r>
      <w:r w:rsidR="0034268E">
        <w:t>ed</w:t>
      </w:r>
      <w:r w:rsidR="00C76DCB" w:rsidRPr="006C3BFE">
        <w:t xml:space="preserve"> </w:t>
      </w:r>
      <w:r w:rsidR="005472E2">
        <w:t>an</w:t>
      </w:r>
      <w:r w:rsidR="00C76DCB" w:rsidRPr="006C3BFE">
        <w:t xml:space="preserve"> </w:t>
      </w:r>
      <w:r w:rsidR="00C76DCB">
        <w:t xml:space="preserve">on-going </w:t>
      </w:r>
      <w:r w:rsidR="00C76DCB" w:rsidRPr="006C3BFE">
        <w:t xml:space="preserve">need to address significant, persistent gaps in </w:t>
      </w:r>
      <w:r w:rsidR="00C76DCB">
        <w:t xml:space="preserve">the </w:t>
      </w:r>
      <w:r w:rsidR="00C76DCB" w:rsidRPr="006C3BFE">
        <w:t>reporting</w:t>
      </w:r>
      <w:r w:rsidR="00C76DCB">
        <w:t xml:space="preserve"> of QIC interventions and the quality of QIC trial design</w:t>
      </w:r>
      <w:r w:rsidR="00C76DCB" w:rsidRPr="006C3BFE">
        <w:t xml:space="preserve">, </w:t>
      </w:r>
      <w:r w:rsidR="00C76DCB">
        <w:t xml:space="preserve">noting </w:t>
      </w:r>
      <w:r w:rsidR="005472E2">
        <w:t>a lack of high quality</w:t>
      </w:r>
      <w:r w:rsidR="00C76DCB">
        <w:t xml:space="preserve"> RCTs. In addition, they suggest</w:t>
      </w:r>
      <w:r w:rsidR="0034268E">
        <w:t>ed</w:t>
      </w:r>
      <w:r w:rsidR="00C76DCB">
        <w:t xml:space="preserve"> there is likely publication bias whereby QICs with negative findings are less likely to be published than those with positive findings.</w:t>
      </w:r>
      <w:r w:rsidR="00C76DCB">
        <w:rPr>
          <w:shd w:val="clear" w:color="auto" w:fill="FFFFFF"/>
        </w:rPr>
        <w:t xml:space="preserve"> </w:t>
      </w:r>
    </w:p>
    <w:p w14:paraId="2CB18278" w14:textId="2F87069C" w:rsidR="00463D25" w:rsidRPr="00C23310" w:rsidRDefault="00C76DCB" w:rsidP="00327B6F">
      <w:pPr>
        <w:spacing w:line="480" w:lineRule="auto"/>
      </w:pPr>
      <w:r>
        <w:rPr>
          <w:shd w:val="clear" w:color="auto" w:fill="FFFFFF"/>
        </w:rPr>
        <w:t xml:space="preserve">The existing evidence </w:t>
      </w:r>
      <w:r w:rsidR="002F11F8" w:rsidRPr="006C3BFE">
        <w:t xml:space="preserve">demonstrates the feasibility and potential effectiveness of QICs </w:t>
      </w:r>
      <w:r w:rsidR="002F11F8">
        <w:rPr>
          <w:shd w:val="clear" w:color="auto" w:fill="FFFFFF"/>
        </w:rPr>
        <w:t>but highlights</w:t>
      </w:r>
      <w:r>
        <w:rPr>
          <w:shd w:val="clear" w:color="auto" w:fill="FFFFFF"/>
        </w:rPr>
        <w:t xml:space="preserve"> </w:t>
      </w:r>
      <w:r w:rsidR="00463D25">
        <w:rPr>
          <w:shd w:val="clear" w:color="auto" w:fill="FFFFFF"/>
        </w:rPr>
        <w:t xml:space="preserve">the </w:t>
      </w:r>
      <w:r w:rsidR="00463D25" w:rsidRPr="00AD29B0">
        <w:rPr>
          <w:shd w:val="clear" w:color="auto" w:fill="FFFFFF"/>
        </w:rPr>
        <w:t xml:space="preserve">need for </w:t>
      </w:r>
      <w:r w:rsidR="002F11F8">
        <w:rPr>
          <w:shd w:val="clear" w:color="auto" w:fill="FFFFFF"/>
        </w:rPr>
        <w:t xml:space="preserve">high quality </w:t>
      </w:r>
      <w:r w:rsidR="00463D25" w:rsidRPr="00AD29B0">
        <w:rPr>
          <w:shd w:val="clear" w:color="auto" w:fill="FFFFFF"/>
        </w:rPr>
        <w:t xml:space="preserve">RCTs to assess </w:t>
      </w:r>
      <w:r w:rsidR="00463D25">
        <w:rPr>
          <w:shd w:val="clear" w:color="auto" w:fill="FFFFFF"/>
        </w:rPr>
        <w:t>the</w:t>
      </w:r>
      <w:r w:rsidR="0034268E">
        <w:rPr>
          <w:shd w:val="clear" w:color="auto" w:fill="FFFFFF"/>
        </w:rPr>
        <w:t>ir</w:t>
      </w:r>
      <w:r w:rsidR="00463D25" w:rsidRPr="00AD29B0">
        <w:rPr>
          <w:shd w:val="clear" w:color="auto" w:fill="FFFFFF"/>
        </w:rPr>
        <w:t xml:space="preserve"> effects on process</w:t>
      </w:r>
      <w:r w:rsidR="0034268E">
        <w:rPr>
          <w:shd w:val="clear" w:color="auto" w:fill="FFFFFF"/>
        </w:rPr>
        <w:t>es</w:t>
      </w:r>
      <w:r w:rsidR="00463D25" w:rsidRPr="00AD29B0">
        <w:rPr>
          <w:shd w:val="clear" w:color="auto" w:fill="FFFFFF"/>
        </w:rPr>
        <w:t xml:space="preserve"> of care, </w:t>
      </w:r>
      <w:r w:rsidR="004D26BA">
        <w:rPr>
          <w:shd w:val="clear" w:color="auto" w:fill="FFFFFF"/>
        </w:rPr>
        <w:t xml:space="preserve">and </w:t>
      </w:r>
      <w:r w:rsidR="00463D25" w:rsidRPr="00AD29B0">
        <w:rPr>
          <w:shd w:val="clear" w:color="auto" w:fill="FFFFFF"/>
        </w:rPr>
        <w:t>provider- an</w:t>
      </w:r>
      <w:r w:rsidR="00463D25" w:rsidRPr="00035759">
        <w:rPr>
          <w:shd w:val="clear" w:color="auto" w:fill="FFFFFF"/>
        </w:rPr>
        <w:t xml:space="preserve">d patient-level outcomes </w:t>
      </w:r>
      <w:r w:rsidR="00463D25" w:rsidRPr="00AD29B0">
        <w:rPr>
          <w:shd w:val="clear" w:color="auto" w:fill="FFFFFF"/>
        </w:rPr>
        <w:fldChar w:fldCharType="begin" w:fldLock="1"/>
      </w:r>
      <w:r w:rsidR="00845E08">
        <w:rPr>
          <w:shd w:val="clear" w:color="auto" w:fill="FFFFFF"/>
        </w:rPr>
        <w:instrText>ADDIN CSL_CITATION {"citationItems":[{"id":"ITEM-1","itemData":{"DOI":"10.1111/milq.12016","ISSN":"0887378X","PMID":"23758514","abstract":"CONTEXT: In response to national efforts to improve quality of care, policymakers and health care leaders have increasingly turned to quality improvement collaboratives (QICs) as an efficient approach to improving provider practices and patient outcomes through the dissemination of evidence-based practices. This article presents findings from a systematic review of the literature on QICs, focusing on the identification of common components of QICs in health care and exploring, when possible, relations between QIC components and outcomes at the patient or provider level. METHODS: A systematic search of five major health care databases generated 294 unique articles, twenty-four of which met our criteria for inclusion in our final analysis. These articles pertained to either randomized controlled trials or quasi-experimental studies with comparison groups, and they reported the findings from twenty different studies of QICs in health care. We coded the articles to identify the components reported for each collaborative. FINDINGS: We found fourteen crosscutting components as common ingredients in health care QICs (e.g., in-person learning sessions, phone meetings, data reporting, leadership involvement, and training in QI methods). The collaboratives reported included, on average, six to seven of these components. The most common were in-person learning sessions, plan-do-study-act (PDSA) cycles, multidisciplinary QI teams, and data collection for QI. The outcomes data from these studies indicate the greatest impact of QICs at the provider level; patient-level findings were less robust. CONCLUSIONS: Reporting on specific components of the collaborative was imprecise across articles, rendering it impossible to identify active QIC ingredients linked to improved care. Although QICs appear to have some promise in improving the process of care, there is great need for further controlled research examining the core components of these collaboratives related to patient- and provider-level outcomes.","author":[{"dropping-particle":"","family":"Nadeem","given":"ERUM","non-dropping-particle":"","parse-names":false,"suffix":""},{"dropping-particle":"","family":"Olin","given":"S. SERENE","non-dropping-particle":"","parse-names":false,"suffix":""},{"dropping-particle":"","family":"Hill","given":"LAURA CAMPBELL","non-dropping-particle":"","parse-names":false,"suffix":""},{"dropping-particle":"","family":"Hoagwood","given":"KIMBERLY EATON","non-dropping-particle":"","parse-names":false,"suffix":""},{"dropping-particle":"","family":"Horwitz","given":"SARAH McCUE","non-dropping-particle":"","parse-names":false,"suffix":""}],"container-title":"Milbank Quarterly","id":"ITEM-1","issue":"2","issued":{"date-parts":[["2013"]]},"page":"354-394","title":"Understanding the Components of Quality Improvement Collaboratives: A Systematic Literature Review","type":"article-journal","volume":"91"},"uris":["http://www.mendeley.com/documents/?uuid=381d1c47-2ea3-4a37-8fff-462854e8793e"]}],"mendeley":{"formattedCitation":"(29)","plainTextFormattedCitation":"(29)","previouslyFormattedCitation":"(29)"},"properties":{"noteIndex":0},"schema":"https://github.com/citation-style-language/schema/raw/master/csl-citation.json"}</w:instrText>
      </w:r>
      <w:r w:rsidR="00463D25" w:rsidRPr="00AD29B0">
        <w:rPr>
          <w:shd w:val="clear" w:color="auto" w:fill="FFFFFF"/>
        </w:rPr>
        <w:fldChar w:fldCharType="separate"/>
      </w:r>
      <w:r w:rsidR="00845E08" w:rsidRPr="00845E08">
        <w:rPr>
          <w:noProof/>
          <w:shd w:val="clear" w:color="auto" w:fill="FFFFFF"/>
        </w:rPr>
        <w:t>(29)</w:t>
      </w:r>
      <w:r w:rsidR="00463D25" w:rsidRPr="00AD29B0">
        <w:rPr>
          <w:shd w:val="clear" w:color="auto" w:fill="FFFFFF"/>
        </w:rPr>
        <w:fldChar w:fldCharType="end"/>
      </w:r>
      <w:r w:rsidR="00191D50">
        <w:rPr>
          <w:shd w:val="clear" w:color="auto" w:fill="FFFFFF"/>
        </w:rPr>
        <w:t>.</w:t>
      </w:r>
    </w:p>
    <w:p w14:paraId="4964560A" w14:textId="688226C7" w:rsidR="00A421A6" w:rsidRDefault="00463D25" w:rsidP="00327B6F">
      <w:pPr>
        <w:spacing w:line="480" w:lineRule="auto"/>
      </w:pPr>
      <w:r>
        <w:t>This</w:t>
      </w:r>
      <w:r w:rsidR="00FA2B45" w:rsidRPr="00035759">
        <w:t xml:space="preserve"> trial</w:t>
      </w:r>
      <w:r>
        <w:t xml:space="preserve"> aims</w:t>
      </w:r>
      <w:r w:rsidR="00FA2B45" w:rsidRPr="00035759">
        <w:t xml:space="preserve"> to assess </w:t>
      </w:r>
      <w:r w:rsidR="00FA2B45">
        <w:t xml:space="preserve">the </w:t>
      </w:r>
      <w:r w:rsidR="00FA2B45" w:rsidRPr="00035759">
        <w:t>effectiveness of QICs</w:t>
      </w:r>
      <w:r>
        <w:t xml:space="preserve"> </w:t>
      </w:r>
      <w:r w:rsidR="00FA2B45" w:rsidRPr="00035759">
        <w:t xml:space="preserve">to implement large-scale change in the </w:t>
      </w:r>
      <w:r w:rsidR="00FA2B45">
        <w:t xml:space="preserve">UK </w:t>
      </w:r>
      <w:r>
        <w:t>National Health Service (NHS)</w:t>
      </w:r>
      <w:r w:rsidR="00FA2B45" w:rsidRPr="00035759">
        <w:t xml:space="preserve">, specifically for improving outcomes in patients undergoing elective </w:t>
      </w:r>
      <w:r w:rsidR="0075517F">
        <w:t>total hip replacement (</w:t>
      </w:r>
      <w:r w:rsidR="008E35D8">
        <w:t>THR</w:t>
      </w:r>
      <w:r w:rsidR="0075517F">
        <w:t>)</w:t>
      </w:r>
      <w:r w:rsidR="00FA2B45" w:rsidRPr="00035759">
        <w:t xml:space="preserve"> and</w:t>
      </w:r>
      <w:r w:rsidR="0075517F">
        <w:t xml:space="preserve"> total knee replacement</w:t>
      </w:r>
      <w:r w:rsidR="00FA2B45" w:rsidRPr="00035759">
        <w:t xml:space="preserve"> </w:t>
      </w:r>
      <w:r w:rsidR="0075517F">
        <w:t>(</w:t>
      </w:r>
      <w:r w:rsidR="008E35D8">
        <w:t>TKR</w:t>
      </w:r>
      <w:r w:rsidR="0075517F">
        <w:t>)</w:t>
      </w:r>
      <w:r w:rsidR="00FA2B45" w:rsidRPr="00035759">
        <w:t>. To achieve this, we compare</w:t>
      </w:r>
      <w:r w:rsidR="00FA2B45">
        <w:t>d</w:t>
      </w:r>
      <w:r w:rsidR="00FA2B45" w:rsidRPr="00035759">
        <w:t xml:space="preserve"> the roll-out of two different </w:t>
      </w:r>
      <w:r w:rsidR="00B0161D">
        <w:t>p</w:t>
      </w:r>
      <w:r w:rsidR="00B0161D" w:rsidRPr="00035759">
        <w:t xml:space="preserve">reoperative </w:t>
      </w:r>
      <w:r w:rsidR="00FA2B45" w:rsidRPr="00035759">
        <w:t>initiatives</w:t>
      </w:r>
      <w:r w:rsidR="00FA2B45">
        <w:t xml:space="preserve"> to</w:t>
      </w:r>
      <w:r w:rsidR="00FA2B45" w:rsidRPr="00035759">
        <w:t xml:space="preserve"> improv</w:t>
      </w:r>
      <w:r w:rsidR="00FA2B45">
        <w:t>e</w:t>
      </w:r>
      <w:r w:rsidR="00FA2B45" w:rsidRPr="00035759">
        <w:t xml:space="preserve"> postoperative outcomes</w:t>
      </w:r>
      <w:r w:rsidR="00FA2B45">
        <w:t xml:space="preserve">: </w:t>
      </w:r>
      <w:r w:rsidR="00FA2B45" w:rsidRPr="00035759">
        <w:t xml:space="preserve">anaemia </w:t>
      </w:r>
      <w:r w:rsidR="009607CA">
        <w:t>screening and treatment</w:t>
      </w:r>
      <w:r w:rsidR="00FA2B45" w:rsidRPr="00035759">
        <w:t xml:space="preserve"> (QIST: Anaemia)</w:t>
      </w:r>
      <w:r w:rsidR="00FA2B45">
        <w:t>;</w:t>
      </w:r>
      <w:r w:rsidR="004D26BA">
        <w:t xml:space="preserve"> and</w:t>
      </w:r>
      <w:r w:rsidR="00FA2B45" w:rsidRPr="00035759">
        <w:t xml:space="preserve"> MSSA</w:t>
      </w:r>
      <w:r w:rsidR="00777615">
        <w:t xml:space="preserve"> </w:t>
      </w:r>
      <w:r w:rsidR="00FA2B45" w:rsidRPr="00035759">
        <w:t xml:space="preserve">nasal decolonisation (QIST: Infection). </w:t>
      </w:r>
      <w:r w:rsidR="00D51507">
        <w:t xml:space="preserve">Both initiatives are associated with improved postoperative outcomes and are recommended by </w:t>
      </w:r>
      <w:r w:rsidR="00A421A6">
        <w:t xml:space="preserve">multiple </w:t>
      </w:r>
      <w:r w:rsidR="00D51507">
        <w:t>national and international guidance</w:t>
      </w:r>
      <w:r w:rsidR="00A421A6">
        <w:t>,</w:t>
      </w:r>
      <w:r w:rsidR="00A421A6" w:rsidRPr="00A421A6">
        <w:t xml:space="preserve"> </w:t>
      </w:r>
      <w:r w:rsidR="00A421A6">
        <w:t xml:space="preserve">including those from the </w:t>
      </w:r>
      <w:r w:rsidR="0034268E">
        <w:t>W</w:t>
      </w:r>
      <w:r w:rsidR="00A421A6">
        <w:t xml:space="preserve">orld </w:t>
      </w:r>
      <w:r w:rsidR="0034268E">
        <w:t>H</w:t>
      </w:r>
      <w:r w:rsidR="00A421A6">
        <w:t xml:space="preserve">ealth </w:t>
      </w:r>
      <w:r w:rsidR="0034268E">
        <w:t>O</w:t>
      </w:r>
      <w:r w:rsidR="00A421A6">
        <w:t xml:space="preserve">rganisation (WHO) and the </w:t>
      </w:r>
      <w:r w:rsidR="004D26BA">
        <w:t>N</w:t>
      </w:r>
      <w:r w:rsidR="00A421A6">
        <w:t xml:space="preserve">ational </w:t>
      </w:r>
      <w:r w:rsidR="004D26BA">
        <w:t>I</w:t>
      </w:r>
      <w:r w:rsidR="00A421A6">
        <w:t xml:space="preserve">nstitute for </w:t>
      </w:r>
      <w:r w:rsidR="004D26BA">
        <w:t>H</w:t>
      </w:r>
      <w:r w:rsidR="00A421A6">
        <w:t xml:space="preserve">ealth and </w:t>
      </w:r>
      <w:r w:rsidR="004D26BA">
        <w:t>C</w:t>
      </w:r>
      <w:r w:rsidR="00A421A6">
        <w:t xml:space="preserve">are </w:t>
      </w:r>
      <w:r w:rsidR="004D26BA">
        <w:t>E</w:t>
      </w:r>
      <w:r w:rsidR="00A421A6">
        <w:t>xcellence</w:t>
      </w:r>
      <w:r w:rsidR="00CE43AD">
        <w:t xml:space="preserve"> </w:t>
      </w:r>
      <w:r w:rsidR="00A421A6">
        <w:fldChar w:fldCharType="begin" w:fldLock="1"/>
      </w:r>
      <w:r w:rsidR="00845E08">
        <w:instrText>ADDIN CSL_CITATION {"citationItems":[{"id":"ITEM-1","itemData":{"DOI":"10.1136/bmjopen-2019-036592","abstract":"Objectives Preoperative anaemia is associated with increased risks of postoperative complications, blood transfusion and mortality. This meta-analysis aims to review the best available evidence on the clinical effectiveness of preoperative iron in anaemic patients undergoing elective total hip (THR) or total knee replacement (TKR).Design Electronic databases and handsearching were used to identify randomised and non-randomised studies of interventions (NRSI) reporting perioperative blood transfusion rates for anaemic participants receiving iron before elective THR or TKR. Searches of CENTRAL, MEDLINE, Embase, PubMed and other databases were conducted on 17 April 2019 and updated on 15 July 2020. Two investigators independently reviewed studies for eligibility and evaluated risk of bias using the Cochrane risk of bias tool for randomised controlled trials (RCTs) and a modified Newcastle-Ottawa scale for NRSIs. Data extraction was performed by ABS and checked by AB. Meta-analysis used the Mantel-Haenszel method and random-effects models.Results 807 records were identified: 12 studies met the inclusion criteria, of which 10 were eligible for meta-analyses (one RCT and nine NRSIs). Five of the NRSIs were of high-quality while there were some concerns of bias in the RCT. Meta-analysis of 10 studies (n=2178 participants) showed a 39% reduction in risk of receiving a perioperative blood transfusion with iron compared with no iron (risk ratio 0.61, 95% CI 0.50 to 0.73, p&amp;amp;lt;0.001, I2=0%). There was a significant reduction in the number of red blood cell units transfused with iron compared with no iron (mean difference −0.37units, 95% CI −0.47 to -0.27, p&amp;amp;lt;0.001, I2=40%); six studies (n=1496). Length of stay was significantly reduced with iron, by an average of 2.08 days (95% CI −2.64 to −1.51, p&amp;amp;lt;0.001, I2=40%); five studies (n=1140).Conclusions Preoperative iron in anaemic, elective THR or TKR patients, significantly reduces the number of patients and number of units transfused and length of stay. However, high-quality, randomised trials are lacking.PROSPERO registration number CRD42019129035.","author":[{"dropping-particle":"","family":"Scrimshire","given":"Ashley B","non-dropping-particle":"","parse-names":false,"suffix":""},{"dropping-particle":"","family":"Booth","given":"Alison","non-dropping-particle":"","parse-names":false,"suffix":""},{"dropping-particle":"","family":"Fairhurst","given":"Caroline","non-dropping-particle":"","parse-names":false,"suffix":""},{"dropping-particle":"","family":"Kotze","given":"Alwyn","non-dropping-particle":"","parse-names":false,"suffix":""},{"dropping-particle":"","family":"Reed","given":"Mike","non-dropping-particle":"","parse-names":false,"suffix":""},{"dropping-particle":"","family":"McDaid","given":"Catriona","non-dropping-particle":"","parse-names":false,"suffix":""}],"container-title":"BMJ Open","id":"ITEM-1","issue":"10","issued":{"date-parts":[["2020","10","1"]]},"page":"e036592","title":"Preoperative iron treatment in anaemic patients undergoing elective total hip or knee arthroplasty: a systematic review and meta-analysis","type":"article-journal","volume":"10"},"uris":["http://www.mendeley.com/documents/?uuid=c0743765-ddaf-47e4-b503-ba989e048e41"]},{"id":"ITEM-2","itemData":{"PMID":"26065061","abstract":"Many adult hospital inpatients need intravenous (IV) fluid therapy to prevent or correct problems with their fluid and/or electrolyte status. This may be because they cannot meet their normal needs through oral or enteral routes (for example, they have swallowing problems or gastrointestinal dysfunction) or because they have unusual fluid and/or electrolyte deficits or demands caused by illness or injury (for example, high gastrointestinal or renal losses). Deciding on the optimal amount and composition of IV fluids to be administered and the best rate at which to give them can be a difficult task, and decisions must be based on careful assessment of the patient’s individual needs. Despite","author":[{"dropping-particle":"","family":"National Clinical Guideline Centre","given":"","non-dropping-particle":"","parse-names":false,"suffix":""}],"container-title":"NICE guideline NG24: Methods, evidence and recommendations","id":"ITEM-2","issued":{"date-parts":[["2015"]]},"title":"Blood transfusion","type":"article-journal"},"uris":["http://www.mendeley.com/documents/?uuid=e4a8a771-8c29-400f-a4e1-95b619ccf004"]},{"id":"ITEM-3","itemData":{"DOI":"10.1186/s13018-020-01601-0","ISSN":"1749-799X","PMID":"32075670","abstract":"Background: Nasal Staphylococcus aureus (S. aureus) screening and decolonization has been widely used to reduce surgical site infections (SSIs) prior to total knee and hip arthroplasty (TKA and THA). However, it remains considerably controversial. The aim of this study was to ascertain whether this scheme could reduce SSIs and periprosthetic joint infections (PJIs) following elective primary total joint arthroplasty (TJA). Methods: A systematic search was performed in MEDLINE, Embase, and the Cochrane Library until October, 2019. Outcomes of interest included SSI, PJI, superficial infection, and different bacterial species that caused infections. Data from eligible studies were then extracted and synthesized. Pooled odds ratios (OR) and 95% confidence intervals (CIs) were calculated. We also performed additional analyses to evaluate whether there were differences in postoperative SSIs caused by S. aureus or other bacteria. Results: Nine studies were included in our meta-analysis. The pooled data elucidated that nasal S. aureus screening and decolonization dramatically mitigated the risk of SSI, PJI, and superficial infection compared to nondecolonization group. The analysis of bacterial species causing infection also showed that the S. aureus infections postoperative were significantly decreased in the decolonization group. However, there was no statistical difference in the SSI caused by other bacteria between the two groups. Conclusion: S. aureus screening and decolonization prior to elective primary THA and TKA could significantly decrease the risk of SSI and PJI. However, more robust studies are needed to further evaluate the impact of S. aureus screening and decolonization on infection risk after TJA.","author":[{"dropping-particle":"","family":"Zhu","given":"Xingyang","non-dropping-particle":"","parse-names":false,"suffix":""},{"dropping-particle":"","family":"Sun","given":"Xiaobo","non-dropping-particle":"","parse-names":false,"suffix":""},{"dropping-particle":"","family":"Zeng","given":"Yuqing","non-dropping-particle":"","parse-names":false,"suffix":""},{"dropping-particle":"","family":"Feng","given":"Wenjun","non-dropping-particle":"","parse-names":false,"suffix":""},{"dropping-particle":"","family":"Li","given":"Jie","non-dropping-particle":"","parse-names":false,"suffix":""},{"dropping-particle":"","family":"Zeng","given":"Jianchun","non-dropping-particle":"","parse-names":false,"suffix":""},{"dropping-particle":"","family":"Zeng","given":"Yirong","non-dropping-particle":"","parse-names":false,"suffix":""}],"container-title":"Journal of Orthopaedic Surgery and Research","id":"ITEM-3","issue":"1","issued":{"date-parts":[["2020","12","19"]]},"page":"60","title":"Can nasal Staphylococcus aureus screening and decolonization prior to elective total joint arthroplasty reduce surgical site and prosthesis-related infections? A systematic review and meta-analysis","type":"article-journal","volume":"15"},"uris":["http://www.mendeley.com/documents/?uuid=1bd714e5-3372-426f-80b6-034420b50fcb"]},{"id":"ITEM-4","itemData":{"DOI":"10.1007/s11999-013-2875-0","ISBN":"0009-921x","ISSN":"0009921X","PMID":"23463284","abstract":"BACKGROUND: Staphylococcus aureus is the most common organism responsible for orthopaedic surgical site infections (SSIs). Patients who are carriers for methicillin-sensitive S. aureus or methicillin-resistant S. aureus (MRSA) have a higher likelihood of having invasive S. aureus infections. Although some have advocated screening for S. aureus and decolonizing it is unclear whether these efforts reduce SSIs.\\n\\nQUESTIONS/PURPOSES: The purposes of this study were to determine (1) whether S. aureus screening and decolonization reduce SSIs in orthopaedic patients and (2) if implementing this protocol is cost-effective.\\n\\nMETHODS: Studies for this systematic review were identified by searching PubMed, which includes MEDLINE (1946-present), EMBASE.com (1974-present), and the Cochrane Library's (John Wiley &amp; Sons) Cochrane Database of Systematic Reviews (CDSR), Cochrane Central Register of Controlled Trials (CENTRAL), Database of Abstracts of Reviews of Effects (DARE), Health Technology Assessment Database (HTAD), and the NHS Economic Evaluation Database (NHSEED). Comprehensive literature searches were developed using EMTREE, MeSH, and keywords for each of the search concepts of decolonization, MRSA, and orthopedics/orthopedic surgery. Studies published before 1968 were excluded. We analyzed 19 studies examining the ability of the decolonization protocol to reduce SSIs and 10 studies detailing the cost-effectiveness of S. aureus screening and decolonization.\\n\\nRESULTS: All 19 studies showed a reduction in SSIs or wound complications by instituting a S. aureus screening and decolonization protocol in elective orthopaedic (total joints, spine, and sports) and trauma patients. The S. aureus screening and decolonization protocol also saved costs in orthopaedic patients when comparing the costs of screening and decolonization with the reduction of SSIs.\\n\\nCONCLUSIONS: Preoperative screening and decolonization of S. aureus in orthopaedic patients is a cost-effective means to reduce SSIs.\\n\\nLEVEL OF EVIDENCE: Level IV, systematic review of Level I-IV studies. See the Guidelines for Authors for a complete description of levels of evidence.","author":[{"dropping-particle":"","family":"Chen","given":"Antonia F.","non-dropping-particle":"","parse-names":false,"suffix":""},{"dropping-particle":"","family":"Wessel","given":"Charles B.","non-dropping-particle":"","parse-names":false,"suffix":""},{"dropping-particle":"","family":"Rao","given":"Nalini","non-dropping-particle":"","parse-names":false,"suffix":""}],"container-title":"Clinical Orthopaedics and Related Research","id":"ITEM-4","issue":"7","issued":{"date-parts":[["2013","7"]]},"page":"2383-2399","title":"Staphylococcus aureus screening and decolonization in orthopaedic surgery and reduction of surgical site infections infection","type":"article-journal","volume":"471"},"uris":["http://www.mendeley.com/documents/?uuid=09c33eac-35b9-44bc-a666-37fa325bf5a9"]},{"id":"ITEM-5","itemData":{"abstract":"This guideline covers preventing and treating surgical site infections in adults, young people and children who are having a surgical procedure involving a cut through the skin. It recommends effective methods to use before, during and after surgery to minimise the risk of infection. In February 2017 a footnote was added to recommendation 1.2.11&amp;nbsp;linking to related recommendations in the NICE guideline on caesarean section. Recommendations This guideline includes recommendations on: information for patients and carers the preoperative phase the intraoperative phase the postoperative phase Who is it for? Healthcare professionals Commissioners and providers People who are having surgery and their families and carers Is this guideline up to date? We checked this guideline in January 2017&amp;nbsp;and we are updating the following recommendations: nasal decontamination of Staphylococcus aureus choice of preoperative skin antiseptics application of intraoperative topical antiseptics/antimicrobials before wound closure type of suture. See the guideline&amp;nbsp;in development page&amp;nbsp;for progress of the update. Guideline development process How we develop NICE guidelines This guideline updates and replaces NICE technology appraisal guidance TA24 (April 2001). This guideline was previously called surgical site infection: prevention and treatment of surgical site infection.","author":[{"dropping-particle":"","family":"National Institute for Health and Care Excellence","given":"","non-dropping-particle":"","parse-names":false,"suffix":""}],"id":"ITEM-5","issue":"August","issued":{"date-parts":[["2020"]]},"page":"1-20","title":"Surgical site infections : prevention and treatment","type":"article-journal"},"uris":["http://www.mendeley.com/documents/?uuid=ddc7bdff-6bb7-43fc-b661-53697db2b44b"]},{"id":"ITEM-6","itemData":{"ISBN":"9789241550475","ISSN":"20472994","PMID":"31749962","abstract":"Background: The Asia Pacific Society of Infection Control (APSIC) launched the APSIC Guidelines for the Prevention of Surgical Site Infections in 2018. This document describes the guidelines and recommendations for the setting prevention of surgical site infections (SSIs). It aims to highlight practical recommendations in a concise format designed to assist healthcare facilities at Asia Pacific region in achieving high standards in preoperative, perioperative and postoperative practices. Method: The guidelines were developed by an appointed workgroup comprising experts in the Asia Pacific region, following reviews of previously published guidelines and recommendations relevant to each section. Results: It recommends that healthcare facilities review specific risk factors and develop effective prevention strategies, which would be cost effective at local levels. Gaps identified are best closed using a quality improvement process. Surveillance of SSIs is recommended using accepted international methodology. The timely feedback of the data analysed would help in the monitoring of effective implementation of interventions. Conclusions: Healthcare facilities should aim for excellence in safe surgery practices. The implementation of evidence-based practices using a quality improvement process helps towards achieving effective and sustainable results.","author":[{"dropping-particle":"","family":"World Health Organization","given":"","non-dropping-particle":"","parse-names":false,"suffix":""}],"id":"ITEM-6","issued":{"date-parts":[["2018"]]},"title":"Global guidelines for the prevention of surgical site infection, second edition","type":"article-journal"},"uris":["http://www.mendeley.com/documents/?uuid=8a260888-7a37-451f-9aca-b735ceb85479"]},{"id":"ITEM-7","itemData":{"DOI":"10.1001/jama.2019.0554","ISSN":"0098-7484","abstract":"Importance: Blood transfusion is one of the most frequently used therapies worldwide and is associated with benefits, risks, and costs. Objective(s): To develop a set of evidence-based recommendations for patient blood management (PBM) and for research. Evidence Review: The scientific committee developed 17 Population/Intervention/Comparison/Outcome (PICO) questions for red blood cell (RBC) transfusion in adult patients in 3 areas: preoperative anemia (3 questions), RBC transfusion thresholds (11 questions), and implementation of PBM programs (3 questions). These questions guided the literature search in 4 biomedical databases (MEDLINE, EMBASE, Cochrane Library, Transfusion Evidence Library), searched from inception to January 2018. Meta-analyses were conducted with the GRADE (Grading of Recommendations, Assessment, Development, and Evaluation) methodology and the Evidence-to-Decision framework by 3 panels including clinical and scientific experts, nurses, patient representatives, and methodologists, to develop clinical recommendations during a consensus conference in Frankfurt/Main, Germany, in April 2018. Finding(s): From 17607 literature citations associated with the 17 PICO questions, 145 studies, including 63 randomized clinical trials with 23143 patients and 82 observational studies with more than 4 million patients, were analyzed. For preoperative anemia, 4 clinical and 3 research recommendations were developed, including the strong recommendation to detect and manage anemia sufficiently early before major elective surgery. For RBC transfusion thresholds, 4 clinical and 6 research recommendations were developed, including 2 strong clinical recommendations for critically ill but clinically stable intensive care patients with or without septic shock (recommended threshold for RBC transfusion, hemoglobin concentration &lt;7 g/dL) as well as for patients undergoing cardiac surgery (recommended threshold for RBC transfusion, hemoglobin concentration &lt;7.5 g/dL). For implementation of PBM programs, 2 clinical and 3 research recommendations were developed, including recommendations to implement comprehensive PBM programs and to use electronic decision support systems (both conditional recommendations) to improve appropriate RBC utilization. Conclusions and Relevance: The 2018 PBM International Consensus Conference defined the current status of the PBM evidence base for practice and research purposes and established 10 clinical recommendations and 12 researc…","author":[{"dropping-particle":"","family":"Mueller","given":"Markus M.","non-dropping-particle":"","parse-names":false,"suffix":""},{"dropping-particle":"","family":"Remoortel","given":"Hans","non-dropping-particle":"Van","parse-names":false,"suffix":""},{"dropping-particle":"","family":"Meybohm","given":"Patrick","non-dropping-particle":"","parse-names":false,"suffix":""},{"dropping-particle":"","family":"Aranko","given":"Kari","non-dropping-particle":"","parse-names":false,"suffix":""},{"dropping-particle":"","family":"Aubron","given":"Cécile","non-dropping-particle":"","parse-names":false,"suffix":""},{"dropping-particle":"","family":"Burger","given":"Reinhard","non-dropping-particle":"","parse-names":false,"suffix":""},{"dropping-particle":"","family":"Carson","given":"Jeffrey L.","non-dropping-particle":"","parse-names":false,"suffix":""},{"dropping-particle":"","family":"Cichutek","given":"Klaus","non-dropping-particle":"","parse-names":false,"suffix":""},{"dropping-particle":"","family":"Buck","given":"Emmy","non-dropping-particle":"De","parse-names":false,"suffix":""},{"dropping-particle":"","family":"Devine","given":"Dana","non-dropping-particle":"","parse-names":false,"suffix":""},{"dropping-particle":"","family":"Fergusson","given":"Dean","non-dropping-particle":"","parse-names":false,"suffix":""},{"dropping-particle":"","family":"Folléa","given":"Gilles","non-dropping-particle":"","parse-names":false,"suffix":""},{"dropping-particle":"","family":"French","given":"Craig","non-dropping-particle":"","parse-names":false,"suffix":""},{"dropping-particle":"","family":"Frey","given":"Kathrine P.","non-dropping-particle":"","parse-names":false,"suffix":""},{"dropping-particle":"","family":"Gammon","given":"Richard","non-dropping-particle":"","parse-names":false,"suffix":""},{"dropping-particle":"","family":"Levy","given":"Jerrold H.","non-dropping-particle":"","parse-names":false,"suffix":""},{"dropping-particle":"","family":"Murphy","given":"Michael F.","non-dropping-particle":"","parse-names":false,"suffix":""},{"dropping-particle":"","family":"Ozier","given":"Yves","non-dropping-particle":"","parse-names":false,"suffix":""},{"dropping-particle":"","family":"Pavenski","given":"Katerina","non-dropping-particle":"","parse-names":false,"suffix":""},{"dropping-particle":"","family":"So-Osman","given":"Cynthia","non-dropping-particle":"","parse-names":false,"suffix":""},{"dropping-particle":"","family":"Tiberghien","given":"Pierre","non-dropping-particle":"","parse-names":false,"suffix":""},{"dropping-particle":"","family":"Volmink","given":"Jimmy","non-dropping-particle":"","parse-names":false,"suffix":""},{"dropping-particle":"","family":"Waters","given":"Jonathan H.","non-dropping-particle":"","parse-names":false,"suffix":""},{"dropping-particle":"","family":"Wood","given":"Erica M.","non-dropping-particle":"","parse-names":false,"suffix":""},{"dropping-particle":"","family":"Seifried","given":"Erhard","non-dropping-particle":"","parse-names":false,"suffix":""}],"container-title":"JAMA","id":"ITEM-7","issue":"10","issued":{"date-parts":[["2019"]]},"page":"983","title":"Patient Blood Management: Recommendations from the 2018 Frankfurt consensus conference","type":"article-journal","volume":"321"},"uris":["http://www.mendeley.com/documents/?uuid=110d198b-0eab-49b3-8890-3ee8b3cd66a1"]},{"id":"ITEM-8","itemData":{"DOI":"10.1111/anae.13773","ISBN":"0003-2409","ISSN":"13652044","PMID":"27996086","abstract":"Despite current recommendations on the management of pre-operative anaemia, there is no pragmatic guidance for the diagnosis and management of anaemia and iron deficiency in surgical patients. A number of experienced researchers and clinicians took part in an expert workshop and developed the following consensus statement. After presentation of our own research data and local policies and procedures, appropriate relevant literature was reviewed and discussed. We developed a series of best-practice and evidence-based statements to advise on patient care with respect to anaemia and iron deficiency in the peri-operative period. These statements include: a diagnostic approach for anaemia and iron deficiency in surgical patients; identification of patients appropriate for treatment; and advice on practical management and follow-up. We urge anaesthetists and peri-operative physicians to embrace these recommendations, and hospital administrators to enable implementation of these concepts by allocating adequate resources.","author":[{"dropping-particle":"","family":"Muñoz","given":"M.","non-dropping-particle":"","parse-names":false,"suffix":""},{"dropping-particle":"","family":"Acheson","given":"A. G.","non-dropping-particle":"","parse-names":false,"suffix":""},{"dropping-particle":"","family":"Auerbach","given":"M.","non-dropping-particle":"","parse-names":false,"suffix":""},{"dropping-particle":"","family":"Besser","given":"M.","non-dropping-particle":"","parse-names":false,"suffix":""},{"dropping-particle":"","family":"Habler","given":"O.","non-dropping-particle":"","parse-names":false,"suffix":""},{"dropping-particle":"","family":"Kehlet","given":"H.","non-dropping-particle":"","parse-names":false,"suffix":""},{"dropping-particle":"","family":"Liumbruno","given":"G. M.","non-dropping-particle":"","parse-names":false,"suffix":""},{"dropping-particle":"","family":"Lasocki","given":"S.","non-dropping-particle":"","parse-names":false,"suffix":""},{"dropping-particle":"","family":"Meybohm","given":"P.","non-dropping-particle":"","parse-names":false,"suffix":""},{"dropping-particle":"","family":"Rao Baikady","given":"R.","non-dropping-particle":"","parse-names":false,"suffix":""},{"dropping-particle":"","family":"Richards","given":"T.","non-dropping-particle":"","parse-names":false,"suffix":""},{"dropping-particle":"","family":"Shander","given":"A.","non-dropping-particle":"","parse-names":false,"suffix":""},{"dropping-particle":"","family":"So-Osman","given":"C.","non-dropping-particle":"","parse-names":false,"suffix":""},{"dropping-particle":"","family":"Spahn","given":"D. R.","non-dropping-particle":"","parse-names":false,"suffix":""},{"dropping-particle":"","family":"Klein","given":"A. A.","non-dropping-particle":"","parse-names":false,"suffix":""}],"container-title":"Anaesthesia","id":"ITEM-8","issue":"2","issued":{"date-parts":[["2017"]]},"page":"233-247","title":"International consensus statement on the peri-operative management of anaemia and iron deficiency","type":"article-journal","volume":"72"},"uris":["http://www.mendeley.com/documents/?uuid=806c906b-4fb4-41ad-a239-66ac18be7835"]},{"id":"ITEM-9","itemData":{"ISBN":"9789240000384","author":[{"dropping-particle":"","family":"World Health Organization","given":"","non-dropping-particle":"","parse-names":false,"suffix":""}],"id":"ITEM-9","issued":{"date-parts":[["2020"]]},"number-of-pages":"1-48","title":"Action framework to advance universal access to safe, effective and quality-assured blood products 2020–2023","type":"book"},"uris":["http://www.mendeley.com/documents/?uuid=90889208-b331-4bca-bfb6-73639355326c"]}],"mendeley":{"formattedCitation":"(6,7,31–37)","plainTextFormattedCitation":"(6,7,31–37)","previouslyFormattedCitation":"(6,7,31–37)"},"properties":{"noteIndex":0},"schema":"https://github.com/citation-style-language/schema/raw/master/csl-citation.json"}</w:instrText>
      </w:r>
      <w:r w:rsidR="00A421A6">
        <w:fldChar w:fldCharType="separate"/>
      </w:r>
      <w:r w:rsidR="00845E08" w:rsidRPr="00845E08">
        <w:rPr>
          <w:noProof/>
        </w:rPr>
        <w:t>(6,7,31–37)</w:t>
      </w:r>
      <w:r w:rsidR="00A421A6">
        <w:fldChar w:fldCharType="end"/>
      </w:r>
      <w:r w:rsidR="00191D50">
        <w:t>.</w:t>
      </w:r>
      <w:r w:rsidR="00E7179E">
        <w:t>As the initiatives target healthcare teams a cluster RCT was used.</w:t>
      </w:r>
    </w:p>
    <w:p w14:paraId="4DED266C" w14:textId="03CDA2A0" w:rsidR="007E2477" w:rsidRPr="00035759" w:rsidRDefault="00F02DCB" w:rsidP="00327B6F">
      <w:pPr>
        <w:pStyle w:val="Heading1"/>
        <w:spacing w:line="480" w:lineRule="auto"/>
      </w:pPr>
      <w:r w:rsidRPr="00035759">
        <w:t>Methods</w:t>
      </w:r>
    </w:p>
    <w:p w14:paraId="19A8FB75" w14:textId="6DE95DBF" w:rsidR="007F2469" w:rsidRPr="00035759" w:rsidRDefault="0034207E" w:rsidP="00327B6F">
      <w:pPr>
        <w:pStyle w:val="Heading2"/>
        <w:spacing w:line="480" w:lineRule="auto"/>
      </w:pPr>
      <w:r w:rsidRPr="00035759">
        <w:t>Trial design, participants and outcomes</w:t>
      </w:r>
    </w:p>
    <w:p w14:paraId="758E5384" w14:textId="56F4D106" w:rsidR="00743A06" w:rsidRDefault="00B0161D" w:rsidP="00327B6F">
      <w:pPr>
        <w:spacing w:line="480" w:lineRule="auto"/>
      </w:pPr>
      <w:r>
        <w:t>M</w:t>
      </w:r>
      <w:r w:rsidR="00814BCF" w:rsidRPr="004864EF">
        <w:t>ethodology</w:t>
      </w:r>
      <w:r w:rsidR="00F07C6A">
        <w:t xml:space="preserve"> </w:t>
      </w:r>
      <w:r w:rsidR="00814BCF" w:rsidRPr="004864EF">
        <w:t xml:space="preserve">for the QIST </w:t>
      </w:r>
      <w:r w:rsidR="00EF4F68">
        <w:t xml:space="preserve">cluster </w:t>
      </w:r>
      <w:r w:rsidR="00814BCF" w:rsidRPr="004864EF">
        <w:t>trial</w:t>
      </w:r>
      <w:r w:rsidR="00F07C6A" w:rsidRPr="004864EF">
        <w:t xml:space="preserve"> </w:t>
      </w:r>
      <w:r>
        <w:t>is detailed</w:t>
      </w:r>
      <w:r w:rsidR="00814BCF" w:rsidRPr="004864EF">
        <w:t xml:space="preserve"> in the prospectively published protocol</w:t>
      </w:r>
      <w:r w:rsidR="00991C8A">
        <w:t xml:space="preserve"> </w:t>
      </w:r>
      <w:r w:rsidR="00814BCF" w:rsidRPr="004864EF">
        <w:fldChar w:fldCharType="begin" w:fldLock="1"/>
      </w:r>
      <w:r w:rsidR="00845E08">
        <w:instrText>ADDIN CSL_CITATION {"citationItems":[{"id":"ITEM-1","itemData":{"DOI":"10.1186/s13063-020-4152-3","ISSN":"1745-6215","abstract":"Measures shown to improve outcomes for patients often fail to be adopted into routine practice in the NHS. The Institute for Health Improvement Breakthrough Series Collaborative (BSC) model is designed to support implementation at scale. This trial aims to assess the effectiveness and cost-effectiveness of quality improvement collaboratives (QICs) based on the BSC method for introducing service improvements at scale in the NHS.","author":[{"dropping-particle":"","family":"Scrimshire","given":"Ashley B","non-dropping-particle":"","parse-names":false,"suffix":""},{"dropping-particle":"","family":"Booth","given":"Alison","non-dropping-particle":"","parse-names":false,"suffix":""},{"dropping-particle":"","family":"Fairhurst","given":"Caroline","non-dropping-particle":"","parse-names":false,"suffix":""},{"dropping-particle":"","family":"Reed","given":"Mike","non-dropping-particle":"","parse-names":false,"suffix":""},{"dropping-particle":"","family":"Tadd","given":"Win","non-dropping-particle":"","parse-names":false,"suffix":""},{"dropping-particle":"","family":"Laverty","given":"Annie","non-dropping-particle":"","parse-names":false,"suffix":""},{"dropping-particle":"","family":"Corbacho","given":"Belen","non-dropping-particle":"","parse-names":false,"suffix":""},{"dropping-particle":"","family":"Torgerson","given":"David","non-dropping-particle":"","parse-names":false,"suffix":""},{"dropping-particle":"","family":"McDaid","given":"Catriona","non-dropping-particle":"","parse-names":false,"suffix":""}],"container-title":"Trials","id":"ITEM-1","issue":"1","issued":{"date-parts":[["2020"]]},"page":"234","title":"Scaling up Quality Improvement for Surgical Teams (QIST) – avoiding surgical site infection and anaemia at the time of surgery: protocol for a cluster randomised controlled trial","type":"article-journal","volume":"21"},"uris":["http://www.mendeley.com/documents/?uuid=05a25d25-4947-4043-bac6-1d588add1445"]}],"mendeley":{"formattedCitation":"(38)","plainTextFormattedCitation":"(38)","previouslyFormattedCitation":"(38)"},"properties":{"noteIndex":0},"schema":"https://github.com/citation-style-language/schema/raw/master/csl-citation.json"}</w:instrText>
      </w:r>
      <w:r w:rsidR="00814BCF" w:rsidRPr="004864EF">
        <w:fldChar w:fldCharType="separate"/>
      </w:r>
      <w:r w:rsidR="00845E08" w:rsidRPr="00845E08">
        <w:rPr>
          <w:noProof/>
        </w:rPr>
        <w:t>(38)</w:t>
      </w:r>
      <w:r w:rsidR="00814BCF" w:rsidRPr="004864EF">
        <w:fldChar w:fldCharType="end"/>
      </w:r>
      <w:r w:rsidR="00191D50">
        <w:t>.</w:t>
      </w:r>
      <w:r w:rsidR="00814BCF" w:rsidRPr="004864EF">
        <w:t xml:space="preserve"> In summary, 41 volunteer NHS Trusts</w:t>
      </w:r>
      <w:r w:rsidR="00C76DCB">
        <w:t xml:space="preserve"> (</w:t>
      </w:r>
      <w:r w:rsidR="00B96CE8">
        <w:t xml:space="preserve">public </w:t>
      </w:r>
      <w:r w:rsidR="00C76DCB">
        <w:t xml:space="preserve">healthcare organisations serving a </w:t>
      </w:r>
      <w:r w:rsidR="00B96CE8">
        <w:t xml:space="preserve">particular </w:t>
      </w:r>
      <w:r w:rsidR="00C76DCB">
        <w:t>geographical area)</w:t>
      </w:r>
      <w:r>
        <w:t>,</w:t>
      </w:r>
      <w:r w:rsidR="00814BCF" w:rsidRPr="004864EF">
        <w:t xml:space="preserve"> </w:t>
      </w:r>
      <w:r w:rsidR="0034268E">
        <w:t>that</w:t>
      </w:r>
      <w:r w:rsidR="0034268E" w:rsidRPr="004864EF">
        <w:t xml:space="preserve"> </w:t>
      </w:r>
      <w:r w:rsidR="00814BCF" w:rsidRPr="004864EF">
        <w:t xml:space="preserve">confirmed at </w:t>
      </w:r>
      <w:r w:rsidR="00EB2FDC">
        <w:t xml:space="preserve">the </w:t>
      </w:r>
      <w:r w:rsidR="00814BCF" w:rsidRPr="004864EF">
        <w:t xml:space="preserve">time of recruitment that they had neither a preoperative anaemia screening </w:t>
      </w:r>
      <w:r w:rsidR="001A678F">
        <w:t>n</w:t>
      </w:r>
      <w:r w:rsidR="00814BCF" w:rsidRPr="004864EF">
        <w:t>or MSSA decoloni</w:t>
      </w:r>
      <w:r w:rsidR="00636AFC">
        <w:t>s</w:t>
      </w:r>
      <w:r w:rsidR="00814BCF" w:rsidRPr="004864EF">
        <w:t>ation pathway already in place for adult patients undergoing primary, elective</w:t>
      </w:r>
      <w:r>
        <w:t xml:space="preserve"> </w:t>
      </w:r>
      <w:r w:rsidR="00814BCF" w:rsidRPr="004864EF">
        <w:t>THR or TKR</w:t>
      </w:r>
      <w:r>
        <w:t>,</w:t>
      </w:r>
      <w:r w:rsidR="00814BCF" w:rsidRPr="004864EF">
        <w:t xml:space="preserve"> were randomised (1:1) as clusters to join one of two </w:t>
      </w:r>
      <w:r w:rsidR="00B96CE8">
        <w:t xml:space="preserve">parallel </w:t>
      </w:r>
      <w:r w:rsidR="00814BCF" w:rsidRPr="004864EF">
        <w:t>QICs</w:t>
      </w:r>
      <w:r>
        <w:t>.</w:t>
      </w:r>
      <w:r w:rsidR="00BC64F9">
        <w:t xml:space="preserve"> Such a design deals with the ‘Hawthorne effect’ by giving both groups an intervention which should abolish any effect due simply to greater interest in the hospital by external researchers. Group</w:t>
      </w:r>
      <w:r>
        <w:t xml:space="preserve"> allocation</w:t>
      </w:r>
      <w:r w:rsidR="000B4C3D">
        <w:t xml:space="preserve">, performed by </w:t>
      </w:r>
      <w:r w:rsidR="0034268E">
        <w:t xml:space="preserve">the </w:t>
      </w:r>
      <w:r w:rsidR="000B4C3D">
        <w:t xml:space="preserve">trial </w:t>
      </w:r>
      <w:r w:rsidR="00A77C4D">
        <w:t>statisticians</w:t>
      </w:r>
      <w:r w:rsidR="000B4C3D">
        <w:t>,</w:t>
      </w:r>
      <w:r>
        <w:t xml:space="preserve"> was</w:t>
      </w:r>
      <w:r w:rsidR="00814BCF">
        <w:t xml:space="preserve"> via minimisation with </w:t>
      </w:r>
      <w:r w:rsidR="00EB2FDC">
        <w:t xml:space="preserve">the </w:t>
      </w:r>
      <w:r w:rsidR="00814BCF">
        <w:t xml:space="preserve">number of </w:t>
      </w:r>
      <w:r w:rsidR="00F07C6A">
        <w:t>THR and TKR</w:t>
      </w:r>
      <w:r w:rsidR="00814BCF">
        <w:t xml:space="preserve"> procedures performed in 2016/2017 (&lt;=660, &gt;660) and the indicators in the Learning from Mistakes</w:t>
      </w:r>
      <w:r w:rsidR="00563276">
        <w:t xml:space="preserve"> (LfM)</w:t>
      </w:r>
      <w:r w:rsidR="00814BCF">
        <w:t xml:space="preserve"> league table (outstanding, good, significant concerns, or poor) as </w:t>
      </w:r>
      <w:r w:rsidR="0034268E">
        <w:t xml:space="preserve">minimisation </w:t>
      </w:r>
      <w:r w:rsidR="00814BCF">
        <w:t xml:space="preserve">factors. </w:t>
      </w:r>
      <w:r w:rsidR="00814BCF" w:rsidRPr="004864EF">
        <w:t>Trusts randomised to the QIST: Anaemia collaborative worked on implementing preoperative anaemia screening and optimi</w:t>
      </w:r>
      <w:r w:rsidR="00636AFC">
        <w:t>s</w:t>
      </w:r>
      <w:r w:rsidR="00814BCF" w:rsidRPr="004864EF">
        <w:t>ation pathways, expected to reduce perioperative blood transfusions</w:t>
      </w:r>
      <w:r w:rsidR="00AF4F83">
        <w:t xml:space="preserve"> within 7 days pre- or post-surgery</w:t>
      </w:r>
      <w:r w:rsidR="00814BCF" w:rsidRPr="004864EF">
        <w:t xml:space="preserve"> (co-primary outcome). </w:t>
      </w:r>
      <w:r w:rsidR="00814BCF">
        <w:t>T</w:t>
      </w:r>
      <w:r w:rsidR="00814BCF" w:rsidRPr="004864EF">
        <w:t xml:space="preserve">he QIST: Infection collaborative worked on implementing preoperative MSSA nasal decolonisation pathways, expected to reduce the incidence of postoperative deep surgical site infection (SSI) caused by MSSA </w:t>
      </w:r>
      <w:r w:rsidR="00A77C4D">
        <w:t xml:space="preserve">within 90 days post-surgery </w:t>
      </w:r>
      <w:r w:rsidR="00814BCF" w:rsidRPr="004864EF">
        <w:t>(co-primary outcome), deep SSI caused by other organisms and superficial SSIs</w:t>
      </w:r>
      <w:r w:rsidR="00814BCF">
        <w:t xml:space="preserve"> within 30 days of surgery</w:t>
      </w:r>
      <w:r w:rsidR="00814BCF" w:rsidRPr="004864EF">
        <w:t xml:space="preserve"> (secondary outcomes). </w:t>
      </w:r>
      <w:r w:rsidR="00814BCF">
        <w:t>C</w:t>
      </w:r>
      <w:r w:rsidR="00814BCF" w:rsidRPr="004864EF">
        <w:t xml:space="preserve">ritical care admissions, length of hospital </w:t>
      </w:r>
      <w:r w:rsidR="00F07C6A" w:rsidRPr="004864EF">
        <w:t>stay,</w:t>
      </w:r>
      <w:r w:rsidR="00814BCF" w:rsidRPr="004864EF">
        <w:t xml:space="preserve"> and unplanned readmissions</w:t>
      </w:r>
      <w:r w:rsidR="00814BCF">
        <w:t xml:space="preserve"> were </w:t>
      </w:r>
      <w:r w:rsidR="00814BCF" w:rsidRPr="004864EF">
        <w:t>secondary outcomes</w:t>
      </w:r>
      <w:r w:rsidR="00814BCF">
        <w:t xml:space="preserve"> for both arms. </w:t>
      </w:r>
    </w:p>
    <w:p w14:paraId="0D343897" w14:textId="0948BE5E" w:rsidR="00743A06" w:rsidRDefault="00743A06" w:rsidP="00327B6F">
      <w:pPr>
        <w:spacing w:line="480" w:lineRule="auto"/>
      </w:pPr>
      <w:r>
        <w:t xml:space="preserve">Implementation of the preoperative pathways at each site </w:t>
      </w:r>
      <w:r w:rsidR="0008078C">
        <w:t xml:space="preserve">was </w:t>
      </w:r>
      <w:r>
        <w:t xml:space="preserve">measured </w:t>
      </w:r>
      <w:r w:rsidR="0008078C">
        <w:t>by considering</w:t>
      </w:r>
      <w:r>
        <w:t xml:space="preserve"> </w:t>
      </w:r>
      <w:r w:rsidRPr="00DE17CE">
        <w:rPr>
          <w:rFonts w:eastAsia="Calibri"/>
        </w:rPr>
        <w:t>the proportion of the total number of THR or TKR procedures performed each month that received</w:t>
      </w:r>
      <w:r w:rsidRPr="00743A06">
        <w:rPr>
          <w:rFonts w:eastAsia="Calibri"/>
        </w:rPr>
        <w:t xml:space="preserve"> </w:t>
      </w:r>
      <w:r w:rsidRPr="00DE17CE">
        <w:rPr>
          <w:rFonts w:eastAsia="Calibri"/>
        </w:rPr>
        <w:t>preoperative anaemia screening</w:t>
      </w:r>
      <w:r>
        <w:rPr>
          <w:rFonts w:eastAsia="Calibri"/>
        </w:rPr>
        <w:t xml:space="preserve"> or MSSA screening and/or decolonisation</w:t>
      </w:r>
      <w:r w:rsidR="0008078C">
        <w:rPr>
          <w:rFonts w:eastAsia="Calibri"/>
        </w:rPr>
        <w:t xml:space="preserve"> as appropriate</w:t>
      </w:r>
      <w:r>
        <w:rPr>
          <w:rFonts w:eastAsia="Calibri"/>
        </w:rPr>
        <w:t>.</w:t>
      </w:r>
    </w:p>
    <w:p w14:paraId="4E92EE4E" w14:textId="46BBC595" w:rsidR="00BF5429" w:rsidRDefault="00814BCF" w:rsidP="00327B6F">
      <w:pPr>
        <w:spacing w:line="480" w:lineRule="auto"/>
      </w:pPr>
      <w:r>
        <w:t>The two</w:t>
      </w:r>
      <w:r w:rsidRPr="004864EF">
        <w:t xml:space="preserve"> collaborative groups were kept separate with all QIC activities being held on different dates. As the two groups were focusing on different pathways, expected to improve different postoperative outcomes, the two arms of the trial acted as each other’s control. Due to the </w:t>
      </w:r>
      <w:r w:rsidRPr="00035759">
        <w:t xml:space="preserve">nature of the </w:t>
      </w:r>
      <w:r w:rsidR="00E137F7" w:rsidRPr="00035759">
        <w:t>intervention,</w:t>
      </w:r>
      <w:r w:rsidR="00BF5429">
        <w:t xml:space="preserve"> </w:t>
      </w:r>
      <w:r w:rsidRPr="00035759">
        <w:t xml:space="preserve">it was not possible to blind Trusts or treating clinicians to the </w:t>
      </w:r>
      <w:r w:rsidRPr="00AD29B0">
        <w:t>trial arm they had been randomised</w:t>
      </w:r>
      <w:r w:rsidR="00A77C4D">
        <w:t xml:space="preserve"> to</w:t>
      </w:r>
      <w:r w:rsidRPr="00AD29B0">
        <w:t>.</w:t>
      </w:r>
      <w:r w:rsidR="005E7F5E">
        <w:t xml:space="preserve"> </w:t>
      </w:r>
    </w:p>
    <w:p w14:paraId="3C333EE0" w14:textId="58FB4E8E" w:rsidR="00814BCF" w:rsidRPr="00035759" w:rsidRDefault="00814BCF" w:rsidP="00327B6F">
      <w:pPr>
        <w:spacing w:line="480" w:lineRule="auto"/>
      </w:pPr>
      <w:r w:rsidRPr="00AD29B0">
        <w:t>It was estimated that 30,000 procedures from 40 participating Trusts would provide 80% power t</w:t>
      </w:r>
      <w:r w:rsidRPr="00035759">
        <w:t xml:space="preserve">o detect a difference </w:t>
      </w:r>
      <w:r w:rsidR="0008078C">
        <w:t>from</w:t>
      </w:r>
      <w:r w:rsidR="00CE2B58">
        <w:t xml:space="preserve"> </w:t>
      </w:r>
      <w:r w:rsidRPr="00035759">
        <w:t>0.75% t</w:t>
      </w:r>
      <w:r>
        <w:t>o</w:t>
      </w:r>
      <w:r w:rsidRPr="00035759">
        <w:t xml:space="preserve"> 0.25% in MSSA infection rate</w:t>
      </w:r>
      <w:r w:rsidR="00CE2B58">
        <w:t xml:space="preserve"> in favour of the infection arm,</w:t>
      </w:r>
      <w:r w:rsidRPr="00035759">
        <w:t xml:space="preserve"> and over 95% power </w:t>
      </w:r>
      <w:r w:rsidR="00CE2B58">
        <w:t>to detect a</w:t>
      </w:r>
      <w:r w:rsidRPr="00035759">
        <w:t xml:space="preserve"> difference </w:t>
      </w:r>
      <w:r w:rsidR="0008078C">
        <w:t>from</w:t>
      </w:r>
      <w:r w:rsidRPr="00035759">
        <w:t xml:space="preserve"> 6.0% to 3.9% in blood transfusion</w:t>
      </w:r>
      <w:r w:rsidR="00CE2B58">
        <w:t xml:space="preserve"> rate</w:t>
      </w:r>
      <w:r w:rsidRPr="00035759">
        <w:t>s</w:t>
      </w:r>
      <w:r w:rsidR="00CE2B58">
        <w:t xml:space="preserve"> in favour of the anaemia arm</w:t>
      </w:r>
      <w:r w:rsidRPr="00035759">
        <w:t xml:space="preserve">, </w:t>
      </w:r>
      <w:r w:rsidR="00CE2B58">
        <w:t>assuming</w:t>
      </w:r>
      <w:r w:rsidRPr="00035759">
        <w:t xml:space="preserve"> an intracluster correlation coefficient of 0.005</w:t>
      </w:r>
      <w:r w:rsidR="00CE2B58">
        <w:t xml:space="preserve"> and an average of 750 procedures per Trust per year</w:t>
      </w:r>
      <w:r>
        <w:t xml:space="preserve"> (alpha</w:t>
      </w:r>
      <w:r w:rsidR="00BE5C89">
        <w:t>=</w:t>
      </w:r>
      <w:r>
        <w:t>0.05)</w:t>
      </w:r>
      <w:r w:rsidRPr="00035759">
        <w:t>.</w:t>
      </w:r>
    </w:p>
    <w:p w14:paraId="36EDC9D3" w14:textId="3C0174E1" w:rsidR="00814BCF" w:rsidRDefault="00814BCF" w:rsidP="00327B6F">
      <w:pPr>
        <w:spacing w:line="480" w:lineRule="auto"/>
      </w:pPr>
      <w:r w:rsidRPr="004864EF">
        <w:t>Both groups collected patient</w:t>
      </w:r>
      <w:r>
        <w:t>-</w:t>
      </w:r>
      <w:r w:rsidRPr="004864EF">
        <w:t>level data on preoperative screening measures, treatment(s) received, operative details and postoperative outcome</w:t>
      </w:r>
      <w:r w:rsidR="00A77C4D">
        <w:t xml:space="preserve">s </w:t>
      </w:r>
      <w:r w:rsidRPr="004864EF">
        <w:t>including blood transfusions and SSI. Th</w:t>
      </w:r>
      <w:r>
        <w:t>ese</w:t>
      </w:r>
      <w:r w:rsidRPr="004864EF">
        <w:t xml:space="preserve"> data w</w:t>
      </w:r>
      <w:r>
        <w:t>ere</w:t>
      </w:r>
      <w:r w:rsidRPr="004864EF">
        <w:t xml:space="preserve"> combined with routinely collected electronic data from each Trust’s Patient Administration System. </w:t>
      </w:r>
      <w:r w:rsidR="009314FB">
        <w:t>C</w:t>
      </w:r>
      <w:r w:rsidR="000B4C3D" w:rsidRPr="000B4C3D">
        <w:t xml:space="preserve">onsent </w:t>
      </w:r>
      <w:r w:rsidR="000B4C3D">
        <w:t xml:space="preserve">was obtained </w:t>
      </w:r>
      <w:r w:rsidR="000B4C3D" w:rsidRPr="000B4C3D">
        <w:t xml:space="preserve">from </w:t>
      </w:r>
      <w:r w:rsidR="00A372E8">
        <w:t>executives</w:t>
      </w:r>
      <w:r w:rsidR="009408D7">
        <w:t xml:space="preserve"> and clinicians</w:t>
      </w:r>
      <w:r w:rsidR="00A372E8">
        <w:t xml:space="preserve"> at </w:t>
      </w:r>
      <w:r w:rsidR="003C1D1D">
        <w:t>each</w:t>
      </w:r>
      <w:r w:rsidR="000B4C3D" w:rsidRPr="000B4C3D">
        <w:t xml:space="preserve"> </w:t>
      </w:r>
      <w:r w:rsidR="00A77C4D">
        <w:t xml:space="preserve">participating </w:t>
      </w:r>
      <w:r w:rsidR="000B4C3D" w:rsidRPr="000B4C3D">
        <w:t>Trust</w:t>
      </w:r>
      <w:r w:rsidR="003C1D1D">
        <w:t xml:space="preserve"> </w:t>
      </w:r>
      <w:r w:rsidR="009314FB">
        <w:t>before</w:t>
      </w:r>
      <w:r w:rsidR="003C1D1D">
        <w:t xml:space="preserve"> randomisation</w:t>
      </w:r>
      <w:r w:rsidR="000B4C3D" w:rsidRPr="000B4C3D">
        <w:t>.</w:t>
      </w:r>
    </w:p>
    <w:p w14:paraId="28748E2A" w14:textId="1E1FBA2D" w:rsidR="00BA2EE8" w:rsidRDefault="0008078C" w:rsidP="00327B6F">
      <w:pPr>
        <w:spacing w:line="480" w:lineRule="auto"/>
      </w:pPr>
      <w:r>
        <w:t>H</w:t>
      </w:r>
      <w:r w:rsidR="00E66F5A">
        <w:t>ealth economic and process evaluation</w:t>
      </w:r>
      <w:r>
        <w:t>s</w:t>
      </w:r>
      <w:r w:rsidR="00E66F5A">
        <w:t xml:space="preserve"> were conducted and </w:t>
      </w:r>
      <w:r w:rsidR="00347206">
        <w:t xml:space="preserve">will be </w:t>
      </w:r>
      <w:r w:rsidR="00E66F5A">
        <w:t>reported separately.</w:t>
      </w:r>
    </w:p>
    <w:p w14:paraId="6D02AD56" w14:textId="6F5AAF8A" w:rsidR="00116029" w:rsidRPr="004864EF" w:rsidRDefault="0034207E" w:rsidP="00327B6F">
      <w:pPr>
        <w:pStyle w:val="Heading2"/>
        <w:spacing w:line="480" w:lineRule="auto"/>
      </w:pPr>
      <w:r w:rsidRPr="004864EF">
        <w:t>Intervention</w:t>
      </w:r>
    </w:p>
    <w:p w14:paraId="0271B55F" w14:textId="0DD9E0C5" w:rsidR="00814BCF" w:rsidRPr="004864EF" w:rsidRDefault="0008078C" w:rsidP="00327B6F">
      <w:pPr>
        <w:spacing w:line="480" w:lineRule="auto"/>
      </w:pPr>
      <w:r>
        <w:t>Full d</w:t>
      </w:r>
      <w:r w:rsidR="00814BCF" w:rsidRPr="004864EF">
        <w:t>etails of how specific elements of</w:t>
      </w:r>
      <w:r w:rsidR="00D253CC">
        <w:t xml:space="preserve"> the</w:t>
      </w:r>
      <w:r w:rsidR="00814BCF" w:rsidRPr="004864EF">
        <w:t xml:space="preserve"> QIC methodology </w:t>
      </w:r>
      <w:r w:rsidR="006155AE">
        <w:t>were implemented for this trial</w:t>
      </w:r>
      <w:r w:rsidR="00814BCF" w:rsidRPr="004864EF">
        <w:t xml:space="preserve"> can be found in </w:t>
      </w:r>
      <w:r w:rsidR="00E842C1">
        <w:t>S</w:t>
      </w:r>
      <w:r w:rsidR="00F045A7">
        <w:t xml:space="preserve">upplementary </w:t>
      </w:r>
      <w:r w:rsidR="00E842C1">
        <w:t>F</w:t>
      </w:r>
      <w:r w:rsidR="00F045A7">
        <w:t>ile 1</w:t>
      </w:r>
      <w:r w:rsidR="000A416D">
        <w:t xml:space="preserve">, </w:t>
      </w:r>
      <w:r>
        <w:t xml:space="preserve">but are summarised </w:t>
      </w:r>
      <w:r w:rsidR="003F790D">
        <w:t xml:space="preserve">below with reference to </w:t>
      </w:r>
      <w:r w:rsidR="00D253CC">
        <w:t>terminology</w:t>
      </w:r>
      <w:r w:rsidR="003F790D">
        <w:t xml:space="preserve"> from the Cochrane Effective Practice and Organisation of </w:t>
      </w:r>
      <w:r w:rsidR="004C5CEB">
        <w:t>C</w:t>
      </w:r>
      <w:r w:rsidR="003F790D">
        <w:t xml:space="preserve">are taxonomy </w:t>
      </w:r>
      <w:r w:rsidR="003F790D">
        <w:fldChar w:fldCharType="begin" w:fldLock="1"/>
      </w:r>
      <w:r w:rsidR="00810165">
        <w:instrText>ADDIN CSL_CITATION {"citationItems":[{"id":"ITEM-1","itemData":{"author":[{"dropping-particle":"","family":"Cochrane EPOC group","given":"","non-dropping-particle":"","parse-names":false,"suffix":""}],"id":"ITEM-1","issued":{"date-parts":[["2015"]]},"title":"Effective Practice and Organisation of Care (EPOC) Taxonomy","type":"report"},"uris":["http://www.mendeley.com/documents/?uuid=7941d23f-5f7c-4a9f-b28d-11b233e6d79c"]}],"mendeley":{"formattedCitation":"(39)","plainTextFormattedCitation":"(39)","previouslyFormattedCitation":"(39)"},"properties":{"noteIndex":0},"schema":"https://github.com/citation-style-language/schema/raw/master/csl-citation.json"}</w:instrText>
      </w:r>
      <w:r w:rsidR="003F790D">
        <w:fldChar w:fldCharType="separate"/>
      </w:r>
      <w:r w:rsidR="003F790D" w:rsidRPr="003F790D">
        <w:rPr>
          <w:noProof/>
        </w:rPr>
        <w:t>(39)</w:t>
      </w:r>
      <w:r w:rsidR="003F790D">
        <w:fldChar w:fldCharType="end"/>
      </w:r>
      <w:r w:rsidR="00191D50">
        <w:t>.</w:t>
      </w:r>
    </w:p>
    <w:p w14:paraId="5F47A4B3" w14:textId="47ED26C0" w:rsidR="00814BCF" w:rsidRPr="00757BFF" w:rsidRDefault="0008078C" w:rsidP="00327B6F">
      <w:pPr>
        <w:spacing w:line="480" w:lineRule="auto"/>
        <w:rPr>
          <w:rFonts w:cs="Times New Roman"/>
        </w:rPr>
      </w:pPr>
      <w:r>
        <w:t>F</w:t>
      </w:r>
      <w:r w:rsidR="00CE2B58">
        <w:t>ollowing randomisation, participating teams from each Trust were invited to attend QIC events to learn about the initiative their Trust had been randomised to implement. E</w:t>
      </w:r>
      <w:r w:rsidR="00814BCF" w:rsidRPr="004864EF">
        <w:t>ach of the two collaboratives were r</w:t>
      </w:r>
      <w:r w:rsidR="00814BCF">
        <w:t>u</w:t>
      </w:r>
      <w:r w:rsidR="00814BCF" w:rsidRPr="004864EF">
        <w:t>n and supported by a team of expert faculty with experience in the relevant clinical fields, improvement methodology and QICs</w:t>
      </w:r>
      <w:r w:rsidR="00974274">
        <w:t xml:space="preserve"> (inter-professional education)</w:t>
      </w:r>
      <w:r w:rsidR="00814BCF" w:rsidRPr="004864EF">
        <w:t xml:space="preserve">. Each collaborative consisted of a series of three, one day, face to face </w:t>
      </w:r>
      <w:r w:rsidR="00173094">
        <w:t>educational meetings (</w:t>
      </w:r>
      <w:r w:rsidR="00814BCF" w:rsidRPr="004864EF">
        <w:t>learning events</w:t>
      </w:r>
      <w:r w:rsidR="00173094">
        <w:t>)</w:t>
      </w:r>
      <w:r w:rsidR="00814BCF" w:rsidRPr="004864EF">
        <w:t xml:space="preserve"> and a summative congress. </w:t>
      </w:r>
      <w:r w:rsidR="00974274">
        <w:t>Educational materials and games were used a</w:t>
      </w:r>
      <w:r w:rsidR="00BF5429">
        <w:t>t</w:t>
      </w:r>
      <w:r w:rsidR="00814BCF" w:rsidRPr="004864EF">
        <w:t xml:space="preserve"> learning events</w:t>
      </w:r>
      <w:r w:rsidR="00974274">
        <w:t>, where</w:t>
      </w:r>
      <w:r w:rsidR="00814BCF" w:rsidRPr="004864EF">
        <w:t xml:space="preserve"> participating teams were taught about the respective clinical initiatives, </w:t>
      </w:r>
      <w:r>
        <w:t xml:space="preserve">and </w:t>
      </w:r>
      <w:r w:rsidR="00814BCF" w:rsidRPr="004864EF">
        <w:rPr>
          <w:rFonts w:cs="Times New Roman"/>
        </w:rPr>
        <w:t>reviewed the evidence base, governance arrangements, business cases, communications strategy, data collection and reporting arrangements. A range of example materials were provided to teams. As the collaboratives progressed</w:t>
      </w:r>
      <w:r w:rsidR="00162226">
        <w:rPr>
          <w:rFonts w:cs="Times New Roman"/>
        </w:rPr>
        <w:t>,</w:t>
      </w:r>
      <w:r w:rsidR="00814BCF" w:rsidRPr="004864EF">
        <w:rPr>
          <w:rFonts w:cs="Times New Roman"/>
        </w:rPr>
        <w:t xml:space="preserve"> teams developed and shared their own materials and presented on their own</w:t>
      </w:r>
      <w:r w:rsidR="00814BCF">
        <w:rPr>
          <w:rFonts w:cs="Times New Roman"/>
        </w:rPr>
        <w:t xml:space="preserve"> successes</w:t>
      </w:r>
      <w:r w:rsidR="00747F26">
        <w:rPr>
          <w:rFonts w:cs="Times New Roman"/>
        </w:rPr>
        <w:t xml:space="preserve"> and </w:t>
      </w:r>
      <w:r w:rsidR="00814BCF" w:rsidRPr="004864EF">
        <w:rPr>
          <w:rFonts w:cs="Times New Roman"/>
        </w:rPr>
        <w:t xml:space="preserve">challenges experienced as part of their improvement </w:t>
      </w:r>
      <w:r w:rsidR="00747F26" w:rsidRPr="004864EF">
        <w:rPr>
          <w:rFonts w:cs="Times New Roman"/>
        </w:rPr>
        <w:t>work</w:t>
      </w:r>
      <w:r>
        <w:rPr>
          <w:rFonts w:cs="Times New Roman"/>
        </w:rPr>
        <w:t>.</w:t>
      </w:r>
      <w:r w:rsidR="00747F26">
        <w:rPr>
          <w:rFonts w:cs="Times New Roman"/>
        </w:rPr>
        <w:t xml:space="preserve"> </w:t>
      </w:r>
      <w:r w:rsidR="00962230">
        <w:rPr>
          <w:rFonts w:cs="Times New Roman"/>
        </w:rPr>
        <w:t xml:space="preserve">These were </w:t>
      </w:r>
      <w:r w:rsidR="00757BFF">
        <w:rPr>
          <w:rFonts w:cs="Times New Roman"/>
        </w:rPr>
        <w:t xml:space="preserve">compared </w:t>
      </w:r>
      <w:r w:rsidR="00962230">
        <w:rPr>
          <w:rFonts w:cs="Times New Roman"/>
        </w:rPr>
        <w:t xml:space="preserve">and discussed </w:t>
      </w:r>
      <w:r w:rsidR="00757BFF">
        <w:rPr>
          <w:rFonts w:cs="Times New Roman"/>
        </w:rPr>
        <w:t>with others in the collaborative (monitoring of performance)</w:t>
      </w:r>
      <w:r w:rsidR="00814BCF" w:rsidRPr="004864EF">
        <w:rPr>
          <w:rFonts w:cs="Times New Roman"/>
        </w:rPr>
        <w:t xml:space="preserve">. Training on transferable quality improvement skills and time for teams to work on planning their improvement work were built into the learning event schedules. </w:t>
      </w:r>
      <w:r w:rsidR="00757BFF">
        <w:rPr>
          <w:rFonts w:cs="Times New Roman"/>
        </w:rPr>
        <w:t xml:space="preserve">Cross-organisation working was encouraged at the learning events and throughout the collaboratives to develop communities of practice. </w:t>
      </w:r>
    </w:p>
    <w:p w14:paraId="7538D7FA" w14:textId="2628CF81" w:rsidR="00757BFF" w:rsidRDefault="00162226" w:rsidP="00327B6F">
      <w:pPr>
        <w:spacing w:line="480" w:lineRule="auto"/>
        <w:rPr>
          <w:rFonts w:cs="Times New Roman"/>
        </w:rPr>
      </w:pPr>
      <w:r>
        <w:rPr>
          <w:rFonts w:cs="Times New Roman"/>
        </w:rPr>
        <w:t>B</w:t>
      </w:r>
      <w:r w:rsidR="00814BCF" w:rsidRPr="004864EF">
        <w:rPr>
          <w:rFonts w:cs="Times New Roman"/>
        </w:rPr>
        <w:t xml:space="preserve">etween learning events (action periods) teams </w:t>
      </w:r>
      <w:r w:rsidR="00974274">
        <w:rPr>
          <w:rFonts w:cs="Times New Roman"/>
        </w:rPr>
        <w:t xml:space="preserve">were encouraged to </w:t>
      </w:r>
      <w:r w:rsidR="00757BFF">
        <w:rPr>
          <w:rFonts w:cs="Times New Roman"/>
        </w:rPr>
        <w:t xml:space="preserve">engage with local opinion leaders and undertake a local consensus process to </w:t>
      </w:r>
      <w:r w:rsidR="00814BCF" w:rsidRPr="004864EF">
        <w:rPr>
          <w:rFonts w:cs="Times New Roman"/>
        </w:rPr>
        <w:t>implement</w:t>
      </w:r>
      <w:r w:rsidR="00757BFF">
        <w:rPr>
          <w:rFonts w:cs="Times New Roman"/>
        </w:rPr>
        <w:t xml:space="preserve"> change and the care pathways</w:t>
      </w:r>
      <w:r w:rsidR="00814BCF" w:rsidRPr="004864EF">
        <w:rPr>
          <w:rFonts w:cs="Times New Roman"/>
        </w:rPr>
        <w:t xml:space="preserve"> in their local setting</w:t>
      </w:r>
      <w:r w:rsidR="00757BFF">
        <w:rPr>
          <w:rFonts w:cs="Times New Roman"/>
        </w:rPr>
        <w:t>. A continuous quality improvement approach (using the model for improvement)</w:t>
      </w:r>
      <w:r w:rsidR="00757BFF" w:rsidRPr="004864EF">
        <w:rPr>
          <w:rFonts w:cs="Times New Roman"/>
        </w:rPr>
        <w:t xml:space="preserve"> </w:t>
      </w:r>
      <w:r w:rsidR="00757BFF">
        <w:rPr>
          <w:rFonts w:cs="Times New Roman"/>
        </w:rPr>
        <w:t>was encouraged</w:t>
      </w:r>
      <w:r w:rsidR="00814BCF" w:rsidRPr="004864EF">
        <w:rPr>
          <w:rFonts w:cs="Times New Roman"/>
        </w:rPr>
        <w:t xml:space="preserve"> and </w:t>
      </w:r>
      <w:r w:rsidR="00757BFF">
        <w:rPr>
          <w:rFonts w:cs="Times New Roman"/>
        </w:rPr>
        <w:t xml:space="preserve">data were </w:t>
      </w:r>
      <w:r w:rsidR="00814BCF" w:rsidRPr="004864EF">
        <w:rPr>
          <w:rFonts w:cs="Times New Roman"/>
        </w:rPr>
        <w:t>collect</w:t>
      </w:r>
      <w:r w:rsidR="00757BFF">
        <w:rPr>
          <w:rFonts w:cs="Times New Roman"/>
        </w:rPr>
        <w:t>ed</w:t>
      </w:r>
      <w:r w:rsidR="00814BCF" w:rsidRPr="004864EF">
        <w:rPr>
          <w:rFonts w:cs="Times New Roman"/>
        </w:rPr>
        <w:t xml:space="preserve"> to measure the impact</w:t>
      </w:r>
      <w:r w:rsidR="00974274">
        <w:rPr>
          <w:rFonts w:cs="Times New Roman"/>
        </w:rPr>
        <w:t xml:space="preserve"> </w:t>
      </w:r>
      <w:r w:rsidR="00757BFF">
        <w:rPr>
          <w:rFonts w:cs="Times New Roman"/>
        </w:rPr>
        <w:t xml:space="preserve">of changes </w:t>
      </w:r>
      <w:r w:rsidR="00974274">
        <w:rPr>
          <w:rFonts w:cs="Times New Roman"/>
        </w:rPr>
        <w:t>(audit and feedback)</w:t>
      </w:r>
      <w:r w:rsidR="00814BCF" w:rsidRPr="004864EF">
        <w:rPr>
          <w:rFonts w:cs="Times New Roman"/>
        </w:rPr>
        <w:t>. To support this, regular feedback</w:t>
      </w:r>
      <w:r w:rsidR="00757BFF">
        <w:rPr>
          <w:rFonts w:cs="Times New Roman"/>
        </w:rPr>
        <w:t xml:space="preserve">, </w:t>
      </w:r>
      <w:r w:rsidR="00814BCF" w:rsidRPr="004864EF">
        <w:rPr>
          <w:rFonts w:cs="Times New Roman"/>
        </w:rPr>
        <w:t>support</w:t>
      </w:r>
      <w:r w:rsidR="00757BFF">
        <w:rPr>
          <w:rFonts w:cs="Times New Roman"/>
        </w:rPr>
        <w:t xml:space="preserve"> and reminders</w:t>
      </w:r>
      <w:r w:rsidR="00814BCF" w:rsidRPr="004864EF">
        <w:rPr>
          <w:rFonts w:cs="Times New Roman"/>
        </w:rPr>
        <w:t xml:space="preserve"> </w:t>
      </w:r>
      <w:r w:rsidR="007A350D">
        <w:rPr>
          <w:rFonts w:cs="Times New Roman"/>
        </w:rPr>
        <w:t>were provided to the teams by the faculty via</w:t>
      </w:r>
      <w:r w:rsidR="00814BCF" w:rsidRPr="004864EF">
        <w:rPr>
          <w:rFonts w:cs="Times New Roman"/>
        </w:rPr>
        <w:t xml:space="preserve"> email, webinars and regular coaching calls. </w:t>
      </w:r>
      <w:r w:rsidR="00BF5429">
        <w:rPr>
          <w:rFonts w:cs="Times New Roman"/>
        </w:rPr>
        <w:t>Teams</w:t>
      </w:r>
      <w:r w:rsidR="00814BCF" w:rsidRPr="004864EF">
        <w:rPr>
          <w:rFonts w:cs="Times New Roman"/>
        </w:rPr>
        <w:t xml:space="preserve"> were required to submit a monthly written progress report</w:t>
      </w:r>
      <w:r w:rsidR="00814BCF">
        <w:rPr>
          <w:rFonts w:cs="Times New Roman"/>
        </w:rPr>
        <w:t xml:space="preserve">. </w:t>
      </w:r>
      <w:r w:rsidR="00974274">
        <w:rPr>
          <w:rFonts w:cs="Times New Roman"/>
        </w:rPr>
        <w:t xml:space="preserve">Performance data was </w:t>
      </w:r>
      <w:r w:rsidR="007A350D">
        <w:rPr>
          <w:rFonts w:cs="Times New Roman"/>
        </w:rPr>
        <w:t>presented</w:t>
      </w:r>
      <w:r w:rsidR="00850D3D">
        <w:rPr>
          <w:rFonts w:cs="Times New Roman"/>
        </w:rPr>
        <w:t xml:space="preserve"> within each of the collaboratives </w:t>
      </w:r>
      <w:r w:rsidR="00974274">
        <w:rPr>
          <w:rFonts w:cs="Times New Roman"/>
        </w:rPr>
        <w:t>in a</w:t>
      </w:r>
      <w:r w:rsidR="00814BCF" w:rsidRPr="004864EF">
        <w:rPr>
          <w:rFonts w:cs="Times New Roman"/>
        </w:rPr>
        <w:t xml:space="preserve"> newsletter</w:t>
      </w:r>
      <w:r w:rsidR="00850D3D">
        <w:rPr>
          <w:rFonts w:cs="Times New Roman"/>
        </w:rPr>
        <w:t xml:space="preserve"> which</w:t>
      </w:r>
      <w:r w:rsidR="00814BCF" w:rsidRPr="004864EF">
        <w:rPr>
          <w:rFonts w:cs="Times New Roman"/>
        </w:rPr>
        <w:t xml:space="preserve"> includ</w:t>
      </w:r>
      <w:r w:rsidR="00850D3D">
        <w:rPr>
          <w:rFonts w:cs="Times New Roman"/>
        </w:rPr>
        <w:t>ed</w:t>
      </w:r>
      <w:r w:rsidR="00814BCF" w:rsidRPr="004864EF">
        <w:rPr>
          <w:rFonts w:cs="Times New Roman"/>
        </w:rPr>
        <w:t xml:space="preserve"> team </w:t>
      </w:r>
      <w:r w:rsidR="00022998">
        <w:rPr>
          <w:rFonts w:cs="Times New Roman"/>
        </w:rPr>
        <w:t>rank</w:t>
      </w:r>
      <w:r w:rsidR="007A350D">
        <w:rPr>
          <w:rFonts w:cs="Times New Roman"/>
        </w:rPr>
        <w:t>ing</w:t>
      </w:r>
      <w:r w:rsidR="00022998">
        <w:rPr>
          <w:rFonts w:cs="Times New Roman"/>
        </w:rPr>
        <w:t>s</w:t>
      </w:r>
      <w:r w:rsidR="00814BCF" w:rsidRPr="004864EF">
        <w:rPr>
          <w:rFonts w:cs="Times New Roman"/>
        </w:rPr>
        <w:t xml:space="preserve"> by data completion</w:t>
      </w:r>
      <w:r w:rsidR="00974274">
        <w:rPr>
          <w:rFonts w:cs="Times New Roman"/>
        </w:rPr>
        <w:t xml:space="preserve">, </w:t>
      </w:r>
      <w:r w:rsidR="00814BCF" w:rsidRPr="004864EF">
        <w:rPr>
          <w:rFonts w:cs="Times New Roman"/>
        </w:rPr>
        <w:t xml:space="preserve">to encourage engagement. A bespoke data collection system was created to </w:t>
      </w:r>
      <w:r w:rsidR="007A350D">
        <w:rPr>
          <w:rFonts w:cs="Times New Roman"/>
        </w:rPr>
        <w:t>collate</w:t>
      </w:r>
      <w:r w:rsidR="00757BFF">
        <w:rPr>
          <w:rFonts w:cs="Times New Roman"/>
        </w:rPr>
        <w:t xml:space="preserve"> manually collected data </w:t>
      </w:r>
      <w:r w:rsidR="007A350D">
        <w:rPr>
          <w:rFonts w:cs="Times New Roman"/>
        </w:rPr>
        <w:t xml:space="preserve">and routinely collected </w:t>
      </w:r>
      <w:r w:rsidR="00757BFF">
        <w:rPr>
          <w:rFonts w:cs="Times New Roman"/>
        </w:rPr>
        <w:t xml:space="preserve">data </w:t>
      </w:r>
      <w:r w:rsidR="007A350D">
        <w:rPr>
          <w:rFonts w:cs="Times New Roman"/>
        </w:rPr>
        <w:t xml:space="preserve">held within </w:t>
      </w:r>
      <w:r w:rsidR="00757BFF">
        <w:rPr>
          <w:rFonts w:cs="Times New Roman"/>
        </w:rPr>
        <w:t>local health information systems</w:t>
      </w:r>
      <w:r w:rsidR="00814BCF" w:rsidRPr="004864EF">
        <w:rPr>
          <w:rFonts w:cs="Times New Roman"/>
        </w:rPr>
        <w:t>. This system automatically generated run charts allowing teams to track their progress over time</w:t>
      </w:r>
      <w:r w:rsidR="00757BFF">
        <w:rPr>
          <w:rFonts w:cs="Times New Roman"/>
        </w:rPr>
        <w:t xml:space="preserve"> (audit and feedback)</w:t>
      </w:r>
      <w:r w:rsidR="00814BCF" w:rsidRPr="004864EF">
        <w:rPr>
          <w:rFonts w:cs="Times New Roman"/>
        </w:rPr>
        <w:t xml:space="preserve">. </w:t>
      </w:r>
      <w:r w:rsidR="00BF5429">
        <w:rPr>
          <w:rFonts w:cs="Times New Roman"/>
        </w:rPr>
        <w:t>T</w:t>
      </w:r>
      <w:r w:rsidR="00814BCF" w:rsidRPr="004864EF">
        <w:rPr>
          <w:rFonts w:cs="Times New Roman"/>
        </w:rPr>
        <w:t>eam progress was monitored by the faculty and support</w:t>
      </w:r>
      <w:r w:rsidR="00747F26">
        <w:rPr>
          <w:rFonts w:cs="Times New Roman"/>
        </w:rPr>
        <w:t xml:space="preserve"> </w:t>
      </w:r>
      <w:r w:rsidR="00757BFF">
        <w:rPr>
          <w:rFonts w:cs="Times New Roman"/>
        </w:rPr>
        <w:t xml:space="preserve">interventions </w:t>
      </w:r>
      <w:r w:rsidR="00024319">
        <w:rPr>
          <w:rFonts w:cs="Times New Roman"/>
        </w:rPr>
        <w:t xml:space="preserve">were </w:t>
      </w:r>
      <w:r w:rsidR="00757BFF">
        <w:rPr>
          <w:rFonts w:cs="Times New Roman"/>
        </w:rPr>
        <w:t xml:space="preserve">tailored </w:t>
      </w:r>
      <w:r w:rsidR="00814BCF" w:rsidRPr="004864EF">
        <w:rPr>
          <w:rFonts w:cs="Times New Roman"/>
        </w:rPr>
        <w:t xml:space="preserve">to each team’s needs. Financial </w:t>
      </w:r>
      <w:r w:rsidR="00747F26">
        <w:rPr>
          <w:rFonts w:cs="Times New Roman"/>
        </w:rPr>
        <w:t>assistance</w:t>
      </w:r>
      <w:r w:rsidR="00747F26" w:rsidRPr="004864EF">
        <w:rPr>
          <w:rFonts w:cs="Times New Roman"/>
        </w:rPr>
        <w:t xml:space="preserve"> </w:t>
      </w:r>
      <w:r w:rsidR="00814BCF" w:rsidRPr="004864EF">
        <w:rPr>
          <w:rFonts w:cs="Times New Roman"/>
        </w:rPr>
        <w:t>was provided to teams to support attendance at learning events</w:t>
      </w:r>
      <w:r w:rsidR="008E6C84">
        <w:rPr>
          <w:rFonts w:cs="Times New Roman"/>
        </w:rPr>
        <w:t xml:space="preserve">, </w:t>
      </w:r>
      <w:r w:rsidR="00814BCF" w:rsidRPr="004864EF">
        <w:rPr>
          <w:rFonts w:cs="Times New Roman"/>
        </w:rPr>
        <w:t>dedicated staff time to work on the improvement initiatives and data collection</w:t>
      </w:r>
      <w:r w:rsidR="008E6C84">
        <w:rPr>
          <w:rFonts w:cs="Times New Roman"/>
        </w:rPr>
        <w:t xml:space="preserve">. </w:t>
      </w:r>
      <w:r w:rsidR="00BF5429">
        <w:rPr>
          <w:rFonts w:cs="Times New Roman"/>
        </w:rPr>
        <w:t>P</w:t>
      </w:r>
      <w:r w:rsidR="00814BCF" w:rsidRPr="004864EF">
        <w:rPr>
          <w:rFonts w:cs="Times New Roman"/>
        </w:rPr>
        <w:t xml:space="preserve">roduct costs for </w:t>
      </w:r>
      <w:r w:rsidR="00CE43AD">
        <w:rPr>
          <w:rFonts w:cs="Times New Roman"/>
        </w:rPr>
        <w:t>intravenous</w:t>
      </w:r>
      <w:r w:rsidR="00CE43AD" w:rsidRPr="004864EF">
        <w:rPr>
          <w:rFonts w:cs="Times New Roman"/>
        </w:rPr>
        <w:t xml:space="preserve"> </w:t>
      </w:r>
      <w:r w:rsidR="00814BCF" w:rsidRPr="004864EF">
        <w:rPr>
          <w:rFonts w:cs="Times New Roman"/>
        </w:rPr>
        <w:t>iron (Ferrinject) and MSSA decolonising body wash and nasal gel (Octen</w:t>
      </w:r>
      <w:r w:rsidR="00636AFC">
        <w:rPr>
          <w:rFonts w:cs="Times New Roman"/>
        </w:rPr>
        <w:t>i</w:t>
      </w:r>
      <w:r w:rsidR="00814BCF" w:rsidRPr="004864EF">
        <w:rPr>
          <w:rFonts w:cs="Times New Roman"/>
        </w:rPr>
        <w:t xml:space="preserve">dine) were provided when </w:t>
      </w:r>
      <w:r w:rsidR="00617155">
        <w:rPr>
          <w:rFonts w:cs="Times New Roman"/>
        </w:rPr>
        <w:t xml:space="preserve">administered </w:t>
      </w:r>
      <w:r w:rsidR="00814BCF" w:rsidRPr="004864EF">
        <w:rPr>
          <w:rFonts w:cs="Times New Roman"/>
        </w:rPr>
        <w:t>in line with previously published protocols</w:t>
      </w:r>
      <w:r w:rsidR="00757BFF">
        <w:rPr>
          <w:rFonts w:cs="Times New Roman"/>
        </w:rPr>
        <w:t>, on a pay for performance basis dependant on data entry</w:t>
      </w:r>
      <w:r w:rsidR="00814BCF" w:rsidRPr="004864EF">
        <w:rPr>
          <w:rFonts w:cs="Times New Roman"/>
        </w:rPr>
        <w:t xml:space="preserve"> </w:t>
      </w:r>
      <w:r w:rsidR="00814BCF" w:rsidRPr="004864EF">
        <w:rPr>
          <w:rFonts w:cs="Times New Roman"/>
        </w:rPr>
        <w:fldChar w:fldCharType="begin" w:fldLock="1"/>
      </w:r>
      <w:r w:rsidR="00810165">
        <w:rPr>
          <w:rFonts w:cs="Times New Roman"/>
        </w:rPr>
        <w:instrText>ADDIN CSL_CITATION {"citationItems":[{"id":"ITEM-1","itemData":{"DOI":"10.1111/trf.14372","ISSN":"15372995","PMID":"29106698","abstract":"BACKGROUND: Preoperative anemia in patients undergoing elective hip and knee arthroplasty is associated with increased postoperative morbidity and mortality, red blood cell (RBC) transfusion, and length of stay (LOS). The aim of this study was to assess the effect of optimizing hemoglobin (Hb) levels before elective primary hip and knee arthroplasty. STUDY DESIGN AND METHODS: This is a prospective comparative cohort study of patients who underwent elective hip and knee arthroplasty before (control) and after (intervention) the launch of a Hb optimization program. Patients with anemia followed an agreed upon algorithm dependent on their medical history and blood variables taken on listing for surgery. The primary outcome for this study was the requirement for allogenic RBC transfusion. Secondary outcomes included hospital LOS, admission to critical care, readmission, medical complications, incidence of thromboembolic events, mortality, and costs. RESULTS: A total of 1814 control patients operated between February 2012 and February 2013 were compared to 1622 intervention patients operated between February 2013 and May 2014. In the intervention group transfusion was significantly reduced (108 [6%] vs. 63 [4.1%], p50.005) as well as readmission (81 [4.5%] vs. 48 [2.3%], p5 0.020) and critical care admission (23 [1.3%] vs. 9 [0.5%], p50.030). LOS was significantly reduced from 3.9 days to 3.6 days (p50.017). The saving for the cohort was £263,000 ($342,000). CONCLUSIONS: Algorithm-led preoperative anemia screening and management in elective arthroplasty was associated with reduced RBC transfusion, readmission, critical care admission, LOS, and costs.","author":[{"dropping-particle":"","family":"Pujol-Nicolas","given":"Andrea","non-dropping-particle":"","parse-names":false,"suffix":""},{"dropping-particle":"","family":"Morrison","given":"Rory","non-dropping-particle":"","parse-names":false,"suffix":""},{"dropping-particle":"","family":"Casson","given":"Clare","non-dropping-particle":"","parse-names":false,"suffix":""},{"dropping-particle":"","family":"Khan","given":"Sameer","non-dropping-particle":"","parse-names":false,"suffix":""},{"dropping-particle":"","family":"Marriott","given":"Allan","non-dropping-particle":"","parse-names":false,"suffix":""},{"dropping-particle":"","family":"Tiplady","given":"Christopher","non-dropping-particle":"","parse-names":false,"suffix":""},{"dropping-particle":"","family":"Kotze","given":"Alwyn","non-dropping-particle":"","parse-names":false,"suffix":""},{"dropping-particle":"","family":"Gray","given":"William","non-dropping-particle":"","parse-names":false,"suffix":""},{"dropping-particle":"","family":"Reed","given":"Mike","non-dropping-particle":"","parse-names":false,"suffix":""},{"dropping-particle":"","family":"A.","given":"Pujol-Nicolas","non-dropping-particle":"","parse-names":false,"suffix":""},{"dropping-particle":"","family":"R.","given":"Morrison","non-dropping-particle":"","parse-names":false,"suffix":""},{"dropping-particle":"","family":"C.","given":"Casson","non-dropping-particle":"","parse-names":false,"suffix":""},{"dropping-particle":"","family":"S.","given":"Khan","non-dropping-particle":"","parse-names":false,"suffix":""},{"dropping-particle":"","family":"A.","given":"Marriott","non-dropping-particle":"","parse-names":false,"suffix":""},{"dropping-particle":"","family":"C.","given":"Tiplady","non-dropping-particle":"","parse-names":false,"suffix":""},{"dropping-particle":"","family":"A.","given":"Kotze","non-dropping-particle":"","parse-names":false,"suffix":""},{"dropping-particle":"","family":"W.","given":"Gray","non-dropping-particle":"","parse-names":false,"suffix":""},{"dropping-particle":"","family":"Pujol-Nicolas","given":"Andrea","non-dropping-particle":"","parse-names":false,"suffix":""},{"dropping-particle":"","family":"Morrison","given":"Rory","non-dropping-particle":"","parse-names":false,"suffix":""},{"dropping-particle":"","family":"Casson","given":"Clare","non-dropping-particle":"","parse-names":false,"suffix":""},{"dropping-particle":"","family":"Khan","given":"Sameer","non-dropping-particle":"","parse-names":false,"suffix":""},{"dropping-particle":"","family":"Marriott","given":"Allan","non-dropping-particle":"","parse-names":false,"suffix":""},{"dropping-particle":"","family":"Tiplady","given":"Christopher","non-dropping-particle":"","parse-names":false,"suffix":""},{"dropping-particle":"","family":"Kotze","given":"Alwyn","non-dropping-particle":"","parse-names":false,"suffix":""},{"dropping-particle":"","family":"Gray","given":"William","non-dropping-particle":"","parse-names":false,"suffix":""},{"dropping-particle":"","family":"Reed","given":"Mike","non-dropping-particle":"","parse-names":false,"suffix":""},{"dropping-particle":"","family":"A.","given":"Pujol-Nicolas","non-dropping-particle":"","parse-names":false,"suffix":""},{"dropping-particle":"","family":"R.","given":"Morrison","non-dropping-particle":"","parse-names":false,"suffix":""},{"dropping-particle":"","family":"C.","given":"Casson","non-dropping-particle":"","parse-names":false,"suffix":""},{"dropping-particle":"","family":"S.","given":"Khan","non-dropping-particle":"","parse-names":false,"suffix":""},{"dropping-particle":"","family":"A.","given":"Marriott","non-dropping-particle":"","parse-names":false,"suffix":""},{"dropping-particle":"","family":"C.","given":"Tiplady","non-dropping-particle":"","parse-names":false,"suffix":""},{"dropping-particle":"","family":"A.","given":"Kotze","non-dropping-particle":"","parse-names":false,"suffix":""},{"dropping-particle":"","family":"W.","given":"Gray","non-dropping-particle":"","parse-names":false,"suffix":""},{"dropping-particle":"","family":"Morrison","given":"Rory","non-dropping-particle":"","parse-names":false,"suffix":""},{"dropping-particle":"","family":"Marriott","given":"Allan","non-dropping-particle":"","parse-names":false,"suffix":""},{"dropping-particle":"","family":"Pujol-Nicolas","given":"Andrea","non-dropping-particle":"","parse-names":false,"suffix":""},{"dropping-particle":"","family":"Gray","given":"William","non-dropping-particle":"","parse-names":false,"suffix":""},{"dropping-particle":"","family":"Kotze","given":"Alwyn","non-dropping-particle":"","parse-names":false,"suffix":""},{"dropping-particle":"","family":"Casson","given":"Clare","non-dropping-particle":"","parse-names":false,"suffix":""},{"dropping-particle":"","family":"Reed","given":"Mike","non-dropping-particle":"","parse-names":false,"suffix":""},{"dropping-particle":"","family":"Khan","given":"Sameer","non-dropping-particle":"","parse-names":false,"suffix":""},{"dropping-particle":"","family":"Tiplady","given":"Christopher","non-dropping-particle":"","parse-names":false,"suffix":""},{"dropping-particle":"","family":"Morrison","given":"Rory","non-dropping-particle":"","parse-names":false,"suffix":""},{"dropping-particle":"","family":"Casson","given":"Clare","non-dropping-particle":"","parse-names":false,"suffix":""},{"dropping-particle":"","family":"Khan","given":"Sameer","non-dropping-particle":"","parse-names":false,"suffix":""},{"dropping-particle":"","family":"Marriott","given":"Allan","non-dropping-particle":"","parse-names":false,"suffix":""},{"dropping-particle":"","family":"Tiplady","given":"Christopher","non-dropping-particle":"","parse-names":false,"suffix":""},{"dropping-particle":"","family":"Kotze","given":"Alwyn","non-dropping-particle":"","parse-names":false,"suffix":""},{"dropping-particle":"","family":"Gray","given":"William","non-dropping-particle":"","parse-names":false,"suffix":""},{"dropping-particle":"","family":"Reed","given":"Mike","non-dropping-particle":"","parse-names":false,"suffix":""}],"container-title":"Transfusion","id":"ITEM-1","issue":"12","issued":{"date-parts":[["2017"]]},"page":"3049-3057","title":"Preoperative screening and intervention for mild anemia with low iron stores in elective hip and knee arthroplasty","type":"article-journal","volume":"57"},"uris":["http://www.mendeley.com/documents/?uuid=3fff4056-f560-4f06-9053-75adae443a39"]},{"id":"ITEM-2","itemData":{"DOI":"10.1016/j.jinf.2018.05.012","ISSN":"01634453","PMID":"29932962","abstract":"Aims: Periprosthetic joint infection (PJI) is a catastrophic and potentially life threatening complication following arthroplasty. In addition to the resulting impact on patient morbidity and mortality, PJI is associated with significant financial cost, which is estimated at £21,937 per case. Methicillin sensitive staphylococcus aureus (MSSA) is a common isolate in PJI and colonisation is a proven risk factor for subsequent infection. The aims of this study were: (1) to determine if MSSA screening and decolonisation reduced MSSA PJI rate in primary joint replacement and (2) to determine cost effectiveness of such a screening program. Methods: Pre-operative screening for MSSA was introduced in our institution in 2010. All MSSA positive patients attending for elective arthroplasty were prescribed Octenisan body wash and nasal Bactroban for use 5 days prior to procedure, and five days after. Infection data was collected prospectively and compared with a control group from before. Results: Between 2007 and 2014, 12,910 primary arthroplasties (5917 hip, 6993 knee) were performed. There were 3593 in the pre-screening group and 9318 in the post-screening group. Pre-screening PJI MSSA rate was 0.75% which reduced to 0.25% post screening introduction (p &lt; 0.0001). Overall PJI rate fell from 1.92% to 1.41% (p = 0.03). The screening program was most effective in MSSA prevention in total hip arthroplasty (3% to 1.5%, p = 0.002) and significant in the multivariate analysis. Following the introduction of the screening programme 47 PJIs were avoided, with a cost per infection prevented of £1893. Conclusion: The MSSA screening and eradication protocol used in our institution was effective at reducing rates of MSSA PJI. Furthermore, it resulted in significant savings when compared to the cost of prevented infections.","author":[{"dropping-particle":"","family":"Jeans","given":"Edward","non-dropping-particle":"","parse-names":false,"suffix":""},{"dropping-particle":"","family":"Holleyman","given":"Richard","non-dropping-particle":"","parse-names":false,"suffix":""},{"dropping-particle":"","family":"Tate","given":"David","non-dropping-particle":"","parse-names":false,"suffix":""},{"dropping-particle":"","family":"Reed","given":"Mike","non-dropping-particle":"","parse-names":false,"suffix":""},{"dropping-particle":"","family":"Malviya","given":"Ajay","non-dropping-particle":"","parse-names":false,"suffix":""}],"container-title":"Journal of Infection","id":"ITEM-2","issue":"5","issued":{"date-parts":[["2018","11"]]},"page":"405-409","title":"Methicillin sensitive staphylococcus aureus screening and decolonisation in elective hip and knee arthroplasty","type":"article-journal","volume":"77"},"uris":["http://www.mendeley.com/documents/?uuid=d9bc695e-484d-4c9e-8d21-b9818e049bbb"]}],"mendeley":{"formattedCitation":"(40,41)","plainTextFormattedCitation":"(40,41)","previouslyFormattedCitation":"(40,41)"},"properties":{"noteIndex":0},"schema":"https://github.com/citation-style-language/schema/raw/master/csl-citation.json"}</w:instrText>
      </w:r>
      <w:r w:rsidR="00814BCF" w:rsidRPr="004864EF">
        <w:rPr>
          <w:rFonts w:cs="Times New Roman"/>
        </w:rPr>
        <w:fldChar w:fldCharType="separate"/>
      </w:r>
      <w:r w:rsidR="003F790D" w:rsidRPr="003F790D">
        <w:rPr>
          <w:rFonts w:cs="Times New Roman"/>
          <w:noProof/>
        </w:rPr>
        <w:t>(40,41)</w:t>
      </w:r>
      <w:r w:rsidR="00814BCF" w:rsidRPr="004864EF">
        <w:rPr>
          <w:rFonts w:cs="Times New Roman"/>
        </w:rPr>
        <w:fldChar w:fldCharType="end"/>
      </w:r>
      <w:r w:rsidR="00191D50">
        <w:rPr>
          <w:rFonts w:cs="Times New Roman"/>
        </w:rPr>
        <w:t>.</w:t>
      </w:r>
    </w:p>
    <w:p w14:paraId="539C633C" w14:textId="06AD574B" w:rsidR="00BA2EE8" w:rsidRPr="0020742B" w:rsidRDefault="00814BCF" w:rsidP="00620810">
      <w:pPr>
        <w:spacing w:line="480" w:lineRule="auto"/>
      </w:pPr>
      <w:r w:rsidRPr="006F487D">
        <w:t xml:space="preserve">The </w:t>
      </w:r>
      <w:r w:rsidR="00901FFF">
        <w:t>QICs</w:t>
      </w:r>
      <w:r w:rsidRPr="006F487D">
        <w:t xml:space="preserve"> ran from May 2018 to May 2019</w:t>
      </w:r>
      <w:r w:rsidR="00C658AF">
        <w:t xml:space="preserve"> (</w:t>
      </w:r>
      <w:r w:rsidR="005F7BCC">
        <w:fldChar w:fldCharType="begin"/>
      </w:r>
      <w:r w:rsidR="005F7BCC">
        <w:instrText xml:space="preserve"> REF _Ref89097008 \h </w:instrText>
      </w:r>
      <w:r w:rsidR="005F7BCC">
        <w:fldChar w:fldCharType="separate"/>
      </w:r>
      <w:r w:rsidR="005F7BCC">
        <w:t xml:space="preserve">Table </w:t>
      </w:r>
      <w:r w:rsidR="005F7BCC">
        <w:rPr>
          <w:noProof/>
        </w:rPr>
        <w:t>1</w:t>
      </w:r>
      <w:r w:rsidR="005F7BCC">
        <w:fldChar w:fldCharType="end"/>
      </w:r>
      <w:r>
        <w:t>)</w:t>
      </w:r>
      <w:r w:rsidR="00BF5429">
        <w:t xml:space="preserve"> including a</w:t>
      </w:r>
      <w:r w:rsidR="00901FFF">
        <w:t xml:space="preserve"> </w:t>
      </w:r>
      <w:r w:rsidRPr="006F487D">
        <w:t xml:space="preserve">6-month implementation phase (May 2018 – November 2018) during which it was expected </w:t>
      </w:r>
      <w:r w:rsidR="005D2914">
        <w:t xml:space="preserve">that </w:t>
      </w:r>
      <w:r w:rsidRPr="006F487D">
        <w:t xml:space="preserve">Trusts would develop and </w:t>
      </w:r>
      <w:r w:rsidR="00617155">
        <w:t>embed</w:t>
      </w:r>
      <w:r w:rsidR="00617155" w:rsidRPr="006F487D">
        <w:t xml:space="preserve"> </w:t>
      </w:r>
      <w:r w:rsidRPr="006F487D">
        <w:t>their preoperative pathways</w:t>
      </w:r>
      <w:r w:rsidR="00617155">
        <w:t xml:space="preserve"> into usual care</w:t>
      </w:r>
      <w:r w:rsidRPr="006F487D">
        <w:t xml:space="preserve">. </w:t>
      </w:r>
      <w:r w:rsidR="00BF5429">
        <w:t>A</w:t>
      </w:r>
      <w:r w:rsidRPr="006F487D">
        <w:t xml:space="preserve"> 12-month data collection period (November 2018 – November 2019)</w:t>
      </w:r>
      <w:r w:rsidR="00BF5429">
        <w:t xml:space="preserve"> followed</w:t>
      </w:r>
      <w:r w:rsidR="00617155">
        <w:t>;</w:t>
      </w:r>
      <w:r w:rsidRPr="006F487D">
        <w:t xml:space="preserve"> outcome data </w:t>
      </w:r>
      <w:r w:rsidR="00617155" w:rsidRPr="006F487D">
        <w:t xml:space="preserve">were collected </w:t>
      </w:r>
      <w:r w:rsidR="00617155">
        <w:t xml:space="preserve">for procedures performed during this time </w:t>
      </w:r>
      <w:r w:rsidRPr="006F487D">
        <w:t xml:space="preserve">for trial analysis. During this </w:t>
      </w:r>
      <w:r w:rsidR="00BF5429">
        <w:t>period</w:t>
      </w:r>
      <w:r w:rsidR="000A416D">
        <w:t>,</w:t>
      </w:r>
      <w:r w:rsidR="00BF5429" w:rsidRPr="006F487D">
        <w:t xml:space="preserve"> </w:t>
      </w:r>
      <w:r w:rsidRPr="006F487D">
        <w:t xml:space="preserve">it was expected </w:t>
      </w:r>
      <w:r w:rsidR="00901FFF">
        <w:t>preoperative</w:t>
      </w:r>
      <w:r w:rsidRPr="006F487D">
        <w:t xml:space="preserve"> pathways would</w:t>
      </w:r>
      <w:r w:rsidR="00EC3254">
        <w:t xml:space="preserve"> be</w:t>
      </w:r>
      <w:r w:rsidRPr="006F487D">
        <w:t xml:space="preserve"> </w:t>
      </w:r>
      <w:r w:rsidR="00901FFF">
        <w:t>embedded</w:t>
      </w:r>
      <w:r w:rsidRPr="006F487D">
        <w:t xml:space="preserve">, refinements </w:t>
      </w:r>
      <w:r w:rsidR="00AC68F2">
        <w:t>made</w:t>
      </w:r>
      <w:r w:rsidRPr="006F487D">
        <w:t xml:space="preserve">, and sustainability planning would take place. </w:t>
      </w:r>
      <w:r w:rsidR="009B6E56" w:rsidRPr="005E7F5E">
        <w:t xml:space="preserve">To minimise </w:t>
      </w:r>
      <w:r w:rsidR="009B6E56">
        <w:t xml:space="preserve">the risk of </w:t>
      </w:r>
      <w:r w:rsidR="009B6E56" w:rsidRPr="005E7F5E">
        <w:t xml:space="preserve">contamination or resentful demoralisation between the </w:t>
      </w:r>
      <w:r w:rsidR="009B6E56">
        <w:t xml:space="preserve">two trial arms, all Trusts were given the opportunity to join a new QIC, focussing on the pathway they had not implemented as part of the trial, after the trial </w:t>
      </w:r>
      <w:r w:rsidR="009B6E56" w:rsidRPr="006F487D">
        <w:t xml:space="preserve">data collection </w:t>
      </w:r>
      <w:r w:rsidR="009B6E56">
        <w:t>period was over.</w:t>
      </w:r>
    </w:p>
    <w:p w14:paraId="41B719EA" w14:textId="614527FD" w:rsidR="00116029" w:rsidRPr="004864EF" w:rsidRDefault="00116029" w:rsidP="00327B6F">
      <w:pPr>
        <w:pStyle w:val="Heading2"/>
        <w:spacing w:line="480" w:lineRule="auto"/>
      </w:pPr>
      <w:r w:rsidRPr="004864EF">
        <w:t xml:space="preserve">SSI data </w:t>
      </w:r>
      <w:r w:rsidRPr="008E6C84">
        <w:t>validation</w:t>
      </w:r>
    </w:p>
    <w:p w14:paraId="2869EE2B" w14:textId="3FC78321" w:rsidR="00116029" w:rsidRPr="004864EF" w:rsidRDefault="00901FFF" w:rsidP="00327B6F">
      <w:pPr>
        <w:spacing w:line="480" w:lineRule="auto"/>
      </w:pPr>
      <w:r>
        <w:t>To</w:t>
      </w:r>
      <w:r w:rsidR="00814BCF" w:rsidRPr="004864EF">
        <w:t xml:space="preserve"> standardise classification of SSI an Independent Outcome Classification (IOC) </w:t>
      </w:r>
      <w:r w:rsidR="00814BCF">
        <w:t>g</w:t>
      </w:r>
      <w:r w:rsidR="00814BCF" w:rsidRPr="004864EF">
        <w:t>roup of orthopaedic surgeons experienced in revision arthroplasty</w:t>
      </w:r>
      <w:r w:rsidR="00C744E7">
        <w:t xml:space="preserve"> was convened</w:t>
      </w:r>
      <w:r w:rsidR="00814BCF" w:rsidRPr="004864EF">
        <w:t>. The</w:t>
      </w:r>
      <w:r w:rsidR="00C744E7">
        <w:t xml:space="preserve">y </w:t>
      </w:r>
      <w:r w:rsidR="00814BCF" w:rsidRPr="004864EF">
        <w:t xml:space="preserve">reviewed the case notes for all </w:t>
      </w:r>
      <w:r w:rsidR="00814BCF">
        <w:t>records</w:t>
      </w:r>
      <w:r w:rsidR="00814BCF" w:rsidRPr="004864EF">
        <w:t xml:space="preserve"> flagged as possible SSI by the </w:t>
      </w:r>
      <w:r w:rsidR="00D47B3D">
        <w:t>participating</w:t>
      </w:r>
      <w:r w:rsidR="00814BCF" w:rsidRPr="004864EF">
        <w:t xml:space="preserve"> teams and applied Public Health England </w:t>
      </w:r>
      <w:r w:rsidR="00610163">
        <w:t xml:space="preserve">(PHE) </w:t>
      </w:r>
      <w:r w:rsidR="00814BCF" w:rsidRPr="004864EF">
        <w:t xml:space="preserve">and Centre for Disease Control </w:t>
      </w:r>
      <w:r w:rsidR="00610163">
        <w:t xml:space="preserve">(CDC) </w:t>
      </w:r>
      <w:r w:rsidR="00814BCF" w:rsidRPr="004864EF">
        <w:t xml:space="preserve">criteria for deep </w:t>
      </w:r>
      <w:r w:rsidR="00814BCF">
        <w:t>(up to 90 days</w:t>
      </w:r>
      <w:r w:rsidR="00610163">
        <w:t xml:space="preserve"> post-surgery</w:t>
      </w:r>
      <w:r w:rsidR="00814BCF">
        <w:t xml:space="preserve">) </w:t>
      </w:r>
      <w:r w:rsidR="00814BCF" w:rsidRPr="004864EF">
        <w:t xml:space="preserve">and superficial </w:t>
      </w:r>
      <w:r w:rsidR="00814BCF">
        <w:t xml:space="preserve">(up to 30 days) </w:t>
      </w:r>
      <w:r w:rsidR="00814BCF" w:rsidRPr="004864EF">
        <w:t xml:space="preserve">SSI to all cases </w:t>
      </w:r>
      <w:r w:rsidR="005D2914">
        <w:t>and</w:t>
      </w:r>
      <w:r w:rsidR="005D2914" w:rsidRPr="004864EF">
        <w:t xml:space="preserve"> </w:t>
      </w:r>
      <w:r w:rsidR="005D2914">
        <w:t>a consensus reached for</w:t>
      </w:r>
      <w:r w:rsidR="00814BCF" w:rsidRPr="004864EF">
        <w:t xml:space="preserve"> final trial outcomes. </w:t>
      </w:r>
      <w:r w:rsidR="00610163">
        <w:t xml:space="preserve">Deep SSI caused by MSSA as defined by the PHE definition up to 90 days post-surgery was the primary outcome for the infection arm. </w:t>
      </w:r>
      <w:r w:rsidR="00814BCF" w:rsidRPr="004864EF">
        <w:t xml:space="preserve">We had planned to include a consultant microbiologist </w:t>
      </w:r>
      <w:r w:rsidR="00610163">
        <w:t>in</w:t>
      </w:r>
      <w:r w:rsidR="00814BCF" w:rsidRPr="004864EF">
        <w:t xml:space="preserve"> the IOC, </w:t>
      </w:r>
      <w:r w:rsidR="00814BCF">
        <w:t>but</w:t>
      </w:r>
      <w:r w:rsidR="00814BCF" w:rsidRPr="004864EF">
        <w:t xml:space="preserve"> a lack of availability due to the COVID-19 pandemic meant the makeup of the IOC had to change</w:t>
      </w:r>
      <w:r w:rsidR="005F0DB5" w:rsidRPr="004864EF">
        <w:t>.</w:t>
      </w:r>
    </w:p>
    <w:p w14:paraId="6890F5CC" w14:textId="0F362697" w:rsidR="00861710" w:rsidRPr="004864EF" w:rsidRDefault="00861710" w:rsidP="00327B6F">
      <w:pPr>
        <w:pStyle w:val="Heading2"/>
        <w:spacing w:line="480" w:lineRule="auto"/>
      </w:pPr>
      <w:r w:rsidRPr="004864EF">
        <w:t>Statistical analysis</w:t>
      </w:r>
    </w:p>
    <w:p w14:paraId="3DCF7286" w14:textId="0ABA5388" w:rsidR="00814BCF" w:rsidRDefault="00814BCF" w:rsidP="00327B6F">
      <w:pPr>
        <w:spacing w:line="480" w:lineRule="auto"/>
      </w:pPr>
      <w:r w:rsidRPr="004864EF">
        <w:t>Analys</w:t>
      </w:r>
      <w:r>
        <w:t>e</w:t>
      </w:r>
      <w:r w:rsidRPr="004864EF">
        <w:t xml:space="preserve">s were undertaken in Stata v15 (StataCorp, Texas) using two-sided statistical tests at </w:t>
      </w:r>
      <w:r w:rsidR="00610163">
        <w:t>the</w:t>
      </w:r>
      <w:r w:rsidRPr="004864EF">
        <w:t xml:space="preserve"> 5% significance level. </w:t>
      </w:r>
      <w:r w:rsidR="007D5469">
        <w:t>Unless otherwise stated,</w:t>
      </w:r>
      <w:r w:rsidRPr="004864EF">
        <w:t xml:space="preserve"> Trusts were assumed to have implemented their assigned protocol only and</w:t>
      </w:r>
      <w:r w:rsidR="00610163">
        <w:t>,</w:t>
      </w:r>
      <w:r w:rsidRPr="004864EF">
        <w:t xml:space="preserve"> as such</w:t>
      </w:r>
      <w:r w:rsidR="00610163">
        <w:t>,</w:t>
      </w:r>
      <w:r w:rsidRPr="004864EF">
        <w:t xml:space="preserve"> patients</w:t>
      </w:r>
      <w:r>
        <w:t xml:space="preserve"> and procedures</w:t>
      </w:r>
      <w:r w:rsidRPr="004864EF">
        <w:t xml:space="preserve"> were </w:t>
      </w:r>
      <w:r w:rsidR="00747C27">
        <w:t xml:space="preserve">analysed in the groups to which </w:t>
      </w:r>
      <w:r w:rsidRPr="004864EF">
        <w:t>their treating Trust was randomised</w:t>
      </w:r>
      <w:r w:rsidR="00747C27">
        <w:t xml:space="preserve">; however, not all randomised Trusts, or associated procedures, could be </w:t>
      </w:r>
      <w:r w:rsidR="0089590E">
        <w:t>included</w:t>
      </w:r>
      <w:r w:rsidR="00747C27">
        <w:t xml:space="preserve"> in the analyses and so </w:t>
      </w:r>
      <w:r w:rsidR="00197719">
        <w:t xml:space="preserve">missing data were removed from the analysis and </w:t>
      </w:r>
      <w:r w:rsidR="00747C27">
        <w:t>available-case analysis was used (each outcome was analysed using only available data). I</w:t>
      </w:r>
      <w:r w:rsidR="00D917B7">
        <w:t xml:space="preserve">t was not possible to analyse data from those 14 Trusts that were randomised but </w:t>
      </w:r>
      <w:r w:rsidR="005472E2">
        <w:t>did not provide any data</w:t>
      </w:r>
      <w:r w:rsidR="00747C27">
        <w:t>, and missing data within participating Trusts was not imputed</w:t>
      </w:r>
      <w:r w:rsidR="00D917B7">
        <w:t xml:space="preserve">. </w:t>
      </w:r>
      <w:r>
        <w:t xml:space="preserve">Data were received and analysed at the procedure-level, rather than the patient-level, since it was possible that </w:t>
      </w:r>
      <w:r w:rsidRPr="00A46485">
        <w:t xml:space="preserve">patients </w:t>
      </w:r>
      <w:r>
        <w:t>could undergo</w:t>
      </w:r>
      <w:r w:rsidRPr="00A46485">
        <w:t xml:space="preserve"> more than one eligible procedure during the study period</w:t>
      </w:r>
      <w:r>
        <w:t>. We anticipated this number would be small and so treat</w:t>
      </w:r>
      <w:r w:rsidR="00FE7E91">
        <w:t>ed</w:t>
      </w:r>
      <w:r>
        <w:t xml:space="preserve"> procedures as i</w:t>
      </w:r>
      <w:r w:rsidRPr="00A46485">
        <w:t xml:space="preserve">ndependent. </w:t>
      </w:r>
      <w:r w:rsidRPr="004864EF">
        <w:t xml:space="preserve">A statistical analysis plan created prior to the analysis, </w:t>
      </w:r>
      <w:r w:rsidR="00135D66" w:rsidRPr="004864EF">
        <w:t xml:space="preserve">was </w:t>
      </w:r>
      <w:r w:rsidRPr="004864EF">
        <w:t xml:space="preserve">agreed with </w:t>
      </w:r>
      <w:r w:rsidR="00135D66">
        <w:t>the</w:t>
      </w:r>
      <w:r w:rsidR="00135D66" w:rsidRPr="004864EF">
        <w:t xml:space="preserve"> </w:t>
      </w:r>
      <w:r w:rsidRPr="004864EF">
        <w:t xml:space="preserve">trial oversight committee. </w:t>
      </w:r>
    </w:p>
    <w:p w14:paraId="2CAA89F2" w14:textId="63FE6705" w:rsidR="004864EF" w:rsidRDefault="00E5670E" w:rsidP="00327B6F">
      <w:pPr>
        <w:spacing w:line="480" w:lineRule="auto"/>
      </w:pPr>
      <w:r>
        <w:t>C</w:t>
      </w:r>
      <w:r w:rsidR="004864EF">
        <w:t>o-</w:t>
      </w:r>
      <w:r w:rsidR="004864EF" w:rsidRPr="004864EF">
        <w:t xml:space="preserve">primary outcomes were </w:t>
      </w:r>
      <w:r w:rsidR="004864EF">
        <w:t xml:space="preserve">both </w:t>
      </w:r>
      <w:r w:rsidR="004864EF" w:rsidRPr="004864EF">
        <w:t>analysed using mixed effects logistic regression</w:t>
      </w:r>
      <w:r w:rsidR="004864EF">
        <w:t xml:space="preserve"> models</w:t>
      </w:r>
      <w:r w:rsidR="004864EF" w:rsidRPr="004864EF">
        <w:t>, adjust</w:t>
      </w:r>
      <w:r w:rsidR="004864EF">
        <w:t>ed</w:t>
      </w:r>
      <w:r w:rsidR="004864EF" w:rsidRPr="004864EF">
        <w:t xml:space="preserve"> for procedure type (hip or knee), age and </w:t>
      </w:r>
      <w:r w:rsidR="00F236DB">
        <w:t>sex</w:t>
      </w:r>
      <w:r w:rsidR="00F236DB" w:rsidRPr="004864EF">
        <w:t xml:space="preserve"> </w:t>
      </w:r>
      <w:r w:rsidR="004864EF" w:rsidRPr="004864EF">
        <w:t xml:space="preserve">of the patient, and the Trust-level factors that were used for randomisation: </w:t>
      </w:r>
      <w:r w:rsidR="004864EF">
        <w:t xml:space="preserve">number of hip and knee replacements performed 2016/2017 (in continuous form), and the </w:t>
      </w:r>
      <w:r w:rsidR="00563276">
        <w:t>LfM</w:t>
      </w:r>
      <w:r w:rsidR="004864EF">
        <w:t xml:space="preserve"> league </w:t>
      </w:r>
      <w:r w:rsidR="001170A7">
        <w:t>indicators</w:t>
      </w:r>
      <w:r w:rsidR="00610163">
        <w:t>.</w:t>
      </w:r>
      <w:r w:rsidR="004864EF">
        <w:t xml:space="preserve"> Trust was included as a random effect. </w:t>
      </w:r>
      <w:r w:rsidR="008E6C84">
        <w:t>All of t</w:t>
      </w:r>
      <w:r w:rsidR="004864EF">
        <w:t>he</w:t>
      </w:r>
      <w:r w:rsidR="00EF0FFA">
        <w:t xml:space="preserve"> </w:t>
      </w:r>
      <w:r w:rsidR="004864EF">
        <w:t>secondary outcomes</w:t>
      </w:r>
      <w:r w:rsidR="008E6C84">
        <w:t xml:space="preserve"> related to postoperative</w:t>
      </w:r>
      <w:r w:rsidR="001170A7">
        <w:t xml:space="preserve"> SSI</w:t>
      </w:r>
      <w:r w:rsidR="008E6C84">
        <w:t>,</w:t>
      </w:r>
      <w:r w:rsidR="008E6C84" w:rsidRPr="00DE17CE">
        <w:t xml:space="preserve"> readmissions and critical care admissions</w:t>
      </w:r>
      <w:r w:rsidR="008E6C84">
        <w:t xml:space="preserve"> </w:t>
      </w:r>
      <w:r w:rsidR="00EF0FFA" w:rsidRPr="00DE17CE">
        <w:t>were analysed in the same way as the primary outcomes</w:t>
      </w:r>
      <w:r w:rsidR="008E6C84">
        <w:t xml:space="preserve">. </w:t>
      </w:r>
      <w:r w:rsidR="001170A7">
        <w:t xml:space="preserve">Length of hospital stay </w:t>
      </w:r>
      <w:r w:rsidR="007414B3" w:rsidRPr="00DE17CE">
        <w:t xml:space="preserve">was analysed using a Poisson regression model, and length of critical care stay was analysed using a </w:t>
      </w:r>
      <w:r w:rsidR="00DE17CE">
        <w:t xml:space="preserve">Poisson model when just including those with a stay on critical care, and </w:t>
      </w:r>
      <w:r w:rsidR="007414B3" w:rsidRPr="00DE17CE">
        <w:t xml:space="preserve">zero-inflated Poisson regression </w:t>
      </w:r>
      <w:r w:rsidR="00DE17CE">
        <w:t xml:space="preserve">after imputing </w:t>
      </w:r>
      <w:r w:rsidR="00DD56D0">
        <w:t>zero</w:t>
      </w:r>
      <w:r w:rsidR="00DE17CE">
        <w:t xml:space="preserve"> days on critical care when there was no admission to critical care</w:t>
      </w:r>
      <w:r w:rsidR="00DE17CE" w:rsidRPr="00DE17CE">
        <w:t xml:space="preserve"> </w:t>
      </w:r>
      <w:r w:rsidR="007414B3" w:rsidRPr="00DE17CE">
        <w:t xml:space="preserve">– </w:t>
      </w:r>
      <w:r w:rsidR="00DE17CE">
        <w:t>all</w:t>
      </w:r>
      <w:r w:rsidR="00DE17CE" w:rsidRPr="00DE17CE">
        <w:t xml:space="preserve"> </w:t>
      </w:r>
      <w:r w:rsidR="007414B3" w:rsidRPr="00DE17CE">
        <w:t>were adjusted in the same way as the primary analyses.</w:t>
      </w:r>
      <w:r w:rsidR="007414B3">
        <w:t xml:space="preserve"> </w:t>
      </w:r>
    </w:p>
    <w:p w14:paraId="5D54AB5B" w14:textId="2A3991DD" w:rsidR="00335BD3" w:rsidRDefault="007414B3" w:rsidP="00327B6F">
      <w:pPr>
        <w:spacing w:line="480" w:lineRule="auto"/>
      </w:pPr>
      <w:r>
        <w:t>Sensitivity analyses were planned to</w:t>
      </w:r>
      <w:r w:rsidR="00805CE9">
        <w:t xml:space="preserve"> rerun both primary models</w:t>
      </w:r>
      <w:r>
        <w:t xml:space="preserve"> exclud</w:t>
      </w:r>
      <w:r w:rsidR="00940B31">
        <w:t xml:space="preserve">ing </w:t>
      </w:r>
      <w:r>
        <w:t>any Trusts that implement</w:t>
      </w:r>
      <w:r w:rsidR="0089590E">
        <w:t>ed</w:t>
      </w:r>
      <w:r>
        <w:t xml:space="preserve"> the opposite protocol to the one they were assigned (deemed to be contaminated)</w:t>
      </w:r>
      <w:r w:rsidR="00DE17CE">
        <w:t>,</w:t>
      </w:r>
      <w:r>
        <w:t xml:space="preserve"> and</w:t>
      </w:r>
      <w:r w:rsidR="0089590E">
        <w:t xml:space="preserve"> also</w:t>
      </w:r>
      <w:r>
        <w:t xml:space="preserve"> to include ischaemic heart disease as a covariate in the analysis of the </w:t>
      </w:r>
      <w:r w:rsidR="00805CE9" w:rsidRPr="00300BFE">
        <w:t>anaemia</w:t>
      </w:r>
      <w:r w:rsidRPr="00300BFE">
        <w:t xml:space="preserve"> primary outcome as this is often influential in determining if a patient requires a blood transfusion. </w:t>
      </w:r>
      <w:r w:rsidR="00335BD3" w:rsidRPr="00300BFE">
        <w:t xml:space="preserve">Three additional sensitivity analyses were </w:t>
      </w:r>
      <w:r w:rsidR="00940B31" w:rsidRPr="00300BFE">
        <w:t>undertaken</w:t>
      </w:r>
      <w:r w:rsidR="00335BD3" w:rsidRPr="00300BFE">
        <w:t xml:space="preserve"> post-hoc to account for any possible underreporting</w:t>
      </w:r>
      <w:r w:rsidR="00940B31" w:rsidRPr="00300BFE">
        <w:t xml:space="preserve"> of the outcomes</w:t>
      </w:r>
      <w:r w:rsidR="00335BD3" w:rsidRPr="00300BFE">
        <w:t xml:space="preserve"> by sites. These analyses </w:t>
      </w:r>
      <w:r w:rsidR="00F37CFD" w:rsidRPr="00300BFE">
        <w:t>exclude</w:t>
      </w:r>
      <w:r w:rsidR="0089590E">
        <w:t>d</w:t>
      </w:r>
      <w:r w:rsidR="00F37CFD" w:rsidRPr="00300BFE">
        <w:t xml:space="preserve"> sites that</w:t>
      </w:r>
      <w:r w:rsidR="00335BD3" w:rsidRPr="00300BFE">
        <w:t>:</w:t>
      </w:r>
      <w:r w:rsidR="00335BD3">
        <w:t xml:space="preserve">  </w:t>
      </w:r>
    </w:p>
    <w:p w14:paraId="45F625EA" w14:textId="11996238" w:rsidR="00335BD3" w:rsidRDefault="00335BD3" w:rsidP="00327B6F">
      <w:pPr>
        <w:pStyle w:val="ListParagraph"/>
        <w:numPr>
          <w:ilvl w:val="0"/>
          <w:numId w:val="27"/>
        </w:numPr>
        <w:spacing w:line="480" w:lineRule="auto"/>
      </w:pPr>
      <w:r>
        <w:t>reported no transfusions</w:t>
      </w:r>
      <w:r w:rsidR="00DE17CE">
        <w:t>,</w:t>
      </w:r>
      <w:r>
        <w:t xml:space="preserve"> from the anaemia </w:t>
      </w:r>
      <w:r w:rsidR="0089590E">
        <w:t xml:space="preserve">primary </w:t>
      </w:r>
      <w:r>
        <w:t>analysis;</w:t>
      </w:r>
    </w:p>
    <w:p w14:paraId="15E06E86" w14:textId="71354F53" w:rsidR="006F487D" w:rsidRDefault="00335BD3" w:rsidP="00327B6F">
      <w:pPr>
        <w:pStyle w:val="ListParagraph"/>
        <w:numPr>
          <w:ilvl w:val="0"/>
          <w:numId w:val="27"/>
        </w:numPr>
        <w:spacing w:line="480" w:lineRule="auto"/>
      </w:pPr>
      <w:r>
        <w:t>reported no infections</w:t>
      </w:r>
      <w:r w:rsidR="00DE17CE">
        <w:t>,</w:t>
      </w:r>
      <w:r>
        <w:t xml:space="preserve"> from the infection </w:t>
      </w:r>
      <w:r w:rsidR="0089590E">
        <w:t xml:space="preserve">primary </w:t>
      </w:r>
      <w:r>
        <w:t>analysis;</w:t>
      </w:r>
      <w:r w:rsidR="00DE17CE">
        <w:t xml:space="preserve"> and</w:t>
      </w:r>
    </w:p>
    <w:p w14:paraId="2907853F" w14:textId="77ED0068" w:rsidR="00335BD3" w:rsidRDefault="00335BD3" w:rsidP="00327B6F">
      <w:pPr>
        <w:pStyle w:val="ListParagraph"/>
        <w:numPr>
          <w:ilvl w:val="0"/>
          <w:numId w:val="27"/>
        </w:numPr>
        <w:spacing w:line="480" w:lineRule="auto"/>
      </w:pPr>
      <w:r>
        <w:t>had all reported infections confirmed by the IOC</w:t>
      </w:r>
      <w:r w:rsidR="00DE17CE">
        <w:t>,</w:t>
      </w:r>
      <w:r>
        <w:t xml:space="preserve"> from the infection </w:t>
      </w:r>
      <w:r w:rsidR="0089590E">
        <w:t xml:space="preserve">primary </w:t>
      </w:r>
      <w:r>
        <w:t>analysis.</w:t>
      </w:r>
    </w:p>
    <w:p w14:paraId="679CB0F0" w14:textId="7E5113C9" w:rsidR="00F10BE3" w:rsidRDefault="00335BD3" w:rsidP="00C77042">
      <w:pPr>
        <w:spacing w:line="480" w:lineRule="auto"/>
      </w:pPr>
      <w:r>
        <w:t>All</w:t>
      </w:r>
      <w:r w:rsidR="00035759">
        <w:t xml:space="preserve"> </w:t>
      </w:r>
      <w:r>
        <w:t xml:space="preserve">results are presented as the relevant </w:t>
      </w:r>
      <w:r w:rsidR="00BE501B">
        <w:t xml:space="preserve">effect estimate </w:t>
      </w:r>
      <w:r>
        <w:t>(odds ratio (OR) or incident rate ratio (IRR))</w:t>
      </w:r>
      <w:r w:rsidR="00BE501B">
        <w:t>,</w:t>
      </w:r>
      <w:r w:rsidR="00035759">
        <w:t xml:space="preserve"> 95% confidence interval (CI)</w:t>
      </w:r>
      <w:r w:rsidR="00BE501B">
        <w:t xml:space="preserve"> and </w:t>
      </w:r>
      <w:r w:rsidR="00035759">
        <w:t>p-value</w:t>
      </w:r>
      <w:r w:rsidR="002650E5">
        <w:t xml:space="preserve">. </w:t>
      </w:r>
    </w:p>
    <w:p w14:paraId="2A3ED409" w14:textId="4EDA7125" w:rsidR="00C77042" w:rsidRDefault="00C77042" w:rsidP="00912BBB">
      <w:pPr>
        <w:pStyle w:val="Heading2"/>
        <w:spacing w:line="480" w:lineRule="auto"/>
      </w:pPr>
      <w:r>
        <w:t>Deviations from protocol</w:t>
      </w:r>
    </w:p>
    <w:p w14:paraId="310E4C89" w14:textId="6B1EDC9F" w:rsidR="00C77042" w:rsidRPr="00C77042" w:rsidRDefault="003D4AFD" w:rsidP="00A73B90">
      <w:pPr>
        <w:spacing w:line="480" w:lineRule="auto"/>
      </w:pPr>
      <w:r>
        <w:t xml:space="preserve">As the trial progressed some changes to the planned delivery of the collaboratives were made. Additional support was made available as part of the intervention, in particular participating teams were assigned a senior faculty coach </w:t>
      </w:r>
      <w:r w:rsidR="00CE30F7">
        <w:t>who offered</w:t>
      </w:r>
      <w:r>
        <w:t xml:space="preserve"> a programme of regular coaching calls for the duration of the collaboratives. </w:t>
      </w:r>
      <w:r w:rsidR="00CE30F7">
        <w:t>I</w:t>
      </w:r>
      <w:r>
        <w:t xml:space="preserve">nformation </w:t>
      </w:r>
      <w:r w:rsidR="00CE30F7">
        <w:t>from these coaching calls</w:t>
      </w:r>
      <w:r w:rsidR="0089590E">
        <w:t>,</w:t>
      </w:r>
      <w:r w:rsidR="00CE30F7">
        <w:t xml:space="preserve"> </w:t>
      </w:r>
      <w:r>
        <w:t>along with the monthly written reports</w:t>
      </w:r>
      <w:r w:rsidR="00CE30F7">
        <w:t>,</w:t>
      </w:r>
      <w:r>
        <w:t xml:space="preserve"> was used to tailor support to each team. In addition, funding was made available to </w:t>
      </w:r>
      <w:r w:rsidRPr="008E6C84">
        <w:rPr>
          <w:rFonts w:cs="Times New Roman"/>
        </w:rPr>
        <w:t xml:space="preserve">support attendance at learning events for those travelling </w:t>
      </w:r>
      <w:r w:rsidR="00CE30F7">
        <w:rPr>
          <w:rFonts w:cs="Times New Roman"/>
        </w:rPr>
        <w:t>more than four</w:t>
      </w:r>
      <w:r w:rsidRPr="008E6C84">
        <w:rPr>
          <w:rFonts w:cs="Times New Roman"/>
        </w:rPr>
        <w:t xml:space="preserve"> hours each way, to support dedicated staff time to work on the improvement initiatives</w:t>
      </w:r>
      <w:r>
        <w:rPr>
          <w:rFonts w:cs="Times New Roman"/>
        </w:rPr>
        <w:t xml:space="preserve">, </w:t>
      </w:r>
      <w:r w:rsidRPr="008E6C84">
        <w:rPr>
          <w:rFonts w:cs="Times New Roman"/>
        </w:rPr>
        <w:t>for data collection</w:t>
      </w:r>
      <w:r>
        <w:rPr>
          <w:rFonts w:cs="Times New Roman"/>
        </w:rPr>
        <w:t xml:space="preserve"> and some product costs (</w:t>
      </w:r>
      <w:r w:rsidR="00510111">
        <w:rPr>
          <w:rFonts w:cs="Times New Roman"/>
        </w:rPr>
        <w:t>S</w:t>
      </w:r>
      <w:r w:rsidR="00F045A7">
        <w:rPr>
          <w:rFonts w:cs="Times New Roman"/>
        </w:rPr>
        <w:t xml:space="preserve">upplementary </w:t>
      </w:r>
      <w:r w:rsidR="00510111">
        <w:rPr>
          <w:rFonts w:cs="Times New Roman"/>
        </w:rPr>
        <w:t>F</w:t>
      </w:r>
      <w:r w:rsidR="00F045A7">
        <w:rPr>
          <w:rFonts w:cs="Times New Roman"/>
        </w:rPr>
        <w:t>ile 1</w:t>
      </w:r>
      <w:r>
        <w:rPr>
          <w:rFonts w:cs="Times New Roman"/>
        </w:rPr>
        <w:t xml:space="preserve">). </w:t>
      </w:r>
      <w:r w:rsidR="00912BBB">
        <w:rPr>
          <w:rFonts w:cs="Times New Roman"/>
        </w:rPr>
        <w:t>Due to the global coronavirus pandemic and national restrictions</w:t>
      </w:r>
      <w:r w:rsidR="0089590E">
        <w:rPr>
          <w:rFonts w:cs="Times New Roman"/>
        </w:rPr>
        <w:t>,</w:t>
      </w:r>
      <w:r w:rsidR="00912BBB">
        <w:rPr>
          <w:rFonts w:cs="Times New Roman"/>
        </w:rPr>
        <w:t xml:space="preserve"> the cross-over collaboratives consisted of only two learning events, </w:t>
      </w:r>
      <w:r w:rsidR="0089590E">
        <w:rPr>
          <w:rFonts w:cs="Times New Roman"/>
        </w:rPr>
        <w:t>rather than</w:t>
      </w:r>
      <w:r w:rsidR="00912BBB">
        <w:rPr>
          <w:rFonts w:cs="Times New Roman"/>
        </w:rPr>
        <w:t xml:space="preserve"> three</w:t>
      </w:r>
      <w:r w:rsidR="0089590E">
        <w:rPr>
          <w:rFonts w:cs="Times New Roman"/>
        </w:rPr>
        <w:t>;</w:t>
      </w:r>
      <w:r w:rsidR="00912BBB">
        <w:rPr>
          <w:rFonts w:cs="Times New Roman"/>
        </w:rPr>
        <w:t xml:space="preserve"> the final celebration event was delayed and</w:t>
      </w:r>
      <w:r w:rsidR="0089590E">
        <w:rPr>
          <w:rFonts w:cs="Times New Roman"/>
        </w:rPr>
        <w:t xml:space="preserve"> ultimately</w:t>
      </w:r>
      <w:r w:rsidR="00912BBB">
        <w:rPr>
          <w:rFonts w:cs="Times New Roman"/>
        </w:rPr>
        <w:t xml:space="preserve"> held virtually. </w:t>
      </w:r>
    </w:p>
    <w:p w14:paraId="045DDA4F" w14:textId="37662827" w:rsidR="007B65E3" w:rsidRPr="00035759" w:rsidRDefault="00F02DCB" w:rsidP="00327B6F">
      <w:pPr>
        <w:pStyle w:val="Heading1"/>
        <w:spacing w:before="0" w:line="480" w:lineRule="auto"/>
      </w:pPr>
      <w:r w:rsidRPr="00AD29B0">
        <w:t>Results</w:t>
      </w:r>
    </w:p>
    <w:p w14:paraId="27DA4310" w14:textId="377EA3B5" w:rsidR="00E474A3" w:rsidRPr="006F487D" w:rsidRDefault="00E474A3" w:rsidP="00327B6F">
      <w:pPr>
        <w:pStyle w:val="Heading2"/>
        <w:spacing w:line="480" w:lineRule="auto"/>
      </w:pPr>
      <w:r w:rsidRPr="006F487D">
        <w:t>Recruitment</w:t>
      </w:r>
    </w:p>
    <w:p w14:paraId="2AD53AEE" w14:textId="7320547D" w:rsidR="00701E05" w:rsidRDefault="004C7273" w:rsidP="00327B6F">
      <w:pPr>
        <w:spacing w:after="0" w:line="480" w:lineRule="auto"/>
      </w:pPr>
      <w:r>
        <w:t>Trusts were recruited</w:t>
      </w:r>
      <w:r w:rsidR="00417F99" w:rsidRPr="006F487D">
        <w:t xml:space="preserve"> between December 2017 and March 2018</w:t>
      </w:r>
      <w:r w:rsidR="00B844E9">
        <w:t xml:space="preserve">. </w:t>
      </w:r>
      <w:r w:rsidR="00297B1A">
        <w:t>Seventy-eight</w:t>
      </w:r>
      <w:r w:rsidR="00860BC3">
        <w:t xml:space="preserve"> </w:t>
      </w:r>
      <w:r w:rsidR="00940B31">
        <w:t>Trusts indicated that they were interested in participating</w:t>
      </w:r>
      <w:r w:rsidR="00860BC3">
        <w:t xml:space="preserve">. Following application of the </w:t>
      </w:r>
      <w:r w:rsidR="00AF4F83">
        <w:t>eligibility</w:t>
      </w:r>
      <w:r w:rsidR="00860BC3">
        <w:t xml:space="preserve"> criteria</w:t>
      </w:r>
      <w:r w:rsidR="00701E05">
        <w:t>,</w:t>
      </w:r>
      <w:r w:rsidR="00940B31">
        <w:t xml:space="preserve"> </w:t>
      </w:r>
      <w:r w:rsidR="00860BC3">
        <w:t>41 Trusts</w:t>
      </w:r>
      <w:r w:rsidR="00940B31">
        <w:t xml:space="preserve"> were randomised</w:t>
      </w:r>
      <w:r w:rsidR="0008678A">
        <w:t>, in March 2018</w:t>
      </w:r>
      <w:r w:rsidR="00940B31">
        <w:t xml:space="preserve">: </w:t>
      </w:r>
      <w:r w:rsidR="00701E05">
        <w:t>19 to QIST: Anaemia (46.3%), and 22 (53.7%) to QIST: Infection</w:t>
      </w:r>
      <w:r w:rsidR="00F46985">
        <w:t xml:space="preserve"> (</w:t>
      </w:r>
      <w:r w:rsidR="00F46985">
        <w:fldChar w:fldCharType="begin"/>
      </w:r>
      <w:r w:rsidR="00F46985">
        <w:instrText xml:space="preserve"> REF _Ref67050331 \h </w:instrText>
      </w:r>
      <w:r w:rsidR="00327B6F">
        <w:instrText xml:space="preserve"> \* MERGEFORMAT </w:instrText>
      </w:r>
      <w:r w:rsidR="00F46985">
        <w:fldChar w:fldCharType="separate"/>
      </w:r>
      <w:r w:rsidR="00CF7ECE">
        <w:t xml:space="preserve">Figure </w:t>
      </w:r>
      <w:r w:rsidR="00CF7ECE">
        <w:rPr>
          <w:noProof/>
        </w:rPr>
        <w:t>1</w:t>
      </w:r>
      <w:r w:rsidR="00F46985">
        <w:fldChar w:fldCharType="end"/>
      </w:r>
      <w:r w:rsidR="00F46985">
        <w:t>)</w:t>
      </w:r>
      <w:r w:rsidR="00701E05">
        <w:t xml:space="preserve">. Post-randomisation, </w:t>
      </w:r>
      <w:r w:rsidR="0085531C">
        <w:t xml:space="preserve">Research and Development departments </w:t>
      </w:r>
      <w:r w:rsidR="00701E05">
        <w:t xml:space="preserve">were asked to sign the required agreements, </w:t>
      </w:r>
      <w:r w:rsidR="0085531C">
        <w:t xml:space="preserve">and </w:t>
      </w:r>
      <w:r w:rsidR="00701E05">
        <w:t>confirm they had capacity and capability</w:t>
      </w:r>
      <w:r w:rsidR="002018E7">
        <w:t xml:space="preserve"> within their </w:t>
      </w:r>
      <w:r w:rsidR="0085531C">
        <w:t>Trust</w:t>
      </w:r>
      <w:r w:rsidR="002018E7">
        <w:t xml:space="preserve"> to participate in this trial</w:t>
      </w:r>
      <w:r w:rsidR="0085531C">
        <w:t>. Capacity and capability was confirmed</w:t>
      </w:r>
      <w:r w:rsidR="00701E05">
        <w:t xml:space="preserve"> and a green light to participate</w:t>
      </w:r>
      <w:r w:rsidR="0085531C">
        <w:t xml:space="preserve"> issued for 27 of the 41 Trusts </w:t>
      </w:r>
      <w:r w:rsidR="00701E05">
        <w:t>(65.9%): 11 Anaemia (</w:t>
      </w:r>
      <w:r w:rsidR="0008678A">
        <w:t>57.9% of 19</w:t>
      </w:r>
      <w:r w:rsidR="00F52F91">
        <w:t xml:space="preserve"> randomised</w:t>
      </w:r>
      <w:r w:rsidR="00701E05">
        <w:t>), and 16 Infection (</w:t>
      </w:r>
      <w:r w:rsidR="0008678A">
        <w:t>72.7% of 22</w:t>
      </w:r>
      <w:r w:rsidR="00F52F91">
        <w:t xml:space="preserve"> randomised</w:t>
      </w:r>
      <w:r w:rsidR="00701E05">
        <w:t>)</w:t>
      </w:r>
      <w:r w:rsidR="00D917B7">
        <w:t xml:space="preserve"> – it was not possible to collect data for</w:t>
      </w:r>
      <w:r w:rsidR="0085531C">
        <w:t xml:space="preserve"> trial analysis from</w:t>
      </w:r>
      <w:r w:rsidR="00D917B7">
        <w:t xml:space="preserve"> Trusts who did not confirm capacity and capability</w:t>
      </w:r>
      <w:r w:rsidR="005472E2">
        <w:t xml:space="preserve"> to participate in the trial</w:t>
      </w:r>
      <w:r w:rsidR="00701E05">
        <w:t xml:space="preserve">. </w:t>
      </w:r>
      <w:r w:rsidR="00701E05" w:rsidRPr="006F487D">
        <w:t xml:space="preserve">Due to </w:t>
      </w:r>
      <w:r w:rsidR="00B3725F">
        <w:t>the</w:t>
      </w:r>
      <w:r w:rsidR="00AC68F2">
        <w:t xml:space="preserve"> way the</w:t>
      </w:r>
      <w:r w:rsidR="00B3725F">
        <w:t xml:space="preserve"> intervention was implemented</w:t>
      </w:r>
      <w:r w:rsidR="00701E05" w:rsidRPr="006F487D">
        <w:t xml:space="preserve"> all Trusts were required to be recruited at the same time</w:t>
      </w:r>
      <w:r w:rsidR="00701E05" w:rsidRPr="00860BC3">
        <w:t xml:space="preserve"> and it was not possible to recruit additional Trusts after the collaborative intervention had started.</w:t>
      </w:r>
      <w:r w:rsidR="00701E05">
        <w:t xml:space="preserve"> </w:t>
      </w:r>
    </w:p>
    <w:p w14:paraId="0694B738" w14:textId="0518F259" w:rsidR="00E474A3" w:rsidRDefault="00E474A3" w:rsidP="00327B6F">
      <w:pPr>
        <w:pStyle w:val="Heading2"/>
        <w:spacing w:line="480" w:lineRule="auto"/>
      </w:pPr>
      <w:r w:rsidRPr="006F487D">
        <w:t>Baseline data</w:t>
      </w:r>
    </w:p>
    <w:p w14:paraId="527B082E" w14:textId="5070106E" w:rsidR="00CC3A66" w:rsidRPr="005E77BD" w:rsidRDefault="0046706F" w:rsidP="00327B6F">
      <w:pPr>
        <w:spacing w:line="480" w:lineRule="auto"/>
      </w:pPr>
      <w:r>
        <w:t xml:space="preserve">Of the </w:t>
      </w:r>
      <w:r w:rsidR="006C682C">
        <w:t>27 participating trusts, the average number of procedures performed in 2016/17 was 957</w:t>
      </w:r>
      <w:r w:rsidR="00F7653E">
        <w:t xml:space="preserve"> (SD 670)</w:t>
      </w:r>
      <w:r w:rsidR="006C682C">
        <w:t>, and half (n=13, 48.1%)</w:t>
      </w:r>
      <w:r w:rsidR="00F7653E">
        <w:t xml:space="preserve"> </w:t>
      </w:r>
      <w:r w:rsidR="006C682C">
        <w:t>were awarded a good or outstanding LfM ranking</w:t>
      </w:r>
      <w:r w:rsidR="000A0811">
        <w:t xml:space="preserve"> (</w:t>
      </w:r>
      <w:r w:rsidR="000A0811">
        <w:fldChar w:fldCharType="begin"/>
      </w:r>
      <w:r w:rsidR="000A0811">
        <w:instrText xml:space="preserve"> REF _Ref66693565 \h </w:instrText>
      </w:r>
      <w:r w:rsidR="00327B6F">
        <w:instrText xml:space="preserve"> \* MERGEFORMAT </w:instrText>
      </w:r>
      <w:r w:rsidR="000A0811">
        <w:fldChar w:fldCharType="separate"/>
      </w:r>
      <w:r w:rsidR="005F7BCC">
        <w:t xml:space="preserve">Table </w:t>
      </w:r>
      <w:r w:rsidR="005F7BCC">
        <w:rPr>
          <w:noProof/>
        </w:rPr>
        <w:t>2</w:t>
      </w:r>
      <w:r w:rsidR="000A0811">
        <w:fldChar w:fldCharType="end"/>
      </w:r>
      <w:r w:rsidR="000A0811">
        <w:t>)</w:t>
      </w:r>
      <w:r w:rsidR="006C682C">
        <w:t>. C</w:t>
      </w:r>
      <w:r w:rsidR="00194ADE">
        <w:t xml:space="preserve">haracteristics were well balanced across the two </w:t>
      </w:r>
      <w:r w:rsidR="00DC0207">
        <w:t>arms</w:t>
      </w:r>
      <w:r w:rsidR="00EA13A1">
        <w:t>.</w:t>
      </w:r>
    </w:p>
    <w:p w14:paraId="0FCECA78" w14:textId="7341F368" w:rsidR="00701E05" w:rsidRDefault="00701E05" w:rsidP="00327B6F">
      <w:pPr>
        <w:pStyle w:val="Heading2"/>
        <w:spacing w:line="480" w:lineRule="auto"/>
      </w:pPr>
      <w:r>
        <w:t>Procedures</w:t>
      </w:r>
    </w:p>
    <w:p w14:paraId="4D41DDCB" w14:textId="77777777" w:rsidR="0008678A" w:rsidRPr="006F487D" w:rsidRDefault="0008678A" w:rsidP="0008678A">
      <w:pPr>
        <w:spacing w:after="0" w:line="480" w:lineRule="auto"/>
      </w:pPr>
      <w:r>
        <w:t>A total of 25,066 (9,860 Anaemia, 15,206 Infection) THR and TKRs were undertaken at the 27 Trusts over the one-year period (1</w:t>
      </w:r>
      <w:r w:rsidRPr="00206839">
        <w:rPr>
          <w:vertAlign w:val="superscript"/>
        </w:rPr>
        <w:t>st</w:t>
      </w:r>
      <w:r>
        <w:t xml:space="preserve"> November 2018 and 31</w:t>
      </w:r>
      <w:r w:rsidRPr="00206839">
        <w:rPr>
          <w:vertAlign w:val="superscript"/>
        </w:rPr>
        <w:t>st</w:t>
      </w:r>
      <w:r>
        <w:t xml:space="preserve"> October 2019). Data were provided for 19,254 procedures: 6,324 (32.8% of 19,254) in the anaemia arm (average per Trust </w:t>
      </w:r>
      <w:r w:rsidRPr="00ED3808">
        <w:t>574.9</w:t>
      </w:r>
      <w:r>
        <w:t xml:space="preserve">, SD </w:t>
      </w:r>
      <w:r w:rsidRPr="00ED3808">
        <w:t>366.7</w:t>
      </w:r>
      <w:r>
        <w:t xml:space="preserve">, median </w:t>
      </w:r>
      <w:r w:rsidRPr="00ED3808">
        <w:t>458</w:t>
      </w:r>
      <w:r>
        <w:t xml:space="preserve">); and 12,930 (67.2% of 19,254) in the infection arm (average per Trust 808.1, SD </w:t>
      </w:r>
      <w:r w:rsidRPr="00ED3808">
        <w:t>749.3</w:t>
      </w:r>
      <w:r>
        <w:t xml:space="preserve">, median 630). </w:t>
      </w:r>
    </w:p>
    <w:p w14:paraId="74DAF084" w14:textId="4CDD060A" w:rsidR="00281E4F" w:rsidRDefault="00BF3A37" w:rsidP="00327B6F">
      <w:pPr>
        <w:spacing w:line="480" w:lineRule="auto"/>
      </w:pPr>
      <w:r>
        <w:t>In the time frame</w:t>
      </w:r>
      <w:r w:rsidR="0008678A">
        <w:t>,</w:t>
      </w:r>
      <w:r>
        <w:t xml:space="preserve"> </w:t>
      </w:r>
      <w:r w:rsidR="00701E05" w:rsidRPr="00F56187">
        <w:t xml:space="preserve">18,449 </w:t>
      </w:r>
      <w:r w:rsidR="00701E05">
        <w:t>(</w:t>
      </w:r>
      <w:r w:rsidR="00701E05" w:rsidRPr="00F56187">
        <w:t>97.</w:t>
      </w:r>
      <w:r w:rsidR="00701E05">
        <w:t xml:space="preserve">9%) patients had one </w:t>
      </w:r>
      <w:r w:rsidR="00EA13A1">
        <w:t xml:space="preserve">eligible </w:t>
      </w:r>
      <w:r w:rsidR="00701E05">
        <w:t>procedure, 401 (2.1%) had two, and 1 (0.01%) had three. Among all procedures, there was an almost equal split of THR (48.9%</w:t>
      </w:r>
      <w:r w:rsidR="001076AF">
        <w:t xml:space="preserve"> </w:t>
      </w:r>
      <w:r w:rsidR="00701E05">
        <w:t>anaemia arm, 48.2% infection arm) and TKR procedures (51.1% anaemia, 51.8% infection). On average, at the time of their procedure, patients were 69.2 years old (SD 10.5). There were more females (59.0%) than males (41.0%). The most common comorbidity was hypertension (50.4%), followed by obesity (23.5%) and non-insulin dependent diabetes mellitus (13.1%). Characteristics appeared balanced between the two arms</w:t>
      </w:r>
      <w:r w:rsidR="0005514F">
        <w:t xml:space="preserve"> </w:t>
      </w:r>
      <w:r w:rsidR="00CF7ECE">
        <w:t>(</w:t>
      </w:r>
      <w:r w:rsidR="000A416D">
        <w:fldChar w:fldCharType="begin"/>
      </w:r>
      <w:r w:rsidR="000A416D">
        <w:instrText xml:space="preserve"> REF _Ref71296421 \h </w:instrText>
      </w:r>
      <w:r w:rsidR="00327B6F">
        <w:instrText xml:space="preserve"> \* MERGEFORMAT </w:instrText>
      </w:r>
      <w:r w:rsidR="000A416D">
        <w:fldChar w:fldCharType="separate"/>
      </w:r>
      <w:r w:rsidR="005F7BCC">
        <w:t xml:space="preserve">Table </w:t>
      </w:r>
      <w:r w:rsidR="005F7BCC">
        <w:rPr>
          <w:noProof/>
        </w:rPr>
        <w:t>3</w:t>
      </w:r>
      <w:r w:rsidR="000A416D">
        <w:fldChar w:fldCharType="end"/>
      </w:r>
      <w:r w:rsidR="00CF7ECE">
        <w:t>)</w:t>
      </w:r>
      <w:r>
        <w:t>.</w:t>
      </w:r>
      <w:r w:rsidR="00701E05">
        <w:t xml:space="preserve"> </w:t>
      </w:r>
    </w:p>
    <w:p w14:paraId="59933746" w14:textId="2CF1ADBD" w:rsidR="0050087A" w:rsidRDefault="0050087A" w:rsidP="00327B6F">
      <w:pPr>
        <w:pStyle w:val="Heading2"/>
        <w:spacing w:line="480" w:lineRule="auto"/>
        <w:rPr>
          <w:rFonts w:eastAsia="Calibri"/>
        </w:rPr>
      </w:pPr>
      <w:r>
        <w:rPr>
          <w:rFonts w:eastAsia="Calibri"/>
        </w:rPr>
        <w:t>Process</w:t>
      </w:r>
      <w:r w:rsidR="005512E2">
        <w:rPr>
          <w:rFonts w:eastAsia="Calibri"/>
        </w:rPr>
        <w:t>es</w:t>
      </w:r>
      <w:r w:rsidR="00AA1517">
        <w:rPr>
          <w:rFonts w:eastAsia="Calibri"/>
        </w:rPr>
        <w:t xml:space="preserve"> </w:t>
      </w:r>
    </w:p>
    <w:p w14:paraId="49880806" w14:textId="1F9EFD4F" w:rsidR="005512E2" w:rsidRDefault="00371128" w:rsidP="00327B6F">
      <w:pPr>
        <w:spacing w:line="480" w:lineRule="auto"/>
        <w:rPr>
          <w:rFonts w:eastAsia="Calibri"/>
        </w:rPr>
      </w:pPr>
      <w:r>
        <w:t>The QIC approach used in this trial was intentionally pragmatic in terms of diagnostic criteria for anaemia (and iron deficiency)</w:t>
      </w:r>
      <w:r w:rsidR="001076AF">
        <w:t xml:space="preserve"> and</w:t>
      </w:r>
      <w:r>
        <w:t xml:space="preserve"> treatment </w:t>
      </w:r>
      <w:r w:rsidR="001076AF">
        <w:t xml:space="preserve">decisions </w:t>
      </w:r>
      <w:r>
        <w:t>for anaemia and MSSA decolonisation. This inevitably led to variation in how the two pathways were implemented at each site. A summary of key differences can be found in</w:t>
      </w:r>
      <w:r w:rsidR="005F7BCC">
        <w:t xml:space="preserve"> </w:t>
      </w:r>
      <w:r w:rsidR="00C8611F">
        <w:t xml:space="preserve">Table 4 with further detail provided in </w:t>
      </w:r>
      <w:r w:rsidR="00E842C1">
        <w:t>S</w:t>
      </w:r>
      <w:r w:rsidR="005F7BCC">
        <w:t xml:space="preserve">upplementary </w:t>
      </w:r>
      <w:r w:rsidR="00E842C1">
        <w:t>F</w:t>
      </w:r>
      <w:r w:rsidR="005F7BCC">
        <w:t>iles 2 and 3.</w:t>
      </w:r>
    </w:p>
    <w:p w14:paraId="6944348A" w14:textId="67B29842" w:rsidR="00371128" w:rsidRPr="00371128" w:rsidRDefault="005512E2" w:rsidP="00327B6F">
      <w:pPr>
        <w:pStyle w:val="Heading3"/>
        <w:spacing w:line="480" w:lineRule="auto"/>
      </w:pPr>
      <w:r>
        <w:rPr>
          <w:rFonts w:eastAsia="Calibri"/>
        </w:rPr>
        <w:t>Anaemia</w:t>
      </w:r>
    </w:p>
    <w:p w14:paraId="02036BA5" w14:textId="31688AB4" w:rsidR="00094845" w:rsidRDefault="00A27E5F" w:rsidP="00327B6F">
      <w:pPr>
        <w:tabs>
          <w:tab w:val="left" w:pos="3255"/>
        </w:tabs>
        <w:spacing w:line="480" w:lineRule="auto"/>
        <w:rPr>
          <w:rFonts w:eastAsia="Calibri"/>
        </w:rPr>
      </w:pPr>
      <w:r>
        <w:rPr>
          <w:rFonts w:eastAsia="Calibri"/>
        </w:rPr>
        <w:t>Trust</w:t>
      </w:r>
      <w:r w:rsidR="000A0811">
        <w:rPr>
          <w:rFonts w:eastAsia="Calibri"/>
        </w:rPr>
        <w:t>s</w:t>
      </w:r>
      <w:r>
        <w:rPr>
          <w:rFonts w:eastAsia="Calibri"/>
        </w:rPr>
        <w:t xml:space="preserve"> in the anaemia arm screened patients for anaemia via preoperative blood tests, performed a median of 58 days before surgery. </w:t>
      </w:r>
      <w:r w:rsidR="005E6A4D">
        <w:rPr>
          <w:rFonts w:eastAsia="Calibri"/>
        </w:rPr>
        <w:t>P</w:t>
      </w:r>
      <w:r w:rsidR="004968FA">
        <w:rPr>
          <w:rFonts w:eastAsia="Calibri"/>
        </w:rPr>
        <w:t>reoperative</w:t>
      </w:r>
      <w:r>
        <w:rPr>
          <w:rFonts w:eastAsia="Calibri"/>
        </w:rPr>
        <w:t xml:space="preserve"> </w:t>
      </w:r>
      <w:r w:rsidR="00CC1462">
        <w:rPr>
          <w:rFonts w:eastAsia="Calibri"/>
        </w:rPr>
        <w:t>Haemoglobin (</w:t>
      </w:r>
      <w:r>
        <w:rPr>
          <w:rFonts w:eastAsia="Calibri"/>
        </w:rPr>
        <w:t>Hb</w:t>
      </w:r>
      <w:r w:rsidR="00CC1462">
        <w:rPr>
          <w:rFonts w:eastAsia="Calibri"/>
        </w:rPr>
        <w:t>)</w:t>
      </w:r>
      <w:r>
        <w:rPr>
          <w:rFonts w:eastAsia="Calibri"/>
        </w:rPr>
        <w:t xml:space="preserve"> levels</w:t>
      </w:r>
      <w:r w:rsidR="004968FA">
        <w:rPr>
          <w:rFonts w:eastAsia="Calibri"/>
        </w:rPr>
        <w:t xml:space="preserve"> were available for 6306</w:t>
      </w:r>
      <w:r w:rsidR="005E6A4D">
        <w:rPr>
          <w:rFonts w:eastAsia="Calibri"/>
        </w:rPr>
        <w:t xml:space="preserve"> </w:t>
      </w:r>
      <w:r w:rsidR="001F47FA">
        <w:rPr>
          <w:rFonts w:eastAsia="Calibri"/>
        </w:rPr>
        <w:t xml:space="preserve">(99.7%) </w:t>
      </w:r>
      <w:r w:rsidR="005E6A4D">
        <w:rPr>
          <w:rFonts w:eastAsia="Calibri"/>
        </w:rPr>
        <w:t xml:space="preserve">of the 6324 procedures </w:t>
      </w:r>
      <w:r w:rsidR="004968FA">
        <w:rPr>
          <w:rFonts w:eastAsia="Calibri"/>
        </w:rPr>
        <w:t>(males: mean 143.3</w:t>
      </w:r>
      <w:r w:rsidR="005E6A4D" w:rsidRPr="005E6A4D">
        <w:rPr>
          <w:rFonts w:eastAsia="Calibri"/>
        </w:rPr>
        <w:t xml:space="preserve"> </w:t>
      </w:r>
      <w:r w:rsidR="005E6A4D" w:rsidRPr="004968FA">
        <w:rPr>
          <w:rFonts w:eastAsia="Calibri"/>
        </w:rPr>
        <w:t>g/</w:t>
      </w:r>
      <w:r w:rsidR="005E6A4D">
        <w:rPr>
          <w:rFonts w:eastAsia="Calibri"/>
        </w:rPr>
        <w:t>L</w:t>
      </w:r>
      <w:r w:rsidR="004968FA">
        <w:rPr>
          <w:rFonts w:eastAsia="Calibri"/>
        </w:rPr>
        <w:t xml:space="preserve">, SD 12.6; females: mean 131.3, SD 11.3), </w:t>
      </w:r>
      <w:r w:rsidR="001076AF">
        <w:rPr>
          <w:rFonts w:eastAsia="Calibri"/>
        </w:rPr>
        <w:t xml:space="preserve">and </w:t>
      </w:r>
      <w:r w:rsidR="004968FA">
        <w:rPr>
          <w:rFonts w:eastAsia="Calibri"/>
        </w:rPr>
        <w:t xml:space="preserve">ferritin for </w:t>
      </w:r>
      <w:r w:rsidR="005E6A4D" w:rsidRPr="005E6A4D">
        <w:rPr>
          <w:rFonts w:eastAsia="Calibri"/>
        </w:rPr>
        <w:t>93.2</w:t>
      </w:r>
      <w:r w:rsidR="005E6A4D">
        <w:rPr>
          <w:rFonts w:eastAsia="Calibri"/>
        </w:rPr>
        <w:t>% (n=</w:t>
      </w:r>
      <w:r w:rsidR="004968FA">
        <w:rPr>
          <w:rFonts w:eastAsia="Calibri"/>
        </w:rPr>
        <w:t>5894</w:t>
      </w:r>
      <w:r w:rsidR="005E6A4D">
        <w:rPr>
          <w:rFonts w:eastAsia="Calibri"/>
        </w:rPr>
        <w:t xml:space="preserve">; </w:t>
      </w:r>
      <w:r w:rsidR="004968FA">
        <w:rPr>
          <w:rFonts w:eastAsia="Calibri"/>
        </w:rPr>
        <w:t xml:space="preserve">males: </w:t>
      </w:r>
      <w:r w:rsidR="004968FA" w:rsidRPr="004968FA">
        <w:rPr>
          <w:rFonts w:eastAsia="Calibri"/>
        </w:rPr>
        <w:t>173.</w:t>
      </w:r>
      <w:r w:rsidR="004968FA">
        <w:rPr>
          <w:rFonts w:eastAsia="Calibri"/>
        </w:rPr>
        <w:t xml:space="preserve">1, SD </w:t>
      </w:r>
      <w:r w:rsidR="004968FA" w:rsidRPr="004968FA">
        <w:rPr>
          <w:rFonts w:eastAsia="Calibri"/>
        </w:rPr>
        <w:t>170.5</w:t>
      </w:r>
      <w:r w:rsidR="004968FA">
        <w:rPr>
          <w:rFonts w:eastAsia="Calibri"/>
        </w:rPr>
        <w:t xml:space="preserve">; females: </w:t>
      </w:r>
      <w:r w:rsidR="004968FA" w:rsidRPr="004968FA">
        <w:rPr>
          <w:rFonts w:eastAsia="Calibri"/>
        </w:rPr>
        <w:t>103.</w:t>
      </w:r>
      <w:r w:rsidR="004968FA">
        <w:rPr>
          <w:rFonts w:eastAsia="Calibri"/>
        </w:rPr>
        <w:t xml:space="preserve">2, SD </w:t>
      </w:r>
      <w:r w:rsidR="004968FA" w:rsidRPr="004968FA">
        <w:rPr>
          <w:rFonts w:eastAsia="Calibri"/>
        </w:rPr>
        <w:t>109.</w:t>
      </w:r>
      <w:r w:rsidR="004968FA">
        <w:rPr>
          <w:rFonts w:eastAsia="Calibri"/>
        </w:rPr>
        <w:t>4)</w:t>
      </w:r>
      <w:r w:rsidR="001076AF">
        <w:rPr>
          <w:rFonts w:eastAsia="Calibri"/>
        </w:rPr>
        <w:t>.</w:t>
      </w:r>
      <w:r w:rsidR="001076AF" w:rsidRPr="001076AF">
        <w:rPr>
          <w:rFonts w:eastAsia="Calibri"/>
        </w:rPr>
        <w:t xml:space="preserve"> </w:t>
      </w:r>
    </w:p>
    <w:p w14:paraId="57D7E7C0" w14:textId="7CE40325" w:rsidR="00701E05" w:rsidRDefault="00C52AA1" w:rsidP="00327B6F">
      <w:pPr>
        <w:tabs>
          <w:tab w:val="left" w:pos="3255"/>
        </w:tabs>
        <w:spacing w:line="480" w:lineRule="auto"/>
        <w:rPr>
          <w:rFonts w:eastAsia="Calibri"/>
        </w:rPr>
      </w:pPr>
      <w:r>
        <w:rPr>
          <w:rFonts w:eastAsia="Calibri"/>
        </w:rPr>
        <w:t>The WHO</w:t>
      </w:r>
      <w:r w:rsidR="00446B38">
        <w:rPr>
          <w:rFonts w:eastAsia="Calibri"/>
        </w:rPr>
        <w:t xml:space="preserve"> </w:t>
      </w:r>
      <w:r w:rsidR="001076AF">
        <w:rPr>
          <w:rFonts w:eastAsia="Calibri"/>
        </w:rPr>
        <w:t>criteria for diagnosing anaemia are the most commonly used</w:t>
      </w:r>
      <w:r w:rsidR="0031181E">
        <w:rPr>
          <w:rFonts w:eastAsia="Calibri"/>
        </w:rPr>
        <w:t xml:space="preserve"> worldwide</w:t>
      </w:r>
      <w:r w:rsidR="001076AF">
        <w:rPr>
          <w:rFonts w:eastAsia="Calibri"/>
        </w:rPr>
        <w:t xml:space="preserve"> </w:t>
      </w:r>
      <w:r w:rsidR="00446B38">
        <w:rPr>
          <w:rFonts w:eastAsia="Calibri"/>
        </w:rPr>
        <w:t>(</w:t>
      </w:r>
      <w:r>
        <w:rPr>
          <w:rFonts w:eastAsia="Calibri"/>
        </w:rPr>
        <w:t>Hb &lt;120 females, &lt;130 males)</w:t>
      </w:r>
      <w:r w:rsidR="00C921DE">
        <w:rPr>
          <w:rFonts w:eastAsia="Calibri"/>
        </w:rPr>
        <w:t xml:space="preserve"> </w:t>
      </w:r>
      <w:r w:rsidR="00C921DE">
        <w:fldChar w:fldCharType="begin" w:fldLock="1"/>
      </w:r>
      <w:r w:rsidR="00810165">
        <w:instrText>ADDIN CSL_CITATION {"citationItems":[{"id":"ITEM-1","itemData":{"DOI":"10.1017/S1368980008002401","ISBN":"9789241596657","ISSN":"1368-9800","PMID":"18498676","abstract":"Anaemia is a public health problem that affects populations in both rich and poor countries. Although the primary cause is iron deficiency, it is seldom present in isolation. More frequently it coexists with a number of other causes, such as malaria, parasitic infection, nutritional deficiencies, and haemoglobinopathies.","author":[{"dropping-particle":"","family":"McLean","given":"Erin","non-dropping-particle":"","parse-names":false,"suffix":""},{"dropping-particle":"","family":"Cogswell","given":"Mary","non-dropping-particle":"","parse-names":false,"suffix":""},{"dropping-particle":"","family":"Egli","given":"Ines","non-dropping-particle":"","parse-names":false,"suffix":""},{"dropping-particle":"","family":"Wojdyla","given":"Daniel","non-dropping-particle":"","parse-names":false,"suffix":""},{"dropping-particle":"","family":"Benoist","given":"Bruno","non-dropping-particle":"de","parse-names":false,"suffix":""}],"container-title":"Public Health Nutrition","id":"ITEM-1","issue":"04","issued":{"date-parts":[["2009","4","23"]]},"page":"444","title":"Worldwide prevalence of anaemia, WHO Vitamin and Mineral Nutrition Information System, 1993–2005","type":"article-journal","volume":"12"},"uris":["http://www.mendeley.com/documents/?uuid=7ea7f312-5212-4cbf-ab80-de6c94336850"]}],"mendeley":{"formattedCitation":"(42)","plainTextFormattedCitation":"(42)","previouslyFormattedCitation":"(42)"},"properties":{"noteIndex":0},"schema":"https://github.com/citation-style-language/schema/raw/master/csl-citation.json"}</w:instrText>
      </w:r>
      <w:r w:rsidR="00C921DE">
        <w:fldChar w:fldCharType="separate"/>
      </w:r>
      <w:r w:rsidR="003F790D" w:rsidRPr="003F790D">
        <w:rPr>
          <w:noProof/>
        </w:rPr>
        <w:t>(42)</w:t>
      </w:r>
      <w:r w:rsidR="00C921DE">
        <w:fldChar w:fldCharType="end"/>
      </w:r>
      <w:r w:rsidR="00191D50">
        <w:t>.</w:t>
      </w:r>
      <w:r>
        <w:rPr>
          <w:rFonts w:eastAsia="Calibri"/>
        </w:rPr>
        <w:t xml:space="preserve"> As seen in</w:t>
      </w:r>
      <w:r w:rsidR="000A416D">
        <w:rPr>
          <w:rFonts w:eastAsia="Calibri"/>
        </w:rPr>
        <w:t xml:space="preserve"> </w:t>
      </w:r>
      <w:r w:rsidR="00C8611F">
        <w:rPr>
          <w:rFonts w:eastAsia="Calibri"/>
        </w:rPr>
        <w:t xml:space="preserve">Table 4 and </w:t>
      </w:r>
      <w:r w:rsidR="00E842C1">
        <w:rPr>
          <w:rFonts w:eastAsia="Calibri"/>
        </w:rPr>
        <w:t>S</w:t>
      </w:r>
      <w:r w:rsidR="00F44E7E">
        <w:rPr>
          <w:rFonts w:eastAsia="Calibri"/>
        </w:rPr>
        <w:t xml:space="preserve">upplementary </w:t>
      </w:r>
      <w:r w:rsidR="00E842C1">
        <w:rPr>
          <w:rFonts w:eastAsia="Calibri"/>
        </w:rPr>
        <w:t>F</w:t>
      </w:r>
      <w:r w:rsidR="00F44E7E">
        <w:rPr>
          <w:rFonts w:eastAsia="Calibri"/>
        </w:rPr>
        <w:t>ile 3</w:t>
      </w:r>
      <w:r>
        <w:rPr>
          <w:rFonts w:eastAsia="Calibri"/>
        </w:rPr>
        <w:t xml:space="preserve">, some Trusts used lower thresholds (i.e. Hb 120 for both </w:t>
      </w:r>
      <w:r w:rsidR="00C81D2F">
        <w:rPr>
          <w:rFonts w:eastAsia="Calibri"/>
        </w:rPr>
        <w:t>sexes</w:t>
      </w:r>
      <w:r>
        <w:rPr>
          <w:rFonts w:eastAsia="Calibri"/>
        </w:rPr>
        <w:t xml:space="preserve">) to define anaemia and decide treatment. This means some patients who would typically be considered anaemic (i.e. males with Hb 125) were not </w:t>
      </w:r>
      <w:r w:rsidR="001076AF">
        <w:rPr>
          <w:rFonts w:eastAsia="Calibri"/>
        </w:rPr>
        <w:t>by some Trust’s pathways</w:t>
      </w:r>
      <w:r>
        <w:rPr>
          <w:rFonts w:eastAsia="Calibri"/>
        </w:rPr>
        <w:t xml:space="preserve">. When the WHO </w:t>
      </w:r>
      <w:r w:rsidR="005E6A4D">
        <w:rPr>
          <w:rFonts w:eastAsia="Calibri"/>
        </w:rPr>
        <w:t>definition</w:t>
      </w:r>
      <w:r w:rsidR="00697547">
        <w:rPr>
          <w:rFonts w:eastAsia="Calibri"/>
        </w:rPr>
        <w:t>s</w:t>
      </w:r>
      <w:r w:rsidR="005E6A4D">
        <w:rPr>
          <w:rFonts w:eastAsia="Calibri"/>
        </w:rPr>
        <w:t xml:space="preserve"> </w:t>
      </w:r>
      <w:r>
        <w:rPr>
          <w:rFonts w:eastAsia="Calibri"/>
        </w:rPr>
        <w:t xml:space="preserve">for anaemia </w:t>
      </w:r>
      <w:r w:rsidR="00A552F9">
        <w:rPr>
          <w:rFonts w:eastAsia="Calibri"/>
        </w:rPr>
        <w:t>are</w:t>
      </w:r>
      <w:r w:rsidR="00094845">
        <w:rPr>
          <w:rFonts w:eastAsia="Calibri"/>
        </w:rPr>
        <w:t xml:space="preserve"> applied to our data</w:t>
      </w:r>
      <w:r w:rsidR="005E6A4D">
        <w:rPr>
          <w:rFonts w:eastAsia="Calibri"/>
        </w:rPr>
        <w:t xml:space="preserve">, </w:t>
      </w:r>
      <w:r w:rsidR="00701E05">
        <w:rPr>
          <w:rFonts w:eastAsia="Calibri"/>
        </w:rPr>
        <w:t xml:space="preserve">885 (14.0%) patients </w:t>
      </w:r>
      <w:r w:rsidR="00094845">
        <w:rPr>
          <w:rFonts w:eastAsia="Calibri"/>
        </w:rPr>
        <w:t>are</w:t>
      </w:r>
      <w:r w:rsidR="00701E05">
        <w:rPr>
          <w:rFonts w:eastAsia="Calibri"/>
        </w:rPr>
        <w:t xml:space="preserve"> identified as having preoperative anaemia</w:t>
      </w:r>
      <w:r w:rsidR="005E6A4D">
        <w:rPr>
          <w:rFonts w:eastAsia="Calibri"/>
        </w:rPr>
        <w:t xml:space="preserve">, of which </w:t>
      </w:r>
      <w:r w:rsidR="00701E05">
        <w:rPr>
          <w:rFonts w:eastAsia="Calibri"/>
        </w:rPr>
        <w:t xml:space="preserve">546 (61.7%) </w:t>
      </w:r>
      <w:r w:rsidR="005E6A4D">
        <w:rPr>
          <w:rFonts w:eastAsia="Calibri"/>
        </w:rPr>
        <w:t>were</w:t>
      </w:r>
      <w:r w:rsidR="00701E05">
        <w:rPr>
          <w:rFonts w:eastAsia="Calibri"/>
        </w:rPr>
        <w:t xml:space="preserve"> accompanied by iron deficiency (ferritin &lt;100</w:t>
      </w:r>
      <w:r w:rsidR="00701E05">
        <w:t xml:space="preserve"> </w:t>
      </w:r>
      <w:r w:rsidR="00701E05" w:rsidRPr="00D64B24">
        <w:rPr>
          <w:rFonts w:eastAsia="Calibri"/>
        </w:rPr>
        <w:t>μg</w:t>
      </w:r>
      <w:r w:rsidR="00701E05">
        <w:rPr>
          <w:rFonts w:eastAsia="Calibri"/>
        </w:rPr>
        <w:t xml:space="preserve">/L). </w:t>
      </w:r>
    </w:p>
    <w:p w14:paraId="061ACE1D" w14:textId="52599B4D" w:rsidR="00094845" w:rsidRDefault="00421C30" w:rsidP="00327B6F">
      <w:pPr>
        <w:tabs>
          <w:tab w:val="left" w:pos="3255"/>
        </w:tabs>
        <w:spacing w:line="480" w:lineRule="auto"/>
        <w:rPr>
          <w:rFonts w:eastAsia="Calibri"/>
        </w:rPr>
      </w:pPr>
      <w:r>
        <w:rPr>
          <w:rFonts w:eastAsia="Calibri"/>
        </w:rPr>
        <w:t>5770 procedures (91.2%)</w:t>
      </w:r>
      <w:r w:rsidR="001076AF">
        <w:rPr>
          <w:rFonts w:eastAsia="Calibri"/>
        </w:rPr>
        <w:t xml:space="preserve"> are recorded as receiving no treatment</w:t>
      </w:r>
      <w:r>
        <w:rPr>
          <w:rFonts w:eastAsia="Calibri"/>
        </w:rPr>
        <w:t>,</w:t>
      </w:r>
      <w:r w:rsidR="00701E05">
        <w:rPr>
          <w:rFonts w:eastAsia="Calibri"/>
        </w:rPr>
        <w:t xml:space="preserve"> including 4</w:t>
      </w:r>
      <w:r>
        <w:rPr>
          <w:rFonts w:eastAsia="Calibri"/>
        </w:rPr>
        <w:t>8.7</w:t>
      </w:r>
      <w:r w:rsidR="00701E05">
        <w:rPr>
          <w:rFonts w:eastAsia="Calibri"/>
        </w:rPr>
        <w:t>%</w:t>
      </w:r>
      <w:r>
        <w:rPr>
          <w:rFonts w:eastAsia="Calibri"/>
        </w:rPr>
        <w:t xml:space="preserve"> (431</w:t>
      </w:r>
      <w:r w:rsidR="00094845">
        <w:rPr>
          <w:rFonts w:eastAsia="Calibri"/>
        </w:rPr>
        <w:t xml:space="preserve"> of 885</w:t>
      </w:r>
      <w:r>
        <w:rPr>
          <w:rFonts w:eastAsia="Calibri"/>
        </w:rPr>
        <w:t>)</w:t>
      </w:r>
      <w:r w:rsidR="00701E05">
        <w:rPr>
          <w:rFonts w:eastAsia="Calibri"/>
        </w:rPr>
        <w:t xml:space="preserve"> of those identif</w:t>
      </w:r>
      <w:r w:rsidR="00094845">
        <w:rPr>
          <w:rFonts w:eastAsia="Calibri"/>
        </w:rPr>
        <w:t>ied</w:t>
      </w:r>
      <w:r w:rsidR="00701E05">
        <w:rPr>
          <w:rFonts w:eastAsia="Calibri"/>
        </w:rPr>
        <w:t xml:space="preserve"> as being anaemic</w:t>
      </w:r>
      <w:r w:rsidR="00094845">
        <w:rPr>
          <w:rFonts w:eastAsia="Calibri"/>
        </w:rPr>
        <w:t xml:space="preserve"> </w:t>
      </w:r>
      <w:r w:rsidR="001076AF">
        <w:rPr>
          <w:rFonts w:eastAsia="Calibri"/>
        </w:rPr>
        <w:t>by</w:t>
      </w:r>
      <w:r w:rsidR="00094845">
        <w:rPr>
          <w:rFonts w:eastAsia="Calibri"/>
        </w:rPr>
        <w:t xml:space="preserve"> the WHO criteria</w:t>
      </w:r>
      <w:r w:rsidR="00701E05">
        <w:rPr>
          <w:rFonts w:eastAsia="Calibri"/>
        </w:rPr>
        <w:t xml:space="preserve">. </w:t>
      </w:r>
      <w:r>
        <w:rPr>
          <w:rFonts w:eastAsia="Calibri"/>
        </w:rPr>
        <w:t>I</w:t>
      </w:r>
      <w:r w:rsidR="00CE43AD">
        <w:rPr>
          <w:rFonts w:eastAsia="Calibri"/>
        </w:rPr>
        <w:t>ntravenous</w:t>
      </w:r>
      <w:r>
        <w:rPr>
          <w:rFonts w:eastAsia="Calibri"/>
        </w:rPr>
        <w:t xml:space="preserve"> iron was administered in 72 (1.1%) cases </w:t>
      </w:r>
      <w:r w:rsidR="000334B2">
        <w:rPr>
          <w:rFonts w:eastAsia="Calibri"/>
        </w:rPr>
        <w:t>(</w:t>
      </w:r>
      <w:r>
        <w:rPr>
          <w:rFonts w:eastAsia="Calibri"/>
        </w:rPr>
        <w:t>all of which were anaemic</w:t>
      </w:r>
      <w:r w:rsidR="000334B2">
        <w:rPr>
          <w:rFonts w:eastAsia="Calibri"/>
        </w:rPr>
        <w:t>);</w:t>
      </w:r>
      <w:r>
        <w:rPr>
          <w:rFonts w:eastAsia="Calibri"/>
        </w:rPr>
        <w:t xml:space="preserve"> oral iron in </w:t>
      </w:r>
      <w:r w:rsidR="00701E05">
        <w:rPr>
          <w:rFonts w:eastAsia="Calibri"/>
        </w:rPr>
        <w:t xml:space="preserve">297 (4.7%) </w:t>
      </w:r>
      <w:r>
        <w:rPr>
          <w:rFonts w:eastAsia="Calibri"/>
        </w:rPr>
        <w:t>cases (of which 260 were anaemic)</w:t>
      </w:r>
      <w:r w:rsidR="000334B2">
        <w:rPr>
          <w:rFonts w:eastAsia="Calibri"/>
        </w:rPr>
        <w:t>;</w:t>
      </w:r>
      <w:r>
        <w:rPr>
          <w:rFonts w:eastAsia="Calibri"/>
        </w:rPr>
        <w:t xml:space="preserve"> and </w:t>
      </w:r>
      <w:r w:rsidR="00701E05">
        <w:rPr>
          <w:rFonts w:eastAsia="Calibri"/>
        </w:rPr>
        <w:t xml:space="preserve">185 (5.1%) </w:t>
      </w:r>
      <w:r>
        <w:rPr>
          <w:rFonts w:eastAsia="Calibri"/>
        </w:rPr>
        <w:t xml:space="preserve">(of which 122 were anaemic) </w:t>
      </w:r>
      <w:r w:rsidR="00701E05">
        <w:rPr>
          <w:rFonts w:eastAsia="Calibri"/>
        </w:rPr>
        <w:t>were referred for further investigation</w:t>
      </w:r>
      <w:r w:rsidR="00094845">
        <w:rPr>
          <w:rFonts w:eastAsia="Calibri"/>
        </w:rPr>
        <w:t xml:space="preserve"> prior to surgery</w:t>
      </w:r>
      <w:r w:rsidR="00701E05">
        <w:rPr>
          <w:rFonts w:eastAsia="Calibri"/>
        </w:rPr>
        <w:t>.</w:t>
      </w:r>
      <w:r>
        <w:rPr>
          <w:rFonts w:eastAsia="Calibri"/>
        </w:rPr>
        <w:t xml:space="preserve"> </w:t>
      </w:r>
    </w:p>
    <w:p w14:paraId="615C4C2A" w14:textId="1F9CD16A" w:rsidR="00B64E5C" w:rsidRDefault="00163656" w:rsidP="00327B6F">
      <w:pPr>
        <w:tabs>
          <w:tab w:val="left" w:pos="3255"/>
        </w:tabs>
        <w:spacing w:line="480" w:lineRule="auto"/>
        <w:rPr>
          <w:rFonts w:eastAsia="Calibri"/>
        </w:rPr>
      </w:pPr>
      <w:r>
        <w:rPr>
          <w:rFonts w:eastAsia="Calibri"/>
        </w:rPr>
        <w:t>I</w:t>
      </w:r>
      <w:r w:rsidR="001257AB">
        <w:rPr>
          <w:rFonts w:eastAsia="Calibri"/>
        </w:rPr>
        <w:t>mplementation of the anaemia screening pathway varied between Trusts</w:t>
      </w:r>
      <w:r>
        <w:rPr>
          <w:rFonts w:eastAsia="Calibri"/>
        </w:rPr>
        <w:t xml:space="preserve">; </w:t>
      </w:r>
      <w:r w:rsidR="001257AB">
        <w:rPr>
          <w:rFonts w:eastAsia="Calibri"/>
        </w:rPr>
        <w:t>the</w:t>
      </w:r>
      <w:r w:rsidR="001257AB" w:rsidRPr="00DE17CE">
        <w:rPr>
          <w:rFonts w:eastAsia="Calibri"/>
        </w:rPr>
        <w:t xml:space="preserve"> proportion of procedures </w:t>
      </w:r>
      <w:r w:rsidR="004E386B">
        <w:rPr>
          <w:rFonts w:eastAsia="Calibri"/>
        </w:rPr>
        <w:t>for which</w:t>
      </w:r>
      <w:r w:rsidR="004E386B" w:rsidRPr="00DE17CE">
        <w:rPr>
          <w:rFonts w:eastAsia="Calibri"/>
        </w:rPr>
        <w:t xml:space="preserve"> </w:t>
      </w:r>
      <w:r w:rsidR="001257AB" w:rsidRPr="00DE17CE">
        <w:rPr>
          <w:rFonts w:eastAsia="Calibri"/>
        </w:rPr>
        <w:t xml:space="preserve">preoperative anaemia </w:t>
      </w:r>
      <w:r w:rsidR="001257AB">
        <w:rPr>
          <w:rFonts w:eastAsia="Calibri"/>
        </w:rPr>
        <w:t xml:space="preserve">screening </w:t>
      </w:r>
      <w:r w:rsidR="001257AB" w:rsidRPr="00DE17CE">
        <w:rPr>
          <w:rFonts w:eastAsia="Calibri"/>
        </w:rPr>
        <w:t>w</w:t>
      </w:r>
      <w:r w:rsidR="004E386B">
        <w:rPr>
          <w:rFonts w:eastAsia="Calibri"/>
        </w:rPr>
        <w:t>as</w:t>
      </w:r>
      <w:r w:rsidR="001257AB" w:rsidRPr="00DE17CE">
        <w:rPr>
          <w:rFonts w:eastAsia="Calibri"/>
        </w:rPr>
        <w:t xml:space="preserve"> performed</w:t>
      </w:r>
      <w:r w:rsidR="001257AB">
        <w:rPr>
          <w:rFonts w:eastAsia="Calibri"/>
        </w:rPr>
        <w:t xml:space="preserve"> </w:t>
      </w:r>
      <w:r w:rsidR="00410D4E">
        <w:rPr>
          <w:rFonts w:eastAsia="Calibri"/>
        </w:rPr>
        <w:t>during the one</w:t>
      </w:r>
      <w:r w:rsidR="00C47031">
        <w:rPr>
          <w:rFonts w:eastAsia="Calibri"/>
        </w:rPr>
        <w:t>-</w:t>
      </w:r>
      <w:r w:rsidR="00410D4E">
        <w:rPr>
          <w:rFonts w:eastAsia="Calibri"/>
        </w:rPr>
        <w:t xml:space="preserve">year measurement phase </w:t>
      </w:r>
      <w:r w:rsidR="001257AB">
        <w:rPr>
          <w:rFonts w:eastAsia="Calibri"/>
        </w:rPr>
        <w:t>var</w:t>
      </w:r>
      <w:r w:rsidR="004E386B">
        <w:rPr>
          <w:rFonts w:eastAsia="Calibri"/>
        </w:rPr>
        <w:t>ied</w:t>
      </w:r>
      <w:r w:rsidR="001257AB" w:rsidRPr="00DE17CE">
        <w:rPr>
          <w:rFonts w:eastAsia="Calibri"/>
        </w:rPr>
        <w:t xml:space="preserve"> from </w:t>
      </w:r>
      <w:r w:rsidR="001257AB">
        <w:rPr>
          <w:rFonts w:eastAsia="Calibri"/>
        </w:rPr>
        <w:t xml:space="preserve">16.4 % to </w:t>
      </w:r>
      <w:r w:rsidR="00163A8D">
        <w:rPr>
          <w:rFonts w:eastAsia="Calibri"/>
        </w:rPr>
        <w:t>98.1</w:t>
      </w:r>
      <w:r w:rsidR="001257AB" w:rsidRPr="00DE17CE">
        <w:rPr>
          <w:rFonts w:eastAsia="Calibri"/>
        </w:rPr>
        <w:t>%</w:t>
      </w:r>
      <w:r w:rsidR="001257AB">
        <w:rPr>
          <w:rFonts w:eastAsia="Calibri"/>
        </w:rPr>
        <w:t>. Overall, 61.</w:t>
      </w:r>
      <w:r w:rsidR="00163A8D">
        <w:rPr>
          <w:rFonts w:eastAsia="Calibri"/>
        </w:rPr>
        <w:t>1</w:t>
      </w:r>
      <w:r w:rsidR="001257AB">
        <w:rPr>
          <w:rFonts w:eastAsia="Calibri"/>
        </w:rPr>
        <w:t>% (6,025 of 9,</w:t>
      </w:r>
      <w:r w:rsidR="00447C36">
        <w:rPr>
          <w:rFonts w:eastAsia="Calibri"/>
        </w:rPr>
        <w:t>860</w:t>
      </w:r>
      <w:r w:rsidR="001257AB">
        <w:rPr>
          <w:rFonts w:eastAsia="Calibri"/>
        </w:rPr>
        <w:t xml:space="preserve">) of </w:t>
      </w:r>
      <w:r w:rsidR="00F76049">
        <w:rPr>
          <w:rFonts w:eastAsia="Calibri"/>
        </w:rPr>
        <w:t xml:space="preserve">the total number of </w:t>
      </w:r>
      <w:r w:rsidR="00F76049" w:rsidRPr="00DE17CE">
        <w:rPr>
          <w:rFonts w:eastAsia="Calibri"/>
        </w:rPr>
        <w:t xml:space="preserve">THR or TKR </w:t>
      </w:r>
      <w:r w:rsidR="001257AB">
        <w:rPr>
          <w:rFonts w:eastAsia="Calibri"/>
        </w:rPr>
        <w:t xml:space="preserve">procedures </w:t>
      </w:r>
      <w:r w:rsidR="00F76049">
        <w:rPr>
          <w:rFonts w:eastAsia="Calibri"/>
        </w:rPr>
        <w:t xml:space="preserve">performed </w:t>
      </w:r>
      <w:r w:rsidR="001257AB">
        <w:rPr>
          <w:rFonts w:eastAsia="Calibri"/>
        </w:rPr>
        <w:t xml:space="preserve">across </w:t>
      </w:r>
      <w:r w:rsidR="004E386B">
        <w:rPr>
          <w:rFonts w:eastAsia="Calibri"/>
        </w:rPr>
        <w:t xml:space="preserve">the </w:t>
      </w:r>
      <w:r w:rsidR="001257AB">
        <w:rPr>
          <w:rFonts w:eastAsia="Calibri"/>
        </w:rPr>
        <w:t xml:space="preserve">11 anaemia Trusts received preoperative anaemia screening. </w:t>
      </w:r>
      <w:r w:rsidR="00701E05" w:rsidRPr="00DE17CE">
        <w:rPr>
          <w:rFonts w:eastAsia="Calibri"/>
        </w:rPr>
        <w:fldChar w:fldCharType="begin"/>
      </w:r>
      <w:r w:rsidR="00701E05" w:rsidRPr="00DE17CE">
        <w:rPr>
          <w:rFonts w:eastAsia="Calibri"/>
        </w:rPr>
        <w:instrText xml:space="preserve"> REF _Ref66696647 \h </w:instrText>
      </w:r>
      <w:r w:rsidR="00DE17CE">
        <w:rPr>
          <w:rFonts w:eastAsia="Calibri"/>
        </w:rPr>
        <w:instrText xml:space="preserve"> \* MERGEFORMAT </w:instrText>
      </w:r>
      <w:r w:rsidR="00701E05" w:rsidRPr="00DE17CE">
        <w:rPr>
          <w:rFonts w:eastAsia="Calibri"/>
        </w:rPr>
      </w:r>
      <w:r w:rsidR="00701E05" w:rsidRPr="00DE17CE">
        <w:rPr>
          <w:rFonts w:eastAsia="Calibri"/>
        </w:rPr>
        <w:fldChar w:fldCharType="separate"/>
      </w:r>
      <w:r w:rsidR="00CF7ECE">
        <w:t xml:space="preserve">Figure </w:t>
      </w:r>
      <w:r w:rsidR="00CF7ECE">
        <w:rPr>
          <w:noProof/>
        </w:rPr>
        <w:t>2</w:t>
      </w:r>
      <w:r w:rsidR="00701E05" w:rsidRPr="00DE17CE">
        <w:rPr>
          <w:rFonts w:eastAsia="Calibri"/>
        </w:rPr>
        <w:fldChar w:fldCharType="end"/>
      </w:r>
      <w:r w:rsidR="00701E05" w:rsidRPr="00DE17CE">
        <w:rPr>
          <w:rFonts w:eastAsia="Calibri"/>
        </w:rPr>
        <w:t xml:space="preserve"> shows the proportion of the total number of THR or TKR procedures performed each month that received preoperative anaemia screening.</w:t>
      </w:r>
      <w:r w:rsidR="0036404A">
        <w:rPr>
          <w:rFonts w:eastAsia="Calibri"/>
        </w:rPr>
        <w:t xml:space="preserve"> </w:t>
      </w:r>
      <w:r w:rsidR="0036404A" w:rsidRPr="00DE17CE">
        <w:rPr>
          <w:rFonts w:eastAsia="Calibri"/>
        </w:rPr>
        <w:t xml:space="preserve">This data spans both the implementation phase (pre-outcome data collection) and the measurement phase (one year </w:t>
      </w:r>
      <w:r w:rsidR="001257AB">
        <w:rPr>
          <w:rFonts w:eastAsia="Calibri"/>
        </w:rPr>
        <w:t xml:space="preserve">outcome </w:t>
      </w:r>
      <w:r w:rsidR="0036404A" w:rsidRPr="00DE17CE">
        <w:rPr>
          <w:rFonts w:eastAsia="Calibri"/>
        </w:rPr>
        <w:t>data collection period)</w:t>
      </w:r>
      <w:r w:rsidR="0036404A">
        <w:rPr>
          <w:rFonts w:eastAsia="Calibri"/>
        </w:rPr>
        <w:t xml:space="preserve">. </w:t>
      </w:r>
      <w:r w:rsidR="00D44F04">
        <w:rPr>
          <w:rFonts w:eastAsia="Calibri"/>
        </w:rPr>
        <w:t>T</w:t>
      </w:r>
      <w:r w:rsidR="00701E05" w:rsidRPr="00DE17CE">
        <w:rPr>
          <w:rFonts w:eastAsia="Calibri"/>
        </w:rPr>
        <w:t>here was still an increasing trend in the first few months of the measurement phase (Oct–Dec 2018)</w:t>
      </w:r>
      <w:r w:rsidR="00AE7300">
        <w:rPr>
          <w:rFonts w:eastAsia="Calibri"/>
        </w:rPr>
        <w:t>.</w:t>
      </w:r>
    </w:p>
    <w:p w14:paraId="3EC92001" w14:textId="10BC9C21" w:rsidR="00AA1517" w:rsidRDefault="00AA1517" w:rsidP="00327B6F">
      <w:pPr>
        <w:pStyle w:val="Heading3"/>
        <w:spacing w:line="480" w:lineRule="auto"/>
        <w:rPr>
          <w:rFonts w:eastAsia="Calibri"/>
        </w:rPr>
      </w:pPr>
      <w:r>
        <w:rPr>
          <w:rFonts w:eastAsia="Calibri"/>
        </w:rPr>
        <w:t>Infection</w:t>
      </w:r>
    </w:p>
    <w:p w14:paraId="58DD431C" w14:textId="3DC60530" w:rsidR="00701E05" w:rsidRDefault="00701E05" w:rsidP="00327B6F">
      <w:pPr>
        <w:tabs>
          <w:tab w:val="left" w:pos="3255"/>
        </w:tabs>
        <w:spacing w:line="480" w:lineRule="auto"/>
        <w:rPr>
          <w:rFonts w:eastAsia="Calibri"/>
        </w:rPr>
      </w:pPr>
      <w:r w:rsidRPr="003B5F18">
        <w:rPr>
          <w:rFonts w:eastAsia="Calibri"/>
        </w:rPr>
        <w:t>Trusts in the infection arm chose to implement MSSA decolonisation in one of two ways: screening all patients and decolonising only those who test</w:t>
      </w:r>
      <w:r w:rsidR="00D44F04">
        <w:rPr>
          <w:rFonts w:eastAsia="Calibri"/>
        </w:rPr>
        <w:t>ed</w:t>
      </w:r>
      <w:r w:rsidRPr="003B5F18">
        <w:rPr>
          <w:rFonts w:eastAsia="Calibri"/>
        </w:rPr>
        <w:t xml:space="preserve"> positive</w:t>
      </w:r>
      <w:r w:rsidR="00D44F04">
        <w:rPr>
          <w:rFonts w:eastAsia="Calibri"/>
        </w:rPr>
        <w:t>;</w:t>
      </w:r>
      <w:r w:rsidRPr="003B5F18">
        <w:rPr>
          <w:rFonts w:eastAsia="Calibri"/>
        </w:rPr>
        <w:t xml:space="preserve"> or routinely decolonising all patients without screening. </w:t>
      </w:r>
      <w:r w:rsidR="00320720">
        <w:rPr>
          <w:rFonts w:eastAsia="Calibri"/>
        </w:rPr>
        <w:t>Six</w:t>
      </w:r>
      <w:r w:rsidRPr="003B5F18">
        <w:rPr>
          <w:rFonts w:eastAsia="Calibri"/>
        </w:rPr>
        <w:t xml:space="preserve"> of the 1</w:t>
      </w:r>
      <w:r w:rsidR="00320720">
        <w:rPr>
          <w:rFonts w:eastAsia="Calibri"/>
        </w:rPr>
        <w:t>6</w:t>
      </w:r>
      <w:r w:rsidRPr="003B5F18">
        <w:rPr>
          <w:rFonts w:eastAsia="Calibri"/>
        </w:rPr>
        <w:t xml:space="preserve"> Trusts adopted a screening approach; resulting in 2</w:t>
      </w:r>
      <w:r w:rsidR="0086510E">
        <w:rPr>
          <w:rFonts w:eastAsia="Calibri"/>
        </w:rPr>
        <w:t>,768</w:t>
      </w:r>
      <w:r w:rsidRPr="003B5F18">
        <w:rPr>
          <w:rFonts w:eastAsia="Calibri"/>
        </w:rPr>
        <w:t xml:space="preserve"> procedures being screened preoperatively (2</w:t>
      </w:r>
      <w:r w:rsidR="0086510E">
        <w:rPr>
          <w:rFonts w:eastAsia="Calibri"/>
        </w:rPr>
        <w:t>1.4</w:t>
      </w:r>
      <w:r w:rsidRPr="003B5F18">
        <w:rPr>
          <w:rFonts w:eastAsia="Calibri"/>
        </w:rPr>
        <w:t xml:space="preserve">%). Of these, </w:t>
      </w:r>
      <w:r w:rsidR="0086510E">
        <w:rPr>
          <w:rFonts w:eastAsia="Calibri"/>
        </w:rPr>
        <w:t>893</w:t>
      </w:r>
      <w:r w:rsidRPr="003B5F18">
        <w:rPr>
          <w:rFonts w:eastAsia="Calibri"/>
        </w:rPr>
        <w:t xml:space="preserve"> (3</w:t>
      </w:r>
      <w:r w:rsidR="0086510E">
        <w:rPr>
          <w:rFonts w:eastAsia="Calibri"/>
        </w:rPr>
        <w:t>2.3</w:t>
      </w:r>
      <w:r w:rsidRPr="003B5F18">
        <w:rPr>
          <w:rFonts w:eastAsia="Calibri"/>
        </w:rPr>
        <w:t>%) tested positive for MSSA</w:t>
      </w:r>
      <w:r w:rsidR="00A7625C">
        <w:rPr>
          <w:rFonts w:eastAsia="Calibri"/>
        </w:rPr>
        <w:t xml:space="preserve"> (</w:t>
      </w:r>
      <w:r w:rsidR="00C8611F">
        <w:rPr>
          <w:rFonts w:eastAsia="Calibri"/>
        </w:rPr>
        <w:t xml:space="preserve">Table 4 and </w:t>
      </w:r>
      <w:r w:rsidR="00E842C1">
        <w:rPr>
          <w:rFonts w:eastAsia="Calibri"/>
        </w:rPr>
        <w:t>S</w:t>
      </w:r>
      <w:r w:rsidR="00C8611F">
        <w:rPr>
          <w:rFonts w:eastAsia="Calibri"/>
        </w:rPr>
        <w:t xml:space="preserve">upplementary </w:t>
      </w:r>
      <w:r w:rsidR="00E842C1">
        <w:rPr>
          <w:rFonts w:eastAsia="Calibri"/>
        </w:rPr>
        <w:t>F</w:t>
      </w:r>
      <w:r w:rsidR="00C8611F">
        <w:rPr>
          <w:rFonts w:eastAsia="Calibri"/>
        </w:rPr>
        <w:t>ile 2)</w:t>
      </w:r>
      <w:r>
        <w:rPr>
          <w:rFonts w:eastAsia="Calibri"/>
        </w:rPr>
        <w:t xml:space="preserve"> </w:t>
      </w:r>
    </w:p>
    <w:p w14:paraId="3B64796B" w14:textId="422DD578" w:rsidR="00701E05" w:rsidRDefault="00701E05" w:rsidP="00327B6F">
      <w:pPr>
        <w:tabs>
          <w:tab w:val="left" w:pos="3255"/>
        </w:tabs>
        <w:spacing w:line="480" w:lineRule="auto"/>
        <w:rPr>
          <w:rFonts w:eastAsia="Calibri"/>
        </w:rPr>
      </w:pPr>
      <w:r>
        <w:rPr>
          <w:rFonts w:eastAsia="Calibri"/>
        </w:rPr>
        <w:t xml:space="preserve">A total of 12,019 decolonisation packs were dispensed for preoperative MSSA decolonisation as part of the QIST: Infection collaborative. The most common components were Octenisan body wash (89.6%, n=10,768) and Octenisan nasal gel (68.0%, n=8,174). 11,115 patients (92.5% of those dispensed) confirmed that they used the decolonisation pack that was provided to them. </w:t>
      </w:r>
    </w:p>
    <w:p w14:paraId="51EA9C6A" w14:textId="7360EEF1" w:rsidR="00AA1517" w:rsidRDefault="00701E05" w:rsidP="00327B6F">
      <w:pPr>
        <w:keepNext/>
        <w:tabs>
          <w:tab w:val="left" w:pos="3255"/>
        </w:tabs>
        <w:spacing w:line="480" w:lineRule="auto"/>
        <w:rPr>
          <w:rFonts w:eastAsia="Calibri"/>
        </w:rPr>
      </w:pPr>
      <w:r>
        <w:rPr>
          <w:rFonts w:eastAsia="Calibri"/>
        </w:rPr>
        <w:t xml:space="preserve">The correct implementation process for the infection arm differed depending on the approach to the </w:t>
      </w:r>
      <w:r w:rsidR="00F76049">
        <w:rPr>
          <w:rFonts w:eastAsia="Calibri"/>
        </w:rPr>
        <w:t>pathway</w:t>
      </w:r>
      <w:r>
        <w:rPr>
          <w:rFonts w:eastAsia="Calibri"/>
        </w:rPr>
        <w:t xml:space="preserve">. For Trusts </w:t>
      </w:r>
      <w:r w:rsidR="00BE23EA">
        <w:rPr>
          <w:rFonts w:eastAsia="Calibri"/>
        </w:rPr>
        <w:t xml:space="preserve">that </w:t>
      </w:r>
      <w:r>
        <w:rPr>
          <w:rFonts w:eastAsia="Calibri"/>
        </w:rPr>
        <w:t xml:space="preserve">screened patients, the correct implementation was </w:t>
      </w:r>
      <w:r w:rsidR="00505A56">
        <w:rPr>
          <w:rFonts w:eastAsia="Calibri"/>
        </w:rPr>
        <w:t xml:space="preserve">to </w:t>
      </w:r>
      <w:r w:rsidR="00212991">
        <w:rPr>
          <w:rFonts w:eastAsia="Calibri"/>
        </w:rPr>
        <w:t>provid</w:t>
      </w:r>
      <w:r w:rsidR="00505A56">
        <w:rPr>
          <w:rFonts w:eastAsia="Calibri"/>
        </w:rPr>
        <w:t>e</w:t>
      </w:r>
      <w:r w:rsidR="00212991">
        <w:rPr>
          <w:rFonts w:eastAsia="Calibri"/>
        </w:rPr>
        <w:t xml:space="preserve"> a nasal gel to </w:t>
      </w:r>
      <w:r>
        <w:rPr>
          <w:rFonts w:eastAsia="Calibri"/>
        </w:rPr>
        <w:t>patients who test</w:t>
      </w:r>
      <w:r w:rsidR="00212991">
        <w:rPr>
          <w:rFonts w:eastAsia="Calibri"/>
        </w:rPr>
        <w:t xml:space="preserve"> </w:t>
      </w:r>
      <w:r>
        <w:rPr>
          <w:rFonts w:eastAsia="Calibri"/>
        </w:rPr>
        <w:t>positiv</w:t>
      </w:r>
      <w:r w:rsidR="00212991">
        <w:rPr>
          <w:rFonts w:eastAsia="Calibri"/>
        </w:rPr>
        <w:t>e</w:t>
      </w:r>
      <w:r>
        <w:rPr>
          <w:rFonts w:eastAsia="Calibri"/>
        </w:rPr>
        <w:t xml:space="preserve">, and </w:t>
      </w:r>
      <w:r w:rsidR="00BE23EA">
        <w:rPr>
          <w:rFonts w:eastAsia="Calibri"/>
        </w:rPr>
        <w:t xml:space="preserve">not to </w:t>
      </w:r>
      <w:r>
        <w:rPr>
          <w:rFonts w:eastAsia="Calibri"/>
        </w:rPr>
        <w:t>those who test negative; where</w:t>
      </w:r>
      <w:r w:rsidR="00A3796C">
        <w:rPr>
          <w:rFonts w:eastAsia="Calibri"/>
        </w:rPr>
        <w:t>as</w:t>
      </w:r>
      <w:r>
        <w:rPr>
          <w:rFonts w:eastAsia="Calibri"/>
        </w:rPr>
        <w:t xml:space="preserve"> for the blanket approach correct </w:t>
      </w:r>
      <w:r w:rsidR="00212991">
        <w:rPr>
          <w:rFonts w:eastAsia="Calibri"/>
        </w:rPr>
        <w:t>implementation</w:t>
      </w:r>
      <w:r>
        <w:rPr>
          <w:rFonts w:eastAsia="Calibri"/>
        </w:rPr>
        <w:t xml:space="preserve"> was taken </w:t>
      </w:r>
      <w:r w:rsidR="00212991">
        <w:rPr>
          <w:rFonts w:eastAsia="Calibri"/>
        </w:rPr>
        <w:t>as</w:t>
      </w:r>
      <w:r>
        <w:rPr>
          <w:rFonts w:eastAsia="Calibri"/>
        </w:rPr>
        <w:t xml:space="preserve"> confirmation that a nasal gel</w:t>
      </w:r>
      <w:r w:rsidR="00212991">
        <w:rPr>
          <w:rFonts w:eastAsia="Calibri"/>
        </w:rPr>
        <w:t xml:space="preserve"> was issued</w:t>
      </w:r>
      <w:r>
        <w:rPr>
          <w:rFonts w:eastAsia="Calibri"/>
        </w:rPr>
        <w:t xml:space="preserve">. </w:t>
      </w:r>
      <w:r w:rsidR="003317D4">
        <w:rPr>
          <w:rFonts w:eastAsia="Calibri"/>
        </w:rPr>
        <w:t>The implementation for the one year measurement phase varied by Trust; o</w:t>
      </w:r>
      <w:r>
        <w:rPr>
          <w:rFonts w:eastAsia="Calibri"/>
        </w:rPr>
        <w:t>ne Trust provided no data on their process, so had 0% implementation</w:t>
      </w:r>
      <w:r w:rsidR="00676847">
        <w:rPr>
          <w:rFonts w:eastAsia="Calibri"/>
        </w:rPr>
        <w:t>. T</w:t>
      </w:r>
      <w:r w:rsidR="00F57BA0">
        <w:rPr>
          <w:rFonts w:eastAsia="Calibri"/>
        </w:rPr>
        <w:t xml:space="preserve">he lowest percentage </w:t>
      </w:r>
      <w:r w:rsidR="004D4444">
        <w:rPr>
          <w:rFonts w:eastAsia="Calibri"/>
        </w:rPr>
        <w:t>of correct implementation (for Trusts who recorded data)</w:t>
      </w:r>
      <w:r w:rsidR="00F57BA0">
        <w:rPr>
          <w:rFonts w:eastAsia="Calibri"/>
        </w:rPr>
        <w:t xml:space="preserve"> was </w:t>
      </w:r>
      <w:r w:rsidR="004D4444">
        <w:rPr>
          <w:rFonts w:eastAsia="Calibri"/>
        </w:rPr>
        <w:t>20.</w:t>
      </w:r>
      <w:r w:rsidR="004E408B">
        <w:rPr>
          <w:rFonts w:eastAsia="Calibri"/>
        </w:rPr>
        <w:t>5</w:t>
      </w:r>
      <w:r w:rsidR="00F57BA0">
        <w:rPr>
          <w:rFonts w:eastAsia="Calibri"/>
        </w:rPr>
        <w:t xml:space="preserve">%, and the highest was </w:t>
      </w:r>
      <w:r w:rsidR="004D4444">
        <w:rPr>
          <w:rFonts w:eastAsia="Calibri"/>
        </w:rPr>
        <w:t>9</w:t>
      </w:r>
      <w:r w:rsidR="004E408B">
        <w:rPr>
          <w:rFonts w:eastAsia="Calibri"/>
        </w:rPr>
        <w:t>4.1</w:t>
      </w:r>
      <w:r w:rsidR="00F57BA0">
        <w:rPr>
          <w:rFonts w:eastAsia="Calibri"/>
        </w:rPr>
        <w:t xml:space="preserve">%. </w:t>
      </w:r>
      <w:r w:rsidR="00F76049">
        <w:rPr>
          <w:rFonts w:eastAsia="Calibri"/>
        </w:rPr>
        <w:t>O</w:t>
      </w:r>
      <w:r w:rsidR="00F57BA0">
        <w:rPr>
          <w:rFonts w:eastAsia="Calibri"/>
        </w:rPr>
        <w:t>verall</w:t>
      </w:r>
      <w:r w:rsidR="00F76049">
        <w:rPr>
          <w:rFonts w:eastAsia="Calibri"/>
        </w:rPr>
        <w:t>,</w:t>
      </w:r>
      <w:r w:rsidR="00F57BA0">
        <w:rPr>
          <w:rFonts w:eastAsia="Calibri"/>
        </w:rPr>
        <w:t xml:space="preserve"> </w:t>
      </w:r>
      <w:r w:rsidR="00F76049">
        <w:rPr>
          <w:rFonts w:eastAsia="Calibri"/>
        </w:rPr>
        <w:t>7</w:t>
      </w:r>
      <w:r w:rsidR="004E408B">
        <w:rPr>
          <w:rFonts w:eastAsia="Calibri"/>
        </w:rPr>
        <w:t>3.7</w:t>
      </w:r>
      <w:r w:rsidR="00F76049">
        <w:rPr>
          <w:rFonts w:eastAsia="Calibri"/>
        </w:rPr>
        <w:t>% (11,208 of 1</w:t>
      </w:r>
      <w:r w:rsidR="004E408B">
        <w:rPr>
          <w:rFonts w:eastAsia="Calibri"/>
        </w:rPr>
        <w:t>5,206</w:t>
      </w:r>
      <w:r w:rsidR="00F76049">
        <w:rPr>
          <w:rFonts w:eastAsia="Calibri"/>
        </w:rPr>
        <w:t xml:space="preserve">) of the total number of THR or TKR procedures performed across 16 infection Trusts received </w:t>
      </w:r>
      <w:r w:rsidR="00F57BA0">
        <w:rPr>
          <w:rFonts w:eastAsia="Calibri"/>
        </w:rPr>
        <w:t>correct implementation</w:t>
      </w:r>
      <w:r w:rsidR="00F76049">
        <w:rPr>
          <w:rFonts w:eastAsia="Calibri"/>
        </w:rPr>
        <w:t xml:space="preserve">. </w:t>
      </w:r>
      <w:r w:rsidR="00320720">
        <w:rPr>
          <w:rFonts w:eastAsia="Calibri"/>
        </w:rPr>
        <w:t>T</w:t>
      </w:r>
      <w:r w:rsidR="004D4444">
        <w:rPr>
          <w:rFonts w:eastAsia="Calibri"/>
        </w:rPr>
        <w:t>his was</w:t>
      </w:r>
      <w:r w:rsidR="00F57BA0">
        <w:rPr>
          <w:rFonts w:eastAsia="Calibri"/>
        </w:rPr>
        <w:t xml:space="preserve"> slightly higher in th</w:t>
      </w:r>
      <w:r w:rsidR="00320720">
        <w:rPr>
          <w:rFonts w:eastAsia="Calibri"/>
        </w:rPr>
        <w:t xml:space="preserve">e </w:t>
      </w:r>
      <w:r w:rsidR="0047466F">
        <w:rPr>
          <w:rFonts w:eastAsia="Calibri"/>
        </w:rPr>
        <w:t>ten</w:t>
      </w:r>
      <w:r w:rsidR="00F57BA0">
        <w:rPr>
          <w:rFonts w:eastAsia="Calibri"/>
        </w:rPr>
        <w:t xml:space="preserve"> Trusts that implemented a blanket approach (</w:t>
      </w:r>
      <w:r w:rsidR="004E408B">
        <w:rPr>
          <w:rFonts w:eastAsia="Calibri"/>
        </w:rPr>
        <w:t>75.4</w:t>
      </w:r>
      <w:r w:rsidR="00F57BA0">
        <w:rPr>
          <w:rFonts w:eastAsia="Calibri"/>
        </w:rPr>
        <w:t>%</w:t>
      </w:r>
      <w:r w:rsidR="00320720">
        <w:rPr>
          <w:rFonts w:eastAsia="Calibri"/>
        </w:rPr>
        <w:t xml:space="preserve">, </w:t>
      </w:r>
      <w:r w:rsidR="0047466F">
        <w:rPr>
          <w:rFonts w:eastAsia="Calibri"/>
        </w:rPr>
        <w:t>8,723</w:t>
      </w:r>
      <w:r w:rsidR="00320720">
        <w:rPr>
          <w:rFonts w:eastAsia="Calibri"/>
        </w:rPr>
        <w:t xml:space="preserve"> of </w:t>
      </w:r>
      <w:r w:rsidR="0047466F">
        <w:rPr>
          <w:rFonts w:eastAsia="Calibri"/>
        </w:rPr>
        <w:t>11,</w:t>
      </w:r>
      <w:r w:rsidR="004E408B">
        <w:rPr>
          <w:rFonts w:eastAsia="Calibri"/>
        </w:rPr>
        <w:t xml:space="preserve">568 </w:t>
      </w:r>
      <w:r w:rsidR="00320720">
        <w:rPr>
          <w:rFonts w:eastAsia="Calibri"/>
        </w:rPr>
        <w:t>procedures</w:t>
      </w:r>
      <w:r w:rsidR="00F57BA0">
        <w:rPr>
          <w:rFonts w:eastAsia="Calibri"/>
        </w:rPr>
        <w:t>)</w:t>
      </w:r>
      <w:r w:rsidR="00E72719">
        <w:rPr>
          <w:rFonts w:eastAsia="Calibri"/>
        </w:rPr>
        <w:t>,</w:t>
      </w:r>
      <w:r w:rsidR="00F57BA0">
        <w:rPr>
          <w:rFonts w:eastAsia="Calibri"/>
        </w:rPr>
        <w:t xml:space="preserve"> than </w:t>
      </w:r>
      <w:r w:rsidR="00320720">
        <w:rPr>
          <w:rFonts w:eastAsia="Calibri"/>
        </w:rPr>
        <w:t>the six Trusts</w:t>
      </w:r>
      <w:r w:rsidR="00F57BA0">
        <w:rPr>
          <w:rFonts w:eastAsia="Calibri"/>
        </w:rPr>
        <w:t xml:space="preserve"> who choose to screen (68.</w:t>
      </w:r>
      <w:r w:rsidR="004E408B">
        <w:rPr>
          <w:rFonts w:eastAsia="Calibri"/>
        </w:rPr>
        <w:t>3</w:t>
      </w:r>
      <w:r w:rsidR="00F57BA0">
        <w:rPr>
          <w:rFonts w:eastAsia="Calibri"/>
        </w:rPr>
        <w:t>%</w:t>
      </w:r>
      <w:r w:rsidR="00320720">
        <w:rPr>
          <w:rFonts w:eastAsia="Calibri"/>
        </w:rPr>
        <w:t xml:space="preserve">, </w:t>
      </w:r>
      <w:r w:rsidR="0047466F">
        <w:rPr>
          <w:rFonts w:eastAsia="Calibri"/>
        </w:rPr>
        <w:t>2,485</w:t>
      </w:r>
      <w:r w:rsidR="00320720">
        <w:rPr>
          <w:rFonts w:eastAsia="Calibri"/>
        </w:rPr>
        <w:t xml:space="preserve"> of </w:t>
      </w:r>
      <w:r w:rsidR="0047466F">
        <w:rPr>
          <w:rFonts w:eastAsia="Calibri"/>
        </w:rPr>
        <w:t>3,</w:t>
      </w:r>
      <w:r w:rsidR="004E408B">
        <w:rPr>
          <w:rFonts w:eastAsia="Calibri"/>
        </w:rPr>
        <w:t xml:space="preserve">638 </w:t>
      </w:r>
      <w:r w:rsidR="00320720">
        <w:rPr>
          <w:rFonts w:eastAsia="Calibri"/>
        </w:rPr>
        <w:t>procedures</w:t>
      </w:r>
      <w:r w:rsidR="00F57BA0">
        <w:rPr>
          <w:rFonts w:eastAsia="Calibri"/>
        </w:rPr>
        <w:t xml:space="preserve">). </w:t>
      </w:r>
      <w:r w:rsidR="00163656">
        <w:rPr>
          <w:rFonts w:eastAsia="Calibri"/>
        </w:rPr>
        <w:t>T</w:t>
      </w:r>
      <w:r>
        <w:rPr>
          <w:rFonts w:eastAsia="Calibri"/>
        </w:rPr>
        <w:t xml:space="preserve">he rate of implementation was still increasing in the first few months of measurement </w:t>
      </w:r>
      <w:r w:rsidR="0037208B">
        <w:rPr>
          <w:rFonts w:eastAsia="Calibri"/>
        </w:rPr>
        <w:t>(</w:t>
      </w:r>
      <w:r w:rsidR="00FC3790">
        <w:rPr>
          <w:rFonts w:eastAsia="Calibri"/>
        </w:rPr>
        <w:fldChar w:fldCharType="begin"/>
      </w:r>
      <w:r w:rsidR="00FC3790">
        <w:rPr>
          <w:rFonts w:eastAsia="Calibri"/>
        </w:rPr>
        <w:instrText xml:space="preserve"> REF _Ref66704941 \h </w:instrText>
      </w:r>
      <w:r w:rsidR="00327B6F">
        <w:rPr>
          <w:rFonts w:eastAsia="Calibri"/>
        </w:rPr>
        <w:instrText xml:space="preserve"> \* MERGEFORMAT </w:instrText>
      </w:r>
      <w:r w:rsidR="00FC3790">
        <w:rPr>
          <w:rFonts w:eastAsia="Calibri"/>
        </w:rPr>
      </w:r>
      <w:r w:rsidR="00FC3790">
        <w:rPr>
          <w:rFonts w:eastAsia="Calibri"/>
        </w:rPr>
        <w:fldChar w:fldCharType="separate"/>
      </w:r>
      <w:r w:rsidR="00FC3790">
        <w:t xml:space="preserve">Figure </w:t>
      </w:r>
      <w:r w:rsidR="00FC3790">
        <w:rPr>
          <w:noProof/>
        </w:rPr>
        <w:t>3</w:t>
      </w:r>
      <w:r w:rsidR="00FC3790">
        <w:rPr>
          <w:rFonts w:eastAsia="Calibri"/>
        </w:rPr>
        <w:fldChar w:fldCharType="end"/>
      </w:r>
      <w:r w:rsidR="00C658AF">
        <w:rPr>
          <w:rFonts w:eastAsia="Calibri"/>
        </w:rPr>
        <w:t>).</w:t>
      </w:r>
    </w:p>
    <w:p w14:paraId="70E677F8" w14:textId="7B4F547A" w:rsidR="003E2F54" w:rsidRDefault="00F92293" w:rsidP="00327B6F">
      <w:pPr>
        <w:pStyle w:val="Heading2"/>
        <w:spacing w:line="480" w:lineRule="auto"/>
        <w:rPr>
          <w:rFonts w:eastAsia="Calibri"/>
        </w:rPr>
      </w:pPr>
      <w:r>
        <w:rPr>
          <w:rFonts w:eastAsia="Calibri"/>
        </w:rPr>
        <w:t xml:space="preserve">Outcomes </w:t>
      </w:r>
    </w:p>
    <w:p w14:paraId="505EE0C4" w14:textId="26640084" w:rsidR="00701E05" w:rsidRDefault="00701E05" w:rsidP="00327B6F">
      <w:pPr>
        <w:tabs>
          <w:tab w:val="left" w:pos="3255"/>
        </w:tabs>
        <w:spacing w:line="480" w:lineRule="auto"/>
        <w:rPr>
          <w:rFonts w:eastAsia="Calibri"/>
        </w:rPr>
      </w:pPr>
      <w:r>
        <w:rPr>
          <w:rFonts w:eastAsia="Calibri"/>
        </w:rPr>
        <w:t xml:space="preserve">Overall, 485 (2.5%) patients required a blood transfusion within 7 days of </w:t>
      </w:r>
      <w:r w:rsidR="0047466F">
        <w:rPr>
          <w:rFonts w:eastAsia="Calibri"/>
        </w:rPr>
        <w:t>surgery:</w:t>
      </w:r>
      <w:r>
        <w:rPr>
          <w:rFonts w:eastAsia="Calibri"/>
        </w:rPr>
        <w:t xml:space="preserve"> 183 (2.9%) in the anaemia arm and 302 (2.3%) in the infection arm. The average number of units per transfusion was similar for the two groups (1.7 (SD 1.0) </w:t>
      </w:r>
      <w:r w:rsidR="00BE23EA">
        <w:rPr>
          <w:rFonts w:eastAsia="Calibri"/>
        </w:rPr>
        <w:t xml:space="preserve">in the </w:t>
      </w:r>
      <w:r>
        <w:rPr>
          <w:rFonts w:eastAsia="Calibri"/>
        </w:rPr>
        <w:t>anaemia</w:t>
      </w:r>
      <w:r w:rsidR="00BE23EA">
        <w:rPr>
          <w:rFonts w:eastAsia="Calibri"/>
        </w:rPr>
        <w:t xml:space="preserve"> arm; </w:t>
      </w:r>
      <w:r>
        <w:rPr>
          <w:rFonts w:eastAsia="Calibri"/>
        </w:rPr>
        <w:t xml:space="preserve">1.6 (SD 0.6) </w:t>
      </w:r>
      <w:r w:rsidR="00BE23EA">
        <w:rPr>
          <w:rFonts w:eastAsia="Calibri"/>
        </w:rPr>
        <w:t xml:space="preserve">in the </w:t>
      </w:r>
      <w:r>
        <w:rPr>
          <w:rFonts w:eastAsia="Calibri"/>
        </w:rPr>
        <w:t>infection</w:t>
      </w:r>
      <w:r w:rsidR="00BE23EA">
        <w:rPr>
          <w:rFonts w:eastAsia="Calibri"/>
        </w:rPr>
        <w:t xml:space="preserve"> arm</w:t>
      </w:r>
      <w:r>
        <w:rPr>
          <w:rFonts w:eastAsia="Calibri"/>
        </w:rPr>
        <w:t xml:space="preserve">). There was no evidence of a difference in transfusions </w:t>
      </w:r>
      <w:r w:rsidR="00F53435">
        <w:rPr>
          <w:rFonts w:eastAsia="Calibri"/>
        </w:rPr>
        <w:t xml:space="preserve">between the two arms </w:t>
      </w:r>
      <w:r>
        <w:rPr>
          <w:rFonts w:eastAsia="Calibri"/>
        </w:rPr>
        <w:t xml:space="preserve">(adjusted OR </w:t>
      </w:r>
      <w:r w:rsidR="00505A56">
        <w:rPr>
          <w:rFonts w:eastAsia="Calibri"/>
        </w:rPr>
        <w:t>0.83 (i.e. lower odds in infection arm), 95% CI 0.36 to 1.91</w:t>
      </w:r>
      <w:r>
        <w:rPr>
          <w:rFonts w:eastAsia="Calibri"/>
        </w:rPr>
        <w:t>, p=0.6</w:t>
      </w:r>
      <w:r w:rsidR="00F50910">
        <w:rPr>
          <w:rFonts w:eastAsia="Calibri"/>
        </w:rPr>
        <w:t>7</w:t>
      </w:r>
      <w:r w:rsidR="00BE23EA">
        <w:rPr>
          <w:rFonts w:eastAsia="Calibri"/>
        </w:rPr>
        <w:t xml:space="preserve">; </w:t>
      </w:r>
      <w:r w:rsidR="00CF7ECE">
        <w:rPr>
          <w:rFonts w:eastAsia="Calibri"/>
        </w:rPr>
        <w:fldChar w:fldCharType="begin"/>
      </w:r>
      <w:r w:rsidR="00CF7ECE">
        <w:rPr>
          <w:rFonts w:eastAsia="Calibri"/>
        </w:rPr>
        <w:instrText xml:space="preserve"> REF _Ref66702591 \h </w:instrText>
      </w:r>
      <w:r w:rsidR="00327B6F">
        <w:rPr>
          <w:rFonts w:eastAsia="Calibri"/>
        </w:rPr>
        <w:instrText xml:space="preserve"> \* MERGEFORMAT </w:instrText>
      </w:r>
      <w:r w:rsidR="00CF7ECE">
        <w:rPr>
          <w:rFonts w:eastAsia="Calibri"/>
        </w:rPr>
      </w:r>
      <w:r w:rsidR="00CF7ECE">
        <w:rPr>
          <w:rFonts w:eastAsia="Calibri"/>
        </w:rPr>
        <w:fldChar w:fldCharType="separate"/>
      </w:r>
      <w:r w:rsidR="005F7BCC">
        <w:t xml:space="preserve">Table </w:t>
      </w:r>
      <w:r w:rsidR="005F7BCC">
        <w:rPr>
          <w:noProof/>
        </w:rPr>
        <w:t>5</w:t>
      </w:r>
      <w:r w:rsidR="00CF7ECE">
        <w:rPr>
          <w:rFonts w:eastAsia="Calibri"/>
        </w:rPr>
        <w:fldChar w:fldCharType="end"/>
      </w:r>
      <w:r>
        <w:rPr>
          <w:rFonts w:eastAsia="Calibri"/>
        </w:rPr>
        <w:t>).</w:t>
      </w:r>
      <w:r w:rsidR="00524F90">
        <w:rPr>
          <w:rFonts w:eastAsia="Calibri"/>
        </w:rPr>
        <w:t xml:space="preserve"> T</w:t>
      </w:r>
      <w:r w:rsidR="00524F90" w:rsidRPr="00524F90">
        <w:rPr>
          <w:rFonts w:eastAsia="Calibri"/>
        </w:rPr>
        <w:t xml:space="preserve">he trust-level </w:t>
      </w:r>
      <w:r w:rsidR="00CE43AD" w:rsidRPr="00035759">
        <w:t>intracluster correlation coefficient</w:t>
      </w:r>
      <w:r w:rsidR="00524F90" w:rsidRPr="00524F90">
        <w:rPr>
          <w:rFonts w:eastAsia="Calibri"/>
        </w:rPr>
        <w:t xml:space="preserve"> was estimated as 0.23 (95% CI 0.13, 0.37)</w:t>
      </w:r>
      <w:r w:rsidR="00524F90">
        <w:rPr>
          <w:rFonts w:eastAsia="Calibri"/>
        </w:rPr>
        <w:t>.</w:t>
      </w:r>
      <w:r w:rsidR="00D76E63">
        <w:rPr>
          <w:rFonts w:eastAsia="Calibri"/>
        </w:rPr>
        <w:t xml:space="preserve"> </w:t>
      </w:r>
    </w:p>
    <w:p w14:paraId="625DCEBC" w14:textId="657494AE" w:rsidR="00D76E63" w:rsidRDefault="00701E05" w:rsidP="00327B6F">
      <w:pPr>
        <w:tabs>
          <w:tab w:val="left" w:pos="3255"/>
        </w:tabs>
        <w:spacing w:line="480" w:lineRule="auto"/>
        <w:rPr>
          <w:rFonts w:eastAsia="Calibri"/>
        </w:rPr>
      </w:pPr>
      <w:r>
        <w:rPr>
          <w:rFonts w:eastAsia="Calibri"/>
        </w:rPr>
        <w:t>Ther</w:t>
      </w:r>
      <w:r w:rsidR="009B205E">
        <w:rPr>
          <w:rFonts w:eastAsia="Calibri"/>
        </w:rPr>
        <w:t xml:space="preserve">e </w:t>
      </w:r>
      <w:r>
        <w:rPr>
          <w:rFonts w:eastAsia="Calibri"/>
        </w:rPr>
        <w:t xml:space="preserve">were </w:t>
      </w:r>
      <w:r w:rsidR="00447C36">
        <w:rPr>
          <w:rFonts w:eastAsia="Calibri"/>
        </w:rPr>
        <w:t xml:space="preserve">346 </w:t>
      </w:r>
      <w:r w:rsidR="009B205E">
        <w:rPr>
          <w:rFonts w:eastAsia="Calibri"/>
        </w:rPr>
        <w:t>cases of potential SSI reported by participating Trusts. Of these</w:t>
      </w:r>
      <w:r w:rsidR="00BD3F1A">
        <w:rPr>
          <w:rFonts w:eastAsia="Calibri"/>
        </w:rPr>
        <w:t>,</w:t>
      </w:r>
      <w:r w:rsidR="009B205E">
        <w:rPr>
          <w:rFonts w:eastAsia="Calibri"/>
        </w:rPr>
        <w:t xml:space="preserve"> the IOC confirmed</w:t>
      </w:r>
      <w:r w:rsidR="00842649">
        <w:rPr>
          <w:rFonts w:eastAsia="Calibri"/>
        </w:rPr>
        <w:t xml:space="preserve"> 158 as either deep or superficial SSI based on PHE and/or CDC criteria</w:t>
      </w:r>
      <w:r w:rsidR="00BD3F1A">
        <w:rPr>
          <w:rFonts w:eastAsia="Calibri"/>
        </w:rPr>
        <w:t xml:space="preserve"> (Table 5)</w:t>
      </w:r>
      <w:r w:rsidR="00842649">
        <w:rPr>
          <w:rFonts w:eastAsia="Calibri"/>
        </w:rPr>
        <w:t xml:space="preserve">. </w:t>
      </w:r>
      <w:r w:rsidR="00D76E63">
        <w:rPr>
          <w:rFonts w:eastAsia="Calibri"/>
        </w:rPr>
        <w:t>71</w:t>
      </w:r>
      <w:r w:rsidR="00B025D5">
        <w:rPr>
          <w:rFonts w:eastAsia="Calibri"/>
        </w:rPr>
        <w:t xml:space="preserve"> (</w:t>
      </w:r>
      <w:r w:rsidR="00D76E63">
        <w:rPr>
          <w:rFonts w:eastAsia="Calibri"/>
        </w:rPr>
        <w:t>0.37</w:t>
      </w:r>
      <w:r w:rsidR="00B025D5">
        <w:rPr>
          <w:rFonts w:eastAsia="Calibri"/>
        </w:rPr>
        <w:t>%) were confirmed as deep SSIs (PHE criteria) caused by any organism within 90 days of surgery (23 (</w:t>
      </w:r>
      <w:r w:rsidR="00D76E63">
        <w:rPr>
          <w:rFonts w:eastAsia="Calibri"/>
        </w:rPr>
        <w:t>0.36</w:t>
      </w:r>
      <w:r w:rsidR="00B025D5">
        <w:rPr>
          <w:rFonts w:eastAsia="Calibri"/>
        </w:rPr>
        <w:t>%</w:t>
      </w:r>
      <w:r w:rsidR="00BD3F1A">
        <w:rPr>
          <w:rFonts w:eastAsia="Calibri"/>
        </w:rPr>
        <w:t>)</w:t>
      </w:r>
      <w:r w:rsidR="00B025D5">
        <w:rPr>
          <w:rFonts w:eastAsia="Calibri"/>
        </w:rPr>
        <w:t xml:space="preserve"> in the anaemia arm; 48 (</w:t>
      </w:r>
      <w:r w:rsidR="00D76E63">
        <w:rPr>
          <w:rFonts w:eastAsia="Calibri"/>
        </w:rPr>
        <w:t>0.37</w:t>
      </w:r>
      <w:r w:rsidR="00B025D5">
        <w:rPr>
          <w:rFonts w:eastAsia="Calibri"/>
        </w:rPr>
        <w:t xml:space="preserve">%) in the infection arm). </w:t>
      </w:r>
      <w:r w:rsidR="00842649">
        <w:rPr>
          <w:rFonts w:eastAsia="Calibri"/>
        </w:rPr>
        <w:t>Of these</w:t>
      </w:r>
      <w:r w:rsidR="00BD3F1A">
        <w:rPr>
          <w:rFonts w:eastAsia="Calibri"/>
        </w:rPr>
        <w:t>,</w:t>
      </w:r>
      <w:r w:rsidR="009B205E">
        <w:rPr>
          <w:rFonts w:eastAsia="Calibri"/>
        </w:rPr>
        <w:t xml:space="preserve"> </w:t>
      </w:r>
      <w:r>
        <w:rPr>
          <w:rFonts w:eastAsia="Calibri"/>
        </w:rPr>
        <w:t xml:space="preserve">26 (0.14%) </w:t>
      </w:r>
      <w:r w:rsidR="00842649">
        <w:rPr>
          <w:rFonts w:eastAsia="Calibri"/>
        </w:rPr>
        <w:t xml:space="preserve">were confirmed </w:t>
      </w:r>
      <w:r w:rsidR="009B205E">
        <w:rPr>
          <w:rFonts w:eastAsia="Calibri"/>
        </w:rPr>
        <w:t>as</w:t>
      </w:r>
      <w:r>
        <w:rPr>
          <w:rFonts w:eastAsia="Calibri"/>
        </w:rPr>
        <w:t xml:space="preserve"> deep SSIs</w:t>
      </w:r>
      <w:r w:rsidR="00260A17">
        <w:rPr>
          <w:rFonts w:eastAsia="Calibri"/>
        </w:rPr>
        <w:t xml:space="preserve"> (PHE criteria)</w:t>
      </w:r>
      <w:r>
        <w:rPr>
          <w:rFonts w:eastAsia="Calibri"/>
        </w:rPr>
        <w:t xml:space="preserve"> caused by MSSA </w:t>
      </w:r>
      <w:r w:rsidR="001A45E9">
        <w:rPr>
          <w:rFonts w:eastAsia="Calibri"/>
        </w:rPr>
        <w:t xml:space="preserve">within 90 days of surgery </w:t>
      </w:r>
      <w:r w:rsidR="00B025D5">
        <w:rPr>
          <w:rFonts w:eastAsia="Calibri"/>
        </w:rPr>
        <w:t>(</w:t>
      </w:r>
      <w:r>
        <w:rPr>
          <w:rFonts w:eastAsia="Calibri"/>
        </w:rPr>
        <w:t xml:space="preserve">8 (0.13%) in the anaemia arm; 18 (0.14%) in the infection arm). There was no evidence of a difference between the two arms (adjusted OR 1.01, 95% CI 0.42 to 2.46, p=0.98). </w:t>
      </w:r>
      <w:r w:rsidR="00524F90">
        <w:rPr>
          <w:rFonts w:eastAsia="Calibri"/>
        </w:rPr>
        <w:t xml:space="preserve"> T</w:t>
      </w:r>
      <w:r w:rsidR="00524F90" w:rsidRPr="00524F90">
        <w:rPr>
          <w:rFonts w:eastAsia="Calibri"/>
        </w:rPr>
        <w:t xml:space="preserve">he trust-level </w:t>
      </w:r>
      <w:r w:rsidR="00CE43AD" w:rsidRPr="00035759">
        <w:t>intracluster correlation coefficient</w:t>
      </w:r>
      <w:r w:rsidR="00524F90" w:rsidRPr="00524F90">
        <w:rPr>
          <w:rFonts w:eastAsia="Calibri"/>
        </w:rPr>
        <w:t xml:space="preserve"> was negligible (&lt;0.0001, with similarly small </w:t>
      </w:r>
      <w:r w:rsidR="008F4587">
        <w:rPr>
          <w:rFonts w:eastAsia="Calibri"/>
        </w:rPr>
        <w:t xml:space="preserve">95% CI </w:t>
      </w:r>
      <w:r w:rsidR="00524F90" w:rsidRPr="00524F90">
        <w:rPr>
          <w:rFonts w:eastAsia="Calibri"/>
        </w:rPr>
        <w:t>limits</w:t>
      </w:r>
      <w:r w:rsidR="00524F90">
        <w:rPr>
          <w:rFonts w:eastAsia="Calibri"/>
        </w:rPr>
        <w:t>)</w:t>
      </w:r>
      <w:r w:rsidR="00524F90" w:rsidRPr="00524F90">
        <w:rPr>
          <w:rFonts w:eastAsia="Calibri"/>
        </w:rPr>
        <w:t xml:space="preserve">.  </w:t>
      </w:r>
    </w:p>
    <w:p w14:paraId="431208EA" w14:textId="646912E9" w:rsidR="00D76E63" w:rsidRDefault="00B57DFF" w:rsidP="00327B6F">
      <w:pPr>
        <w:tabs>
          <w:tab w:val="left" w:pos="3255"/>
        </w:tabs>
        <w:spacing w:line="480" w:lineRule="auto"/>
        <w:rPr>
          <w:rFonts w:eastAsia="Calibri"/>
        </w:rPr>
      </w:pPr>
      <w:r>
        <w:rPr>
          <w:rFonts w:eastAsia="Calibri"/>
        </w:rPr>
        <w:t>A</w:t>
      </w:r>
      <w:r w:rsidR="00D76E63">
        <w:rPr>
          <w:rFonts w:eastAsia="Calibri"/>
        </w:rPr>
        <w:t xml:space="preserve"> breakdown of transfusion and SSI rate by type of procedure (THR or TKR)</w:t>
      </w:r>
      <w:r>
        <w:rPr>
          <w:rFonts w:eastAsia="Calibri"/>
        </w:rPr>
        <w:t xml:space="preserve"> is provided in </w:t>
      </w:r>
      <w:r>
        <w:rPr>
          <w:rFonts w:eastAsia="Calibri"/>
        </w:rPr>
        <w:fldChar w:fldCharType="begin"/>
      </w:r>
      <w:r>
        <w:rPr>
          <w:rFonts w:eastAsia="Calibri"/>
        </w:rPr>
        <w:instrText xml:space="preserve"> REF _Ref71541170 \h </w:instrText>
      </w:r>
      <w:r w:rsidR="00327B6F">
        <w:rPr>
          <w:rFonts w:eastAsia="Calibri"/>
        </w:rPr>
        <w:instrText xml:space="preserve"> \* MERGEFORMAT </w:instrText>
      </w:r>
      <w:r>
        <w:rPr>
          <w:rFonts w:eastAsia="Calibri"/>
        </w:rPr>
      </w:r>
      <w:r>
        <w:rPr>
          <w:rFonts w:eastAsia="Calibri"/>
        </w:rPr>
        <w:fldChar w:fldCharType="separate"/>
      </w:r>
      <w:r w:rsidR="005F7BCC">
        <w:t xml:space="preserve">Table </w:t>
      </w:r>
      <w:r w:rsidR="005F7BCC">
        <w:rPr>
          <w:noProof/>
        </w:rPr>
        <w:t>6</w:t>
      </w:r>
      <w:r>
        <w:rPr>
          <w:rFonts w:eastAsia="Calibri"/>
        </w:rPr>
        <w:fldChar w:fldCharType="end"/>
      </w:r>
      <w:r>
        <w:rPr>
          <w:rFonts w:eastAsia="Calibri"/>
        </w:rPr>
        <w:t>.</w:t>
      </w:r>
    </w:p>
    <w:p w14:paraId="6F44AE77" w14:textId="4337EE0E" w:rsidR="00163656" w:rsidRDefault="00BD3F1A" w:rsidP="00327B6F">
      <w:pPr>
        <w:tabs>
          <w:tab w:val="left" w:pos="3255"/>
        </w:tabs>
        <w:spacing w:line="480" w:lineRule="auto"/>
        <w:rPr>
          <w:rFonts w:eastAsia="Calibri"/>
        </w:rPr>
      </w:pPr>
      <w:r>
        <w:rPr>
          <w:rFonts w:eastAsia="Calibri"/>
        </w:rPr>
        <w:t>None</w:t>
      </w:r>
      <w:r w:rsidR="0050087A">
        <w:rPr>
          <w:rFonts w:eastAsia="Calibri"/>
        </w:rPr>
        <w:t xml:space="preserve"> of the secondary outcomes showed </w:t>
      </w:r>
      <w:r>
        <w:rPr>
          <w:rFonts w:eastAsia="Calibri"/>
        </w:rPr>
        <w:t xml:space="preserve">a </w:t>
      </w:r>
      <w:r w:rsidR="0050087A">
        <w:rPr>
          <w:rFonts w:eastAsia="Calibri"/>
        </w:rPr>
        <w:t xml:space="preserve">statistically significant difference between the </w:t>
      </w:r>
      <w:r w:rsidR="00544974">
        <w:rPr>
          <w:rFonts w:eastAsia="Calibri"/>
        </w:rPr>
        <w:t>trial</w:t>
      </w:r>
      <w:r w:rsidR="0050087A">
        <w:rPr>
          <w:rFonts w:eastAsia="Calibri"/>
        </w:rPr>
        <w:t xml:space="preserve"> arms</w:t>
      </w:r>
      <w:r w:rsidR="00163656">
        <w:rPr>
          <w:rFonts w:eastAsia="Calibri"/>
        </w:rPr>
        <w:t xml:space="preserve"> (</w:t>
      </w:r>
      <w:r w:rsidR="00F30AEE">
        <w:rPr>
          <w:rFonts w:eastAsia="Calibri"/>
        </w:rPr>
        <w:fldChar w:fldCharType="begin"/>
      </w:r>
      <w:r w:rsidR="00F30AEE">
        <w:rPr>
          <w:rFonts w:eastAsia="Calibri"/>
        </w:rPr>
        <w:instrText xml:space="preserve"> REF _Ref66702591 \h </w:instrText>
      </w:r>
      <w:r w:rsidR="00327B6F">
        <w:rPr>
          <w:rFonts w:eastAsia="Calibri"/>
        </w:rPr>
        <w:instrText xml:space="preserve"> \* MERGEFORMAT </w:instrText>
      </w:r>
      <w:r w:rsidR="00F30AEE">
        <w:rPr>
          <w:rFonts w:eastAsia="Calibri"/>
        </w:rPr>
      </w:r>
      <w:r w:rsidR="00F30AEE">
        <w:rPr>
          <w:rFonts w:eastAsia="Calibri"/>
        </w:rPr>
        <w:fldChar w:fldCharType="separate"/>
      </w:r>
      <w:r w:rsidR="005F7BCC">
        <w:t xml:space="preserve">Table </w:t>
      </w:r>
      <w:r w:rsidR="005F7BCC">
        <w:rPr>
          <w:noProof/>
        </w:rPr>
        <w:t>5</w:t>
      </w:r>
      <w:r w:rsidR="00F30AEE">
        <w:rPr>
          <w:rFonts w:eastAsia="Calibri"/>
        </w:rPr>
        <w:fldChar w:fldCharType="end"/>
      </w:r>
      <w:r w:rsidR="00163656">
        <w:rPr>
          <w:rFonts w:eastAsia="Calibri"/>
        </w:rPr>
        <w:t>)</w:t>
      </w:r>
      <w:r w:rsidR="00F92293">
        <w:rPr>
          <w:rFonts w:eastAsia="Calibri"/>
        </w:rPr>
        <w:t>.</w:t>
      </w:r>
      <w:r w:rsidR="00CF7ECE">
        <w:rPr>
          <w:rFonts w:eastAsia="Calibri"/>
        </w:rPr>
        <w:t xml:space="preserve"> </w:t>
      </w:r>
    </w:p>
    <w:p w14:paraId="6C7C9134" w14:textId="1E2C9142" w:rsidR="00163656" w:rsidRDefault="00163656" w:rsidP="00327B6F">
      <w:pPr>
        <w:pStyle w:val="Heading2"/>
        <w:spacing w:line="480" w:lineRule="auto"/>
        <w:rPr>
          <w:rFonts w:eastAsia="Calibri"/>
        </w:rPr>
      </w:pPr>
      <w:r>
        <w:rPr>
          <w:rFonts w:eastAsia="Calibri"/>
        </w:rPr>
        <w:t>Sensitivity analysis</w:t>
      </w:r>
    </w:p>
    <w:p w14:paraId="399F1478" w14:textId="53B4628E" w:rsidR="00BD3F1A" w:rsidRDefault="00BD3F1A" w:rsidP="00327B6F">
      <w:pPr>
        <w:tabs>
          <w:tab w:val="left" w:pos="3255"/>
        </w:tabs>
        <w:spacing w:line="480" w:lineRule="auto"/>
        <w:rPr>
          <w:rFonts w:eastAsia="Calibri"/>
        </w:rPr>
      </w:pPr>
      <w:r>
        <w:rPr>
          <w:rFonts w:eastAsia="Calibri"/>
        </w:rPr>
        <w:t xml:space="preserve">Sensitivity analyses undertaken to exclude Trusts that were deemed to be contaminated showed that the results were robust. This result was mirrored in the analysis including </w:t>
      </w:r>
      <w:r w:rsidR="00050218">
        <w:rPr>
          <w:rFonts w:eastAsia="Calibri"/>
        </w:rPr>
        <w:t>ischaemic heart disease</w:t>
      </w:r>
      <w:r>
        <w:rPr>
          <w:rFonts w:eastAsia="Calibri"/>
        </w:rPr>
        <w:t xml:space="preserve"> as an additional covariate. </w:t>
      </w:r>
    </w:p>
    <w:p w14:paraId="5B6EE997" w14:textId="132D276A" w:rsidR="00F50910" w:rsidRDefault="00F53AFE" w:rsidP="00327B6F">
      <w:pPr>
        <w:tabs>
          <w:tab w:val="left" w:pos="3255"/>
        </w:tabs>
        <w:spacing w:line="480" w:lineRule="auto"/>
        <w:rPr>
          <w:rFonts w:eastAsia="Calibri"/>
        </w:rPr>
      </w:pPr>
      <w:r>
        <w:rPr>
          <w:rFonts w:eastAsia="Calibri"/>
        </w:rPr>
        <w:t>Trusts were asked to report all potential cases of SSI for review by the trial IOC. As such</w:t>
      </w:r>
      <w:r w:rsidR="00DE17CE">
        <w:rPr>
          <w:rFonts w:eastAsia="Calibri"/>
        </w:rPr>
        <w:t>,</w:t>
      </w:r>
      <w:r>
        <w:rPr>
          <w:rFonts w:eastAsia="Calibri"/>
        </w:rPr>
        <w:t xml:space="preserve"> over</w:t>
      </w:r>
      <w:r w:rsidR="00DE17CE">
        <w:rPr>
          <w:rFonts w:eastAsia="Calibri"/>
        </w:rPr>
        <w:t>-</w:t>
      </w:r>
      <w:r>
        <w:rPr>
          <w:rFonts w:eastAsia="Calibri"/>
        </w:rPr>
        <w:t>reporting of potential SSIs, not all of which would be confirmed by the IOC</w:t>
      </w:r>
      <w:r w:rsidR="00866D49">
        <w:rPr>
          <w:rFonts w:eastAsia="Calibri"/>
        </w:rPr>
        <w:t>,</w:t>
      </w:r>
      <w:r>
        <w:rPr>
          <w:rFonts w:eastAsia="Calibri"/>
        </w:rPr>
        <w:t xml:space="preserve"> was expected. This w</w:t>
      </w:r>
      <w:r w:rsidR="00067FB7">
        <w:rPr>
          <w:rFonts w:eastAsia="Calibri"/>
        </w:rPr>
        <w:t>as</w:t>
      </w:r>
      <w:r>
        <w:rPr>
          <w:rFonts w:eastAsia="Calibri"/>
        </w:rPr>
        <w:t xml:space="preserve"> observed for most of the 27 participating Trusts</w:t>
      </w:r>
      <w:r w:rsidR="00DE17CE">
        <w:rPr>
          <w:rFonts w:eastAsia="Calibri"/>
        </w:rPr>
        <w:t>; h</w:t>
      </w:r>
      <w:r>
        <w:rPr>
          <w:rFonts w:eastAsia="Calibri"/>
        </w:rPr>
        <w:t>owever, we found a large variation in the reporting of potential SSIs in the trial</w:t>
      </w:r>
      <w:r w:rsidR="000A416D">
        <w:rPr>
          <w:rFonts w:eastAsia="Calibri"/>
        </w:rPr>
        <w:t xml:space="preserve"> (</w:t>
      </w:r>
      <w:r w:rsidR="005F7BCC">
        <w:rPr>
          <w:rFonts w:eastAsia="Calibri"/>
        </w:rPr>
        <w:fldChar w:fldCharType="begin"/>
      </w:r>
      <w:r w:rsidR="005F7BCC">
        <w:rPr>
          <w:rFonts w:eastAsia="Calibri"/>
        </w:rPr>
        <w:instrText xml:space="preserve"> REF _Ref89097170 \h </w:instrText>
      </w:r>
      <w:r w:rsidR="005F7BCC">
        <w:rPr>
          <w:rFonts w:eastAsia="Calibri"/>
        </w:rPr>
      </w:r>
      <w:r w:rsidR="005F7BCC">
        <w:rPr>
          <w:rFonts w:eastAsia="Calibri"/>
        </w:rPr>
        <w:fldChar w:fldCharType="separate"/>
      </w:r>
      <w:r w:rsidR="005F7BCC">
        <w:t xml:space="preserve">Table </w:t>
      </w:r>
      <w:r w:rsidR="005F7BCC">
        <w:rPr>
          <w:noProof/>
        </w:rPr>
        <w:t>4</w:t>
      </w:r>
      <w:r w:rsidR="005F7BCC">
        <w:rPr>
          <w:rFonts w:eastAsia="Calibri"/>
        </w:rPr>
        <w:fldChar w:fldCharType="end"/>
      </w:r>
      <w:r w:rsidR="005F7BCC">
        <w:rPr>
          <w:rFonts w:eastAsia="Calibri"/>
        </w:rPr>
        <w:t xml:space="preserve"> </w:t>
      </w:r>
      <w:r w:rsidR="00C8611F">
        <w:rPr>
          <w:rFonts w:eastAsia="Calibri"/>
        </w:rPr>
        <w:t>and</w:t>
      </w:r>
      <w:r w:rsidR="005F7BCC">
        <w:rPr>
          <w:rFonts w:eastAsia="Calibri"/>
        </w:rPr>
        <w:t xml:space="preserve"> </w:t>
      </w:r>
      <w:r w:rsidR="00E842C1">
        <w:rPr>
          <w:rFonts w:eastAsia="Calibri"/>
        </w:rPr>
        <w:t>S</w:t>
      </w:r>
      <w:r w:rsidR="005F7BCC">
        <w:rPr>
          <w:rFonts w:eastAsia="Calibri"/>
        </w:rPr>
        <w:t xml:space="preserve">upplementary </w:t>
      </w:r>
      <w:r w:rsidR="00E842C1">
        <w:rPr>
          <w:rFonts w:eastAsia="Calibri"/>
        </w:rPr>
        <w:t>F</w:t>
      </w:r>
      <w:r w:rsidR="005F7BCC">
        <w:rPr>
          <w:rFonts w:eastAsia="Calibri"/>
        </w:rPr>
        <w:t>iles 2 and 3</w:t>
      </w:r>
      <w:r w:rsidR="000A416D">
        <w:rPr>
          <w:rFonts w:eastAsia="Calibri"/>
        </w:rPr>
        <w:t>)</w:t>
      </w:r>
      <w:r>
        <w:rPr>
          <w:rFonts w:eastAsia="Calibri"/>
        </w:rPr>
        <w:t xml:space="preserve">, with some Trusts (n=4) reporting no </w:t>
      </w:r>
      <w:r w:rsidR="00DE17CE">
        <w:rPr>
          <w:rFonts w:eastAsia="Calibri"/>
        </w:rPr>
        <w:t xml:space="preserve">suspected </w:t>
      </w:r>
      <w:r>
        <w:rPr>
          <w:rFonts w:eastAsia="Calibri"/>
        </w:rPr>
        <w:t>SSIs, and some Trusts (n=</w:t>
      </w:r>
      <w:r w:rsidR="00DE17CE">
        <w:rPr>
          <w:rFonts w:eastAsia="Calibri"/>
        </w:rPr>
        <w:t>5</w:t>
      </w:r>
      <w:r>
        <w:rPr>
          <w:rFonts w:eastAsia="Calibri"/>
        </w:rPr>
        <w:t xml:space="preserve">) having all of their </w:t>
      </w:r>
      <w:r w:rsidR="00DE17CE">
        <w:rPr>
          <w:rFonts w:eastAsia="Calibri"/>
        </w:rPr>
        <w:t xml:space="preserve">suspected </w:t>
      </w:r>
      <w:r>
        <w:rPr>
          <w:rFonts w:eastAsia="Calibri"/>
        </w:rPr>
        <w:t>SSIs confirmed by the IOC, raising concerns of selective reporting</w:t>
      </w:r>
      <w:r w:rsidR="00CF7ECE">
        <w:rPr>
          <w:rFonts w:eastAsia="Calibri"/>
        </w:rPr>
        <w:t>.</w:t>
      </w:r>
      <w:r>
        <w:rPr>
          <w:rFonts w:eastAsia="Calibri"/>
        </w:rPr>
        <w:t xml:space="preserve"> </w:t>
      </w:r>
      <w:r w:rsidR="00866D49">
        <w:rPr>
          <w:rFonts w:eastAsia="Calibri"/>
        </w:rPr>
        <w:t xml:space="preserve">A similar degree of variation and </w:t>
      </w:r>
      <w:r w:rsidR="000F54F1">
        <w:rPr>
          <w:rFonts w:eastAsia="Calibri"/>
        </w:rPr>
        <w:t>possible under</w:t>
      </w:r>
      <w:r w:rsidR="00DE17CE">
        <w:rPr>
          <w:rFonts w:eastAsia="Calibri"/>
        </w:rPr>
        <w:t>-</w:t>
      </w:r>
      <w:r w:rsidR="000F54F1">
        <w:rPr>
          <w:rFonts w:eastAsia="Calibri"/>
        </w:rPr>
        <w:t xml:space="preserve">reporting was also apparent </w:t>
      </w:r>
      <w:r w:rsidR="00866D49">
        <w:rPr>
          <w:rFonts w:eastAsia="Calibri"/>
        </w:rPr>
        <w:t>for</w:t>
      </w:r>
      <w:r w:rsidR="000F54F1">
        <w:rPr>
          <w:rFonts w:eastAsia="Calibri"/>
        </w:rPr>
        <w:t xml:space="preserve"> </w:t>
      </w:r>
      <w:r w:rsidR="00A3796C">
        <w:rPr>
          <w:rFonts w:eastAsia="Calibri"/>
        </w:rPr>
        <w:t xml:space="preserve">the </w:t>
      </w:r>
      <w:r w:rsidR="000F54F1">
        <w:rPr>
          <w:rFonts w:eastAsia="Calibri"/>
        </w:rPr>
        <w:t>blood transfusion</w:t>
      </w:r>
      <w:r w:rsidR="00866D49">
        <w:rPr>
          <w:rFonts w:eastAsia="Calibri"/>
        </w:rPr>
        <w:t xml:space="preserve"> outcome</w:t>
      </w:r>
      <w:r w:rsidR="00F44E7E">
        <w:rPr>
          <w:rFonts w:eastAsia="Calibri"/>
        </w:rPr>
        <w:t xml:space="preserve"> (</w:t>
      </w:r>
      <w:r w:rsidR="00C8611F">
        <w:rPr>
          <w:rFonts w:eastAsia="Calibri"/>
        </w:rPr>
        <w:t xml:space="preserve">Table 4 and </w:t>
      </w:r>
      <w:r w:rsidR="00E842C1">
        <w:rPr>
          <w:rFonts w:eastAsia="Calibri"/>
        </w:rPr>
        <w:t>S</w:t>
      </w:r>
      <w:r w:rsidR="00F44E7E">
        <w:rPr>
          <w:rFonts w:eastAsia="Calibri"/>
        </w:rPr>
        <w:t xml:space="preserve">upplementary </w:t>
      </w:r>
      <w:r w:rsidR="00E842C1">
        <w:rPr>
          <w:rFonts w:eastAsia="Calibri"/>
        </w:rPr>
        <w:t>F</w:t>
      </w:r>
      <w:r w:rsidR="00F44E7E">
        <w:rPr>
          <w:rFonts w:eastAsia="Calibri"/>
        </w:rPr>
        <w:t>ile</w:t>
      </w:r>
      <w:r w:rsidR="00C8611F">
        <w:rPr>
          <w:rFonts w:eastAsia="Calibri"/>
        </w:rPr>
        <w:t>s 2 and</w:t>
      </w:r>
      <w:r w:rsidR="00F44E7E">
        <w:rPr>
          <w:rFonts w:eastAsia="Calibri"/>
        </w:rPr>
        <w:t xml:space="preserve"> 3</w:t>
      </w:r>
      <w:r w:rsidR="00CF7ECE">
        <w:rPr>
          <w:rFonts w:eastAsia="Calibri"/>
        </w:rPr>
        <w:t xml:space="preserve">). </w:t>
      </w:r>
      <w:r w:rsidR="000F54F1">
        <w:rPr>
          <w:rFonts w:eastAsia="Calibri"/>
        </w:rPr>
        <w:t>There were three Trusts that reported no patients requiring a blood transfusion</w:t>
      </w:r>
      <w:r>
        <w:rPr>
          <w:rFonts w:eastAsia="Calibri"/>
        </w:rPr>
        <w:t xml:space="preserve">. </w:t>
      </w:r>
      <w:r w:rsidR="000F54F1">
        <w:rPr>
          <w:rFonts w:eastAsia="Calibri"/>
        </w:rPr>
        <w:t xml:space="preserve">Due to this, it was decided post-hoc to undertake sensitivity analyses, where the primary models were rerun excluding the sites that had reported no transfusions/infections. </w:t>
      </w:r>
      <w:r w:rsidR="0099635F">
        <w:rPr>
          <w:rFonts w:eastAsia="Calibri"/>
        </w:rPr>
        <w:t>R</w:t>
      </w:r>
      <w:r w:rsidR="000F54F1">
        <w:rPr>
          <w:rFonts w:eastAsia="Calibri"/>
        </w:rPr>
        <w:t>esults were robust</w:t>
      </w:r>
      <w:r w:rsidR="0099635F">
        <w:rPr>
          <w:rFonts w:eastAsia="Calibri"/>
        </w:rPr>
        <w:t xml:space="preserve"> (</w:t>
      </w:r>
      <w:r>
        <w:rPr>
          <w:rFonts w:eastAsia="Calibri"/>
        </w:rPr>
        <w:fldChar w:fldCharType="begin"/>
      </w:r>
      <w:r>
        <w:rPr>
          <w:rFonts w:eastAsia="Calibri"/>
        </w:rPr>
        <w:instrText xml:space="preserve"> REF _Ref66702591 \h </w:instrText>
      </w:r>
      <w:r w:rsidR="00327B6F">
        <w:rPr>
          <w:rFonts w:eastAsia="Calibri"/>
        </w:rPr>
        <w:instrText xml:space="preserve"> \* MERGEFORMAT </w:instrText>
      </w:r>
      <w:r>
        <w:rPr>
          <w:rFonts w:eastAsia="Calibri"/>
        </w:rPr>
      </w:r>
      <w:r>
        <w:rPr>
          <w:rFonts w:eastAsia="Calibri"/>
        </w:rPr>
        <w:fldChar w:fldCharType="separate"/>
      </w:r>
      <w:r w:rsidR="005F7BCC">
        <w:t xml:space="preserve">Table </w:t>
      </w:r>
      <w:r w:rsidR="005F7BCC">
        <w:rPr>
          <w:noProof/>
        </w:rPr>
        <w:t>5</w:t>
      </w:r>
      <w:r>
        <w:rPr>
          <w:rFonts w:eastAsia="Calibri"/>
        </w:rPr>
        <w:fldChar w:fldCharType="end"/>
      </w:r>
      <w:r w:rsidR="0099635F">
        <w:rPr>
          <w:rFonts w:eastAsia="Calibri"/>
        </w:rPr>
        <w:t>)</w:t>
      </w:r>
      <w:r w:rsidR="000F54F1">
        <w:rPr>
          <w:rFonts w:eastAsia="Calibri"/>
        </w:rPr>
        <w:t xml:space="preserve">.  </w:t>
      </w:r>
    </w:p>
    <w:p w14:paraId="4663A50D" w14:textId="61B1F608" w:rsidR="000A416D" w:rsidRPr="000A416D" w:rsidRDefault="000A416D" w:rsidP="00327B6F">
      <w:pPr>
        <w:pStyle w:val="Heading2"/>
        <w:spacing w:line="480" w:lineRule="auto"/>
      </w:pPr>
      <w:r>
        <w:t>Costs</w:t>
      </w:r>
    </w:p>
    <w:p w14:paraId="5301C0B4" w14:textId="32EB12F3" w:rsidR="004A1C8B" w:rsidRPr="004A1C8B" w:rsidRDefault="004A1C8B" w:rsidP="00327B6F">
      <w:pPr>
        <w:spacing w:line="480" w:lineRule="auto"/>
      </w:pPr>
      <w:r>
        <w:t xml:space="preserve">Participating in the QIST collaboratives incurred a mean cost of £37,164 (SD 8,446) per Trust for the 11 Trusts in the anaemia </w:t>
      </w:r>
      <w:r w:rsidR="00BD3F1A">
        <w:t xml:space="preserve">arm </w:t>
      </w:r>
      <w:r>
        <w:t>and £37,638 (SD 9,850)</w:t>
      </w:r>
      <w:r w:rsidRPr="007D61CA">
        <w:t xml:space="preserve"> </w:t>
      </w:r>
      <w:r>
        <w:t xml:space="preserve">for the 16 Trusts in the infection </w:t>
      </w:r>
      <w:r w:rsidR="00BD3F1A">
        <w:t>arm</w:t>
      </w:r>
      <w:r>
        <w:t>. Total costs for running the QICs were</w:t>
      </w:r>
      <w:r w:rsidRPr="007D61CA">
        <w:t xml:space="preserve"> </w:t>
      </w:r>
      <w:r>
        <w:t>£395,618. As almost all point estimates for postoperative outcomes were</w:t>
      </w:r>
      <w:r w:rsidR="005E1FEE">
        <w:t xml:space="preserve"> the same or </w:t>
      </w:r>
      <w:r w:rsidR="00223EEA">
        <w:t>slightly</w:t>
      </w:r>
      <w:r>
        <w:t xml:space="preserve"> worse in the respective intervention arms, there were no cost savings related to the measured outcomes to be realised. </w:t>
      </w:r>
    </w:p>
    <w:p w14:paraId="3E783294" w14:textId="0514BDDD" w:rsidR="0079214B" w:rsidRDefault="007833AC" w:rsidP="00327B6F">
      <w:pPr>
        <w:pStyle w:val="Heading1"/>
        <w:spacing w:line="480" w:lineRule="auto"/>
      </w:pPr>
      <w:r w:rsidRPr="0050087A">
        <w:t>Discussion</w:t>
      </w:r>
    </w:p>
    <w:p w14:paraId="323B1D45" w14:textId="79F24870" w:rsidR="00EF16FA" w:rsidRPr="00A942D6" w:rsidRDefault="00B006AC" w:rsidP="00327B6F">
      <w:pPr>
        <w:spacing w:line="480" w:lineRule="auto"/>
        <w:rPr>
          <w:rFonts w:eastAsiaTheme="majorEastAsia" w:cstheme="minorHAnsi"/>
        </w:rPr>
      </w:pPr>
      <w:r>
        <w:t xml:space="preserve">Quality improvement collaborative methodology incorporates many facilitators for overcoming barriers to clinical guideline implementation. </w:t>
      </w:r>
      <w:r w:rsidR="00E700DB">
        <w:t>This large</w:t>
      </w:r>
      <w:r w:rsidR="0076408B">
        <w:t>-</w:t>
      </w:r>
      <w:r w:rsidR="00E700DB">
        <w:t xml:space="preserve">scale trial of QICs found </w:t>
      </w:r>
      <w:r w:rsidR="0079214B">
        <w:t xml:space="preserve">evidence </w:t>
      </w:r>
      <w:r w:rsidR="00E700DB">
        <w:t xml:space="preserve">that collaboratives </w:t>
      </w:r>
      <w:r w:rsidR="005B14D6">
        <w:t xml:space="preserve">may </w:t>
      </w:r>
      <w:r w:rsidR="0079214B">
        <w:t>b</w:t>
      </w:r>
      <w:r w:rsidR="00E700DB">
        <w:t>e</w:t>
      </w:r>
      <w:r w:rsidR="0079214B" w:rsidRPr="0050087A">
        <w:t xml:space="preserve"> successful in implementing change in </w:t>
      </w:r>
      <w:r w:rsidR="0079214B" w:rsidRPr="0050087A">
        <w:rPr>
          <w:rFonts w:eastAsiaTheme="majorEastAsia" w:cstheme="minorHAnsi"/>
        </w:rPr>
        <w:t>preoperative elective orthopaedics</w:t>
      </w:r>
      <w:r w:rsidR="00E700DB" w:rsidRPr="00E700DB">
        <w:t xml:space="preserve"> </w:t>
      </w:r>
      <w:r w:rsidR="00E700DB">
        <w:t>in the NHS,</w:t>
      </w:r>
      <w:r w:rsidR="0079214B">
        <w:t xml:space="preserve"> though variation across Trusts</w:t>
      </w:r>
      <w:r w:rsidR="00E700DB">
        <w:t xml:space="preserve"> was seen</w:t>
      </w:r>
      <w:r w:rsidR="0079214B" w:rsidRPr="0050087A">
        <w:t xml:space="preserve">. </w:t>
      </w:r>
      <w:r>
        <w:t>However, d</w:t>
      </w:r>
      <w:r w:rsidR="0079214B">
        <w:t>espite</w:t>
      </w:r>
      <w:r w:rsidR="0079214B" w:rsidRPr="0050087A">
        <w:rPr>
          <w:rFonts w:eastAsiaTheme="majorEastAsia" w:cstheme="minorHAnsi"/>
        </w:rPr>
        <w:t xml:space="preserve"> </w:t>
      </w:r>
      <w:r w:rsidR="00EB3ADE" w:rsidRPr="002A5BF2">
        <w:t>implement</w:t>
      </w:r>
      <w:r w:rsidR="00EB3ADE">
        <w:t>ation rates</w:t>
      </w:r>
      <w:r w:rsidR="00EB3ADE" w:rsidRPr="002A5BF2">
        <w:t xml:space="preserve"> </w:t>
      </w:r>
      <w:r w:rsidR="00EB3ADE">
        <w:t>of</w:t>
      </w:r>
      <w:r w:rsidR="00EB3ADE" w:rsidRPr="00C47031">
        <w:t xml:space="preserve"> </w:t>
      </w:r>
      <w:r w:rsidR="00EB3ADE" w:rsidRPr="00374E50">
        <w:t>73.7</w:t>
      </w:r>
      <w:r w:rsidR="00EB3ADE" w:rsidRPr="00C47031">
        <w:t xml:space="preserve">% </w:t>
      </w:r>
      <w:r w:rsidR="00EB3ADE">
        <w:t xml:space="preserve">and 61.1% being achieved </w:t>
      </w:r>
      <w:r w:rsidR="00EB3ADE" w:rsidRPr="00C47031">
        <w:t>in the infection and anaemia arm</w:t>
      </w:r>
      <w:r w:rsidR="00EB3ADE">
        <w:t>s respectively,</w:t>
      </w:r>
      <w:r w:rsidR="0079214B" w:rsidRPr="0050087A">
        <w:rPr>
          <w:rFonts w:eastAsiaTheme="majorEastAsia" w:cstheme="minorHAnsi"/>
        </w:rPr>
        <w:t xml:space="preserve"> improved patient outcomes</w:t>
      </w:r>
      <w:r w:rsidR="00EB3ADE">
        <w:rPr>
          <w:rFonts w:eastAsiaTheme="majorEastAsia" w:cstheme="minorHAnsi"/>
        </w:rPr>
        <w:t xml:space="preserve"> were not observed</w:t>
      </w:r>
      <w:r w:rsidR="0079214B" w:rsidRPr="0050087A">
        <w:rPr>
          <w:rFonts w:eastAsiaTheme="majorEastAsia" w:cstheme="minorHAnsi"/>
        </w:rPr>
        <w:t>.</w:t>
      </w:r>
      <w:r w:rsidR="00E700DB">
        <w:rPr>
          <w:rFonts w:eastAsiaTheme="majorEastAsia" w:cstheme="minorHAnsi"/>
        </w:rPr>
        <w:t xml:space="preserve"> </w:t>
      </w:r>
      <w:r w:rsidR="00E700DB">
        <w:t>A</w:t>
      </w:r>
      <w:r w:rsidR="002748D0">
        <w:t xml:space="preserve"> </w:t>
      </w:r>
      <w:r w:rsidR="002748D0" w:rsidRPr="0050087A">
        <w:t xml:space="preserve">high </w:t>
      </w:r>
      <w:r w:rsidR="00E700DB">
        <w:t xml:space="preserve">early </w:t>
      </w:r>
      <w:r w:rsidR="002748D0" w:rsidRPr="0050087A">
        <w:t xml:space="preserve">dropout rate </w:t>
      </w:r>
      <w:r w:rsidR="003317D4">
        <w:t>(</w:t>
      </w:r>
      <w:r w:rsidR="00824043">
        <w:t xml:space="preserve">14 of 41 randomised sites, </w:t>
      </w:r>
      <w:r w:rsidR="003317D4">
        <w:t>34</w:t>
      </w:r>
      <w:r w:rsidR="00BD3F1A">
        <w:t>.1</w:t>
      </w:r>
      <w:r w:rsidR="003317D4">
        <w:t xml:space="preserve">%) </w:t>
      </w:r>
      <w:r w:rsidR="00E700DB">
        <w:t>and s</w:t>
      </w:r>
      <w:r w:rsidR="00604D56" w:rsidRPr="00035759">
        <w:t xml:space="preserve">ubstantial variation in individual team engagement </w:t>
      </w:r>
      <w:r w:rsidR="00A942D6">
        <w:t xml:space="preserve">with the collaborative </w:t>
      </w:r>
      <w:r w:rsidR="00604D56" w:rsidRPr="00035759">
        <w:t xml:space="preserve">were also observed. </w:t>
      </w:r>
      <w:r w:rsidR="00F15459" w:rsidRPr="0050087A">
        <w:t xml:space="preserve">These are important considerations for planning future collaboratives or trials </w:t>
      </w:r>
      <w:r w:rsidR="00604D56" w:rsidRPr="00035759">
        <w:t xml:space="preserve">in this area. </w:t>
      </w:r>
    </w:p>
    <w:p w14:paraId="6DCF871C" w14:textId="69C9110B" w:rsidR="00EF16FA" w:rsidRPr="00035759" w:rsidRDefault="0052514D" w:rsidP="00327B6F">
      <w:pPr>
        <w:spacing w:line="480" w:lineRule="auto"/>
      </w:pPr>
      <w:r>
        <w:t>C</w:t>
      </w:r>
      <w:r w:rsidR="00EF16FA" w:rsidRPr="00035759">
        <w:t xml:space="preserve">ollaborative methodology is </w:t>
      </w:r>
      <w:r>
        <w:t>typically</w:t>
      </w:r>
      <w:r w:rsidR="00EF16FA" w:rsidRPr="00035759">
        <w:t xml:space="preserve"> pragmatic in how individual elements of a</w:t>
      </w:r>
      <w:r w:rsidR="00F91BBD">
        <w:t xml:space="preserve">n </w:t>
      </w:r>
      <w:r w:rsidR="00EF16FA" w:rsidRPr="00035759">
        <w:t xml:space="preserve">intervention are implemented locally. This is </w:t>
      </w:r>
      <w:r w:rsidR="0036144E">
        <w:t>intended</w:t>
      </w:r>
      <w:r w:rsidR="0036144E" w:rsidRPr="00035759">
        <w:t xml:space="preserve"> </w:t>
      </w:r>
      <w:r w:rsidR="00EF16FA" w:rsidRPr="00035759">
        <w:t xml:space="preserve">to improve local adoption and sustainability by allowing </w:t>
      </w:r>
      <w:r w:rsidR="0036144E">
        <w:t>each</w:t>
      </w:r>
      <w:r w:rsidR="0036144E" w:rsidRPr="00035759">
        <w:t xml:space="preserve"> </w:t>
      </w:r>
      <w:r w:rsidR="00EF16FA" w:rsidRPr="00035759">
        <w:t>team to consider</w:t>
      </w:r>
      <w:r w:rsidR="0036144E">
        <w:t xml:space="preserve"> their </w:t>
      </w:r>
      <w:r w:rsidR="00F91BBD">
        <w:t>local</w:t>
      </w:r>
      <w:r w:rsidR="0036144E">
        <w:t xml:space="preserve"> circumstances,</w:t>
      </w:r>
      <w:r w:rsidR="00EF16FA" w:rsidRPr="00035759">
        <w:t xml:space="preserve"> unknown to QIC organisers</w:t>
      </w:r>
      <w:r w:rsidR="0036144E">
        <w:t>,</w:t>
      </w:r>
      <w:r w:rsidR="00EF16FA" w:rsidRPr="00035759">
        <w:t xml:space="preserve"> when developing local pathways. </w:t>
      </w:r>
      <w:r w:rsidR="00EF16FA" w:rsidRPr="00AD29B0">
        <w:t>This</w:t>
      </w:r>
      <w:r w:rsidR="00A942D6">
        <w:t xml:space="preserve"> pragmatic</w:t>
      </w:r>
      <w:r w:rsidR="00EF16FA" w:rsidRPr="00AD29B0">
        <w:t xml:space="preserve"> approach was taken for QIST. For example, in the QIST: Anaemia collaborative</w:t>
      </w:r>
      <w:r w:rsidR="00956377">
        <w:t>,</w:t>
      </w:r>
      <w:r w:rsidR="00EF16FA" w:rsidRPr="00AD29B0">
        <w:t xml:space="preserve"> teams were advised on the merits of screening and the existing evidence ba</w:t>
      </w:r>
      <w:r w:rsidR="00EF16FA" w:rsidRPr="00035759">
        <w:t>se. However, we did not stipulate haemoglobin or ferritin thresholds for diagnosing anaemia or guiding treatment</w:t>
      </w:r>
      <w:r w:rsidR="00956377">
        <w:t>, n</w:t>
      </w:r>
      <w:r w:rsidR="00EF16FA" w:rsidRPr="00035759">
        <w:t>or did we stipulate the type, duration or timing of iron treatment.</w:t>
      </w:r>
      <w:r w:rsidR="00094845">
        <w:t xml:space="preserve"> This </w:t>
      </w:r>
      <w:r w:rsidR="00C921DE">
        <w:t>resulted in</w:t>
      </w:r>
      <w:r w:rsidR="00094845">
        <w:t xml:space="preserve"> </w:t>
      </w:r>
      <w:r w:rsidR="00C921DE">
        <w:t xml:space="preserve">variation in </w:t>
      </w:r>
      <w:r w:rsidR="00F91BBD">
        <w:t xml:space="preserve">how </w:t>
      </w:r>
      <w:r w:rsidR="00C921DE">
        <w:t>preoperative anaemia pathways</w:t>
      </w:r>
      <w:r w:rsidR="00F91BBD">
        <w:t xml:space="preserve"> were</w:t>
      </w:r>
      <w:r w:rsidR="00C921DE">
        <w:t xml:space="preserve"> </w:t>
      </w:r>
      <w:r w:rsidR="00C32976">
        <w:t>implemented</w:t>
      </w:r>
      <w:r w:rsidR="00C921DE">
        <w:t xml:space="preserve"> at different sites</w:t>
      </w:r>
      <w:r w:rsidR="00C32976">
        <w:t>. This variation</w:t>
      </w:r>
      <w:r>
        <w:t xml:space="preserve"> goes some way to</w:t>
      </w:r>
      <w:r w:rsidR="00C921DE">
        <w:t xml:space="preserve"> </w:t>
      </w:r>
      <w:r>
        <w:t>explain why</w:t>
      </w:r>
      <w:r w:rsidR="00C921DE">
        <w:t xml:space="preserve"> 48.7% of anaemic patients (defined by WHO criteria) receiv</w:t>
      </w:r>
      <w:r>
        <w:t>ed</w:t>
      </w:r>
      <w:r w:rsidR="00C921DE">
        <w:t xml:space="preserve"> no treatment. Th</w:t>
      </w:r>
      <w:r>
        <w:t>is</w:t>
      </w:r>
      <w:r w:rsidR="00C32976">
        <w:t xml:space="preserve"> </w:t>
      </w:r>
      <w:r w:rsidR="00C921DE">
        <w:t xml:space="preserve">may </w:t>
      </w:r>
      <w:r w:rsidR="00F91BBD">
        <w:t>have</w:t>
      </w:r>
      <w:r w:rsidR="00C921DE">
        <w:t xml:space="preserve"> reduce</w:t>
      </w:r>
      <w:r w:rsidR="00F91BBD">
        <w:t>d</w:t>
      </w:r>
      <w:r w:rsidR="00C921DE">
        <w:t xml:space="preserve"> the effect </w:t>
      </w:r>
      <w:r w:rsidR="00C32976">
        <w:t xml:space="preserve">size of introducing anaemia pathways </w:t>
      </w:r>
      <w:r w:rsidR="00F040A7">
        <w:t xml:space="preserve">on </w:t>
      </w:r>
      <w:r w:rsidR="00C921DE">
        <w:t>postoperative outcomes.</w:t>
      </w:r>
      <w:r w:rsidR="001A0BF4">
        <w:t xml:space="preserve"> </w:t>
      </w:r>
      <w:r w:rsidR="00F040A7">
        <w:t>Similarly, i</w:t>
      </w:r>
      <w:r w:rsidR="00EF16FA" w:rsidRPr="00035759">
        <w:t>n the QIST: Infection collaborative</w:t>
      </w:r>
      <w:r w:rsidR="00956377">
        <w:t>,</w:t>
      </w:r>
      <w:r w:rsidR="00EF16FA" w:rsidRPr="00035759">
        <w:t xml:space="preserve"> teams were advised </w:t>
      </w:r>
      <w:r w:rsidR="00956377">
        <w:t>that five</w:t>
      </w:r>
      <w:r w:rsidR="00EF16FA" w:rsidRPr="00035759">
        <w:t xml:space="preserve"> days of nasal decolonisation </w:t>
      </w:r>
      <w:r w:rsidR="0037208B" w:rsidRPr="00035759">
        <w:t>w</w:t>
      </w:r>
      <w:r w:rsidR="0037208B">
        <w:t>ere</w:t>
      </w:r>
      <w:r w:rsidR="0037208B" w:rsidRPr="00035759">
        <w:t xml:space="preserve"> </w:t>
      </w:r>
      <w:r w:rsidR="00EF16FA" w:rsidRPr="00035759">
        <w:t xml:space="preserve">required, ideally spanning the date of surgery. However, </w:t>
      </w:r>
      <w:r w:rsidR="00C9280C">
        <w:t xml:space="preserve">within the trial </w:t>
      </w:r>
      <w:r w:rsidR="00EF16FA" w:rsidRPr="00035759">
        <w:t>there was no stipulation around timing of decolonisation</w:t>
      </w:r>
      <w:r>
        <w:t>,</w:t>
      </w:r>
      <w:r w:rsidR="00EF16FA" w:rsidRPr="00035759">
        <w:t xml:space="preserve"> or which products were used. This led to variation in how the pathways were implemented at each site, which </w:t>
      </w:r>
      <w:r w:rsidR="0050087A">
        <w:t>in</w:t>
      </w:r>
      <w:r w:rsidR="00EF16FA" w:rsidRPr="00035759">
        <w:t xml:space="preserve"> turn may </w:t>
      </w:r>
      <w:r w:rsidR="00956377">
        <w:t>have impacted</w:t>
      </w:r>
      <w:r w:rsidR="00EF16FA" w:rsidRPr="00035759">
        <w:t xml:space="preserve"> the primary </w:t>
      </w:r>
      <w:r w:rsidR="00C32976">
        <w:t xml:space="preserve">and secondary </w:t>
      </w:r>
      <w:r w:rsidR="00EF16FA" w:rsidRPr="00035759">
        <w:t xml:space="preserve">outcomes </w:t>
      </w:r>
      <w:r w:rsidR="00C32976">
        <w:t>for</w:t>
      </w:r>
      <w:r w:rsidR="00EF16FA" w:rsidRPr="00035759">
        <w:t xml:space="preserve"> this </w:t>
      </w:r>
      <w:r w:rsidR="00C32976">
        <w:t xml:space="preserve">arm of the </w:t>
      </w:r>
      <w:r w:rsidR="00EF16FA" w:rsidRPr="00035759">
        <w:t>trial. Conversely</w:t>
      </w:r>
      <w:r w:rsidR="00956377">
        <w:t>,</w:t>
      </w:r>
      <w:r w:rsidR="00EF16FA" w:rsidRPr="00035759">
        <w:t xml:space="preserve"> </w:t>
      </w:r>
      <w:r w:rsidR="00EF16FA" w:rsidRPr="00AD29B0">
        <w:t xml:space="preserve">this pragmatic approach reflects </w:t>
      </w:r>
      <w:r w:rsidR="00956377">
        <w:t>practical</w:t>
      </w:r>
      <w:r w:rsidR="00EF16FA" w:rsidRPr="00AD29B0">
        <w:t xml:space="preserve"> implementation of a</w:t>
      </w:r>
      <w:r>
        <w:t xml:space="preserve"> pathway</w:t>
      </w:r>
      <w:r w:rsidR="00EF16FA" w:rsidRPr="00AD29B0">
        <w:t xml:space="preserve">, so reports real-world effectiveness. </w:t>
      </w:r>
    </w:p>
    <w:p w14:paraId="1EBF670E" w14:textId="1FE4F3AE" w:rsidR="00EF16FA" w:rsidRPr="00AD29B0" w:rsidRDefault="00590C17" w:rsidP="00327B6F">
      <w:pPr>
        <w:spacing w:line="480" w:lineRule="auto"/>
      </w:pPr>
      <w:r w:rsidRPr="00035759">
        <w:t xml:space="preserve">Previous quality improvement trials in the UK have highlighted the importance of incorporating dedicated time and resources for improvement at a local level and training to develop generic quality improvement capabilities </w:t>
      </w:r>
      <w:r w:rsidRPr="00AD29B0">
        <w:fldChar w:fldCharType="begin" w:fldLock="1"/>
      </w:r>
      <w:r w:rsidR="00810165">
        <w:instrText>ADDIN CSL_CITATION {"citationItems":[{"id":"ITEM-1","itemData":{"DOI":"10.1186/s13012-018-0823-9","ISSN":"1748-5908","PMID":"30424818","abstract":"Improving the quality and safety of perioperative care is a global priority. The Enhanced Peri-Operative Care for High-risk patients (EPOCH) trial was a stepped-wedge cluster randomised trial of a quality improvement (QI) programme to improve 90-day survival for patients undergoing emergency abdominal surgery in 93 hospitals in the UK National Health Service. The aim of this process evaluation is to describe how the EPOCH intervention was planned, delivered and received, at both cluster and local hospital levels. The QI programme comprised of two interventions: a care pathway and a QI intervention to aid pathway implementation, focussed on stakeholder engagement, QI teamwork, data analysis and feedback and applying the model for improvement. Face-to-face training and online resources were provided to support senior clinicians in each hospital (QI leads) to lead improvement. For this evaluation, we collated programme activity data, administered an exit questionnaire to QI leads and collected ethnographic data in six hospitals. Qualitative data were analysed with thematic or comparative analysis; quantitative data were analysed using descriptive statistics. The EPOCH trial did not demonstrate any improvement in survival or length of hospital stay. Whilst the QI programme was delivered as planned at the cluster level, self-assessed intervention fidelity at the hospital level was variable. Seventy-seven of 93 hospitals responded to the exit questionnaire (60 from a single QI lead response on behalf of the team); 33 respondents described following the QI intervention closely (35%) and there were only 11 of 37 care pathway processes that &gt; 50% of respondents reported attempting to improve. Analysis of qualitative data suggests QI leads were often attempting to deliver the intervention in challenging contexts: the social aspects of change such as engaging colleagues were identified as important but often difficult and clinicians frequently attempted to lead change with limited time or organisational resources. Significant organisational challenges faced by QI leads shaped their choice of pathway components to focus on and implementation approaches taken. Adaptation causing loss of intervention fidelity was therefore due to rational choices made by those implementing change within constrained contexts. Future large-scale QI programmes will need to focus on dedicating local time and resources to improvement as well as on training to develop QI capabilities. ISRC…","author":[{"dropping-particle":"","family":"Stephens","given":"T. J.","non-dropping-particle":"","parse-names":false,"suffix":""},{"dropping-particle":"","family":"Peden","given":"C. J.","non-dropping-particle":"","parse-names":false,"suffix":""},{"dropping-particle":"","family":"Pearse","given":"R. M.","non-dropping-particle":"","parse-names":false,"suffix":""},{"dropping-particle":"","family":"Shaw","given":"S. E.","non-dropping-particle":"","parse-names":false,"suffix":""},{"dropping-particle":"","family":"Abbott","given":"T. E. F.","non-dropping-particle":"","parse-names":false,"suffix":""},{"dropping-particle":"","family":"Jones","given":"E. L.","non-dropping-particle":"","parse-names":false,"suffix":""},{"dropping-particle":"","family":"Kocman","given":"D.","non-dropping-particle":"","parse-names":false,"suffix":""},{"dropping-particle":"","family":"Martin","given":"G.","non-dropping-particle":"","parse-names":false,"suffix":""}],"container-title":"Implementation Science","id":"ITEM-1","issue":"1","issued":{"date-parts":[["2018"]]},"page":"142","title":"Improving care at scale: process evaluation of a multi-component quality improvement intervention to reduce mortality after emergency abdominal surgery (EPOCH trial)","type":"article-journal","volume":"13"},"uris":["http://www.mendeley.com/documents/?uuid=6702a6cb-0e46-4b0c-bee0-887b1aa11b57"]},{"id":"ITEM-2","itemData":{"DOI":"10.1016/S0140-6736(18)32521-2","ISSN":"1474547X","PMID":"31030986","abstract":"Background: Emergency abdominal surgery is associated with poor patient outcomes. We studied the effectiveness of a national quality improvement (QI) programme to implement a care pathway to improve survival for these patients. Methods: We did a stepped-wedge cluster-randomised trial of patients aged 40 years or older undergoing emergency open major abdominal surgery. Eligible UK National Health Service (NHS) hospitals (those that had an emergency general surgical service, a substantial volume of emergency abdominal surgery cases, and contributed data to the National Emergency Laparotomy Audit) were organised into 15 geographical clusters and commenced the QI programme in a random order, based on a computer-generated random sequence, over an 85-week period with one geographical cluster commencing the intervention every 5 weeks from the second to the 16th time period. Patients were masked to the study group, but it was not possible to mask hospital staff or investigators. The primary outcome measure was mortality within 90 days of surgery. Analyses were done on an intention-to-treat basis. This study is registered with the ISRCTN registry, number ISRCTN80682973. Findings: Treatment took place between March 3, 2014, and Oct 19, 2015. 22 754 patients were assessed for elegibility. Of 15 873 eligible patients from 93 NHS hospitals, primary outcome data were analysed for 8482 patients in the usual care group and 7374 in the QI group. Eight patients in the usual care group and nine patients in the QI group were not included in the analysis because of missing primary outcome data. The primary outcome of 90-day mortality occurred in 1210 (16%) patients in the QI group compared with 1393 (16%) patients in the usual care group (HR 1·11, 0·96–1·28). Interpretation: No survival benefit was observed from this QI programme to implement a care pathway for patients undergoing emergency abdominal surgery. Future QI programmes should ensure that teams have both the time and resources needed to improve patient care. Funding: National Institute for Health Research Health Services and Delivery Research Programme.","author":[{"dropping-particle":"","family":"Peden","given":"Carol J.","non-dropping-particle":"","parse-names":false,"suffix":""},{"dropping-particle":"","family":"Stephens","given":"Tim","non-dropping-particle":"","parse-names":false,"suffix":""},{"dropping-particle":"","family":"Martin","given":"Graham","non-dropping-particle":"","parse-names":false,"suffix":""},{"dropping-particle":"","family":"Kahan","given":"Brennan C.","non-dropping-particle":"","parse-names":false,"suffix":""},{"dropping-particle":"","family":"Thomson","given":"Ann","non-dropping-particle":"","parse-names":false,"suffix":""},{"dropping-particle":"","family":"Rivett","given":"Kate","non-dropping-particle":"","parse-names":false,"suffix":""},{"dropping-particle":"","family":"Wells","given":"Duncan","non-dropping-particle":"","parse-names":false,"suffix":""},{"dropping-particle":"","family":"Richardson","given":"Gerry","non-dropping-particle":"","parse-names":false,"suffix":""},{"dropping-particle":"","family":"Kerry","given":"Sally","non-dropping-particle":"","parse-names":false,"suffix":""},{"dropping-particle":"","family":"Bion","given":"Julian","non-dropping-particle":"","parse-names":false,"suffix":""},{"dropping-particle":"","family":"Pearse","given":"Rupert M.","non-dropping-particle":"","parse-names":false,"suffix":""},{"dropping-particle":"","family":"Peden","given":"Carol","non-dropping-particle":"","parse-names":false,"suffix":""},{"dropping-particle":"","family":"Kahan","given":"Brennan","non-dropping-particle":"","parse-names":false,"suffix":""},{"dropping-particle":"","family":"Brett","given":"Stephen","non-dropping-particle":"","parse-names":false,"suffix":""},{"dropping-particle":"","family":"Ackland","given":"Gareth","non-dropping-particle":"","parse-names":false,"suffix":""},{"dropping-particle":"","family":"Grocott","given":"Mike","non-dropping-particle":"","parse-names":false,"suffix":""},{"dropping-particle":"","family":"Holt","given":"Peter","non-dropping-particle":"","parse-names":false,"suffix":""},{"dropping-particle":"","family":"Robert","given":"Glenn","non-dropping-particle":"","parse-names":false,"suffix":""},{"dropping-particle":"","family":"Ukoumunne","given":"Obioha","non-dropping-particle":"","parse-names":false,"suffix":""},{"dropping-particle":"","family":"Waring","given":"Justin","non-dropping-particle":"","parse-names":false,"suffix":""},{"dropping-particle":"","family":"Everingham","given":"Kirsty","non-dropping-particle":"","parse-names":false,"suffix":""},{"dropping-particle":"","family":"Phull","given":"Mandeep","non-dropping-particle":"","parse-names":false,"suffix":""},{"dropping-particle":"","family":"Cromwell","given":"David","non-dropping-particle":"","parse-names":false,"suffix":""},{"dropping-particle":"","family":"Evley","given":"Rachel","non-dropping-particle":"","parse-names":false,"suffix":""},{"dropping-particle":"","family":"Lilford","given":"Richard","non-dropping-particle":"","parse-names":false,"suffix":""},{"dropping-particle":"","family":"Kocman","given":"David","non-dropping-particle":"","parse-names":false,"suffix":""},{"dropping-particle":"","family":"Asaria","given":"Miqdad","non-dropping-particle":"","parse-names":false,"suffix":""},{"dropping-particle":"","family":"Tarrant","given":"Carolyn","non-dropping-particle":"","parse-names":false,"suffix":""},{"dropping-particle":"","family":"Yang","given":"Fan","non-dropping-particle":"","parse-names":false,"suffix":""},{"dropping-particle":"","family":"Abraham","given":"Ajit","non-dropping-particle":"","parse-names":false,"suffix":""},{"dropping-particle":"","family":"Bothma","given":"Pieter","non-dropping-particle":"","parse-names":false,"suffix":""},{"dropping-particle":"","family":"Conway","given":"Daniel","non-dropping-particle":"","parse-names":false,"suffix":""},{"dropping-particle":"","family":"Stapleton","given":"Clare","non-dropping-particle":"","parse-names":false,"suffix":""},{"dropping-particle":"","family":"Edwards","given":"Mark","non-dropping-particle":"","parse-names":false,"suffix":""},{"dropping-particle":"","family":"Minto","given":"Gary","non-dropping-particle":"","parse-names":false,"suffix":""},{"dropping-particle":"","family":"Saunders","given":"David","non-dropping-particle":"","parse-names":false,"suffix":""},{"dropping-particle":"","family":"Owen","given":"Tom","non-dropping-particle":"","parse-names":false,"suffix":""},{"dropping-particle":"","family":"Waldmann","given":"Carl","non-dropping-particle":"","parse-names":false,"suffix":""},{"dropping-particle":"","family":"Hayden","given":"Paul","non-dropping-particle":"","parse-names":false,"suffix":""},{"dropping-particle":"","family":"Gillies","given":"Michael","non-dropping-particle":"","parse-names":false,"suffix":""},{"dropping-particle":"","family":"Tighe","given":"Sean","non-dropping-particle":"","parse-names":false,"suffix":""},{"dropping-particle":"","family":"Smith","given":"Neil","non-dropping-particle":"","parse-names":false,"suffix":""},{"dropping-particle":"","family":"Mythen","given":"Monty","non-dropping-particle":"","parse-names":false,"suffix":""},{"dropping-particle":"","family":"Murray","given":"David","non-dropping-particle":"","parse-names":false,"suffix":""},{"dropping-particle":"","family":"Lobo","given":"Dileep","non-dropping-particle":"","parse-names":false,"suffix":""},{"dropping-particle":"","family":"Leuwer","given":"Martin","non-dropping-particle":"","parse-names":false,"suffix":""},{"dropping-particle":"","family":"Kirk-Bayley","given":"Justin","non-dropping-particle":"","parse-names":false,"suffix":""},{"dropping-particle":"","family":"Howell","given":"Simon","non-dropping-particle":"","parse-names":false,"suffix":""},{"dropping-particle":"","family":"Gordon","given":"Anthony","non-dropping-particle":"","parse-names":false,"suffix":""},{"dropping-particle":"","family":"Anderson","given":"Iain","non-dropping-particle":"","parse-names":false,"suffix":""},{"dropping-particle":"","family":"Lourtie","given":"Jose","non-dropping-particle":"","parse-names":false,"suffix":""},{"dropping-particle":"","family":"Walker","given":"Simon","non-dropping-particle":"","parse-names":false,"suffix":""},{"dropping-particle":"","family":"Drake","given":"Sharon","non-dropping-particle":"","parse-names":false,"suffix":""},{"dropping-particle":"","family":"Murray","given":"Dave","non-dropping-particle":"","parse-names":false,"suffix":""},{"dropping-particle":"","family":"Watson","given":"Nick","non-dropping-particle":"","parse-names":false,"suffix":""},{"dropping-particle":"","family":"Szakmany","given":"Tamas","non-dropping-particle":"","parse-names":false,"suffix":""},{"dropping-particle":"","family":"Sutcliffe","given":"Robert","non-dropping-particle":"","parse-names":false,"suffix":""},{"dropping-particle":"","family":"Mahajan","given":"Ravi","non-dropping-particle":"","parse-names":false,"suffix":""},{"dropping-particle":"","family":"Girling","given":"Alan","non-dropping-particle":"","parse-names":false,"suffix":""},{"dropping-particle":"","family":"Forbes","given":"Gordon","non-dropping-particle":"","parse-names":false,"suffix":""},{"dropping-particle":"","family":"Faiz","given":"Omar","non-dropping-particle":"","parse-names":false,"suffix":""},{"dropping-particle":"","family":"Blunt","given":"Mark","non-dropping-particle":"","parse-names":false,"suffix":""},{"dropping-particle":"","family":"Singh","given":"Surjait","non-dropping-particle":"","parse-names":false,"suffix":""},{"dropping-particle":"","family":"Steel","given":"Alistair","non-dropping-particle":"","parse-names":false,"suffix":""},{"dropping-particle":"","family":"Wong","given":"Kate","non-dropping-particle":"","parse-names":false,"suffix":""},{"dropping-particle":"","family":"Cabreros","given":"Leilani","non-dropping-particle":"","parse-names":false,"suffix":""},{"dropping-particle":"","family":"Chitre","given":"Vivek","non-dropping-particle":"","parse-names":false,"suffix":""},{"dropping-particle":"","family":"Obideyi","given":"Ayodele","non-dropping-particle":"","parse-names":false,"suffix":""},{"dropping-particle":"","family":"Ali","given":"Dhiraj","non-dropping-particle":"","parse-names":false,"suffix":""},{"dropping-particle":"","family":"Blenk","given":"Karl","non-dropping-particle":"","parse-names":false,"suffix":""},{"dropping-particle":"","family":"Broad","given":"Dan","non-dropping-particle":"","parse-names":false,"suffix":""},{"dropping-particle":"","family":"Brodbeck","given":"Andreas","non-dropping-particle":"","parse-names":false,"suffix":""},{"dropping-particle":"","family":"Dumpala","given":"Rajesh","non-dropping-particle":"","parse-names":false,"suffix":""},{"dropping-particle":"","family":"Engel","given":"Arnth","non-dropping-particle":"","parse-names":false,"suffix":""},{"dropping-particle":"","family":"Ganepola","given":"Ranjit","non-dropping-particle":"","parse-names":false,"suffix":""},{"dropping-particle":"","family":"Garg","given":"Sudha","non-dropping-particle":"","parse-names":false,"suffix":""},{"dropping-particle":"","family":"Gay","given":"Mike","non-dropping-particle":"","parse-names":false,"suffix":""},{"dropping-particle":"","family":"Karlikowsk","given":"Michael","non-dropping-particle":"","parse-names":false,"suffix":""},{"dropping-particle":"","family":"Lams","given":"Edward","non-dropping-particle":"","parse-names":false,"suffix":""},{"dropping-particle":"","family":"Millican","given":"Dean","non-dropping-particle":"","parse-names":false,"suffix":""},{"dropping-particle":"","family":"Misane","given":"Inga","non-dropping-particle":"","parse-names":false,"suffix":""},{"dropping-particle":"","family":"Mull","given":"Ajaya","non-dropping-particle":"","parse-names":false,"suffix":""},{"dropping-particle":"","family":"Naik","given":"Veena","non-dropping-particle":"","parse-names":false,"suffix":""},{"dropping-particle":"","family":"Pushpa","given":"Nathan","non-dropping-particle":"","parse-names":false,"suffix":""},{"dropping-particle":"","family":"Nutt","given":"Chris","non-dropping-particle":"","parse-names":false,"suffix":""},{"dropping-particle":"","family":"Sagadai","given":"Saravanna","non-dropping-particle":"","parse-names":false,"suffix":""},{"dropping-particle":"","family":"Stuart","given":"Hazel","non-dropping-particle":"","parse-names":false,"suffix":""},{"dropping-particle":"","family":"Noble","given":"Paul","non-dropping-particle":"","parse-names":false,"suffix":""},{"dropping-particle":"","family":"Velde","given":"Niko","non-dropping-particle":"Van De","parse-names":false,"suffix":""},{"dropping-particle":"","family":"Hudson","given":"Liam","non-dropping-particle":"","parse-names":false,"suffix":""},{"dropping-particle":"","family":"Benlloch","given":"Raoul","non-dropping-particle":"","parse-names":false,"suffix":""},{"dropping-particle":"","family":"Singh","given":"Satish","non-dropping-particle":"","parse-names":false,"suffix":""},{"dropping-particle":"","family":"Verma","given":"Karan","non-dropping-particle":"","parse-names":false,"suffix":""},{"dropping-particle":"","family":"Laba","given":"Damian","non-dropping-particle":"","parse-names":false,"suffix":""},{"dropping-particle":"","family":"Carmichael","given":"Jack","non-dropping-particle":"","parse-names":false,"suffix":""},{"dropping-particle":"","family":"Richardson","given":"Peter","non-dropping-particle":"","parse-names":false,"suffix":""},{"dropping-particle":"","family":"Wilson","given":"Graham","non-dropping-particle":"","parse-names":false,"suffix":""},{"dropping-particle":"","family":"Lewis","given":"Ricky","non-dropping-particle":"","parse-names":false,"suffix":""},{"dropping-particle":"","family":"Surendran","given":"Karthik","non-dropping-particle":"","parse-names":false,"suffix":""},{"dropping-particle":"","family":"El-Damatty","given":"Essam","non-dropping-particle":"","parse-names":false,"suffix":""},{"dropping-particle":"","family":"Gurung","given":"Sarada","non-dropping-particle":"","parse-names":false,"suffix":""},{"dropping-particle":"","family":"Raulusaite","given":"Ilona","non-dropping-particle":"","parse-names":false,"suffix":""},{"dropping-particle":"","family":"Gerstina","given":"Nabua","non-dropping-particle":"","parse-names":false,"suffix":""},{"dropping-particle":"","family":"Rochester","given":"Chloe","non-dropping-particle":"","parse-names":false,"suffix":""},{"dropping-particle":"","family":"Kuldip","given":"Rai","non-dropping-particle":"","parse-names":false,"suffix":""},{"dropping-particle":"","family":"Lindner","given":"Andrew","non-dropping-particle":"","parse-names":false,"suffix":""},{"dropping-particle":"","family":"Murray","given":"Therese","non-dropping-particle":"","parse-names":false,"suffix":""},{"dropping-particle":"","family":"Vivek","given":"Chitre","non-dropping-particle":"","parse-names":false,"suffix":""},{"dropping-particle":"","family":"Lal","given":"Roshan","non-dropping-particle":"","parse-names":false,"suffix":""},{"dropping-particle":"","family":"Downey","given":"Sarah","non-dropping-particle":"","parse-names":false,"suffix":""},{"dropping-particle":"","family":"Velchuru","given":"Vamsi","non-dropping-particle":"","parse-names":false,"suffix":""},{"dropping-particle":"","family":"Aryal","given":"Kamal","non-dropping-particle":"","parse-names":false,"suffix":""},{"dropping-particle":"","family":"Guruswamy","given":"Raman","non-dropping-particle":"","parse-names":false,"suffix":""},{"dropping-particle":"","family":"Shankar","given":"Kirosh","non-dropping-particle":"","parse-names":false,"suffix":""},{"dropping-particle":"","family":"Porter","given":"Helen","non-dropping-particle":"","parse-names":false,"suffix":""},{"dropping-particle":"","family":"Tutton","given":"Matthew","non-dropping-particle":"","parse-names":false,"suffix":""},{"dropping-particle":"","family":"Agostini","given":"Helen","non-dropping-particle":"","parse-names":false,"suffix":""},{"dropping-particle":"","family":"Fletcher","given":"Simon","non-dropping-particle":"","parse-names":false,"suffix":""},{"dropping-particle":"","family":"Wharton","given":"Richard","non-dropping-particle":"","parse-names":false,"suffix":""},{"dropping-particle":"","family":"Hutchinson","given":"Steve","non-dropping-particle":"","parse-names":false,"suffix":""},{"dropping-particle":"","family":"Maiya","given":"Bala","non-dropping-particle":"","parse-names":false,"suffix":""},{"dropping-particle":"","family":"Howard-Griffin","given":"Richard","non-dropping-particle":"","parse-names":false,"suffix":""},{"dropping-particle":"","family":"Crabtree","given":"Michael","non-dropping-particle":"","parse-names":false,"suffix":""},{"dropping-particle":"","family":"Kushakovsky","given":"Vlad","non-dropping-particle":"","parse-names":false,"suffix":""},{"dropping-particle":"","family":"Omer","given":"Abdel","non-dropping-particle":"","parse-names":false,"suffix":""},{"dropping-particle":"","family":"Nadarajavan","given":"Senthil","non-dropping-particle":"","parse-names":false,"suffix":""},{"dropping-particle":"","family":"Bell","given":"Stephanie","non-dropping-particle":"","parse-names":false,"suffix":""},{"dropping-particle":"","family":"Patil","given":"Vishal","non-dropping-particle":"","parse-names":false,"suffix":""},{"dropping-particle":"","family":"Jah","given":"Asif","non-dropping-particle":"","parse-names":false,"suffix":""},{"dropping-particle":"","family":"Mahroof","given":"Razeen","non-dropping-particle":"","parse-names":false,"suffix":""},{"dropping-particle":"","family":"Watson","given":"Nicholas","non-dropping-particle":"","parse-names":false,"suffix":""},{"dropping-particle":"","family":"Tansley","given":"John","non-dropping-particle":"","parse-names":false,"suffix":""},{"dropping-particle":"","family":"Moncaster","given":"Gareth","non-dropping-particle":"","parse-names":false,"suffix":""},{"dropping-particle":"","family":"Flint","given":"Neil","non-dropping-particle":"","parse-names":false,"suffix":""},{"dropping-particle":"","family":"Miller","given":"Andrew","non-dropping-particle":"","parse-names":false,"suffix":""},{"dropping-particle":"","family":"Wood","given":"Marcus","non-dropping-particle":"","parse-names":false,"suffix":""},{"dropping-particle":"","family":"Prematie","given":"Andreou","non-dropping-particle":"","parse-names":false,"suffix":""},{"dropping-particle":"","family":"Roth","given":"Sally","non-dropping-particle":"","parse-names":false,"suffix":""},{"dropping-particle":"","family":"Bowery","given":"Sarah","non-dropping-particle":"","parse-names":false,"suffix":""},{"dropping-particle":"","family":"Hales","given":"Dawn","non-dropping-particle":"","parse-names":false,"suffix":""},{"dropping-particle":"","family":"Shah","given":"Tanuja","non-dropping-particle":"","parse-names":false,"suffix":""},{"dropping-particle":"","family":"Tierney","given":"Gill","non-dropping-particle":"","parse-names":false,"suffix":""},{"dropping-particle":"","family":"Morris","given":"Craig","non-dropping-particle":"","parse-names":false,"suffix":""},{"dropping-particle":"","family":"Iftikhar","given":"Syed","non-dropping-particle":"","parse-names":false,"suffix":""},{"dropping-particle":"","family":"Shukla","given":"Amit","non-dropping-particle":"","parse-names":false,"suffix":""},{"dropping-particle":"","family":"O'Dwyer","given":"Grainne","non-dropping-particle":"","parse-names":false,"suffix":""},{"dropping-particle":"","family":"Wolverson","given":"Adam","non-dropping-particle":"","parse-names":false,"suffix":""},{"dropping-particle":"","family":"Adams","given":"Ferdinand","non-dropping-particle":"","parse-names":false,"suffix":""},{"dropping-particle":"","family":"Perrin-Brown","given":"Laura","non-dropping-particle":"","parse-names":false,"suffix":""},{"dropping-particle":"","family":"White","given":"Tim","non-dropping-particle":"","parse-names":false,"suffix":""},{"dropping-particle":"","family":"Beavis","given":"Sarah","non-dropping-particle":"","parse-names":false,"suffix":""},{"dropping-particle":"","family":"Banks","given":"Victoria","non-dropping-particle":"","parse-names":false,"suffix":""},{"dropping-particle":"","family":"Abercrombie","given":"John","non-dropping-particle":"","parse-names":false,"suffix":""},{"dropping-particle":"","family":"Mole","given":"Jonathon","non-dropping-particle":"","parse-names":false,"suffix":""},{"dropping-particle":"","family":"Chana","given":"Avninder","non-dropping-particle":"","parse-names":false,"suffix":""},{"dropping-particle":"","family":"Banerjea","given":"Ayan","non-dropping-particle":"","parse-names":false,"suffix":""},{"dropping-particle":"","family":"Humes","given":"David","non-dropping-particle":"","parse-names":false,"suffix":""},{"dropping-particle":"","family":"Dhingsa","given":"Rajpal","non-dropping-particle":"","parse-names":false,"suffix":""},{"dropping-particle":"","family":"Wells","given":"John","non-dropping-particle":"","parse-names":false,"suffix":""},{"dropping-particle":"","family":"Brown","given":"Stephanie","non-dropping-particle":"","parse-names":false,"suffix":""},{"dropping-particle":"","family":"Adegoke","given":"Kenneth","non-dropping-particle":"","parse-names":false,"suffix":""},{"dropping-particle":"","family":"Tofte","given":"Barclay","non-dropping-particle":"","parse-names":false,"suffix":""},{"dropping-particle":"","family":"Alegria","given":"Ana","non-dropping-particle":"","parse-names":false,"suffix":""},{"dropping-particle":"","family":"Natarajan","given":"Nat","non-dropping-particle":"","parse-names":false,"suffix":""},{"dropping-particle":"","family":"Akhtar","given":"Mansoor","non-dropping-particle":"","parse-names":false,"suffix":""},{"dropping-particle":"","family":"Doughan","given":"Samer","non-dropping-particle":"","parse-names":false,"suffix":""},{"dropping-particle":"","family":"Mackinnon","given":"John","non-dropping-particle":"","parse-names":false,"suffix":""},{"dropping-particle":"","family":"Aravind","given":"Biju","non-dropping-particle":"","parse-names":false,"suffix":""},{"dropping-particle":"","family":"Cook","given":"Esther","non-dropping-particle":"","parse-names":false,"suffix":""},{"dropping-particle":"","family":"Snazelle","given":"Mark","non-dropping-particle":"","parse-names":false,"suffix":""},{"dropping-particle":"","family":"Gardner","given":"Matt","non-dropping-particle":"","parse-names":false,"suffix":""},{"dropping-particle":"","family":"Baldwin","given":"Lee","non-dropping-particle":"","parse-names":false,"suffix":""},{"dropping-particle":"","family":"Bailey","given":"Simon","non-dropping-particle":"","parse-names":false,"suffix":""},{"dropping-particle":"","family":"Lawton","given":"Greg","non-dropping-particle":"","parse-names":false,"suffix":""},{"dropping-particle":"","family":"Divekar","given":"Nandita","non-dropping-particle":"","parse-names":false,"suffix":""},{"dropping-particle":"","family":"Kukreja","given":"Neil","non-dropping-particle":"","parse-names":false,"suffix":""},{"dropping-particle":"","family":"Sange","given":"Mansoor","non-dropping-particle":"","parse-names":false,"suffix":""},{"dropping-particle":"","family":"Watson","given":"Mark","non-dropping-particle":"","parse-names":false,"suffix":""},{"dropping-particle":"","family":"Satisha","given":"Mallikarjunappa","non-dropping-particle":"","parse-names":false,"suffix":""},{"dropping-particle":"","family":"Protopapas","given":"Michael","non-dropping-particle":"","parse-names":false,"suffix":""},{"dropping-particle":"","family":"Belagodu","given":"Zakaulla","non-dropping-particle":"","parse-names":false,"suffix":""},{"dropping-particle":"","family":"Sarfi","given":"Shameem","non-dropping-particle":"","parse-names":false,"suffix":""},{"dropping-particle":"","family":"Raju","given":"Pasupathy","non-dropping-particle":"","parse-names":false,"suffix":""},{"dropping-particle":"","family":"Stacey","given":"Brenda","non-dropping-particle":"","parse-names":false,"suffix":""},{"dropping-particle":"","family":"Campbell-Smith","given":"Tim","non-dropping-particle":"","parse-names":false,"suffix":""},{"dropping-particle":"","family":"Parrington","given":"Simon","non-dropping-particle":"","parse-names":false,"suffix":""},{"dropping-particle":"","family":"Desikan","given":"Somi","non-dropping-particle":"","parse-names":false,"suffix":""},{"dropping-particle":"","family":"Brennan","given":"Andrew","non-dropping-particle":"","parse-names":false,"suffix":""},{"dropping-particle":"","family":"Griffith","given":"John","non-dropping-particle":"","parse-names":false,"suffix":""},{"dropping-particle":"","family":"Fletcher","given":"Steve","non-dropping-particle":"","parse-names":false,"suffix":""},{"dropping-particle":"","family":"Farrow","given":"Catherine","non-dropping-particle":"","parse-names":false,"suffix":""},{"dropping-particle":"","family":"Prestwich","given":"Stewart","non-dropping-particle":"","parse-names":false,"suffix":""},{"dropping-particle":"","family":"Graham","given":"Laura","non-dropping-particle":"","parse-names":false,"suffix":""},{"dropping-particle":"","family":"Northey","given":"Martin","non-dropping-particle":"","parse-names":false,"suffix":""},{"dropping-particle":"","family":"Gokhale","given":"Jay","non-dropping-particle":"","parse-names":false,"suffix":""},{"dropping-particle":"","family":"Mosley","given":"Frances","non-dropping-particle":"","parse-names":false,"suffix":""},{"dropping-particle":"","family":"Alexander","given":"Peter","non-dropping-particle":"","parse-names":false,"suffix":""},{"dropping-particle":"","family":"Sharma","given":"Abhiram","non-dropping-particle":"","parse-names":false,"suffix":""},{"dropping-particle":"","family":"Brady","given":"Will","non-dropping-particle":"","parse-names":false,"suffix":""},{"dropping-particle":"","family":"Hopper","given":"John","non-dropping-particle":"","parse-names":false,"suffix":""},{"dropping-particle":"","family":"Hill","given":"Oliver","non-dropping-particle":"","parse-names":false,"suffix":""},{"dropping-particle":"","family":"Varma","given":"Sandeep","non-dropping-particle":"","parse-names":false,"suffix":""},{"dropping-particle":"","family":"Macklin","given":"Christopher","non-dropping-particle":"","parse-names":false,"suffix":""},{"dropping-particle":"","family":"Rose","given":"Alastair","non-dropping-particle":"","parse-names":false,"suffix":""},{"dropping-particle":"","family":"Narula","given":"Harjeet","non-dropping-particle":"","parse-names":false,"suffix":""},{"dropping-particle":"","family":"Buckley","given":"Sarah","non-dropping-particle":"","parse-names":false,"suffix":""},{"dropping-particle":"","family":"Simeson","given":"Karen","non-dropping-particle":"","parse-names":false,"suffix":""},{"dropping-particle":"","family":"Sim","given":"Kevin","non-dropping-particle":"","parse-names":false,"suffix":""},{"dropping-particle":"","family":"Chadwick","given":"Michael","non-dropping-particle":"","parse-names":false,"suffix":""},{"dropping-particle":"","family":"Kuduvalli","given":"Preeti","non-dropping-particle":"","parse-names":false,"suffix":""},{"dropping-particle":"","family":"Dowling","given":"Susan","non-dropping-particle":"","parse-names":false,"suffix":""},{"dropping-particle":"","family":"McCairn","given":"Amanda","non-dropping-particle":"","parse-names":false,"suffix":""},{"dropping-particle":"","family":"Wilson","given":"Lawrence","non-dropping-particle":"","parse-names":false,"suffix":""},{"dropping-particle":"","family":"Vimalchandran","given":"Dale","non-dropping-particle":"","parse-names":false,"suffix":""},{"dropping-particle":"","family":"Jhamatt","given":"Anita","non-dropping-particle":"","parse-names":false,"suffix":""},{"dropping-particle":"","family":"Robin","given":"Nicole","non-dropping-particle":"","parse-names":false,"suffix":""},{"dropping-particle":"","family":"Monk","given":"David","non-dropping-particle":"","parse-names":false,"suffix":""},{"dropping-particle":"","family":"Bottomley","given":"David","non-dropping-particle":"","parse-names":false,"suffix":""},{"dropping-particle":"","family":"Zuzan","given":"Oliver","non-dropping-particle":"","parse-names":false,"suffix":""},{"dropping-particle":"","family":"Welters","given":"Ingeborg","non-dropping-particle":"","parse-names":false,"suffix":""},{"dropping-particle":"","family":"Ross-Anderson","given":"Davina","non-dropping-particle":"","parse-names":false,"suffix":""},{"dropping-particle":"","family":"Knowles","given":"Charles","non-dropping-particle":"","parse-names":false,"suffix":""},{"dropping-particle":"","family":"Bunker","given":"Nick","non-dropping-particle":"","parse-names":false,"suffix":""},{"dropping-particle":"","family":"Hu","given":"Ying","non-dropping-particle":"","parse-names":false,"suffix":""},{"dropping-particle":"","family":"Januszewska","given":"Marta","non-dropping-particle":"","parse-names":false,"suffix":""},{"dropping-particle":"","family":"Bodger","given":"Phoebe","non-dropping-particle":"","parse-names":false,"suffix":""},{"dropping-particle":"","family":"Niebrzegowska","given":"Edyta","non-dropping-particle":"","parse-names":false,"suffix":""},{"dropping-particle":"","family":"Correia","given":"Carmen","non-dropping-particle":"","parse-names":false,"suffix":""},{"dropping-particle":"","family":"Haslop","given":"Richard","non-dropping-particle":"","parse-names":false,"suffix":""},{"dropping-particle":"","family":"Abbott","given":"Tom","non-dropping-particle":"","parse-names":false,"suffix":""},{"dropping-particle":"","family":"Tanqueray","given":"Tabitha","non-dropping-particle":"","parse-names":false,"suffix":""},{"dropping-particle":"","family":"Wijeykoon","given":"Sanjay","non-dropping-particle":"","parse-names":false,"suffix":""},{"dropping-particle":"","family":"Jain","given":"Susan","non-dropping-particle":"","parse-names":false,"suffix":""},{"dropping-particle":"","family":"Full","given":"Jens","non-dropping-particle":"","parse-names":false,"suffix":""},{"dropping-particle":"","family":"Cuming","given":"Tamzin","non-dropping-particle":"","parse-names":false,"suffix":""},{"dropping-particle":"","family":"Bailey","given":"Flora","non-dropping-particle":"","parse-names":false,"suffix":""},{"dropping-particle":"","family":"Chatzimichail","given":"Stelios","non-dropping-particle":"","parse-names":false,"suffix":""},{"dropping-particle":"","family":"Cunha","given":"Pedro","non-dropping-particle":"","parse-names":false,"suffix":""},{"dropping-particle":"","family":"Rehman","given":"Almas","non-dropping-particle":"","parse-names":false,"suffix":""},{"dropping-particle":"","family":"Mohanty","given":"Manab","non-dropping-particle":"","parse-names":false,"suffix":""},{"dropping-particle":"","family":"Radford","given":"Nicola","non-dropping-particle":"","parse-names":false,"suffix":""},{"dropping-particle":"","family":"Mohr","given":"Otto","non-dropping-particle":"","parse-names":false,"suffix":""},{"dropping-particle":"","family":"Patel","given":"Hitesh","non-dropping-particle":"","parse-names":false,"suffix":""},{"dropping-particle":"","family":"Mateo","given":"Dolores","non-dropping-particle":"","parse-names":false,"suffix":""},{"dropping-particle":"","family":"Raj","given":"Ashok","non-dropping-particle":"","parse-names":false,"suffix":""},{"dropping-particle":"","family":"Machesney","given":"Michael","non-dropping-particle":"","parse-names":false,"suffix":""},{"dropping-particle":"","family":"Abdul","given":"Nazar","non-dropping-particle":"","parse-names":false,"suffix":""},{"dropping-particle":"","family":"Jemmet","given":"Kim","non-dropping-particle":"","parse-names":false,"suffix":""},{"dropping-particle":"","family":"Campbell","given":"Marta","non-dropping-particle":"","parse-names":false,"suffix":""},{"dropping-particle":"","family":"Inglis","given":"David","non-dropping-particle":"","parse-names":false,"suffix":""},{"dropping-particle":"","family":"Parker","given":"Thomas","non-dropping-particle":"","parse-names":false,"suffix":""},{"dropping-particle":"","family":"Medici","given":"Thomas","non-dropping-particle":"","parse-names":false,"suffix":""},{"dropping-particle":"","family":"Chan","given":"Peter","non-dropping-particle":"","parse-names":false,"suffix":""},{"dropping-particle":"","family":"Borgeaud","given":"Nathan","non-dropping-particle":"","parse-names":false,"suffix":""},{"dropping-particle":"","family":"Mukherjee","given":"Dipankar","non-dropping-particle":"","parse-names":false,"suffix":""},{"dropping-particle":"","family":"Odejinmi","given":"Oluremi","non-dropping-particle":"","parse-names":false,"suffix":""},{"dropping-particle":"","family":"Jovaisa","given":"Tomas","non-dropping-particle":"","parse-names":false,"suffix":""},{"dropping-particle":"","family":"Harwood","given":"Elizabeth","non-dropping-particle":"","parse-names":false,"suffix":""},{"dropping-particle":"","family":"Moonesinghe","given":"Ramani","non-dropping-particle":"","parse-names":false,"suffix":""},{"dropping-particle":"","family":"Mccullough","given":"Jonathan","non-dropping-particle":"","parse-names":false,"suffix":""},{"dropping-particle":"","family":"Modha","given":"Jigna","non-dropping-particle":"","parse-names":false,"suffix":""},{"dropping-particle":"","family":"Patel","given":"Sanjiv","non-dropping-particle":"","parse-names":false,"suffix":""},{"dropping-particle":"","family":"Limb","given":"James","non-dropping-particle":"","parse-names":false,"suffix":""},{"dropping-particle":"","family":"Bengeri","given":"Sheshagiri","non-dropping-particle":"","parse-names":false,"suffix":""},{"dropping-particle":"","family":"Rafi","given":"Amir","non-dropping-particle":"","parse-names":false,"suffix":""},{"dropping-particle":"","family":"Hall","given":"Elizabeth","non-dropping-particle":"","parse-names":false,"suffix":""},{"dropping-particle":"","family":"Brown","given":"James","non-dropping-particle":"","parse-names":false,"suffix":""},{"dropping-particle":"","family":"Gibson","given":"Bruce","non-dropping-particle":"","parse-names":false,"suffix":""},{"dropping-particle":"","family":"McNelis","given":"Una","non-dropping-particle":"","parse-names":false,"suffix":""},{"dropping-particle":"","family":"Bradburn","given":"Mike","non-dropping-particle":"","parse-names":false,"suffix":""},{"dropping-particle":"","family":"Lawson","given":"Maria","non-dropping-particle":"","parse-names":false,"suffix":""},{"dropping-particle":"","family":"Pick","given":"Sara","non-dropping-particle":"","parse-names":false,"suffix":""},{"dropping-particle":"","family":"Gaughan","given":"Matthew","non-dropping-particle":"","parse-names":false,"suffix":""},{"dropping-particle":"","family":"Browell","given":"David","non-dropping-particle":"","parse-names":false,"suffix":""},{"dropping-particle":"","family":"Linnett","given":"Vanessa","non-dropping-particle":"","parse-names":false,"suffix":""},{"dropping-particle":"","family":"Ritzema","given":"Jenny","non-dropping-particle":"","parse-names":false,"suffix":""},{"dropping-particle":"","family":"O'Loughlin","given":"Paul","non-dropping-particle":"","parse-names":false,"suffix":""},{"dropping-particle":"","family":"Cope","given":"Sean","non-dropping-particle":"","parse-names":false,"suffix":""},{"dropping-particle":"","family":"Corson","given":"John","non-dropping-particle":"","parse-names":false,"suffix":""},{"dropping-particle":"","family":"Roy","given":"Alistair","non-dropping-particle":"","parse-names":false,"suffix":""},{"dropping-particle":"","family":"Furneval","given":"Julie","non-dropping-particle":"","parse-names":false,"suffix":""},{"dropping-particle":"","family":"Holtham","given":"Anitha","non-dropping-particle":"","parse-names":false,"suffix":""},{"dropping-particle":"","family":"Noblett","given":"Sophie","non-dropping-particle":"","parse-names":false,"suffix":""},{"dropping-particle":"","family":"Dawson","given":"Chris","non-dropping-particle":"","parse-names":false,"suffix":""},{"dropping-particle":"","family":"McMenemie","given":"Fiona","non-dropping-particle":"","parse-names":false,"suffix":""},{"dropping-particle":"","family":"Pulsa","given":"Stefan","non-dropping-particle":"","parse-names":false,"suffix":""},{"dropping-particle":"","family":"Clement","given":"Ian","non-dropping-particle":"","parse-names":false,"suffix":""},{"dropping-particle":"","family":"Calder","given":"Verity","non-dropping-particle":"","parse-names":false,"suffix":""},{"dropping-particle":"","family":"Allen","given":"Katherine","non-dropping-particle":"","parse-names":false,"suffix":""},{"dropping-particle":"","family":"Rimmer","given":"Catherine","non-dropping-particle":"","parse-names":false,"suffix":""},{"dropping-particle":"","family":"Reed","given":"Helen","non-dropping-particle":"","parse-names":false,"suffix":""},{"dropping-particle":"","family":"Boyd","given":"Christine","non-dropping-particle":"","parse-names":false,"suffix":""},{"dropping-particle":"","family":"Monkhouse","given":"Diane","non-dropping-particle":"","parse-names":false,"suffix":""},{"dropping-particle":"","family":"Davies","given":"Peter","non-dropping-particle":"","parse-names":false,"suffix":""},{"dropping-particle":"","family":"Mullenheim","given":"Jost","non-dropping-particle":"","parse-names":false,"suffix":""},{"dropping-particle":"","family":"Cirstea","given":"Emanuel","non-dropping-particle":"","parse-names":false,"suffix":""},{"dropping-particle":"","family":"Cain","given":"Martyn","non-dropping-particle":"","parse-names":false,"suffix":""},{"dropping-particle":"","family":"Baillie","given":"Kirsty","non-dropping-particle":"","parse-names":false,"suffix":""},{"dropping-particle":"","family":"Bhowmick","given":"Arnab","non-dropping-particle":"","parse-names":false,"suffix":""},{"dropping-particle":"","family":"Jovestani","given":"Keiarash","non-dropping-particle":"","parse-names":false,"suffix":""},{"dropping-particle":"","family":"Mcmullan","given":"Sean","non-dropping-particle":"","parse-names":false,"suffix":""},{"dropping-particle":"","family":"Durant","given":"Emma","non-dropping-particle":"","parse-names":false,"suffix":""},{"dropping-particle":"","family":"Williams","given":"Alexandra","non-dropping-particle":"","parse-names":false,"suffix":""},{"dropping-particle":"","family":"Doyle","given":"Donna","non-dropping-particle":"","parse-names":false,"suffix":""},{"dropping-particle":"","family":"Cupitt","given":"Jason","non-dropping-particle":"","parse-names":false,"suffix":""},{"dropping-particle":"","family":"Barker","given":"Jonathon","non-dropping-particle":"","parse-names":false,"suffix":""},{"dropping-particle":"","family":"Harper","given":"Nick","non-dropping-particle":"","parse-names":false,"suffix":""},{"dropping-particle":"","family":"Brennan","given":"Emma","non-dropping-particle":"","parse-names":false,"suffix":""},{"dropping-particle":"","family":"Subar","given":"Daren","non-dropping-particle":"","parse-names":false,"suffix":""},{"dropping-particle":"","family":"Shawcross","given":"Robert","non-dropping-particle":"","parse-names":false,"suffix":""},{"dropping-particle":"","family":"Sebastian","given":"Dominic","non-dropping-particle":"","parse-names":false,"suffix":""},{"dropping-particle":"","family":"Patel","given":"Panna","non-dropping-particle":"","parse-names":false,"suffix":""},{"dropping-particle":"","family":"O'Connell","given":"Gillian","non-dropping-particle":"","parse-names":false,"suffix":""},{"dropping-particle":"","family":"Karvonen","given":"Jyrki","non-dropping-particle":"","parse-names":false,"suffix":""},{"dropping-particle":"","family":"Ishaan","given":"Maitra","non-dropping-particle":"","parse-names":false,"suffix":""},{"dropping-particle":"","family":"Hool","given":"Alison","non-dropping-particle":"","parse-names":false,"suffix":""},{"dropping-particle":"","family":"Burns","given":"Karen","non-dropping-particle":"","parse-names":false,"suffix":""},{"dropping-particle":"","family":"Mcarthur","given":"Carol","non-dropping-particle":"","parse-names":false,"suffix":""},{"dropping-particle":"","family":"Stergios","given":"Tezas","non-dropping-particle":"","parse-names":false,"suffix":""},{"dropping-particle":"","family":"Gursevak","given":"Singh","non-dropping-particle":"","parse-names":false,"suffix":""},{"dropping-particle":"","family":"Sonia","given":"Makvana","non-dropping-particle":"","parse-names":false,"suffix":""},{"dropping-particle":"","family":"Pratt","given":"Heather","non-dropping-particle":"","parse-names":false,"suffix":""},{"dropping-particle":"","family":"Lynne","given":"Kaighan","non-dropping-particle":"","parse-names":false,"suffix":""},{"dropping-particle":"","family":"McAfee","given":"Sean","non-dropping-particle":"","parse-names":false,"suffix":""},{"dropping-particle":"","family":"Lewis","given":"Chris","non-dropping-particle":"","parse-names":false,"suffix":""},{"dropping-particle":"","family":"Khalaf","given":"Wael","non-dropping-particle":"","parse-names":false,"suffix":""},{"dropping-particle":"","family":"Coldwell","given":"Chris","non-dropping-particle":"","parse-names":false,"suffix":""},{"dropping-particle":"","family":"Bronder","given":"Christine","non-dropping-particle":"","parse-names":false,"suffix":""},{"dropping-particle":"","family":"Wilkinson","given":"Mark","non-dropping-particle":"","parse-names":false,"suffix":""},{"dropping-particle":"","family":"Davis","given":"Emma","non-dropping-particle":"","parse-names":false,"suffix":""},{"dropping-particle":"","family":"Arnold","given":"Glenn","non-dropping-particle":"","parse-names":false,"suffix":""},{"dropping-particle":"","family":"Ziprin","given":"Paul","non-dropping-particle":"","parse-names":false,"suffix":""},{"dropping-particle":"","family":"Bartlett","given":"Rachel","non-dropping-particle":"","parse-names":false,"suffix":""},{"dropping-particle":"","family":"Stotz","given":"Martin","non-dropping-particle":"","parse-names":false,"suffix":""},{"dropping-particle":"","family":"D'souza","given":"Rovan","non-dropping-particle":"","parse-names":false,"suffix":""},{"dropping-particle":"","family":"Pemberton","given":"Phillippa","non-dropping-particle":"","parse-names":false,"suffix":""},{"dropping-particle":"","family":"Agarwal","given":"Banwari","non-dropping-particle":"","parse-names":false,"suffix":""},{"dropping-particle":"","family":"Sugavanam","given":"Anita","non-dropping-particle":"","parse-names":false,"suffix":""},{"dropping-particle":"","family":"Tan","given":"Melanie","non-dropping-particle":"","parse-names":false,"suffix":""},{"dropping-particle":"","family":"Varcada","given":"Massimo","non-dropping-particle":"","parse-names":false,"suffix":""},{"dropping-particle":"","family":"Lyness","given":"Craig","non-dropping-particle":"","parse-names":false,"suffix":""},{"dropping-particle":"","family":"Thorniley","given":"Andrew","non-dropping-particle":"","parse-names":false,"suffix":""},{"dropping-particle":"","family":"Prabhudesai","given":"Ash","non-dropping-particle":"","parse-names":false,"suffix":""},{"dropping-particle":"","family":"Griffin","given":"Ruth","non-dropping-particle":"","parse-names":false,"suffix":""},{"dropping-particle":"","family":"Vashisht","given":"Shubha","non-dropping-particle":"","parse-names":false,"suffix":""},{"dropping-particle":"","family":"Harris","given":"James","non-dropping-particle":"","parse-names":false,"suffix":""},{"dropping-particle":"","family":"Wakeford","given":"Julie","non-dropping-particle":"","parse-names":false,"suffix":""},{"dropping-particle":"","family":"Vaganov","given":"Sergei","non-dropping-particle":"","parse-names":false,"suffix":""},{"dropping-particle":"","family":"Mohsen","given":"Yasser","non-dropping-particle":"","parse-names":false,"suffix":""},{"dropping-particle":"","family":"Myers","given":"Alister","non-dropping-particle":"","parse-names":false,"suffix":""},{"dropping-particle":"","family":"Iqbal","given":"Qamar","non-dropping-particle":"","parse-names":false,"suffix":""},{"dropping-particle":"","family":"Harris","given":"Simon","non-dropping-particle":"","parse-names":false,"suffix":""},{"dropping-particle":"","family":"Ijaz","given":"Sami","non-dropping-particle":"","parse-names":false,"suffix":""},{"dropping-particle":"","family":"Burrow","given":"James","non-dropping-particle":"","parse-names":false,"suffix":""},{"dropping-particle":"","family":"Rubulotta","given":"Francesca","non-dropping-particle":"","parse-names":false,"suffix":""},{"dropping-particle":"","family":"El-Masry","given":"Nabil","non-dropping-particle":"","parse-names":false,"suffix":""},{"dropping-particle":"","family":"Stranix","given":"Nicola","non-dropping-particle":"","parse-names":false,"suffix":""},{"dropping-particle":"","family":"Rope","given":"Tamsin","non-dropping-particle":"","parse-names":false,"suffix":""},{"dropping-particle":"","family":"Liasis","given":"Lampros","non-dropping-particle":"","parse-names":false,"suffix":""},{"dropping-particle":"","family":"Husain","given":"Tariq","non-dropping-particle":"","parse-names":false,"suffix":""},{"dropping-particle":"","family":"Watfah","given":"Josef","non-dropping-particle":"","parse-names":false,"suffix":""},{"dropping-particle":"","family":"Griffiths","given":"Megan","non-dropping-particle":"","parse-names":false,"suffix":""},{"dropping-particle":"","family":"Warusavitarne","given":"Janindra","non-dropping-particle":"","parse-names":false,"suffix":""},{"dropping-particle":"","family":"Cartwright","given":"Charles","non-dropping-particle":"","parse-names":false,"suffix":""},{"dropping-particle":"","family":"Baxter","given":"Linden","non-dropping-particle":"","parse-names":false,"suffix":""},{"dropping-particle":"","family":"Visavadia","given":"Rakhee","non-dropping-particle":"","parse-names":false,"suffix":""},{"dropping-particle":"","family":"Sim","given":"Malcolm","non-dropping-particle":"","parse-names":false,"suffix":""},{"dropping-particle":"","family":"Wilson","given":"Chris","non-dropping-particle":"","parse-names":false,"suffix":""},{"dropping-particle":"","family":"Harrison","given":"Paul","non-dropping-particle":"","parse-names":false,"suffix":""},{"dropping-particle":"","family":"Williams","given":"Dewi","non-dropping-particle":"","parse-names":false,"suffix":""},{"dropping-particle":"","family":"Bews-Hair","given":"Maria","non-dropping-particle":"","parse-names":false,"suffix":""},{"dropping-particle":"","family":"Wrathall","given":"Wayne","non-dropping-particle":"","parse-names":false,"suffix":""},{"dropping-particle":"","family":"Jardine","given":"Catherine","non-dropping-particle":"","parse-names":false,"suffix":""},{"dropping-particle":"","family":"Mclaren","given":"Paul","non-dropping-particle":"","parse-names":false,"suffix":""},{"dropping-particle":"","family":"Dreyer","given":"Fanus","non-dropping-particle":"","parse-names":false,"suffix":""},{"dropping-particle":"","family":"Collins","given":"Paddy","non-dropping-particle":"","parse-names":false,"suffix":""},{"dropping-particle":"","family":"Edwards","given":"Jennifer","non-dropping-particle":"","parse-names":false,"suffix":""},{"dropping-particle":"","family":"Moug","given":"Susan","non-dropping-particle":"","parse-names":false,"suffix":""},{"dropping-particle":"","family":"Rooney","given":"Kevin","non-dropping-particle":"","parse-names":false,"suffix":""},{"dropping-particle":"","family":"Mcilveen","given":"Erin","non-dropping-particle":"","parse-names":false,"suffix":""},{"dropping-particle":"","family":"Henderson","given":"Steven","non-dropping-particle":"","parse-names":false,"suffix":""},{"dropping-particle":"","family":"Graham","given":"Linda","non-dropping-particle":"","parse-names":false,"suffix":""},{"dropping-particle":"","family":"Stark","given":"Gail","non-dropping-particle":"","parse-names":false,"suffix":""},{"dropping-particle":"","family":"Taylor","given":"Lynn","non-dropping-particle":"","parse-names":false,"suffix":""},{"dropping-particle":"","family":"Munro","given":"Mark","non-dropping-particle":"","parse-names":false,"suffix":""},{"dropping-particle":"","family":"Stewart","given":"Lynn","non-dropping-particle":"","parse-names":false,"suffix":""},{"dropping-particle":"","family":"Dickinson","given":"Natalie","non-dropping-particle":"","parse-names":false,"suffix":""},{"dropping-particle":"","family":"Rooney","given":"Laura","non-dropping-particle":"","parse-names":false,"suffix":""},{"dropping-particle":"","family":"Bailey","given":"Lindsay","non-dropping-particle":"","parse-names":false,"suffix":""},{"dropping-particle":"","family":"Murray","given":"Diane","non-dropping-particle":"","parse-names":false,"suffix":""},{"dropping-particle":"","family":"Geary","given":"Tim","non-dropping-particle":"","parse-names":false,"suffix":""},{"dropping-particle":"","family":"Gibson","given":"Simon","non-dropping-particle":"","parse-names":false,"suffix":""},{"dropping-particle":"","family":"Pow","given":"Colin","non-dropping-particle":"","parse-names":false,"suffix":""},{"dropping-particle":"","family":"Tan","given":"Kerwei","non-dropping-particle":"","parse-names":false,"suffix":""},{"dropping-particle":"","family":"Stevenson","given":"Richard","non-dropping-particle":"","parse-names":false,"suffix":""},{"dropping-particle":"","family":"Harrison","given":"Ewen","non-dropping-particle":"","parse-names":false,"suffix":""},{"dropping-particle":"","family":"Lamb","given":"Peter","non-dropping-particle":"","parse-names":false,"suffix":""},{"dropping-particle":"","family":"Carey","given":"Kate","non-dropping-particle":"","parse-names":false,"suffix":""},{"dropping-particle":"","family":"Fitton","given":"Laura","non-dropping-particle":"","parse-names":false,"suffix":""},{"dropping-particle":"","family":"Cook","given":"Fabian","non-dropping-particle":"","parse-names":false,"suffix":""},{"dropping-particle":"","family":"Schwarz","given":"Magen","non-dropping-particle":"","parse-names":false,"suffix":""},{"dropping-particle":"","family":"Morrison","given":"Alan","non-dropping-particle":"","parse-names":false,"suffix":""},{"dropping-particle":"","family":"Bryce","given":"Gavin","non-dropping-particle":"","parse-names":false,"suffix":""},{"dropping-particle":"","family":"Razouk","given":"Khaled","non-dropping-particle":"","parse-names":false,"suffix":""},{"dropping-particle":"","family":"Cain","given":"Kathryn","non-dropping-particle":"","parse-names":false,"suffix":""},{"dropping-particle":"","family":"Kunst","given":"Gudrun","non-dropping-particle":"","parse-names":false,"suffix":""},{"dropping-particle":"","family":"Papagrigoriadis","given":"Savvas","non-dropping-particle":"","parse-names":false,"suffix":""},{"dropping-particle":"","family":"Hopkins","given":"Phil","non-dropping-particle":"","parse-names":false,"suffix":""},{"dropping-particle":"","family":"Fawcet","given":"Adrian","non-dropping-particle":"","parse-names":false,"suffix":""},{"dropping-particle":"","family":"O'Carroll-Kuehn","given":"Britta","non-dropping-particle":"","parse-names":false,"suffix":""},{"dropping-particle":"","family":"Girgis","given":"Amira","non-dropping-particle":"","parse-names":false,"suffix":""},{"dropping-particle":"","family":"Janokowski","given":"Stas","non-dropping-particle":"","parse-names":false,"suffix":""},{"dropping-particle":"","family":"Farhat","given":"Sami","non-dropping-particle":"","parse-names":false,"suffix":""},{"dropping-particle":"","family":"Vig","given":"Stella","non-dropping-particle":"","parse-names":false,"suffix":""},{"dropping-particle":"","family":"Hadi","given":"Nada","non-dropping-particle":"","parse-names":false,"suffix":""},{"dropping-particle":"","family":"Parsons","given":"Anthony","non-dropping-particle":"","parse-names":false,"suffix":""},{"dropping-particle":"","family":"Cecconi","given":"Maurizio","non-dropping-particle":"","parse-names":false,"suffix":""},{"dropping-particle":"","family":"Melville","given":"David","non-dropping-particle":"","parse-names":false,"suffix":""},{"dropping-particle":"","family":"Hartopp","given":"Richard","non-dropping-particle":"","parse-names":false,"suffix":""},{"dropping-particle":"","family":"Woods","given":"Justin","non-dropping-particle":"","parse-names":false,"suffix":""},{"dropping-particle":"","family":"Karat","given":"Isabella","non-dropping-particle":"","parse-names":false,"suffix":""},{"dropping-particle":"","family":"Gerrard","given":"David","non-dropping-particle":"","parse-names":false,"suffix":""},{"dropping-particle":"","family":"Curtis","given":"Edward","non-dropping-particle":"","parse-names":false,"suffix":""},{"dropping-particle":"","family":"Somasekar","given":"Krishnamurthy","non-dropping-particle":"","parse-names":false,"suffix":""},{"dropping-particle":"","family":"Morgan-Jones","given":"Tom","non-dropping-particle":"","parse-names":false,"suffix":""},{"dropping-particle":"","family":"Martin","given":"Michael","non-dropping-particle":"","parse-names":false,"suffix":""},{"dropping-particle":"","family":"Henwood","given":"Mark","non-dropping-particle":"","parse-names":false,"suffix":""},{"dropping-particle":"","family":"Milne","given":"Gordon","non-dropping-particle":"","parse-names":false,"suffix":""},{"dropping-particle":"","family":"Sivasankaranand","given":"Ajit","non-dropping-particle":"","parse-names":false,"suffix":""},{"dropping-particle":"","family":"Scott","given":"Alexandra","non-dropping-particle":"","parse-names":false,"suffix":""},{"dropping-particle":"","family":"Escofet","given":"Xavier","non-dropping-particle":"","parse-names":false,"suffix":""},{"dropping-particle":"","family":"Toth-Tarsoly","given":"Piroska","non-dropping-particle":"","parse-names":false,"suffix":""},{"dropping-particle":"","family":"Shama","given":"Majed","non-dropping-particle":"Al","parse-names":false,"suffix":""},{"dropping-particle":"","family":"Hilton","given":"Valerie","non-dropping-particle":"","parse-names":false,"suffix":""},{"dropping-particle":"","family":"Davis","given":"Huw","non-dropping-particle":"","parse-names":false,"suffix":""},{"dropping-particle":"","family":"Williams","given":"Gail","non-dropping-particle":"","parse-names":false,"suffix":""},{"dropping-particle":"","family":"Harvard","given":"Tim","non-dropping-particle":"","parse-names":false,"suffix":""},{"dropping-particle":"","family":"Fitzgerald","given":"Peter","non-dropping-particle":"","parse-names":false,"suffix":""},{"dropping-particle":"","family":"Hurford","given":"Dom","non-dropping-particle":"","parse-names":false,"suffix":""},{"dropping-particle":"","family":"Muthuswamy","given":"Babu","non-dropping-particle":"","parse-names":false,"suffix":""},{"dropping-particle":"","family":"Williams","given":"Gethin","non-dropping-particle":"","parse-names":false,"suffix":""},{"dropping-particle":"","family":"Parry Jones","given":"Jack","non-dropping-particle":"","parse-names":false,"suffix":""},{"dropping-particle":"","family":"Mason","given":"Nick","non-dropping-particle":"","parse-names":false,"suffix":""},{"dropping-particle":"","family":"Rajagopal","given":"Ramesh","non-dropping-particle":"","parse-names":false,"suffix":""},{"dropping-particle":"","family":"Shenoy","given":"Shrisha","non-dropping-particle":"","parse-names":false,"suffix":""},{"dropping-particle":"","family":"Khater","given":"Magdy","non-dropping-particle":"","parse-names":false,"suffix":""},{"dropping-particle":"","family":"Morgan","given":"Richard","non-dropping-particle":"","parse-names":false,"suffix":""},{"dropping-particle":"","family":"Makris","given":"Nikolaos","non-dropping-particle":"","parse-names":false,"suffix":""},{"dropping-particle":"","family":"Hermandes","given":"Anil","non-dropping-particle":"","parse-names":false,"suffix":""},{"dropping-particle":"","family":"White","given":"Andrew","non-dropping-particle":"","parse-names":false,"suffix":""},{"dropping-particle":"","family":"Finch","given":"Guy","non-dropping-particle":"","parse-names":false,"suffix":""},{"dropping-particle":"","family":"Outram","given":"Matt","non-dropping-particle":"","parse-names":false,"suffix":""},{"dropping-particle":"","family":"Wilkinson","given":"Jonny","non-dropping-particle":"","parse-names":false,"suffix":""},{"dropping-particle":"","family":"Spimpolo","given":"Jennifer","non-dropping-particle":"","parse-names":false,"suffix":""},{"dropping-particle":"","family":"Shaw","given":"Debbie","non-dropping-particle":"","parse-names":false,"suffix":""},{"dropping-particle":"","family":"Obichere","given":"Marion","non-dropping-particle":"","parse-names":false,"suffix":""},{"dropping-particle":"","family":"Brescia","given":"Giovanni","non-dropping-particle":"","parse-names":false,"suffix":""},{"dropping-particle":"","family":"Menezes","given":"Flavia","non-dropping-particle":"","parse-names":false,"suffix":""},{"dropping-particle":"","family":"Stafford","given":"Helena","non-dropping-particle":"","parse-names":false,"suffix":""},{"dropping-particle":"","family":"Watters","given":"Malcolm","non-dropping-particle":"","parse-names":false,"suffix":""},{"dropping-particle":"","family":"Thorn","given":"Chris","non-dropping-particle":"","parse-names":false,"suffix":""},{"dropping-particle":"","family":"Stone","given":"Julian","non-dropping-particle":"","parse-names":false,"suffix":""},{"dropping-particle":"","family":"Andrews","given":"Sam","non-dropping-particle":"","parse-names":false,"suffix":""},{"dropping-particle":"","family":"Lythell","given":"Nicola","non-dropping-particle":"","parse-names":false,"suffix":""},{"dropping-particle":"","family":"Langton","given":"Helen","non-dropping-particle":"","parse-names":false,"suffix":""},{"dropping-particle":"","family":"Baxter","given":"Stephen","non-dropping-particle":"","parse-names":false,"suffix":""},{"dropping-particle":"","family":"Fernandes","given":"Roy","non-dropping-particle":"","parse-names":false,"suffix":""},{"dropping-particle":"","family":"Sunthareswaran","given":"Rame","non-dropping-particle":"","parse-names":false,"suffix":""},{"dropping-particle":"","family":"Ankers","given":"Alastair","non-dropping-particle":"","parse-names":false,"suffix":""},{"dropping-particle":"","family":"Panikkar","given":"Kumar","non-dropping-particle":"","parse-names":false,"suffix":""},{"dropping-particle":"","family":"Sleight","given":"Simon","non-dropping-particle":"","parse-names":false,"suffix":""},{"dropping-particle":"","family":"Cornforth","given":"Belinda","non-dropping-particle":"","parse-names":false,"suffix":""},{"dropping-particle":"","family":"Bell","given":"Louise","non-dropping-particle":"","parse-names":false,"suffix":""},{"dropping-particle":"","family":"Dodd","given":"Phil","non-dropping-particle":"","parse-names":false,"suffix":""},{"dropping-particle":"","family":"Welsh","given":"Fenella","non-dropping-particle":"","parse-names":false,"suffix":""},{"dropping-particle":"","family":"Watson","given":"Geoff","non-dropping-particle":"","parse-names":false,"suffix":""},{"dropping-particle":"","family":"Dorman","given":"Frankie","non-dropping-particle":"","parse-names":false,"suffix":""},{"dropping-particle":"","family":"Nash","given":"Guy","non-dropping-particle":"","parse-names":false,"suffix":""},{"dropping-particle":"","family":"Bromilow","given":"James","non-dropping-particle":"","parse-names":false,"suffix":""},{"dropping-particle":"","family":"Haigh","given":"Fran","non-dropping-particle":"","parse-names":false,"suffix":""},{"dropping-particle":"","family":"Pogson","given":"David","non-dropping-particle":"","parse-names":false,"suffix":""},{"dropping-particle":"","family":"Mercer","given":"Stuart","non-dropping-particle":"","parse-names":false,"suffix":""},{"dropping-particle":"","family":"Tucker","given":"Vanessa","non-dropping-particle":"","parse-names":false,"suffix":""},{"dropping-particle":"","family":"Way","given":"Carolyn","non-dropping-particle":"","parse-names":false,"suffix":""},{"dropping-particle":"","family":"Kirby-Bott","given":"James","non-dropping-particle":"","parse-names":false,"suffix":""},{"dropping-particle":"","family":"McLachan","given":"Jenny","non-dropping-particle":"","parse-names":false,"suffix":""},{"dropping-particle":"","family":"Chambers","given":"Rob","non-dropping-particle":"","parse-names":false,"suffix":""},{"dropping-particle":"","family":"Craven","given":"Rachael","non-dropping-particle":"","parse-names":false,"suffix":""},{"dropping-particle":"","family":"Blazeby","given":"Jane","non-dropping-particle":"","parse-names":false,"suffix":""},{"dropping-particle":"","family":"Freshwater-Turner","given":"Dan","non-dropping-particle":"","parse-names":false,"suffix":""},{"dropping-particle":"","family":"Burrows","given":"Lorna","non-dropping-particle":"","parse-names":false,"suffix":""},{"dropping-particle":"","family":"Howes","given":"Helen","non-dropping-particle":"","parse-names":false,"suffix":""},{"dropping-particle":"","family":"Christie","given":"Iain","non-dropping-particle":"","parse-names":false,"suffix":""},{"dropping-particle":"","family":"Coleman","given":"Mark","non-dropping-particle":"","parse-names":false,"suffix":""},{"dropping-particle":"","family":"Waddy","given":"Sam","non-dropping-particle":"","parse-names":false,"suffix":""},{"dropping-particle":"","family":"Sanders","given":"Grant","non-dropping-particle":"","parse-names":false,"suffix":""},{"dropping-particle":"","family":"Patrick","given":"Abigail","non-dropping-particle":"","parse-names":false,"suffix":""},{"dropping-particle":"","family":"Pitman","given":"Catherine","non-dropping-particle":"","parse-names":false,"suffix":""},{"dropping-particle":"","family":"Tyson","given":"Susan","non-dropping-particle":"","parse-names":false,"suffix":""},{"dropping-particle":"","family":"Smith","given":"Hannah","non-dropping-particle":"","parse-names":false,"suffix":""},{"dropping-particle":"","family":"Rousseau","given":"Guy","non-dropping-particle":"","parse-names":false,"suffix":""},{"dropping-particle":"","family":"Cartmell","given":"Mark","non-dropping-particle":"","parse-names":false,"suffix":""},{"dropping-particle":"","family":"Hanousek","given":"Jan","non-dropping-particle":"","parse-names":false,"suffix":""},{"dropping-particle":"","family":"Hollister","given":"Nigel","non-dropping-particle":"","parse-names":false,"suffix":""},{"dropping-particle":"","family":"Kightly","given":"Lynsey","non-dropping-particle":"","parse-names":false,"suffix":""},{"dropping-particle":"","family":"Pulletz","given":"Mark","non-dropping-particle":"","parse-names":false,"suffix":""},{"dropping-particle":"","family":"Talwar","given":"Anjay","non-dropping-particle":"","parse-names":false,"suffix":""},{"dropping-particle":"","family":"Baker","given":"Susie","non-dropping-particle":"","parse-names":false,"suffix":""},{"dropping-particle":"","family":"Thomas","given":"Ruth","non-dropping-particle":"","parse-names":false,"suffix":""},{"dropping-particle":"","family":"Gibbs","given":"Richard","non-dropping-particle":"","parse-names":false,"suffix":""},{"dropping-particle":"","family":"Noble","given":"Hamish","non-dropping-particle":"","parse-names":false,"suffix":""},{"dropping-particle":"","family":"Silsby","given":"Joseph","non-dropping-particle":"","parse-names":false,"suffix":""},{"dropping-particle":"","family":"Black","given":"Helen","non-dropping-particle":"","parse-names":false,"suffix":""},{"dropping-particle":"","family":"Evans","given":"Thomas","non-dropping-particle":"","parse-names":false,"suffix":""},{"dropping-particle":"","family":"DeBrunner","given":"Robert","non-dropping-particle":"","parse-names":false,"suffix":""},{"dropping-particle":"","family":"Cook","given":"Nicola","non-dropping-particle":"","parse-names":false,"suffix":""},{"dropping-particle":"","family":"Hodges","given":"Stacy","non-dropping-particle":"","parse-names":false,"suffix":""},{"dropping-particle":"","family":"Stevens","given":"Amanda","non-dropping-particle":"","parse-names":false,"suffix":""},{"dropping-particle":"","family":"Felipe","given":"Rowena","non-dropping-particle":"","parse-names":false,"suffix":""},{"dropping-particle":"","family":"Paddle","given":"Jonathan","non-dropping-particle":"","parse-names":false,"suffix":""},{"dropping-particle":"","family":"May","given":"Denzil","non-dropping-particle":"","parse-names":false,"suffix":""},{"dropping-particle":"","family":"Pickford","given":"Alison","non-dropping-particle":"","parse-names":false,"suffix":""},{"dropping-particle":"","family":"Riddington","given":"Sid","non-dropping-particle":"","parse-names":false,"suffix":""},{"dropping-particle":"","family":"Tucker","given":"Olga","non-dropping-particle":"","parse-names":false,"suffix":""},{"dropping-particle":"","family":"Smart","given":"Simon","non-dropping-particle":"","parse-names":false,"suffix":""},{"dropping-particle":"","family":"Marwick","given":"Jeremy","non-dropping-particle":"","parse-names":false,"suffix":""},{"dropping-particle":"","family":"Suggett","given":"Nigel","non-dropping-particle":"","parse-names":false,"suffix":""},{"dropping-particle":"","family":"Griffiths","given":"Ewen","non-dropping-particle":"","parse-names":false,"suffix":""},{"dropping-particle":"","family":"Riddington","given":"David","non-dropping-particle":"","parse-names":false,"suffix":""},{"dropping-particle":"","family":"Gill","given":"Kathryn","non-dropping-particle":"","parse-names":false,"suffix":""},{"dropping-particle":"","family":"Cruickshank","given":"Neil","non-dropping-particle":"","parse-names":false,"suffix":""},{"dropping-particle":"","family":"Susarla","given":"Jay","non-dropping-particle":"","parse-names":false,"suffix":""},{"dropping-particle":"","family":"Leno","given":"Emma","non-dropping-particle":"","parse-names":false,"suffix":""},{"dropping-particle":"","family":"Colley","given":"Julie","non-dropping-particle":"","parse-names":false,"suffix":""},{"dropping-particle":"","family":"Burtenshaw","given":"Andrew","non-dropping-particle":"","parse-names":false,"suffix":""},{"dropping-particle":"","family":"Lake","given":"Stephen","non-dropping-particle":"","parse-names":false,"suffix":""},{"dropping-particle":"","family":"Greenwood","given":"Jamie","non-dropping-particle":"","parse-names":false,"suffix":""},{"dropping-particle":"","family":"Bhardwaj","given":"Sian","non-dropping-particle":"","parse-names":false,"suffix":""},{"dropping-particle":"","family":"Thrush","given":"Jessica","non-dropping-particle":"","parse-names":false,"suffix":""},{"dropping-particle":"","family":"Wollaston","given":"Julie","non-dropping-particle":"","parse-names":false,"suffix":""},{"dropping-particle":"","family":"Sonksen","given":"Julian","non-dropping-particle":"","parse-names":false,"suffix":""},{"dropping-particle":"","family":"Patel","given":"Rajan","non-dropping-particle":"","parse-names":false,"suffix":""},{"dropping-particle":"","family":"Jennings","given":"Adrian","non-dropping-particle":"","parse-names":false,"suffix":""},{"dropping-particle":"","family":"Stanley","given":"David","non-dropping-particle":"","parse-names":false,"suffix":""},{"dropping-particle":"","family":"Wright","given":"Jenny","non-dropping-particle":"","parse-names":false,"suffix":""},{"dropping-particle":"","family":"Horner","given":"Chris","non-dropping-particle":"","parse-names":false,"suffix":""},{"dropping-particle":"","family":"Baig","given":"Faisal","non-dropping-particle":"","parse-names":false,"suffix":""},{"dropping-particle":"","family":"Cooke","given":"Katie","non-dropping-particle":"","parse-names":false,"suffix":""},{"dropping-particle":"","family":"Singh","given":"Jagdeep","non-dropping-particle":"","parse-names":false,"suffix":""},{"dropping-particle":"","family":"Claxton","given":"Andrew","non-dropping-particle":"","parse-names":false,"suffix":""},{"dropping-particle":"","family":"Mirza","given":"Nazzia","non-dropping-particle":"","parse-names":false,"suffix":""},{"dropping-particle":"","family":"Hester","given":"Simon","non-dropping-particle":"","parse-names":false,"suffix":""},{"dropping-particle":"","family":"Knight","given":"Georgia","non-dropping-particle":"","parse-names":false,"suffix":""},{"dropping-particle":"","family":"Kumar","given":"Peeyush","non-dropping-particle":"","parse-names":false,"suffix":""},{"dropping-particle":"","family":"Saran","given":"Taj","non-dropping-particle":"","parse-names":false,"suffix":""},{"dropping-particle":"","family":"Marangoni","given":"Gabriele","non-dropping-particle":"","parse-names":false,"suffix":""},{"dropping-particle":"","family":"Townsend","given":"Roger","non-dropping-particle":"","parse-names":false,"suffix":""},{"dropping-particle":"","family":"Thacker","given":"Andy","non-dropping-particle":"","parse-names":false,"suffix":""},{"dropping-particle":"","family":"Scase","given":"Anne","non-dropping-particle":"","parse-names":false,"suffix":""},{"dropping-particle":"","family":"Sharma","given":"Meghna","non-dropping-particle":"","parse-names":false,"suffix":""},{"dropping-particle":"","family":"Hale","given":"Beth","non-dropping-particle":"","parse-names":false,"suffix":""}],"container-title":"The Lancet","id":"ITEM-2","issue":"10187","issued":{"date-parts":[["2019"]]},"page":"2213-2221","title":"Effectiveness of a national quality improvement programme to improve survival after emergency abdominal surgery (EPOCH): a stepped-wedge cluster-randomised trial","type":"article-journal","volume":"393"},"uris":["http://www.mendeley.com/documents/?uuid=1c380a86-41e2-43f4-b064-7b06f760d387"]}],"mendeley":{"formattedCitation":"(43,44)","plainTextFormattedCitation":"(43,44)","previouslyFormattedCitation":"(43,44)"},"properties":{"noteIndex":0},"schema":"https://github.com/citation-style-language/schema/raw/master/csl-citation.json"}</w:instrText>
      </w:r>
      <w:r w:rsidRPr="00AD29B0">
        <w:fldChar w:fldCharType="separate"/>
      </w:r>
      <w:r w:rsidR="003F790D" w:rsidRPr="003F790D">
        <w:rPr>
          <w:noProof/>
        </w:rPr>
        <w:t>(43,44)</w:t>
      </w:r>
      <w:r w:rsidRPr="00AD29B0">
        <w:fldChar w:fldCharType="end"/>
      </w:r>
      <w:r w:rsidR="00191D50">
        <w:t>.</w:t>
      </w:r>
      <w:r w:rsidRPr="00035759">
        <w:t xml:space="preserve"> </w:t>
      </w:r>
      <w:r w:rsidR="00C51E63" w:rsidRPr="00AD29B0">
        <w:t xml:space="preserve">The QIST trial </w:t>
      </w:r>
      <w:r w:rsidR="001B7F85">
        <w:t xml:space="preserve">set out to </w:t>
      </w:r>
      <w:r w:rsidR="00C51E63" w:rsidRPr="00AD29B0">
        <w:t>address both of these elements</w:t>
      </w:r>
      <w:r w:rsidR="00C51E63" w:rsidRPr="00035759">
        <w:t xml:space="preserve">. </w:t>
      </w:r>
      <w:r w:rsidRPr="00035759">
        <w:t xml:space="preserve">It </w:t>
      </w:r>
      <w:r w:rsidR="00C51E63" w:rsidRPr="00035759">
        <w:t xml:space="preserve">has also been suggested that a narrower focus, for example implementing just one new initiative per </w:t>
      </w:r>
      <w:r w:rsidR="0036144E">
        <w:t>improvement programme</w:t>
      </w:r>
      <w:r w:rsidR="00C51E63" w:rsidRPr="00035759">
        <w:t xml:space="preserve">, </w:t>
      </w:r>
      <w:r w:rsidR="00A942D6">
        <w:t>might</w:t>
      </w:r>
      <w:r w:rsidR="00C51E63" w:rsidRPr="00035759">
        <w:t xml:space="preserve"> help local implementation and improve the chances of success </w:t>
      </w:r>
      <w:r w:rsidR="00C51E63" w:rsidRPr="00AD29B0">
        <w:fldChar w:fldCharType="begin" w:fldLock="1"/>
      </w:r>
      <w:r w:rsidR="00810165">
        <w:instrText>ADDIN CSL_CITATION {"citationItems":[{"id":"ITEM-1","itemData":{"DOI":"10.1016/S0140-6736(18)32521-2","ISSN":"1474547X","PMID":"31030986","abstract":"Background: Emergency abdominal surgery is associated with poor patient outcomes. We studied the effectiveness of a national quality improvement (QI) programme to implement a care pathway to improve survival for these patients. Methods: We did a stepped-wedge cluster-randomised trial of patients aged 40 years or older undergoing emergency open major abdominal surgery. Eligible UK National Health Service (NHS) hospitals (those that had an emergency general surgical service, a substantial volume of emergency abdominal surgery cases, and contributed data to the National Emergency Laparotomy Audit) were organised into 15 geographical clusters and commenced the QI programme in a random order, based on a computer-generated random sequence, over an 85-week period with one geographical cluster commencing the intervention every 5 weeks from the second to the 16th time period. Patients were masked to the study group, but it was not possible to mask hospital staff or investigators. The primary outcome measure was mortality within 90 days of surgery. Analyses were done on an intention-to-treat basis. This study is registered with the ISRCTN registry, number ISRCTN80682973. Findings: Treatment took place between March 3, 2014, and Oct 19, 2015. 22 754 patients were assessed for elegibility. Of 15 873 eligible patients from 93 NHS hospitals, primary outcome data were analysed for 8482 patients in the usual care group and 7374 in the QI group. Eight patients in the usual care group and nine patients in the QI group were not included in the analysis because of missing primary outcome data. The primary outcome of 90-day mortality occurred in 1210 (16%) patients in the QI group compared with 1393 (16%) patients in the usual care group (HR 1·11, 0·96–1·28). Interpretation: No survival benefit was observed from this QI programme to implement a care pathway for patients undergoing emergency abdominal surgery. Future QI programmes should ensure that teams have both the time and resources needed to improve patient care. Funding: National Institute for Health Research Health Services and Delivery Research Programme.","author":[{"dropping-particle":"","family":"Peden","given":"Carol J.","non-dropping-particle":"","parse-names":false,"suffix":""},{"dropping-particle":"","family":"Stephens","given":"Tim","non-dropping-particle":"","parse-names":false,"suffix":""},{"dropping-particle":"","family":"Martin","given":"Graham","non-dropping-particle":"","parse-names":false,"suffix":""},{"dropping-particle":"","family":"Kahan","given":"Brennan C.","non-dropping-particle":"","parse-names":false,"suffix":""},{"dropping-particle":"","family":"Thomson","given":"Ann","non-dropping-particle":"","parse-names":false,"suffix":""},{"dropping-particle":"","family":"Rivett","given":"Kate","non-dropping-particle":"","parse-names":false,"suffix":""},{"dropping-particle":"","family":"Wells","given":"Duncan","non-dropping-particle":"","parse-names":false,"suffix":""},{"dropping-particle":"","family":"Richardson","given":"Gerry","non-dropping-particle":"","parse-names":false,"suffix":""},{"dropping-particle":"","family":"Kerry","given":"Sally","non-dropping-particle":"","parse-names":false,"suffix":""},{"dropping-particle":"","family":"Bion","given":"Julian","non-dropping-particle":"","parse-names":false,"suffix":""},{"dropping-particle":"","family":"Pearse","given":"Rupert M.","non-dropping-particle":"","parse-names":false,"suffix":""},{"dropping-particle":"","family":"Peden","given":"Carol","non-dropping-particle":"","parse-names":false,"suffix":""},{"dropping-particle":"","family":"Kahan","given":"Brennan","non-dropping-particle":"","parse-names":false,"suffix":""},{"dropping-particle":"","family":"Brett","given":"Stephen","non-dropping-particle":"","parse-names":false,"suffix":""},{"dropping-particle":"","family":"Ackland","given":"Gareth","non-dropping-particle":"","parse-names":false,"suffix":""},{"dropping-particle":"","family":"Grocott","given":"Mike","non-dropping-particle":"","parse-names":false,"suffix":""},{"dropping-particle":"","family":"Holt","given":"Peter","non-dropping-particle":"","parse-names":false,"suffix":""},{"dropping-particle":"","family":"Robert","given":"Glenn","non-dropping-particle":"","parse-names":false,"suffix":""},{"dropping-particle":"","family":"Ukoumunne","given":"Obioha","non-dropping-particle":"","parse-names":false,"suffix":""},{"dropping-particle":"","family":"Waring","given":"Justin","non-dropping-particle":"","parse-names":false,"suffix":""},{"dropping-particle":"","family":"Everingham","given":"Kirsty","non-dropping-particle":"","parse-names":false,"suffix":""},{"dropping-particle":"","family":"Phull","given":"Mandeep","non-dropping-particle":"","parse-names":false,"suffix":""},{"dropping-particle":"","family":"Cromwell","given":"David","non-dropping-particle":"","parse-names":false,"suffix":""},{"dropping-particle":"","family":"Evley","given":"Rachel","non-dropping-particle":"","parse-names":false,"suffix":""},{"dropping-particle":"","family":"Lilford","given":"Richard","non-dropping-particle":"","parse-names":false,"suffix":""},{"dropping-particle":"","family":"Kocman","given":"David","non-dropping-particle":"","parse-names":false,"suffix":""},{"dropping-particle":"","family":"Asaria","given":"Miqdad","non-dropping-particle":"","parse-names":false,"suffix":""},{"dropping-particle":"","family":"Tarrant","given":"Carolyn","non-dropping-particle":"","parse-names":false,"suffix":""},{"dropping-particle":"","family":"Yang","given":"Fan","non-dropping-particle":"","parse-names":false,"suffix":""},{"dropping-particle":"","family":"Abraham","given":"Ajit","non-dropping-particle":"","parse-names":false,"suffix":""},{"dropping-particle":"","family":"Bothma","given":"Pieter","non-dropping-particle":"","parse-names":false,"suffix":""},{"dropping-particle":"","family":"Conway","given":"Daniel","non-dropping-particle":"","parse-names":false,"suffix":""},{"dropping-particle":"","family":"Stapleton","given":"Clare","non-dropping-particle":"","parse-names":false,"suffix":""},{"dropping-particle":"","family":"Edwards","given":"Mark","non-dropping-particle":"","parse-names":false,"suffix":""},{"dropping-particle":"","family":"Minto","given":"Gary","non-dropping-particle":"","parse-names":false,"suffix":""},{"dropping-particle":"","family":"Saunders","given":"David","non-dropping-particle":"","parse-names":false,"suffix":""},{"dropping-particle":"","family":"Owen","given":"Tom","non-dropping-particle":"","parse-names":false,"suffix":""},{"dropping-particle":"","family":"Waldmann","given":"Carl","non-dropping-particle":"","parse-names":false,"suffix":""},{"dropping-particle":"","family":"Hayden","given":"Paul","non-dropping-particle":"","parse-names":false,"suffix":""},{"dropping-particle":"","family":"Gillies","given":"Michael","non-dropping-particle":"","parse-names":false,"suffix":""},{"dropping-particle":"","family":"Tighe","given":"Sean","non-dropping-particle":"","parse-names":false,"suffix":""},{"dropping-particle":"","family":"Smith","given":"Neil","non-dropping-particle":"","parse-names":false,"suffix":""},{"dropping-particle":"","family":"Mythen","given":"Monty","non-dropping-particle":"","parse-names":false,"suffix":""},{"dropping-particle":"","family":"Murray","given":"David","non-dropping-particle":"","parse-names":false,"suffix":""},{"dropping-particle":"","family":"Lobo","given":"Dileep","non-dropping-particle":"","parse-names":false,"suffix":""},{"dropping-particle":"","family":"Leuwer","given":"Martin","non-dropping-particle":"","parse-names":false,"suffix":""},{"dropping-particle":"","family":"Kirk-Bayley","given":"Justin","non-dropping-particle":"","parse-names":false,"suffix":""},{"dropping-particle":"","family":"Howell","given":"Simon","non-dropping-particle":"","parse-names":false,"suffix":""},{"dropping-particle":"","family":"Gordon","given":"Anthony","non-dropping-particle":"","parse-names":false,"suffix":""},{"dropping-particle":"","family":"Anderson","given":"Iain","non-dropping-particle":"","parse-names":false,"suffix":""},{"dropping-particle":"","family":"Lourtie","given":"Jose","non-dropping-particle":"","parse-names":false,"suffix":""},{"dropping-particle":"","family":"Walker","given":"Simon","non-dropping-particle":"","parse-names":false,"suffix":""},{"dropping-particle":"","family":"Drake","given":"Sharon","non-dropping-particle":"","parse-names":false,"suffix":""},{"dropping-particle":"","family":"Murray","given":"Dave","non-dropping-particle":"","parse-names":false,"suffix":""},{"dropping-particle":"","family":"Watson","given":"Nick","non-dropping-particle":"","parse-names":false,"suffix":""},{"dropping-particle":"","family":"Szakmany","given":"Tamas","non-dropping-particle":"","parse-names":false,"suffix":""},{"dropping-particle":"","family":"Sutcliffe","given":"Robert","non-dropping-particle":"","parse-names":false,"suffix":""},{"dropping-particle":"","family":"Mahajan","given":"Ravi","non-dropping-particle":"","parse-names":false,"suffix":""},{"dropping-particle":"","family":"Girling","given":"Alan","non-dropping-particle":"","parse-names":false,"suffix":""},{"dropping-particle":"","family":"Forbes","given":"Gordon","non-dropping-particle":"","parse-names":false,"suffix":""},{"dropping-particle":"","family":"Faiz","given":"Omar","non-dropping-particle":"","parse-names":false,"suffix":""},{"dropping-particle":"","family":"Blunt","given":"Mark","non-dropping-particle":"","parse-names":false,"suffix":""},{"dropping-particle":"","family":"Singh","given":"Surjait","non-dropping-particle":"","parse-names":false,"suffix":""},{"dropping-particle":"","family":"Steel","given":"Alistair","non-dropping-particle":"","parse-names":false,"suffix":""},{"dropping-particle":"","family":"Wong","given":"Kate","non-dropping-particle":"","parse-names":false,"suffix":""},{"dropping-particle":"","family":"Cabreros","given":"Leilani","non-dropping-particle":"","parse-names":false,"suffix":""},{"dropping-particle":"","family":"Chitre","given":"Vivek","non-dropping-particle":"","parse-names":false,"suffix":""},{"dropping-particle":"","family":"Obideyi","given":"Ayodele","non-dropping-particle":"","parse-names":false,"suffix":""},{"dropping-particle":"","family":"Ali","given":"Dhiraj","non-dropping-particle":"","parse-names":false,"suffix":""},{"dropping-particle":"","family":"Blenk","given":"Karl","non-dropping-particle":"","parse-names":false,"suffix":""},{"dropping-particle":"","family":"Broad","given":"Dan","non-dropping-particle":"","parse-names":false,"suffix":""},{"dropping-particle":"","family":"Brodbeck","given":"Andreas","non-dropping-particle":"","parse-names":false,"suffix":""},{"dropping-particle":"","family":"Dumpala","given":"Rajesh","non-dropping-particle":"","parse-names":false,"suffix":""},{"dropping-particle":"","family":"Engel","given":"Arnth","non-dropping-particle":"","parse-names":false,"suffix":""},{"dropping-particle":"","family":"Ganepola","given":"Ranjit","non-dropping-particle":"","parse-names":false,"suffix":""},{"dropping-particle":"","family":"Garg","given":"Sudha","non-dropping-particle":"","parse-names":false,"suffix":""},{"dropping-particle":"","family":"Gay","given":"Mike","non-dropping-particle":"","parse-names":false,"suffix":""},{"dropping-particle":"","family":"Karlikowsk","given":"Michael","non-dropping-particle":"","parse-names":false,"suffix":""},{"dropping-particle":"","family":"Lams","given":"Edward","non-dropping-particle":"","parse-names":false,"suffix":""},{"dropping-particle":"","family":"Millican","given":"Dean","non-dropping-particle":"","parse-names":false,"suffix":""},{"dropping-particle":"","family":"Misane","given":"Inga","non-dropping-particle":"","parse-names":false,"suffix":""},{"dropping-particle":"","family":"Mull","given":"Ajaya","non-dropping-particle":"","parse-names":false,"suffix":""},{"dropping-particle":"","family":"Naik","given":"Veena","non-dropping-particle":"","parse-names":false,"suffix":""},{"dropping-particle":"","family":"Pushpa","given":"Nathan","non-dropping-particle":"","parse-names":false,"suffix":""},{"dropping-particle":"","family":"Nutt","given":"Chris","non-dropping-particle":"","parse-names":false,"suffix":""},{"dropping-particle":"","family":"Sagadai","given":"Saravanna","non-dropping-particle":"","parse-names":false,"suffix":""},{"dropping-particle":"","family":"Stuart","given":"Hazel","non-dropping-particle":"","parse-names":false,"suffix":""},{"dropping-particle":"","family":"Noble","given":"Paul","non-dropping-particle":"","parse-names":false,"suffix":""},{"dropping-particle":"","family":"Velde","given":"Niko","non-dropping-particle":"Van De","parse-names":false,"suffix":""},{"dropping-particle":"","family":"Hudson","given":"Liam","non-dropping-particle":"","parse-names":false,"suffix":""},{"dropping-particle":"","family":"Benlloch","given":"Raoul","non-dropping-particle":"","parse-names":false,"suffix":""},{"dropping-particle":"","family":"Singh","given":"Satish","non-dropping-particle":"","parse-names":false,"suffix":""},{"dropping-particle":"","family":"Verma","given":"Karan","non-dropping-particle":"","parse-names":false,"suffix":""},{"dropping-particle":"","family":"Laba","given":"Damian","non-dropping-particle":"","parse-names":false,"suffix":""},{"dropping-particle":"","family":"Carmichael","given":"Jack","non-dropping-particle":"","parse-names":false,"suffix":""},{"dropping-particle":"","family":"Richardson","given":"Peter","non-dropping-particle":"","parse-names":false,"suffix":""},{"dropping-particle":"","family":"Wilson","given":"Graham","non-dropping-particle":"","parse-names":false,"suffix":""},{"dropping-particle":"","family":"Lewis","given":"Ricky","non-dropping-particle":"","parse-names":false,"suffix":""},{"dropping-particle":"","family":"Surendran","given":"Karthik","non-dropping-particle":"","parse-names":false,"suffix":""},{"dropping-particle":"","family":"El-Damatty","given":"Essam","non-dropping-particle":"","parse-names":false,"suffix":""},{"dropping-particle":"","family":"Gurung","given":"Sarada","non-dropping-particle":"","parse-names":false,"suffix":""},{"dropping-particle":"","family":"Raulusaite","given":"Ilona","non-dropping-particle":"","parse-names":false,"suffix":""},{"dropping-particle":"","family":"Gerstina","given":"Nabua","non-dropping-particle":"","parse-names":false,"suffix":""},{"dropping-particle":"","family":"Rochester","given":"Chloe","non-dropping-particle":"","parse-names":false,"suffix":""},{"dropping-particle":"","family":"Kuldip","given":"Rai","non-dropping-particle":"","parse-names":false,"suffix":""},{"dropping-particle":"","family":"Lindner","given":"Andrew","non-dropping-particle":"","parse-names":false,"suffix":""},{"dropping-particle":"","family":"Murray","given":"Therese","non-dropping-particle":"","parse-names":false,"suffix":""},{"dropping-particle":"","family":"Vivek","given":"Chitre","non-dropping-particle":"","parse-names":false,"suffix":""},{"dropping-particle":"","family":"Lal","given":"Roshan","non-dropping-particle":"","parse-names":false,"suffix":""},{"dropping-particle":"","family":"Downey","given":"Sarah","non-dropping-particle":"","parse-names":false,"suffix":""},{"dropping-particle":"","family":"Velchuru","given":"Vamsi","non-dropping-particle":"","parse-names":false,"suffix":""},{"dropping-particle":"","family":"Aryal","given":"Kamal","non-dropping-particle":"","parse-names":false,"suffix":""},{"dropping-particle":"","family":"Guruswamy","given":"Raman","non-dropping-particle":"","parse-names":false,"suffix":""},{"dropping-particle":"","family":"Shankar","given":"Kirosh","non-dropping-particle":"","parse-names":false,"suffix":""},{"dropping-particle":"","family":"Porter","given":"Helen","non-dropping-particle":"","parse-names":false,"suffix":""},{"dropping-particle":"","family":"Tutton","given":"Matthew","non-dropping-particle":"","parse-names":false,"suffix":""},{"dropping-particle":"","family":"Agostini","given":"Helen","non-dropping-particle":"","parse-names":false,"suffix":""},{"dropping-particle":"","family":"Fletcher","given":"Simon","non-dropping-particle":"","parse-names":false,"suffix":""},{"dropping-particle":"","family":"Wharton","given":"Richard","non-dropping-particle":"","parse-names":false,"suffix":""},{"dropping-particle":"","family":"Hutchinson","given":"Steve","non-dropping-particle":"","parse-names":false,"suffix":""},{"dropping-particle":"","family":"Maiya","given":"Bala","non-dropping-particle":"","parse-names":false,"suffix":""},{"dropping-particle":"","family":"Howard-Griffin","given":"Richard","non-dropping-particle":"","parse-names":false,"suffix":""},{"dropping-particle":"","family":"Crabtree","given":"Michael","non-dropping-particle":"","parse-names":false,"suffix":""},{"dropping-particle":"","family":"Kushakovsky","given":"Vlad","non-dropping-particle":"","parse-names":false,"suffix":""},{"dropping-particle":"","family":"Omer","given":"Abdel","non-dropping-particle":"","parse-names":false,"suffix":""},{"dropping-particle":"","family":"Nadarajavan","given":"Senthil","non-dropping-particle":"","parse-names":false,"suffix":""},{"dropping-particle":"","family":"Bell","given":"Stephanie","non-dropping-particle":"","parse-names":false,"suffix":""},{"dropping-particle":"","family":"Patil","given":"Vishal","non-dropping-particle":"","parse-names":false,"suffix":""},{"dropping-particle":"","family":"Jah","given":"Asif","non-dropping-particle":"","parse-names":false,"suffix":""},{"dropping-particle":"","family":"Mahroof","given":"Razeen","non-dropping-particle":"","parse-names":false,"suffix":""},{"dropping-particle":"","family":"Watson","given":"Nicholas","non-dropping-particle":"","parse-names":false,"suffix":""},{"dropping-particle":"","family":"Tansley","given":"John","non-dropping-particle":"","parse-names":false,"suffix":""},{"dropping-particle":"","family":"Moncaster","given":"Gareth","non-dropping-particle":"","parse-names":false,"suffix":""},{"dropping-particle":"","family":"Flint","given":"Neil","non-dropping-particle":"","parse-names":false,"suffix":""},{"dropping-particle":"","family":"Miller","given":"Andrew","non-dropping-particle":"","parse-names":false,"suffix":""},{"dropping-particle":"","family":"Wood","given":"Marcus","non-dropping-particle":"","parse-names":false,"suffix":""},{"dropping-particle":"","family":"Prematie","given":"Andreou","non-dropping-particle":"","parse-names":false,"suffix":""},{"dropping-particle":"","family":"Roth","given":"Sally","non-dropping-particle":"","parse-names":false,"suffix":""},{"dropping-particle":"","family":"Bowery","given":"Sarah","non-dropping-particle":"","parse-names":false,"suffix":""},{"dropping-particle":"","family":"Hales","given":"Dawn","non-dropping-particle":"","parse-names":false,"suffix":""},{"dropping-particle":"","family":"Shah","given":"Tanuja","non-dropping-particle":"","parse-names":false,"suffix":""},{"dropping-particle":"","family":"Tierney","given":"Gill","non-dropping-particle":"","parse-names":false,"suffix":""},{"dropping-particle":"","family":"Morris","given":"Craig","non-dropping-particle":"","parse-names":false,"suffix":""},{"dropping-particle":"","family":"Iftikhar","given":"Syed","non-dropping-particle":"","parse-names":false,"suffix":""},{"dropping-particle":"","family":"Shukla","given":"Amit","non-dropping-particle":"","parse-names":false,"suffix":""},{"dropping-particle":"","family":"O'Dwyer","given":"Grainne","non-dropping-particle":"","parse-names":false,"suffix":""},{"dropping-particle":"","family":"Wolverson","given":"Adam","non-dropping-particle":"","parse-names":false,"suffix":""},{"dropping-particle":"","family":"Adams","given":"Ferdinand","non-dropping-particle":"","parse-names":false,"suffix":""},{"dropping-particle":"","family":"Perrin-Brown","given":"Laura","non-dropping-particle":"","parse-names":false,"suffix":""},{"dropping-particle":"","family":"White","given":"Tim","non-dropping-particle":"","parse-names":false,"suffix":""},{"dropping-particle":"","family":"Beavis","given":"Sarah","non-dropping-particle":"","parse-names":false,"suffix":""},{"dropping-particle":"","family":"Banks","given":"Victoria","non-dropping-particle":"","parse-names":false,"suffix":""},{"dropping-particle":"","family":"Abercrombie","given":"John","non-dropping-particle":"","parse-names":false,"suffix":""},{"dropping-particle":"","family":"Mole","given":"Jonathon","non-dropping-particle":"","parse-names":false,"suffix":""},{"dropping-particle":"","family":"Chana","given":"Avninder","non-dropping-particle":"","parse-names":false,"suffix":""},{"dropping-particle":"","family":"Banerjea","given":"Ayan","non-dropping-particle":"","parse-names":false,"suffix":""},{"dropping-particle":"","family":"Humes","given":"David","non-dropping-particle":"","parse-names":false,"suffix":""},{"dropping-particle":"","family":"Dhingsa","given":"Rajpal","non-dropping-particle":"","parse-names":false,"suffix":""},{"dropping-particle":"","family":"Wells","given":"John","non-dropping-particle":"","parse-names":false,"suffix":""},{"dropping-particle":"","family":"Brown","given":"Stephanie","non-dropping-particle":"","parse-names":false,"suffix":""},{"dropping-particle":"","family":"Adegoke","given":"Kenneth","non-dropping-particle":"","parse-names":false,"suffix":""},{"dropping-particle":"","family":"Tofte","given":"Barclay","non-dropping-particle":"","parse-names":false,"suffix":""},{"dropping-particle":"","family":"Alegria","given":"Ana","non-dropping-particle":"","parse-names":false,"suffix":""},{"dropping-particle":"","family":"Natarajan","given":"Nat","non-dropping-particle":"","parse-names":false,"suffix":""},{"dropping-particle":"","family":"Akhtar","given":"Mansoor","non-dropping-particle":"","parse-names":false,"suffix":""},{"dropping-particle":"","family":"Doughan","given":"Samer","non-dropping-particle":"","parse-names":false,"suffix":""},{"dropping-particle":"","family":"Mackinnon","given":"John","non-dropping-particle":"","parse-names":false,"suffix":""},{"dropping-particle":"","family":"Aravind","given":"Biju","non-dropping-particle":"","parse-names":false,"suffix":""},{"dropping-particle":"","family":"Cook","given":"Esther","non-dropping-particle":"","parse-names":false,"suffix":""},{"dropping-particle":"","family":"Snazelle","given":"Mark","non-dropping-particle":"","parse-names":false,"suffix":""},{"dropping-particle":"","family":"Gardner","given":"Matt","non-dropping-particle":"","parse-names":false,"suffix":""},{"dropping-particle":"","family":"Baldwin","given":"Lee","non-dropping-particle":"","parse-names":false,"suffix":""},{"dropping-particle":"","family":"Bailey","given":"Simon","non-dropping-particle":"","parse-names":false,"suffix":""},{"dropping-particle":"","family":"Lawton","given":"Greg","non-dropping-particle":"","parse-names":false,"suffix":""},{"dropping-particle":"","family":"Divekar","given":"Nandita","non-dropping-particle":"","parse-names":false,"suffix":""},{"dropping-particle":"","family":"Kukreja","given":"Neil","non-dropping-particle":"","parse-names":false,"suffix":""},{"dropping-particle":"","family":"Sange","given":"Mansoor","non-dropping-particle":"","parse-names":false,"suffix":""},{"dropping-particle":"","family":"Watson","given":"Mark","non-dropping-particle":"","parse-names":false,"suffix":""},{"dropping-particle":"","family":"Satisha","given":"Mallikarjunappa","non-dropping-particle":"","parse-names":false,"suffix":""},{"dropping-particle":"","family":"Protopapas","given":"Michael","non-dropping-particle":"","parse-names":false,"suffix":""},{"dropping-particle":"","family":"Belagodu","given":"Zakaulla","non-dropping-particle":"","parse-names":false,"suffix":""},{"dropping-particle":"","family":"Sarfi","given":"Shameem","non-dropping-particle":"","parse-names":false,"suffix":""},{"dropping-particle":"","family":"Raju","given":"Pasupathy","non-dropping-particle":"","parse-names":false,"suffix":""},{"dropping-particle":"","family":"Stacey","given":"Brenda","non-dropping-particle":"","parse-names":false,"suffix":""},{"dropping-particle":"","family":"Campbell-Smith","given":"Tim","non-dropping-particle":"","parse-names":false,"suffix":""},{"dropping-particle":"","family":"Parrington","given":"Simon","non-dropping-particle":"","parse-names":false,"suffix":""},{"dropping-particle":"","family":"Desikan","given":"Somi","non-dropping-particle":"","parse-names":false,"suffix":""},{"dropping-particle":"","family":"Brennan","given":"Andrew","non-dropping-particle":"","parse-names":false,"suffix":""},{"dropping-particle":"","family":"Griffith","given":"John","non-dropping-particle":"","parse-names":false,"suffix":""},{"dropping-particle":"","family":"Fletcher","given":"Steve","non-dropping-particle":"","parse-names":false,"suffix":""},{"dropping-particle":"","family":"Farrow","given":"Catherine","non-dropping-particle":"","parse-names":false,"suffix":""},{"dropping-particle":"","family":"Prestwich","given":"Stewart","non-dropping-particle":"","parse-names":false,"suffix":""},{"dropping-particle":"","family":"Graham","given":"Laura","non-dropping-particle":"","parse-names":false,"suffix":""},{"dropping-particle":"","family":"Northey","given":"Martin","non-dropping-particle":"","parse-names":false,"suffix":""},{"dropping-particle":"","family":"Gokhale","given":"Jay","non-dropping-particle":"","parse-names":false,"suffix":""},{"dropping-particle":"","family":"Mosley","given":"Frances","non-dropping-particle":"","parse-names":false,"suffix":""},{"dropping-particle":"","family":"Alexander","given":"Peter","non-dropping-particle":"","parse-names":false,"suffix":""},{"dropping-particle":"","family":"Sharma","given":"Abhiram","non-dropping-particle":"","parse-names":false,"suffix":""},{"dropping-particle":"","family":"Brady","given":"Will","non-dropping-particle":"","parse-names":false,"suffix":""},{"dropping-particle":"","family":"Hopper","given":"John","non-dropping-particle":"","parse-names":false,"suffix":""},{"dropping-particle":"","family":"Hill","given":"Oliver","non-dropping-particle":"","parse-names":false,"suffix":""},{"dropping-particle":"","family":"Varma","given":"Sandeep","non-dropping-particle":"","parse-names":false,"suffix":""},{"dropping-particle":"","family":"Macklin","given":"Christopher","non-dropping-particle":"","parse-names":false,"suffix":""},{"dropping-particle":"","family":"Rose","given":"Alastair","non-dropping-particle":"","parse-names":false,"suffix":""},{"dropping-particle":"","family":"Narula","given":"Harjeet","non-dropping-particle":"","parse-names":false,"suffix":""},{"dropping-particle":"","family":"Buckley","given":"Sarah","non-dropping-particle":"","parse-names":false,"suffix":""},{"dropping-particle":"","family":"Simeson","given":"Karen","non-dropping-particle":"","parse-names":false,"suffix":""},{"dropping-particle":"","family":"Sim","given":"Kevin","non-dropping-particle":"","parse-names":false,"suffix":""},{"dropping-particle":"","family":"Chadwick","given":"Michael","non-dropping-particle":"","parse-names":false,"suffix":""},{"dropping-particle":"","family":"Kuduvalli","given":"Preeti","non-dropping-particle":"","parse-names":false,"suffix":""},{"dropping-particle":"","family":"Dowling","given":"Susan","non-dropping-particle":"","parse-names":false,"suffix":""},{"dropping-particle":"","family":"McCairn","given":"Amanda","non-dropping-particle":"","parse-names":false,"suffix":""},{"dropping-particle":"","family":"Wilson","given":"Lawrence","non-dropping-particle":"","parse-names":false,"suffix":""},{"dropping-particle":"","family":"Vimalchandran","given":"Dale","non-dropping-particle":"","parse-names":false,"suffix":""},{"dropping-particle":"","family":"Jhamatt","given":"Anita","non-dropping-particle":"","parse-names":false,"suffix":""},{"dropping-particle":"","family":"Robin","given":"Nicole","non-dropping-particle":"","parse-names":false,"suffix":""},{"dropping-particle":"","family":"Monk","given":"David","non-dropping-particle":"","parse-names":false,"suffix":""},{"dropping-particle":"","family":"Bottomley","given":"David","non-dropping-particle":"","parse-names":false,"suffix":""},{"dropping-particle":"","family":"Zuzan","given":"Oliver","non-dropping-particle":"","parse-names":false,"suffix":""},{"dropping-particle":"","family":"Welters","given":"Ingeborg","non-dropping-particle":"","parse-names":false,"suffix":""},{"dropping-particle":"","family":"Ross-Anderson","given":"Davina","non-dropping-particle":"","parse-names":false,"suffix":""},{"dropping-particle":"","family":"Knowles","given":"Charles","non-dropping-particle":"","parse-names":false,"suffix":""},{"dropping-particle":"","family":"Bunker","given":"Nick","non-dropping-particle":"","parse-names":false,"suffix":""},{"dropping-particle":"","family":"Hu","given":"Ying","non-dropping-particle":"","parse-names":false,"suffix":""},{"dropping-particle":"","family":"Januszewska","given":"Marta","non-dropping-particle":"","parse-names":false,"suffix":""},{"dropping-particle":"","family":"Bodger","given":"Phoebe","non-dropping-particle":"","parse-names":false,"suffix":""},{"dropping-particle":"","family":"Niebrzegowska","given":"Edyta","non-dropping-particle":"","parse-names":false,"suffix":""},{"dropping-particle":"","family":"Correia","given":"Carmen","non-dropping-particle":"","parse-names":false,"suffix":""},{"dropping-particle":"","family":"Haslop","given":"Richard","non-dropping-particle":"","parse-names":false,"suffix":""},{"dropping-particle":"","family":"Abbott","given":"Tom","non-dropping-particle":"","parse-names":false,"suffix":""},{"dropping-particle":"","family":"Tanqueray","given":"Tabitha","non-dropping-particle":"","parse-names":false,"suffix":""},{"dropping-particle":"","family":"Wijeykoon","given":"Sanjay","non-dropping-particle":"","parse-names":false,"suffix":""},{"dropping-particle":"","family":"Jain","given":"Susan","non-dropping-particle":"","parse-names":false,"suffix":""},{"dropping-particle":"","family":"Full","given":"Jens","non-dropping-particle":"","parse-names":false,"suffix":""},{"dropping-particle":"","family":"Cuming","given":"Tamzin","non-dropping-particle":"","parse-names":false,"suffix":""},{"dropping-particle":"","family":"Bailey","given":"Flora","non-dropping-particle":"","parse-names":false,"suffix":""},{"dropping-particle":"","family":"Chatzimichail","given":"Stelios","non-dropping-particle":"","parse-names":false,"suffix":""},{"dropping-particle":"","family":"Cunha","given":"Pedro","non-dropping-particle":"","parse-names":false,"suffix":""},{"dropping-particle":"","family":"Rehman","given":"Almas","non-dropping-particle":"","parse-names":false,"suffix":""},{"dropping-particle":"","family":"Mohanty","given":"Manab","non-dropping-particle":"","parse-names":false,"suffix":""},{"dropping-particle":"","family":"Radford","given":"Nicola","non-dropping-particle":"","parse-names":false,"suffix":""},{"dropping-particle":"","family":"Mohr","given":"Otto","non-dropping-particle":"","parse-names":false,"suffix":""},{"dropping-particle":"","family":"Patel","given":"Hitesh","non-dropping-particle":"","parse-names":false,"suffix":""},{"dropping-particle":"","family":"Mateo","given":"Dolores","non-dropping-particle":"","parse-names":false,"suffix":""},{"dropping-particle":"","family":"Raj","given":"Ashok","non-dropping-particle":"","parse-names":false,"suffix":""},{"dropping-particle":"","family":"Machesney","given":"Michael","non-dropping-particle":"","parse-names":false,"suffix":""},{"dropping-particle":"","family":"Abdul","given":"Nazar","non-dropping-particle":"","parse-names":false,"suffix":""},{"dropping-particle":"","family":"Jemmet","given":"Kim","non-dropping-particle":"","parse-names":false,"suffix":""},{"dropping-particle":"","family":"Campbell","given":"Marta","non-dropping-particle":"","parse-names":false,"suffix":""},{"dropping-particle":"","family":"Inglis","given":"David","non-dropping-particle":"","parse-names":false,"suffix":""},{"dropping-particle":"","family":"Parker","given":"Thomas","non-dropping-particle":"","parse-names":false,"suffix":""},{"dropping-particle":"","family":"Medici","given":"Thomas","non-dropping-particle":"","parse-names":false,"suffix":""},{"dropping-particle":"","family":"Chan","given":"Peter","non-dropping-particle":"","parse-names":false,"suffix":""},{"dropping-particle":"","family":"Borgeaud","given":"Nathan","non-dropping-particle":"","parse-names":false,"suffix":""},{"dropping-particle":"","family":"Mukherjee","given":"Dipankar","non-dropping-particle":"","parse-names":false,"suffix":""},{"dropping-particle":"","family":"Odejinmi","given":"Oluremi","non-dropping-particle":"","parse-names":false,"suffix":""},{"dropping-particle":"","family":"Jovaisa","given":"Tomas","non-dropping-particle":"","parse-names":false,"suffix":""},{"dropping-particle":"","family":"Harwood","given":"Elizabeth","non-dropping-particle":"","parse-names":false,"suffix":""},{"dropping-particle":"","family":"Moonesinghe","given":"Ramani","non-dropping-particle":"","parse-names":false,"suffix":""},{"dropping-particle":"","family":"Mccullough","given":"Jonathan","non-dropping-particle":"","parse-names":false,"suffix":""},{"dropping-particle":"","family":"Modha","given":"Jigna","non-dropping-particle":"","parse-names":false,"suffix":""},{"dropping-particle":"","family":"Patel","given":"Sanjiv","non-dropping-particle":"","parse-names":false,"suffix":""},{"dropping-particle":"","family":"Limb","given":"James","non-dropping-particle":"","parse-names":false,"suffix":""},{"dropping-particle":"","family":"Bengeri","given":"Sheshagiri","non-dropping-particle":"","parse-names":false,"suffix":""},{"dropping-particle":"","family":"Rafi","given":"Amir","non-dropping-particle":"","parse-names":false,"suffix":""},{"dropping-particle":"","family":"Hall","given":"Elizabeth","non-dropping-particle":"","parse-names":false,"suffix":""},{"dropping-particle":"","family":"Brown","given":"James","non-dropping-particle":"","parse-names":false,"suffix":""},{"dropping-particle":"","family":"Gibson","given":"Bruce","non-dropping-particle":"","parse-names":false,"suffix":""},{"dropping-particle":"","family":"McNelis","given":"Una","non-dropping-particle":"","parse-names":false,"suffix":""},{"dropping-particle":"","family":"Bradburn","given":"Mike","non-dropping-particle":"","parse-names":false,"suffix":""},{"dropping-particle":"","family":"Lawson","given":"Maria","non-dropping-particle":"","parse-names":false,"suffix":""},{"dropping-particle":"","family":"Pick","given":"Sara","non-dropping-particle":"","parse-names":false,"suffix":""},{"dropping-particle":"","family":"Gaughan","given":"Matthew","non-dropping-particle":"","parse-names":false,"suffix":""},{"dropping-particle":"","family":"Browell","given":"David","non-dropping-particle":"","parse-names":false,"suffix":""},{"dropping-particle":"","family":"Linnett","given":"Vanessa","non-dropping-particle":"","parse-names":false,"suffix":""},{"dropping-particle":"","family":"Ritzema","given":"Jenny","non-dropping-particle":"","parse-names":false,"suffix":""},{"dropping-particle":"","family":"O'Loughlin","given":"Paul","non-dropping-particle":"","parse-names":false,"suffix":""},{"dropping-particle":"","family":"Cope","given":"Sean","non-dropping-particle":"","parse-names":false,"suffix":""},{"dropping-particle":"","family":"Corson","given":"John","non-dropping-particle":"","parse-names":false,"suffix":""},{"dropping-particle":"","family":"Roy","given":"Alistair","non-dropping-particle":"","parse-names":false,"suffix":""},{"dropping-particle":"","family":"Furneval","given":"Julie","non-dropping-particle":"","parse-names":false,"suffix":""},{"dropping-particle":"","family":"Holtham","given":"Anitha","non-dropping-particle":"","parse-names":false,"suffix":""},{"dropping-particle":"","family":"Noblett","given":"Sophie","non-dropping-particle":"","parse-names":false,"suffix":""},{"dropping-particle":"","family":"Dawson","given":"Chris","non-dropping-particle":"","parse-names":false,"suffix":""},{"dropping-particle":"","family":"McMenemie","given":"Fiona","non-dropping-particle":"","parse-names":false,"suffix":""},{"dropping-particle":"","family":"Pulsa","given":"Stefan","non-dropping-particle":"","parse-names":false,"suffix":""},{"dropping-particle":"","family":"Clement","given":"Ian","non-dropping-particle":"","parse-names":false,"suffix":""},{"dropping-particle":"","family":"Calder","given":"Verity","non-dropping-particle":"","parse-names":false,"suffix":""},{"dropping-particle":"","family":"Allen","given":"Katherine","non-dropping-particle":"","parse-names":false,"suffix":""},{"dropping-particle":"","family":"Rimmer","given":"Catherine","non-dropping-particle":"","parse-names":false,"suffix":""},{"dropping-particle":"","family":"Reed","given":"Helen","non-dropping-particle":"","parse-names":false,"suffix":""},{"dropping-particle":"","family":"Boyd","given":"Christine","non-dropping-particle":"","parse-names":false,"suffix":""},{"dropping-particle":"","family":"Monkhouse","given":"Diane","non-dropping-particle":"","parse-names":false,"suffix":""},{"dropping-particle":"","family":"Davies","given":"Peter","non-dropping-particle":"","parse-names":false,"suffix":""},{"dropping-particle":"","family":"Mullenheim","given":"Jost","non-dropping-particle":"","parse-names":false,"suffix":""},{"dropping-particle":"","family":"Cirstea","given":"Emanuel","non-dropping-particle":"","parse-names":false,"suffix":""},{"dropping-particle":"","family":"Cain","given":"Martyn","non-dropping-particle":"","parse-names":false,"suffix":""},{"dropping-particle":"","family":"Baillie","given":"Kirsty","non-dropping-particle":"","parse-names":false,"suffix":""},{"dropping-particle":"","family":"Bhowmick","given":"Arnab","non-dropping-particle":"","parse-names":false,"suffix":""},{"dropping-particle":"","family":"Jovestani","given":"Keiarash","non-dropping-particle":"","parse-names":false,"suffix":""},{"dropping-particle":"","family":"Mcmullan","given":"Sean","non-dropping-particle":"","parse-names":false,"suffix":""},{"dropping-particle":"","family":"Durant","given":"Emma","non-dropping-particle":"","parse-names":false,"suffix":""},{"dropping-particle":"","family":"Williams","given":"Alexandra","non-dropping-particle":"","parse-names":false,"suffix":""},{"dropping-particle":"","family":"Doyle","given":"Donna","non-dropping-particle":"","parse-names":false,"suffix":""},{"dropping-particle":"","family":"Cupitt","given":"Jason","non-dropping-particle":"","parse-names":false,"suffix":""},{"dropping-particle":"","family":"Barker","given":"Jonathon","non-dropping-particle":"","parse-names":false,"suffix":""},{"dropping-particle":"","family":"Harper","given":"Nick","non-dropping-particle":"","parse-names":false,"suffix":""},{"dropping-particle":"","family":"Brennan","given":"Emma","non-dropping-particle":"","parse-names":false,"suffix":""},{"dropping-particle":"","family":"Subar","given":"Daren","non-dropping-particle":"","parse-names":false,"suffix":""},{"dropping-particle":"","family":"Shawcross","given":"Robert","non-dropping-particle":"","parse-names":false,"suffix":""},{"dropping-particle":"","family":"Sebastian","given":"Dominic","non-dropping-particle":"","parse-names":false,"suffix":""},{"dropping-particle":"","family":"Patel","given":"Panna","non-dropping-particle":"","parse-names":false,"suffix":""},{"dropping-particle":"","family":"O'Connell","given":"Gillian","non-dropping-particle":"","parse-names":false,"suffix":""},{"dropping-particle":"","family":"Karvonen","given":"Jyrki","non-dropping-particle":"","parse-names":false,"suffix":""},{"dropping-particle":"","family":"Ishaan","given":"Maitra","non-dropping-particle":"","parse-names":false,"suffix":""},{"dropping-particle":"","family":"Hool","given":"Alison","non-dropping-particle":"","parse-names":false,"suffix":""},{"dropping-particle":"","family":"Burns","given":"Karen","non-dropping-particle":"","parse-names":false,"suffix":""},{"dropping-particle":"","family":"Mcarthur","given":"Carol","non-dropping-particle":"","parse-names":false,"suffix":""},{"dropping-particle":"","family":"Stergios","given":"Tezas","non-dropping-particle":"","parse-names":false,"suffix":""},{"dropping-particle":"","family":"Gursevak","given":"Singh","non-dropping-particle":"","parse-names":false,"suffix":""},{"dropping-particle":"","family":"Sonia","given":"Makvana","non-dropping-particle":"","parse-names":false,"suffix":""},{"dropping-particle":"","family":"Pratt","given":"Heather","non-dropping-particle":"","parse-names":false,"suffix":""},{"dropping-particle":"","family":"Lynne","given":"Kaighan","non-dropping-particle":"","parse-names":false,"suffix":""},{"dropping-particle":"","family":"McAfee","given":"Sean","non-dropping-particle":"","parse-names":false,"suffix":""},{"dropping-particle":"","family":"Lewis","given":"Chris","non-dropping-particle":"","parse-names":false,"suffix":""},{"dropping-particle":"","family":"Khalaf","given":"Wael","non-dropping-particle":"","parse-names":false,"suffix":""},{"dropping-particle":"","family":"Coldwell","given":"Chris","non-dropping-particle":"","parse-names":false,"suffix":""},{"dropping-particle":"","family":"Bronder","given":"Christine","non-dropping-particle":"","parse-names":false,"suffix":""},{"dropping-particle":"","family":"Wilkinson","given":"Mark","non-dropping-particle":"","parse-names":false,"suffix":""},{"dropping-particle":"","family":"Davis","given":"Emma","non-dropping-particle":"","parse-names":false,"suffix":""},{"dropping-particle":"","family":"Arnold","given":"Glenn","non-dropping-particle":"","parse-names":false,"suffix":""},{"dropping-particle":"","family":"Ziprin","given":"Paul","non-dropping-particle":"","parse-names":false,"suffix":""},{"dropping-particle":"","family":"Bartlett","given":"Rachel","non-dropping-particle":"","parse-names":false,"suffix":""},{"dropping-particle":"","family":"Stotz","given":"Martin","non-dropping-particle":"","parse-names":false,"suffix":""},{"dropping-particle":"","family":"D'souza","given":"Rovan","non-dropping-particle":"","parse-names":false,"suffix":""},{"dropping-particle":"","family":"Pemberton","given":"Phillippa","non-dropping-particle":"","parse-names":false,"suffix":""},{"dropping-particle":"","family":"Agarwal","given":"Banwari","non-dropping-particle":"","parse-names":false,"suffix":""},{"dropping-particle":"","family":"Sugavanam","given":"Anita","non-dropping-particle":"","parse-names":false,"suffix":""},{"dropping-particle":"","family":"Tan","given":"Melanie","non-dropping-particle":"","parse-names":false,"suffix":""},{"dropping-particle":"","family":"Varcada","given":"Massimo","non-dropping-particle":"","parse-names":false,"suffix":""},{"dropping-particle":"","family":"Lyness","given":"Craig","non-dropping-particle":"","parse-names":false,"suffix":""},{"dropping-particle":"","family":"Thorniley","given":"Andrew","non-dropping-particle":"","parse-names":false,"suffix":""},{"dropping-particle":"","family":"Prabhudesai","given":"Ash","non-dropping-particle":"","parse-names":false,"suffix":""},{"dropping-particle":"","family":"Griffin","given":"Ruth","non-dropping-particle":"","parse-names":false,"suffix":""},{"dropping-particle":"","family":"Vashisht","given":"Shubha","non-dropping-particle":"","parse-names":false,"suffix":""},{"dropping-particle":"","family":"Harris","given":"James","non-dropping-particle":"","parse-names":false,"suffix":""},{"dropping-particle":"","family":"Wakeford","given":"Julie","non-dropping-particle":"","parse-names":false,"suffix":""},{"dropping-particle":"","family":"Vaganov","given":"Sergei","non-dropping-particle":"","parse-names":false,"suffix":""},{"dropping-particle":"","family":"Mohsen","given":"Yasser","non-dropping-particle":"","parse-names":false,"suffix":""},{"dropping-particle":"","family":"Myers","given":"Alister","non-dropping-particle":"","parse-names":false,"suffix":""},{"dropping-particle":"","family":"Iqbal","given":"Qamar","non-dropping-particle":"","parse-names":false,"suffix":""},{"dropping-particle":"","family":"Harris","given":"Simon","non-dropping-particle":"","parse-names":false,"suffix":""},{"dropping-particle":"","family":"Ijaz","given":"Sami","non-dropping-particle":"","parse-names":false,"suffix":""},{"dropping-particle":"","family":"Burrow","given":"James","non-dropping-particle":"","parse-names":false,"suffix":""},{"dropping-particle":"","family":"Rubulotta","given":"Francesca","non-dropping-particle":"","parse-names":false,"suffix":""},{"dropping-particle":"","family":"El-Masry","given":"Nabil","non-dropping-particle":"","parse-names":false,"suffix":""},{"dropping-particle":"","family":"Stranix","given":"Nicola","non-dropping-particle":"","parse-names":false,"suffix":""},{"dropping-particle":"","family":"Rope","given":"Tamsin","non-dropping-particle":"","parse-names":false,"suffix":""},{"dropping-particle":"","family":"Liasis","given":"Lampros","non-dropping-particle":"","parse-names":false,"suffix":""},{"dropping-particle":"","family":"Husain","given":"Tariq","non-dropping-particle":"","parse-names":false,"suffix":""},{"dropping-particle":"","family":"Watfah","given":"Josef","non-dropping-particle":"","parse-names":false,"suffix":""},{"dropping-particle":"","family":"Griffiths","given":"Megan","non-dropping-particle":"","parse-names":false,"suffix":""},{"dropping-particle":"","family":"Warusavitarne","given":"Janindra","non-dropping-particle":"","parse-names":false,"suffix":""},{"dropping-particle":"","family":"Cartwright","given":"Charles","non-dropping-particle":"","parse-names":false,"suffix":""},{"dropping-particle":"","family":"Baxter","given":"Linden","non-dropping-particle":"","parse-names":false,"suffix":""},{"dropping-particle":"","family":"Visavadia","given":"Rakhee","non-dropping-particle":"","parse-names":false,"suffix":""},{"dropping-particle":"","family":"Sim","given":"Malcolm","non-dropping-particle":"","parse-names":false,"suffix":""},{"dropping-particle":"","family":"Wilson","given":"Chris","non-dropping-particle":"","parse-names":false,"suffix":""},{"dropping-particle":"","family":"Harrison","given":"Paul","non-dropping-particle":"","parse-names":false,"suffix":""},{"dropping-particle":"","family":"Williams","given":"Dewi","non-dropping-particle":"","parse-names":false,"suffix":""},{"dropping-particle":"","family":"Bews-Hair","given":"Maria","non-dropping-particle":"","parse-names":false,"suffix":""},{"dropping-particle":"","family":"Wrathall","given":"Wayne","non-dropping-particle":"","parse-names":false,"suffix":""},{"dropping-particle":"","family":"Jardine","given":"Catherine","non-dropping-particle":"","parse-names":false,"suffix":""},{"dropping-particle":"","family":"Mclaren","given":"Paul","non-dropping-particle":"","parse-names":false,"suffix":""},{"dropping-particle":"","family":"Dreyer","given":"Fanus","non-dropping-particle":"","parse-names":false,"suffix":""},{"dropping-particle":"","family":"Collins","given":"Paddy","non-dropping-particle":"","parse-names":false,"suffix":""},{"dropping-particle":"","family":"Edwards","given":"Jennifer","non-dropping-particle":"","parse-names":false,"suffix":""},{"dropping-particle":"","family":"Moug","given":"Susan","non-dropping-particle":"","parse-names":false,"suffix":""},{"dropping-particle":"","family":"Rooney","given":"Kevin","non-dropping-particle":"","parse-names":false,"suffix":""},{"dropping-particle":"","family":"Mcilveen","given":"Erin","non-dropping-particle":"","parse-names":false,"suffix":""},{"dropping-particle":"","family":"Henderson","given":"Steven","non-dropping-particle":"","parse-names":false,"suffix":""},{"dropping-particle":"","family":"Graham","given":"Linda","non-dropping-particle":"","parse-names":false,"suffix":""},{"dropping-particle":"","family":"Stark","given":"Gail","non-dropping-particle":"","parse-names":false,"suffix":""},{"dropping-particle":"","family":"Taylor","given":"Lynn","non-dropping-particle":"","parse-names":false,"suffix":""},{"dropping-particle":"","family":"Munro","given":"Mark","non-dropping-particle":"","parse-names":false,"suffix":""},{"dropping-particle":"","family":"Stewart","given":"Lynn","non-dropping-particle":"","parse-names":false,"suffix":""},{"dropping-particle":"","family":"Dickinson","given":"Natalie","non-dropping-particle":"","parse-names":false,"suffix":""},{"dropping-particle":"","family":"Rooney","given":"Laura","non-dropping-particle":"","parse-names":false,"suffix":""},{"dropping-particle":"","family":"Bailey","given":"Lindsay","non-dropping-particle":"","parse-names":false,"suffix":""},{"dropping-particle":"","family":"Murray","given":"Diane","non-dropping-particle":"","parse-names":false,"suffix":""},{"dropping-particle":"","family":"Geary","given":"Tim","non-dropping-particle":"","parse-names":false,"suffix":""},{"dropping-particle":"","family":"Gibson","given":"Simon","non-dropping-particle":"","parse-names":false,"suffix":""},{"dropping-particle":"","family":"Pow","given":"Colin","non-dropping-particle":"","parse-names":false,"suffix":""},{"dropping-particle":"","family":"Tan","given":"Kerwei","non-dropping-particle":"","parse-names":false,"suffix":""},{"dropping-particle":"","family":"Stevenson","given":"Richard","non-dropping-particle":"","parse-names":false,"suffix":""},{"dropping-particle":"","family":"Harrison","given":"Ewen","non-dropping-particle":"","parse-names":false,"suffix":""},{"dropping-particle":"","family":"Lamb","given":"Peter","non-dropping-particle":"","parse-names":false,"suffix":""},{"dropping-particle":"","family":"Carey","given":"Kate","non-dropping-particle":"","parse-names":false,"suffix":""},{"dropping-particle":"","family":"Fitton","given":"Laura","non-dropping-particle":"","parse-names":false,"suffix":""},{"dropping-particle":"","family":"Cook","given":"Fabian","non-dropping-particle":"","parse-names":false,"suffix":""},{"dropping-particle":"","family":"Schwarz","given":"Magen","non-dropping-particle":"","parse-names":false,"suffix":""},{"dropping-particle":"","family":"Morrison","given":"Alan","non-dropping-particle":"","parse-names":false,"suffix":""},{"dropping-particle":"","family":"Bryce","given":"Gavin","non-dropping-particle":"","parse-names":false,"suffix":""},{"dropping-particle":"","family":"Razouk","given":"Khaled","non-dropping-particle":"","parse-names":false,"suffix":""},{"dropping-particle":"","family":"Cain","given":"Kathryn","non-dropping-particle":"","parse-names":false,"suffix":""},{"dropping-particle":"","family":"Kunst","given":"Gudrun","non-dropping-particle":"","parse-names":false,"suffix":""},{"dropping-particle":"","family":"Papagrigoriadis","given":"Savvas","non-dropping-particle":"","parse-names":false,"suffix":""},{"dropping-particle":"","family":"Hopkins","given":"Phil","non-dropping-particle":"","parse-names":false,"suffix":""},{"dropping-particle":"","family":"Fawcet","given":"Adrian","non-dropping-particle":"","parse-names":false,"suffix":""},{"dropping-particle":"","family":"O'Carroll-Kuehn","given":"Britta","non-dropping-particle":"","parse-names":false,"suffix":""},{"dropping-particle":"","family":"Girgis","given":"Amira","non-dropping-particle":"","parse-names":false,"suffix":""},{"dropping-particle":"","family":"Janokowski","given":"Stas","non-dropping-particle":"","parse-names":false,"suffix":""},{"dropping-particle":"","family":"Farhat","given":"Sami","non-dropping-particle":"","parse-names":false,"suffix":""},{"dropping-particle":"","family":"Vig","given":"Stella","non-dropping-particle":"","parse-names":false,"suffix":""},{"dropping-particle":"","family":"Hadi","given":"Nada","non-dropping-particle":"","parse-names":false,"suffix":""},{"dropping-particle":"","family":"Parsons","given":"Anthony","non-dropping-particle":"","parse-names":false,"suffix":""},{"dropping-particle":"","family":"Cecconi","given":"Maurizio","non-dropping-particle":"","parse-names":false,"suffix":""},{"dropping-particle":"","family":"Melville","given":"David","non-dropping-particle":"","parse-names":false,"suffix":""},{"dropping-particle":"","family":"Hartopp","given":"Richard","non-dropping-particle":"","parse-names":false,"suffix":""},{"dropping-particle":"","family":"Woods","given":"Justin","non-dropping-particle":"","parse-names":false,"suffix":""},{"dropping-particle":"","family":"Karat","given":"Isabella","non-dropping-particle":"","parse-names":false,"suffix":""},{"dropping-particle":"","family":"Gerrard","given":"David","non-dropping-particle":"","parse-names":false,"suffix":""},{"dropping-particle":"","family":"Curtis","given":"Edward","non-dropping-particle":"","parse-names":false,"suffix":""},{"dropping-particle":"","family":"Somasekar","given":"Krishnamurthy","non-dropping-particle":"","parse-names":false,"suffix":""},{"dropping-particle":"","family":"Morgan-Jones","given":"Tom","non-dropping-particle":"","parse-names":false,"suffix":""},{"dropping-particle":"","family":"Martin","given":"Michael","non-dropping-particle":"","parse-names":false,"suffix":""},{"dropping-particle":"","family":"Henwood","given":"Mark","non-dropping-particle":"","parse-names":false,"suffix":""},{"dropping-particle":"","family":"Milne","given":"Gordon","non-dropping-particle":"","parse-names":false,"suffix":""},{"dropping-particle":"","family":"Sivasankaranand","given":"Ajit","non-dropping-particle":"","parse-names":false,"suffix":""},{"dropping-particle":"","family":"Scott","given":"Alexandra","non-dropping-particle":"","parse-names":false,"suffix":""},{"dropping-particle":"","family":"Escofet","given":"Xavier","non-dropping-particle":"","parse-names":false,"suffix":""},{"dropping-particle":"","family":"Toth-Tarsoly","given":"Piroska","non-dropping-particle":"","parse-names":false,"suffix":""},{"dropping-particle":"","family":"Shama","given":"Majed","non-dropping-particle":"Al","parse-names":false,"suffix":""},{"dropping-particle":"","family":"Hilton","given":"Valerie","non-dropping-particle":"","parse-names":false,"suffix":""},{"dropping-particle":"","family":"Davis","given":"Huw","non-dropping-particle":"","parse-names":false,"suffix":""},{"dropping-particle":"","family":"Williams","given":"Gail","non-dropping-particle":"","parse-names":false,"suffix":""},{"dropping-particle":"","family":"Harvard","given":"Tim","non-dropping-particle":"","parse-names":false,"suffix":""},{"dropping-particle":"","family":"Fitzgerald","given":"Peter","non-dropping-particle":"","parse-names":false,"suffix":""},{"dropping-particle":"","family":"Hurford","given":"Dom","non-dropping-particle":"","parse-names":false,"suffix":""},{"dropping-particle":"","family":"Muthuswamy","given":"Babu","non-dropping-particle":"","parse-names":false,"suffix":""},{"dropping-particle":"","family":"Williams","given":"Gethin","non-dropping-particle":"","parse-names":false,"suffix":""},{"dropping-particle":"","family":"Parry Jones","given":"Jack","non-dropping-particle":"","parse-names":false,"suffix":""},{"dropping-particle":"","family":"Mason","given":"Nick","non-dropping-particle":"","parse-names":false,"suffix":""},{"dropping-particle":"","family":"Rajagopal","given":"Ramesh","non-dropping-particle":"","parse-names":false,"suffix":""},{"dropping-particle":"","family":"Shenoy","given":"Shrisha","non-dropping-particle":"","parse-names":false,"suffix":""},{"dropping-particle":"","family":"Khater","given":"Magdy","non-dropping-particle":"","parse-names":false,"suffix":""},{"dropping-particle":"","family":"Morgan","given":"Richard","non-dropping-particle":"","parse-names":false,"suffix":""},{"dropping-particle":"","family":"Makris","given":"Nikolaos","non-dropping-particle":"","parse-names":false,"suffix":""},{"dropping-particle":"","family":"Hermandes","given":"Anil","non-dropping-particle":"","parse-names":false,"suffix":""},{"dropping-particle":"","family":"White","given":"Andrew","non-dropping-particle":"","parse-names":false,"suffix":""},{"dropping-particle":"","family":"Finch","given":"Guy","non-dropping-particle":"","parse-names":false,"suffix":""},{"dropping-particle":"","family":"Outram","given":"Matt","non-dropping-particle":"","parse-names":false,"suffix":""},{"dropping-particle":"","family":"Wilkinson","given":"Jonny","non-dropping-particle":"","parse-names":false,"suffix":""},{"dropping-particle":"","family":"Spimpolo","given":"Jennifer","non-dropping-particle":"","parse-names":false,"suffix":""},{"dropping-particle":"","family":"Shaw","given":"Debbie","non-dropping-particle":"","parse-names":false,"suffix":""},{"dropping-particle":"","family":"Obichere","given":"Marion","non-dropping-particle":"","parse-names":false,"suffix":""},{"dropping-particle":"","family":"Brescia","given":"Giovanni","non-dropping-particle":"","parse-names":false,"suffix":""},{"dropping-particle":"","family":"Menezes","given":"Flavia","non-dropping-particle":"","parse-names":false,"suffix":""},{"dropping-particle":"","family":"Stafford","given":"Helena","non-dropping-particle":"","parse-names":false,"suffix":""},{"dropping-particle":"","family":"Watters","given":"Malcolm","non-dropping-particle":"","parse-names":false,"suffix":""},{"dropping-particle":"","family":"Thorn","given":"Chris","non-dropping-particle":"","parse-names":false,"suffix":""},{"dropping-particle":"","family":"Stone","given":"Julian","non-dropping-particle":"","parse-names":false,"suffix":""},{"dropping-particle":"","family":"Andrews","given":"Sam","non-dropping-particle":"","parse-names":false,"suffix":""},{"dropping-particle":"","family":"Lythell","given":"Nicola","non-dropping-particle":"","parse-names":false,"suffix":""},{"dropping-particle":"","family":"Langton","given":"Helen","non-dropping-particle":"","parse-names":false,"suffix":""},{"dropping-particle":"","family":"Baxter","given":"Stephen","non-dropping-particle":"","parse-names":false,"suffix":""},{"dropping-particle":"","family":"Fernandes","given":"Roy","non-dropping-particle":"","parse-names":false,"suffix":""},{"dropping-particle":"","family":"Sunthareswaran","given":"Rame","non-dropping-particle":"","parse-names":false,"suffix":""},{"dropping-particle":"","family":"Ankers","given":"Alastair","non-dropping-particle":"","parse-names":false,"suffix":""},{"dropping-particle":"","family":"Panikkar","given":"Kumar","non-dropping-particle":"","parse-names":false,"suffix":""},{"dropping-particle":"","family":"Sleight","given":"Simon","non-dropping-particle":"","parse-names":false,"suffix":""},{"dropping-particle":"","family":"Cornforth","given":"Belinda","non-dropping-particle":"","parse-names":false,"suffix":""},{"dropping-particle":"","family":"Bell","given":"Louise","non-dropping-particle":"","parse-names":false,"suffix":""},{"dropping-particle":"","family":"Dodd","given":"Phil","non-dropping-particle":"","parse-names":false,"suffix":""},{"dropping-particle":"","family":"Welsh","given":"Fenella","non-dropping-particle":"","parse-names":false,"suffix":""},{"dropping-particle":"","family":"Watson","given":"Geoff","non-dropping-particle":"","parse-names":false,"suffix":""},{"dropping-particle":"","family":"Dorman","given":"Frankie","non-dropping-particle":"","parse-names":false,"suffix":""},{"dropping-particle":"","family":"Nash","given":"Guy","non-dropping-particle":"","parse-names":false,"suffix":""},{"dropping-particle":"","family":"Bromilow","given":"James","non-dropping-particle":"","parse-names":false,"suffix":""},{"dropping-particle":"","family":"Haigh","given":"Fran","non-dropping-particle":"","parse-names":false,"suffix":""},{"dropping-particle":"","family":"Pogson","given":"David","non-dropping-particle":"","parse-names":false,"suffix":""},{"dropping-particle":"","family":"Mercer","given":"Stuart","non-dropping-particle":"","parse-names":false,"suffix":""},{"dropping-particle":"","family":"Tucker","given":"Vanessa","non-dropping-particle":"","parse-names":false,"suffix":""},{"dropping-particle":"","family":"Way","given":"Carolyn","non-dropping-particle":"","parse-names":false,"suffix":""},{"dropping-particle":"","family":"Kirby-Bott","given":"James","non-dropping-particle":"","parse-names":false,"suffix":""},{"dropping-particle":"","family":"McLachan","given":"Jenny","non-dropping-particle":"","parse-names":false,"suffix":""},{"dropping-particle":"","family":"Chambers","given":"Rob","non-dropping-particle":"","parse-names":false,"suffix":""},{"dropping-particle":"","family":"Craven","given":"Rachael","non-dropping-particle":"","parse-names":false,"suffix":""},{"dropping-particle":"","family":"Blazeby","given":"Jane","non-dropping-particle":"","parse-names":false,"suffix":""},{"dropping-particle":"","family":"Freshwater-Turner","given":"Dan","non-dropping-particle":"","parse-names":false,"suffix":""},{"dropping-particle":"","family":"Burrows","given":"Lorna","non-dropping-particle":"","parse-names":false,"suffix":""},{"dropping-particle":"","family":"Howes","given":"Helen","non-dropping-particle":"","parse-names":false,"suffix":""},{"dropping-particle":"","family":"Christie","given":"Iain","non-dropping-particle":"","parse-names":false,"suffix":""},{"dropping-particle":"","family":"Coleman","given":"Mark","non-dropping-particle":"","parse-names":false,"suffix":""},{"dropping-particle":"","family":"Waddy","given":"Sam","non-dropping-particle":"","parse-names":false,"suffix":""},{"dropping-particle":"","family":"Sanders","given":"Grant","non-dropping-particle":"","parse-names":false,"suffix":""},{"dropping-particle":"","family":"Patrick","given":"Abigail","non-dropping-particle":"","parse-names":false,"suffix":""},{"dropping-particle":"","family":"Pitman","given":"Catherine","non-dropping-particle":"","parse-names":false,"suffix":""},{"dropping-particle":"","family":"Tyson","given":"Susan","non-dropping-particle":"","parse-names":false,"suffix":""},{"dropping-particle":"","family":"Smith","given":"Hannah","non-dropping-particle":"","parse-names":false,"suffix":""},{"dropping-particle":"","family":"Rousseau","given":"Guy","non-dropping-particle":"","parse-names":false,"suffix":""},{"dropping-particle":"","family":"Cartmell","given":"Mark","non-dropping-particle":"","parse-names":false,"suffix":""},{"dropping-particle":"","family":"Hanousek","given":"Jan","non-dropping-particle":"","parse-names":false,"suffix":""},{"dropping-particle":"","family":"Hollister","given":"Nigel","non-dropping-particle":"","parse-names":false,"suffix":""},{"dropping-particle":"","family":"Kightly","given":"Lynsey","non-dropping-particle":"","parse-names":false,"suffix":""},{"dropping-particle":"","family":"Pulletz","given":"Mark","non-dropping-particle":"","parse-names":false,"suffix":""},{"dropping-particle":"","family":"Talwar","given":"Anjay","non-dropping-particle":"","parse-names":false,"suffix":""},{"dropping-particle":"","family":"Baker","given":"Susie","non-dropping-particle":"","parse-names":false,"suffix":""},{"dropping-particle":"","family":"Thomas","given":"Ruth","non-dropping-particle":"","parse-names":false,"suffix":""},{"dropping-particle":"","family":"Gibbs","given":"Richard","non-dropping-particle":"","parse-names":false,"suffix":""},{"dropping-particle":"","family":"Noble","given":"Hamish","non-dropping-particle":"","parse-names":false,"suffix":""},{"dropping-particle":"","family":"Silsby","given":"Joseph","non-dropping-particle":"","parse-names":false,"suffix":""},{"dropping-particle":"","family":"Black","given":"Helen","non-dropping-particle":"","parse-names":false,"suffix":""},{"dropping-particle":"","family":"Evans","given":"Thomas","non-dropping-particle":"","parse-names":false,"suffix":""},{"dropping-particle":"","family":"DeBrunner","given":"Robert","non-dropping-particle":"","parse-names":false,"suffix":""},{"dropping-particle":"","family":"Cook","given":"Nicola","non-dropping-particle":"","parse-names":false,"suffix":""},{"dropping-particle":"","family":"Hodges","given":"Stacy","non-dropping-particle":"","parse-names":false,"suffix":""},{"dropping-particle":"","family":"Stevens","given":"Amanda","non-dropping-particle":"","parse-names":false,"suffix":""},{"dropping-particle":"","family":"Felipe","given":"Rowena","non-dropping-particle":"","parse-names":false,"suffix":""},{"dropping-particle":"","family":"Paddle","given":"Jonathan","non-dropping-particle":"","parse-names":false,"suffix":""},{"dropping-particle":"","family":"May","given":"Denzil","non-dropping-particle":"","parse-names":false,"suffix":""},{"dropping-particle":"","family":"Pickford","given":"Alison","non-dropping-particle":"","parse-names":false,"suffix":""},{"dropping-particle":"","family":"Riddington","given":"Sid","non-dropping-particle":"","parse-names":false,"suffix":""},{"dropping-particle":"","family":"Tucker","given":"Olga","non-dropping-particle":"","parse-names":false,"suffix":""},{"dropping-particle":"","family":"Smart","given":"Simon","non-dropping-particle":"","parse-names":false,"suffix":""},{"dropping-particle":"","family":"Marwick","given":"Jeremy","non-dropping-particle":"","parse-names":false,"suffix":""},{"dropping-particle":"","family":"Suggett","given":"Nigel","non-dropping-particle":"","parse-names":false,"suffix":""},{"dropping-particle":"","family":"Griffiths","given":"Ewen","non-dropping-particle":"","parse-names":false,"suffix":""},{"dropping-particle":"","family":"Riddington","given":"David","non-dropping-particle":"","parse-names":false,"suffix":""},{"dropping-particle":"","family":"Gill","given":"Kathryn","non-dropping-particle":"","parse-names":false,"suffix":""},{"dropping-particle":"","family":"Cruickshank","given":"Neil","non-dropping-particle":"","parse-names":false,"suffix":""},{"dropping-particle":"","family":"Susarla","given":"Jay","non-dropping-particle":"","parse-names":false,"suffix":""},{"dropping-particle":"","family":"Leno","given":"Emma","non-dropping-particle":"","parse-names":false,"suffix":""},{"dropping-particle":"","family":"Colley","given":"Julie","non-dropping-particle":"","parse-names":false,"suffix":""},{"dropping-particle":"","family":"Burtenshaw","given":"Andrew","non-dropping-particle":"","parse-names":false,"suffix":""},{"dropping-particle":"","family":"Lake","given":"Stephen","non-dropping-particle":"","parse-names":false,"suffix":""},{"dropping-particle":"","family":"Greenwood","given":"Jamie","non-dropping-particle":"","parse-names":false,"suffix":""},{"dropping-particle":"","family":"Bhardwaj","given":"Sian","non-dropping-particle":"","parse-names":false,"suffix":""},{"dropping-particle":"","family":"Thrush","given":"Jessica","non-dropping-particle":"","parse-names":false,"suffix":""},{"dropping-particle":"","family":"Wollaston","given":"Julie","non-dropping-particle":"","parse-names":false,"suffix":""},{"dropping-particle":"","family":"Sonksen","given":"Julian","non-dropping-particle":"","parse-names":false,"suffix":""},{"dropping-particle":"","family":"Patel","given":"Rajan","non-dropping-particle":"","parse-names":false,"suffix":""},{"dropping-particle":"","family":"Jennings","given":"Adrian","non-dropping-particle":"","parse-names":false,"suffix":""},{"dropping-particle":"","family":"Stanley","given":"David","non-dropping-particle":"","parse-names":false,"suffix":""},{"dropping-particle":"","family":"Wright","given":"Jenny","non-dropping-particle":"","parse-names":false,"suffix":""},{"dropping-particle":"","family":"Horner","given":"Chris","non-dropping-particle":"","parse-names":false,"suffix":""},{"dropping-particle":"","family":"Baig","given":"Faisal","non-dropping-particle":"","parse-names":false,"suffix":""},{"dropping-particle":"","family":"Cooke","given":"Katie","non-dropping-particle":"","parse-names":false,"suffix":""},{"dropping-particle":"","family":"Singh","given":"Jagdeep","non-dropping-particle":"","parse-names":false,"suffix":""},{"dropping-particle":"","family":"Claxton","given":"Andrew","non-dropping-particle":"","parse-names":false,"suffix":""},{"dropping-particle":"","family":"Mirza","given":"Nazzia","non-dropping-particle":"","parse-names":false,"suffix":""},{"dropping-particle":"","family":"Hester","given":"Simon","non-dropping-particle":"","parse-names":false,"suffix":""},{"dropping-particle":"","family":"Knight","given":"Georgia","non-dropping-particle":"","parse-names":false,"suffix":""},{"dropping-particle":"","family":"Kumar","given":"Peeyush","non-dropping-particle":"","parse-names":false,"suffix":""},{"dropping-particle":"","family":"Saran","given":"Taj","non-dropping-particle":"","parse-names":false,"suffix":""},{"dropping-particle":"","family":"Marangoni","given":"Gabriele","non-dropping-particle":"","parse-names":false,"suffix":""},{"dropping-particle":"","family":"Townsend","given":"Roger","non-dropping-particle":"","parse-names":false,"suffix":""},{"dropping-particle":"","family":"Thacker","given":"Andy","non-dropping-particle":"","parse-names":false,"suffix":""},{"dropping-particle":"","family":"Scase","given":"Anne","non-dropping-particle":"","parse-names":false,"suffix":""},{"dropping-particle":"","family":"Sharma","given":"Meghna","non-dropping-particle":"","parse-names":false,"suffix":""},{"dropping-particle":"","family":"Hale","given":"Beth","non-dropping-particle":"","parse-names":false,"suffix":""}],"container-title":"The Lancet","id":"ITEM-1","issue":"10187","issued":{"date-parts":[["2019"]]},"page":"2213-2221","title":"Effectiveness of a national quality improvement programme to improve survival after emergency abdominal surgery (EPOCH): a stepped-wedge cluster-randomised trial","type":"article-journal","volume":"393"},"uris":["http://www.mendeley.com/documents/?uuid=1c380a86-41e2-43f4-b064-7b06f760d387"]}],"mendeley":{"formattedCitation":"(44)","plainTextFormattedCitation":"(44)","previouslyFormattedCitation":"(44)"},"properties":{"noteIndex":0},"schema":"https://github.com/citation-style-language/schema/raw/master/csl-citation.json"}</w:instrText>
      </w:r>
      <w:r w:rsidR="00C51E63" w:rsidRPr="00AD29B0">
        <w:fldChar w:fldCharType="separate"/>
      </w:r>
      <w:r w:rsidR="003F790D" w:rsidRPr="003F790D">
        <w:rPr>
          <w:noProof/>
        </w:rPr>
        <w:t>(44)</w:t>
      </w:r>
      <w:r w:rsidR="00C51E63" w:rsidRPr="00AD29B0">
        <w:fldChar w:fldCharType="end"/>
      </w:r>
      <w:r w:rsidR="00191D50">
        <w:t>.</w:t>
      </w:r>
      <w:r w:rsidR="00C51E63" w:rsidRPr="00035759">
        <w:t xml:space="preserve"> </w:t>
      </w:r>
      <w:r w:rsidR="001B7F85">
        <w:t>I</w:t>
      </w:r>
      <w:r w:rsidR="00C51E63" w:rsidRPr="00035759">
        <w:t xml:space="preserve">t may be </w:t>
      </w:r>
      <w:r w:rsidR="0036144E">
        <w:t xml:space="preserve">that </w:t>
      </w:r>
      <w:r w:rsidR="00D05EF2">
        <w:t>our</w:t>
      </w:r>
      <w:r w:rsidR="0036144E">
        <w:t xml:space="preserve"> narrow focus</w:t>
      </w:r>
      <w:r w:rsidR="00C51E63" w:rsidRPr="00035759">
        <w:t xml:space="preserve"> contributed to the high adherence rates </w:t>
      </w:r>
      <w:r w:rsidR="0036144E">
        <w:t>observed</w:t>
      </w:r>
      <w:r w:rsidR="0036144E" w:rsidRPr="00035759">
        <w:t xml:space="preserve"> </w:t>
      </w:r>
      <w:r w:rsidR="00C51E63" w:rsidRPr="00035759">
        <w:t>in some Trusts</w:t>
      </w:r>
      <w:r w:rsidR="0036144E">
        <w:t xml:space="preserve"> in this trial</w:t>
      </w:r>
      <w:r w:rsidR="00C51E63" w:rsidRPr="00035759">
        <w:t xml:space="preserve">. However, this did </w:t>
      </w:r>
      <w:r w:rsidR="0036144E">
        <w:t xml:space="preserve">not </w:t>
      </w:r>
      <w:r w:rsidR="00C51E63" w:rsidRPr="00035759">
        <w:t>lead t</w:t>
      </w:r>
      <w:r w:rsidR="00C51E63" w:rsidRPr="00AD29B0">
        <w:t>o high levels of engagement at all trial sites</w:t>
      </w:r>
      <w:r w:rsidR="00EF16FA" w:rsidRPr="003E2F54">
        <w:t xml:space="preserve"> and substantial variation in adherence to pathways was </w:t>
      </w:r>
      <w:r w:rsidR="0036144E">
        <w:t xml:space="preserve">still </w:t>
      </w:r>
      <w:r w:rsidR="00EF16FA" w:rsidRPr="003E2F54">
        <w:t xml:space="preserve">seen between sites, similar to </w:t>
      </w:r>
      <w:r w:rsidR="000E0F53">
        <w:t xml:space="preserve">a </w:t>
      </w:r>
      <w:r w:rsidR="0036144E">
        <w:t xml:space="preserve">previous quality improvement </w:t>
      </w:r>
      <w:r w:rsidR="000E0F53">
        <w:t>study</w:t>
      </w:r>
      <w:r w:rsidR="0036144E">
        <w:t xml:space="preserve"> in the UK</w:t>
      </w:r>
      <w:r w:rsidR="00191D50">
        <w:t xml:space="preserve"> </w:t>
      </w:r>
      <w:r w:rsidR="00EF16FA" w:rsidRPr="00AD29B0">
        <w:fldChar w:fldCharType="begin" w:fldLock="1"/>
      </w:r>
      <w:r w:rsidR="00810165">
        <w:instrText>ADDIN CSL_CITATION {"citationItems":[{"id":"ITEM-1","itemData":{"DOI":"10.1016/S0140-6736(18)32521-2","ISSN":"1474547X","PMID":"31030986","abstract":"Background: Emergency abdominal surgery is associated with poor patient outcomes. We studied the effectiveness of a national quality improvement (QI) programme to implement a care pathway to improve survival for these patients. Methods: We did a stepped-wedge cluster-randomised trial of patients aged 40 years or older undergoing emergency open major abdominal surgery. Eligible UK National Health Service (NHS) hospitals (those that had an emergency general surgical service, a substantial volume of emergency abdominal surgery cases, and contributed data to the National Emergency Laparotomy Audit) were organised into 15 geographical clusters and commenced the QI programme in a random order, based on a computer-generated random sequence, over an 85-week period with one geographical cluster commencing the intervention every 5 weeks from the second to the 16th time period. Patients were masked to the study group, but it was not possible to mask hospital staff or investigators. The primary outcome measure was mortality within 90 days of surgery. Analyses were done on an intention-to-treat basis. This study is registered with the ISRCTN registry, number ISRCTN80682973. Findings: Treatment took place between March 3, 2014, and Oct 19, 2015. 22 754 patients were assessed for elegibility. Of 15 873 eligible patients from 93 NHS hospitals, primary outcome data were analysed for 8482 patients in the usual care group and 7374 in the QI group. Eight patients in the usual care group and nine patients in the QI group were not included in the analysis because of missing primary outcome data. The primary outcome of 90-day mortality occurred in 1210 (16%) patients in the QI group compared with 1393 (16%) patients in the usual care group (HR 1·11, 0·96–1·28). Interpretation: No survival benefit was observed from this QI programme to implement a care pathway for patients undergoing emergency abdominal surgery. Future QI programmes should ensure that teams have both the time and resources needed to improve patient care. Funding: National Institute for Health Research Health Services and Delivery Research Programme.","author":[{"dropping-particle":"","family":"Peden","given":"Carol J.","non-dropping-particle":"","parse-names":false,"suffix":""},{"dropping-particle":"","family":"Stephens","given":"Tim","non-dropping-particle":"","parse-names":false,"suffix":""},{"dropping-particle":"","family":"Martin","given":"Graham","non-dropping-particle":"","parse-names":false,"suffix":""},{"dropping-particle":"","family":"Kahan","given":"Brennan C.","non-dropping-particle":"","parse-names":false,"suffix":""},{"dropping-particle":"","family":"Thomson","given":"Ann","non-dropping-particle":"","parse-names":false,"suffix":""},{"dropping-particle":"","family":"Rivett","given":"Kate","non-dropping-particle":"","parse-names":false,"suffix":""},{"dropping-particle":"","family":"Wells","given":"Duncan","non-dropping-particle":"","parse-names":false,"suffix":""},{"dropping-particle":"","family":"Richardson","given":"Gerry","non-dropping-particle":"","parse-names":false,"suffix":""},{"dropping-particle":"","family":"Kerry","given":"Sally","non-dropping-particle":"","parse-names":false,"suffix":""},{"dropping-particle":"","family":"Bion","given":"Julian","non-dropping-particle":"","parse-names":false,"suffix":""},{"dropping-particle":"","family":"Pearse","given":"Rupert M.","non-dropping-particle":"","parse-names":false,"suffix":""},{"dropping-particle":"","family":"Peden","given":"Carol","non-dropping-particle":"","parse-names":false,"suffix":""},{"dropping-particle":"","family":"Kahan","given":"Brennan","non-dropping-particle":"","parse-names":false,"suffix":""},{"dropping-particle":"","family":"Brett","given":"Stephen","non-dropping-particle":"","parse-names":false,"suffix":""},{"dropping-particle":"","family":"Ackland","given":"Gareth","non-dropping-particle":"","parse-names":false,"suffix":""},{"dropping-particle":"","family":"Grocott","given":"Mike","non-dropping-particle":"","parse-names":false,"suffix":""},{"dropping-particle":"","family":"Holt","given":"Peter","non-dropping-particle":"","parse-names":false,"suffix":""},{"dropping-particle":"","family":"Robert","given":"Glenn","non-dropping-particle":"","parse-names":false,"suffix":""},{"dropping-particle":"","family":"Ukoumunne","given":"Obioha","non-dropping-particle":"","parse-names":false,"suffix":""},{"dropping-particle":"","family":"Waring","given":"Justin","non-dropping-particle":"","parse-names":false,"suffix":""},{"dropping-particle":"","family":"Everingham","given":"Kirsty","non-dropping-particle":"","parse-names":false,"suffix":""},{"dropping-particle":"","family":"Phull","given":"Mandeep","non-dropping-particle":"","parse-names":false,"suffix":""},{"dropping-particle":"","family":"Cromwell","given":"David","non-dropping-particle":"","parse-names":false,"suffix":""},{"dropping-particle":"","family":"Evley","given":"Rachel","non-dropping-particle":"","parse-names":false,"suffix":""},{"dropping-particle":"","family":"Lilford","given":"Richard","non-dropping-particle":"","parse-names":false,"suffix":""},{"dropping-particle":"","family":"Kocman","given":"David","non-dropping-particle":"","parse-names":false,"suffix":""},{"dropping-particle":"","family":"Asaria","given":"Miqdad","non-dropping-particle":"","parse-names":false,"suffix":""},{"dropping-particle":"","family":"Tarrant","given":"Carolyn","non-dropping-particle":"","parse-names":false,"suffix":""},{"dropping-particle":"","family":"Yang","given":"Fan","non-dropping-particle":"","parse-names":false,"suffix":""},{"dropping-particle":"","family":"Abraham","given":"Ajit","non-dropping-particle":"","parse-names":false,"suffix":""},{"dropping-particle":"","family":"Bothma","given":"Pieter","non-dropping-particle":"","parse-names":false,"suffix":""},{"dropping-particle":"","family":"Conway","given":"Daniel","non-dropping-particle":"","parse-names":false,"suffix":""},{"dropping-particle":"","family":"Stapleton","given":"Clare","non-dropping-particle":"","parse-names":false,"suffix":""},{"dropping-particle":"","family":"Edwards","given":"Mark","non-dropping-particle":"","parse-names":false,"suffix":""},{"dropping-particle":"","family":"Minto","given":"Gary","non-dropping-particle":"","parse-names":false,"suffix":""},{"dropping-particle":"","family":"Saunders","given":"David","non-dropping-particle":"","parse-names":false,"suffix":""},{"dropping-particle":"","family":"Owen","given":"Tom","non-dropping-particle":"","parse-names":false,"suffix":""},{"dropping-particle":"","family":"Waldmann","given":"Carl","non-dropping-particle":"","parse-names":false,"suffix":""},{"dropping-particle":"","family":"Hayden","given":"Paul","non-dropping-particle":"","parse-names":false,"suffix":""},{"dropping-particle":"","family":"Gillies","given":"Michael","non-dropping-particle":"","parse-names":false,"suffix":""},{"dropping-particle":"","family":"Tighe","given":"Sean","non-dropping-particle":"","parse-names":false,"suffix":""},{"dropping-particle":"","family":"Smith","given":"Neil","non-dropping-particle":"","parse-names":false,"suffix":""},{"dropping-particle":"","family":"Mythen","given":"Monty","non-dropping-particle":"","parse-names":false,"suffix":""},{"dropping-particle":"","family":"Murray","given":"David","non-dropping-particle":"","parse-names":false,"suffix":""},{"dropping-particle":"","family":"Lobo","given":"Dileep","non-dropping-particle":"","parse-names":false,"suffix":""},{"dropping-particle":"","family":"Leuwer","given":"Martin","non-dropping-particle":"","parse-names":false,"suffix":""},{"dropping-particle":"","family":"Kirk-Bayley","given":"Justin","non-dropping-particle":"","parse-names":false,"suffix":""},{"dropping-particle":"","family":"Howell","given":"Simon","non-dropping-particle":"","parse-names":false,"suffix":""},{"dropping-particle":"","family":"Gordon","given":"Anthony","non-dropping-particle":"","parse-names":false,"suffix":""},{"dropping-particle":"","family":"Anderson","given":"Iain","non-dropping-particle":"","parse-names":false,"suffix":""},{"dropping-particle":"","family":"Lourtie","given":"Jose","non-dropping-particle":"","parse-names":false,"suffix":""},{"dropping-particle":"","family":"Walker","given":"Simon","non-dropping-particle":"","parse-names":false,"suffix":""},{"dropping-particle":"","family":"Drake","given":"Sharon","non-dropping-particle":"","parse-names":false,"suffix":""},{"dropping-particle":"","family":"Murray","given":"Dave","non-dropping-particle":"","parse-names":false,"suffix":""},{"dropping-particle":"","family":"Watson","given":"Nick","non-dropping-particle":"","parse-names":false,"suffix":""},{"dropping-particle":"","family":"Szakmany","given":"Tamas","non-dropping-particle":"","parse-names":false,"suffix":""},{"dropping-particle":"","family":"Sutcliffe","given":"Robert","non-dropping-particle":"","parse-names":false,"suffix":""},{"dropping-particle":"","family":"Mahajan","given":"Ravi","non-dropping-particle":"","parse-names":false,"suffix":""},{"dropping-particle":"","family":"Girling","given":"Alan","non-dropping-particle":"","parse-names":false,"suffix":""},{"dropping-particle":"","family":"Forbes","given":"Gordon","non-dropping-particle":"","parse-names":false,"suffix":""},{"dropping-particle":"","family":"Faiz","given":"Omar","non-dropping-particle":"","parse-names":false,"suffix":""},{"dropping-particle":"","family":"Blunt","given":"Mark","non-dropping-particle":"","parse-names":false,"suffix":""},{"dropping-particle":"","family":"Singh","given":"Surjait","non-dropping-particle":"","parse-names":false,"suffix":""},{"dropping-particle":"","family":"Steel","given":"Alistair","non-dropping-particle":"","parse-names":false,"suffix":""},{"dropping-particle":"","family":"Wong","given":"Kate","non-dropping-particle":"","parse-names":false,"suffix":""},{"dropping-particle":"","family":"Cabreros","given":"Leilani","non-dropping-particle":"","parse-names":false,"suffix":""},{"dropping-particle":"","family":"Chitre","given":"Vivek","non-dropping-particle":"","parse-names":false,"suffix":""},{"dropping-particle":"","family":"Obideyi","given":"Ayodele","non-dropping-particle":"","parse-names":false,"suffix":""},{"dropping-particle":"","family":"Ali","given":"Dhiraj","non-dropping-particle":"","parse-names":false,"suffix":""},{"dropping-particle":"","family":"Blenk","given":"Karl","non-dropping-particle":"","parse-names":false,"suffix":""},{"dropping-particle":"","family":"Broad","given":"Dan","non-dropping-particle":"","parse-names":false,"suffix":""},{"dropping-particle":"","family":"Brodbeck","given":"Andreas","non-dropping-particle":"","parse-names":false,"suffix":""},{"dropping-particle":"","family":"Dumpala","given":"Rajesh","non-dropping-particle":"","parse-names":false,"suffix":""},{"dropping-particle":"","family":"Engel","given":"Arnth","non-dropping-particle":"","parse-names":false,"suffix":""},{"dropping-particle":"","family":"Ganepola","given":"Ranjit","non-dropping-particle":"","parse-names":false,"suffix":""},{"dropping-particle":"","family":"Garg","given":"Sudha","non-dropping-particle":"","parse-names":false,"suffix":""},{"dropping-particle":"","family":"Gay","given":"Mike","non-dropping-particle":"","parse-names":false,"suffix":""},{"dropping-particle":"","family":"Karlikowsk","given":"Michael","non-dropping-particle":"","parse-names":false,"suffix":""},{"dropping-particle":"","family":"Lams","given":"Edward","non-dropping-particle":"","parse-names":false,"suffix":""},{"dropping-particle":"","family":"Millican","given":"Dean","non-dropping-particle":"","parse-names":false,"suffix":""},{"dropping-particle":"","family":"Misane","given":"Inga","non-dropping-particle":"","parse-names":false,"suffix":""},{"dropping-particle":"","family":"Mull","given":"Ajaya","non-dropping-particle":"","parse-names":false,"suffix":""},{"dropping-particle":"","family":"Naik","given":"Veena","non-dropping-particle":"","parse-names":false,"suffix":""},{"dropping-particle":"","family":"Pushpa","given":"Nathan","non-dropping-particle":"","parse-names":false,"suffix":""},{"dropping-particle":"","family":"Nutt","given":"Chris","non-dropping-particle":"","parse-names":false,"suffix":""},{"dropping-particle":"","family":"Sagadai","given":"Saravanna","non-dropping-particle":"","parse-names":false,"suffix":""},{"dropping-particle":"","family":"Stuart","given":"Hazel","non-dropping-particle":"","parse-names":false,"suffix":""},{"dropping-particle":"","family":"Noble","given":"Paul","non-dropping-particle":"","parse-names":false,"suffix":""},{"dropping-particle":"","family":"Velde","given":"Niko","non-dropping-particle":"Van De","parse-names":false,"suffix":""},{"dropping-particle":"","family":"Hudson","given":"Liam","non-dropping-particle":"","parse-names":false,"suffix":""},{"dropping-particle":"","family":"Benlloch","given":"Raoul","non-dropping-particle":"","parse-names":false,"suffix":""},{"dropping-particle":"","family":"Singh","given":"Satish","non-dropping-particle":"","parse-names":false,"suffix":""},{"dropping-particle":"","family":"Verma","given":"Karan","non-dropping-particle":"","parse-names":false,"suffix":""},{"dropping-particle":"","family":"Laba","given":"Damian","non-dropping-particle":"","parse-names":false,"suffix":""},{"dropping-particle":"","family":"Carmichael","given":"Jack","non-dropping-particle":"","parse-names":false,"suffix":""},{"dropping-particle":"","family":"Richardson","given":"Peter","non-dropping-particle":"","parse-names":false,"suffix":""},{"dropping-particle":"","family":"Wilson","given":"Graham","non-dropping-particle":"","parse-names":false,"suffix":""},{"dropping-particle":"","family":"Lewis","given":"Ricky","non-dropping-particle":"","parse-names":false,"suffix":""},{"dropping-particle":"","family":"Surendran","given":"Karthik","non-dropping-particle":"","parse-names":false,"suffix":""},{"dropping-particle":"","family":"El-Damatty","given":"Essam","non-dropping-particle":"","parse-names":false,"suffix":""},{"dropping-particle":"","family":"Gurung","given":"Sarada","non-dropping-particle":"","parse-names":false,"suffix":""},{"dropping-particle":"","family":"Raulusaite","given":"Ilona","non-dropping-particle":"","parse-names":false,"suffix":""},{"dropping-particle":"","family":"Gerstina","given":"Nabua","non-dropping-particle":"","parse-names":false,"suffix":""},{"dropping-particle":"","family":"Rochester","given":"Chloe","non-dropping-particle":"","parse-names":false,"suffix":""},{"dropping-particle":"","family":"Kuldip","given":"Rai","non-dropping-particle":"","parse-names":false,"suffix":""},{"dropping-particle":"","family":"Lindner","given":"Andrew","non-dropping-particle":"","parse-names":false,"suffix":""},{"dropping-particle":"","family":"Murray","given":"Therese","non-dropping-particle":"","parse-names":false,"suffix":""},{"dropping-particle":"","family":"Vivek","given":"Chitre","non-dropping-particle":"","parse-names":false,"suffix":""},{"dropping-particle":"","family":"Lal","given":"Roshan","non-dropping-particle":"","parse-names":false,"suffix":""},{"dropping-particle":"","family":"Downey","given":"Sarah","non-dropping-particle":"","parse-names":false,"suffix":""},{"dropping-particle":"","family":"Velchuru","given":"Vamsi","non-dropping-particle":"","parse-names":false,"suffix":""},{"dropping-particle":"","family":"Aryal","given":"Kamal","non-dropping-particle":"","parse-names":false,"suffix":""},{"dropping-particle":"","family":"Guruswamy","given":"Raman","non-dropping-particle":"","parse-names":false,"suffix":""},{"dropping-particle":"","family":"Shankar","given":"Kirosh","non-dropping-particle":"","parse-names":false,"suffix":""},{"dropping-particle":"","family":"Porter","given":"Helen","non-dropping-particle":"","parse-names":false,"suffix":""},{"dropping-particle":"","family":"Tutton","given":"Matthew","non-dropping-particle":"","parse-names":false,"suffix":""},{"dropping-particle":"","family":"Agostini","given":"Helen","non-dropping-particle":"","parse-names":false,"suffix":""},{"dropping-particle":"","family":"Fletcher","given":"Simon","non-dropping-particle":"","parse-names":false,"suffix":""},{"dropping-particle":"","family":"Wharton","given":"Richard","non-dropping-particle":"","parse-names":false,"suffix":""},{"dropping-particle":"","family":"Hutchinson","given":"Steve","non-dropping-particle":"","parse-names":false,"suffix":""},{"dropping-particle":"","family":"Maiya","given":"Bala","non-dropping-particle":"","parse-names":false,"suffix":""},{"dropping-particle":"","family":"Howard-Griffin","given":"Richard","non-dropping-particle":"","parse-names":false,"suffix":""},{"dropping-particle":"","family":"Crabtree","given":"Michael","non-dropping-particle":"","parse-names":false,"suffix":""},{"dropping-particle":"","family":"Kushakovsky","given":"Vlad","non-dropping-particle":"","parse-names":false,"suffix":""},{"dropping-particle":"","family":"Omer","given":"Abdel","non-dropping-particle":"","parse-names":false,"suffix":""},{"dropping-particle":"","family":"Nadarajavan","given":"Senthil","non-dropping-particle":"","parse-names":false,"suffix":""},{"dropping-particle":"","family":"Bell","given":"Stephanie","non-dropping-particle":"","parse-names":false,"suffix":""},{"dropping-particle":"","family":"Patil","given":"Vishal","non-dropping-particle":"","parse-names":false,"suffix":""},{"dropping-particle":"","family":"Jah","given":"Asif","non-dropping-particle":"","parse-names":false,"suffix":""},{"dropping-particle":"","family":"Mahroof","given":"Razeen","non-dropping-particle":"","parse-names":false,"suffix":""},{"dropping-particle":"","family":"Watson","given":"Nicholas","non-dropping-particle":"","parse-names":false,"suffix":""},{"dropping-particle":"","family":"Tansley","given":"John","non-dropping-particle":"","parse-names":false,"suffix":""},{"dropping-particle":"","family":"Moncaster","given":"Gareth","non-dropping-particle":"","parse-names":false,"suffix":""},{"dropping-particle":"","family":"Flint","given":"Neil","non-dropping-particle":"","parse-names":false,"suffix":""},{"dropping-particle":"","family":"Miller","given":"Andrew","non-dropping-particle":"","parse-names":false,"suffix":""},{"dropping-particle":"","family":"Wood","given":"Marcus","non-dropping-particle":"","parse-names":false,"suffix":""},{"dropping-particle":"","family":"Prematie","given":"Andreou","non-dropping-particle":"","parse-names":false,"suffix":""},{"dropping-particle":"","family":"Roth","given":"Sally","non-dropping-particle":"","parse-names":false,"suffix":""},{"dropping-particle":"","family":"Bowery","given":"Sarah","non-dropping-particle":"","parse-names":false,"suffix":""},{"dropping-particle":"","family":"Hales","given":"Dawn","non-dropping-particle":"","parse-names":false,"suffix":""},{"dropping-particle":"","family":"Shah","given":"Tanuja","non-dropping-particle":"","parse-names":false,"suffix":""},{"dropping-particle":"","family":"Tierney","given":"Gill","non-dropping-particle":"","parse-names":false,"suffix":""},{"dropping-particle":"","family":"Morris","given":"Craig","non-dropping-particle":"","parse-names":false,"suffix":""},{"dropping-particle":"","family":"Iftikhar","given":"Syed","non-dropping-particle":"","parse-names":false,"suffix":""},{"dropping-particle":"","family":"Shukla","given":"Amit","non-dropping-particle":"","parse-names":false,"suffix":""},{"dropping-particle":"","family":"O'Dwyer","given":"Grainne","non-dropping-particle":"","parse-names":false,"suffix":""},{"dropping-particle":"","family":"Wolverson","given":"Adam","non-dropping-particle":"","parse-names":false,"suffix":""},{"dropping-particle":"","family":"Adams","given":"Ferdinand","non-dropping-particle":"","parse-names":false,"suffix":""},{"dropping-particle":"","family":"Perrin-Brown","given":"Laura","non-dropping-particle":"","parse-names":false,"suffix":""},{"dropping-particle":"","family":"White","given":"Tim","non-dropping-particle":"","parse-names":false,"suffix":""},{"dropping-particle":"","family":"Beavis","given":"Sarah","non-dropping-particle":"","parse-names":false,"suffix":""},{"dropping-particle":"","family":"Banks","given":"Victoria","non-dropping-particle":"","parse-names":false,"suffix":""},{"dropping-particle":"","family":"Abercrombie","given":"John","non-dropping-particle":"","parse-names":false,"suffix":""},{"dropping-particle":"","family":"Mole","given":"Jonathon","non-dropping-particle":"","parse-names":false,"suffix":""},{"dropping-particle":"","family":"Chana","given":"Avninder","non-dropping-particle":"","parse-names":false,"suffix":""},{"dropping-particle":"","family":"Banerjea","given":"Ayan","non-dropping-particle":"","parse-names":false,"suffix":""},{"dropping-particle":"","family":"Humes","given":"David","non-dropping-particle":"","parse-names":false,"suffix":""},{"dropping-particle":"","family":"Dhingsa","given":"Rajpal","non-dropping-particle":"","parse-names":false,"suffix":""},{"dropping-particle":"","family":"Wells","given":"John","non-dropping-particle":"","parse-names":false,"suffix":""},{"dropping-particle":"","family":"Brown","given":"Stephanie","non-dropping-particle":"","parse-names":false,"suffix":""},{"dropping-particle":"","family":"Adegoke","given":"Kenneth","non-dropping-particle":"","parse-names":false,"suffix":""},{"dropping-particle":"","family":"Tofte","given":"Barclay","non-dropping-particle":"","parse-names":false,"suffix":""},{"dropping-particle":"","family":"Alegria","given":"Ana","non-dropping-particle":"","parse-names":false,"suffix":""},{"dropping-particle":"","family":"Natarajan","given":"Nat","non-dropping-particle":"","parse-names":false,"suffix":""},{"dropping-particle":"","family":"Akhtar","given":"Mansoor","non-dropping-particle":"","parse-names":false,"suffix":""},{"dropping-particle":"","family":"Doughan","given":"Samer","non-dropping-particle":"","parse-names":false,"suffix":""},{"dropping-particle":"","family":"Mackinnon","given":"John","non-dropping-particle":"","parse-names":false,"suffix":""},{"dropping-particle":"","family":"Aravind","given":"Biju","non-dropping-particle":"","parse-names":false,"suffix":""},{"dropping-particle":"","family":"Cook","given":"Esther","non-dropping-particle":"","parse-names":false,"suffix":""},{"dropping-particle":"","family":"Snazelle","given":"Mark","non-dropping-particle":"","parse-names":false,"suffix":""},{"dropping-particle":"","family":"Gardner","given":"Matt","non-dropping-particle":"","parse-names":false,"suffix":""},{"dropping-particle":"","family":"Baldwin","given":"Lee","non-dropping-particle":"","parse-names":false,"suffix":""},{"dropping-particle":"","family":"Bailey","given":"Simon","non-dropping-particle":"","parse-names":false,"suffix":""},{"dropping-particle":"","family":"Lawton","given":"Greg","non-dropping-particle":"","parse-names":false,"suffix":""},{"dropping-particle":"","family":"Divekar","given":"Nandita","non-dropping-particle":"","parse-names":false,"suffix":""},{"dropping-particle":"","family":"Kukreja","given":"Neil","non-dropping-particle":"","parse-names":false,"suffix":""},{"dropping-particle":"","family":"Sange","given":"Mansoor","non-dropping-particle":"","parse-names":false,"suffix":""},{"dropping-particle":"","family":"Watson","given":"Mark","non-dropping-particle":"","parse-names":false,"suffix":""},{"dropping-particle":"","family":"Satisha","given":"Mallikarjunappa","non-dropping-particle":"","parse-names":false,"suffix":""},{"dropping-particle":"","family":"Protopapas","given":"Michael","non-dropping-particle":"","parse-names":false,"suffix":""},{"dropping-particle":"","family":"Belagodu","given":"Zakaulla","non-dropping-particle":"","parse-names":false,"suffix":""},{"dropping-particle":"","family":"Sarfi","given":"Shameem","non-dropping-particle":"","parse-names":false,"suffix":""},{"dropping-particle":"","family":"Raju","given":"Pasupathy","non-dropping-particle":"","parse-names":false,"suffix":""},{"dropping-particle":"","family":"Stacey","given":"Brenda","non-dropping-particle":"","parse-names":false,"suffix":""},{"dropping-particle":"","family":"Campbell-Smith","given":"Tim","non-dropping-particle":"","parse-names":false,"suffix":""},{"dropping-particle":"","family":"Parrington","given":"Simon","non-dropping-particle":"","parse-names":false,"suffix":""},{"dropping-particle":"","family":"Desikan","given":"Somi","non-dropping-particle":"","parse-names":false,"suffix":""},{"dropping-particle":"","family":"Brennan","given":"Andrew","non-dropping-particle":"","parse-names":false,"suffix":""},{"dropping-particle":"","family":"Griffith","given":"John","non-dropping-particle":"","parse-names":false,"suffix":""},{"dropping-particle":"","family":"Fletcher","given":"Steve","non-dropping-particle":"","parse-names":false,"suffix":""},{"dropping-particle":"","family":"Farrow","given":"Catherine","non-dropping-particle":"","parse-names":false,"suffix":""},{"dropping-particle":"","family":"Prestwich","given":"Stewart","non-dropping-particle":"","parse-names":false,"suffix":""},{"dropping-particle":"","family":"Graham","given":"Laura","non-dropping-particle":"","parse-names":false,"suffix":""},{"dropping-particle":"","family":"Northey","given":"Martin","non-dropping-particle":"","parse-names":false,"suffix":""},{"dropping-particle":"","family":"Gokhale","given":"Jay","non-dropping-particle":"","parse-names":false,"suffix":""},{"dropping-particle":"","family":"Mosley","given":"Frances","non-dropping-particle":"","parse-names":false,"suffix":""},{"dropping-particle":"","family":"Alexander","given":"Peter","non-dropping-particle":"","parse-names":false,"suffix":""},{"dropping-particle":"","family":"Sharma","given":"Abhiram","non-dropping-particle":"","parse-names":false,"suffix":""},{"dropping-particle":"","family":"Brady","given":"Will","non-dropping-particle":"","parse-names":false,"suffix":""},{"dropping-particle":"","family":"Hopper","given":"John","non-dropping-particle":"","parse-names":false,"suffix":""},{"dropping-particle":"","family":"Hill","given":"Oliver","non-dropping-particle":"","parse-names":false,"suffix":""},{"dropping-particle":"","family":"Varma","given":"Sandeep","non-dropping-particle":"","parse-names":false,"suffix":""},{"dropping-particle":"","family":"Macklin","given":"Christopher","non-dropping-particle":"","parse-names":false,"suffix":""},{"dropping-particle":"","family":"Rose","given":"Alastair","non-dropping-particle":"","parse-names":false,"suffix":""},{"dropping-particle":"","family":"Narula","given":"Harjeet","non-dropping-particle":"","parse-names":false,"suffix":""},{"dropping-particle":"","family":"Buckley","given":"Sarah","non-dropping-particle":"","parse-names":false,"suffix":""},{"dropping-particle":"","family":"Simeson","given":"Karen","non-dropping-particle":"","parse-names":false,"suffix":""},{"dropping-particle":"","family":"Sim","given":"Kevin","non-dropping-particle":"","parse-names":false,"suffix":""},{"dropping-particle":"","family":"Chadwick","given":"Michael","non-dropping-particle":"","parse-names":false,"suffix":""},{"dropping-particle":"","family":"Kuduvalli","given":"Preeti","non-dropping-particle":"","parse-names":false,"suffix":""},{"dropping-particle":"","family":"Dowling","given":"Susan","non-dropping-particle":"","parse-names":false,"suffix":""},{"dropping-particle":"","family":"McCairn","given":"Amanda","non-dropping-particle":"","parse-names":false,"suffix":""},{"dropping-particle":"","family":"Wilson","given":"Lawrence","non-dropping-particle":"","parse-names":false,"suffix":""},{"dropping-particle":"","family":"Vimalchandran","given":"Dale","non-dropping-particle":"","parse-names":false,"suffix":""},{"dropping-particle":"","family":"Jhamatt","given":"Anita","non-dropping-particle":"","parse-names":false,"suffix":""},{"dropping-particle":"","family":"Robin","given":"Nicole","non-dropping-particle":"","parse-names":false,"suffix":""},{"dropping-particle":"","family":"Monk","given":"David","non-dropping-particle":"","parse-names":false,"suffix":""},{"dropping-particle":"","family":"Bottomley","given":"David","non-dropping-particle":"","parse-names":false,"suffix":""},{"dropping-particle":"","family":"Zuzan","given":"Oliver","non-dropping-particle":"","parse-names":false,"suffix":""},{"dropping-particle":"","family":"Welters","given":"Ingeborg","non-dropping-particle":"","parse-names":false,"suffix":""},{"dropping-particle":"","family":"Ross-Anderson","given":"Davina","non-dropping-particle":"","parse-names":false,"suffix":""},{"dropping-particle":"","family":"Knowles","given":"Charles","non-dropping-particle":"","parse-names":false,"suffix":""},{"dropping-particle":"","family":"Bunker","given":"Nick","non-dropping-particle":"","parse-names":false,"suffix":""},{"dropping-particle":"","family":"Hu","given":"Ying","non-dropping-particle":"","parse-names":false,"suffix":""},{"dropping-particle":"","family":"Januszewska","given":"Marta","non-dropping-particle":"","parse-names":false,"suffix":""},{"dropping-particle":"","family":"Bodger","given":"Phoebe","non-dropping-particle":"","parse-names":false,"suffix":""},{"dropping-particle":"","family":"Niebrzegowska","given":"Edyta","non-dropping-particle":"","parse-names":false,"suffix":""},{"dropping-particle":"","family":"Correia","given":"Carmen","non-dropping-particle":"","parse-names":false,"suffix":""},{"dropping-particle":"","family":"Haslop","given":"Richard","non-dropping-particle":"","parse-names":false,"suffix":""},{"dropping-particle":"","family":"Abbott","given":"Tom","non-dropping-particle":"","parse-names":false,"suffix":""},{"dropping-particle":"","family":"Tanqueray","given":"Tabitha","non-dropping-particle":"","parse-names":false,"suffix":""},{"dropping-particle":"","family":"Wijeykoon","given":"Sanjay","non-dropping-particle":"","parse-names":false,"suffix":""},{"dropping-particle":"","family":"Jain","given":"Susan","non-dropping-particle":"","parse-names":false,"suffix":""},{"dropping-particle":"","family":"Full","given":"Jens","non-dropping-particle":"","parse-names":false,"suffix":""},{"dropping-particle":"","family":"Cuming","given":"Tamzin","non-dropping-particle":"","parse-names":false,"suffix":""},{"dropping-particle":"","family":"Bailey","given":"Flora","non-dropping-particle":"","parse-names":false,"suffix":""},{"dropping-particle":"","family":"Chatzimichail","given":"Stelios","non-dropping-particle":"","parse-names":false,"suffix":""},{"dropping-particle":"","family":"Cunha","given":"Pedro","non-dropping-particle":"","parse-names":false,"suffix":""},{"dropping-particle":"","family":"Rehman","given":"Almas","non-dropping-particle":"","parse-names":false,"suffix":""},{"dropping-particle":"","family":"Mohanty","given":"Manab","non-dropping-particle":"","parse-names":false,"suffix":""},{"dropping-particle":"","family":"Radford","given":"Nicola","non-dropping-particle":"","parse-names":false,"suffix":""},{"dropping-particle":"","family":"Mohr","given":"Otto","non-dropping-particle":"","parse-names":false,"suffix":""},{"dropping-particle":"","family":"Patel","given":"Hitesh","non-dropping-particle":"","parse-names":false,"suffix":""},{"dropping-particle":"","family":"Mateo","given":"Dolores","non-dropping-particle":"","parse-names":false,"suffix":""},{"dropping-particle":"","family":"Raj","given":"Ashok","non-dropping-particle":"","parse-names":false,"suffix":""},{"dropping-particle":"","family":"Machesney","given":"Michael","non-dropping-particle":"","parse-names":false,"suffix":""},{"dropping-particle":"","family":"Abdul","given":"Nazar","non-dropping-particle":"","parse-names":false,"suffix":""},{"dropping-particle":"","family":"Jemmet","given":"Kim","non-dropping-particle":"","parse-names":false,"suffix":""},{"dropping-particle":"","family":"Campbell","given":"Marta","non-dropping-particle":"","parse-names":false,"suffix":""},{"dropping-particle":"","family":"Inglis","given":"David","non-dropping-particle":"","parse-names":false,"suffix":""},{"dropping-particle":"","family":"Parker","given":"Thomas","non-dropping-particle":"","parse-names":false,"suffix":""},{"dropping-particle":"","family":"Medici","given":"Thomas","non-dropping-particle":"","parse-names":false,"suffix":""},{"dropping-particle":"","family":"Chan","given":"Peter","non-dropping-particle":"","parse-names":false,"suffix":""},{"dropping-particle":"","family":"Borgeaud","given":"Nathan","non-dropping-particle":"","parse-names":false,"suffix":""},{"dropping-particle":"","family":"Mukherjee","given":"Dipankar","non-dropping-particle":"","parse-names":false,"suffix":""},{"dropping-particle":"","family":"Odejinmi","given":"Oluremi","non-dropping-particle":"","parse-names":false,"suffix":""},{"dropping-particle":"","family":"Jovaisa","given":"Tomas","non-dropping-particle":"","parse-names":false,"suffix":""},{"dropping-particle":"","family":"Harwood","given":"Elizabeth","non-dropping-particle":"","parse-names":false,"suffix":""},{"dropping-particle":"","family":"Moonesinghe","given":"Ramani","non-dropping-particle":"","parse-names":false,"suffix":""},{"dropping-particle":"","family":"Mccullough","given":"Jonathan","non-dropping-particle":"","parse-names":false,"suffix":""},{"dropping-particle":"","family":"Modha","given":"Jigna","non-dropping-particle":"","parse-names":false,"suffix":""},{"dropping-particle":"","family":"Patel","given":"Sanjiv","non-dropping-particle":"","parse-names":false,"suffix":""},{"dropping-particle":"","family":"Limb","given":"James","non-dropping-particle":"","parse-names":false,"suffix":""},{"dropping-particle":"","family":"Bengeri","given":"Sheshagiri","non-dropping-particle":"","parse-names":false,"suffix":""},{"dropping-particle":"","family":"Rafi","given":"Amir","non-dropping-particle":"","parse-names":false,"suffix":""},{"dropping-particle":"","family":"Hall","given":"Elizabeth","non-dropping-particle":"","parse-names":false,"suffix":""},{"dropping-particle":"","family":"Brown","given":"James","non-dropping-particle":"","parse-names":false,"suffix":""},{"dropping-particle":"","family":"Gibson","given":"Bruce","non-dropping-particle":"","parse-names":false,"suffix":""},{"dropping-particle":"","family":"McNelis","given":"Una","non-dropping-particle":"","parse-names":false,"suffix":""},{"dropping-particle":"","family":"Bradburn","given":"Mike","non-dropping-particle":"","parse-names":false,"suffix":""},{"dropping-particle":"","family":"Lawson","given":"Maria","non-dropping-particle":"","parse-names":false,"suffix":""},{"dropping-particle":"","family":"Pick","given":"Sara","non-dropping-particle":"","parse-names":false,"suffix":""},{"dropping-particle":"","family":"Gaughan","given":"Matthew","non-dropping-particle":"","parse-names":false,"suffix":""},{"dropping-particle":"","family":"Browell","given":"David","non-dropping-particle":"","parse-names":false,"suffix":""},{"dropping-particle":"","family":"Linnett","given":"Vanessa","non-dropping-particle":"","parse-names":false,"suffix":""},{"dropping-particle":"","family":"Ritzema","given":"Jenny","non-dropping-particle":"","parse-names":false,"suffix":""},{"dropping-particle":"","family":"O'Loughlin","given":"Paul","non-dropping-particle":"","parse-names":false,"suffix":""},{"dropping-particle":"","family":"Cope","given":"Sean","non-dropping-particle":"","parse-names":false,"suffix":""},{"dropping-particle":"","family":"Corson","given":"John","non-dropping-particle":"","parse-names":false,"suffix":""},{"dropping-particle":"","family":"Roy","given":"Alistair","non-dropping-particle":"","parse-names":false,"suffix":""},{"dropping-particle":"","family":"Furneval","given":"Julie","non-dropping-particle":"","parse-names":false,"suffix":""},{"dropping-particle":"","family":"Holtham","given":"Anitha","non-dropping-particle":"","parse-names":false,"suffix":""},{"dropping-particle":"","family":"Noblett","given":"Sophie","non-dropping-particle":"","parse-names":false,"suffix":""},{"dropping-particle":"","family":"Dawson","given":"Chris","non-dropping-particle":"","parse-names":false,"suffix":""},{"dropping-particle":"","family":"McMenemie","given":"Fiona","non-dropping-particle":"","parse-names":false,"suffix":""},{"dropping-particle":"","family":"Pulsa","given":"Stefan","non-dropping-particle":"","parse-names":false,"suffix":""},{"dropping-particle":"","family":"Clement","given":"Ian","non-dropping-particle":"","parse-names":false,"suffix":""},{"dropping-particle":"","family":"Calder","given":"Verity","non-dropping-particle":"","parse-names":false,"suffix":""},{"dropping-particle":"","family":"Allen","given":"Katherine","non-dropping-particle":"","parse-names":false,"suffix":""},{"dropping-particle":"","family":"Rimmer","given":"Catherine","non-dropping-particle":"","parse-names":false,"suffix":""},{"dropping-particle":"","family":"Reed","given":"Helen","non-dropping-particle":"","parse-names":false,"suffix":""},{"dropping-particle":"","family":"Boyd","given":"Christine","non-dropping-particle":"","parse-names":false,"suffix":""},{"dropping-particle":"","family":"Monkhouse","given":"Diane","non-dropping-particle":"","parse-names":false,"suffix":""},{"dropping-particle":"","family":"Davies","given":"Peter","non-dropping-particle":"","parse-names":false,"suffix":""},{"dropping-particle":"","family":"Mullenheim","given":"Jost","non-dropping-particle":"","parse-names":false,"suffix":""},{"dropping-particle":"","family":"Cirstea","given":"Emanuel","non-dropping-particle":"","parse-names":false,"suffix":""},{"dropping-particle":"","family":"Cain","given":"Martyn","non-dropping-particle":"","parse-names":false,"suffix":""},{"dropping-particle":"","family":"Baillie","given":"Kirsty","non-dropping-particle":"","parse-names":false,"suffix":""},{"dropping-particle":"","family":"Bhowmick","given":"Arnab","non-dropping-particle":"","parse-names":false,"suffix":""},{"dropping-particle":"","family":"Jovestani","given":"Keiarash","non-dropping-particle":"","parse-names":false,"suffix":""},{"dropping-particle":"","family":"Mcmullan","given":"Sean","non-dropping-particle":"","parse-names":false,"suffix":""},{"dropping-particle":"","family":"Durant","given":"Emma","non-dropping-particle":"","parse-names":false,"suffix":""},{"dropping-particle":"","family":"Williams","given":"Alexandra","non-dropping-particle":"","parse-names":false,"suffix":""},{"dropping-particle":"","family":"Doyle","given":"Donna","non-dropping-particle":"","parse-names":false,"suffix":""},{"dropping-particle":"","family":"Cupitt","given":"Jason","non-dropping-particle":"","parse-names":false,"suffix":""},{"dropping-particle":"","family":"Barker","given":"Jonathon","non-dropping-particle":"","parse-names":false,"suffix":""},{"dropping-particle":"","family":"Harper","given":"Nick","non-dropping-particle":"","parse-names":false,"suffix":""},{"dropping-particle":"","family":"Brennan","given":"Emma","non-dropping-particle":"","parse-names":false,"suffix":""},{"dropping-particle":"","family":"Subar","given":"Daren","non-dropping-particle":"","parse-names":false,"suffix":""},{"dropping-particle":"","family":"Shawcross","given":"Robert","non-dropping-particle":"","parse-names":false,"suffix":""},{"dropping-particle":"","family":"Sebastian","given":"Dominic","non-dropping-particle":"","parse-names":false,"suffix":""},{"dropping-particle":"","family":"Patel","given":"Panna","non-dropping-particle":"","parse-names":false,"suffix":""},{"dropping-particle":"","family":"O'Connell","given":"Gillian","non-dropping-particle":"","parse-names":false,"suffix":""},{"dropping-particle":"","family":"Karvonen","given":"Jyrki","non-dropping-particle":"","parse-names":false,"suffix":""},{"dropping-particle":"","family":"Ishaan","given":"Maitra","non-dropping-particle":"","parse-names":false,"suffix":""},{"dropping-particle":"","family":"Hool","given":"Alison","non-dropping-particle":"","parse-names":false,"suffix":""},{"dropping-particle":"","family":"Burns","given":"Karen","non-dropping-particle":"","parse-names":false,"suffix":""},{"dropping-particle":"","family":"Mcarthur","given":"Carol","non-dropping-particle":"","parse-names":false,"suffix":""},{"dropping-particle":"","family":"Stergios","given":"Tezas","non-dropping-particle":"","parse-names":false,"suffix":""},{"dropping-particle":"","family":"Gursevak","given":"Singh","non-dropping-particle":"","parse-names":false,"suffix":""},{"dropping-particle":"","family":"Sonia","given":"Makvana","non-dropping-particle":"","parse-names":false,"suffix":""},{"dropping-particle":"","family":"Pratt","given":"Heather","non-dropping-particle":"","parse-names":false,"suffix":""},{"dropping-particle":"","family":"Lynne","given":"Kaighan","non-dropping-particle":"","parse-names":false,"suffix":""},{"dropping-particle":"","family":"McAfee","given":"Sean","non-dropping-particle":"","parse-names":false,"suffix":""},{"dropping-particle":"","family":"Lewis","given":"Chris","non-dropping-particle":"","parse-names":false,"suffix":""},{"dropping-particle":"","family":"Khalaf","given":"Wael","non-dropping-particle":"","parse-names":false,"suffix":""},{"dropping-particle":"","family":"Coldwell","given":"Chris","non-dropping-particle":"","parse-names":false,"suffix":""},{"dropping-particle":"","family":"Bronder","given":"Christine","non-dropping-particle":"","parse-names":false,"suffix":""},{"dropping-particle":"","family":"Wilkinson","given":"Mark","non-dropping-particle":"","parse-names":false,"suffix":""},{"dropping-particle":"","family":"Davis","given":"Emma","non-dropping-particle":"","parse-names":false,"suffix":""},{"dropping-particle":"","family":"Arnold","given":"Glenn","non-dropping-particle":"","parse-names":false,"suffix":""},{"dropping-particle":"","family":"Ziprin","given":"Paul","non-dropping-particle":"","parse-names":false,"suffix":""},{"dropping-particle":"","family":"Bartlett","given":"Rachel","non-dropping-particle":"","parse-names":false,"suffix":""},{"dropping-particle":"","family":"Stotz","given":"Martin","non-dropping-particle":"","parse-names":false,"suffix":""},{"dropping-particle":"","family":"D'souza","given":"Rovan","non-dropping-particle":"","parse-names":false,"suffix":""},{"dropping-particle":"","family":"Pemberton","given":"Phillippa","non-dropping-particle":"","parse-names":false,"suffix":""},{"dropping-particle":"","family":"Agarwal","given":"Banwari","non-dropping-particle":"","parse-names":false,"suffix":""},{"dropping-particle":"","family":"Sugavanam","given":"Anita","non-dropping-particle":"","parse-names":false,"suffix":""},{"dropping-particle":"","family":"Tan","given":"Melanie","non-dropping-particle":"","parse-names":false,"suffix":""},{"dropping-particle":"","family":"Varcada","given":"Massimo","non-dropping-particle":"","parse-names":false,"suffix":""},{"dropping-particle":"","family":"Lyness","given":"Craig","non-dropping-particle":"","parse-names":false,"suffix":""},{"dropping-particle":"","family":"Thorniley","given":"Andrew","non-dropping-particle":"","parse-names":false,"suffix":""},{"dropping-particle":"","family":"Prabhudesai","given":"Ash","non-dropping-particle":"","parse-names":false,"suffix":""},{"dropping-particle":"","family":"Griffin","given":"Ruth","non-dropping-particle":"","parse-names":false,"suffix":""},{"dropping-particle":"","family":"Vashisht","given":"Shubha","non-dropping-particle":"","parse-names":false,"suffix":""},{"dropping-particle":"","family":"Harris","given":"James","non-dropping-particle":"","parse-names":false,"suffix":""},{"dropping-particle":"","family":"Wakeford","given":"Julie","non-dropping-particle":"","parse-names":false,"suffix":""},{"dropping-particle":"","family":"Vaganov","given":"Sergei","non-dropping-particle":"","parse-names":false,"suffix":""},{"dropping-particle":"","family":"Mohsen","given":"Yasser","non-dropping-particle":"","parse-names":false,"suffix":""},{"dropping-particle":"","family":"Myers","given":"Alister","non-dropping-particle":"","parse-names":false,"suffix":""},{"dropping-particle":"","family":"Iqbal","given":"Qamar","non-dropping-particle":"","parse-names":false,"suffix":""},{"dropping-particle":"","family":"Harris","given":"Simon","non-dropping-particle":"","parse-names":false,"suffix":""},{"dropping-particle":"","family":"Ijaz","given":"Sami","non-dropping-particle":"","parse-names":false,"suffix":""},{"dropping-particle":"","family":"Burrow","given":"James","non-dropping-particle":"","parse-names":false,"suffix":""},{"dropping-particle":"","family":"Rubulotta","given":"Francesca","non-dropping-particle":"","parse-names":false,"suffix":""},{"dropping-particle":"","family":"El-Masry","given":"Nabil","non-dropping-particle":"","parse-names":false,"suffix":""},{"dropping-particle":"","family":"Stranix","given":"Nicola","non-dropping-particle":"","parse-names":false,"suffix":""},{"dropping-particle":"","family":"Rope","given":"Tamsin","non-dropping-particle":"","parse-names":false,"suffix":""},{"dropping-particle":"","family":"Liasis","given":"Lampros","non-dropping-particle":"","parse-names":false,"suffix":""},{"dropping-particle":"","family":"Husain","given":"Tariq","non-dropping-particle":"","parse-names":false,"suffix":""},{"dropping-particle":"","family":"Watfah","given":"Josef","non-dropping-particle":"","parse-names":false,"suffix":""},{"dropping-particle":"","family":"Griffiths","given":"Megan","non-dropping-particle":"","parse-names":false,"suffix":""},{"dropping-particle":"","family":"Warusavitarne","given":"Janindra","non-dropping-particle":"","parse-names":false,"suffix":""},{"dropping-particle":"","family":"Cartwright","given":"Charles","non-dropping-particle":"","parse-names":false,"suffix":""},{"dropping-particle":"","family":"Baxter","given":"Linden","non-dropping-particle":"","parse-names":false,"suffix":""},{"dropping-particle":"","family":"Visavadia","given":"Rakhee","non-dropping-particle":"","parse-names":false,"suffix":""},{"dropping-particle":"","family":"Sim","given":"Malcolm","non-dropping-particle":"","parse-names":false,"suffix":""},{"dropping-particle":"","family":"Wilson","given":"Chris","non-dropping-particle":"","parse-names":false,"suffix":""},{"dropping-particle":"","family":"Harrison","given":"Paul","non-dropping-particle":"","parse-names":false,"suffix":""},{"dropping-particle":"","family":"Williams","given":"Dewi","non-dropping-particle":"","parse-names":false,"suffix":""},{"dropping-particle":"","family":"Bews-Hair","given":"Maria","non-dropping-particle":"","parse-names":false,"suffix":""},{"dropping-particle":"","family":"Wrathall","given":"Wayne","non-dropping-particle":"","parse-names":false,"suffix":""},{"dropping-particle":"","family":"Jardine","given":"Catherine","non-dropping-particle":"","parse-names":false,"suffix":""},{"dropping-particle":"","family":"Mclaren","given":"Paul","non-dropping-particle":"","parse-names":false,"suffix":""},{"dropping-particle":"","family":"Dreyer","given":"Fanus","non-dropping-particle":"","parse-names":false,"suffix":""},{"dropping-particle":"","family":"Collins","given":"Paddy","non-dropping-particle":"","parse-names":false,"suffix":""},{"dropping-particle":"","family":"Edwards","given":"Jennifer","non-dropping-particle":"","parse-names":false,"suffix":""},{"dropping-particle":"","family":"Moug","given":"Susan","non-dropping-particle":"","parse-names":false,"suffix":""},{"dropping-particle":"","family":"Rooney","given":"Kevin","non-dropping-particle":"","parse-names":false,"suffix":""},{"dropping-particle":"","family":"Mcilveen","given":"Erin","non-dropping-particle":"","parse-names":false,"suffix":""},{"dropping-particle":"","family":"Henderson","given":"Steven","non-dropping-particle":"","parse-names":false,"suffix":""},{"dropping-particle":"","family":"Graham","given":"Linda","non-dropping-particle":"","parse-names":false,"suffix":""},{"dropping-particle":"","family":"Stark","given":"Gail","non-dropping-particle":"","parse-names":false,"suffix":""},{"dropping-particle":"","family":"Taylor","given":"Lynn","non-dropping-particle":"","parse-names":false,"suffix":""},{"dropping-particle":"","family":"Munro","given":"Mark","non-dropping-particle":"","parse-names":false,"suffix":""},{"dropping-particle":"","family":"Stewart","given":"Lynn","non-dropping-particle":"","parse-names":false,"suffix":""},{"dropping-particle":"","family":"Dickinson","given":"Natalie","non-dropping-particle":"","parse-names":false,"suffix":""},{"dropping-particle":"","family":"Rooney","given":"Laura","non-dropping-particle":"","parse-names":false,"suffix":""},{"dropping-particle":"","family":"Bailey","given":"Lindsay","non-dropping-particle":"","parse-names":false,"suffix":""},{"dropping-particle":"","family":"Murray","given":"Diane","non-dropping-particle":"","parse-names":false,"suffix":""},{"dropping-particle":"","family":"Geary","given":"Tim","non-dropping-particle":"","parse-names":false,"suffix":""},{"dropping-particle":"","family":"Gibson","given":"Simon","non-dropping-particle":"","parse-names":false,"suffix":""},{"dropping-particle":"","family":"Pow","given":"Colin","non-dropping-particle":"","parse-names":false,"suffix":""},{"dropping-particle":"","family":"Tan","given":"Kerwei","non-dropping-particle":"","parse-names":false,"suffix":""},{"dropping-particle":"","family":"Stevenson","given":"Richard","non-dropping-particle":"","parse-names":false,"suffix":""},{"dropping-particle":"","family":"Harrison","given":"Ewen","non-dropping-particle":"","parse-names":false,"suffix":""},{"dropping-particle":"","family":"Lamb","given":"Peter","non-dropping-particle":"","parse-names":false,"suffix":""},{"dropping-particle":"","family":"Carey","given":"Kate","non-dropping-particle":"","parse-names":false,"suffix":""},{"dropping-particle":"","family":"Fitton","given":"Laura","non-dropping-particle":"","parse-names":false,"suffix":""},{"dropping-particle":"","family":"Cook","given":"Fabian","non-dropping-particle":"","parse-names":false,"suffix":""},{"dropping-particle":"","family":"Schwarz","given":"Magen","non-dropping-particle":"","parse-names":false,"suffix":""},{"dropping-particle":"","family":"Morrison","given":"Alan","non-dropping-particle":"","parse-names":false,"suffix":""},{"dropping-particle":"","family":"Bryce","given":"Gavin","non-dropping-particle":"","parse-names":false,"suffix":""},{"dropping-particle":"","family":"Razouk","given":"Khaled","non-dropping-particle":"","parse-names":false,"suffix":""},{"dropping-particle":"","family":"Cain","given":"Kathryn","non-dropping-particle":"","parse-names":false,"suffix":""},{"dropping-particle":"","family":"Kunst","given":"Gudrun","non-dropping-particle":"","parse-names":false,"suffix":""},{"dropping-particle":"","family":"Papagrigoriadis","given":"Savvas","non-dropping-particle":"","parse-names":false,"suffix":""},{"dropping-particle":"","family":"Hopkins","given":"Phil","non-dropping-particle":"","parse-names":false,"suffix":""},{"dropping-particle":"","family":"Fawcet","given":"Adrian","non-dropping-particle":"","parse-names":false,"suffix":""},{"dropping-particle":"","family":"O'Carroll-Kuehn","given":"Britta","non-dropping-particle":"","parse-names":false,"suffix":""},{"dropping-particle":"","family":"Girgis","given":"Amira","non-dropping-particle":"","parse-names":false,"suffix":""},{"dropping-particle":"","family":"Janokowski","given":"Stas","non-dropping-particle":"","parse-names":false,"suffix":""},{"dropping-particle":"","family":"Farhat","given":"Sami","non-dropping-particle":"","parse-names":false,"suffix":""},{"dropping-particle":"","family":"Vig","given":"Stella","non-dropping-particle":"","parse-names":false,"suffix":""},{"dropping-particle":"","family":"Hadi","given":"Nada","non-dropping-particle":"","parse-names":false,"suffix":""},{"dropping-particle":"","family":"Parsons","given":"Anthony","non-dropping-particle":"","parse-names":false,"suffix":""},{"dropping-particle":"","family":"Cecconi","given":"Maurizio","non-dropping-particle":"","parse-names":false,"suffix":""},{"dropping-particle":"","family":"Melville","given":"David","non-dropping-particle":"","parse-names":false,"suffix":""},{"dropping-particle":"","family":"Hartopp","given":"Richard","non-dropping-particle":"","parse-names":false,"suffix":""},{"dropping-particle":"","family":"Woods","given":"Justin","non-dropping-particle":"","parse-names":false,"suffix":""},{"dropping-particle":"","family":"Karat","given":"Isabella","non-dropping-particle":"","parse-names":false,"suffix":""},{"dropping-particle":"","family":"Gerrard","given":"David","non-dropping-particle":"","parse-names":false,"suffix":""},{"dropping-particle":"","family":"Curtis","given":"Edward","non-dropping-particle":"","parse-names":false,"suffix":""},{"dropping-particle":"","family":"Somasekar","given":"Krishnamurthy","non-dropping-particle":"","parse-names":false,"suffix":""},{"dropping-particle":"","family":"Morgan-Jones","given":"Tom","non-dropping-particle":"","parse-names":false,"suffix":""},{"dropping-particle":"","family":"Martin","given":"Michael","non-dropping-particle":"","parse-names":false,"suffix":""},{"dropping-particle":"","family":"Henwood","given":"Mark","non-dropping-particle":"","parse-names":false,"suffix":""},{"dropping-particle":"","family":"Milne","given":"Gordon","non-dropping-particle":"","parse-names":false,"suffix":""},{"dropping-particle":"","family":"Sivasankaranand","given":"Ajit","non-dropping-particle":"","parse-names":false,"suffix":""},{"dropping-particle":"","family":"Scott","given":"Alexandra","non-dropping-particle":"","parse-names":false,"suffix":""},{"dropping-particle":"","family":"Escofet","given":"Xavier","non-dropping-particle":"","parse-names":false,"suffix":""},{"dropping-particle":"","family":"Toth-Tarsoly","given":"Piroska","non-dropping-particle":"","parse-names":false,"suffix":""},{"dropping-particle":"","family":"Shama","given":"Majed","non-dropping-particle":"Al","parse-names":false,"suffix":""},{"dropping-particle":"","family":"Hilton","given":"Valerie","non-dropping-particle":"","parse-names":false,"suffix":""},{"dropping-particle":"","family":"Davis","given":"Huw","non-dropping-particle":"","parse-names":false,"suffix":""},{"dropping-particle":"","family":"Williams","given":"Gail","non-dropping-particle":"","parse-names":false,"suffix":""},{"dropping-particle":"","family":"Harvard","given":"Tim","non-dropping-particle":"","parse-names":false,"suffix":""},{"dropping-particle":"","family":"Fitzgerald","given":"Peter","non-dropping-particle":"","parse-names":false,"suffix":""},{"dropping-particle":"","family":"Hurford","given":"Dom","non-dropping-particle":"","parse-names":false,"suffix":""},{"dropping-particle":"","family":"Muthuswamy","given":"Babu","non-dropping-particle":"","parse-names":false,"suffix":""},{"dropping-particle":"","family":"Williams","given":"Gethin","non-dropping-particle":"","parse-names":false,"suffix":""},{"dropping-particle":"","family":"Parry Jones","given":"Jack","non-dropping-particle":"","parse-names":false,"suffix":""},{"dropping-particle":"","family":"Mason","given":"Nick","non-dropping-particle":"","parse-names":false,"suffix":""},{"dropping-particle":"","family":"Rajagopal","given":"Ramesh","non-dropping-particle":"","parse-names":false,"suffix":""},{"dropping-particle":"","family":"Shenoy","given":"Shrisha","non-dropping-particle":"","parse-names":false,"suffix":""},{"dropping-particle":"","family":"Khater","given":"Magdy","non-dropping-particle":"","parse-names":false,"suffix":""},{"dropping-particle":"","family":"Morgan","given":"Richard","non-dropping-particle":"","parse-names":false,"suffix":""},{"dropping-particle":"","family":"Makris","given":"Nikolaos","non-dropping-particle":"","parse-names":false,"suffix":""},{"dropping-particle":"","family":"Hermandes","given":"Anil","non-dropping-particle":"","parse-names":false,"suffix":""},{"dropping-particle":"","family":"White","given":"Andrew","non-dropping-particle":"","parse-names":false,"suffix":""},{"dropping-particle":"","family":"Finch","given":"Guy","non-dropping-particle":"","parse-names":false,"suffix":""},{"dropping-particle":"","family":"Outram","given":"Matt","non-dropping-particle":"","parse-names":false,"suffix":""},{"dropping-particle":"","family":"Wilkinson","given":"Jonny","non-dropping-particle":"","parse-names":false,"suffix":""},{"dropping-particle":"","family":"Spimpolo","given":"Jennifer","non-dropping-particle":"","parse-names":false,"suffix":""},{"dropping-particle":"","family":"Shaw","given":"Debbie","non-dropping-particle":"","parse-names":false,"suffix":""},{"dropping-particle":"","family":"Obichere","given":"Marion","non-dropping-particle":"","parse-names":false,"suffix":""},{"dropping-particle":"","family":"Brescia","given":"Giovanni","non-dropping-particle":"","parse-names":false,"suffix":""},{"dropping-particle":"","family":"Menezes","given":"Flavia","non-dropping-particle":"","parse-names":false,"suffix":""},{"dropping-particle":"","family":"Stafford","given":"Helena","non-dropping-particle":"","parse-names":false,"suffix":""},{"dropping-particle":"","family":"Watters","given":"Malcolm","non-dropping-particle":"","parse-names":false,"suffix":""},{"dropping-particle":"","family":"Thorn","given":"Chris","non-dropping-particle":"","parse-names":false,"suffix":""},{"dropping-particle":"","family":"Stone","given":"Julian","non-dropping-particle":"","parse-names":false,"suffix":""},{"dropping-particle":"","family":"Andrews","given":"Sam","non-dropping-particle":"","parse-names":false,"suffix":""},{"dropping-particle":"","family":"Lythell","given":"Nicola","non-dropping-particle":"","parse-names":false,"suffix":""},{"dropping-particle":"","family":"Langton","given":"Helen","non-dropping-particle":"","parse-names":false,"suffix":""},{"dropping-particle":"","family":"Baxter","given":"Stephen","non-dropping-particle":"","parse-names":false,"suffix":""},{"dropping-particle":"","family":"Fernandes","given":"Roy","non-dropping-particle":"","parse-names":false,"suffix":""},{"dropping-particle":"","family":"Sunthareswaran","given":"Rame","non-dropping-particle":"","parse-names":false,"suffix":""},{"dropping-particle":"","family":"Ankers","given":"Alastair","non-dropping-particle":"","parse-names":false,"suffix":""},{"dropping-particle":"","family":"Panikkar","given":"Kumar","non-dropping-particle":"","parse-names":false,"suffix":""},{"dropping-particle":"","family":"Sleight","given":"Simon","non-dropping-particle":"","parse-names":false,"suffix":""},{"dropping-particle":"","family":"Cornforth","given":"Belinda","non-dropping-particle":"","parse-names":false,"suffix":""},{"dropping-particle":"","family":"Bell","given":"Louise","non-dropping-particle":"","parse-names":false,"suffix":""},{"dropping-particle":"","family":"Dodd","given":"Phil","non-dropping-particle":"","parse-names":false,"suffix":""},{"dropping-particle":"","family":"Welsh","given":"Fenella","non-dropping-particle":"","parse-names":false,"suffix":""},{"dropping-particle":"","family":"Watson","given":"Geoff","non-dropping-particle":"","parse-names":false,"suffix":""},{"dropping-particle":"","family":"Dorman","given":"Frankie","non-dropping-particle":"","parse-names":false,"suffix":""},{"dropping-particle":"","family":"Nash","given":"Guy","non-dropping-particle":"","parse-names":false,"suffix":""},{"dropping-particle":"","family":"Bromilow","given":"James","non-dropping-particle":"","parse-names":false,"suffix":""},{"dropping-particle":"","family":"Haigh","given":"Fran","non-dropping-particle":"","parse-names":false,"suffix":""},{"dropping-particle":"","family":"Pogson","given":"David","non-dropping-particle":"","parse-names":false,"suffix":""},{"dropping-particle":"","family":"Mercer","given":"Stuart","non-dropping-particle":"","parse-names":false,"suffix":""},{"dropping-particle":"","family":"Tucker","given":"Vanessa","non-dropping-particle":"","parse-names":false,"suffix":""},{"dropping-particle":"","family":"Way","given":"Carolyn","non-dropping-particle":"","parse-names":false,"suffix":""},{"dropping-particle":"","family":"Kirby-Bott","given":"James","non-dropping-particle":"","parse-names":false,"suffix":""},{"dropping-particle":"","family":"McLachan","given":"Jenny","non-dropping-particle":"","parse-names":false,"suffix":""},{"dropping-particle":"","family":"Chambers","given":"Rob","non-dropping-particle":"","parse-names":false,"suffix":""},{"dropping-particle":"","family":"Craven","given":"Rachael","non-dropping-particle":"","parse-names":false,"suffix":""},{"dropping-particle":"","family":"Blazeby","given":"Jane","non-dropping-particle":"","parse-names":false,"suffix":""},{"dropping-particle":"","family":"Freshwater-Turner","given":"Dan","non-dropping-particle":"","parse-names":false,"suffix":""},{"dropping-particle":"","family":"Burrows","given":"Lorna","non-dropping-particle":"","parse-names":false,"suffix":""},{"dropping-particle":"","family":"Howes","given":"Helen","non-dropping-particle":"","parse-names":false,"suffix":""},{"dropping-particle":"","family":"Christie","given":"Iain","non-dropping-particle":"","parse-names":false,"suffix":""},{"dropping-particle":"","family":"Coleman","given":"Mark","non-dropping-particle":"","parse-names":false,"suffix":""},{"dropping-particle":"","family":"Waddy","given":"Sam","non-dropping-particle":"","parse-names":false,"suffix":""},{"dropping-particle":"","family":"Sanders","given":"Grant","non-dropping-particle":"","parse-names":false,"suffix":""},{"dropping-particle":"","family":"Patrick","given":"Abigail","non-dropping-particle":"","parse-names":false,"suffix":""},{"dropping-particle":"","family":"Pitman","given":"Catherine","non-dropping-particle":"","parse-names":false,"suffix":""},{"dropping-particle":"","family":"Tyson","given":"Susan","non-dropping-particle":"","parse-names":false,"suffix":""},{"dropping-particle":"","family":"Smith","given":"Hannah","non-dropping-particle":"","parse-names":false,"suffix":""},{"dropping-particle":"","family":"Rousseau","given":"Guy","non-dropping-particle":"","parse-names":false,"suffix":""},{"dropping-particle":"","family":"Cartmell","given":"Mark","non-dropping-particle":"","parse-names":false,"suffix":""},{"dropping-particle":"","family":"Hanousek","given":"Jan","non-dropping-particle":"","parse-names":false,"suffix":""},{"dropping-particle":"","family":"Hollister","given":"Nigel","non-dropping-particle":"","parse-names":false,"suffix":""},{"dropping-particle":"","family":"Kightly","given":"Lynsey","non-dropping-particle":"","parse-names":false,"suffix":""},{"dropping-particle":"","family":"Pulletz","given":"Mark","non-dropping-particle":"","parse-names":false,"suffix":""},{"dropping-particle":"","family":"Talwar","given":"Anjay","non-dropping-particle":"","parse-names":false,"suffix":""},{"dropping-particle":"","family":"Baker","given":"Susie","non-dropping-particle":"","parse-names":false,"suffix":""},{"dropping-particle":"","family":"Thomas","given":"Ruth","non-dropping-particle":"","parse-names":false,"suffix":""},{"dropping-particle":"","family":"Gibbs","given":"Richard","non-dropping-particle":"","parse-names":false,"suffix":""},{"dropping-particle":"","family":"Noble","given":"Hamish","non-dropping-particle":"","parse-names":false,"suffix":""},{"dropping-particle":"","family":"Silsby","given":"Joseph","non-dropping-particle":"","parse-names":false,"suffix":""},{"dropping-particle":"","family":"Black","given":"Helen","non-dropping-particle":"","parse-names":false,"suffix":""},{"dropping-particle":"","family":"Evans","given":"Thomas","non-dropping-particle":"","parse-names":false,"suffix":""},{"dropping-particle":"","family":"DeBrunner","given":"Robert","non-dropping-particle":"","parse-names":false,"suffix":""},{"dropping-particle":"","family":"Cook","given":"Nicola","non-dropping-particle":"","parse-names":false,"suffix":""},{"dropping-particle":"","family":"Hodges","given":"Stacy","non-dropping-particle":"","parse-names":false,"suffix":""},{"dropping-particle":"","family":"Stevens","given":"Amanda","non-dropping-particle":"","parse-names":false,"suffix":""},{"dropping-particle":"","family":"Felipe","given":"Rowena","non-dropping-particle":"","parse-names":false,"suffix":""},{"dropping-particle":"","family":"Paddle","given":"Jonathan","non-dropping-particle":"","parse-names":false,"suffix":""},{"dropping-particle":"","family":"May","given":"Denzil","non-dropping-particle":"","parse-names":false,"suffix":""},{"dropping-particle":"","family":"Pickford","given":"Alison","non-dropping-particle":"","parse-names":false,"suffix":""},{"dropping-particle":"","family":"Riddington","given":"Sid","non-dropping-particle":"","parse-names":false,"suffix":""},{"dropping-particle":"","family":"Tucker","given":"Olga","non-dropping-particle":"","parse-names":false,"suffix":""},{"dropping-particle":"","family":"Smart","given":"Simon","non-dropping-particle":"","parse-names":false,"suffix":""},{"dropping-particle":"","family":"Marwick","given":"Jeremy","non-dropping-particle":"","parse-names":false,"suffix":""},{"dropping-particle":"","family":"Suggett","given":"Nigel","non-dropping-particle":"","parse-names":false,"suffix":""},{"dropping-particle":"","family":"Griffiths","given":"Ewen","non-dropping-particle":"","parse-names":false,"suffix":""},{"dropping-particle":"","family":"Riddington","given":"David","non-dropping-particle":"","parse-names":false,"suffix":""},{"dropping-particle":"","family":"Gill","given":"Kathryn","non-dropping-particle":"","parse-names":false,"suffix":""},{"dropping-particle":"","family":"Cruickshank","given":"Neil","non-dropping-particle":"","parse-names":false,"suffix":""},{"dropping-particle":"","family":"Susarla","given":"Jay","non-dropping-particle":"","parse-names":false,"suffix":""},{"dropping-particle":"","family":"Leno","given":"Emma","non-dropping-particle":"","parse-names":false,"suffix":""},{"dropping-particle":"","family":"Colley","given":"Julie","non-dropping-particle":"","parse-names":false,"suffix":""},{"dropping-particle":"","family":"Burtenshaw","given":"Andrew","non-dropping-particle":"","parse-names":false,"suffix":""},{"dropping-particle":"","family":"Lake","given":"Stephen","non-dropping-particle":"","parse-names":false,"suffix":""},{"dropping-particle":"","family":"Greenwood","given":"Jamie","non-dropping-particle":"","parse-names":false,"suffix":""},{"dropping-particle":"","family":"Bhardwaj","given":"Sian","non-dropping-particle":"","parse-names":false,"suffix":""},{"dropping-particle":"","family":"Thrush","given":"Jessica","non-dropping-particle":"","parse-names":false,"suffix":""},{"dropping-particle":"","family":"Wollaston","given":"Julie","non-dropping-particle":"","parse-names":false,"suffix":""},{"dropping-particle":"","family":"Sonksen","given":"Julian","non-dropping-particle":"","parse-names":false,"suffix":""},{"dropping-particle":"","family":"Patel","given":"Rajan","non-dropping-particle":"","parse-names":false,"suffix":""},{"dropping-particle":"","family":"Jennings","given":"Adrian","non-dropping-particle":"","parse-names":false,"suffix":""},{"dropping-particle":"","family":"Stanley","given":"David","non-dropping-particle":"","parse-names":false,"suffix":""},{"dropping-particle":"","family":"Wright","given":"Jenny","non-dropping-particle":"","parse-names":false,"suffix":""},{"dropping-particle":"","family":"Horner","given":"Chris","non-dropping-particle":"","parse-names":false,"suffix":""},{"dropping-particle":"","family":"Baig","given":"Faisal","non-dropping-particle":"","parse-names":false,"suffix":""},{"dropping-particle":"","family":"Cooke","given":"Katie","non-dropping-particle":"","parse-names":false,"suffix":""},{"dropping-particle":"","family":"Singh","given":"Jagdeep","non-dropping-particle":"","parse-names":false,"suffix":""},{"dropping-particle":"","family":"Claxton","given":"Andrew","non-dropping-particle":"","parse-names":false,"suffix":""},{"dropping-particle":"","family":"Mirza","given":"Nazzia","non-dropping-particle":"","parse-names":false,"suffix":""},{"dropping-particle":"","family":"Hester","given":"Simon","non-dropping-particle":"","parse-names":false,"suffix":""},{"dropping-particle":"","family":"Knight","given":"Georgia","non-dropping-particle":"","parse-names":false,"suffix":""},{"dropping-particle":"","family":"Kumar","given":"Peeyush","non-dropping-particle":"","parse-names":false,"suffix":""},{"dropping-particle":"","family":"Saran","given":"Taj","non-dropping-particle":"","parse-names":false,"suffix":""},{"dropping-particle":"","family":"Marangoni","given":"Gabriele","non-dropping-particle":"","parse-names":false,"suffix":""},{"dropping-particle":"","family":"Townsend","given":"Roger","non-dropping-particle":"","parse-names":false,"suffix":""},{"dropping-particle":"","family":"Thacker","given":"Andy","non-dropping-particle":"","parse-names":false,"suffix":""},{"dropping-particle":"","family":"Scase","given":"Anne","non-dropping-particle":"","parse-names":false,"suffix":""},{"dropping-particle":"","family":"Sharma","given":"Meghna","non-dropping-particle":"","parse-names":false,"suffix":""},{"dropping-particle":"","family":"Hale","given":"Beth","non-dropping-particle":"","parse-names":false,"suffix":""}],"container-title":"The Lancet","id":"ITEM-1","issue":"10187","issued":{"date-parts":[["2019"]]},"page":"2213-2221","title":"Effectiveness of a national quality improvement programme to improve survival after emergency abdominal surgery (EPOCH): a stepped-wedge cluster-randomised trial","type":"article-journal","volume":"393"},"uris":["http://www.mendeley.com/documents/?uuid=1c380a86-41e2-43f4-b064-7b06f760d387"]}],"mendeley":{"formattedCitation":"(44)","plainTextFormattedCitation":"(44)","previouslyFormattedCitation":"(44)"},"properties":{"noteIndex":0},"schema":"https://github.com/citation-style-language/schema/raw/master/csl-citation.json"}</w:instrText>
      </w:r>
      <w:r w:rsidR="00EF16FA" w:rsidRPr="00AD29B0">
        <w:fldChar w:fldCharType="separate"/>
      </w:r>
      <w:r w:rsidR="003F790D" w:rsidRPr="003F790D">
        <w:rPr>
          <w:noProof/>
        </w:rPr>
        <w:t>(44)</w:t>
      </w:r>
      <w:r w:rsidR="00EF16FA" w:rsidRPr="00AD29B0">
        <w:fldChar w:fldCharType="end"/>
      </w:r>
      <w:r w:rsidR="00191D50">
        <w:t>.</w:t>
      </w:r>
    </w:p>
    <w:p w14:paraId="20CACAA2" w14:textId="04F74940" w:rsidR="008867F2" w:rsidRPr="00610F23" w:rsidRDefault="00067E9C" w:rsidP="00327B6F">
      <w:pPr>
        <w:spacing w:line="480" w:lineRule="auto"/>
        <w:rPr>
          <w:sz w:val="23"/>
          <w:szCs w:val="23"/>
        </w:rPr>
      </w:pPr>
      <w:r w:rsidRPr="00035759">
        <w:t>Although measures were taken to reduce the Hawthorne effect</w:t>
      </w:r>
      <w:r w:rsidR="00EF16FA" w:rsidRPr="00035759">
        <w:t xml:space="preserve"> </w:t>
      </w:r>
      <w:r w:rsidRPr="00035759">
        <w:t>of taking part in a</w:t>
      </w:r>
      <w:r w:rsidR="00A52DDF">
        <w:t xml:space="preserve"> </w:t>
      </w:r>
      <w:r w:rsidR="008D6365">
        <w:t>trial</w:t>
      </w:r>
      <w:r w:rsidRPr="00035759">
        <w:t>, such as</w:t>
      </w:r>
      <w:r w:rsidR="00B473C6">
        <w:t xml:space="preserve"> </w:t>
      </w:r>
      <w:r w:rsidR="00BD3F1A">
        <w:t>including</w:t>
      </w:r>
      <w:r w:rsidR="00B473C6" w:rsidRPr="00035759">
        <w:t xml:space="preserve"> </w:t>
      </w:r>
      <w:r w:rsidRPr="00035759">
        <w:t>both arms as intervention arms</w:t>
      </w:r>
      <w:r w:rsidR="00C9280C">
        <w:t>,</w:t>
      </w:r>
      <w:r w:rsidRPr="00035759">
        <w:t xml:space="preserve"> and providing the opportunity for teams to attend cross-over collaborative events</w:t>
      </w:r>
      <w:r w:rsidR="00956377">
        <w:t xml:space="preserve"> at the end of the trial</w:t>
      </w:r>
      <w:r w:rsidRPr="00035759">
        <w:t>, it is possible there were uncontrollable effects of being in the QIST trial. For example, the outcome of blood transfusion can be affected by multiple factors, many of which are targeted by multimodal patient blood management programmes. It is possible that although teams in the control arm for QIST: Anaemia did not introduce preoperative anaemia screening</w:t>
      </w:r>
      <w:r w:rsidR="005A57CD">
        <w:t>,</w:t>
      </w:r>
      <w:r w:rsidRPr="00035759">
        <w:t xml:space="preserve"> they may have reviewed other elements of their patient pathway as QIST had shone a light on the risks associated with blood transfusion. Examples may include Trusts reviewing their tranexamic acid policy, transfusion triggers, or </w:t>
      </w:r>
      <w:r w:rsidR="005A57CD">
        <w:t>increased caution in</w:t>
      </w:r>
      <w:r w:rsidRPr="00035759">
        <w:t xml:space="preserve"> </w:t>
      </w:r>
      <w:r w:rsidR="005A57CD">
        <w:t>issuing</w:t>
      </w:r>
      <w:r w:rsidRPr="00035759">
        <w:t xml:space="preserve"> transfusions as </w:t>
      </w:r>
      <w:r w:rsidR="005A57CD">
        <w:t>clinicians</w:t>
      </w:r>
      <w:r w:rsidRPr="00035759">
        <w:t xml:space="preserve"> knew these were being measured. </w:t>
      </w:r>
      <w:r w:rsidR="00EF16FA" w:rsidRPr="00035759">
        <w:t>Similarly</w:t>
      </w:r>
      <w:r w:rsidR="0050087A">
        <w:t>,</w:t>
      </w:r>
      <w:r w:rsidR="00EF16FA" w:rsidRPr="00035759">
        <w:t xml:space="preserve"> there are many factors that influence SSI</w:t>
      </w:r>
      <w:r w:rsidR="005A57CD">
        <w:t>s</w:t>
      </w:r>
      <w:r w:rsidR="00EF16FA" w:rsidRPr="00035759">
        <w:t xml:space="preserve"> such as practices around </w:t>
      </w:r>
      <w:r w:rsidR="00EF16FA" w:rsidRPr="0050087A">
        <w:t>antibiotic prophylaxis, surgical technique and patient warming.</w:t>
      </w:r>
      <w:r w:rsidR="005B1D14">
        <w:t xml:space="preserve"> </w:t>
      </w:r>
      <w:r w:rsidR="00EF16FA" w:rsidRPr="00035759">
        <w:t>Furthermore, w</w:t>
      </w:r>
      <w:r w:rsidRPr="00AD29B0">
        <w:t>e are aware that some Trusts did implem</w:t>
      </w:r>
      <w:r w:rsidRPr="00035759">
        <w:t>ent both measures during the trial measurement perio</w:t>
      </w:r>
      <w:r w:rsidR="00EF16FA" w:rsidRPr="00035759">
        <w:t xml:space="preserve">d, although we </w:t>
      </w:r>
      <w:r w:rsidRPr="00035759">
        <w:t>attempt</w:t>
      </w:r>
      <w:r w:rsidR="005A57CD">
        <w:t>ed</w:t>
      </w:r>
      <w:r w:rsidRPr="00035759">
        <w:t xml:space="preserve"> to adjust for this in our </w:t>
      </w:r>
      <w:r w:rsidR="00EF16FA" w:rsidRPr="00035759">
        <w:t xml:space="preserve">sensitivity </w:t>
      </w:r>
      <w:r w:rsidRPr="00035759">
        <w:t>analyses</w:t>
      </w:r>
      <w:r w:rsidR="00EF16FA" w:rsidRPr="00035759">
        <w:t xml:space="preserve">. This is reflective of the complex systems in which </w:t>
      </w:r>
      <w:r w:rsidR="00510111">
        <w:rPr>
          <w:sz w:val="23"/>
          <w:szCs w:val="23"/>
        </w:rPr>
        <w:t>patient care is delivered</w:t>
      </w:r>
      <w:r w:rsidR="008867F2" w:rsidRPr="00035759">
        <w:t>.</w:t>
      </w:r>
      <w:r w:rsidR="006B7E9A" w:rsidRPr="006B7E9A">
        <w:t xml:space="preserve"> </w:t>
      </w:r>
      <w:r w:rsidR="005B1D14">
        <w:t>In addition,</w:t>
      </w:r>
      <w:r w:rsidR="008B1770">
        <w:t xml:space="preserve"> as</w:t>
      </w:r>
      <w:r w:rsidR="005B1D14">
        <w:t xml:space="preserve"> both arms </w:t>
      </w:r>
      <w:r w:rsidR="008B1770">
        <w:t>received an</w:t>
      </w:r>
      <w:r w:rsidR="005B1D14">
        <w:t xml:space="preserve"> intervention it </w:t>
      </w:r>
      <w:r w:rsidR="001251A7">
        <w:t>wa</w:t>
      </w:r>
      <w:r w:rsidR="005B1D14">
        <w:t xml:space="preserve">s not possible to compare </w:t>
      </w:r>
      <w:r w:rsidR="001251A7">
        <w:t xml:space="preserve">outcomes </w:t>
      </w:r>
      <w:r w:rsidR="00083A85">
        <w:t>to</w:t>
      </w:r>
      <w:r w:rsidR="008B1770">
        <w:t xml:space="preserve"> a no intervention control.</w:t>
      </w:r>
    </w:p>
    <w:p w14:paraId="78D2983F" w14:textId="7B8B90D2" w:rsidR="00C51E63" w:rsidRPr="00035759" w:rsidRDefault="00C51E63" w:rsidP="00327B6F">
      <w:pPr>
        <w:spacing w:line="480" w:lineRule="auto"/>
      </w:pPr>
      <w:r w:rsidRPr="00035759">
        <w:t xml:space="preserve">Our results also </w:t>
      </w:r>
      <w:r w:rsidR="00956377">
        <w:t>suggest</w:t>
      </w:r>
      <w:r w:rsidR="00956377" w:rsidRPr="00035759">
        <w:t xml:space="preserve"> </w:t>
      </w:r>
      <w:r w:rsidRPr="00035759">
        <w:t>that</w:t>
      </w:r>
      <w:r w:rsidR="00956377">
        <w:t>,</w:t>
      </w:r>
      <w:r w:rsidRPr="00035759">
        <w:t xml:space="preserve"> on the whole</w:t>
      </w:r>
      <w:r w:rsidR="00956377">
        <w:t>,</w:t>
      </w:r>
      <w:r w:rsidRPr="00035759">
        <w:t xml:space="preserve"> more time was required to implement these changes</w:t>
      </w:r>
      <w:r w:rsidR="008D6365">
        <w:t xml:space="preserve"> than we had </w:t>
      </w:r>
      <w:r w:rsidR="00E120E2">
        <w:t>allocated</w:t>
      </w:r>
      <w:r w:rsidRPr="00035759">
        <w:t xml:space="preserve">. We </w:t>
      </w:r>
      <w:r w:rsidR="00E120E2">
        <w:t>incorporated</w:t>
      </w:r>
      <w:r w:rsidRPr="00035759">
        <w:t xml:space="preserve"> a </w:t>
      </w:r>
      <w:r w:rsidR="00AE62A2" w:rsidRPr="00035759">
        <w:t>6</w:t>
      </w:r>
      <w:r w:rsidR="00AE62A2">
        <w:t>-</w:t>
      </w:r>
      <w:r w:rsidRPr="00035759">
        <w:t xml:space="preserve">month implementation period into our trial </w:t>
      </w:r>
      <w:r w:rsidR="001B7F85" w:rsidRPr="00035759">
        <w:t>design,</w:t>
      </w:r>
      <w:r w:rsidR="00956377">
        <w:t xml:space="preserve"> but </w:t>
      </w:r>
      <w:r w:rsidR="001B7F85">
        <w:t xml:space="preserve">our data suggest </w:t>
      </w:r>
      <w:r w:rsidR="00956377">
        <w:t>a</w:t>
      </w:r>
      <w:r w:rsidR="00AE7300">
        <w:t xml:space="preserve"> </w:t>
      </w:r>
      <w:r w:rsidR="00AE7300">
        <w:rPr>
          <w:rFonts w:eastAsia="Calibri"/>
        </w:rPr>
        <w:t>longer implementation period was needed and a</w:t>
      </w:r>
      <w:r w:rsidRPr="00035759">
        <w:t xml:space="preserve"> 9 or 10 month period </w:t>
      </w:r>
      <w:r w:rsidR="00956377">
        <w:t>may have</w:t>
      </w:r>
      <w:r w:rsidRPr="00035759">
        <w:t xml:space="preserve"> been more appropriate.</w:t>
      </w:r>
    </w:p>
    <w:p w14:paraId="471C4D74" w14:textId="5B35CCEB" w:rsidR="00223819" w:rsidRDefault="00223819" w:rsidP="00223819">
      <w:pPr>
        <w:spacing w:line="480" w:lineRule="auto"/>
      </w:pPr>
      <w:r w:rsidRPr="00035759">
        <w:t xml:space="preserve">One of the main limitations of our study was </w:t>
      </w:r>
      <w:r>
        <w:t>that the</w:t>
      </w:r>
      <w:r w:rsidRPr="00035759">
        <w:t xml:space="preserve"> trial under recruited an</w:t>
      </w:r>
      <w:r>
        <w:t xml:space="preserve">d </w:t>
      </w:r>
      <w:r w:rsidRPr="0050087A">
        <w:t xml:space="preserve">the observed outcome event rates were much smaller than anticipated in </w:t>
      </w:r>
      <w:r>
        <w:t xml:space="preserve">the </w:t>
      </w:r>
      <w:r w:rsidRPr="0050087A">
        <w:t xml:space="preserve">sample size calculations. </w:t>
      </w:r>
      <w:r w:rsidR="00E91D26">
        <w:t>Anticipated and observed control rates were</w:t>
      </w:r>
      <w:r w:rsidR="00CE750F">
        <w:t>:</w:t>
      </w:r>
      <w:r w:rsidR="00E91D26">
        <w:t xml:space="preserve"> 0.75% </w:t>
      </w:r>
      <w:r w:rsidR="00CE750F">
        <w:t>and</w:t>
      </w:r>
      <w:r w:rsidR="00E91D26">
        <w:t xml:space="preserve"> 0.13%</w:t>
      </w:r>
      <w:r w:rsidR="00CE750F">
        <w:t>,</w:t>
      </w:r>
      <w:r w:rsidR="00E91D26">
        <w:t xml:space="preserve"> </w:t>
      </w:r>
      <w:r w:rsidR="00CE750F">
        <w:t xml:space="preserve">respectively, </w:t>
      </w:r>
      <w:r w:rsidR="00E91D26">
        <w:t>for MSSA deep SSIs</w:t>
      </w:r>
      <w:r w:rsidR="00CE750F">
        <w:t>;</w:t>
      </w:r>
      <w:r w:rsidR="00E91D26">
        <w:t xml:space="preserve"> and </w:t>
      </w:r>
      <w:r w:rsidRPr="0050087A">
        <w:t xml:space="preserve">6% </w:t>
      </w:r>
      <w:r w:rsidR="00CE750F">
        <w:t>and</w:t>
      </w:r>
      <w:r w:rsidR="00E91D26">
        <w:t xml:space="preserve"> 2.3%</w:t>
      </w:r>
      <w:r w:rsidR="00CE750F">
        <w:t>, respectively,</w:t>
      </w:r>
      <w:r w:rsidR="00E91D26">
        <w:t xml:space="preserve"> </w:t>
      </w:r>
      <w:r w:rsidR="00CE750F">
        <w:t>for</w:t>
      </w:r>
      <w:r w:rsidRPr="0050087A">
        <w:t xml:space="preserve"> blood transfusions. </w:t>
      </w:r>
      <w:r>
        <w:t xml:space="preserve">It may be that outcomes have genuinely improved over time, </w:t>
      </w:r>
      <w:r w:rsidR="00F6557D">
        <w:t>in keeping with recent studies which question</w:t>
      </w:r>
      <w:r>
        <w:t xml:space="preserve"> the effectiveness of preoperative anaemia management in contemporary practic</w:t>
      </w:r>
      <w:r w:rsidR="00F6557D">
        <w:t>e</w:t>
      </w:r>
      <w:r>
        <w:t xml:space="preserve"> </w:t>
      </w:r>
      <w:r>
        <w:fldChar w:fldCharType="begin" w:fldLock="1"/>
      </w:r>
      <w:r>
        <w:instrText>ADDIN CSL_CITATION {"citationItems":[{"id":"ITEM-1","itemData":{"DOI":"10.1016/S0140-6736(20)31539-7","ISSN":"01406736","PMID":"32896294","abstract":"Background: Preoperative anaemia affects a high proportion of patients undergoing major elective surgery and is associated with poor outcomes. We aimed to test the hypothesis that intravenous iron given to anaemic patients before major open elective abdominal surgery would correct anaemia, reduce the need for blood transfusions, and improve patient outcomes. Methods: In a double-blind, parallel-group randomised trial, we recruited adult participants identified with anaemia at preoperative hospital visits before elective major open abdominal surgery at 46 UK tertiary care centres. Anaemia was defined as haemoglobin less than 130 g/L for men and 120 g/L for women. We randomly allocated participants (1:1) via a secure web-based service to receive intravenous iron or placebo 10–42 days before surgery. Intravenous iron was administered as a single 1000 mg dose of ferric carboxymaltose in 100 mL normal saline, and placebo was 100 mL normal saline, both given as an infusion over 15 min. Unblinded study personnel prepared and administered the study drug; participants and other clinical and research staff were blinded to treatment allocation. Coprimary endpoints were risk of the composite outcome of blood transfusion or death, and number of blood transfusions from randomisation to 30 days postoperatively. The primary analysis included all randomly assigned patients with data available for the primary endpoints; safety analysis included all randomly assigned patients according to the treatment received. This study is registered, ISRCTN67322816, and is closed to new participants. Findings: Of 487 participants randomly assigned to placebo (n=243) or intravenous iron (n=244) between Jan 6, 2014, and Sept 28, 2018, complete data for the primary endpoints were available for 474 (97%) individuals. Death or blood transfusion occurred in 67 (28%) of the 237 patients in the placebo group and 69 (29%) of the 237 patients in the intravenous iron group (risk ratio 1·03, 95% CI 0·78–1·37; p=0·84). There were 111 blood transfusions in the placebo group and 105 in the intravenous iron group (rate ratio 0·98, 95% CI 0·68–1·43; p=0·93). There were no significant differences between the two groups for any of the prespecified safety endpoints. Interpretation: Preoperative intravenous iron was not superior to placebo to reduce need for blood transfusion when administered to patients with anaemia 10–42 days before elective major abdominal surgery. Funding: UK National Institute of He…","author":[{"dropping-particle":"","family":"Richards","given":"Toby","non-dropping-particle":"","parse-names":false,"suffix":""},{"dropping-particle":"","family":"Baikady","given":"Ravishankar Rao","non-dropping-particle":"","parse-names":false,"suffix":""},{"dropping-particle":"","family":"Clevenger","given":"Ben","non-dropping-particle":"","parse-names":false,"suffix":""},{"dropping-particle":"","family":"Butcher","given":"Anna","non-dropping-particle":"","parse-names":false,"suffix":""},{"dropping-particle":"","family":"Abeysiri","given":"Sandy","non-dropping-particle":"","parse-names":false,"suffix":""},{"dropping-particle":"","family":"Chau","given":"Marisa","non-dropping-particle":"","parse-names":false,"suffix":""},{"dropping-particle":"","family":"Macdougall","given":"Iain C.","non-dropping-particle":"","parse-names":false,"suffix":""},{"dropping-particle":"","family":"Murphy","given":"Gavin","non-dropping-particle":"","parse-names":false,"suffix":""},{"dropping-particle":"","family":"Swinson","given":"Rebecca","non-dropping-particle":"","parse-names":false,"suffix":""},{"dropping-particle":"","family":"Collier","given":"Tim","non-dropping-particle":"","parse-names":false,"suffix":""},{"dropping-particle":"","family":"Dyck","given":"Laura","non-dropping-particle":"Van","parse-names":false,"suffix":""},{"dropping-particle":"","family":"Browne","given":"John","non-dropping-particle":"","parse-names":false,"suffix":""},{"dropping-particle":"","family":"Bradbury","given":"Andrew","non-dropping-particle":"","parse-names":false,"suffix":""},{"dropping-particle":"","family":"Dodd","given":"Matthew","non-dropping-particle":"","parse-names":false,"suffix":""},{"dropping-particle":"","family":"Evans","given":"Richard","non-dropping-particle":"","parse-names":false,"suffix":""},{"dropping-particle":"","family":"Brealey","given":"David","non-dropping-particle":"","parse-names":false,"suffix":""},{"dropping-particle":"","family":"Anker","given":"Stefan D.","non-dropping-particle":"","parse-names":false,"suffix":""},{"dropping-particle":"","family":"Klein","given":"Andrew","non-dropping-particle":"","parse-names":false,"suffix":""}],"container-title":"The Lancet","id":"ITEM-1","issue":"10259","issued":{"date-parts":[["2020","10"]]},"page":"1353-1361","title":"Preoperative intravenous iron to treat anaemia before major abdominal surgery (PREVENTT): a randomised, double-blind, controlled trial","type":"article-journal","volume":"396"},"uris":["http://www.mendeley.com/documents/?uuid=84000ef6-aa4c-46cd-b16c-04aa02bbb5e1"]},{"id":"ITEM-2","itemData":{"DOI":"10.1016/j.bja.2020.04.087","ISSN":"14716771","PMID":"32620259","abstract":"Background: Patient blood management (PBM) interventions aim to improve clinical outcomes by reducing bleeding and transfusion. We assessed whether existing evidence supports the routine use of combinations of these interventions during and after major surgery. Methods: Five systematic reviews and a National Institute of Health and Care Excellence health economic review of trials of common PBM interventions enrolling participants of any age undergoing surgery were updated. The last search was on June 1, 2019. Studies in trauma, burns, gastrointestinal haemorrhage, gynaecology, dentistry, or critical care were excluded. The co-primary outcomes were: risk of receiving red cell transfusion and 30-day or hospital all-cause mortality. Treatment effects were estimated using random-effects models and risk ratios (RR) with 95% confidence intervals (CIs). Heterogeneity assessments used I2. Network meta-analyses used a frequentist approach. The protocol was registered prospectively (PROSPERO CRD42018085730). Results: Searches identified 393 eligible randomised controlled trials enrolling 54 917 participants. PBM interventions resulted in a reduction in exposure to red cell transfusion (RR=0.60; 95% CI 0.57, 0.63; I2=77%), but had no statistically significant treatment effect on 30-day or hospital mortality (RR=0.93; 95% CI 0.81, 1.07; I2=0%). Treatment effects were consistent across multiple secondary outcomes, sub-groups and sensitivity analyses that considered clinical setting, type of intervention, and trial quality. Network meta-analysis did not demonstrate additive benefits from the use of multiple interventions. No trial demonstrated that PBM was cost-effective. Conclusions: In randomised trials, PBM interventions do not have important clinical benefits beyond reducing bleeding and transfusion in people undergoing major surgery.","author":[{"dropping-particle":"","family":"Roman","given":"Marius A.","non-dropping-particle":"","parse-names":false,"suffix":""},{"dropping-particle":"","family":"Abbasciano","given":"Riccardo G.","non-dropping-particle":"","parse-names":false,"suffix":""},{"dropping-particle":"","family":"Pathak","given":"Suraj","non-dropping-particle":"","parse-names":false,"suffix":""},{"dropping-particle":"","family":"Oo","given":"Shwe","non-dropping-particle":"","parse-names":false,"suffix":""},{"dropping-particle":"","family":"Yusoff","given":"Syabira","non-dropping-particle":"","parse-names":false,"suffix":""},{"dropping-particle":"","family":"Wozniak","given":"Marcin","non-dropping-particle":"","parse-names":false,"suffix":""},{"dropping-particle":"","family":"Qureshi","given":"Saqib","non-dropping-particle":"","parse-names":false,"suffix":""},{"dropping-particle":"","family":"Lai","given":"Florence Y.","non-dropping-particle":"","parse-names":false,"suffix":""},{"dropping-particle":"","family":"Kumar","given":"Tracy","non-dropping-particle":"","parse-names":false,"suffix":""},{"dropping-particle":"","family":"Richards","given":"Toby","non-dropping-particle":"","parse-names":false,"suffix":""},{"dropping-particle":"","family":"Yao","given":"Guiqing","non-dropping-particle":"","parse-names":false,"suffix":""},{"dropping-particle":"","family":"Estcourt","given":"Lise","non-dropping-particle":"","parse-names":false,"suffix":""},{"dropping-particle":"","family":"Murphy","given":"Gavin J.","non-dropping-particle":"","parse-names":false,"suffix":""}],"container-title":"British Journal of Anaesthesia","id":"ITEM-2","issue":"1","issued":{"date-parts":[["2021"]]},"page":"149-156","title":"Patient blood management interventions do not lead to important clinical benefits or cost-effectiveness for major surgery: a network meta-analysis","type":"article-journal","volume":"126"},"uris":["http://www.mendeley.com/documents/?uuid=2d73d8a1-780b-41ff-9a8d-5a3c759aecef"]}],"mendeley":{"formattedCitation":"(45,46)","plainTextFormattedCitation":"(45,46)"},"properties":{"noteIndex":0},"schema":"https://github.com/citation-style-language/schema/raw/master/csl-citation.json"}</w:instrText>
      </w:r>
      <w:r>
        <w:fldChar w:fldCharType="separate"/>
      </w:r>
      <w:r w:rsidRPr="00304031">
        <w:rPr>
          <w:noProof/>
        </w:rPr>
        <w:t>(45,46)</w:t>
      </w:r>
      <w:r>
        <w:fldChar w:fldCharType="end"/>
      </w:r>
      <w:r w:rsidR="00191D50">
        <w:t xml:space="preserve">. </w:t>
      </w:r>
      <w:r>
        <w:t>However, i</w:t>
      </w:r>
      <w:r w:rsidRPr="0050087A">
        <w:t>t</w:t>
      </w:r>
      <w:r>
        <w:t xml:space="preserve"> i</w:t>
      </w:r>
      <w:r w:rsidRPr="0050087A">
        <w:t>s</w:t>
      </w:r>
      <w:r>
        <w:t xml:space="preserve"> also</w:t>
      </w:r>
      <w:r w:rsidRPr="0050087A">
        <w:t xml:space="preserve"> possible that some of this was due to under reporting, as for many Trusts part of the challenge </w:t>
      </w:r>
      <w:r>
        <w:t xml:space="preserve">of </w:t>
      </w:r>
      <w:r w:rsidRPr="0050087A">
        <w:t>this trial was to implement robust patient follow up procedures, particularly around SSI surveillance. Whilst funding, support and standardi</w:t>
      </w:r>
      <w:r>
        <w:t>s</w:t>
      </w:r>
      <w:r w:rsidRPr="0050087A">
        <w:t xml:space="preserve">ed advice was provided on how to perform SSI surveillance and report possible SSIs, it is possible there was variation in how this follow up was performed and/or reported between </w:t>
      </w:r>
      <w:r>
        <w:t>Trusts</w:t>
      </w:r>
      <w:r w:rsidRPr="0050087A">
        <w:t>. The variation seen in SSI rates and the differences in rate of reported to IOC confirmed SSIs</w:t>
      </w:r>
      <w:r>
        <w:t>,</w:t>
      </w:r>
      <w:r w:rsidRPr="0050087A">
        <w:t xml:space="preserve"> may reflect variation in surveillance and/or reporting practices</w:t>
      </w:r>
      <w:r>
        <w:t xml:space="preserve"> </w:t>
      </w:r>
      <w:r w:rsidRPr="0050087A">
        <w:t xml:space="preserve">between </w:t>
      </w:r>
      <w:r>
        <w:t>Trusts</w:t>
      </w:r>
      <w:r w:rsidRPr="0050087A">
        <w:t>.</w:t>
      </w:r>
    </w:p>
    <w:p w14:paraId="457B7139" w14:textId="77777777" w:rsidR="0075444F" w:rsidRPr="0075444F" w:rsidRDefault="00F02DCB" w:rsidP="00327B6F">
      <w:pPr>
        <w:pStyle w:val="Heading1"/>
        <w:spacing w:line="480" w:lineRule="auto"/>
      </w:pPr>
      <w:r w:rsidRPr="0075444F">
        <w:t>Conclusi</w:t>
      </w:r>
      <w:r w:rsidR="00F61962" w:rsidRPr="0075444F">
        <w:t>o</w:t>
      </w:r>
      <w:r w:rsidRPr="0075444F">
        <w:t>ns</w:t>
      </w:r>
    </w:p>
    <w:p w14:paraId="0F1E8CA1" w14:textId="27DBB76D" w:rsidR="006E0B64" w:rsidRDefault="000273E9" w:rsidP="00610F23">
      <w:pPr>
        <w:spacing w:line="480" w:lineRule="auto"/>
        <w:rPr>
          <w:rFonts w:asciiTheme="minorHAnsi" w:eastAsiaTheme="majorEastAsia" w:hAnsiTheme="minorHAnsi" w:cstheme="minorHAnsi"/>
          <w:b/>
          <w:bCs/>
          <w:sz w:val="28"/>
          <w:szCs w:val="28"/>
        </w:rPr>
      </w:pPr>
      <w:r>
        <w:t>Quality improvement collaboratives</w:t>
      </w:r>
      <w:r w:rsidRPr="0050087A">
        <w:t xml:space="preserve"> </w:t>
      </w:r>
      <w:r>
        <w:t>did not result in improved patient outcomes in this trial</w:t>
      </w:r>
      <w:r w:rsidR="004F6367">
        <w:t>;</w:t>
      </w:r>
      <w:r>
        <w:t xml:space="preserve"> however, there was some evidence</w:t>
      </w:r>
      <w:r w:rsidR="004F6367">
        <w:t xml:space="preserve"> that</w:t>
      </w:r>
      <w:r>
        <w:t xml:space="preserve"> they can support successful implementation of new preoperative patient pathways in the NHS.</w:t>
      </w:r>
      <w:r w:rsidR="006E0B64">
        <w:br w:type="page"/>
      </w:r>
    </w:p>
    <w:p w14:paraId="6570ABC2" w14:textId="0F176230" w:rsidR="0000787C" w:rsidRPr="0000787C" w:rsidRDefault="007833AC" w:rsidP="00620810">
      <w:pPr>
        <w:pStyle w:val="Heading1"/>
        <w:spacing w:line="480" w:lineRule="auto"/>
      </w:pPr>
      <w:r w:rsidRPr="0050087A">
        <w:t>Declarations</w:t>
      </w:r>
    </w:p>
    <w:p w14:paraId="53F4FE31" w14:textId="3D22B1C9" w:rsidR="007833AC" w:rsidRPr="0050087A" w:rsidRDefault="007833AC" w:rsidP="00620810">
      <w:pPr>
        <w:pStyle w:val="Heading2"/>
        <w:spacing w:line="480" w:lineRule="auto"/>
      </w:pPr>
      <w:r w:rsidRPr="0050087A">
        <w:t>Ethics</w:t>
      </w:r>
      <w:r w:rsidR="00BD44F3">
        <w:t xml:space="preserve"> approval and consent to participate</w:t>
      </w:r>
    </w:p>
    <w:p w14:paraId="44A85AC8" w14:textId="6AAEAB50" w:rsidR="00BD44F3" w:rsidRDefault="00417F99" w:rsidP="00620810">
      <w:pPr>
        <w:spacing w:line="480" w:lineRule="auto"/>
      </w:pPr>
      <w:r w:rsidRPr="0050087A">
        <w:t>The intervention is targeted at Trust level and NHS research ethics approval is not required. Institutional approval was sought from the Health Sciences Research Governance Committee of the University of York; the committee felt that research ethics approval was not necessary for this study (reference no: HSRGC/2018/256/D). HRA approval was sought and obtained (IRAS 238457).</w:t>
      </w:r>
      <w:r w:rsidR="00BD44F3">
        <w:t xml:space="preserve"> Consent for a Trust to participate was obtained from Trust executives as outlined in our protocol paper.</w:t>
      </w:r>
    </w:p>
    <w:p w14:paraId="49EF173F" w14:textId="3D3CB6E9" w:rsidR="00BD44F3" w:rsidRDefault="00BD44F3" w:rsidP="00620810">
      <w:pPr>
        <w:pStyle w:val="Heading2"/>
        <w:spacing w:line="480" w:lineRule="auto"/>
      </w:pPr>
      <w:r>
        <w:t>Consent for publication</w:t>
      </w:r>
    </w:p>
    <w:p w14:paraId="5D41EFD2" w14:textId="61DA709E" w:rsidR="00BD44F3" w:rsidRDefault="00BD44F3" w:rsidP="00620810">
      <w:pPr>
        <w:spacing w:line="480" w:lineRule="auto"/>
      </w:pPr>
      <w:r>
        <w:t>Not applicable.</w:t>
      </w:r>
    </w:p>
    <w:p w14:paraId="141F4F38" w14:textId="3DCAE90A" w:rsidR="00BD44F3" w:rsidRDefault="00BD44F3" w:rsidP="00620810">
      <w:pPr>
        <w:pStyle w:val="Heading2"/>
        <w:spacing w:line="480" w:lineRule="auto"/>
      </w:pPr>
      <w:r>
        <w:t>Availability of data and materials</w:t>
      </w:r>
    </w:p>
    <w:p w14:paraId="2C5AE812" w14:textId="2D60747A" w:rsidR="00BD44F3" w:rsidRPr="00BD44F3" w:rsidRDefault="00BD44F3" w:rsidP="00620810">
      <w:pPr>
        <w:spacing w:line="480" w:lineRule="auto"/>
      </w:pPr>
      <w:r>
        <w:t>The anonymised datasets used and/or analysed during the current study are available from the corresponding author on reasonable request.</w:t>
      </w:r>
    </w:p>
    <w:p w14:paraId="6BE4B169" w14:textId="77777777" w:rsidR="00BD44F3" w:rsidRPr="0050087A" w:rsidRDefault="00BD44F3" w:rsidP="00620810">
      <w:pPr>
        <w:pStyle w:val="Heading2"/>
        <w:spacing w:line="480" w:lineRule="auto"/>
      </w:pPr>
      <w:r>
        <w:t>Funding</w:t>
      </w:r>
    </w:p>
    <w:p w14:paraId="7F1536CF" w14:textId="48788316" w:rsidR="00BD44F3" w:rsidRDefault="00BD44F3" w:rsidP="00620810">
      <w:pPr>
        <w:spacing w:line="480" w:lineRule="auto"/>
      </w:pPr>
      <w:r w:rsidRPr="0050087A">
        <w:t>This trial is jointly funded by NHS Improvement, Northumbria Healthcare NHS Trust ACC Vanguard, Vifor Pharma and Schülke &amp; Mayr</w:t>
      </w:r>
      <w:r>
        <w:t xml:space="preserve">. </w:t>
      </w:r>
      <w:r w:rsidRPr="0050087A">
        <w:t>The funders have had no influence on the design of the study or in writing this manuscript. They were not involved with the collection, analysis, or interpretation of trial data.</w:t>
      </w:r>
    </w:p>
    <w:p w14:paraId="1C4F3D35" w14:textId="58802E2E" w:rsidR="007833AC" w:rsidRDefault="00BD44F3" w:rsidP="00620810">
      <w:pPr>
        <w:pStyle w:val="Heading2"/>
        <w:spacing w:line="480" w:lineRule="auto"/>
      </w:pPr>
      <w:r>
        <w:t>Competing interests</w:t>
      </w:r>
    </w:p>
    <w:p w14:paraId="67D448EC" w14:textId="77777777" w:rsidR="00BD44F3" w:rsidRPr="00BD44F3" w:rsidRDefault="00BD44F3" w:rsidP="00620810">
      <w:pPr>
        <w:spacing w:line="480" w:lineRule="auto"/>
      </w:pPr>
      <w:r w:rsidRPr="00BD44F3">
        <w:t>ABS is undertaking a PhD funded by the same grant as this trial.</w:t>
      </w:r>
    </w:p>
    <w:p w14:paraId="55FE6F3B" w14:textId="77777777" w:rsidR="00BD44F3" w:rsidRPr="00BD44F3" w:rsidRDefault="00BD44F3" w:rsidP="00620810">
      <w:pPr>
        <w:spacing w:line="480" w:lineRule="auto"/>
      </w:pPr>
      <w:r w:rsidRPr="00BD44F3">
        <w:t>MR receives grants for other works not related to the topic of this trial from industry (Stryker, Zimmer, Heraeus, Depuy, Smith and Nephew, Convatec, 3M Healthcare, Schulke) and charities (The Health Foundation, Orthopaedic research UK).</w:t>
      </w:r>
    </w:p>
    <w:p w14:paraId="1CFE210C" w14:textId="77777777" w:rsidR="00BD44F3" w:rsidRPr="00BD44F3" w:rsidRDefault="00BD44F3" w:rsidP="00620810">
      <w:pPr>
        <w:spacing w:line="480" w:lineRule="auto"/>
      </w:pPr>
      <w:r w:rsidRPr="00BD44F3">
        <w:t>AK has received consultancy and speaker fees from Vifor pharma and Pharmacosmos. He has received non-financial support from Pharmacosmos in the form of data support for local service development. All of which is outside the submitted work.</w:t>
      </w:r>
    </w:p>
    <w:p w14:paraId="5C469170" w14:textId="2EEFBCF9" w:rsidR="00BD44F3" w:rsidRPr="00BD44F3" w:rsidRDefault="00BD44F3" w:rsidP="00620810">
      <w:pPr>
        <w:spacing w:line="480" w:lineRule="auto"/>
      </w:pPr>
      <w:r w:rsidRPr="00BD44F3">
        <w:t xml:space="preserve">York Trials Unit </w:t>
      </w:r>
      <w:r w:rsidR="00EA46AA">
        <w:t xml:space="preserve">has </w:t>
      </w:r>
      <w:r w:rsidRPr="00BD44F3">
        <w:t>receive</w:t>
      </w:r>
      <w:r w:rsidR="00EA46AA">
        <w:t>d</w:t>
      </w:r>
      <w:r w:rsidRPr="00BD44F3">
        <w:t xml:space="preserve"> funding from the British Orthopaedic Association to support development of randomised controlled trials.</w:t>
      </w:r>
    </w:p>
    <w:p w14:paraId="1A466BDA" w14:textId="77777777" w:rsidR="00BD44F3" w:rsidRPr="00BD44F3" w:rsidRDefault="00BD44F3" w:rsidP="00620810">
      <w:pPr>
        <w:spacing w:line="480" w:lineRule="auto"/>
      </w:pPr>
      <w:r w:rsidRPr="00BD44F3">
        <w:t>ABS, MR, CM, DT, AB, DJT are in receipt of grants from National Institute for Health Research including a trial evaluating the effectiveness of treatments for MRSA</w:t>
      </w:r>
    </w:p>
    <w:p w14:paraId="1AA44ED5" w14:textId="77777777" w:rsidR="00BD44F3" w:rsidRPr="00BD44F3" w:rsidRDefault="00BD44F3" w:rsidP="00620810">
      <w:pPr>
        <w:spacing w:line="480" w:lineRule="auto"/>
      </w:pPr>
      <w:r w:rsidRPr="00BD44F3">
        <w:t>No funding body has had input, involvement, or influence in this manuscript, and have not seen the manuscript prior to submission.</w:t>
      </w:r>
    </w:p>
    <w:p w14:paraId="29B08085" w14:textId="5249BDCE" w:rsidR="00BD44F3" w:rsidRPr="00BD44F3" w:rsidRDefault="00BD44F3" w:rsidP="00620810">
      <w:pPr>
        <w:spacing w:line="480" w:lineRule="auto"/>
        <w:rPr>
          <w:sz w:val="22"/>
          <w:szCs w:val="22"/>
        </w:rPr>
      </w:pPr>
      <w:r w:rsidRPr="00BD44F3">
        <w:t>Full ICMJE disclosures are available for all authors on request.</w:t>
      </w:r>
    </w:p>
    <w:p w14:paraId="07A171B2" w14:textId="0D892C27" w:rsidR="00BD44F3" w:rsidRDefault="00BD44F3" w:rsidP="00620810">
      <w:pPr>
        <w:pStyle w:val="Heading2"/>
        <w:spacing w:line="480" w:lineRule="auto"/>
      </w:pPr>
      <w:r>
        <w:t>Authors’ contributions</w:t>
      </w:r>
    </w:p>
    <w:p w14:paraId="2AAB53F8" w14:textId="77777777" w:rsidR="00BD44F3" w:rsidRDefault="00BD44F3" w:rsidP="00620810">
      <w:pPr>
        <w:spacing w:line="480" w:lineRule="auto"/>
      </w:pPr>
      <w:r w:rsidRPr="008004FF">
        <w:t>The corresponding author attests that all listed authors meet authorship criteria and that no others meeting the criteria have been omitted</w:t>
      </w:r>
      <w:r>
        <w:t>.</w:t>
      </w:r>
    </w:p>
    <w:p w14:paraId="4CD1DB21" w14:textId="60F59404" w:rsidR="00BD44F3" w:rsidRDefault="00BD44F3" w:rsidP="00620810">
      <w:pPr>
        <w:spacing w:line="480" w:lineRule="auto"/>
      </w:pPr>
      <w:r>
        <w:t xml:space="preserve">All named authors were involved in designing this trial. ABS, AL, MR and GD were involved in recruiting and consenting Trusts to this trial. ABS led on design and delivery of the quality improvement collaboratives, the intervention in this trial, supervised by AL and MR and supported by AM, AK, CT, DT, GD, WT. ABS, AB, CF, GD, BC, DJT, CM, MR were involved with managing and oversight of this trial. ABS led on data collection and outcome validation with support from AB, CF and GD. ABS and MR directed the statistical analyses which were planned and carried out by CF and EC. All authors were involved in discussion and interpretation of results. ABS led on writing and drafting </w:t>
      </w:r>
      <w:r w:rsidR="00711D81">
        <w:t xml:space="preserve">the original </w:t>
      </w:r>
      <w:r>
        <w:t>manuscript</w:t>
      </w:r>
      <w:r w:rsidR="00711D81">
        <w:t xml:space="preserve"> and revisions</w:t>
      </w:r>
      <w:r>
        <w:t xml:space="preserve">. </w:t>
      </w:r>
      <w:r w:rsidR="00BE3934">
        <w:t xml:space="preserve">CF assisted with revisions. </w:t>
      </w:r>
      <w:r>
        <w:t>All authors critically revised the manuscript and approved the final version.</w:t>
      </w:r>
    </w:p>
    <w:p w14:paraId="0D36048C" w14:textId="5793668C" w:rsidR="00342201" w:rsidRPr="0050087A" w:rsidRDefault="00342201" w:rsidP="00620810">
      <w:pPr>
        <w:pStyle w:val="Heading2"/>
        <w:spacing w:line="480" w:lineRule="auto"/>
      </w:pPr>
      <w:r w:rsidRPr="0050087A">
        <w:t>P</w:t>
      </w:r>
      <w:r w:rsidR="00147C91">
        <w:t xml:space="preserve">atient and </w:t>
      </w:r>
      <w:r w:rsidRPr="0050087A">
        <w:t>P</w:t>
      </w:r>
      <w:r w:rsidR="00147C91">
        <w:t xml:space="preserve">ublic </w:t>
      </w:r>
      <w:r w:rsidRPr="0050087A">
        <w:t>I</w:t>
      </w:r>
      <w:r w:rsidR="00147C91">
        <w:t>nvolvement</w:t>
      </w:r>
    </w:p>
    <w:p w14:paraId="42251DFD" w14:textId="7C4F1B9E" w:rsidR="006A7DFF" w:rsidRDefault="006A7DFF" w:rsidP="00620810">
      <w:pPr>
        <w:spacing w:line="480" w:lineRule="auto"/>
      </w:pPr>
      <w:r w:rsidRPr="0050087A">
        <w:t>The Trial Steering Committee membership</w:t>
      </w:r>
      <w:r w:rsidR="003F3F91">
        <w:t xml:space="preserve"> </w:t>
      </w:r>
      <w:r w:rsidRPr="0050087A">
        <w:t>include</w:t>
      </w:r>
      <w:r w:rsidR="003F3F91">
        <w:t>d</w:t>
      </w:r>
      <w:r w:rsidRPr="0050087A">
        <w:t xml:space="preserve"> a patient representative</w:t>
      </w:r>
      <w:r w:rsidR="007629C2" w:rsidRPr="007629C2">
        <w:t xml:space="preserve"> </w:t>
      </w:r>
      <w:r w:rsidR="007629C2">
        <w:t>and they were</w:t>
      </w:r>
      <w:r w:rsidR="007629C2" w:rsidRPr="0050087A">
        <w:t xml:space="preserve"> included in the co-production of the </w:t>
      </w:r>
      <w:r w:rsidR="00514CEC">
        <w:t>trial intervention</w:t>
      </w:r>
      <w:r w:rsidR="007629C2" w:rsidRPr="0050087A">
        <w:t>, contributing to both the development and the delivery</w:t>
      </w:r>
      <w:r w:rsidRPr="0050087A">
        <w:t>.</w:t>
      </w:r>
    </w:p>
    <w:p w14:paraId="0131D0BD" w14:textId="2E98A28C" w:rsidR="007833AC" w:rsidRPr="0050087A" w:rsidRDefault="007833AC" w:rsidP="00620810">
      <w:pPr>
        <w:pStyle w:val="Heading2"/>
        <w:spacing w:line="480" w:lineRule="auto"/>
      </w:pPr>
      <w:r w:rsidRPr="0050087A">
        <w:t>Acknowledgements</w:t>
      </w:r>
    </w:p>
    <w:p w14:paraId="29C94062" w14:textId="6673ACBB" w:rsidR="00A30E84" w:rsidRDefault="00A30E84" w:rsidP="00620810">
      <w:pPr>
        <w:spacing w:after="0" w:line="480" w:lineRule="auto"/>
        <w:rPr>
          <w:rFonts w:asciiTheme="minorHAnsi" w:hAnsiTheme="minorHAnsi" w:cstheme="minorHAnsi"/>
        </w:rPr>
      </w:pPr>
      <w:r>
        <w:rPr>
          <w:rFonts w:asciiTheme="minorHAnsi" w:hAnsiTheme="minorHAnsi" w:cstheme="minorHAnsi"/>
          <w:b/>
          <w:bCs/>
          <w:u w:val="single"/>
        </w:rPr>
        <w:t xml:space="preserve">QIST </w:t>
      </w:r>
      <w:r w:rsidRPr="006E5C8D">
        <w:rPr>
          <w:rFonts w:asciiTheme="minorHAnsi" w:hAnsiTheme="minorHAnsi" w:cstheme="minorHAnsi"/>
          <w:b/>
          <w:bCs/>
          <w:u w:val="single"/>
        </w:rPr>
        <w:t>Collaborators</w:t>
      </w:r>
      <w:r>
        <w:rPr>
          <w:rFonts w:asciiTheme="minorHAnsi" w:hAnsiTheme="minorHAnsi" w:cstheme="minorHAnsi"/>
          <w:b/>
          <w:bCs/>
          <w:u w:val="single"/>
        </w:rPr>
        <w:t xml:space="preserve"> for group authorship</w:t>
      </w:r>
      <w:r>
        <w:rPr>
          <w:rFonts w:asciiTheme="minorHAnsi" w:hAnsiTheme="minorHAnsi" w:cstheme="minorHAnsi"/>
        </w:rPr>
        <w:t xml:space="preserve">: </w:t>
      </w:r>
    </w:p>
    <w:p w14:paraId="2B817F34" w14:textId="639EE99E" w:rsidR="00A30E84" w:rsidRPr="00A30E84" w:rsidRDefault="00A30E84" w:rsidP="00620810">
      <w:pPr>
        <w:pStyle w:val="ListParagraph"/>
        <w:numPr>
          <w:ilvl w:val="0"/>
          <w:numId w:val="28"/>
        </w:numPr>
        <w:spacing w:after="0" w:line="480" w:lineRule="auto"/>
        <w:rPr>
          <w:rFonts w:cs="Arial"/>
          <w:b/>
          <w:bCs/>
        </w:rPr>
      </w:pPr>
      <w:r w:rsidRPr="006E5C8D">
        <w:rPr>
          <w:rFonts w:cs="Arial"/>
          <w:b/>
          <w:bCs/>
        </w:rPr>
        <w:t xml:space="preserve">Faculty members </w:t>
      </w:r>
      <w:r>
        <w:rPr>
          <w:rFonts w:cs="Arial"/>
          <w:b/>
          <w:bCs/>
        </w:rPr>
        <w:t xml:space="preserve">contributed to delivering the trial interventions but </w:t>
      </w:r>
      <w:r w:rsidRPr="006E5C8D">
        <w:rPr>
          <w:rFonts w:cs="Arial"/>
          <w:b/>
          <w:bCs/>
        </w:rPr>
        <w:t>are not full authors:</w:t>
      </w:r>
    </w:p>
    <w:p w14:paraId="21F9A723" w14:textId="77777777" w:rsidR="00A30E84" w:rsidRPr="00EE4EFD" w:rsidRDefault="00A30E84" w:rsidP="00620810">
      <w:pPr>
        <w:spacing w:after="0" w:line="480" w:lineRule="auto"/>
        <w:rPr>
          <w:rFonts w:asciiTheme="minorHAnsi" w:hAnsiTheme="minorHAnsi" w:cstheme="minorHAnsi"/>
        </w:rPr>
      </w:pPr>
      <w:r w:rsidRPr="00437280">
        <w:t>Mark Burgess, Senior Information Analyst</w:t>
      </w:r>
      <w:r>
        <w:t xml:space="preserve">, </w:t>
      </w:r>
      <w:r w:rsidRPr="00AD29B0">
        <w:rPr>
          <w:rFonts w:asciiTheme="minorHAnsi" w:hAnsiTheme="minorHAnsi" w:cstheme="minorHAnsi"/>
        </w:rPr>
        <w:t>Northumbria Healthcare NHS Foundation Trust</w:t>
      </w:r>
    </w:p>
    <w:p w14:paraId="018DBADE" w14:textId="77777777" w:rsidR="00A30E84" w:rsidRPr="00EE4EFD" w:rsidRDefault="00A30E84" w:rsidP="00620810">
      <w:pPr>
        <w:spacing w:after="0" w:line="480" w:lineRule="auto"/>
        <w:rPr>
          <w:rFonts w:asciiTheme="minorHAnsi" w:hAnsiTheme="minorHAnsi" w:cstheme="minorHAnsi"/>
        </w:rPr>
      </w:pPr>
      <w:r w:rsidRPr="00437280">
        <w:t>Gail Lowdon, Clinical Surveillance Lead</w:t>
      </w:r>
      <w:r>
        <w:t xml:space="preserve">, </w:t>
      </w:r>
      <w:r w:rsidRPr="00AD29B0">
        <w:rPr>
          <w:rFonts w:asciiTheme="minorHAnsi" w:hAnsiTheme="minorHAnsi" w:cstheme="minorHAnsi"/>
        </w:rPr>
        <w:t>Northumbria Healthcare NHS Foundation Trust</w:t>
      </w:r>
    </w:p>
    <w:p w14:paraId="35467F43" w14:textId="77777777" w:rsidR="00A30E84" w:rsidRDefault="00A30E84" w:rsidP="00620810">
      <w:pPr>
        <w:spacing w:after="0" w:line="480" w:lineRule="auto"/>
        <w:rPr>
          <w:rFonts w:asciiTheme="minorHAnsi" w:hAnsiTheme="minorHAnsi" w:cstheme="minorHAnsi"/>
        </w:rPr>
      </w:pPr>
      <w:r w:rsidRPr="00437280">
        <w:t>Allan Marriott, Surgical Care Practitioner</w:t>
      </w:r>
      <w:r>
        <w:t xml:space="preserve">, </w:t>
      </w:r>
      <w:r w:rsidRPr="00AD29B0">
        <w:rPr>
          <w:rFonts w:asciiTheme="minorHAnsi" w:hAnsiTheme="minorHAnsi" w:cstheme="minorHAnsi"/>
        </w:rPr>
        <w:t>Northumbria Healthcare NHS Foundation Trust</w:t>
      </w:r>
    </w:p>
    <w:p w14:paraId="762EB15A" w14:textId="2DE101C8" w:rsidR="00A30E84" w:rsidRPr="00620810" w:rsidRDefault="00A30E84" w:rsidP="00620810">
      <w:pPr>
        <w:spacing w:after="0" w:line="480" w:lineRule="auto"/>
        <w:rPr>
          <w:rFonts w:asciiTheme="minorHAnsi" w:hAnsiTheme="minorHAnsi" w:cstheme="minorHAnsi"/>
        </w:rPr>
      </w:pPr>
      <w:r>
        <w:rPr>
          <w:rFonts w:asciiTheme="minorHAnsi" w:hAnsiTheme="minorHAnsi" w:cstheme="minorHAnsi"/>
        </w:rPr>
        <w:t>Sue Cadwallader, patient representative</w:t>
      </w:r>
    </w:p>
    <w:p w14:paraId="7856BD02" w14:textId="77777777" w:rsidR="00A30E84" w:rsidRPr="006E5C8D" w:rsidRDefault="00A30E84" w:rsidP="00620810">
      <w:pPr>
        <w:pStyle w:val="ListParagraph"/>
        <w:numPr>
          <w:ilvl w:val="0"/>
          <w:numId w:val="28"/>
        </w:numPr>
        <w:spacing w:after="0" w:line="480" w:lineRule="auto"/>
        <w:rPr>
          <w:rFonts w:cs="Arial"/>
          <w:b/>
          <w:bCs/>
        </w:rPr>
      </w:pPr>
      <w:r w:rsidRPr="006E5C8D">
        <w:rPr>
          <w:rFonts w:cs="Arial"/>
          <w:b/>
          <w:bCs/>
        </w:rPr>
        <w:t>Orthopaedic trainee collaborators</w:t>
      </w:r>
      <w:r>
        <w:rPr>
          <w:rFonts w:cs="Arial"/>
          <w:b/>
          <w:bCs/>
        </w:rPr>
        <w:t xml:space="preserve"> contributed to data collection</w:t>
      </w:r>
      <w:r w:rsidRPr="006E5C8D">
        <w:rPr>
          <w:rFonts w:cs="Arial"/>
          <w:b/>
          <w:bCs/>
        </w:rPr>
        <w:t>:</w:t>
      </w:r>
    </w:p>
    <w:p w14:paraId="5783DD57" w14:textId="49E79115" w:rsidR="00A30E84" w:rsidRDefault="00A30E84" w:rsidP="00620810">
      <w:pPr>
        <w:spacing w:after="0" w:line="480" w:lineRule="auto"/>
        <w:rPr>
          <w:rFonts w:cs="Arial"/>
        </w:rPr>
      </w:pPr>
      <w:r w:rsidRPr="0002795F">
        <w:rPr>
          <w:rFonts w:cs="Arial"/>
        </w:rPr>
        <w:t>Kathryn McLoughlin</w:t>
      </w:r>
      <w:r>
        <w:rPr>
          <w:rFonts w:cs="Arial"/>
        </w:rPr>
        <w:t xml:space="preserve">, </w:t>
      </w:r>
      <w:r w:rsidRPr="0002795F">
        <w:rPr>
          <w:rFonts w:cs="Arial"/>
        </w:rPr>
        <w:t>Soha Sajid</w:t>
      </w:r>
      <w:r>
        <w:rPr>
          <w:rFonts w:cs="Arial"/>
        </w:rPr>
        <w:t xml:space="preserve">, </w:t>
      </w:r>
      <w:r w:rsidRPr="004D51B0">
        <w:rPr>
          <w:rFonts w:cs="Arial"/>
        </w:rPr>
        <w:t>Raza Hassan</w:t>
      </w:r>
    </w:p>
    <w:p w14:paraId="653043FA" w14:textId="77777777" w:rsidR="00A30E84" w:rsidRPr="006E5C8D" w:rsidRDefault="00A30E84" w:rsidP="00620810">
      <w:pPr>
        <w:pStyle w:val="ListParagraph"/>
        <w:numPr>
          <w:ilvl w:val="0"/>
          <w:numId w:val="28"/>
        </w:numPr>
        <w:spacing w:after="0" w:line="480" w:lineRule="auto"/>
        <w:rPr>
          <w:rFonts w:cs="Arial"/>
          <w:b/>
          <w:bCs/>
        </w:rPr>
      </w:pPr>
      <w:r w:rsidRPr="006E5C8D">
        <w:rPr>
          <w:rFonts w:cs="Arial"/>
          <w:b/>
          <w:bCs/>
        </w:rPr>
        <w:t>Independent Outcome Classification (IOC) Group</w:t>
      </w:r>
      <w:r>
        <w:rPr>
          <w:rFonts w:cs="Arial"/>
          <w:b/>
          <w:bCs/>
        </w:rPr>
        <w:t xml:space="preserve"> undertook trial SSI outcome data validation</w:t>
      </w:r>
      <w:r w:rsidRPr="006E5C8D">
        <w:rPr>
          <w:rFonts w:cs="Arial"/>
          <w:b/>
          <w:bCs/>
        </w:rPr>
        <w:t>:</w:t>
      </w:r>
    </w:p>
    <w:p w14:paraId="788EFE17" w14:textId="67B02015" w:rsidR="00A30E84" w:rsidRPr="00A30E84" w:rsidRDefault="00A30E84" w:rsidP="00620810">
      <w:pPr>
        <w:spacing w:after="0" w:line="480" w:lineRule="auto"/>
        <w:rPr>
          <w:rFonts w:asciiTheme="minorHAnsi" w:hAnsiTheme="minorHAnsi" w:cstheme="minorHAnsi"/>
        </w:rPr>
      </w:pPr>
      <w:r>
        <w:rPr>
          <w:rFonts w:cs="Arial"/>
        </w:rPr>
        <w:t>Mr Sharad Bhatnagar</w:t>
      </w:r>
      <w:r>
        <w:rPr>
          <w:rFonts w:asciiTheme="minorHAnsi" w:hAnsiTheme="minorHAnsi" w:cstheme="minorHAnsi"/>
        </w:rPr>
        <w:t xml:space="preserve">, </w:t>
      </w:r>
      <w:r>
        <w:rPr>
          <w:rFonts w:cs="Arial"/>
        </w:rPr>
        <w:t>Mr Marshall Sangster</w:t>
      </w:r>
      <w:r>
        <w:rPr>
          <w:rFonts w:asciiTheme="minorHAnsi" w:hAnsiTheme="minorHAnsi" w:cstheme="minorHAnsi"/>
        </w:rPr>
        <w:t xml:space="preserve">, </w:t>
      </w:r>
      <w:r>
        <w:rPr>
          <w:rFonts w:cs="Arial"/>
        </w:rPr>
        <w:t>Prof Hemant Sharma</w:t>
      </w:r>
      <w:r>
        <w:rPr>
          <w:rFonts w:asciiTheme="minorHAnsi" w:hAnsiTheme="minorHAnsi" w:cstheme="minorHAnsi"/>
        </w:rPr>
        <w:t xml:space="preserve">, </w:t>
      </w:r>
      <w:r>
        <w:rPr>
          <w:rFonts w:cs="Arial"/>
        </w:rPr>
        <w:t>Mr Richard Holleyman</w:t>
      </w:r>
      <w:r>
        <w:rPr>
          <w:rFonts w:asciiTheme="minorHAnsi" w:hAnsiTheme="minorHAnsi" w:cstheme="minorHAnsi"/>
        </w:rPr>
        <w:t xml:space="preserve">, </w:t>
      </w:r>
      <w:r>
        <w:rPr>
          <w:rFonts w:cs="Arial"/>
        </w:rPr>
        <w:t>Mr Rory Morrison</w:t>
      </w:r>
    </w:p>
    <w:p w14:paraId="5954770A" w14:textId="77777777" w:rsidR="00A30E84" w:rsidRDefault="00A30E84" w:rsidP="00620810">
      <w:pPr>
        <w:spacing w:after="0" w:line="480" w:lineRule="auto"/>
      </w:pPr>
    </w:p>
    <w:p w14:paraId="261329B6" w14:textId="3A8D49C9" w:rsidR="00F8541B" w:rsidRPr="00A30E84" w:rsidRDefault="00A30E84" w:rsidP="00620810">
      <w:pPr>
        <w:spacing w:after="0" w:line="480" w:lineRule="auto"/>
        <w:rPr>
          <w:rFonts w:cs="Arial"/>
        </w:rPr>
      </w:pPr>
      <w:r>
        <w:t>In addition, w</w:t>
      </w:r>
      <w:r w:rsidR="00D87E05" w:rsidRPr="0050087A">
        <w:t>e would like to acknowledge the following collaborators to this trial.</w:t>
      </w:r>
    </w:p>
    <w:p w14:paraId="296F5706" w14:textId="77777777" w:rsidR="001B7F85" w:rsidRDefault="0002795F" w:rsidP="00620810">
      <w:pPr>
        <w:spacing w:line="480" w:lineRule="auto"/>
      </w:pPr>
      <w:r w:rsidRPr="001B7F85">
        <w:rPr>
          <w:rFonts w:cs="Arial"/>
        </w:rPr>
        <w:t xml:space="preserve">The Authors would like to thank </w:t>
      </w:r>
      <w:r w:rsidRPr="001B7F85">
        <w:t xml:space="preserve">Joanne Turner and Wendy Atkinson, Staff Nurses, Northumbria Healthcare NHS Foundation Trust for their assistance with the trial. </w:t>
      </w:r>
    </w:p>
    <w:p w14:paraId="2C6E013B" w14:textId="31B4551B" w:rsidR="0002795F" w:rsidRDefault="0002795F" w:rsidP="00620810">
      <w:pPr>
        <w:spacing w:line="480" w:lineRule="auto"/>
      </w:pPr>
      <w:r w:rsidRPr="001B7F85">
        <w:t xml:space="preserve">The Authors gratefully acknowledge the members of </w:t>
      </w:r>
      <w:r w:rsidR="001B7F85">
        <w:t xml:space="preserve">Trial Steering Committee and </w:t>
      </w:r>
      <w:r w:rsidRPr="001B7F85">
        <w:t xml:space="preserve">Trust teams who were active participants; were trained </w:t>
      </w:r>
      <w:r w:rsidR="001B7F85">
        <w:t>as part of</w:t>
      </w:r>
      <w:r w:rsidRPr="001B7F85">
        <w:t xml:space="preserve"> the intervention and implemented the service improvement protocol allocated.</w:t>
      </w:r>
    </w:p>
    <w:p w14:paraId="6E31C4B2" w14:textId="6B2CB9F2" w:rsidR="001B7F85" w:rsidRPr="001B0B58" w:rsidRDefault="001B7F85" w:rsidP="00620810">
      <w:pPr>
        <w:spacing w:line="480" w:lineRule="auto"/>
      </w:pPr>
      <w:r>
        <w:rPr>
          <w:b/>
          <w:bCs/>
        </w:rPr>
        <w:t xml:space="preserve">Trial Steering committee: </w:t>
      </w:r>
      <w:r w:rsidR="001B0B58" w:rsidRPr="001B0B58">
        <w:t xml:space="preserve">Dr </w:t>
      </w:r>
      <w:r w:rsidR="001B0B58">
        <w:t xml:space="preserve">Susy Cook, Dr Jill Mollison, Paul Wilson, Alex Acornley, </w:t>
      </w:r>
    </w:p>
    <w:p w14:paraId="13320FB3" w14:textId="77777777" w:rsidR="0002795F" w:rsidRPr="0002795F" w:rsidRDefault="0002795F" w:rsidP="00620810">
      <w:pPr>
        <w:spacing w:line="480" w:lineRule="auto"/>
        <w:rPr>
          <w:rFonts w:cs="Arial"/>
        </w:rPr>
      </w:pPr>
      <w:r w:rsidRPr="0002795F">
        <w:rPr>
          <w:rFonts w:cs="Arial"/>
          <w:b/>
          <w:bCs/>
        </w:rPr>
        <w:t>QIST Infection Teams</w:t>
      </w:r>
      <w:r w:rsidRPr="0002795F">
        <w:rPr>
          <w:rFonts w:cs="Arial"/>
        </w:rPr>
        <w:t>: James Fountain, Linda Messham, John Moorehead, Melanie Harrison, Sarah Stevenson, Paula Harlow, Philippa Edwards-Faulkener, and Gary Jones, of the Aintree University Hospitals NHS Foundation Trust; Sean Masterson, Russell Thomson, Heidi Chandler, Joanne Tredwell, Denise Simons, Hazera Mahdiya, Reena Peter, Rob Nimmo, and Bhargav Solanki, of the Barking, Havering and Redbridge University Hospitals NHS Trust; Peter Bobak, Jane Dennison, Emma Probitts, Diogo Silva, Richard Grogan, Bridget Tandy, Nadine Boczkowski, and Shah Muhammad, of the Bradford Teaching Hospitals NHS Foundation Trust; Alastair Hutchison, Sarah Williams, Iain Findlay, Josie Goodsell, Catherine Jeppesen, Matthew Hough, and Annette Atkinson, of the Dorset County Hospital NHS Foundation Trust; Trudi Thomson, Liz Still, Emma Tate, Tara Fisher, Kate Murray, Guy Selmon, Lisa Redmond, Neville Sharma, Toby Hartnell, and Phil Huggett, of the East Sussex Healthcare NHS Trust; Caroline Bennett, Rachel McDonald, Mark Farndon, Fiona Fairclough, Cathryn Baxter, David Earl, Lorraine Stephenson, Jenny Child, Cheryl McDermott, Jordan Lam, David Duffy, Emily Wright, Rachel McDonald, and Abby Mansbridge Beard, of the Harrogate and District NHS Foundation Trust; Christopher Martin, Gillian Urwin, Sarah Bartholomew, Chris Roberts, Ashok Ramasamy, Jan Wright, and Stephanie Gould, of the East Suffolk and North Essex NHS Foundation Trust; Hemant Pandit, Ruth Tue, Richard Dalton, Sharon Ferdinandus, Colin Higginbotham, Alison Cracknell, Debora Hardy, Debbie Mawer, Wendy Meerun, Gill Drake, Fiazia Ahmed, Anne Emmerson, John Corkett, and Gary Legge, of the Leeds Teaching Hospitals NHS Trust; Gloria Naves-Garcia,Dianne James, Gopal Rao, Sunder Chita, Alma Jackson, Muhammad Alam, Loretta Brosnan, Carol Mason, Noreen Nolan, Nobukhosi Mkhwananzi, Victoria Davis, Ajay Philip, and Manisha Mistry, of the London North West University Healthcare NHS Trust; Christopher Goulding, Chris Cook, Nikki Staines, Satish Kutty, Ervin Shpuza, James Allen, Vince Salter, Stephanie Allgrove, and Ruby Nicholls, of the Princess Alexandra Hospital NHS Trust; Turab Syed, Neil Hubbard, Ursula Knight, Chiara Mauri, and Marc Phillips, of the Royal Free London Hospital; Joanne Shaw, Andrew Gray, Michelle Myers, Susan Drysdale, Daniel Butchart, Andrea Causer, Karoline Middleton, Joe Millar, Caren Neesham, Lucksy Kottam, and Damian (Paul) Dunn, of the South Tees Hospitals NHS Foundation Trust; Philip Mitchell, Sarah Langfield, Irrum Afzal, Jo Campbell Smith, Sara Patience, Justin Bendig, Lucy Morgan, and Rhys Jones, of the South West London Elective Orthopaedic Centre; Hiren Divecha, Tim Board, Marie Darbyshire, Sarah Clegg, Sandra Latham, Mark Weir, Jayne Dormand, Nick Doree, Nithin Unnikrishnan, and Claire Long, of the Wrightington, Wigan and Leigh NHS Foundation Trust; Ajit Shetty, Jo Halliwell, Martin Dyer, Richard Carroll, Lynda Slater, Pam Ridler, Jackie Thompson, Vicki Parkin, Stuart Bond, and Amy Davies, of The Mid Yorkshire Hospitals NHS Trust; and Andrew Dunn, Catherine Durrant, Paul Oats, Kasia Bojarska, Julia Mills, Mark Evans, Mike Bamford, Maryam Jadidi, Sarah Reader, and Hayley Irwin, of the West Suffolk NHS Foundation Trust.</w:t>
      </w:r>
    </w:p>
    <w:p w14:paraId="101F4BC3" w14:textId="3318A917" w:rsidR="0002795F" w:rsidRPr="0002795F" w:rsidRDefault="0002795F" w:rsidP="00620810">
      <w:pPr>
        <w:spacing w:line="480" w:lineRule="auto"/>
        <w:rPr>
          <w:rFonts w:cs="Arial"/>
        </w:rPr>
      </w:pPr>
      <w:r w:rsidRPr="0002795F">
        <w:rPr>
          <w:rFonts w:cs="Arial"/>
          <w:b/>
          <w:bCs/>
        </w:rPr>
        <w:t>QIST Anaemia Teams</w:t>
      </w:r>
      <w:r w:rsidRPr="0002795F">
        <w:rPr>
          <w:rFonts w:cs="Arial"/>
        </w:rPr>
        <w:t>: John Targett, Gabriel Campaner, Tessa Castillo, Ivy Marohom, Mhairi Macpherson, and Eddie Brown, of the Basildon and Thurrock University Hospital; Gautam Chakrabarty, Marcus Beadle, Fiona Kaye, Jane Taylor, Sarah Wheeler, Michelle Fallon, Asifa Ali, Michaela Nyanga, Benjamin Moore, Sue Thirkill, Jane Peacock, and Inderjit Singh, of the Calderdale and Huddersfield NHS Foundation Trust; Simon Cockshott, Rohan Smith, Archana Pillai, Sarah Duffin, Heather Clarke, Simon Pickering, and Guy Tuxford, of the University Hospitals of Derby &amp; Burton NHS Foundation Trust; Andrew Sloan, Qaisar Choudry, Gemma Hudson, Vicky Hampson</w:t>
      </w:r>
      <w:r w:rsidR="004D51B0">
        <w:rPr>
          <w:rFonts w:cs="Arial"/>
        </w:rPr>
        <w:t>,</w:t>
      </w:r>
      <w:r w:rsidRPr="0002795F">
        <w:rPr>
          <w:rFonts w:cs="Arial"/>
        </w:rPr>
        <w:t xml:space="preserve"> Georgina Whiteside, Heather Robinson, and Christopher Marks, of the East Lancashire Hospitals NHS Trust; Nick Boyce Cam, Sam Pennance, Hussain Kazi, Charis Emmett, Matthew Hadfield, Paula Young, John Harris, Christine Reeves, and Karl Booth, of the Mid Cheshire Hospitals NHS Foundation Trust; Oliver Pearce, Louise Mew, Babalola Hakeem-Habeeb, Caroline Middleton, Hitesh Patel, and Ben Hawkins, of the Milton Keynes University Hospital NHS Foundation Trust; Ian Osborne, Tracey Tidbury, Debra Cotton, Neil Harrison, and Joe Gouda, of St Mary</w:t>
      </w:r>
      <w:r w:rsidR="00CE43AD">
        <w:rPr>
          <w:rFonts w:cs="Arial"/>
        </w:rPr>
        <w:t>’</w:t>
      </w:r>
      <w:r w:rsidRPr="0002795F">
        <w:rPr>
          <w:rFonts w:cs="Arial"/>
        </w:rPr>
        <w:t>s Hospital, Isle of Wight NHS Trust; Andrew Tunnicliffe, Tom Finnigan, David Sands Johnson, Wiesia Woodyatt, Daniel Havely, Louise Pidhoreckyj, and Catherine Baker, of the Stockport NHS Foundation Trust; Sivaraman Subramanian, Santhosh Thandayuthapani, Emma Gent, Cathryn Smith, Antonia Hardcastle, Kelly Beattie, Claire Atterbury, and Mark Demonty, of the Queen Elizabeth Hospital King’s Lynn NHS Foundation Trust; Ruth Longfellow, Claire Wright, Elizabeth Reece, Steven Golding, Christine Cowling, Paul Jermin, Jayne Edwards, Nigel Tufft, Akhmed Hussain , Wendy Mayne, Niall Graham, and Ben Rowley, of the Robert Jones and Agnes Hunt Orthopaedic Hospital NHS Foundation Trust; and Ian Lee, Maria Stephenson, Cathryn Eitel, Marian Flynn-Batham, Samantha Hook, Emily Dana, Chris Gulliver, and Debbie Jones, of the Western Sussex Hospitals NHS Foundation Trust.</w:t>
      </w:r>
    </w:p>
    <w:p w14:paraId="59DCEEB9" w14:textId="77777777" w:rsidR="00620810" w:rsidRDefault="00620810">
      <w:pPr>
        <w:spacing w:after="0" w:line="240" w:lineRule="auto"/>
        <w:rPr>
          <w:rFonts w:asciiTheme="minorHAnsi" w:eastAsiaTheme="majorEastAsia" w:hAnsiTheme="minorHAnsi" w:cstheme="minorHAnsi"/>
          <w:b/>
          <w:bCs/>
          <w:sz w:val="28"/>
          <w:szCs w:val="28"/>
        </w:rPr>
      </w:pPr>
    </w:p>
    <w:p w14:paraId="7C1581F9" w14:textId="18679E5D" w:rsidR="007833AC" w:rsidRPr="0050087A" w:rsidRDefault="007833AC" w:rsidP="00620810">
      <w:pPr>
        <w:pStyle w:val="Heading1"/>
        <w:spacing w:line="480" w:lineRule="auto"/>
      </w:pPr>
      <w:r w:rsidRPr="0050087A">
        <w:t>References</w:t>
      </w:r>
    </w:p>
    <w:p w14:paraId="1E1BA541" w14:textId="05256C6D" w:rsidR="00883E1C" w:rsidRPr="00883E1C" w:rsidRDefault="008B7FDE" w:rsidP="00883E1C">
      <w:pPr>
        <w:widowControl w:val="0"/>
        <w:autoSpaceDE w:val="0"/>
        <w:autoSpaceDN w:val="0"/>
        <w:adjustRightInd w:val="0"/>
        <w:spacing w:after="0" w:line="480" w:lineRule="auto"/>
        <w:ind w:left="640" w:hanging="640"/>
        <w:rPr>
          <w:noProof/>
        </w:rPr>
      </w:pPr>
      <w:r w:rsidRPr="0050087A">
        <w:fldChar w:fldCharType="begin" w:fldLock="1"/>
      </w:r>
      <w:r w:rsidRPr="0050087A">
        <w:instrText xml:space="preserve">ADDIN Mendeley Bibliography CSL_BIBLIOGRAPHY </w:instrText>
      </w:r>
      <w:r w:rsidRPr="0050087A">
        <w:fldChar w:fldCharType="separate"/>
      </w:r>
      <w:r w:rsidR="00883E1C" w:rsidRPr="00883E1C">
        <w:rPr>
          <w:noProof/>
        </w:rPr>
        <w:t xml:space="preserve">1. </w:t>
      </w:r>
      <w:r w:rsidR="00883E1C" w:rsidRPr="00883E1C">
        <w:rPr>
          <w:noProof/>
        </w:rPr>
        <w:tab/>
        <w:t>Shekelle PG, Pronovost PJ, Wachter RM, Taylor SL, Dy SM, Foy R, et al. Advancing the science of patient safety. Ann Intern Med [Internet]. 2011 May 17;154(10):693. Available from: http://annals.org/article.aspx?doi=10.7326/0003-4819-154-10-201105170-00011</w:t>
      </w:r>
    </w:p>
    <w:p w14:paraId="259F653D"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2. </w:t>
      </w:r>
      <w:r w:rsidRPr="00883E1C">
        <w:rPr>
          <w:noProof/>
        </w:rPr>
        <w:tab/>
        <w:t>de Vries EN, Ramrattan MA, Smorenburg SM, Gouma DJ, Boermeester MA. The incidence and nature of in-hospital adverse events: a systematic review. Qual Saf Heal Care [Internet]. 2008 Jun 1;17(3):216–23. Available from: https://qualitysafety.bmj.com/lookup/doi/10.1136/qshc.2007.023622</w:t>
      </w:r>
    </w:p>
    <w:p w14:paraId="6EFB9898"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3. </w:t>
      </w:r>
      <w:r w:rsidRPr="00883E1C">
        <w:rPr>
          <w:noProof/>
        </w:rPr>
        <w:tab/>
        <w:t xml:space="preserve">Davidoff F. Heterogeneity is not always noise: lessons from improvement. JAMA. 2009 Dec;302(23):2580–6. </w:t>
      </w:r>
    </w:p>
    <w:p w14:paraId="4519EB57"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4. </w:t>
      </w:r>
      <w:r w:rsidRPr="00883E1C">
        <w:rPr>
          <w:noProof/>
        </w:rPr>
        <w:tab/>
        <w:t>National Institute for Health and Care Excellence. Blood Transfusion (NICE guideline NG24) [Internet]. 2015 [cited 2021 May 17]. Available from: www.nice.org.uk/guidance/ng24</w:t>
      </w:r>
    </w:p>
    <w:p w14:paraId="0E6646A5"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5. </w:t>
      </w:r>
      <w:r w:rsidRPr="00883E1C">
        <w:rPr>
          <w:noProof/>
        </w:rPr>
        <w:tab/>
        <w:t>Royal College of Anaesthetists. Scottish standard for the optimisation of preoperative anaemia [Internet]. 2018 [cited 2019 Feb 28]. Available from: https://www.accs.ac.uk/sites/default/files/CSQ-Optimisation-Preop-Anaemia.pdf</w:t>
      </w:r>
    </w:p>
    <w:p w14:paraId="04B0D9D9"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6. </w:t>
      </w:r>
      <w:r w:rsidRPr="00883E1C">
        <w:rPr>
          <w:noProof/>
        </w:rPr>
        <w:tab/>
        <w:t xml:space="preserve">Muñoz M, Acheson AG, Auerbach M, Besser M, Habler O, Kehlet H, et al. International consensus statement on the peri-operative management of anaemia and iron deficiency. Anaesthesia. 2017;72(2):233–47. </w:t>
      </w:r>
    </w:p>
    <w:p w14:paraId="0FA20C43"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7. </w:t>
      </w:r>
      <w:r w:rsidRPr="00883E1C">
        <w:rPr>
          <w:noProof/>
        </w:rPr>
        <w:tab/>
        <w:t>Mueller MM, Van Remoortel H, Meybohm P, Aranko K, Aubron C, Burger R, et al. Patient Blood Management: Recommendations from the 2018 Frankfurt consensus conference. JAMA [Internet]. 2019;321(10):983. Available from: http://jama.jamanetwork.com/journal.aspx</w:t>
      </w:r>
    </w:p>
    <w:p w14:paraId="56BD232E"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8. </w:t>
      </w:r>
      <w:r w:rsidRPr="00883E1C">
        <w:rPr>
          <w:noProof/>
        </w:rPr>
        <w:tab/>
        <w:t>National Institute for Health and Care Excellence. Perioperative care in adults (NICE guideline NG180) [Internet]. 2020 [cited 2021 May 17]. Available from: https://www.nice.org.uk/guidance/ng180</w:t>
      </w:r>
    </w:p>
    <w:p w14:paraId="30FB886F"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9. </w:t>
      </w:r>
      <w:r w:rsidRPr="00883E1C">
        <w:rPr>
          <w:noProof/>
        </w:rPr>
        <w:tab/>
        <w:t>Allegranzi B, Bischoff P, de Jonge S, Kubilay NZ, Zayed B, Gomes SM, et al. New WHO recommendations on preoperative measures for surgical site infection prevention: an evidence-based global perspective. Lancet Infect Dis [Internet]. 2016;16(12):e276–87. Available from: http://dx.doi.org/10.1016/S1473-3099(16)30398-X</w:t>
      </w:r>
    </w:p>
    <w:p w14:paraId="3CADD34E"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10. </w:t>
      </w:r>
      <w:r w:rsidRPr="00883E1C">
        <w:rPr>
          <w:noProof/>
        </w:rPr>
        <w:tab/>
        <w:t>National Institute for Health and Care Excellence. Surgical site infections - prevention and treatment (NICE guideline NG125) [Internet]. 2019 [cited 2021 May 17]. Available from: https://www.nice.org.uk/guidance/ng125</w:t>
      </w:r>
    </w:p>
    <w:p w14:paraId="73902E06"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11. </w:t>
      </w:r>
      <w:r w:rsidRPr="00883E1C">
        <w:rPr>
          <w:noProof/>
        </w:rPr>
        <w:tab/>
        <w:t>Royal College of Anaesthetists. Perioperative quality improvement programme annual report 2018-19 [Internet]. 2019 [cited 2021 May 17]. Available from: https://pqip.org.uk/FilesUploaded/PQIP Annual Report 2018-19.pdf</w:t>
      </w:r>
    </w:p>
    <w:p w14:paraId="7D42A273"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12. </w:t>
      </w:r>
      <w:r w:rsidRPr="00883E1C">
        <w:rPr>
          <w:noProof/>
        </w:rPr>
        <w:tab/>
        <w:t>Wong J, Ho C, Scott G, Machin J, Briggs T. Getting It Right First Time: the national survey of surgical site infection rates in NHS trusts in England. Ann R Coll Surg Engl [Internet]. 2019 Sep;101(7):463–71. Available from: https://publishing.rcseng.ac.uk/doi/10.1308/rcsann.2019.0064</w:t>
      </w:r>
    </w:p>
    <w:p w14:paraId="005F02CD"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13. </w:t>
      </w:r>
      <w:r w:rsidRPr="00883E1C">
        <w:rPr>
          <w:noProof/>
        </w:rPr>
        <w:tab/>
        <w:t>Ong C, Lucet JC, Bourigault C, Birgand G, Aho S, Lepelletier D. Staphylococcus aureus nasal decolonization before cardiac and orthopaedic surgeries: first descriptive survey in France. J Hosp Infect [Internet]. 2020;106(2):332–4. Available from: https://doi.org/10.1016/j.jhin.2020.08.008</w:t>
      </w:r>
    </w:p>
    <w:p w14:paraId="57FB3109"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14. </w:t>
      </w:r>
      <w:r w:rsidRPr="00883E1C">
        <w:rPr>
          <w:noProof/>
        </w:rPr>
        <w:tab/>
        <w:t>Tschelaut L, Assadian O, Strauss R, Matiasek J, Beer M, Angerler G, et al. A survey on current knowledge, practice and beliefs related to preoperative antimicrobial decolonization regimens for prevention of surgical site infections among Austrian surgeons. J Hosp Infect [Internet]. 2018;100(4):386–92. Available from: https://doi.org/10.1016/j.jhin.2018.07.019</w:t>
      </w:r>
    </w:p>
    <w:p w14:paraId="5A9519CF"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15. </w:t>
      </w:r>
      <w:r w:rsidRPr="00883E1C">
        <w:rPr>
          <w:noProof/>
        </w:rPr>
        <w:tab/>
        <w:t xml:space="preserve">Jung-König M, Füllenbach C, Murphy MF, Manzini P, Laspina S, Pendry K, et al. Programmes for the management of preoperative anaemia: audit in ten European hospitals within the PaBloE (Patient Blood Management in Europe) Working Group. Vox Sang. 2020;115(3):182–91. </w:t>
      </w:r>
    </w:p>
    <w:p w14:paraId="250C05E0"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16. </w:t>
      </w:r>
      <w:r w:rsidRPr="00883E1C">
        <w:rPr>
          <w:noProof/>
        </w:rPr>
        <w:tab/>
        <w:t>Bisbe E, Basora M. Peri-operative treatment of anaemia in major orthopaedic surgery: A practical approach from Spain. Blood Transfus [Internet]. 2017;15(4):296–306. Available from: http://www.bloodtransfusion.it/articolo.aspx?idart=003066&amp;idriv=000124</w:t>
      </w:r>
    </w:p>
    <w:p w14:paraId="594A1686"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17. </w:t>
      </w:r>
      <w:r w:rsidRPr="00883E1C">
        <w:rPr>
          <w:noProof/>
        </w:rPr>
        <w:tab/>
        <w:t xml:space="preserve">Fischer F, Lange K, Klose K, Greiner W, Kraemer A. Barriers and strategies in guideline implementation — a scoping review. Healthcare. 2016;4(3):36. </w:t>
      </w:r>
    </w:p>
    <w:p w14:paraId="0A4EFCB5"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18. </w:t>
      </w:r>
      <w:r w:rsidRPr="00883E1C">
        <w:rPr>
          <w:noProof/>
        </w:rPr>
        <w:tab/>
        <w:t xml:space="preserve">Prior M, Guerin M, Grimmer-Somers K. The effectiveness of clinical guideline implementation strategies - A synthesis of systematic review findings. J Eval Clin Pract. 2008;14(5):888–97. </w:t>
      </w:r>
    </w:p>
    <w:p w14:paraId="1341600F"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19. </w:t>
      </w:r>
      <w:r w:rsidRPr="00883E1C">
        <w:rPr>
          <w:noProof/>
        </w:rPr>
        <w:tab/>
        <w:t xml:space="preserve">Colquhoun HL, Squires JE, Kolehmainen N, Fraser C, Grimshaw JM. Methods for designing interventions to change healthcare professionals’ behaviour: A systematic review. Implement Sci. 2017;12(1):1–11. </w:t>
      </w:r>
    </w:p>
    <w:p w14:paraId="4E0ECAAF"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20. </w:t>
      </w:r>
      <w:r w:rsidRPr="00883E1C">
        <w:rPr>
          <w:noProof/>
        </w:rPr>
        <w:tab/>
        <w:t xml:space="preserve">Francke AL, Smit MC, De Veer AJE, Mistiaen P. Factors influencing the implementation of clinical guidelines for health care professionals: A systematic meta-review. BMC Med Inform Decis Mak. 2008;8:1–11. </w:t>
      </w:r>
    </w:p>
    <w:p w14:paraId="28826DFF"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21. </w:t>
      </w:r>
      <w:r w:rsidRPr="00883E1C">
        <w:rPr>
          <w:noProof/>
        </w:rPr>
        <w:tab/>
        <w:t xml:space="preserve">Li SA, Jeffs L, Barwick M, Stevens B. Organizational contextual features that influence the implementation of evidence-based practices across healthcare settings: A systematic integrative review. Syst Rev. 2018;7(1). </w:t>
      </w:r>
    </w:p>
    <w:p w14:paraId="2EC2A1FC"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22. </w:t>
      </w:r>
      <w:r w:rsidRPr="00883E1C">
        <w:rPr>
          <w:noProof/>
        </w:rPr>
        <w:tab/>
        <w:t xml:space="preserve">Geerligs L, Rankin NM, Shepherd HL, Butow P. Hospital-based interventions: A systematic review of staff-reported barriers and facilitators to implementation processes. Implement Sci. 2018;13(1):1–17. </w:t>
      </w:r>
    </w:p>
    <w:p w14:paraId="7BCD0BEC"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23. </w:t>
      </w:r>
      <w:r w:rsidRPr="00883E1C">
        <w:rPr>
          <w:noProof/>
        </w:rPr>
        <w:tab/>
        <w:t>Muñoz M, Gómez-Ramírez S, Kozek-Langeneker S, Shander A, Richards T, Pavía J, et al. ‘Fit to fly’: overcoming barriers to preoperative haemoglobin optimization in surgical patients. Br J Anaesth [Internet]. 2015 Jul;115(1):15–24. Available from: https://linkinghub.elsevier.com/retrieve/pii/S0007091217312357</w:t>
      </w:r>
    </w:p>
    <w:p w14:paraId="044F529A"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24. </w:t>
      </w:r>
      <w:r w:rsidRPr="00883E1C">
        <w:rPr>
          <w:noProof/>
        </w:rPr>
        <w:tab/>
        <w:t>NHS Blood and Transplant. National comparative audit of blood transfusion - repeat audit of patient blood management in adults undergoing elective, scheduled surgery [Internet]. 2016 [cited 2021 May 20]. Available from: https://nhsbtdbe.blob.core.windows.net/umbraco-assets-corp/14914/2016-pbm-final.pdf</w:t>
      </w:r>
    </w:p>
    <w:p w14:paraId="722086C7"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25. </w:t>
      </w:r>
      <w:r w:rsidRPr="00883E1C">
        <w:rPr>
          <w:noProof/>
        </w:rPr>
        <w:tab/>
        <w:t xml:space="preserve">Delaforce A, Duff J, Munday J, Hardy J. Overcoming barriers to evidence-based patient blood management: A restricted review. Implement Sci. 2020;15(1):1–13. </w:t>
      </w:r>
    </w:p>
    <w:p w14:paraId="64DF8045"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26. </w:t>
      </w:r>
      <w:r w:rsidRPr="00883E1C">
        <w:rPr>
          <w:noProof/>
        </w:rPr>
        <w:tab/>
        <w:t>Delaforce A, Duff J, Munday J, Hardy J. Preoperative anemia and iron deficiency screening, evaluation and management: barrier identification and implementation strategy mapping. J Multidiscip Healthc [Internet]. 2020 Dec;13:1759–70. Available from: https://www.dovepress.com/preoperative-anemia-and-iron-deficiency-screening-evaluation-and-manag-peer-reviewed-article-JMDH</w:t>
      </w:r>
    </w:p>
    <w:p w14:paraId="6D48BA32"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27. </w:t>
      </w:r>
      <w:r w:rsidRPr="00883E1C">
        <w:rPr>
          <w:noProof/>
        </w:rPr>
        <w:tab/>
        <w:t>Hulscher M, Schouten L, Grol R. Collaboratives [Internet]. Quest for Quality and Improved Performance. The Health Foundation; 2009 [cited 2021 May 25]. Available from: https://www.health.org.uk/publications/collaboratives</w:t>
      </w:r>
    </w:p>
    <w:p w14:paraId="1A1BF5EB"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28. </w:t>
      </w:r>
      <w:r w:rsidRPr="00883E1C">
        <w:rPr>
          <w:noProof/>
        </w:rPr>
        <w:tab/>
        <w:t>Institute for Healthcare Improvement. The Breakthrough Series: IHI’s collaborative model for achieving breakthrough improvement. IHI Innov Ser white Pap [Internet]. 2003; Available from: http://www.ihi.org/resources/Pages/IHIWhitePapers/TheBreakthroughSeriesIHIsCollaborativeModelforAchievingBreakthroughImprovement.aspx</w:t>
      </w:r>
    </w:p>
    <w:p w14:paraId="3DB6059F"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29. </w:t>
      </w:r>
      <w:r w:rsidRPr="00883E1C">
        <w:rPr>
          <w:noProof/>
        </w:rPr>
        <w:tab/>
        <w:t>Nadeem E, Olin SS, Hill LC, Hoagwood KE, Horwitz SM. Understanding the Components of Quality Improvement Collaboratives: A Systematic Literature Review. Milbank Q [Internet]. 2013;91(2):354–94. Available from: http://doi.wiley.com/10.1111/milq.12016</w:t>
      </w:r>
    </w:p>
    <w:p w14:paraId="0B028905"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30. </w:t>
      </w:r>
      <w:r w:rsidRPr="00883E1C">
        <w:rPr>
          <w:noProof/>
        </w:rPr>
        <w:tab/>
        <w:t>Wells S, Tamir O, Gray J, Naidoo D, Bekhit M, Goldmann D. Are quality improvement collaboratives effective? A systematic review. BMJ Qual Saf [Internet]. 2018 Mar 1 [cited 2018 Nov 23];27(3):226–40. Available from: http://qualitysafety.bmj.com/lookup/doi/10.1136/bmjqs-2017-006926</w:t>
      </w:r>
    </w:p>
    <w:p w14:paraId="7B4F39A3"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31. </w:t>
      </w:r>
      <w:r w:rsidRPr="00883E1C">
        <w:rPr>
          <w:noProof/>
        </w:rPr>
        <w:tab/>
        <w:t>Scrimshire AB, Booth A, Fairhurst C, Kotze A, Reed M, McDaid C. Preoperative iron treatment in anaemic patients undergoing elective total hip or knee arthroplasty: a systematic review and meta-analysis. BMJ Open [Internet]. 2020 Oct 1;10(10):e036592. Available from: http://bmjopen.bmj.com/content/10/10/e036592.abstract</w:t>
      </w:r>
    </w:p>
    <w:p w14:paraId="29632497"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32. </w:t>
      </w:r>
      <w:r w:rsidRPr="00883E1C">
        <w:rPr>
          <w:noProof/>
        </w:rPr>
        <w:tab/>
        <w:t>National Clinical Guideline Centre. Blood transfusion. NICE Guidel NG24 Methods, Evid Recomm [Internet]. 2015; Available from: http://www.nice.org.uk/guidance/CG177%0Ahttp://www.ncbi.nlm.nih.gov/pubmed/26065061</w:t>
      </w:r>
    </w:p>
    <w:p w14:paraId="5B7F90CB"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33. </w:t>
      </w:r>
      <w:r w:rsidRPr="00883E1C">
        <w:rPr>
          <w:noProof/>
        </w:rPr>
        <w:tab/>
        <w:t>Zhu X, Sun X, Zeng Y, Feng W, Li J, Zeng J, et al. Can nasal Staphylococcus aureus screening and decolonization prior to elective total joint arthroplasty reduce surgical site and prosthesis-related infections? A systematic review and meta-analysis. J Orthop Surg Res [Internet]. 2020 Dec 19;15(1):60. Available from: https://josr-online.biomedcentral.com/articles/10.1186/s13018-020-01601-0</w:t>
      </w:r>
    </w:p>
    <w:p w14:paraId="47E290B7"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34. </w:t>
      </w:r>
      <w:r w:rsidRPr="00883E1C">
        <w:rPr>
          <w:noProof/>
        </w:rPr>
        <w:tab/>
        <w:t>Chen AF, Wessel CB, Rao N. Staphylococcus aureus screening and decolonization in orthopaedic surgery and reduction of surgical site infections infection. Clin Orthop Relat Res [Internet]. 2013 Jul [cited 2019 Jan 25];471(7):2383–99. Available from: http://www.ncbi.nlm.nih.gov/pubmed/23463284</w:t>
      </w:r>
    </w:p>
    <w:p w14:paraId="59D69592"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35. </w:t>
      </w:r>
      <w:r w:rsidRPr="00883E1C">
        <w:rPr>
          <w:noProof/>
        </w:rPr>
        <w:tab/>
        <w:t xml:space="preserve">National Institute for Health and Care Excellence. Surgical site infections : prevention and treatment. 2020;(August):1–20. </w:t>
      </w:r>
    </w:p>
    <w:p w14:paraId="1834DAC2"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36. </w:t>
      </w:r>
      <w:r w:rsidRPr="00883E1C">
        <w:rPr>
          <w:noProof/>
        </w:rPr>
        <w:tab/>
        <w:t>World Health Organization. Global guidelines for the prevention of surgical site infection, second edition. 2018 [cited 2021 Jun 14]; Available from: https://apps.who.int/iris/bitstream/handle/10665/277399/9789241550475-eng.pdf?sequence=1&amp;isAllowed=y</w:t>
      </w:r>
    </w:p>
    <w:p w14:paraId="3EB8FA5A"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37. </w:t>
      </w:r>
      <w:r w:rsidRPr="00883E1C">
        <w:rPr>
          <w:noProof/>
        </w:rPr>
        <w:tab/>
        <w:t>World Health Organization. Action framework to advance universal access to safe, effective and quality-assured blood products 2020–2023 [Internet]. 2020. 1–48 p. Available from: https://www.who.int/bloodproducts</w:t>
      </w:r>
    </w:p>
    <w:p w14:paraId="5969192C"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38. </w:t>
      </w:r>
      <w:r w:rsidRPr="00883E1C">
        <w:rPr>
          <w:noProof/>
        </w:rPr>
        <w:tab/>
        <w:t>Scrimshire AB, Booth A, Fairhurst C, Reed M, Tadd W, Laverty A, et al. Scaling up Quality Improvement for Surgical Teams (QIST) – avoiding surgical site infection and anaemia at the time of surgery: protocol for a cluster randomised controlled trial. Trials [Internet]. 2020;21(1):234. Available from: https://doi.org/10.1186/s13063-020-4152-3</w:t>
      </w:r>
    </w:p>
    <w:p w14:paraId="2FF79BF4"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39. </w:t>
      </w:r>
      <w:r w:rsidRPr="00883E1C">
        <w:rPr>
          <w:noProof/>
        </w:rPr>
        <w:tab/>
        <w:t>Cochrane EPOC group. Effective Practice and Organisation of Care (EPOC) Taxonomy [Internet]. 2015 [cited 2021 May 26]. Available from: https://epoc.cochrane.org/epoc-taxonomy</w:t>
      </w:r>
    </w:p>
    <w:p w14:paraId="4926B9DB"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40. </w:t>
      </w:r>
      <w:r w:rsidRPr="00883E1C">
        <w:rPr>
          <w:noProof/>
        </w:rPr>
        <w:tab/>
        <w:t>Pujol-Nicolas A, Morrison R, Casson C, Khan S, Marriott A, Tiplady C, et al. Preoperative screening and intervention for mild anemia with low iron stores in elective hip and knee arthroplasty. Transfusion [Internet]. 2017;57(12):3049–57. Available from: http://www.blackwellpublishing.com/journals/TRF</w:t>
      </w:r>
    </w:p>
    <w:p w14:paraId="6DB4D4B5"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41. </w:t>
      </w:r>
      <w:r w:rsidRPr="00883E1C">
        <w:rPr>
          <w:noProof/>
        </w:rPr>
        <w:tab/>
        <w:t>Jeans E, Holleyman R, Tate D, Reed M, Malviya A. Methicillin sensitive staphylococcus aureus screening and decolonisation in elective hip and knee arthroplasty. J Infect [Internet]. 2018 Nov;77(5):405–9. Available from: https://doi.org/10.1016/j.jinf.2018.05.012</w:t>
      </w:r>
    </w:p>
    <w:p w14:paraId="4D510EE7"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42. </w:t>
      </w:r>
      <w:r w:rsidRPr="00883E1C">
        <w:rPr>
          <w:noProof/>
        </w:rPr>
        <w:tab/>
        <w:t>McLean E, Cogswell M, Egli I, Wojdyla D, de Benoist B. Worldwide prevalence of anaemia, WHO Vitamin and Mineral Nutrition Information System, 1993–2005. Public Health Nutr [Internet]. 2009 Apr 23;12(04):444. Available from: http://www.journals.cambridge.org/abstract_S1368980008002401</w:t>
      </w:r>
    </w:p>
    <w:p w14:paraId="39B5842B"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43. </w:t>
      </w:r>
      <w:r w:rsidRPr="00883E1C">
        <w:rPr>
          <w:noProof/>
        </w:rPr>
        <w:tab/>
        <w:t>Stephens TJ, Peden CJ, Pearse RM, Shaw SE, Abbott TEF, Jones EL, et al. Improving care at scale: process evaluation of a multi-component quality improvement intervention to reduce mortality after emergency abdominal surgery (EPOCH trial). Implement Sci [Internet]. 2018 [cited 2018 Nov 14];13(1):142. Available from: https://implementationscience.biomedcentral.com/articles/10.1186/s13012-018-0823-9</w:t>
      </w:r>
    </w:p>
    <w:p w14:paraId="039C2DB5"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44. </w:t>
      </w:r>
      <w:r w:rsidRPr="00883E1C">
        <w:rPr>
          <w:noProof/>
        </w:rPr>
        <w:tab/>
        <w:t xml:space="preserve">Peden CJ, Stephens T, Martin G, Kahan BC, Thomson A, Rivett K, et al. Effectiveness of a national quality improvement programme to improve survival after emergency abdominal surgery (EPOCH): a stepped-wedge cluster-randomised trial. Lancet. 2019;393(10187):2213–21. </w:t>
      </w:r>
    </w:p>
    <w:p w14:paraId="19922231"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45. </w:t>
      </w:r>
      <w:r w:rsidRPr="00883E1C">
        <w:rPr>
          <w:noProof/>
        </w:rPr>
        <w:tab/>
        <w:t xml:space="preserve">Richards T, Baikady RR, Clevenger B, Butcher A, Abeysiri S, Chau M, et al. Preoperative intravenous iron to treat anaemia before major abdominal surgery (PREVENTT): a randomised, double-blind, controlled trial. Lancet. 2020 Oct;396(10259):1353–61. </w:t>
      </w:r>
    </w:p>
    <w:p w14:paraId="16367670"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46. </w:t>
      </w:r>
      <w:r w:rsidRPr="00883E1C">
        <w:rPr>
          <w:noProof/>
        </w:rPr>
        <w:tab/>
        <w:t>Roman MA, Abbasciano RG, Pathak S, Oo S, Yusoff S, Wozniak M, et al. Patient blood management interventions do not lead to important clinical benefits or cost-effectiveness for major surgery: a network meta-analysis. Br J Anaesth [Internet]. 2021;126(1):149–56. Available from: https://doi.org/10.1016/j.bja.2020.04.087</w:t>
      </w:r>
    </w:p>
    <w:p w14:paraId="426A68D9" w14:textId="77777777" w:rsidR="00883E1C" w:rsidRPr="00883E1C" w:rsidRDefault="00883E1C" w:rsidP="00883E1C">
      <w:pPr>
        <w:widowControl w:val="0"/>
        <w:autoSpaceDE w:val="0"/>
        <w:autoSpaceDN w:val="0"/>
        <w:adjustRightInd w:val="0"/>
        <w:spacing w:after="0" w:line="480" w:lineRule="auto"/>
        <w:ind w:left="640" w:hanging="640"/>
        <w:rPr>
          <w:noProof/>
        </w:rPr>
      </w:pPr>
      <w:r w:rsidRPr="00883E1C">
        <w:rPr>
          <w:noProof/>
        </w:rPr>
        <w:t xml:space="preserve">47. </w:t>
      </w:r>
      <w:r w:rsidRPr="00883E1C">
        <w:rPr>
          <w:noProof/>
        </w:rPr>
        <w:tab/>
        <w:t>NHS England and NHS Improvement. Commissioning for quality and innovation (CQUIN): Guidance for 2020 - 2021 [Internet]. 2020 [cited 2021 May 25]. Available from: https://www.england.nhs.uk/wp-content/uploads/2020/01/FINAL-CQUIN-20-21-Core-Guidance-190220.pdf</w:t>
      </w:r>
    </w:p>
    <w:p w14:paraId="1A3E547C" w14:textId="07453596" w:rsidR="00DC314B" w:rsidRDefault="008B7FDE" w:rsidP="00883E1C">
      <w:pPr>
        <w:widowControl w:val="0"/>
        <w:autoSpaceDE w:val="0"/>
        <w:autoSpaceDN w:val="0"/>
        <w:adjustRightInd w:val="0"/>
        <w:spacing w:after="0" w:line="480" w:lineRule="auto"/>
        <w:ind w:left="640" w:hanging="640"/>
      </w:pPr>
      <w:r w:rsidRPr="0050087A">
        <w:fldChar w:fldCharType="end"/>
      </w:r>
      <w:r w:rsidR="00C658AF" w:rsidRPr="00C658AF">
        <w:t xml:space="preserve"> </w:t>
      </w:r>
    </w:p>
    <w:p w14:paraId="286DC8F4" w14:textId="2ABB1758" w:rsidR="00C658AF" w:rsidRDefault="00C658AF" w:rsidP="00A83BA7">
      <w:pPr>
        <w:pStyle w:val="Heading1"/>
        <w:spacing w:line="480" w:lineRule="auto"/>
        <w:rPr>
          <w:b w:val="0"/>
          <w:bCs w:val="0"/>
        </w:rPr>
      </w:pPr>
      <w:r>
        <w:t>Fi</w:t>
      </w:r>
      <w:r w:rsidR="00DC314B">
        <w:t>g</w:t>
      </w:r>
      <w:r>
        <w:t>ures and Tables</w:t>
      </w:r>
    </w:p>
    <w:p w14:paraId="2AE4FE62" w14:textId="4F2A6D1C" w:rsidR="00A83BA7" w:rsidRPr="00A83BA7" w:rsidRDefault="00A83BA7" w:rsidP="00A83BA7">
      <w:pPr>
        <w:spacing w:line="480" w:lineRule="auto"/>
        <w:rPr>
          <w:noProof/>
          <w:lang w:val="en-US"/>
        </w:rPr>
      </w:pPr>
      <w:bookmarkStart w:id="1" w:name="_Ref67050331"/>
      <w:r>
        <w:t xml:space="preserve">Figure </w:t>
      </w:r>
      <w:r w:rsidR="009D4DFE">
        <w:fldChar w:fldCharType="begin"/>
      </w:r>
      <w:r w:rsidR="009D4DFE">
        <w:instrText xml:space="preserve"> SEQ Figure \* ARABIC </w:instrText>
      </w:r>
      <w:r w:rsidR="009D4DFE">
        <w:fldChar w:fldCharType="separate"/>
      </w:r>
      <w:r>
        <w:rPr>
          <w:noProof/>
        </w:rPr>
        <w:t>1</w:t>
      </w:r>
      <w:r w:rsidR="009D4DFE">
        <w:rPr>
          <w:noProof/>
        </w:rPr>
        <w:fldChar w:fldCharType="end"/>
      </w:r>
      <w:bookmarkEnd w:id="1"/>
      <w:r>
        <w:t>: CONSORT flow diagram</w:t>
      </w:r>
    </w:p>
    <w:p w14:paraId="2DFFBB10" w14:textId="19AC307F" w:rsidR="00A83BA7" w:rsidRDefault="00A83BA7" w:rsidP="00A83BA7">
      <w:pPr>
        <w:spacing w:line="480" w:lineRule="auto"/>
        <w:rPr>
          <w:rFonts w:eastAsia="Calibri"/>
        </w:rPr>
      </w:pPr>
      <w:bookmarkStart w:id="2" w:name="_Ref66696647"/>
      <w:r>
        <w:t xml:space="preserve">Figure </w:t>
      </w:r>
      <w:r w:rsidR="009D4DFE">
        <w:fldChar w:fldCharType="begin"/>
      </w:r>
      <w:r w:rsidR="009D4DFE">
        <w:instrText xml:space="preserve"> SEQ Figure \* ARABIC </w:instrText>
      </w:r>
      <w:r w:rsidR="009D4DFE">
        <w:fldChar w:fldCharType="separate"/>
      </w:r>
      <w:r>
        <w:rPr>
          <w:noProof/>
        </w:rPr>
        <w:t>2</w:t>
      </w:r>
      <w:r w:rsidR="009D4DFE">
        <w:rPr>
          <w:noProof/>
        </w:rPr>
        <w:fldChar w:fldCharType="end"/>
      </w:r>
      <w:bookmarkEnd w:id="2"/>
      <w:r>
        <w:t xml:space="preserve">: </w:t>
      </w:r>
      <w:r w:rsidRPr="003E48F2">
        <w:t>Implementation of the anaemia screening pathway over the 18</w:t>
      </w:r>
      <w:r>
        <w:t>-</w:t>
      </w:r>
      <w:r w:rsidRPr="003E48F2">
        <w:t>month QIST period: 6</w:t>
      </w:r>
      <w:r w:rsidR="00902666">
        <w:t>-</w:t>
      </w:r>
      <w:r w:rsidRPr="003E48F2">
        <w:t>month set up phase, and 12</w:t>
      </w:r>
      <w:r w:rsidR="00902666">
        <w:t>-</w:t>
      </w:r>
      <w:r w:rsidRPr="003E48F2">
        <w:t>month data collection phase</w:t>
      </w:r>
    </w:p>
    <w:p w14:paraId="331C072B" w14:textId="46F5056A" w:rsidR="00C658AF" w:rsidRPr="00A83BA7" w:rsidRDefault="00A83BA7" w:rsidP="00A83BA7">
      <w:pPr>
        <w:spacing w:line="480" w:lineRule="auto"/>
        <w:rPr>
          <w:rFonts w:eastAsia="Calibri"/>
        </w:rPr>
      </w:pPr>
      <w:bookmarkStart w:id="3" w:name="_Ref66704941"/>
      <w:r>
        <w:t xml:space="preserve">Figure </w:t>
      </w:r>
      <w:r w:rsidR="009D4DFE">
        <w:fldChar w:fldCharType="begin"/>
      </w:r>
      <w:r w:rsidR="009D4DFE">
        <w:instrText xml:space="preserve"> SEQ Figure \* ARABIC </w:instrText>
      </w:r>
      <w:r w:rsidR="009D4DFE">
        <w:fldChar w:fldCharType="separate"/>
      </w:r>
      <w:r>
        <w:rPr>
          <w:noProof/>
        </w:rPr>
        <w:t>3</w:t>
      </w:r>
      <w:r w:rsidR="009D4DFE">
        <w:rPr>
          <w:noProof/>
        </w:rPr>
        <w:fldChar w:fldCharType="end"/>
      </w:r>
      <w:bookmarkEnd w:id="3"/>
      <w:r>
        <w:t xml:space="preserve">: </w:t>
      </w:r>
      <w:r w:rsidRPr="00BA50AD">
        <w:t>Implementation of the infection pathway over the 18</w:t>
      </w:r>
      <w:r>
        <w:t>-</w:t>
      </w:r>
      <w:r w:rsidRPr="00BA50AD">
        <w:t>month QIST period: 6</w:t>
      </w:r>
      <w:r w:rsidR="00902666">
        <w:t>-</w:t>
      </w:r>
      <w:r w:rsidRPr="00BA50AD">
        <w:t xml:space="preserve">month </w:t>
      </w:r>
      <w:r>
        <w:t>implementation</w:t>
      </w:r>
      <w:r w:rsidRPr="00BA50AD">
        <w:t xml:space="preserve"> phase, and 12</w:t>
      </w:r>
      <w:r w:rsidR="00902666">
        <w:t>-</w:t>
      </w:r>
      <w:r w:rsidRPr="00BA50AD">
        <w:t xml:space="preserve">month </w:t>
      </w:r>
      <w:r>
        <w:t>measurement</w:t>
      </w:r>
      <w:r w:rsidRPr="00BA50AD">
        <w:t xml:space="preserve"> phase</w:t>
      </w:r>
      <w:r w:rsidR="00C658AF" w:rsidRPr="00424197">
        <w:rPr>
          <w:noProof/>
          <w:lang w:eastAsia="en-GB"/>
        </w:rPr>
        <mc:AlternateContent>
          <mc:Choice Requires="wps">
            <w:drawing>
              <wp:anchor distT="0" distB="0" distL="114300" distR="114300" simplePos="0" relativeHeight="251744256" behindDoc="0" locked="0" layoutInCell="1" allowOverlap="1" wp14:anchorId="20A61D66" wp14:editId="46F2F891">
                <wp:simplePos x="0" y="0"/>
                <wp:positionH relativeFrom="column">
                  <wp:posOffset>-497840</wp:posOffset>
                </wp:positionH>
                <wp:positionV relativeFrom="paragraph">
                  <wp:posOffset>7636839</wp:posOffset>
                </wp:positionV>
                <wp:extent cx="6854190" cy="635"/>
                <wp:effectExtent l="0" t="0" r="3810" b="12065"/>
                <wp:wrapNone/>
                <wp:docPr id="40" name="Text Box 40"/>
                <wp:cNvGraphicFramePr/>
                <a:graphic xmlns:a="http://schemas.openxmlformats.org/drawingml/2006/main">
                  <a:graphicData uri="http://schemas.microsoft.com/office/word/2010/wordprocessingShape">
                    <wps:wsp>
                      <wps:cNvSpPr txBox="1"/>
                      <wps:spPr>
                        <a:xfrm>
                          <a:off x="0" y="0"/>
                          <a:ext cx="6854190" cy="635"/>
                        </a:xfrm>
                        <a:prstGeom prst="rect">
                          <a:avLst/>
                        </a:prstGeom>
                        <a:solidFill>
                          <a:prstClr val="white"/>
                        </a:solidFill>
                        <a:ln>
                          <a:noFill/>
                        </a:ln>
                      </wps:spPr>
                      <wps:txbx>
                        <w:txbxContent>
                          <w:p w14:paraId="551C209D" w14:textId="139C307C" w:rsidR="0034268E" w:rsidRPr="007769F9" w:rsidRDefault="0034268E" w:rsidP="00C658AF">
                            <w:pPr>
                              <w:pStyle w:val="Caption"/>
                              <w:rPr>
                                <w:noProof/>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A61D66" id="_x0000_t202" coordsize="21600,21600" o:spt="202" path="m,l,21600r21600,l21600,xe">
                <v:stroke joinstyle="miter"/>
                <v:path gradientshapeok="t" o:connecttype="rect"/>
              </v:shapetype>
              <v:shape id="Text Box 40" o:spid="_x0000_s1026" type="#_x0000_t202" style="position:absolute;margin-left:-39.2pt;margin-top:601.35pt;width:539.7pt;height:.0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" stroked="f">
                <v:textbox style="mso-fit-shape-to-text:t" inset="0,0,0,0">
                  <w:txbxContent>
                    <w:p w14:paraId="551C209D" w14:textId="139C307C" w:rsidR="0034268E" w:rsidRPr="007769F9" w:rsidRDefault="0034268E" w:rsidP="00C658AF">
                      <w:pPr>
                        <w:pStyle w:val="Caption"/>
                        <w:rPr>
                          <w:noProof/>
                          <w:lang w:val="en-US"/>
                        </w:rPr>
                      </w:pPr>
                    </w:p>
                  </w:txbxContent>
                </v:textbox>
              </v:shape>
            </w:pict>
          </mc:Fallback>
        </mc:AlternateContent>
      </w:r>
      <w:r w:rsidR="00C658AF" w:rsidRPr="00C5316E">
        <w:br w:type="page"/>
      </w:r>
    </w:p>
    <w:p w14:paraId="5CB91998" w14:textId="77777777" w:rsidR="000627C0" w:rsidRDefault="000627C0" w:rsidP="00C658AF">
      <w:pPr>
        <w:widowControl w:val="0"/>
        <w:autoSpaceDE w:val="0"/>
        <w:autoSpaceDN w:val="0"/>
        <w:adjustRightInd w:val="0"/>
        <w:spacing w:after="0" w:line="240" w:lineRule="auto"/>
        <w:sectPr w:rsidR="000627C0" w:rsidSect="00F57E24">
          <w:footerReference w:type="even" r:id="rId9"/>
          <w:footerReference w:type="default" r:id="rId10"/>
          <w:pgSz w:w="11900" w:h="16840"/>
          <w:pgMar w:top="1440" w:right="1440" w:bottom="1440" w:left="1440" w:header="708" w:footer="708" w:gutter="0"/>
          <w:lnNumType w:countBy="1" w:restart="continuous"/>
          <w:cols w:space="708"/>
          <w:titlePg/>
          <w:docGrid w:linePitch="360"/>
        </w:sectPr>
      </w:pPr>
    </w:p>
    <w:p w14:paraId="02F92FF2" w14:textId="6C138BA4" w:rsidR="000627C0" w:rsidRDefault="000627C0" w:rsidP="000627C0">
      <w:pPr>
        <w:pStyle w:val="Caption"/>
        <w:keepNext/>
        <w:rPr>
          <w:noProof/>
        </w:rPr>
      </w:pPr>
    </w:p>
    <w:p w14:paraId="589355C2" w14:textId="23CBFBBE" w:rsidR="005F7BCC" w:rsidRDefault="005F7BCC" w:rsidP="00C23310">
      <w:pPr>
        <w:pStyle w:val="Caption"/>
        <w:keepNext/>
      </w:pPr>
      <w:bookmarkStart w:id="4" w:name="_Ref89097008"/>
      <w:r>
        <w:t xml:space="preserve">Table </w:t>
      </w:r>
      <w:r w:rsidR="009D4DFE">
        <w:fldChar w:fldCharType="begin"/>
      </w:r>
      <w:r w:rsidR="009D4DFE">
        <w:instrText xml:space="preserve"> SEQ Table \* ARABIC </w:instrText>
      </w:r>
      <w:r w:rsidR="009D4DFE">
        <w:fldChar w:fldCharType="separate"/>
      </w:r>
      <w:r>
        <w:rPr>
          <w:noProof/>
        </w:rPr>
        <w:t>1</w:t>
      </w:r>
      <w:r w:rsidR="009D4DFE">
        <w:rPr>
          <w:noProof/>
        </w:rPr>
        <w:fldChar w:fldCharType="end"/>
      </w:r>
      <w:bookmarkEnd w:id="4"/>
      <w:r>
        <w:t xml:space="preserve">: </w:t>
      </w:r>
      <w:r w:rsidRPr="00FE5042">
        <w:t>Standard Protocol Items: Recommendations for Interventional Trials (SPIRIT) Figure for the Quality Improvement for Surgical Teams (QIST) trial as delivered</w:t>
      </w:r>
    </w:p>
    <w:tbl>
      <w:tblPr>
        <w:tblW w:w="15163" w:type="dxa"/>
        <w:tblBorders>
          <w:top w:val="single" w:sz="4" w:space="0" w:color="262626"/>
          <w:left w:val="single" w:sz="4" w:space="0" w:color="262626"/>
          <w:bottom w:val="single" w:sz="4" w:space="0" w:color="262626"/>
          <w:right w:val="single" w:sz="4" w:space="0" w:color="262626"/>
          <w:insideH w:val="single" w:sz="6" w:space="0" w:color="262626"/>
          <w:insideV w:val="single" w:sz="6" w:space="0" w:color="262626"/>
        </w:tblBorders>
        <w:tblLayout w:type="fixed"/>
        <w:tblLook w:val="0000" w:firstRow="0" w:lastRow="0" w:firstColumn="0" w:lastColumn="0" w:noHBand="0" w:noVBand="0"/>
      </w:tblPr>
      <w:tblGrid>
        <w:gridCol w:w="3539"/>
        <w:gridCol w:w="1559"/>
        <w:gridCol w:w="1276"/>
        <w:gridCol w:w="851"/>
        <w:gridCol w:w="850"/>
        <w:gridCol w:w="851"/>
        <w:gridCol w:w="850"/>
        <w:gridCol w:w="851"/>
        <w:gridCol w:w="850"/>
        <w:gridCol w:w="709"/>
        <w:gridCol w:w="850"/>
        <w:gridCol w:w="851"/>
        <w:gridCol w:w="1276"/>
      </w:tblGrid>
      <w:tr w:rsidR="000627C0" w:rsidRPr="00035759" w14:paraId="638CF9F2" w14:textId="77777777" w:rsidTr="003F39BA">
        <w:trPr>
          <w:trHeight w:val="257"/>
        </w:trPr>
        <w:tc>
          <w:tcPr>
            <w:tcW w:w="3539" w:type="dxa"/>
            <w:tcBorders>
              <w:top w:val="single" w:sz="4" w:space="0" w:color="262626"/>
              <w:right w:val="single" w:sz="12" w:space="0" w:color="auto"/>
            </w:tcBorders>
            <w:shd w:val="clear" w:color="auto" w:fill="auto"/>
          </w:tcPr>
          <w:p w14:paraId="2CB11867" w14:textId="77777777" w:rsidR="000627C0" w:rsidRPr="00035759" w:rsidRDefault="000627C0" w:rsidP="003F39BA">
            <w:pPr>
              <w:spacing w:after="0"/>
              <w:jc w:val="center"/>
              <w:rPr>
                <w:rFonts w:ascii="Arial" w:hAnsi="Arial" w:cs="Arial"/>
                <w:b/>
                <w:bCs/>
                <w:sz w:val="20"/>
                <w:szCs w:val="20"/>
              </w:rPr>
            </w:pPr>
            <w:bookmarkStart w:id="5" w:name="_Ref64033095"/>
          </w:p>
        </w:tc>
        <w:tc>
          <w:tcPr>
            <w:tcW w:w="11624" w:type="dxa"/>
            <w:gridSpan w:val="12"/>
            <w:tcBorders>
              <w:top w:val="single" w:sz="4" w:space="0" w:color="262626"/>
              <w:right w:val="single" w:sz="8" w:space="0" w:color="262626"/>
            </w:tcBorders>
          </w:tcPr>
          <w:p w14:paraId="2101F7D2" w14:textId="77777777" w:rsidR="000627C0" w:rsidRPr="00AD29B0" w:rsidRDefault="000627C0" w:rsidP="003F39BA">
            <w:pPr>
              <w:spacing w:after="0"/>
              <w:jc w:val="center"/>
              <w:rPr>
                <w:rFonts w:ascii="Arial" w:hAnsi="Arial" w:cs="Arial"/>
                <w:b/>
                <w:sz w:val="20"/>
                <w:szCs w:val="20"/>
              </w:rPr>
            </w:pPr>
            <w:r w:rsidRPr="00AD29B0">
              <w:rPr>
                <w:rFonts w:ascii="Arial" w:hAnsi="Arial" w:cs="Arial"/>
                <w:b/>
                <w:bCs/>
                <w:sz w:val="20"/>
                <w:szCs w:val="20"/>
              </w:rPr>
              <w:t xml:space="preserve">QIST TRIAL STUDY </w:t>
            </w:r>
            <w:r w:rsidRPr="00035759">
              <w:rPr>
                <w:rFonts w:ascii="Arial" w:hAnsi="Arial" w:cs="Arial"/>
                <w:b/>
                <w:bCs/>
                <w:sz w:val="20"/>
                <w:szCs w:val="20"/>
              </w:rPr>
              <w:t>PERIOD</w:t>
            </w:r>
          </w:p>
        </w:tc>
      </w:tr>
      <w:tr w:rsidR="000627C0" w:rsidRPr="00035759" w14:paraId="08A8F8EE" w14:textId="77777777" w:rsidTr="003F39BA">
        <w:trPr>
          <w:trHeight w:val="171"/>
        </w:trPr>
        <w:tc>
          <w:tcPr>
            <w:tcW w:w="3539" w:type="dxa"/>
            <w:tcBorders>
              <w:bottom w:val="single" w:sz="6" w:space="0" w:color="262626"/>
              <w:right w:val="single" w:sz="12" w:space="0" w:color="auto"/>
            </w:tcBorders>
            <w:shd w:val="clear" w:color="auto" w:fill="auto"/>
          </w:tcPr>
          <w:p w14:paraId="325D9DC5" w14:textId="77777777" w:rsidR="000627C0" w:rsidRPr="00035759" w:rsidRDefault="000627C0" w:rsidP="003F39BA">
            <w:pPr>
              <w:spacing w:after="0"/>
              <w:jc w:val="right"/>
              <w:rPr>
                <w:rFonts w:ascii="Arial" w:hAnsi="Arial" w:cs="Arial"/>
                <w:b/>
                <w:bCs/>
                <w:sz w:val="20"/>
                <w:szCs w:val="20"/>
              </w:rPr>
            </w:pPr>
          </w:p>
        </w:tc>
        <w:tc>
          <w:tcPr>
            <w:tcW w:w="1559" w:type="dxa"/>
            <w:tcBorders>
              <w:top w:val="single" w:sz="6" w:space="0" w:color="262626"/>
              <w:left w:val="single" w:sz="12" w:space="0" w:color="auto"/>
              <w:bottom w:val="single" w:sz="6" w:space="0" w:color="262626"/>
              <w:right w:val="single" w:sz="12" w:space="0" w:color="262626"/>
            </w:tcBorders>
            <w:shd w:val="clear" w:color="auto" w:fill="auto"/>
          </w:tcPr>
          <w:p w14:paraId="4C7A54C6" w14:textId="77777777" w:rsidR="000627C0" w:rsidRPr="00035759" w:rsidRDefault="000627C0" w:rsidP="003F39BA">
            <w:pPr>
              <w:spacing w:after="0"/>
              <w:jc w:val="center"/>
              <w:rPr>
                <w:rFonts w:ascii="Arial" w:hAnsi="Arial" w:cs="Arial"/>
                <w:b/>
                <w:sz w:val="20"/>
                <w:szCs w:val="20"/>
              </w:rPr>
            </w:pPr>
            <w:r w:rsidRPr="00035759">
              <w:rPr>
                <w:rFonts w:ascii="Arial" w:hAnsi="Arial" w:cs="Arial"/>
                <w:b/>
                <w:bCs/>
                <w:sz w:val="20"/>
                <w:szCs w:val="20"/>
              </w:rPr>
              <w:t>Enrolment</w:t>
            </w:r>
          </w:p>
        </w:tc>
        <w:tc>
          <w:tcPr>
            <w:tcW w:w="1276" w:type="dxa"/>
            <w:tcBorders>
              <w:top w:val="single" w:sz="6" w:space="0" w:color="262626"/>
              <w:left w:val="single" w:sz="12" w:space="0" w:color="262626"/>
              <w:bottom w:val="single" w:sz="6" w:space="0" w:color="262626"/>
              <w:right w:val="single" w:sz="12" w:space="0" w:color="262626"/>
            </w:tcBorders>
            <w:shd w:val="clear" w:color="auto" w:fill="auto"/>
          </w:tcPr>
          <w:p w14:paraId="0C131157" w14:textId="77777777" w:rsidR="000627C0" w:rsidRPr="00035759" w:rsidRDefault="000627C0" w:rsidP="003F39BA">
            <w:pPr>
              <w:spacing w:after="0"/>
              <w:jc w:val="center"/>
              <w:rPr>
                <w:rFonts w:ascii="Arial" w:hAnsi="Arial" w:cs="Arial"/>
                <w:b/>
                <w:sz w:val="20"/>
                <w:szCs w:val="20"/>
              </w:rPr>
            </w:pPr>
            <w:r w:rsidRPr="00035759">
              <w:rPr>
                <w:rFonts w:ascii="Arial" w:hAnsi="Arial" w:cs="Arial"/>
                <w:b/>
                <w:sz w:val="20"/>
                <w:szCs w:val="20"/>
              </w:rPr>
              <w:t>Allocation</w:t>
            </w:r>
          </w:p>
        </w:tc>
        <w:tc>
          <w:tcPr>
            <w:tcW w:w="7513" w:type="dxa"/>
            <w:gridSpan w:val="9"/>
            <w:tcBorders>
              <w:left w:val="single" w:sz="12" w:space="0" w:color="262626"/>
              <w:bottom w:val="single" w:sz="6" w:space="0" w:color="262626"/>
              <w:right w:val="single" w:sz="12" w:space="0" w:color="auto"/>
            </w:tcBorders>
          </w:tcPr>
          <w:p w14:paraId="528CEF2D" w14:textId="77777777" w:rsidR="000627C0" w:rsidRPr="00035759" w:rsidRDefault="000627C0" w:rsidP="003F39BA">
            <w:pPr>
              <w:spacing w:after="0"/>
              <w:jc w:val="center"/>
              <w:rPr>
                <w:rFonts w:ascii="Arial" w:hAnsi="Arial" w:cs="Arial"/>
                <w:b/>
                <w:sz w:val="20"/>
                <w:szCs w:val="20"/>
              </w:rPr>
            </w:pPr>
            <w:r w:rsidRPr="00035759">
              <w:rPr>
                <w:rFonts w:ascii="Arial" w:hAnsi="Arial" w:cs="Arial"/>
                <w:b/>
                <w:sz w:val="20"/>
                <w:szCs w:val="20"/>
              </w:rPr>
              <w:t>Post-allocation</w:t>
            </w:r>
          </w:p>
        </w:tc>
        <w:tc>
          <w:tcPr>
            <w:tcW w:w="1276" w:type="dxa"/>
            <w:tcBorders>
              <w:left w:val="single" w:sz="12" w:space="0" w:color="auto"/>
              <w:bottom w:val="single" w:sz="6" w:space="0" w:color="262626"/>
              <w:right w:val="single" w:sz="8" w:space="0" w:color="262626"/>
            </w:tcBorders>
            <w:shd w:val="clear" w:color="auto" w:fill="auto"/>
          </w:tcPr>
          <w:p w14:paraId="03C07083" w14:textId="77777777" w:rsidR="000627C0" w:rsidRPr="00035759" w:rsidRDefault="000627C0" w:rsidP="003F39BA">
            <w:pPr>
              <w:spacing w:after="0"/>
              <w:jc w:val="center"/>
              <w:rPr>
                <w:rFonts w:ascii="Arial" w:hAnsi="Arial" w:cs="Arial"/>
                <w:b/>
                <w:sz w:val="20"/>
                <w:szCs w:val="20"/>
              </w:rPr>
            </w:pPr>
            <w:r w:rsidRPr="00035759">
              <w:rPr>
                <w:rFonts w:ascii="Arial" w:hAnsi="Arial" w:cs="Arial"/>
                <w:b/>
                <w:sz w:val="20"/>
                <w:szCs w:val="20"/>
              </w:rPr>
              <w:t>Close</w:t>
            </w:r>
            <w:r>
              <w:rPr>
                <w:rFonts w:ascii="Arial" w:hAnsi="Arial" w:cs="Arial"/>
                <w:b/>
                <w:sz w:val="20"/>
                <w:szCs w:val="20"/>
              </w:rPr>
              <w:t>-out</w:t>
            </w:r>
          </w:p>
        </w:tc>
      </w:tr>
      <w:tr w:rsidR="000627C0" w:rsidRPr="00035759" w14:paraId="1AEDD3D0" w14:textId="77777777" w:rsidTr="003F39BA">
        <w:trPr>
          <w:trHeight w:val="472"/>
        </w:trPr>
        <w:tc>
          <w:tcPr>
            <w:tcW w:w="3539" w:type="dxa"/>
            <w:tcBorders>
              <w:top w:val="single" w:sz="6" w:space="0" w:color="262626"/>
              <w:bottom w:val="single" w:sz="12" w:space="0" w:color="262626"/>
              <w:right w:val="single" w:sz="12" w:space="0" w:color="auto"/>
            </w:tcBorders>
            <w:shd w:val="clear" w:color="auto" w:fill="E6E6E6"/>
          </w:tcPr>
          <w:p w14:paraId="556283CC" w14:textId="77777777" w:rsidR="000627C0" w:rsidRPr="00035759" w:rsidRDefault="000627C0" w:rsidP="003F39BA">
            <w:pPr>
              <w:spacing w:after="0"/>
              <w:jc w:val="right"/>
              <w:rPr>
                <w:rFonts w:ascii="Arial" w:hAnsi="Arial" w:cs="Arial"/>
                <w:bCs/>
                <w:sz w:val="20"/>
                <w:szCs w:val="20"/>
              </w:rPr>
            </w:pPr>
            <w:r w:rsidRPr="00035759">
              <w:rPr>
                <w:rFonts w:ascii="Arial" w:hAnsi="Arial" w:cs="Arial"/>
                <w:b/>
                <w:bCs/>
                <w:sz w:val="20"/>
                <w:szCs w:val="20"/>
              </w:rPr>
              <w:t>TIMEPOINT</w:t>
            </w:r>
          </w:p>
        </w:tc>
        <w:tc>
          <w:tcPr>
            <w:tcW w:w="1559" w:type="dxa"/>
            <w:tcBorders>
              <w:top w:val="single" w:sz="6" w:space="0" w:color="262626"/>
              <w:left w:val="single" w:sz="12" w:space="0" w:color="auto"/>
              <w:bottom w:val="single" w:sz="12" w:space="0" w:color="262626"/>
              <w:right w:val="single" w:sz="12" w:space="0" w:color="262626"/>
            </w:tcBorders>
            <w:shd w:val="clear" w:color="auto" w:fill="E6E6E6"/>
          </w:tcPr>
          <w:p w14:paraId="3F6711EF" w14:textId="77777777" w:rsidR="000627C0" w:rsidRPr="00035759" w:rsidRDefault="000627C0" w:rsidP="003F39BA">
            <w:pPr>
              <w:spacing w:after="0"/>
              <w:jc w:val="center"/>
              <w:rPr>
                <w:rFonts w:ascii="Arial" w:hAnsi="Arial" w:cs="Arial"/>
                <w:i/>
                <w:sz w:val="20"/>
                <w:szCs w:val="20"/>
              </w:rPr>
            </w:pPr>
            <w:r w:rsidRPr="00035759">
              <w:rPr>
                <w:rFonts w:ascii="Arial" w:hAnsi="Arial" w:cs="Arial"/>
                <w:i/>
                <w:sz w:val="20"/>
                <w:szCs w:val="20"/>
              </w:rPr>
              <w:t>Dec 2017 – March 2018</w:t>
            </w:r>
          </w:p>
        </w:tc>
        <w:tc>
          <w:tcPr>
            <w:tcW w:w="1276" w:type="dxa"/>
            <w:tcBorders>
              <w:top w:val="single" w:sz="6" w:space="0" w:color="262626"/>
              <w:left w:val="single" w:sz="12" w:space="0" w:color="262626"/>
              <w:bottom w:val="single" w:sz="12" w:space="0" w:color="262626"/>
              <w:right w:val="single" w:sz="12" w:space="0" w:color="262626"/>
            </w:tcBorders>
            <w:shd w:val="clear" w:color="auto" w:fill="E6E6E6"/>
          </w:tcPr>
          <w:p w14:paraId="7027DC15" w14:textId="77777777" w:rsidR="000627C0" w:rsidRPr="00035759" w:rsidRDefault="000627C0" w:rsidP="003F39BA">
            <w:pPr>
              <w:spacing w:after="0"/>
              <w:jc w:val="center"/>
              <w:rPr>
                <w:rFonts w:ascii="Arial" w:hAnsi="Arial" w:cs="Arial"/>
                <w:sz w:val="20"/>
                <w:szCs w:val="20"/>
              </w:rPr>
            </w:pPr>
            <w:r w:rsidRPr="00035759">
              <w:rPr>
                <w:rFonts w:ascii="Arial" w:hAnsi="Arial" w:cs="Arial"/>
                <w:sz w:val="20"/>
                <w:szCs w:val="20"/>
              </w:rPr>
              <w:t xml:space="preserve">March </w:t>
            </w:r>
          </w:p>
          <w:p w14:paraId="4432FECD" w14:textId="77777777" w:rsidR="000627C0" w:rsidRPr="00035759" w:rsidRDefault="000627C0" w:rsidP="003F39BA">
            <w:pPr>
              <w:spacing w:after="0"/>
              <w:jc w:val="center"/>
              <w:rPr>
                <w:rFonts w:ascii="Arial" w:hAnsi="Arial" w:cs="Arial"/>
                <w:sz w:val="20"/>
                <w:szCs w:val="20"/>
              </w:rPr>
            </w:pPr>
            <w:r w:rsidRPr="00035759">
              <w:rPr>
                <w:rFonts w:ascii="Arial" w:hAnsi="Arial" w:cs="Arial"/>
                <w:sz w:val="20"/>
                <w:szCs w:val="20"/>
              </w:rPr>
              <w:t>2018</w:t>
            </w:r>
          </w:p>
        </w:tc>
        <w:tc>
          <w:tcPr>
            <w:tcW w:w="851" w:type="dxa"/>
            <w:tcBorders>
              <w:top w:val="single" w:sz="6" w:space="0" w:color="262626"/>
              <w:left w:val="single" w:sz="12" w:space="0" w:color="262626"/>
              <w:bottom w:val="single" w:sz="12" w:space="0" w:color="262626"/>
            </w:tcBorders>
            <w:shd w:val="clear" w:color="auto" w:fill="E6E6E6"/>
          </w:tcPr>
          <w:p w14:paraId="7365CAF9" w14:textId="77777777" w:rsidR="000627C0" w:rsidRPr="00035759" w:rsidRDefault="000627C0" w:rsidP="003F39BA">
            <w:pPr>
              <w:spacing w:after="0"/>
              <w:jc w:val="center"/>
              <w:rPr>
                <w:rFonts w:ascii="Arial" w:hAnsi="Arial" w:cs="Arial"/>
                <w:i/>
                <w:sz w:val="20"/>
                <w:szCs w:val="20"/>
              </w:rPr>
            </w:pPr>
            <w:r w:rsidRPr="00035759">
              <w:rPr>
                <w:rFonts w:ascii="Arial" w:hAnsi="Arial" w:cs="Arial"/>
                <w:i/>
                <w:sz w:val="20"/>
                <w:szCs w:val="20"/>
              </w:rPr>
              <w:t>May 2018</w:t>
            </w:r>
          </w:p>
        </w:tc>
        <w:tc>
          <w:tcPr>
            <w:tcW w:w="850" w:type="dxa"/>
            <w:tcBorders>
              <w:top w:val="single" w:sz="6" w:space="0" w:color="262626"/>
              <w:bottom w:val="single" w:sz="12" w:space="0" w:color="262626"/>
            </w:tcBorders>
            <w:shd w:val="clear" w:color="auto" w:fill="E6E6E6"/>
          </w:tcPr>
          <w:p w14:paraId="23289DC2" w14:textId="77777777" w:rsidR="000627C0" w:rsidRPr="00035759" w:rsidRDefault="000627C0" w:rsidP="003F39BA">
            <w:pPr>
              <w:spacing w:after="0"/>
              <w:jc w:val="center"/>
              <w:rPr>
                <w:rFonts w:ascii="Arial" w:hAnsi="Arial" w:cs="Arial"/>
                <w:i/>
                <w:sz w:val="20"/>
                <w:szCs w:val="20"/>
              </w:rPr>
            </w:pPr>
            <w:r w:rsidRPr="00035759">
              <w:rPr>
                <w:rFonts w:ascii="Arial" w:hAnsi="Arial" w:cs="Arial"/>
                <w:i/>
                <w:sz w:val="20"/>
                <w:szCs w:val="20"/>
              </w:rPr>
              <w:t>Nov 2018</w:t>
            </w:r>
          </w:p>
        </w:tc>
        <w:tc>
          <w:tcPr>
            <w:tcW w:w="851" w:type="dxa"/>
            <w:tcBorders>
              <w:top w:val="single" w:sz="6" w:space="0" w:color="262626"/>
              <w:bottom w:val="single" w:sz="12" w:space="0" w:color="262626"/>
            </w:tcBorders>
            <w:shd w:val="clear" w:color="auto" w:fill="E6E6E6"/>
          </w:tcPr>
          <w:p w14:paraId="6838D325" w14:textId="77777777" w:rsidR="000627C0" w:rsidRPr="00035759" w:rsidRDefault="000627C0" w:rsidP="003F39BA">
            <w:pPr>
              <w:spacing w:after="0"/>
              <w:jc w:val="center"/>
              <w:rPr>
                <w:rFonts w:ascii="Arial" w:hAnsi="Arial" w:cs="Arial"/>
                <w:i/>
                <w:sz w:val="20"/>
                <w:szCs w:val="20"/>
              </w:rPr>
            </w:pPr>
            <w:r w:rsidRPr="00035759">
              <w:rPr>
                <w:rFonts w:ascii="Arial" w:hAnsi="Arial" w:cs="Arial"/>
                <w:i/>
                <w:sz w:val="20"/>
                <w:szCs w:val="20"/>
              </w:rPr>
              <w:t>May 2019</w:t>
            </w:r>
          </w:p>
        </w:tc>
        <w:tc>
          <w:tcPr>
            <w:tcW w:w="850" w:type="dxa"/>
            <w:tcBorders>
              <w:top w:val="single" w:sz="6" w:space="0" w:color="262626"/>
              <w:bottom w:val="single" w:sz="12" w:space="0" w:color="262626"/>
            </w:tcBorders>
            <w:shd w:val="clear" w:color="auto" w:fill="E6E6E6"/>
          </w:tcPr>
          <w:p w14:paraId="67093111" w14:textId="77777777" w:rsidR="000627C0" w:rsidRPr="00035759" w:rsidRDefault="000627C0" w:rsidP="003F39BA">
            <w:pPr>
              <w:spacing w:after="0"/>
              <w:jc w:val="center"/>
              <w:rPr>
                <w:rFonts w:ascii="Arial" w:hAnsi="Arial" w:cs="Arial"/>
                <w:i/>
                <w:sz w:val="20"/>
                <w:szCs w:val="20"/>
              </w:rPr>
            </w:pPr>
            <w:r w:rsidRPr="00035759">
              <w:rPr>
                <w:rFonts w:ascii="Arial" w:hAnsi="Arial" w:cs="Arial"/>
                <w:i/>
                <w:sz w:val="20"/>
                <w:szCs w:val="20"/>
              </w:rPr>
              <w:t>Nov 2019</w:t>
            </w:r>
          </w:p>
        </w:tc>
        <w:tc>
          <w:tcPr>
            <w:tcW w:w="851" w:type="dxa"/>
            <w:tcBorders>
              <w:top w:val="single" w:sz="6" w:space="0" w:color="262626"/>
              <w:bottom w:val="single" w:sz="12" w:space="0" w:color="262626"/>
              <w:right w:val="single" w:sz="4" w:space="0" w:color="auto"/>
            </w:tcBorders>
            <w:shd w:val="clear" w:color="auto" w:fill="E6E6E6"/>
          </w:tcPr>
          <w:p w14:paraId="66AC5854" w14:textId="77777777" w:rsidR="000627C0" w:rsidRPr="00035759" w:rsidRDefault="000627C0" w:rsidP="003F39BA">
            <w:pPr>
              <w:spacing w:after="0"/>
              <w:jc w:val="center"/>
              <w:rPr>
                <w:rFonts w:ascii="Arial" w:hAnsi="Arial" w:cs="Arial"/>
                <w:i/>
                <w:sz w:val="20"/>
                <w:szCs w:val="20"/>
              </w:rPr>
            </w:pPr>
            <w:r w:rsidRPr="00035759">
              <w:rPr>
                <w:rFonts w:ascii="Arial" w:hAnsi="Arial" w:cs="Arial"/>
                <w:i/>
                <w:sz w:val="20"/>
                <w:szCs w:val="20"/>
              </w:rPr>
              <w:t>Jan 2020</w:t>
            </w:r>
          </w:p>
        </w:tc>
        <w:tc>
          <w:tcPr>
            <w:tcW w:w="850" w:type="dxa"/>
            <w:tcBorders>
              <w:top w:val="single" w:sz="6" w:space="0" w:color="262626"/>
              <w:left w:val="single" w:sz="4" w:space="0" w:color="auto"/>
              <w:bottom w:val="single" w:sz="12" w:space="0" w:color="262626"/>
              <w:right w:val="single" w:sz="4" w:space="0" w:color="auto"/>
            </w:tcBorders>
            <w:shd w:val="clear" w:color="auto" w:fill="E6E6E6"/>
          </w:tcPr>
          <w:p w14:paraId="7CC571B8" w14:textId="77777777" w:rsidR="000627C0" w:rsidRPr="00035759" w:rsidRDefault="000627C0" w:rsidP="003F39BA">
            <w:pPr>
              <w:spacing w:after="0"/>
              <w:jc w:val="center"/>
              <w:rPr>
                <w:rFonts w:ascii="Arial" w:hAnsi="Arial" w:cs="Arial"/>
                <w:i/>
                <w:sz w:val="20"/>
                <w:szCs w:val="20"/>
              </w:rPr>
            </w:pPr>
            <w:r w:rsidRPr="00035759">
              <w:rPr>
                <w:rFonts w:ascii="Arial" w:hAnsi="Arial" w:cs="Arial"/>
                <w:i/>
                <w:sz w:val="20"/>
                <w:szCs w:val="20"/>
              </w:rPr>
              <w:t>March 2020</w:t>
            </w:r>
          </w:p>
        </w:tc>
        <w:tc>
          <w:tcPr>
            <w:tcW w:w="709" w:type="dxa"/>
            <w:tcBorders>
              <w:top w:val="single" w:sz="6" w:space="0" w:color="262626"/>
              <w:left w:val="single" w:sz="12" w:space="0" w:color="auto"/>
              <w:bottom w:val="single" w:sz="12" w:space="0" w:color="262626"/>
              <w:right w:val="single" w:sz="12" w:space="0" w:color="auto"/>
            </w:tcBorders>
            <w:shd w:val="clear" w:color="auto" w:fill="E6E6E6"/>
          </w:tcPr>
          <w:p w14:paraId="3DA88C91" w14:textId="77777777" w:rsidR="000627C0" w:rsidRPr="00035759" w:rsidRDefault="000627C0" w:rsidP="003F39BA">
            <w:pPr>
              <w:spacing w:after="0"/>
              <w:jc w:val="center"/>
              <w:rPr>
                <w:rFonts w:ascii="Arial" w:hAnsi="Arial" w:cs="Arial"/>
                <w:i/>
                <w:sz w:val="20"/>
                <w:szCs w:val="20"/>
              </w:rPr>
            </w:pPr>
            <w:r>
              <w:rPr>
                <w:rFonts w:ascii="Arial" w:hAnsi="Arial" w:cs="Arial"/>
                <w:i/>
                <w:sz w:val="20"/>
                <w:szCs w:val="20"/>
              </w:rPr>
              <w:t>April 2020</w:t>
            </w:r>
          </w:p>
        </w:tc>
        <w:tc>
          <w:tcPr>
            <w:tcW w:w="850" w:type="dxa"/>
            <w:tcBorders>
              <w:top w:val="single" w:sz="6" w:space="0" w:color="262626"/>
              <w:left w:val="single" w:sz="12" w:space="0" w:color="auto"/>
              <w:bottom w:val="single" w:sz="12" w:space="0" w:color="262626"/>
              <w:right w:val="single" w:sz="12" w:space="0" w:color="auto"/>
            </w:tcBorders>
            <w:shd w:val="clear" w:color="auto" w:fill="E6E6E6"/>
          </w:tcPr>
          <w:p w14:paraId="06255FBC" w14:textId="77777777" w:rsidR="000627C0" w:rsidRPr="00035759" w:rsidRDefault="000627C0" w:rsidP="003F39BA">
            <w:pPr>
              <w:spacing w:after="0"/>
              <w:jc w:val="center"/>
              <w:rPr>
                <w:rFonts w:ascii="Arial" w:hAnsi="Arial" w:cs="Arial"/>
                <w:i/>
                <w:sz w:val="20"/>
                <w:szCs w:val="20"/>
              </w:rPr>
            </w:pPr>
            <w:r w:rsidRPr="00035759">
              <w:rPr>
                <w:rFonts w:ascii="Arial" w:hAnsi="Arial" w:cs="Arial"/>
                <w:i/>
                <w:sz w:val="20"/>
                <w:szCs w:val="20"/>
              </w:rPr>
              <w:t>June 2020</w:t>
            </w:r>
          </w:p>
        </w:tc>
        <w:tc>
          <w:tcPr>
            <w:tcW w:w="851" w:type="dxa"/>
            <w:tcBorders>
              <w:top w:val="single" w:sz="6" w:space="0" w:color="262626"/>
              <w:left w:val="single" w:sz="12" w:space="0" w:color="auto"/>
              <w:bottom w:val="single" w:sz="12" w:space="0" w:color="262626"/>
              <w:right w:val="single" w:sz="12" w:space="0" w:color="auto"/>
            </w:tcBorders>
            <w:shd w:val="clear" w:color="auto" w:fill="E6E6E6"/>
          </w:tcPr>
          <w:p w14:paraId="62D66698" w14:textId="77777777" w:rsidR="000627C0" w:rsidRPr="00035759" w:rsidRDefault="000627C0" w:rsidP="003F39BA">
            <w:pPr>
              <w:spacing w:after="0"/>
              <w:jc w:val="center"/>
              <w:rPr>
                <w:rFonts w:ascii="Arial" w:hAnsi="Arial" w:cs="Arial"/>
                <w:i/>
                <w:sz w:val="20"/>
                <w:szCs w:val="20"/>
              </w:rPr>
            </w:pPr>
            <w:r w:rsidRPr="00035759">
              <w:rPr>
                <w:rFonts w:ascii="Arial" w:hAnsi="Arial" w:cs="Arial"/>
                <w:i/>
                <w:sz w:val="20"/>
                <w:szCs w:val="20"/>
              </w:rPr>
              <w:t>Nov 2020</w:t>
            </w:r>
          </w:p>
        </w:tc>
        <w:tc>
          <w:tcPr>
            <w:tcW w:w="1276" w:type="dxa"/>
            <w:tcBorders>
              <w:top w:val="single" w:sz="6" w:space="0" w:color="262626"/>
              <w:left w:val="single" w:sz="12" w:space="0" w:color="auto"/>
              <w:bottom w:val="single" w:sz="12" w:space="0" w:color="262626"/>
              <w:right w:val="single" w:sz="8" w:space="0" w:color="262626"/>
            </w:tcBorders>
            <w:shd w:val="clear" w:color="auto" w:fill="E6E6E6"/>
          </w:tcPr>
          <w:p w14:paraId="562AB101" w14:textId="77777777" w:rsidR="000627C0" w:rsidRPr="00035759" w:rsidRDefault="000627C0" w:rsidP="003F39BA">
            <w:pPr>
              <w:spacing w:after="0"/>
              <w:jc w:val="center"/>
              <w:rPr>
                <w:rFonts w:ascii="Arial" w:hAnsi="Arial" w:cs="Arial"/>
                <w:i/>
                <w:sz w:val="20"/>
                <w:szCs w:val="20"/>
              </w:rPr>
            </w:pPr>
            <w:r w:rsidRPr="00035759">
              <w:rPr>
                <w:rFonts w:ascii="Arial" w:hAnsi="Arial" w:cs="Arial"/>
                <w:i/>
                <w:sz w:val="20"/>
                <w:szCs w:val="20"/>
              </w:rPr>
              <w:t xml:space="preserve">Dec </w:t>
            </w:r>
          </w:p>
          <w:p w14:paraId="3ED560C2" w14:textId="77777777" w:rsidR="000627C0" w:rsidRPr="00035759" w:rsidRDefault="000627C0" w:rsidP="003F39BA">
            <w:pPr>
              <w:spacing w:after="0"/>
              <w:jc w:val="center"/>
              <w:rPr>
                <w:rFonts w:ascii="Arial" w:hAnsi="Arial" w:cs="Arial"/>
                <w:i/>
                <w:sz w:val="20"/>
                <w:szCs w:val="20"/>
              </w:rPr>
            </w:pPr>
            <w:r w:rsidRPr="00035759">
              <w:rPr>
                <w:rFonts w:ascii="Arial" w:hAnsi="Arial" w:cs="Arial"/>
                <w:i/>
                <w:sz w:val="20"/>
                <w:szCs w:val="20"/>
              </w:rPr>
              <w:t>2020</w:t>
            </w:r>
          </w:p>
        </w:tc>
      </w:tr>
      <w:tr w:rsidR="000627C0" w:rsidRPr="00035759" w14:paraId="11489B5C" w14:textId="77777777" w:rsidTr="003F39BA">
        <w:trPr>
          <w:trHeight w:val="63"/>
        </w:trPr>
        <w:tc>
          <w:tcPr>
            <w:tcW w:w="3539" w:type="dxa"/>
            <w:tcBorders>
              <w:top w:val="double" w:sz="12" w:space="0" w:color="262626"/>
              <w:bottom w:val="nil"/>
              <w:right w:val="single" w:sz="12" w:space="0" w:color="auto"/>
            </w:tcBorders>
            <w:shd w:val="clear" w:color="auto" w:fill="auto"/>
          </w:tcPr>
          <w:p w14:paraId="30E3842B" w14:textId="77777777" w:rsidR="000627C0" w:rsidRPr="00035759" w:rsidRDefault="000627C0" w:rsidP="003F39BA">
            <w:pPr>
              <w:spacing w:after="0"/>
              <w:jc w:val="right"/>
              <w:rPr>
                <w:rFonts w:ascii="Arial" w:hAnsi="Arial" w:cs="Arial"/>
                <w:b/>
                <w:bCs/>
                <w:sz w:val="20"/>
                <w:szCs w:val="20"/>
              </w:rPr>
            </w:pPr>
            <w:r w:rsidRPr="00035759">
              <w:rPr>
                <w:rFonts w:ascii="Arial" w:hAnsi="Arial" w:cs="Arial"/>
                <w:b/>
                <w:bCs/>
                <w:sz w:val="20"/>
                <w:szCs w:val="20"/>
              </w:rPr>
              <w:t>ENROLMENT:</w:t>
            </w:r>
          </w:p>
        </w:tc>
        <w:tc>
          <w:tcPr>
            <w:tcW w:w="1559" w:type="dxa"/>
            <w:tcBorders>
              <w:top w:val="double" w:sz="12" w:space="0" w:color="262626"/>
              <w:left w:val="single" w:sz="12" w:space="0" w:color="auto"/>
              <w:right w:val="single" w:sz="12" w:space="0" w:color="262626"/>
            </w:tcBorders>
            <w:shd w:val="clear" w:color="auto" w:fill="auto"/>
          </w:tcPr>
          <w:p w14:paraId="2352228A" w14:textId="77777777" w:rsidR="000627C0" w:rsidRPr="00035759" w:rsidRDefault="000627C0" w:rsidP="003F39BA">
            <w:pPr>
              <w:spacing w:after="0"/>
              <w:jc w:val="center"/>
              <w:rPr>
                <w:rFonts w:ascii="Arial" w:hAnsi="Arial" w:cs="Arial"/>
                <w:sz w:val="20"/>
                <w:szCs w:val="20"/>
              </w:rPr>
            </w:pPr>
          </w:p>
        </w:tc>
        <w:tc>
          <w:tcPr>
            <w:tcW w:w="1276" w:type="dxa"/>
            <w:tcBorders>
              <w:top w:val="double" w:sz="12" w:space="0" w:color="262626"/>
              <w:left w:val="single" w:sz="12" w:space="0" w:color="262626"/>
              <w:right w:val="single" w:sz="12" w:space="0" w:color="262626"/>
            </w:tcBorders>
            <w:shd w:val="clear" w:color="auto" w:fill="auto"/>
          </w:tcPr>
          <w:p w14:paraId="2103D576" w14:textId="77777777" w:rsidR="000627C0" w:rsidRPr="00035759" w:rsidRDefault="000627C0" w:rsidP="003F39BA">
            <w:pPr>
              <w:spacing w:after="0"/>
              <w:jc w:val="center"/>
              <w:rPr>
                <w:rFonts w:ascii="Arial" w:hAnsi="Arial" w:cs="Arial"/>
                <w:sz w:val="20"/>
                <w:szCs w:val="20"/>
              </w:rPr>
            </w:pPr>
          </w:p>
        </w:tc>
        <w:tc>
          <w:tcPr>
            <w:tcW w:w="851" w:type="dxa"/>
            <w:tcBorders>
              <w:top w:val="double" w:sz="12" w:space="0" w:color="262626"/>
              <w:left w:val="single" w:sz="12" w:space="0" w:color="262626"/>
            </w:tcBorders>
            <w:shd w:val="clear" w:color="auto" w:fill="auto"/>
          </w:tcPr>
          <w:p w14:paraId="2B20D4BA" w14:textId="77777777" w:rsidR="000627C0" w:rsidRPr="00035759" w:rsidRDefault="000627C0" w:rsidP="003F39BA">
            <w:pPr>
              <w:spacing w:after="0"/>
              <w:jc w:val="center"/>
              <w:rPr>
                <w:rFonts w:ascii="Arial" w:hAnsi="Arial" w:cs="Arial"/>
                <w:sz w:val="20"/>
                <w:szCs w:val="20"/>
              </w:rPr>
            </w:pPr>
          </w:p>
        </w:tc>
        <w:tc>
          <w:tcPr>
            <w:tcW w:w="850" w:type="dxa"/>
            <w:tcBorders>
              <w:top w:val="double" w:sz="12" w:space="0" w:color="262626"/>
            </w:tcBorders>
            <w:shd w:val="clear" w:color="auto" w:fill="auto"/>
          </w:tcPr>
          <w:p w14:paraId="258DBAA4" w14:textId="77777777" w:rsidR="000627C0" w:rsidRPr="00035759" w:rsidRDefault="000627C0" w:rsidP="003F39BA">
            <w:pPr>
              <w:spacing w:after="0"/>
              <w:jc w:val="center"/>
              <w:rPr>
                <w:rFonts w:ascii="Arial" w:hAnsi="Arial" w:cs="Arial"/>
                <w:sz w:val="20"/>
                <w:szCs w:val="20"/>
              </w:rPr>
            </w:pPr>
          </w:p>
        </w:tc>
        <w:tc>
          <w:tcPr>
            <w:tcW w:w="851" w:type="dxa"/>
            <w:tcBorders>
              <w:top w:val="double" w:sz="12" w:space="0" w:color="262626"/>
            </w:tcBorders>
            <w:shd w:val="clear" w:color="auto" w:fill="auto"/>
          </w:tcPr>
          <w:p w14:paraId="493DDB9A" w14:textId="77777777" w:rsidR="000627C0" w:rsidRPr="00035759" w:rsidRDefault="000627C0" w:rsidP="003F39BA">
            <w:pPr>
              <w:spacing w:after="0"/>
              <w:jc w:val="center"/>
              <w:rPr>
                <w:rFonts w:ascii="Arial" w:hAnsi="Arial" w:cs="Arial"/>
                <w:sz w:val="20"/>
                <w:szCs w:val="20"/>
              </w:rPr>
            </w:pPr>
          </w:p>
        </w:tc>
        <w:tc>
          <w:tcPr>
            <w:tcW w:w="850" w:type="dxa"/>
            <w:tcBorders>
              <w:top w:val="double" w:sz="12" w:space="0" w:color="262626"/>
            </w:tcBorders>
            <w:shd w:val="clear" w:color="auto" w:fill="auto"/>
          </w:tcPr>
          <w:p w14:paraId="651E7B5C" w14:textId="77777777" w:rsidR="000627C0" w:rsidRPr="00035759" w:rsidRDefault="000627C0" w:rsidP="003F39BA">
            <w:pPr>
              <w:spacing w:after="0"/>
              <w:jc w:val="center"/>
              <w:rPr>
                <w:rFonts w:ascii="Arial" w:hAnsi="Arial" w:cs="Arial"/>
                <w:sz w:val="20"/>
                <w:szCs w:val="20"/>
              </w:rPr>
            </w:pPr>
          </w:p>
        </w:tc>
        <w:tc>
          <w:tcPr>
            <w:tcW w:w="851" w:type="dxa"/>
            <w:tcBorders>
              <w:top w:val="double" w:sz="12" w:space="0" w:color="262626"/>
              <w:right w:val="single" w:sz="4" w:space="0" w:color="auto"/>
            </w:tcBorders>
          </w:tcPr>
          <w:p w14:paraId="5D6F5F26" w14:textId="77777777" w:rsidR="000627C0" w:rsidRPr="00035759" w:rsidRDefault="000627C0" w:rsidP="003F39BA">
            <w:pPr>
              <w:spacing w:after="0"/>
              <w:jc w:val="center"/>
              <w:rPr>
                <w:rFonts w:ascii="Arial" w:hAnsi="Arial" w:cs="Arial"/>
                <w:sz w:val="20"/>
                <w:szCs w:val="20"/>
              </w:rPr>
            </w:pPr>
          </w:p>
        </w:tc>
        <w:tc>
          <w:tcPr>
            <w:tcW w:w="850" w:type="dxa"/>
            <w:tcBorders>
              <w:top w:val="double" w:sz="12" w:space="0" w:color="262626"/>
              <w:left w:val="single" w:sz="4" w:space="0" w:color="auto"/>
              <w:right w:val="single" w:sz="4" w:space="0" w:color="auto"/>
            </w:tcBorders>
          </w:tcPr>
          <w:p w14:paraId="14A20FC5" w14:textId="77777777" w:rsidR="000627C0" w:rsidRPr="00035759" w:rsidRDefault="000627C0" w:rsidP="003F39BA">
            <w:pPr>
              <w:spacing w:after="0"/>
              <w:jc w:val="center"/>
              <w:rPr>
                <w:rFonts w:ascii="Arial" w:hAnsi="Arial" w:cs="Arial"/>
                <w:sz w:val="20"/>
                <w:szCs w:val="20"/>
              </w:rPr>
            </w:pPr>
          </w:p>
        </w:tc>
        <w:tc>
          <w:tcPr>
            <w:tcW w:w="709" w:type="dxa"/>
            <w:tcBorders>
              <w:top w:val="double" w:sz="12" w:space="0" w:color="262626"/>
              <w:left w:val="single" w:sz="12" w:space="0" w:color="auto"/>
              <w:right w:val="single" w:sz="12" w:space="0" w:color="auto"/>
            </w:tcBorders>
          </w:tcPr>
          <w:p w14:paraId="2843BFAD" w14:textId="77777777" w:rsidR="000627C0" w:rsidRPr="00035759" w:rsidRDefault="000627C0" w:rsidP="003F39BA">
            <w:pPr>
              <w:spacing w:after="0"/>
              <w:jc w:val="center"/>
              <w:rPr>
                <w:rFonts w:ascii="Arial" w:hAnsi="Arial" w:cs="Arial"/>
                <w:sz w:val="20"/>
                <w:szCs w:val="20"/>
              </w:rPr>
            </w:pPr>
          </w:p>
        </w:tc>
        <w:tc>
          <w:tcPr>
            <w:tcW w:w="850" w:type="dxa"/>
            <w:tcBorders>
              <w:top w:val="double" w:sz="12" w:space="0" w:color="262626"/>
              <w:left w:val="single" w:sz="12" w:space="0" w:color="auto"/>
              <w:right w:val="single" w:sz="12" w:space="0" w:color="auto"/>
            </w:tcBorders>
          </w:tcPr>
          <w:p w14:paraId="4A1D11C9" w14:textId="77777777" w:rsidR="000627C0" w:rsidRPr="00035759" w:rsidRDefault="000627C0" w:rsidP="003F39BA">
            <w:pPr>
              <w:spacing w:after="0"/>
              <w:jc w:val="center"/>
              <w:rPr>
                <w:rFonts w:ascii="Arial" w:hAnsi="Arial" w:cs="Arial"/>
                <w:sz w:val="20"/>
                <w:szCs w:val="20"/>
              </w:rPr>
            </w:pPr>
          </w:p>
        </w:tc>
        <w:tc>
          <w:tcPr>
            <w:tcW w:w="851" w:type="dxa"/>
            <w:tcBorders>
              <w:top w:val="double" w:sz="12" w:space="0" w:color="262626"/>
              <w:left w:val="single" w:sz="12" w:space="0" w:color="auto"/>
              <w:right w:val="single" w:sz="12" w:space="0" w:color="auto"/>
            </w:tcBorders>
          </w:tcPr>
          <w:p w14:paraId="58401FDD" w14:textId="77777777" w:rsidR="000627C0" w:rsidRPr="00035759" w:rsidRDefault="000627C0" w:rsidP="003F39BA">
            <w:pPr>
              <w:spacing w:after="0"/>
              <w:jc w:val="center"/>
              <w:rPr>
                <w:rFonts w:ascii="Arial" w:hAnsi="Arial" w:cs="Arial"/>
                <w:sz w:val="20"/>
                <w:szCs w:val="20"/>
              </w:rPr>
            </w:pPr>
          </w:p>
        </w:tc>
        <w:tc>
          <w:tcPr>
            <w:tcW w:w="1276" w:type="dxa"/>
            <w:tcBorders>
              <w:top w:val="double" w:sz="12" w:space="0" w:color="262626"/>
              <w:left w:val="single" w:sz="12" w:space="0" w:color="auto"/>
              <w:right w:val="single" w:sz="8" w:space="0" w:color="262626"/>
            </w:tcBorders>
            <w:shd w:val="clear" w:color="auto" w:fill="auto"/>
          </w:tcPr>
          <w:p w14:paraId="2F1344F1" w14:textId="77777777" w:rsidR="000627C0" w:rsidRPr="00035759" w:rsidRDefault="000627C0" w:rsidP="003F39BA">
            <w:pPr>
              <w:spacing w:after="0"/>
              <w:jc w:val="center"/>
              <w:rPr>
                <w:rFonts w:ascii="Arial" w:hAnsi="Arial" w:cs="Arial"/>
                <w:sz w:val="20"/>
                <w:szCs w:val="20"/>
              </w:rPr>
            </w:pPr>
          </w:p>
        </w:tc>
      </w:tr>
      <w:tr w:rsidR="000627C0" w:rsidRPr="00035759" w14:paraId="7E305604" w14:textId="77777777" w:rsidTr="003F39BA">
        <w:trPr>
          <w:trHeight w:val="109"/>
        </w:trPr>
        <w:tc>
          <w:tcPr>
            <w:tcW w:w="3539" w:type="dxa"/>
            <w:tcBorders>
              <w:top w:val="nil"/>
              <w:bottom w:val="nil"/>
              <w:right w:val="single" w:sz="12" w:space="0" w:color="auto"/>
            </w:tcBorders>
            <w:shd w:val="clear" w:color="auto" w:fill="auto"/>
          </w:tcPr>
          <w:p w14:paraId="297CC8AD" w14:textId="77777777" w:rsidR="000627C0" w:rsidRPr="00035759" w:rsidRDefault="000627C0" w:rsidP="003F39BA">
            <w:pPr>
              <w:spacing w:after="0"/>
              <w:jc w:val="right"/>
              <w:rPr>
                <w:rFonts w:ascii="Arial" w:hAnsi="Arial" w:cs="Arial"/>
                <w:bCs/>
                <w:sz w:val="20"/>
                <w:szCs w:val="20"/>
              </w:rPr>
            </w:pPr>
            <w:r w:rsidRPr="00035759">
              <w:rPr>
                <w:rFonts w:ascii="Arial" w:hAnsi="Arial" w:cs="Arial"/>
                <w:bCs/>
                <w:sz w:val="20"/>
                <w:szCs w:val="20"/>
              </w:rPr>
              <w:t>Eligibility screen</w:t>
            </w:r>
          </w:p>
        </w:tc>
        <w:tc>
          <w:tcPr>
            <w:tcW w:w="1559" w:type="dxa"/>
            <w:tcBorders>
              <w:left w:val="single" w:sz="12" w:space="0" w:color="auto"/>
              <w:right w:val="single" w:sz="12" w:space="0" w:color="262626"/>
            </w:tcBorders>
            <w:shd w:val="clear" w:color="auto" w:fill="auto"/>
          </w:tcPr>
          <w:p w14:paraId="332B6DCA" w14:textId="77777777" w:rsidR="000627C0" w:rsidRPr="00035759" w:rsidRDefault="000627C0" w:rsidP="003F39BA">
            <w:pPr>
              <w:spacing w:after="0"/>
              <w:jc w:val="center"/>
              <w:rPr>
                <w:rFonts w:ascii="Arial" w:hAnsi="Arial" w:cs="Arial"/>
                <w:sz w:val="20"/>
                <w:szCs w:val="20"/>
              </w:rPr>
            </w:pPr>
            <w:r w:rsidRPr="00035759">
              <w:rPr>
                <w:rFonts w:ascii="Arial" w:hAnsi="Arial" w:cs="Arial"/>
                <w:sz w:val="20"/>
                <w:szCs w:val="20"/>
              </w:rPr>
              <w:t>X</w:t>
            </w:r>
          </w:p>
        </w:tc>
        <w:tc>
          <w:tcPr>
            <w:tcW w:w="1276" w:type="dxa"/>
            <w:tcBorders>
              <w:left w:val="single" w:sz="12" w:space="0" w:color="262626"/>
              <w:right w:val="single" w:sz="12" w:space="0" w:color="262626"/>
            </w:tcBorders>
            <w:shd w:val="clear" w:color="auto" w:fill="auto"/>
          </w:tcPr>
          <w:p w14:paraId="241FA92A" w14:textId="77777777" w:rsidR="000627C0" w:rsidRPr="00035759" w:rsidRDefault="000627C0" w:rsidP="003F39BA">
            <w:pPr>
              <w:spacing w:after="0"/>
              <w:jc w:val="center"/>
              <w:rPr>
                <w:rFonts w:ascii="Arial" w:hAnsi="Arial" w:cs="Arial"/>
                <w:sz w:val="20"/>
                <w:szCs w:val="20"/>
              </w:rPr>
            </w:pPr>
          </w:p>
        </w:tc>
        <w:tc>
          <w:tcPr>
            <w:tcW w:w="851" w:type="dxa"/>
            <w:tcBorders>
              <w:left w:val="single" w:sz="12" w:space="0" w:color="262626"/>
            </w:tcBorders>
            <w:shd w:val="clear" w:color="auto" w:fill="auto"/>
          </w:tcPr>
          <w:p w14:paraId="6DA96E5F" w14:textId="77777777" w:rsidR="000627C0" w:rsidRPr="00035759" w:rsidRDefault="000627C0" w:rsidP="003F39BA">
            <w:pPr>
              <w:spacing w:after="0"/>
              <w:jc w:val="center"/>
              <w:rPr>
                <w:rFonts w:ascii="Arial" w:hAnsi="Arial" w:cs="Arial"/>
                <w:sz w:val="20"/>
                <w:szCs w:val="20"/>
              </w:rPr>
            </w:pPr>
          </w:p>
        </w:tc>
        <w:tc>
          <w:tcPr>
            <w:tcW w:w="850" w:type="dxa"/>
            <w:shd w:val="clear" w:color="auto" w:fill="auto"/>
          </w:tcPr>
          <w:p w14:paraId="17FC229B" w14:textId="77777777" w:rsidR="000627C0" w:rsidRPr="00035759" w:rsidRDefault="000627C0" w:rsidP="003F39BA">
            <w:pPr>
              <w:spacing w:after="0"/>
              <w:jc w:val="center"/>
              <w:rPr>
                <w:rFonts w:ascii="Arial" w:hAnsi="Arial" w:cs="Arial"/>
                <w:sz w:val="20"/>
                <w:szCs w:val="20"/>
              </w:rPr>
            </w:pPr>
          </w:p>
        </w:tc>
        <w:tc>
          <w:tcPr>
            <w:tcW w:w="851" w:type="dxa"/>
            <w:shd w:val="clear" w:color="auto" w:fill="auto"/>
          </w:tcPr>
          <w:p w14:paraId="3EC863F5" w14:textId="77777777" w:rsidR="000627C0" w:rsidRPr="00035759" w:rsidRDefault="000627C0" w:rsidP="003F39BA">
            <w:pPr>
              <w:spacing w:after="0"/>
              <w:jc w:val="center"/>
              <w:rPr>
                <w:rFonts w:ascii="Arial" w:hAnsi="Arial" w:cs="Arial"/>
                <w:sz w:val="20"/>
                <w:szCs w:val="20"/>
              </w:rPr>
            </w:pPr>
          </w:p>
        </w:tc>
        <w:tc>
          <w:tcPr>
            <w:tcW w:w="850" w:type="dxa"/>
            <w:shd w:val="clear" w:color="auto" w:fill="auto"/>
          </w:tcPr>
          <w:p w14:paraId="28AF8B11" w14:textId="77777777" w:rsidR="000627C0" w:rsidRPr="00035759" w:rsidRDefault="000627C0" w:rsidP="003F39BA">
            <w:pPr>
              <w:spacing w:after="0"/>
              <w:jc w:val="center"/>
              <w:rPr>
                <w:rFonts w:ascii="Arial" w:hAnsi="Arial" w:cs="Arial"/>
                <w:sz w:val="20"/>
                <w:szCs w:val="20"/>
              </w:rPr>
            </w:pPr>
          </w:p>
        </w:tc>
        <w:tc>
          <w:tcPr>
            <w:tcW w:w="851" w:type="dxa"/>
            <w:tcBorders>
              <w:right w:val="single" w:sz="4" w:space="0" w:color="auto"/>
            </w:tcBorders>
          </w:tcPr>
          <w:p w14:paraId="7176D594" w14:textId="77777777" w:rsidR="000627C0" w:rsidRPr="00035759" w:rsidRDefault="000627C0" w:rsidP="003F39BA">
            <w:pPr>
              <w:spacing w:after="0"/>
              <w:jc w:val="center"/>
              <w:rPr>
                <w:rFonts w:ascii="Arial" w:hAnsi="Arial" w:cs="Arial"/>
                <w:sz w:val="20"/>
                <w:szCs w:val="20"/>
              </w:rPr>
            </w:pPr>
          </w:p>
        </w:tc>
        <w:tc>
          <w:tcPr>
            <w:tcW w:w="850" w:type="dxa"/>
            <w:tcBorders>
              <w:left w:val="single" w:sz="4" w:space="0" w:color="auto"/>
              <w:right w:val="single" w:sz="4" w:space="0" w:color="auto"/>
            </w:tcBorders>
          </w:tcPr>
          <w:p w14:paraId="76EC76C3" w14:textId="77777777" w:rsidR="000627C0" w:rsidRPr="00035759" w:rsidRDefault="000627C0" w:rsidP="003F39BA">
            <w:pPr>
              <w:spacing w:after="0"/>
              <w:jc w:val="center"/>
              <w:rPr>
                <w:rFonts w:ascii="Arial" w:hAnsi="Arial" w:cs="Arial"/>
                <w:sz w:val="20"/>
                <w:szCs w:val="20"/>
              </w:rPr>
            </w:pPr>
          </w:p>
        </w:tc>
        <w:tc>
          <w:tcPr>
            <w:tcW w:w="709" w:type="dxa"/>
            <w:tcBorders>
              <w:left w:val="single" w:sz="12" w:space="0" w:color="auto"/>
              <w:right w:val="single" w:sz="12" w:space="0" w:color="auto"/>
            </w:tcBorders>
          </w:tcPr>
          <w:p w14:paraId="68951B89" w14:textId="77777777" w:rsidR="000627C0" w:rsidRPr="00035759" w:rsidRDefault="000627C0" w:rsidP="003F39BA">
            <w:pPr>
              <w:spacing w:after="0"/>
              <w:jc w:val="center"/>
              <w:rPr>
                <w:rFonts w:ascii="Arial" w:hAnsi="Arial" w:cs="Arial"/>
                <w:sz w:val="20"/>
                <w:szCs w:val="20"/>
              </w:rPr>
            </w:pPr>
          </w:p>
        </w:tc>
        <w:tc>
          <w:tcPr>
            <w:tcW w:w="850" w:type="dxa"/>
            <w:tcBorders>
              <w:left w:val="single" w:sz="12" w:space="0" w:color="auto"/>
              <w:right w:val="single" w:sz="12" w:space="0" w:color="auto"/>
            </w:tcBorders>
          </w:tcPr>
          <w:p w14:paraId="3B4E4AFC" w14:textId="77777777" w:rsidR="000627C0" w:rsidRPr="00035759" w:rsidRDefault="000627C0" w:rsidP="003F39BA">
            <w:pPr>
              <w:spacing w:after="0"/>
              <w:jc w:val="center"/>
              <w:rPr>
                <w:rFonts w:ascii="Arial" w:hAnsi="Arial" w:cs="Arial"/>
                <w:sz w:val="20"/>
                <w:szCs w:val="20"/>
              </w:rPr>
            </w:pPr>
          </w:p>
        </w:tc>
        <w:tc>
          <w:tcPr>
            <w:tcW w:w="851" w:type="dxa"/>
            <w:tcBorders>
              <w:left w:val="single" w:sz="12" w:space="0" w:color="auto"/>
              <w:right w:val="single" w:sz="12" w:space="0" w:color="auto"/>
            </w:tcBorders>
          </w:tcPr>
          <w:p w14:paraId="459F74D2" w14:textId="77777777" w:rsidR="000627C0" w:rsidRPr="00035759" w:rsidRDefault="000627C0" w:rsidP="003F39BA">
            <w:pPr>
              <w:spacing w:after="0"/>
              <w:jc w:val="center"/>
              <w:rPr>
                <w:rFonts w:ascii="Arial" w:hAnsi="Arial" w:cs="Arial"/>
                <w:sz w:val="20"/>
                <w:szCs w:val="20"/>
              </w:rPr>
            </w:pPr>
          </w:p>
        </w:tc>
        <w:tc>
          <w:tcPr>
            <w:tcW w:w="1276" w:type="dxa"/>
            <w:tcBorders>
              <w:left w:val="single" w:sz="12" w:space="0" w:color="auto"/>
              <w:right w:val="single" w:sz="8" w:space="0" w:color="262626"/>
            </w:tcBorders>
            <w:shd w:val="clear" w:color="auto" w:fill="auto"/>
          </w:tcPr>
          <w:p w14:paraId="11517CE0" w14:textId="77777777" w:rsidR="000627C0" w:rsidRPr="00035759" w:rsidRDefault="000627C0" w:rsidP="003F39BA">
            <w:pPr>
              <w:spacing w:after="0"/>
              <w:jc w:val="center"/>
              <w:rPr>
                <w:rFonts w:ascii="Arial" w:hAnsi="Arial" w:cs="Arial"/>
                <w:sz w:val="20"/>
                <w:szCs w:val="20"/>
              </w:rPr>
            </w:pPr>
          </w:p>
        </w:tc>
      </w:tr>
      <w:tr w:rsidR="000627C0" w:rsidRPr="00035759" w14:paraId="73871B19" w14:textId="77777777" w:rsidTr="003F39BA">
        <w:trPr>
          <w:trHeight w:val="58"/>
        </w:trPr>
        <w:tc>
          <w:tcPr>
            <w:tcW w:w="3539" w:type="dxa"/>
            <w:tcBorders>
              <w:top w:val="nil"/>
              <w:bottom w:val="nil"/>
              <w:right w:val="single" w:sz="12" w:space="0" w:color="auto"/>
            </w:tcBorders>
            <w:shd w:val="clear" w:color="auto" w:fill="auto"/>
          </w:tcPr>
          <w:p w14:paraId="1F60E3F2" w14:textId="77777777" w:rsidR="000627C0" w:rsidRPr="00035759" w:rsidRDefault="000627C0" w:rsidP="003F39BA">
            <w:pPr>
              <w:spacing w:after="0"/>
              <w:jc w:val="right"/>
              <w:rPr>
                <w:rFonts w:ascii="Arial" w:hAnsi="Arial" w:cs="Arial"/>
                <w:bCs/>
                <w:sz w:val="20"/>
                <w:szCs w:val="20"/>
              </w:rPr>
            </w:pPr>
            <w:r w:rsidRPr="00035759">
              <w:rPr>
                <w:rFonts w:ascii="Arial" w:hAnsi="Arial" w:cs="Arial"/>
                <w:bCs/>
                <w:sz w:val="20"/>
                <w:szCs w:val="20"/>
              </w:rPr>
              <w:t>Informed consent</w:t>
            </w:r>
            <w:r w:rsidRPr="00035759" w:rsidDel="003C5F28">
              <w:rPr>
                <w:rFonts w:ascii="Arial" w:hAnsi="Arial" w:cs="Arial"/>
                <w:bCs/>
                <w:sz w:val="20"/>
                <w:szCs w:val="20"/>
              </w:rPr>
              <w:t xml:space="preserve"> </w:t>
            </w:r>
          </w:p>
        </w:tc>
        <w:tc>
          <w:tcPr>
            <w:tcW w:w="1559" w:type="dxa"/>
            <w:tcBorders>
              <w:left w:val="single" w:sz="12" w:space="0" w:color="auto"/>
              <w:bottom w:val="single" w:sz="6" w:space="0" w:color="262626"/>
              <w:right w:val="single" w:sz="12" w:space="0" w:color="262626"/>
            </w:tcBorders>
            <w:shd w:val="clear" w:color="auto" w:fill="auto"/>
          </w:tcPr>
          <w:p w14:paraId="63158491" w14:textId="77777777" w:rsidR="000627C0" w:rsidRPr="00035759" w:rsidRDefault="000627C0" w:rsidP="003F39BA">
            <w:pPr>
              <w:spacing w:after="0"/>
              <w:jc w:val="center"/>
              <w:rPr>
                <w:rFonts w:ascii="Arial" w:hAnsi="Arial" w:cs="Arial"/>
                <w:sz w:val="20"/>
                <w:szCs w:val="20"/>
              </w:rPr>
            </w:pPr>
            <w:r w:rsidRPr="00035759">
              <w:rPr>
                <w:rFonts w:ascii="Arial" w:hAnsi="Arial" w:cs="Arial"/>
                <w:sz w:val="20"/>
                <w:szCs w:val="20"/>
              </w:rPr>
              <w:t>X</w:t>
            </w:r>
          </w:p>
        </w:tc>
        <w:tc>
          <w:tcPr>
            <w:tcW w:w="1276" w:type="dxa"/>
            <w:tcBorders>
              <w:left w:val="single" w:sz="12" w:space="0" w:color="262626"/>
              <w:bottom w:val="single" w:sz="6" w:space="0" w:color="262626"/>
              <w:right w:val="single" w:sz="12" w:space="0" w:color="262626"/>
            </w:tcBorders>
            <w:shd w:val="clear" w:color="auto" w:fill="auto"/>
          </w:tcPr>
          <w:p w14:paraId="4B8B9DB8" w14:textId="77777777" w:rsidR="000627C0" w:rsidRPr="00035759" w:rsidRDefault="000627C0" w:rsidP="003F39BA">
            <w:pPr>
              <w:spacing w:after="0"/>
              <w:jc w:val="center"/>
              <w:rPr>
                <w:rFonts w:ascii="Arial" w:hAnsi="Arial" w:cs="Arial"/>
                <w:sz w:val="20"/>
                <w:szCs w:val="20"/>
              </w:rPr>
            </w:pPr>
          </w:p>
        </w:tc>
        <w:tc>
          <w:tcPr>
            <w:tcW w:w="851" w:type="dxa"/>
            <w:tcBorders>
              <w:left w:val="single" w:sz="12" w:space="0" w:color="262626"/>
              <w:bottom w:val="single" w:sz="6" w:space="0" w:color="262626"/>
            </w:tcBorders>
            <w:shd w:val="clear" w:color="auto" w:fill="auto"/>
          </w:tcPr>
          <w:p w14:paraId="462E7D07" w14:textId="77777777" w:rsidR="000627C0" w:rsidRPr="00035759" w:rsidRDefault="000627C0" w:rsidP="003F39BA">
            <w:pPr>
              <w:spacing w:after="0"/>
              <w:jc w:val="center"/>
              <w:rPr>
                <w:rFonts w:ascii="Arial" w:hAnsi="Arial" w:cs="Arial"/>
                <w:sz w:val="20"/>
                <w:szCs w:val="20"/>
              </w:rPr>
            </w:pPr>
          </w:p>
        </w:tc>
        <w:tc>
          <w:tcPr>
            <w:tcW w:w="850" w:type="dxa"/>
            <w:tcBorders>
              <w:bottom w:val="single" w:sz="6" w:space="0" w:color="262626"/>
            </w:tcBorders>
            <w:shd w:val="clear" w:color="auto" w:fill="auto"/>
          </w:tcPr>
          <w:p w14:paraId="007F3F94" w14:textId="77777777" w:rsidR="000627C0" w:rsidRPr="00035759" w:rsidRDefault="000627C0" w:rsidP="003F39BA">
            <w:pPr>
              <w:spacing w:after="0"/>
              <w:jc w:val="center"/>
              <w:rPr>
                <w:rFonts w:ascii="Arial" w:hAnsi="Arial" w:cs="Arial"/>
                <w:sz w:val="20"/>
                <w:szCs w:val="20"/>
              </w:rPr>
            </w:pPr>
          </w:p>
        </w:tc>
        <w:tc>
          <w:tcPr>
            <w:tcW w:w="851" w:type="dxa"/>
            <w:tcBorders>
              <w:bottom w:val="single" w:sz="6" w:space="0" w:color="262626"/>
            </w:tcBorders>
            <w:shd w:val="clear" w:color="auto" w:fill="auto"/>
          </w:tcPr>
          <w:p w14:paraId="2CB6AF90" w14:textId="77777777" w:rsidR="000627C0" w:rsidRPr="00035759" w:rsidRDefault="000627C0" w:rsidP="003F39BA">
            <w:pPr>
              <w:spacing w:after="0"/>
              <w:jc w:val="center"/>
              <w:rPr>
                <w:rFonts w:ascii="Arial" w:hAnsi="Arial" w:cs="Arial"/>
                <w:sz w:val="20"/>
                <w:szCs w:val="20"/>
              </w:rPr>
            </w:pPr>
          </w:p>
        </w:tc>
        <w:tc>
          <w:tcPr>
            <w:tcW w:w="850" w:type="dxa"/>
            <w:tcBorders>
              <w:bottom w:val="single" w:sz="6" w:space="0" w:color="262626"/>
            </w:tcBorders>
            <w:shd w:val="clear" w:color="auto" w:fill="auto"/>
          </w:tcPr>
          <w:p w14:paraId="7779F3E3" w14:textId="77777777" w:rsidR="000627C0" w:rsidRPr="00035759" w:rsidRDefault="000627C0" w:rsidP="003F39BA">
            <w:pPr>
              <w:spacing w:after="0"/>
              <w:jc w:val="center"/>
              <w:rPr>
                <w:rFonts w:ascii="Arial" w:hAnsi="Arial" w:cs="Arial"/>
                <w:sz w:val="20"/>
                <w:szCs w:val="20"/>
              </w:rPr>
            </w:pPr>
          </w:p>
        </w:tc>
        <w:tc>
          <w:tcPr>
            <w:tcW w:w="851" w:type="dxa"/>
            <w:tcBorders>
              <w:bottom w:val="single" w:sz="6" w:space="0" w:color="262626"/>
              <w:right w:val="single" w:sz="4" w:space="0" w:color="auto"/>
            </w:tcBorders>
          </w:tcPr>
          <w:p w14:paraId="1C8E493C" w14:textId="77777777" w:rsidR="000627C0" w:rsidRPr="00035759" w:rsidRDefault="000627C0" w:rsidP="003F39BA">
            <w:pPr>
              <w:spacing w:after="0"/>
              <w:jc w:val="center"/>
              <w:rPr>
                <w:rFonts w:ascii="Arial" w:hAnsi="Arial" w:cs="Arial"/>
                <w:sz w:val="20"/>
                <w:szCs w:val="20"/>
              </w:rPr>
            </w:pPr>
          </w:p>
        </w:tc>
        <w:tc>
          <w:tcPr>
            <w:tcW w:w="850" w:type="dxa"/>
            <w:tcBorders>
              <w:left w:val="single" w:sz="4" w:space="0" w:color="auto"/>
              <w:bottom w:val="single" w:sz="6" w:space="0" w:color="262626"/>
              <w:right w:val="single" w:sz="4" w:space="0" w:color="auto"/>
            </w:tcBorders>
          </w:tcPr>
          <w:p w14:paraId="199C451C" w14:textId="77777777" w:rsidR="000627C0" w:rsidRPr="00035759" w:rsidRDefault="000627C0" w:rsidP="003F39BA">
            <w:pPr>
              <w:spacing w:after="0"/>
              <w:jc w:val="center"/>
              <w:rPr>
                <w:rFonts w:ascii="Arial" w:hAnsi="Arial" w:cs="Arial"/>
                <w:sz w:val="20"/>
                <w:szCs w:val="20"/>
              </w:rPr>
            </w:pPr>
          </w:p>
        </w:tc>
        <w:tc>
          <w:tcPr>
            <w:tcW w:w="709" w:type="dxa"/>
            <w:tcBorders>
              <w:left w:val="single" w:sz="12" w:space="0" w:color="auto"/>
              <w:bottom w:val="single" w:sz="6" w:space="0" w:color="262626"/>
              <w:right w:val="single" w:sz="12" w:space="0" w:color="auto"/>
            </w:tcBorders>
          </w:tcPr>
          <w:p w14:paraId="1B14137F" w14:textId="77777777" w:rsidR="000627C0" w:rsidRPr="00035759" w:rsidRDefault="000627C0" w:rsidP="003F39BA">
            <w:pPr>
              <w:spacing w:after="0"/>
              <w:jc w:val="center"/>
              <w:rPr>
                <w:rFonts w:ascii="Arial" w:hAnsi="Arial" w:cs="Arial"/>
                <w:sz w:val="20"/>
                <w:szCs w:val="20"/>
              </w:rPr>
            </w:pPr>
          </w:p>
        </w:tc>
        <w:tc>
          <w:tcPr>
            <w:tcW w:w="850" w:type="dxa"/>
            <w:tcBorders>
              <w:left w:val="single" w:sz="12" w:space="0" w:color="auto"/>
              <w:bottom w:val="single" w:sz="6" w:space="0" w:color="262626"/>
              <w:right w:val="single" w:sz="12" w:space="0" w:color="auto"/>
            </w:tcBorders>
          </w:tcPr>
          <w:p w14:paraId="6C3CBE2F" w14:textId="77777777" w:rsidR="000627C0" w:rsidRPr="00035759" w:rsidRDefault="000627C0" w:rsidP="003F39BA">
            <w:pPr>
              <w:spacing w:after="0"/>
              <w:jc w:val="center"/>
              <w:rPr>
                <w:rFonts w:ascii="Arial" w:hAnsi="Arial" w:cs="Arial"/>
                <w:sz w:val="20"/>
                <w:szCs w:val="20"/>
              </w:rPr>
            </w:pPr>
          </w:p>
        </w:tc>
        <w:tc>
          <w:tcPr>
            <w:tcW w:w="851" w:type="dxa"/>
            <w:tcBorders>
              <w:left w:val="single" w:sz="12" w:space="0" w:color="auto"/>
              <w:bottom w:val="single" w:sz="6" w:space="0" w:color="262626"/>
              <w:right w:val="single" w:sz="12" w:space="0" w:color="auto"/>
            </w:tcBorders>
          </w:tcPr>
          <w:p w14:paraId="7159031D" w14:textId="77777777" w:rsidR="000627C0" w:rsidRPr="00035759" w:rsidRDefault="000627C0" w:rsidP="003F39BA">
            <w:pPr>
              <w:spacing w:after="0"/>
              <w:jc w:val="center"/>
              <w:rPr>
                <w:rFonts w:ascii="Arial" w:hAnsi="Arial" w:cs="Arial"/>
                <w:sz w:val="20"/>
                <w:szCs w:val="20"/>
              </w:rPr>
            </w:pPr>
          </w:p>
        </w:tc>
        <w:tc>
          <w:tcPr>
            <w:tcW w:w="1276" w:type="dxa"/>
            <w:tcBorders>
              <w:left w:val="single" w:sz="12" w:space="0" w:color="auto"/>
              <w:bottom w:val="single" w:sz="6" w:space="0" w:color="262626"/>
              <w:right w:val="single" w:sz="8" w:space="0" w:color="262626"/>
            </w:tcBorders>
            <w:shd w:val="clear" w:color="auto" w:fill="auto"/>
          </w:tcPr>
          <w:p w14:paraId="7ED95B0E" w14:textId="77777777" w:rsidR="000627C0" w:rsidRPr="00035759" w:rsidRDefault="000627C0" w:rsidP="003F39BA">
            <w:pPr>
              <w:spacing w:after="0"/>
              <w:jc w:val="center"/>
              <w:rPr>
                <w:rFonts w:ascii="Arial" w:hAnsi="Arial" w:cs="Arial"/>
                <w:sz w:val="20"/>
                <w:szCs w:val="20"/>
              </w:rPr>
            </w:pPr>
          </w:p>
        </w:tc>
      </w:tr>
      <w:tr w:rsidR="000627C0" w:rsidRPr="00035759" w14:paraId="40EEE1F3" w14:textId="77777777" w:rsidTr="003F39BA">
        <w:trPr>
          <w:trHeight w:val="150"/>
        </w:trPr>
        <w:tc>
          <w:tcPr>
            <w:tcW w:w="3539" w:type="dxa"/>
            <w:tcBorders>
              <w:top w:val="nil"/>
              <w:bottom w:val="single" w:sz="12" w:space="0" w:color="262626"/>
              <w:right w:val="single" w:sz="12" w:space="0" w:color="auto"/>
            </w:tcBorders>
            <w:shd w:val="clear" w:color="auto" w:fill="auto"/>
          </w:tcPr>
          <w:p w14:paraId="21278765" w14:textId="77777777" w:rsidR="000627C0" w:rsidRPr="00035759" w:rsidRDefault="000627C0" w:rsidP="003F39BA">
            <w:pPr>
              <w:spacing w:after="0"/>
              <w:jc w:val="right"/>
              <w:rPr>
                <w:rFonts w:ascii="Arial" w:hAnsi="Arial" w:cs="Arial"/>
                <w:bCs/>
                <w:sz w:val="20"/>
                <w:szCs w:val="20"/>
              </w:rPr>
            </w:pPr>
            <w:r w:rsidRPr="00035759">
              <w:rPr>
                <w:rFonts w:ascii="Arial" w:hAnsi="Arial" w:cs="Arial"/>
                <w:bCs/>
                <w:sz w:val="20"/>
                <w:szCs w:val="20"/>
              </w:rPr>
              <w:t>Randomisation and allocation</w:t>
            </w:r>
          </w:p>
        </w:tc>
        <w:tc>
          <w:tcPr>
            <w:tcW w:w="1559" w:type="dxa"/>
            <w:tcBorders>
              <w:top w:val="single" w:sz="6" w:space="0" w:color="262626"/>
              <w:left w:val="single" w:sz="12" w:space="0" w:color="auto"/>
              <w:bottom w:val="single" w:sz="12" w:space="0" w:color="262626"/>
              <w:right w:val="single" w:sz="12" w:space="0" w:color="262626"/>
            </w:tcBorders>
            <w:shd w:val="clear" w:color="auto" w:fill="auto"/>
          </w:tcPr>
          <w:p w14:paraId="0481E42B" w14:textId="77777777" w:rsidR="000627C0" w:rsidRPr="00035759" w:rsidRDefault="000627C0" w:rsidP="003F39BA">
            <w:pPr>
              <w:spacing w:after="0"/>
              <w:jc w:val="center"/>
              <w:rPr>
                <w:rFonts w:ascii="Arial" w:hAnsi="Arial" w:cs="Arial"/>
                <w:sz w:val="20"/>
                <w:szCs w:val="20"/>
              </w:rPr>
            </w:pPr>
          </w:p>
        </w:tc>
        <w:tc>
          <w:tcPr>
            <w:tcW w:w="1276" w:type="dxa"/>
            <w:tcBorders>
              <w:top w:val="single" w:sz="6" w:space="0" w:color="262626"/>
              <w:left w:val="single" w:sz="12" w:space="0" w:color="262626"/>
              <w:bottom w:val="single" w:sz="12" w:space="0" w:color="262626"/>
              <w:right w:val="single" w:sz="12" w:space="0" w:color="262626"/>
            </w:tcBorders>
            <w:shd w:val="clear" w:color="auto" w:fill="auto"/>
          </w:tcPr>
          <w:p w14:paraId="061AFB20" w14:textId="77777777" w:rsidR="000627C0" w:rsidRPr="00035759" w:rsidRDefault="000627C0" w:rsidP="003F39BA">
            <w:pPr>
              <w:spacing w:after="0"/>
              <w:jc w:val="center"/>
              <w:rPr>
                <w:rFonts w:ascii="Arial" w:hAnsi="Arial" w:cs="Arial"/>
                <w:sz w:val="20"/>
                <w:szCs w:val="20"/>
              </w:rPr>
            </w:pPr>
            <w:r w:rsidRPr="00035759">
              <w:rPr>
                <w:rFonts w:ascii="Arial" w:hAnsi="Arial" w:cs="Arial"/>
                <w:sz w:val="20"/>
                <w:szCs w:val="20"/>
              </w:rPr>
              <w:t>X</w:t>
            </w:r>
          </w:p>
        </w:tc>
        <w:tc>
          <w:tcPr>
            <w:tcW w:w="851" w:type="dxa"/>
            <w:tcBorders>
              <w:top w:val="single" w:sz="6" w:space="0" w:color="262626"/>
              <w:left w:val="single" w:sz="12" w:space="0" w:color="262626"/>
              <w:bottom w:val="single" w:sz="12" w:space="0" w:color="262626"/>
            </w:tcBorders>
            <w:shd w:val="clear" w:color="auto" w:fill="auto"/>
          </w:tcPr>
          <w:p w14:paraId="5420A243" w14:textId="77777777" w:rsidR="000627C0" w:rsidRPr="00035759" w:rsidRDefault="000627C0" w:rsidP="003F39BA">
            <w:pPr>
              <w:spacing w:after="0"/>
              <w:jc w:val="center"/>
              <w:rPr>
                <w:rFonts w:ascii="Arial" w:hAnsi="Arial" w:cs="Arial"/>
                <w:sz w:val="20"/>
                <w:szCs w:val="20"/>
              </w:rPr>
            </w:pPr>
          </w:p>
        </w:tc>
        <w:tc>
          <w:tcPr>
            <w:tcW w:w="850" w:type="dxa"/>
            <w:tcBorders>
              <w:top w:val="single" w:sz="6" w:space="0" w:color="262626"/>
              <w:bottom w:val="single" w:sz="12" w:space="0" w:color="262626"/>
            </w:tcBorders>
            <w:shd w:val="clear" w:color="auto" w:fill="auto"/>
          </w:tcPr>
          <w:p w14:paraId="02FDC18E" w14:textId="77777777" w:rsidR="000627C0" w:rsidRPr="00035759" w:rsidRDefault="000627C0" w:rsidP="003F39BA">
            <w:pPr>
              <w:spacing w:after="0"/>
              <w:jc w:val="center"/>
              <w:rPr>
                <w:rFonts w:ascii="Arial" w:hAnsi="Arial" w:cs="Arial"/>
                <w:sz w:val="20"/>
                <w:szCs w:val="20"/>
              </w:rPr>
            </w:pPr>
          </w:p>
        </w:tc>
        <w:tc>
          <w:tcPr>
            <w:tcW w:w="851" w:type="dxa"/>
            <w:tcBorders>
              <w:top w:val="single" w:sz="6" w:space="0" w:color="262626"/>
              <w:bottom w:val="single" w:sz="12" w:space="0" w:color="262626"/>
            </w:tcBorders>
            <w:shd w:val="clear" w:color="auto" w:fill="auto"/>
          </w:tcPr>
          <w:p w14:paraId="5BF71690" w14:textId="77777777" w:rsidR="000627C0" w:rsidRPr="00035759" w:rsidRDefault="000627C0" w:rsidP="003F39BA">
            <w:pPr>
              <w:spacing w:after="0"/>
              <w:jc w:val="center"/>
              <w:rPr>
                <w:rFonts w:ascii="Arial" w:hAnsi="Arial" w:cs="Arial"/>
                <w:sz w:val="20"/>
                <w:szCs w:val="20"/>
              </w:rPr>
            </w:pPr>
          </w:p>
        </w:tc>
        <w:tc>
          <w:tcPr>
            <w:tcW w:w="850" w:type="dxa"/>
            <w:tcBorders>
              <w:top w:val="single" w:sz="6" w:space="0" w:color="262626"/>
              <w:bottom w:val="single" w:sz="12" w:space="0" w:color="262626"/>
            </w:tcBorders>
            <w:shd w:val="clear" w:color="auto" w:fill="auto"/>
          </w:tcPr>
          <w:p w14:paraId="31297213" w14:textId="77777777" w:rsidR="000627C0" w:rsidRPr="00035759" w:rsidRDefault="000627C0" w:rsidP="003F39BA">
            <w:pPr>
              <w:spacing w:after="0"/>
              <w:jc w:val="center"/>
              <w:rPr>
                <w:rFonts w:ascii="Arial" w:hAnsi="Arial" w:cs="Arial"/>
                <w:sz w:val="20"/>
                <w:szCs w:val="20"/>
              </w:rPr>
            </w:pPr>
          </w:p>
        </w:tc>
        <w:tc>
          <w:tcPr>
            <w:tcW w:w="851" w:type="dxa"/>
            <w:tcBorders>
              <w:top w:val="single" w:sz="6" w:space="0" w:color="262626"/>
              <w:bottom w:val="single" w:sz="12" w:space="0" w:color="262626"/>
              <w:right w:val="single" w:sz="4" w:space="0" w:color="auto"/>
            </w:tcBorders>
          </w:tcPr>
          <w:p w14:paraId="1E0A12A1" w14:textId="77777777" w:rsidR="000627C0" w:rsidRPr="00035759" w:rsidRDefault="000627C0" w:rsidP="003F39BA">
            <w:pPr>
              <w:spacing w:after="0"/>
              <w:jc w:val="center"/>
              <w:rPr>
                <w:rFonts w:ascii="Arial" w:hAnsi="Arial" w:cs="Arial"/>
                <w:sz w:val="20"/>
                <w:szCs w:val="20"/>
              </w:rPr>
            </w:pPr>
          </w:p>
        </w:tc>
        <w:tc>
          <w:tcPr>
            <w:tcW w:w="850" w:type="dxa"/>
            <w:tcBorders>
              <w:top w:val="single" w:sz="6" w:space="0" w:color="262626"/>
              <w:left w:val="single" w:sz="4" w:space="0" w:color="auto"/>
              <w:bottom w:val="single" w:sz="12" w:space="0" w:color="262626"/>
              <w:right w:val="single" w:sz="4" w:space="0" w:color="auto"/>
            </w:tcBorders>
          </w:tcPr>
          <w:p w14:paraId="03796829" w14:textId="77777777" w:rsidR="000627C0" w:rsidRPr="00035759" w:rsidRDefault="000627C0" w:rsidP="003F39BA">
            <w:pPr>
              <w:spacing w:after="0"/>
              <w:jc w:val="center"/>
              <w:rPr>
                <w:rFonts w:ascii="Arial" w:hAnsi="Arial" w:cs="Arial"/>
                <w:sz w:val="20"/>
                <w:szCs w:val="20"/>
              </w:rPr>
            </w:pPr>
          </w:p>
        </w:tc>
        <w:tc>
          <w:tcPr>
            <w:tcW w:w="709" w:type="dxa"/>
            <w:tcBorders>
              <w:top w:val="single" w:sz="6" w:space="0" w:color="262626"/>
              <w:left w:val="single" w:sz="12" w:space="0" w:color="auto"/>
              <w:bottom w:val="single" w:sz="12" w:space="0" w:color="262626"/>
              <w:right w:val="single" w:sz="12" w:space="0" w:color="auto"/>
            </w:tcBorders>
          </w:tcPr>
          <w:p w14:paraId="639D8CD0" w14:textId="77777777" w:rsidR="000627C0" w:rsidRPr="00035759" w:rsidRDefault="000627C0" w:rsidP="003F39BA">
            <w:pPr>
              <w:spacing w:after="0"/>
              <w:jc w:val="center"/>
              <w:rPr>
                <w:rFonts w:ascii="Arial" w:hAnsi="Arial" w:cs="Arial"/>
                <w:sz w:val="20"/>
                <w:szCs w:val="20"/>
              </w:rPr>
            </w:pPr>
          </w:p>
        </w:tc>
        <w:tc>
          <w:tcPr>
            <w:tcW w:w="850" w:type="dxa"/>
            <w:tcBorders>
              <w:top w:val="single" w:sz="6" w:space="0" w:color="262626"/>
              <w:left w:val="single" w:sz="12" w:space="0" w:color="auto"/>
              <w:bottom w:val="single" w:sz="12" w:space="0" w:color="262626"/>
              <w:right w:val="single" w:sz="12" w:space="0" w:color="auto"/>
            </w:tcBorders>
          </w:tcPr>
          <w:p w14:paraId="2E2FEFF0" w14:textId="77777777" w:rsidR="000627C0" w:rsidRPr="00035759" w:rsidRDefault="000627C0" w:rsidP="003F39BA">
            <w:pPr>
              <w:spacing w:after="0"/>
              <w:jc w:val="center"/>
              <w:rPr>
                <w:rFonts w:ascii="Arial" w:hAnsi="Arial" w:cs="Arial"/>
                <w:sz w:val="20"/>
                <w:szCs w:val="20"/>
              </w:rPr>
            </w:pPr>
          </w:p>
        </w:tc>
        <w:tc>
          <w:tcPr>
            <w:tcW w:w="851" w:type="dxa"/>
            <w:tcBorders>
              <w:top w:val="single" w:sz="6" w:space="0" w:color="262626"/>
              <w:left w:val="single" w:sz="12" w:space="0" w:color="auto"/>
              <w:bottom w:val="single" w:sz="12" w:space="0" w:color="262626"/>
              <w:right w:val="single" w:sz="12" w:space="0" w:color="auto"/>
            </w:tcBorders>
          </w:tcPr>
          <w:p w14:paraId="0014A501" w14:textId="77777777" w:rsidR="000627C0" w:rsidRPr="00035759" w:rsidRDefault="000627C0" w:rsidP="003F39BA">
            <w:pPr>
              <w:spacing w:after="0"/>
              <w:jc w:val="center"/>
              <w:rPr>
                <w:rFonts w:ascii="Arial" w:hAnsi="Arial" w:cs="Arial"/>
                <w:sz w:val="20"/>
                <w:szCs w:val="20"/>
              </w:rPr>
            </w:pPr>
          </w:p>
        </w:tc>
        <w:tc>
          <w:tcPr>
            <w:tcW w:w="1276" w:type="dxa"/>
            <w:tcBorders>
              <w:top w:val="single" w:sz="6" w:space="0" w:color="262626"/>
              <w:left w:val="single" w:sz="12" w:space="0" w:color="auto"/>
              <w:bottom w:val="single" w:sz="12" w:space="0" w:color="262626"/>
              <w:right w:val="single" w:sz="8" w:space="0" w:color="262626"/>
            </w:tcBorders>
            <w:shd w:val="clear" w:color="auto" w:fill="auto"/>
          </w:tcPr>
          <w:p w14:paraId="330AD089" w14:textId="77777777" w:rsidR="000627C0" w:rsidRPr="00035759" w:rsidRDefault="000627C0" w:rsidP="003F39BA">
            <w:pPr>
              <w:spacing w:after="0"/>
              <w:jc w:val="center"/>
              <w:rPr>
                <w:rFonts w:ascii="Arial" w:hAnsi="Arial" w:cs="Arial"/>
                <w:sz w:val="20"/>
                <w:szCs w:val="20"/>
              </w:rPr>
            </w:pPr>
          </w:p>
        </w:tc>
      </w:tr>
      <w:tr w:rsidR="000627C0" w:rsidRPr="00035759" w14:paraId="4BE2339D" w14:textId="77777777" w:rsidTr="003F39BA">
        <w:trPr>
          <w:trHeight w:val="43"/>
        </w:trPr>
        <w:tc>
          <w:tcPr>
            <w:tcW w:w="3539" w:type="dxa"/>
            <w:tcBorders>
              <w:top w:val="single" w:sz="12" w:space="0" w:color="262626"/>
              <w:bottom w:val="nil"/>
              <w:right w:val="single" w:sz="12" w:space="0" w:color="auto"/>
            </w:tcBorders>
            <w:shd w:val="clear" w:color="auto" w:fill="auto"/>
          </w:tcPr>
          <w:p w14:paraId="275F0803" w14:textId="77777777" w:rsidR="000627C0" w:rsidRPr="00035759" w:rsidRDefault="000627C0" w:rsidP="003F39BA">
            <w:pPr>
              <w:spacing w:after="0"/>
              <w:jc w:val="right"/>
              <w:rPr>
                <w:rFonts w:ascii="Arial" w:hAnsi="Arial" w:cs="Arial"/>
                <w:b/>
                <w:bCs/>
                <w:sz w:val="20"/>
                <w:szCs w:val="20"/>
              </w:rPr>
            </w:pPr>
            <w:r w:rsidRPr="00035759">
              <w:rPr>
                <w:rFonts w:ascii="Arial" w:hAnsi="Arial" w:cs="Arial"/>
                <w:b/>
                <w:bCs/>
                <w:sz w:val="20"/>
                <w:szCs w:val="20"/>
              </w:rPr>
              <w:t>INTERVENTIONS:</w:t>
            </w:r>
          </w:p>
        </w:tc>
        <w:tc>
          <w:tcPr>
            <w:tcW w:w="1559" w:type="dxa"/>
            <w:tcBorders>
              <w:top w:val="single" w:sz="12" w:space="0" w:color="262626"/>
              <w:left w:val="single" w:sz="12" w:space="0" w:color="auto"/>
              <w:right w:val="single" w:sz="12" w:space="0" w:color="262626"/>
            </w:tcBorders>
            <w:shd w:val="clear" w:color="auto" w:fill="auto"/>
          </w:tcPr>
          <w:p w14:paraId="03C321AD" w14:textId="77777777" w:rsidR="000627C0" w:rsidRPr="00035759" w:rsidRDefault="000627C0" w:rsidP="003F39BA">
            <w:pPr>
              <w:spacing w:after="0"/>
              <w:jc w:val="center"/>
              <w:rPr>
                <w:rFonts w:ascii="Arial" w:hAnsi="Arial" w:cs="Arial"/>
                <w:sz w:val="20"/>
                <w:szCs w:val="20"/>
              </w:rPr>
            </w:pPr>
          </w:p>
        </w:tc>
        <w:tc>
          <w:tcPr>
            <w:tcW w:w="1276" w:type="dxa"/>
            <w:tcBorders>
              <w:top w:val="single" w:sz="12" w:space="0" w:color="262626"/>
              <w:left w:val="single" w:sz="12" w:space="0" w:color="262626"/>
              <w:right w:val="single" w:sz="12" w:space="0" w:color="262626"/>
            </w:tcBorders>
            <w:shd w:val="clear" w:color="auto" w:fill="auto"/>
          </w:tcPr>
          <w:p w14:paraId="6FEFA15E" w14:textId="77777777" w:rsidR="000627C0" w:rsidRPr="00035759" w:rsidRDefault="000627C0" w:rsidP="003F39BA">
            <w:pPr>
              <w:spacing w:after="0"/>
              <w:jc w:val="center"/>
              <w:rPr>
                <w:rFonts w:ascii="Arial" w:hAnsi="Arial" w:cs="Arial"/>
                <w:sz w:val="20"/>
                <w:szCs w:val="20"/>
              </w:rPr>
            </w:pPr>
          </w:p>
        </w:tc>
        <w:tc>
          <w:tcPr>
            <w:tcW w:w="851" w:type="dxa"/>
            <w:tcBorders>
              <w:top w:val="single" w:sz="12" w:space="0" w:color="262626"/>
              <w:left w:val="single" w:sz="12" w:space="0" w:color="262626"/>
              <w:bottom w:val="single" w:sz="6" w:space="0" w:color="262626"/>
            </w:tcBorders>
            <w:shd w:val="clear" w:color="auto" w:fill="auto"/>
          </w:tcPr>
          <w:p w14:paraId="570E83D7" w14:textId="77777777" w:rsidR="000627C0" w:rsidRPr="00035759" w:rsidRDefault="000627C0" w:rsidP="003F39BA">
            <w:pPr>
              <w:spacing w:after="0"/>
              <w:jc w:val="center"/>
              <w:rPr>
                <w:rFonts w:ascii="Arial" w:hAnsi="Arial" w:cs="Arial"/>
                <w:sz w:val="20"/>
                <w:szCs w:val="20"/>
              </w:rPr>
            </w:pPr>
          </w:p>
        </w:tc>
        <w:tc>
          <w:tcPr>
            <w:tcW w:w="850" w:type="dxa"/>
            <w:tcBorders>
              <w:top w:val="single" w:sz="12" w:space="0" w:color="262626"/>
              <w:bottom w:val="single" w:sz="6" w:space="0" w:color="262626"/>
            </w:tcBorders>
            <w:shd w:val="clear" w:color="auto" w:fill="auto"/>
          </w:tcPr>
          <w:p w14:paraId="62E4B023" w14:textId="77777777" w:rsidR="000627C0" w:rsidRPr="00035759" w:rsidRDefault="000627C0" w:rsidP="003F39BA">
            <w:pPr>
              <w:spacing w:after="0"/>
              <w:jc w:val="center"/>
              <w:rPr>
                <w:rFonts w:ascii="Arial" w:hAnsi="Arial" w:cs="Arial"/>
                <w:sz w:val="20"/>
                <w:szCs w:val="20"/>
              </w:rPr>
            </w:pPr>
          </w:p>
        </w:tc>
        <w:tc>
          <w:tcPr>
            <w:tcW w:w="851" w:type="dxa"/>
            <w:tcBorders>
              <w:top w:val="single" w:sz="12" w:space="0" w:color="262626"/>
              <w:bottom w:val="single" w:sz="6" w:space="0" w:color="262626"/>
            </w:tcBorders>
            <w:shd w:val="clear" w:color="auto" w:fill="auto"/>
          </w:tcPr>
          <w:p w14:paraId="7A46112B" w14:textId="77777777" w:rsidR="000627C0" w:rsidRPr="00035759" w:rsidRDefault="000627C0" w:rsidP="003F39BA">
            <w:pPr>
              <w:spacing w:after="0"/>
              <w:jc w:val="center"/>
              <w:rPr>
                <w:rFonts w:ascii="Arial" w:hAnsi="Arial" w:cs="Arial"/>
                <w:sz w:val="20"/>
                <w:szCs w:val="20"/>
              </w:rPr>
            </w:pPr>
          </w:p>
        </w:tc>
        <w:tc>
          <w:tcPr>
            <w:tcW w:w="850" w:type="dxa"/>
            <w:tcBorders>
              <w:top w:val="single" w:sz="12" w:space="0" w:color="262626"/>
              <w:bottom w:val="single" w:sz="6" w:space="0" w:color="262626"/>
            </w:tcBorders>
            <w:shd w:val="clear" w:color="auto" w:fill="auto"/>
          </w:tcPr>
          <w:p w14:paraId="6D0D9262" w14:textId="77777777" w:rsidR="000627C0" w:rsidRPr="00035759" w:rsidRDefault="000627C0" w:rsidP="003F39BA">
            <w:pPr>
              <w:spacing w:after="0"/>
              <w:jc w:val="center"/>
              <w:rPr>
                <w:rFonts w:ascii="Arial" w:hAnsi="Arial" w:cs="Arial"/>
                <w:sz w:val="20"/>
                <w:szCs w:val="20"/>
              </w:rPr>
            </w:pPr>
          </w:p>
        </w:tc>
        <w:tc>
          <w:tcPr>
            <w:tcW w:w="851" w:type="dxa"/>
            <w:tcBorders>
              <w:top w:val="single" w:sz="12" w:space="0" w:color="262626"/>
              <w:bottom w:val="single" w:sz="6" w:space="0" w:color="262626"/>
              <w:right w:val="single" w:sz="4" w:space="0" w:color="auto"/>
            </w:tcBorders>
          </w:tcPr>
          <w:p w14:paraId="3CB5ABDE" w14:textId="77777777" w:rsidR="000627C0" w:rsidRPr="00035759" w:rsidRDefault="000627C0" w:rsidP="003F39BA">
            <w:pPr>
              <w:spacing w:after="0"/>
              <w:jc w:val="center"/>
              <w:rPr>
                <w:rFonts w:ascii="Arial" w:hAnsi="Arial" w:cs="Arial"/>
                <w:sz w:val="20"/>
                <w:szCs w:val="20"/>
              </w:rPr>
            </w:pPr>
          </w:p>
        </w:tc>
        <w:tc>
          <w:tcPr>
            <w:tcW w:w="850" w:type="dxa"/>
            <w:tcBorders>
              <w:top w:val="single" w:sz="12" w:space="0" w:color="262626"/>
              <w:left w:val="single" w:sz="4" w:space="0" w:color="auto"/>
              <w:bottom w:val="single" w:sz="6" w:space="0" w:color="262626"/>
              <w:right w:val="single" w:sz="4" w:space="0" w:color="auto"/>
            </w:tcBorders>
          </w:tcPr>
          <w:p w14:paraId="208F3DA4" w14:textId="77777777" w:rsidR="000627C0" w:rsidRPr="00035759" w:rsidRDefault="000627C0" w:rsidP="003F39BA">
            <w:pPr>
              <w:spacing w:after="0"/>
              <w:jc w:val="center"/>
              <w:rPr>
                <w:rFonts w:ascii="Arial" w:hAnsi="Arial" w:cs="Arial"/>
                <w:sz w:val="20"/>
                <w:szCs w:val="20"/>
              </w:rPr>
            </w:pPr>
          </w:p>
        </w:tc>
        <w:tc>
          <w:tcPr>
            <w:tcW w:w="709" w:type="dxa"/>
            <w:tcBorders>
              <w:top w:val="single" w:sz="12" w:space="0" w:color="262626"/>
              <w:left w:val="single" w:sz="12" w:space="0" w:color="auto"/>
              <w:right w:val="single" w:sz="12" w:space="0" w:color="auto"/>
            </w:tcBorders>
          </w:tcPr>
          <w:p w14:paraId="323C75D3" w14:textId="77777777" w:rsidR="000627C0" w:rsidRPr="00035759" w:rsidRDefault="000627C0" w:rsidP="003F39BA">
            <w:pPr>
              <w:spacing w:after="0"/>
              <w:jc w:val="center"/>
              <w:rPr>
                <w:rFonts w:ascii="Arial" w:hAnsi="Arial" w:cs="Arial"/>
                <w:sz w:val="20"/>
                <w:szCs w:val="20"/>
              </w:rPr>
            </w:pPr>
          </w:p>
        </w:tc>
        <w:tc>
          <w:tcPr>
            <w:tcW w:w="850" w:type="dxa"/>
            <w:tcBorders>
              <w:top w:val="single" w:sz="12" w:space="0" w:color="262626"/>
              <w:left w:val="single" w:sz="12" w:space="0" w:color="auto"/>
              <w:right w:val="single" w:sz="12" w:space="0" w:color="auto"/>
            </w:tcBorders>
          </w:tcPr>
          <w:p w14:paraId="5480F0CC" w14:textId="77777777" w:rsidR="000627C0" w:rsidRPr="00035759" w:rsidRDefault="000627C0" w:rsidP="003F39BA">
            <w:pPr>
              <w:spacing w:after="0"/>
              <w:jc w:val="center"/>
              <w:rPr>
                <w:rFonts w:ascii="Arial" w:hAnsi="Arial" w:cs="Arial"/>
                <w:sz w:val="20"/>
                <w:szCs w:val="20"/>
              </w:rPr>
            </w:pPr>
          </w:p>
        </w:tc>
        <w:tc>
          <w:tcPr>
            <w:tcW w:w="851" w:type="dxa"/>
            <w:tcBorders>
              <w:top w:val="single" w:sz="12" w:space="0" w:color="262626"/>
              <w:left w:val="single" w:sz="12" w:space="0" w:color="auto"/>
              <w:right w:val="single" w:sz="12" w:space="0" w:color="auto"/>
            </w:tcBorders>
          </w:tcPr>
          <w:p w14:paraId="71A2B772" w14:textId="77777777" w:rsidR="000627C0" w:rsidRPr="00035759" w:rsidRDefault="000627C0" w:rsidP="003F39BA">
            <w:pPr>
              <w:spacing w:after="0"/>
              <w:jc w:val="center"/>
              <w:rPr>
                <w:rFonts w:ascii="Arial" w:hAnsi="Arial" w:cs="Arial"/>
                <w:sz w:val="20"/>
                <w:szCs w:val="20"/>
              </w:rPr>
            </w:pPr>
          </w:p>
        </w:tc>
        <w:tc>
          <w:tcPr>
            <w:tcW w:w="1276" w:type="dxa"/>
            <w:tcBorders>
              <w:top w:val="single" w:sz="12" w:space="0" w:color="262626"/>
              <w:left w:val="single" w:sz="12" w:space="0" w:color="auto"/>
              <w:right w:val="single" w:sz="8" w:space="0" w:color="262626"/>
            </w:tcBorders>
            <w:shd w:val="clear" w:color="auto" w:fill="auto"/>
          </w:tcPr>
          <w:p w14:paraId="0A647B7D" w14:textId="77777777" w:rsidR="000627C0" w:rsidRPr="00035759" w:rsidRDefault="000627C0" w:rsidP="003F39BA">
            <w:pPr>
              <w:spacing w:after="0"/>
              <w:jc w:val="center"/>
              <w:rPr>
                <w:rFonts w:ascii="Arial" w:hAnsi="Arial" w:cs="Arial"/>
                <w:sz w:val="20"/>
                <w:szCs w:val="20"/>
              </w:rPr>
            </w:pPr>
          </w:p>
        </w:tc>
      </w:tr>
      <w:tr w:rsidR="000627C0" w:rsidRPr="00035759" w14:paraId="1089ACAE" w14:textId="77777777" w:rsidTr="003F39BA">
        <w:trPr>
          <w:trHeight w:val="58"/>
        </w:trPr>
        <w:tc>
          <w:tcPr>
            <w:tcW w:w="3539" w:type="dxa"/>
            <w:tcBorders>
              <w:top w:val="nil"/>
              <w:bottom w:val="nil"/>
              <w:right w:val="single" w:sz="12" w:space="0" w:color="auto"/>
            </w:tcBorders>
            <w:shd w:val="clear" w:color="auto" w:fill="auto"/>
          </w:tcPr>
          <w:p w14:paraId="3FE2F9A2" w14:textId="77777777" w:rsidR="000627C0" w:rsidRPr="00035759" w:rsidRDefault="000627C0" w:rsidP="003F39BA">
            <w:pPr>
              <w:spacing w:after="0"/>
              <w:jc w:val="right"/>
              <w:rPr>
                <w:rFonts w:ascii="Arial" w:hAnsi="Arial" w:cs="Arial"/>
                <w:i/>
                <w:sz w:val="20"/>
                <w:szCs w:val="20"/>
              </w:rPr>
            </w:pPr>
            <w:r w:rsidRPr="00035759">
              <w:rPr>
                <w:rFonts w:ascii="Arial" w:hAnsi="Arial" w:cs="Arial"/>
                <w:i/>
                <w:sz w:val="20"/>
                <w:szCs w:val="20"/>
              </w:rPr>
              <w:t>QIST: Anaemia QIC</w:t>
            </w:r>
          </w:p>
        </w:tc>
        <w:tc>
          <w:tcPr>
            <w:tcW w:w="1559" w:type="dxa"/>
            <w:tcBorders>
              <w:left w:val="single" w:sz="12" w:space="0" w:color="auto"/>
              <w:right w:val="single" w:sz="12" w:space="0" w:color="262626"/>
            </w:tcBorders>
            <w:shd w:val="clear" w:color="auto" w:fill="auto"/>
          </w:tcPr>
          <w:p w14:paraId="018F8F67" w14:textId="77777777" w:rsidR="000627C0" w:rsidRPr="00035759" w:rsidRDefault="000627C0" w:rsidP="003F39BA">
            <w:pPr>
              <w:spacing w:after="0"/>
              <w:jc w:val="center"/>
              <w:rPr>
                <w:rFonts w:ascii="Arial" w:hAnsi="Arial" w:cs="Arial"/>
                <w:sz w:val="20"/>
                <w:szCs w:val="20"/>
              </w:rPr>
            </w:pPr>
          </w:p>
        </w:tc>
        <w:tc>
          <w:tcPr>
            <w:tcW w:w="1276" w:type="dxa"/>
            <w:tcBorders>
              <w:left w:val="single" w:sz="12" w:space="0" w:color="262626"/>
              <w:right w:val="single" w:sz="12" w:space="0" w:color="262626"/>
            </w:tcBorders>
            <w:shd w:val="clear" w:color="auto" w:fill="auto"/>
          </w:tcPr>
          <w:p w14:paraId="7B7D03D5" w14:textId="77777777" w:rsidR="000627C0" w:rsidRPr="00035759" w:rsidRDefault="000627C0" w:rsidP="003F39BA">
            <w:pPr>
              <w:spacing w:after="0"/>
              <w:jc w:val="center"/>
              <w:rPr>
                <w:rFonts w:ascii="Arial" w:hAnsi="Arial" w:cs="Arial"/>
                <w:sz w:val="20"/>
                <w:szCs w:val="20"/>
              </w:rPr>
            </w:pPr>
          </w:p>
        </w:tc>
        <w:tc>
          <w:tcPr>
            <w:tcW w:w="851" w:type="dxa"/>
            <w:tcBorders>
              <w:top w:val="single" w:sz="6" w:space="0" w:color="262626"/>
              <w:left w:val="single" w:sz="12" w:space="0" w:color="262626"/>
              <w:bottom w:val="single" w:sz="6" w:space="0" w:color="262626"/>
            </w:tcBorders>
            <w:shd w:val="clear" w:color="auto" w:fill="auto"/>
          </w:tcPr>
          <w:p w14:paraId="06090309" w14:textId="77777777" w:rsidR="000627C0" w:rsidRPr="00035759" w:rsidRDefault="000627C0" w:rsidP="003F39BA">
            <w:pPr>
              <w:spacing w:after="0"/>
              <w:jc w:val="center"/>
              <w:rPr>
                <w:rFonts w:ascii="Arial" w:hAnsi="Arial" w:cs="Arial"/>
                <w:sz w:val="20"/>
                <w:szCs w:val="20"/>
              </w:rPr>
            </w:pPr>
            <w:r w:rsidRPr="00035759">
              <w:rPr>
                <w:rFonts w:ascii="Arial" w:hAnsi="Arial" w:cstheme="minorBidi"/>
                <w:noProof/>
                <w:sz w:val="20"/>
                <w:szCs w:val="20"/>
                <w:lang w:eastAsia="en-GB"/>
              </w:rPr>
              <mc:AlternateContent>
                <mc:Choice Requires="wps">
                  <w:drawing>
                    <wp:anchor distT="0" distB="0" distL="114300" distR="114300" simplePos="0" relativeHeight="251748352" behindDoc="0" locked="0" layoutInCell="1" allowOverlap="1" wp14:anchorId="449CEE41" wp14:editId="536D1671">
                      <wp:simplePos x="0" y="0"/>
                      <wp:positionH relativeFrom="column">
                        <wp:posOffset>252095</wp:posOffset>
                      </wp:positionH>
                      <wp:positionV relativeFrom="paragraph">
                        <wp:posOffset>86360</wp:posOffset>
                      </wp:positionV>
                      <wp:extent cx="1055370" cy="0"/>
                      <wp:effectExtent l="38100" t="38100" r="36830" b="381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5370" cy="0"/>
                              </a:xfrm>
                              <a:prstGeom prst="straightConnector1">
                                <a:avLst/>
                              </a:prstGeom>
                              <a:noFill/>
                              <a:ln w="28575">
                                <a:solidFill>
                                  <a:srgbClr val="272727"/>
                                </a:solidFill>
                                <a:round/>
                                <a:headEnd type="diamond" w="med" len="sm"/>
                                <a:tailEnd type="diamond"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F26ADD" id="AutoShape 7" o:spid="_x0000_s1026" type="#_x0000_t32" style="position:absolute;margin-left:19.85pt;margin-top:6.8pt;width:83.1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" strokecolor="#272727" strokeweight="2.25pt">
                      <v:stroke startarrow="diamond" startarrowlength="short" endarrow="diamond" endarrowlength="short"/>
                      <o:lock v:ext="edit" shapetype="f"/>
                    </v:shape>
                  </w:pict>
                </mc:Fallback>
              </mc:AlternateContent>
            </w:r>
          </w:p>
        </w:tc>
        <w:tc>
          <w:tcPr>
            <w:tcW w:w="850" w:type="dxa"/>
            <w:tcBorders>
              <w:top w:val="single" w:sz="6" w:space="0" w:color="262626"/>
              <w:bottom w:val="single" w:sz="6" w:space="0" w:color="262626"/>
            </w:tcBorders>
            <w:shd w:val="clear" w:color="auto" w:fill="auto"/>
          </w:tcPr>
          <w:p w14:paraId="22C62AA4" w14:textId="77777777" w:rsidR="000627C0" w:rsidRPr="00AD29B0" w:rsidRDefault="000627C0" w:rsidP="003F39BA">
            <w:pPr>
              <w:spacing w:after="0"/>
              <w:jc w:val="center"/>
              <w:rPr>
                <w:rFonts w:ascii="Arial" w:hAnsi="Arial" w:cs="Arial"/>
                <w:sz w:val="20"/>
                <w:szCs w:val="20"/>
              </w:rPr>
            </w:pPr>
          </w:p>
        </w:tc>
        <w:tc>
          <w:tcPr>
            <w:tcW w:w="851" w:type="dxa"/>
            <w:tcBorders>
              <w:top w:val="single" w:sz="6" w:space="0" w:color="262626"/>
              <w:bottom w:val="single" w:sz="6" w:space="0" w:color="262626"/>
            </w:tcBorders>
            <w:shd w:val="clear" w:color="auto" w:fill="auto"/>
          </w:tcPr>
          <w:p w14:paraId="275E9C2A" w14:textId="77777777" w:rsidR="000627C0" w:rsidRPr="00035759" w:rsidRDefault="000627C0" w:rsidP="003F39BA">
            <w:pPr>
              <w:spacing w:after="0"/>
              <w:jc w:val="center"/>
              <w:rPr>
                <w:rFonts w:ascii="Arial" w:hAnsi="Arial" w:cs="Arial"/>
                <w:sz w:val="20"/>
                <w:szCs w:val="20"/>
              </w:rPr>
            </w:pPr>
          </w:p>
        </w:tc>
        <w:tc>
          <w:tcPr>
            <w:tcW w:w="850" w:type="dxa"/>
            <w:tcBorders>
              <w:top w:val="single" w:sz="6" w:space="0" w:color="262626"/>
              <w:bottom w:val="single" w:sz="6" w:space="0" w:color="262626"/>
            </w:tcBorders>
            <w:shd w:val="clear" w:color="auto" w:fill="auto"/>
          </w:tcPr>
          <w:p w14:paraId="7399AEC7" w14:textId="77777777" w:rsidR="000627C0" w:rsidRPr="00035759" w:rsidRDefault="000627C0" w:rsidP="003F39BA">
            <w:pPr>
              <w:spacing w:after="0"/>
              <w:jc w:val="center"/>
              <w:rPr>
                <w:rFonts w:ascii="Arial" w:hAnsi="Arial" w:cs="Arial"/>
                <w:sz w:val="20"/>
                <w:szCs w:val="20"/>
              </w:rPr>
            </w:pPr>
          </w:p>
        </w:tc>
        <w:tc>
          <w:tcPr>
            <w:tcW w:w="851" w:type="dxa"/>
            <w:tcBorders>
              <w:top w:val="single" w:sz="6" w:space="0" w:color="262626"/>
              <w:bottom w:val="single" w:sz="6" w:space="0" w:color="262626"/>
              <w:right w:val="single" w:sz="4" w:space="0" w:color="auto"/>
            </w:tcBorders>
            <w:shd w:val="clear" w:color="auto" w:fill="auto"/>
          </w:tcPr>
          <w:p w14:paraId="69D2F8FC" w14:textId="77777777" w:rsidR="000627C0" w:rsidRPr="00035759" w:rsidRDefault="000627C0" w:rsidP="003F39BA">
            <w:pPr>
              <w:spacing w:after="0"/>
              <w:jc w:val="center"/>
              <w:rPr>
                <w:rFonts w:ascii="Arial" w:hAnsi="Arial" w:cs="Arial"/>
                <w:sz w:val="20"/>
                <w:szCs w:val="20"/>
              </w:rPr>
            </w:pPr>
          </w:p>
        </w:tc>
        <w:tc>
          <w:tcPr>
            <w:tcW w:w="850" w:type="dxa"/>
            <w:tcBorders>
              <w:top w:val="single" w:sz="6" w:space="0" w:color="262626"/>
              <w:left w:val="single" w:sz="4" w:space="0" w:color="auto"/>
              <w:bottom w:val="single" w:sz="6" w:space="0" w:color="262626"/>
              <w:right w:val="single" w:sz="4" w:space="0" w:color="auto"/>
            </w:tcBorders>
            <w:shd w:val="clear" w:color="auto" w:fill="auto"/>
          </w:tcPr>
          <w:p w14:paraId="5DA6BC94" w14:textId="77777777" w:rsidR="000627C0" w:rsidRPr="00035759" w:rsidRDefault="000627C0" w:rsidP="003F39BA">
            <w:pPr>
              <w:spacing w:after="0"/>
              <w:jc w:val="center"/>
              <w:rPr>
                <w:rFonts w:ascii="Arial" w:hAnsi="Arial" w:cs="Arial"/>
                <w:sz w:val="20"/>
                <w:szCs w:val="20"/>
              </w:rPr>
            </w:pPr>
          </w:p>
        </w:tc>
        <w:tc>
          <w:tcPr>
            <w:tcW w:w="709" w:type="dxa"/>
            <w:tcBorders>
              <w:left w:val="single" w:sz="12" w:space="0" w:color="auto"/>
              <w:right w:val="single" w:sz="12" w:space="0" w:color="auto"/>
            </w:tcBorders>
          </w:tcPr>
          <w:p w14:paraId="609D5C38" w14:textId="77777777" w:rsidR="000627C0" w:rsidRPr="00035759" w:rsidRDefault="000627C0" w:rsidP="003F39BA">
            <w:pPr>
              <w:spacing w:after="0"/>
              <w:jc w:val="center"/>
              <w:rPr>
                <w:rFonts w:ascii="Arial" w:hAnsi="Arial" w:cs="Arial"/>
                <w:sz w:val="20"/>
                <w:szCs w:val="20"/>
              </w:rPr>
            </w:pPr>
          </w:p>
        </w:tc>
        <w:tc>
          <w:tcPr>
            <w:tcW w:w="850" w:type="dxa"/>
            <w:tcBorders>
              <w:left w:val="single" w:sz="12" w:space="0" w:color="auto"/>
              <w:right w:val="single" w:sz="12" w:space="0" w:color="auto"/>
            </w:tcBorders>
          </w:tcPr>
          <w:p w14:paraId="0FE7C41C" w14:textId="77777777" w:rsidR="000627C0" w:rsidRPr="00035759" w:rsidRDefault="000627C0" w:rsidP="003F39BA">
            <w:pPr>
              <w:spacing w:after="0"/>
              <w:jc w:val="center"/>
              <w:rPr>
                <w:rFonts w:ascii="Arial" w:hAnsi="Arial" w:cs="Arial"/>
                <w:sz w:val="20"/>
                <w:szCs w:val="20"/>
              </w:rPr>
            </w:pPr>
          </w:p>
        </w:tc>
        <w:tc>
          <w:tcPr>
            <w:tcW w:w="851" w:type="dxa"/>
            <w:tcBorders>
              <w:left w:val="single" w:sz="12" w:space="0" w:color="auto"/>
              <w:right w:val="single" w:sz="12" w:space="0" w:color="auto"/>
            </w:tcBorders>
          </w:tcPr>
          <w:p w14:paraId="495B3200" w14:textId="77777777" w:rsidR="000627C0" w:rsidRPr="00035759" w:rsidRDefault="000627C0" w:rsidP="003F39BA">
            <w:pPr>
              <w:spacing w:after="0"/>
              <w:jc w:val="center"/>
              <w:rPr>
                <w:rFonts w:ascii="Arial" w:hAnsi="Arial" w:cs="Arial"/>
                <w:sz w:val="20"/>
                <w:szCs w:val="20"/>
              </w:rPr>
            </w:pPr>
          </w:p>
        </w:tc>
        <w:tc>
          <w:tcPr>
            <w:tcW w:w="1276" w:type="dxa"/>
            <w:tcBorders>
              <w:left w:val="single" w:sz="12" w:space="0" w:color="auto"/>
              <w:right w:val="single" w:sz="8" w:space="0" w:color="262626"/>
            </w:tcBorders>
            <w:shd w:val="clear" w:color="auto" w:fill="auto"/>
          </w:tcPr>
          <w:p w14:paraId="4A99FCF2" w14:textId="77777777" w:rsidR="000627C0" w:rsidRPr="00035759" w:rsidRDefault="000627C0" w:rsidP="003F39BA">
            <w:pPr>
              <w:spacing w:after="0"/>
              <w:jc w:val="center"/>
              <w:rPr>
                <w:rFonts w:ascii="Arial" w:hAnsi="Arial" w:cs="Arial"/>
                <w:sz w:val="20"/>
                <w:szCs w:val="20"/>
              </w:rPr>
            </w:pPr>
          </w:p>
        </w:tc>
      </w:tr>
      <w:tr w:rsidR="000627C0" w:rsidRPr="00035759" w14:paraId="17A43786" w14:textId="77777777" w:rsidTr="003F39BA">
        <w:trPr>
          <w:trHeight w:val="58"/>
        </w:trPr>
        <w:tc>
          <w:tcPr>
            <w:tcW w:w="3539" w:type="dxa"/>
            <w:tcBorders>
              <w:top w:val="nil"/>
              <w:bottom w:val="nil"/>
              <w:right w:val="single" w:sz="12" w:space="0" w:color="auto"/>
            </w:tcBorders>
            <w:shd w:val="clear" w:color="auto" w:fill="auto"/>
          </w:tcPr>
          <w:p w14:paraId="0CB23DBF" w14:textId="77777777" w:rsidR="000627C0" w:rsidRPr="00035759" w:rsidRDefault="000627C0" w:rsidP="003F39BA">
            <w:pPr>
              <w:spacing w:after="0"/>
              <w:jc w:val="right"/>
              <w:rPr>
                <w:rFonts w:ascii="Arial" w:hAnsi="Arial" w:cs="Arial"/>
                <w:i/>
                <w:sz w:val="20"/>
                <w:szCs w:val="20"/>
              </w:rPr>
            </w:pPr>
            <w:r w:rsidRPr="00035759">
              <w:rPr>
                <w:rFonts w:ascii="Arial" w:hAnsi="Arial" w:cs="Arial"/>
                <w:i/>
                <w:sz w:val="20"/>
                <w:szCs w:val="20"/>
              </w:rPr>
              <w:t>QIST: Infection QIC</w:t>
            </w:r>
          </w:p>
        </w:tc>
        <w:tc>
          <w:tcPr>
            <w:tcW w:w="1559" w:type="dxa"/>
            <w:tcBorders>
              <w:left w:val="single" w:sz="12" w:space="0" w:color="auto"/>
              <w:bottom w:val="single" w:sz="6" w:space="0" w:color="262626"/>
              <w:right w:val="single" w:sz="12" w:space="0" w:color="262626"/>
            </w:tcBorders>
            <w:shd w:val="clear" w:color="auto" w:fill="auto"/>
          </w:tcPr>
          <w:p w14:paraId="2CF77425" w14:textId="77777777" w:rsidR="000627C0" w:rsidRPr="00035759" w:rsidRDefault="000627C0" w:rsidP="003F39BA">
            <w:pPr>
              <w:spacing w:after="0"/>
              <w:jc w:val="center"/>
              <w:rPr>
                <w:rFonts w:ascii="Arial" w:hAnsi="Arial" w:cs="Arial"/>
                <w:sz w:val="20"/>
                <w:szCs w:val="20"/>
              </w:rPr>
            </w:pPr>
          </w:p>
        </w:tc>
        <w:tc>
          <w:tcPr>
            <w:tcW w:w="1276" w:type="dxa"/>
            <w:tcBorders>
              <w:left w:val="single" w:sz="12" w:space="0" w:color="262626"/>
              <w:bottom w:val="single" w:sz="6" w:space="0" w:color="262626"/>
              <w:right w:val="single" w:sz="12" w:space="0" w:color="262626"/>
            </w:tcBorders>
            <w:shd w:val="clear" w:color="auto" w:fill="auto"/>
          </w:tcPr>
          <w:p w14:paraId="2C2F8C47" w14:textId="77777777" w:rsidR="000627C0" w:rsidRPr="00035759" w:rsidRDefault="000627C0" w:rsidP="003F39BA">
            <w:pPr>
              <w:spacing w:after="0"/>
              <w:jc w:val="center"/>
              <w:rPr>
                <w:rFonts w:ascii="Arial" w:hAnsi="Arial" w:cs="Arial"/>
                <w:sz w:val="20"/>
                <w:szCs w:val="20"/>
              </w:rPr>
            </w:pPr>
          </w:p>
        </w:tc>
        <w:tc>
          <w:tcPr>
            <w:tcW w:w="851" w:type="dxa"/>
            <w:tcBorders>
              <w:top w:val="single" w:sz="6" w:space="0" w:color="262626"/>
              <w:left w:val="single" w:sz="12" w:space="0" w:color="262626"/>
              <w:bottom w:val="single" w:sz="6" w:space="0" w:color="262626"/>
            </w:tcBorders>
            <w:shd w:val="clear" w:color="auto" w:fill="auto"/>
          </w:tcPr>
          <w:p w14:paraId="37255BA8" w14:textId="77777777" w:rsidR="000627C0" w:rsidRPr="00035759" w:rsidRDefault="000627C0" w:rsidP="003F39BA">
            <w:pPr>
              <w:spacing w:after="0"/>
              <w:jc w:val="center"/>
              <w:rPr>
                <w:rFonts w:ascii="Arial" w:hAnsi="Arial" w:cs="Arial"/>
                <w:sz w:val="20"/>
                <w:szCs w:val="20"/>
              </w:rPr>
            </w:pPr>
            <w:r w:rsidRPr="00035759">
              <w:rPr>
                <w:rFonts w:ascii="Arial" w:hAnsi="Arial" w:cstheme="minorBidi"/>
                <w:noProof/>
                <w:sz w:val="20"/>
                <w:szCs w:val="20"/>
                <w:lang w:eastAsia="en-GB"/>
              </w:rPr>
              <mc:AlternateContent>
                <mc:Choice Requires="wps">
                  <w:drawing>
                    <wp:anchor distT="0" distB="0" distL="114300" distR="114300" simplePos="0" relativeHeight="251749376" behindDoc="0" locked="0" layoutInCell="1" allowOverlap="1" wp14:anchorId="1B02DD4C" wp14:editId="57F063D5">
                      <wp:simplePos x="0" y="0"/>
                      <wp:positionH relativeFrom="column">
                        <wp:posOffset>248285</wp:posOffset>
                      </wp:positionH>
                      <wp:positionV relativeFrom="paragraph">
                        <wp:posOffset>92710</wp:posOffset>
                      </wp:positionV>
                      <wp:extent cx="1055370" cy="0"/>
                      <wp:effectExtent l="38100" t="38100" r="36830" b="38100"/>
                      <wp:wrapNone/>
                      <wp:docPr id="5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5370" cy="0"/>
                              </a:xfrm>
                              <a:prstGeom prst="straightConnector1">
                                <a:avLst/>
                              </a:prstGeom>
                              <a:noFill/>
                              <a:ln w="28575">
                                <a:solidFill>
                                  <a:srgbClr val="272727"/>
                                </a:solidFill>
                                <a:round/>
                                <a:headEnd type="diamond" w="med" len="sm"/>
                                <a:tailEnd type="diamond"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6274BC" id="AutoShape 6" o:spid="_x0000_s1026" type="#_x0000_t32" style="position:absolute;margin-left:19.55pt;margin-top:7.3pt;width:83.1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" strokecolor="#272727" strokeweight="2.25pt">
                      <v:stroke startarrow="diamond" startarrowlength="short" endarrow="diamond" endarrowlength="short"/>
                      <o:lock v:ext="edit" shapetype="f"/>
                    </v:shape>
                  </w:pict>
                </mc:Fallback>
              </mc:AlternateContent>
            </w:r>
          </w:p>
        </w:tc>
        <w:tc>
          <w:tcPr>
            <w:tcW w:w="850" w:type="dxa"/>
            <w:tcBorders>
              <w:top w:val="single" w:sz="6" w:space="0" w:color="262626"/>
              <w:bottom w:val="single" w:sz="6" w:space="0" w:color="262626"/>
            </w:tcBorders>
            <w:shd w:val="clear" w:color="auto" w:fill="auto"/>
          </w:tcPr>
          <w:p w14:paraId="2F3A0A08" w14:textId="77777777" w:rsidR="000627C0" w:rsidRPr="00AD29B0" w:rsidRDefault="000627C0" w:rsidP="003F39BA">
            <w:pPr>
              <w:spacing w:after="0"/>
              <w:jc w:val="center"/>
              <w:rPr>
                <w:rFonts w:ascii="Arial" w:hAnsi="Arial" w:cstheme="minorBidi"/>
                <w:sz w:val="20"/>
                <w:szCs w:val="20"/>
              </w:rPr>
            </w:pPr>
          </w:p>
        </w:tc>
        <w:tc>
          <w:tcPr>
            <w:tcW w:w="851" w:type="dxa"/>
            <w:tcBorders>
              <w:top w:val="single" w:sz="6" w:space="0" w:color="262626"/>
              <w:bottom w:val="single" w:sz="6" w:space="0" w:color="262626"/>
            </w:tcBorders>
            <w:shd w:val="clear" w:color="auto" w:fill="auto"/>
          </w:tcPr>
          <w:p w14:paraId="609FB21E" w14:textId="77777777" w:rsidR="000627C0" w:rsidRPr="00035759" w:rsidRDefault="000627C0" w:rsidP="003F39BA">
            <w:pPr>
              <w:spacing w:after="0"/>
              <w:jc w:val="center"/>
              <w:rPr>
                <w:rFonts w:ascii="Arial" w:hAnsi="Arial" w:cstheme="minorBidi"/>
                <w:sz w:val="20"/>
                <w:szCs w:val="20"/>
              </w:rPr>
            </w:pPr>
          </w:p>
        </w:tc>
        <w:tc>
          <w:tcPr>
            <w:tcW w:w="850" w:type="dxa"/>
            <w:tcBorders>
              <w:top w:val="single" w:sz="6" w:space="0" w:color="262626"/>
              <w:bottom w:val="single" w:sz="6" w:space="0" w:color="262626"/>
            </w:tcBorders>
            <w:shd w:val="clear" w:color="auto" w:fill="auto"/>
          </w:tcPr>
          <w:p w14:paraId="6981013D" w14:textId="77777777" w:rsidR="000627C0" w:rsidRPr="00035759" w:rsidRDefault="000627C0" w:rsidP="003F39BA">
            <w:pPr>
              <w:spacing w:after="0"/>
              <w:jc w:val="center"/>
              <w:rPr>
                <w:rFonts w:ascii="Arial" w:hAnsi="Arial" w:cstheme="minorBidi"/>
                <w:sz w:val="20"/>
                <w:szCs w:val="20"/>
              </w:rPr>
            </w:pPr>
          </w:p>
        </w:tc>
        <w:tc>
          <w:tcPr>
            <w:tcW w:w="851" w:type="dxa"/>
            <w:tcBorders>
              <w:top w:val="single" w:sz="6" w:space="0" w:color="262626"/>
              <w:bottom w:val="single" w:sz="6" w:space="0" w:color="262626"/>
              <w:right w:val="single" w:sz="4" w:space="0" w:color="auto"/>
            </w:tcBorders>
            <w:shd w:val="clear" w:color="auto" w:fill="auto"/>
          </w:tcPr>
          <w:p w14:paraId="151960EC" w14:textId="77777777" w:rsidR="000627C0" w:rsidRPr="00035759" w:rsidRDefault="000627C0" w:rsidP="003F39BA">
            <w:pPr>
              <w:spacing w:after="0"/>
              <w:jc w:val="center"/>
              <w:rPr>
                <w:rFonts w:ascii="Arial" w:hAnsi="Arial" w:cstheme="minorBidi"/>
                <w:sz w:val="20"/>
                <w:szCs w:val="20"/>
              </w:rPr>
            </w:pPr>
          </w:p>
        </w:tc>
        <w:tc>
          <w:tcPr>
            <w:tcW w:w="850" w:type="dxa"/>
            <w:tcBorders>
              <w:top w:val="single" w:sz="6" w:space="0" w:color="262626"/>
              <w:left w:val="single" w:sz="4" w:space="0" w:color="auto"/>
              <w:bottom w:val="single" w:sz="6" w:space="0" w:color="262626"/>
              <w:right w:val="single" w:sz="4" w:space="0" w:color="auto"/>
            </w:tcBorders>
            <w:shd w:val="clear" w:color="auto" w:fill="auto"/>
          </w:tcPr>
          <w:p w14:paraId="09A7F675" w14:textId="77777777" w:rsidR="000627C0" w:rsidRPr="00035759" w:rsidRDefault="000627C0" w:rsidP="003F39BA">
            <w:pPr>
              <w:spacing w:after="0"/>
              <w:jc w:val="center"/>
              <w:rPr>
                <w:rFonts w:ascii="Arial" w:hAnsi="Arial" w:cstheme="minorBidi"/>
                <w:sz w:val="20"/>
                <w:szCs w:val="20"/>
              </w:rPr>
            </w:pPr>
          </w:p>
        </w:tc>
        <w:tc>
          <w:tcPr>
            <w:tcW w:w="709" w:type="dxa"/>
            <w:tcBorders>
              <w:left w:val="single" w:sz="12" w:space="0" w:color="auto"/>
              <w:bottom w:val="single" w:sz="6" w:space="0" w:color="262626"/>
              <w:right w:val="single" w:sz="12" w:space="0" w:color="auto"/>
            </w:tcBorders>
          </w:tcPr>
          <w:p w14:paraId="0BA6AD3D" w14:textId="77777777" w:rsidR="000627C0" w:rsidRPr="00035759" w:rsidRDefault="000627C0" w:rsidP="003F39BA">
            <w:pPr>
              <w:spacing w:after="0"/>
              <w:jc w:val="center"/>
              <w:rPr>
                <w:rFonts w:ascii="Arial" w:hAnsi="Arial" w:cs="Arial"/>
                <w:sz w:val="20"/>
                <w:szCs w:val="20"/>
              </w:rPr>
            </w:pPr>
          </w:p>
        </w:tc>
        <w:tc>
          <w:tcPr>
            <w:tcW w:w="850" w:type="dxa"/>
            <w:tcBorders>
              <w:left w:val="single" w:sz="12" w:space="0" w:color="auto"/>
              <w:bottom w:val="single" w:sz="6" w:space="0" w:color="262626"/>
              <w:right w:val="single" w:sz="12" w:space="0" w:color="auto"/>
            </w:tcBorders>
          </w:tcPr>
          <w:p w14:paraId="1450C29F" w14:textId="77777777" w:rsidR="000627C0" w:rsidRPr="00035759" w:rsidRDefault="000627C0" w:rsidP="003F39BA">
            <w:pPr>
              <w:spacing w:after="0"/>
              <w:jc w:val="center"/>
              <w:rPr>
                <w:rFonts w:ascii="Arial" w:hAnsi="Arial" w:cs="Arial"/>
                <w:sz w:val="20"/>
                <w:szCs w:val="20"/>
              </w:rPr>
            </w:pPr>
          </w:p>
        </w:tc>
        <w:tc>
          <w:tcPr>
            <w:tcW w:w="851" w:type="dxa"/>
            <w:tcBorders>
              <w:left w:val="single" w:sz="12" w:space="0" w:color="auto"/>
              <w:bottom w:val="single" w:sz="6" w:space="0" w:color="262626"/>
              <w:right w:val="single" w:sz="12" w:space="0" w:color="auto"/>
            </w:tcBorders>
          </w:tcPr>
          <w:p w14:paraId="79470FD8" w14:textId="77777777" w:rsidR="000627C0" w:rsidRPr="00035759" w:rsidRDefault="000627C0" w:rsidP="003F39BA">
            <w:pPr>
              <w:spacing w:after="0"/>
              <w:jc w:val="center"/>
              <w:rPr>
                <w:rFonts w:ascii="Arial" w:hAnsi="Arial" w:cs="Arial"/>
                <w:sz w:val="20"/>
                <w:szCs w:val="20"/>
              </w:rPr>
            </w:pPr>
          </w:p>
        </w:tc>
        <w:tc>
          <w:tcPr>
            <w:tcW w:w="1276" w:type="dxa"/>
            <w:tcBorders>
              <w:left w:val="single" w:sz="12" w:space="0" w:color="auto"/>
              <w:bottom w:val="single" w:sz="6" w:space="0" w:color="262626"/>
              <w:right w:val="single" w:sz="8" w:space="0" w:color="262626"/>
            </w:tcBorders>
            <w:shd w:val="clear" w:color="auto" w:fill="auto"/>
          </w:tcPr>
          <w:p w14:paraId="3637D99D" w14:textId="77777777" w:rsidR="000627C0" w:rsidRPr="00035759" w:rsidRDefault="000627C0" w:rsidP="003F39BA">
            <w:pPr>
              <w:spacing w:after="0"/>
              <w:jc w:val="center"/>
              <w:rPr>
                <w:rFonts w:ascii="Arial" w:hAnsi="Arial" w:cs="Arial"/>
                <w:sz w:val="20"/>
                <w:szCs w:val="20"/>
              </w:rPr>
            </w:pPr>
          </w:p>
        </w:tc>
      </w:tr>
      <w:tr w:rsidR="000627C0" w:rsidRPr="00035759" w14:paraId="3B81434D" w14:textId="77777777" w:rsidTr="003F39BA">
        <w:trPr>
          <w:trHeight w:val="58"/>
        </w:trPr>
        <w:tc>
          <w:tcPr>
            <w:tcW w:w="3539" w:type="dxa"/>
            <w:tcBorders>
              <w:top w:val="nil"/>
              <w:bottom w:val="nil"/>
              <w:right w:val="single" w:sz="12" w:space="0" w:color="auto"/>
            </w:tcBorders>
            <w:shd w:val="clear" w:color="auto" w:fill="auto"/>
          </w:tcPr>
          <w:p w14:paraId="11F2E134" w14:textId="77777777" w:rsidR="000627C0" w:rsidRPr="00035759" w:rsidRDefault="000627C0" w:rsidP="003F39BA">
            <w:pPr>
              <w:spacing w:after="0"/>
              <w:jc w:val="right"/>
              <w:rPr>
                <w:rFonts w:ascii="Arial" w:hAnsi="Arial" w:cs="Arial"/>
                <w:i/>
                <w:sz w:val="20"/>
                <w:szCs w:val="20"/>
              </w:rPr>
            </w:pPr>
            <w:r w:rsidRPr="00035759">
              <w:rPr>
                <w:rFonts w:ascii="Arial" w:hAnsi="Arial" w:cs="Arial"/>
                <w:i/>
                <w:sz w:val="20"/>
                <w:szCs w:val="20"/>
              </w:rPr>
              <w:t>Optional cross-over collaboratives*</w:t>
            </w:r>
          </w:p>
        </w:tc>
        <w:tc>
          <w:tcPr>
            <w:tcW w:w="1559" w:type="dxa"/>
            <w:tcBorders>
              <w:left w:val="single" w:sz="12" w:space="0" w:color="auto"/>
              <w:bottom w:val="single" w:sz="6" w:space="0" w:color="262626"/>
              <w:right w:val="single" w:sz="12" w:space="0" w:color="262626"/>
            </w:tcBorders>
            <w:shd w:val="clear" w:color="auto" w:fill="auto"/>
          </w:tcPr>
          <w:p w14:paraId="2DB65358" w14:textId="77777777" w:rsidR="000627C0" w:rsidRPr="00035759" w:rsidRDefault="000627C0" w:rsidP="003F39BA">
            <w:pPr>
              <w:spacing w:after="0"/>
              <w:jc w:val="center"/>
              <w:rPr>
                <w:rFonts w:ascii="Arial" w:hAnsi="Arial" w:cs="Arial"/>
                <w:sz w:val="20"/>
                <w:szCs w:val="20"/>
              </w:rPr>
            </w:pPr>
          </w:p>
        </w:tc>
        <w:tc>
          <w:tcPr>
            <w:tcW w:w="1276" w:type="dxa"/>
            <w:tcBorders>
              <w:left w:val="single" w:sz="12" w:space="0" w:color="262626"/>
              <w:bottom w:val="single" w:sz="6" w:space="0" w:color="262626"/>
              <w:right w:val="single" w:sz="12" w:space="0" w:color="262626"/>
            </w:tcBorders>
            <w:shd w:val="clear" w:color="auto" w:fill="auto"/>
          </w:tcPr>
          <w:p w14:paraId="46A82D70" w14:textId="77777777" w:rsidR="000627C0" w:rsidRPr="00035759" w:rsidRDefault="000627C0" w:rsidP="003F39BA">
            <w:pPr>
              <w:spacing w:after="0"/>
              <w:jc w:val="center"/>
              <w:rPr>
                <w:rFonts w:ascii="Arial" w:hAnsi="Arial" w:cs="Arial"/>
                <w:sz w:val="20"/>
                <w:szCs w:val="20"/>
              </w:rPr>
            </w:pPr>
          </w:p>
        </w:tc>
        <w:tc>
          <w:tcPr>
            <w:tcW w:w="851" w:type="dxa"/>
            <w:tcBorders>
              <w:top w:val="single" w:sz="6" w:space="0" w:color="262626"/>
              <w:left w:val="single" w:sz="12" w:space="0" w:color="262626"/>
              <w:bottom w:val="single" w:sz="6" w:space="0" w:color="262626"/>
            </w:tcBorders>
            <w:shd w:val="clear" w:color="auto" w:fill="auto"/>
          </w:tcPr>
          <w:p w14:paraId="3CE3ECB1" w14:textId="77777777" w:rsidR="000627C0" w:rsidRPr="00035759" w:rsidRDefault="000627C0" w:rsidP="003F39BA">
            <w:pPr>
              <w:spacing w:after="0"/>
              <w:jc w:val="center"/>
              <w:rPr>
                <w:rFonts w:ascii="Arial" w:hAnsi="Arial" w:cs="Arial"/>
                <w:sz w:val="20"/>
                <w:szCs w:val="20"/>
              </w:rPr>
            </w:pPr>
          </w:p>
        </w:tc>
        <w:tc>
          <w:tcPr>
            <w:tcW w:w="850" w:type="dxa"/>
            <w:tcBorders>
              <w:top w:val="single" w:sz="6" w:space="0" w:color="262626"/>
              <w:bottom w:val="single" w:sz="6" w:space="0" w:color="262626"/>
            </w:tcBorders>
            <w:shd w:val="clear" w:color="auto" w:fill="auto"/>
          </w:tcPr>
          <w:p w14:paraId="0EFC1553" w14:textId="77777777" w:rsidR="000627C0" w:rsidRPr="00035759" w:rsidRDefault="000627C0" w:rsidP="003F39BA">
            <w:pPr>
              <w:spacing w:after="0"/>
              <w:jc w:val="center"/>
              <w:rPr>
                <w:rFonts w:ascii="Arial" w:hAnsi="Arial" w:cstheme="minorBidi"/>
                <w:noProof/>
                <w:sz w:val="20"/>
                <w:szCs w:val="20"/>
              </w:rPr>
            </w:pPr>
          </w:p>
        </w:tc>
        <w:tc>
          <w:tcPr>
            <w:tcW w:w="851" w:type="dxa"/>
            <w:tcBorders>
              <w:top w:val="single" w:sz="6" w:space="0" w:color="262626"/>
              <w:bottom w:val="single" w:sz="6" w:space="0" w:color="262626"/>
            </w:tcBorders>
            <w:shd w:val="clear" w:color="auto" w:fill="auto"/>
          </w:tcPr>
          <w:p w14:paraId="77CACE84" w14:textId="77777777" w:rsidR="000627C0" w:rsidRPr="00035759" w:rsidRDefault="000627C0" w:rsidP="003F39BA">
            <w:pPr>
              <w:spacing w:after="0"/>
              <w:jc w:val="center"/>
              <w:rPr>
                <w:rFonts w:ascii="Arial" w:hAnsi="Arial" w:cstheme="minorBidi"/>
                <w:sz w:val="20"/>
                <w:szCs w:val="20"/>
              </w:rPr>
            </w:pPr>
          </w:p>
        </w:tc>
        <w:tc>
          <w:tcPr>
            <w:tcW w:w="850" w:type="dxa"/>
            <w:tcBorders>
              <w:top w:val="single" w:sz="6" w:space="0" w:color="262626"/>
              <w:bottom w:val="single" w:sz="6" w:space="0" w:color="262626"/>
            </w:tcBorders>
            <w:shd w:val="clear" w:color="auto" w:fill="auto"/>
          </w:tcPr>
          <w:p w14:paraId="3A619517" w14:textId="77777777" w:rsidR="000627C0" w:rsidRPr="00035759" w:rsidRDefault="000627C0" w:rsidP="003F39BA">
            <w:pPr>
              <w:spacing w:after="0"/>
              <w:jc w:val="center"/>
              <w:rPr>
                <w:rFonts w:ascii="Arial" w:hAnsi="Arial" w:cstheme="minorBidi"/>
                <w:sz w:val="20"/>
                <w:szCs w:val="20"/>
              </w:rPr>
            </w:pPr>
            <w:r w:rsidRPr="00035759">
              <w:rPr>
                <w:rFonts w:ascii="Arial" w:hAnsi="Arial" w:cstheme="minorBidi"/>
                <w:noProof/>
                <w:sz w:val="20"/>
                <w:szCs w:val="20"/>
                <w:lang w:eastAsia="en-GB"/>
              </w:rPr>
              <mc:AlternateContent>
                <mc:Choice Requires="wps">
                  <w:drawing>
                    <wp:anchor distT="0" distB="0" distL="114300" distR="114300" simplePos="0" relativeHeight="251750400" behindDoc="0" locked="0" layoutInCell="1" allowOverlap="1" wp14:anchorId="3C32B733" wp14:editId="00AAEAAF">
                      <wp:simplePos x="0" y="0"/>
                      <wp:positionH relativeFrom="column">
                        <wp:posOffset>176530</wp:posOffset>
                      </wp:positionH>
                      <wp:positionV relativeFrom="paragraph">
                        <wp:posOffset>86360</wp:posOffset>
                      </wp:positionV>
                      <wp:extent cx="1080770" cy="0"/>
                      <wp:effectExtent l="38100" t="38100" r="36830" b="381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0770" cy="0"/>
                              </a:xfrm>
                              <a:prstGeom prst="straightConnector1">
                                <a:avLst/>
                              </a:prstGeom>
                              <a:noFill/>
                              <a:ln w="28575">
                                <a:solidFill>
                                  <a:srgbClr val="272727"/>
                                </a:solidFill>
                                <a:round/>
                                <a:headEnd type="diamond" w="med" len="sm"/>
                                <a:tailEnd type="diamond"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2C5B2B" id="AutoShape 5" o:spid="_x0000_s1026" type="#_x0000_t32" style="position:absolute;margin-left:13.9pt;margin-top:6.8pt;width:85.1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" strokecolor="#272727" strokeweight="2.25pt">
                      <v:stroke startarrow="diamond" startarrowlength="short" endarrow="diamond" endarrowlength="short"/>
                      <o:lock v:ext="edit" shapetype="f"/>
                    </v:shape>
                  </w:pict>
                </mc:Fallback>
              </mc:AlternateContent>
            </w:r>
          </w:p>
        </w:tc>
        <w:tc>
          <w:tcPr>
            <w:tcW w:w="851" w:type="dxa"/>
            <w:tcBorders>
              <w:top w:val="single" w:sz="6" w:space="0" w:color="262626"/>
              <w:bottom w:val="single" w:sz="6" w:space="0" w:color="262626"/>
              <w:right w:val="single" w:sz="4" w:space="0" w:color="auto"/>
            </w:tcBorders>
            <w:shd w:val="clear" w:color="auto" w:fill="auto"/>
          </w:tcPr>
          <w:p w14:paraId="4CA16600" w14:textId="77777777" w:rsidR="000627C0" w:rsidRPr="00AD29B0" w:rsidRDefault="000627C0" w:rsidP="003F39BA">
            <w:pPr>
              <w:spacing w:after="0"/>
              <w:jc w:val="center"/>
              <w:rPr>
                <w:rFonts w:ascii="Arial" w:hAnsi="Arial" w:cstheme="minorBidi"/>
                <w:sz w:val="20"/>
                <w:szCs w:val="20"/>
              </w:rPr>
            </w:pPr>
          </w:p>
        </w:tc>
        <w:tc>
          <w:tcPr>
            <w:tcW w:w="850" w:type="dxa"/>
            <w:tcBorders>
              <w:top w:val="single" w:sz="6" w:space="0" w:color="262626"/>
              <w:left w:val="single" w:sz="4" w:space="0" w:color="auto"/>
              <w:bottom w:val="single" w:sz="6" w:space="0" w:color="262626"/>
              <w:right w:val="single" w:sz="4" w:space="0" w:color="auto"/>
            </w:tcBorders>
            <w:shd w:val="clear" w:color="auto" w:fill="auto"/>
          </w:tcPr>
          <w:p w14:paraId="66D2F540" w14:textId="77777777" w:rsidR="000627C0" w:rsidRPr="00035759" w:rsidRDefault="000627C0" w:rsidP="003F39BA">
            <w:pPr>
              <w:spacing w:after="0"/>
              <w:jc w:val="center"/>
              <w:rPr>
                <w:rFonts w:ascii="Arial" w:hAnsi="Arial" w:cstheme="minorBidi"/>
                <w:sz w:val="20"/>
                <w:szCs w:val="20"/>
              </w:rPr>
            </w:pPr>
          </w:p>
        </w:tc>
        <w:tc>
          <w:tcPr>
            <w:tcW w:w="709" w:type="dxa"/>
            <w:tcBorders>
              <w:left w:val="single" w:sz="12" w:space="0" w:color="auto"/>
              <w:bottom w:val="single" w:sz="6" w:space="0" w:color="262626"/>
              <w:right w:val="single" w:sz="12" w:space="0" w:color="auto"/>
            </w:tcBorders>
          </w:tcPr>
          <w:p w14:paraId="46177DA1" w14:textId="77777777" w:rsidR="000627C0" w:rsidRPr="00035759" w:rsidRDefault="000627C0" w:rsidP="003F39BA">
            <w:pPr>
              <w:spacing w:after="0"/>
              <w:jc w:val="center"/>
              <w:rPr>
                <w:rFonts w:ascii="Arial" w:hAnsi="Arial" w:cs="Arial"/>
                <w:sz w:val="20"/>
                <w:szCs w:val="20"/>
              </w:rPr>
            </w:pPr>
          </w:p>
        </w:tc>
        <w:tc>
          <w:tcPr>
            <w:tcW w:w="850" w:type="dxa"/>
            <w:tcBorders>
              <w:left w:val="single" w:sz="12" w:space="0" w:color="auto"/>
              <w:bottom w:val="single" w:sz="6" w:space="0" w:color="262626"/>
              <w:right w:val="single" w:sz="12" w:space="0" w:color="auto"/>
            </w:tcBorders>
          </w:tcPr>
          <w:p w14:paraId="0E3B5A1D" w14:textId="77777777" w:rsidR="000627C0" w:rsidRPr="00035759" w:rsidRDefault="000627C0" w:rsidP="003F39BA">
            <w:pPr>
              <w:spacing w:after="0"/>
              <w:jc w:val="center"/>
              <w:rPr>
                <w:rFonts w:ascii="Arial" w:hAnsi="Arial" w:cs="Arial"/>
                <w:sz w:val="20"/>
                <w:szCs w:val="20"/>
              </w:rPr>
            </w:pPr>
          </w:p>
        </w:tc>
        <w:tc>
          <w:tcPr>
            <w:tcW w:w="851" w:type="dxa"/>
            <w:tcBorders>
              <w:left w:val="single" w:sz="12" w:space="0" w:color="auto"/>
              <w:bottom w:val="single" w:sz="6" w:space="0" w:color="262626"/>
              <w:right w:val="single" w:sz="12" w:space="0" w:color="auto"/>
            </w:tcBorders>
          </w:tcPr>
          <w:p w14:paraId="15FCCF19" w14:textId="77777777" w:rsidR="000627C0" w:rsidRPr="00035759" w:rsidRDefault="000627C0" w:rsidP="003F39BA">
            <w:pPr>
              <w:spacing w:after="0"/>
              <w:jc w:val="center"/>
              <w:rPr>
                <w:rFonts w:ascii="Arial" w:hAnsi="Arial" w:cs="Arial"/>
                <w:sz w:val="20"/>
                <w:szCs w:val="20"/>
              </w:rPr>
            </w:pPr>
          </w:p>
        </w:tc>
        <w:tc>
          <w:tcPr>
            <w:tcW w:w="1276" w:type="dxa"/>
            <w:tcBorders>
              <w:left w:val="single" w:sz="12" w:space="0" w:color="auto"/>
              <w:bottom w:val="single" w:sz="6" w:space="0" w:color="262626"/>
              <w:right w:val="single" w:sz="8" w:space="0" w:color="262626"/>
            </w:tcBorders>
            <w:shd w:val="clear" w:color="auto" w:fill="auto"/>
          </w:tcPr>
          <w:p w14:paraId="1EA1AD47" w14:textId="77777777" w:rsidR="000627C0" w:rsidRPr="00035759" w:rsidRDefault="000627C0" w:rsidP="003F39BA">
            <w:pPr>
              <w:spacing w:after="0"/>
              <w:jc w:val="center"/>
              <w:rPr>
                <w:rFonts w:ascii="Arial" w:hAnsi="Arial" w:cs="Arial"/>
                <w:sz w:val="20"/>
                <w:szCs w:val="20"/>
              </w:rPr>
            </w:pPr>
          </w:p>
        </w:tc>
      </w:tr>
      <w:tr w:rsidR="000627C0" w:rsidRPr="00035759" w14:paraId="52C86A8F" w14:textId="77777777" w:rsidTr="003F39BA">
        <w:trPr>
          <w:trHeight w:val="58"/>
        </w:trPr>
        <w:tc>
          <w:tcPr>
            <w:tcW w:w="3539" w:type="dxa"/>
            <w:tcBorders>
              <w:top w:val="nil"/>
              <w:bottom w:val="nil"/>
              <w:right w:val="single" w:sz="12" w:space="0" w:color="auto"/>
            </w:tcBorders>
            <w:shd w:val="clear" w:color="auto" w:fill="auto"/>
          </w:tcPr>
          <w:p w14:paraId="68FFB7E3" w14:textId="77777777" w:rsidR="000627C0" w:rsidRPr="00035759" w:rsidRDefault="000627C0" w:rsidP="003F39BA">
            <w:pPr>
              <w:spacing w:after="0"/>
              <w:jc w:val="right"/>
              <w:rPr>
                <w:rFonts w:ascii="Arial" w:hAnsi="Arial" w:cs="Arial"/>
                <w:i/>
                <w:sz w:val="20"/>
                <w:szCs w:val="20"/>
              </w:rPr>
            </w:pPr>
            <w:r w:rsidRPr="00035759">
              <w:rPr>
                <w:rFonts w:ascii="Arial" w:hAnsi="Arial" w:cs="Arial"/>
                <w:i/>
                <w:sz w:val="20"/>
                <w:szCs w:val="20"/>
              </w:rPr>
              <w:t>Final celebration event*</w:t>
            </w:r>
          </w:p>
        </w:tc>
        <w:tc>
          <w:tcPr>
            <w:tcW w:w="1559" w:type="dxa"/>
            <w:tcBorders>
              <w:left w:val="single" w:sz="12" w:space="0" w:color="auto"/>
              <w:bottom w:val="single" w:sz="6" w:space="0" w:color="262626"/>
              <w:right w:val="single" w:sz="12" w:space="0" w:color="262626"/>
            </w:tcBorders>
            <w:shd w:val="clear" w:color="auto" w:fill="auto"/>
          </w:tcPr>
          <w:p w14:paraId="353E7447" w14:textId="77777777" w:rsidR="000627C0" w:rsidRPr="00035759" w:rsidRDefault="000627C0" w:rsidP="003F39BA">
            <w:pPr>
              <w:spacing w:after="0"/>
              <w:jc w:val="center"/>
              <w:rPr>
                <w:rFonts w:ascii="Arial" w:hAnsi="Arial" w:cs="Arial"/>
                <w:sz w:val="20"/>
                <w:szCs w:val="20"/>
              </w:rPr>
            </w:pPr>
          </w:p>
        </w:tc>
        <w:tc>
          <w:tcPr>
            <w:tcW w:w="1276" w:type="dxa"/>
            <w:tcBorders>
              <w:left w:val="single" w:sz="12" w:space="0" w:color="262626"/>
              <w:bottom w:val="single" w:sz="6" w:space="0" w:color="262626"/>
              <w:right w:val="single" w:sz="12" w:space="0" w:color="262626"/>
            </w:tcBorders>
            <w:shd w:val="clear" w:color="auto" w:fill="auto"/>
          </w:tcPr>
          <w:p w14:paraId="37FFA874" w14:textId="77777777" w:rsidR="000627C0" w:rsidRPr="00035759" w:rsidRDefault="000627C0" w:rsidP="003F39BA">
            <w:pPr>
              <w:spacing w:after="0"/>
              <w:jc w:val="center"/>
              <w:rPr>
                <w:rFonts w:ascii="Arial" w:hAnsi="Arial" w:cs="Arial"/>
                <w:sz w:val="20"/>
                <w:szCs w:val="20"/>
              </w:rPr>
            </w:pPr>
          </w:p>
        </w:tc>
        <w:tc>
          <w:tcPr>
            <w:tcW w:w="851" w:type="dxa"/>
            <w:tcBorders>
              <w:top w:val="single" w:sz="6" w:space="0" w:color="262626"/>
              <w:left w:val="single" w:sz="12" w:space="0" w:color="262626"/>
              <w:bottom w:val="single" w:sz="6" w:space="0" w:color="262626"/>
            </w:tcBorders>
            <w:shd w:val="clear" w:color="auto" w:fill="auto"/>
          </w:tcPr>
          <w:p w14:paraId="65EE29C1" w14:textId="77777777" w:rsidR="000627C0" w:rsidRPr="00035759" w:rsidRDefault="000627C0" w:rsidP="003F39BA">
            <w:pPr>
              <w:spacing w:after="0"/>
              <w:jc w:val="center"/>
              <w:rPr>
                <w:rFonts w:ascii="Arial" w:hAnsi="Arial" w:cs="Arial"/>
                <w:sz w:val="20"/>
                <w:szCs w:val="20"/>
              </w:rPr>
            </w:pPr>
          </w:p>
        </w:tc>
        <w:tc>
          <w:tcPr>
            <w:tcW w:w="850" w:type="dxa"/>
            <w:tcBorders>
              <w:top w:val="single" w:sz="6" w:space="0" w:color="262626"/>
              <w:bottom w:val="single" w:sz="6" w:space="0" w:color="262626"/>
            </w:tcBorders>
            <w:shd w:val="clear" w:color="auto" w:fill="auto"/>
          </w:tcPr>
          <w:p w14:paraId="7CC4B31E" w14:textId="77777777" w:rsidR="000627C0" w:rsidRPr="00035759" w:rsidRDefault="000627C0" w:rsidP="003F39BA">
            <w:pPr>
              <w:spacing w:after="0"/>
              <w:jc w:val="center"/>
              <w:rPr>
                <w:rFonts w:ascii="Arial" w:hAnsi="Arial" w:cstheme="minorBidi"/>
                <w:noProof/>
                <w:sz w:val="20"/>
                <w:szCs w:val="20"/>
              </w:rPr>
            </w:pPr>
          </w:p>
        </w:tc>
        <w:tc>
          <w:tcPr>
            <w:tcW w:w="851" w:type="dxa"/>
            <w:tcBorders>
              <w:top w:val="single" w:sz="6" w:space="0" w:color="262626"/>
              <w:bottom w:val="single" w:sz="6" w:space="0" w:color="262626"/>
            </w:tcBorders>
            <w:shd w:val="clear" w:color="auto" w:fill="auto"/>
          </w:tcPr>
          <w:p w14:paraId="21187638" w14:textId="77777777" w:rsidR="000627C0" w:rsidRPr="00035759" w:rsidRDefault="000627C0" w:rsidP="003F39BA">
            <w:pPr>
              <w:spacing w:after="0"/>
              <w:jc w:val="center"/>
              <w:rPr>
                <w:rFonts w:ascii="Arial" w:hAnsi="Arial" w:cstheme="minorBidi"/>
                <w:sz w:val="20"/>
                <w:szCs w:val="20"/>
              </w:rPr>
            </w:pPr>
          </w:p>
        </w:tc>
        <w:tc>
          <w:tcPr>
            <w:tcW w:w="850" w:type="dxa"/>
            <w:tcBorders>
              <w:top w:val="single" w:sz="6" w:space="0" w:color="262626"/>
              <w:bottom w:val="single" w:sz="6" w:space="0" w:color="262626"/>
            </w:tcBorders>
            <w:shd w:val="clear" w:color="auto" w:fill="auto"/>
          </w:tcPr>
          <w:p w14:paraId="427C009C" w14:textId="77777777" w:rsidR="000627C0" w:rsidRPr="00035759" w:rsidRDefault="000627C0" w:rsidP="003F39BA">
            <w:pPr>
              <w:spacing w:after="0"/>
              <w:jc w:val="center"/>
              <w:rPr>
                <w:rFonts w:ascii="Arial" w:hAnsi="Arial" w:cstheme="minorBidi"/>
                <w:noProof/>
                <w:sz w:val="20"/>
                <w:szCs w:val="20"/>
                <w:lang w:eastAsia="en-GB"/>
              </w:rPr>
            </w:pPr>
          </w:p>
        </w:tc>
        <w:tc>
          <w:tcPr>
            <w:tcW w:w="851" w:type="dxa"/>
            <w:tcBorders>
              <w:top w:val="single" w:sz="6" w:space="0" w:color="262626"/>
              <w:bottom w:val="single" w:sz="6" w:space="0" w:color="262626"/>
              <w:right w:val="single" w:sz="4" w:space="0" w:color="auto"/>
            </w:tcBorders>
            <w:shd w:val="clear" w:color="auto" w:fill="auto"/>
          </w:tcPr>
          <w:p w14:paraId="2A303857" w14:textId="77777777" w:rsidR="000627C0" w:rsidRPr="00035759" w:rsidRDefault="000627C0" w:rsidP="003F39BA">
            <w:pPr>
              <w:spacing w:after="0"/>
              <w:jc w:val="center"/>
              <w:rPr>
                <w:rFonts w:ascii="Arial" w:hAnsi="Arial" w:cstheme="minorBidi"/>
                <w:sz w:val="20"/>
                <w:szCs w:val="20"/>
              </w:rPr>
            </w:pPr>
          </w:p>
        </w:tc>
        <w:tc>
          <w:tcPr>
            <w:tcW w:w="850" w:type="dxa"/>
            <w:tcBorders>
              <w:top w:val="single" w:sz="6" w:space="0" w:color="262626"/>
              <w:left w:val="single" w:sz="4" w:space="0" w:color="auto"/>
              <w:bottom w:val="single" w:sz="6" w:space="0" w:color="262626"/>
              <w:right w:val="single" w:sz="4" w:space="0" w:color="auto"/>
            </w:tcBorders>
            <w:shd w:val="clear" w:color="auto" w:fill="auto"/>
          </w:tcPr>
          <w:p w14:paraId="16EE2904" w14:textId="77777777" w:rsidR="000627C0" w:rsidRPr="00035759" w:rsidRDefault="000627C0" w:rsidP="003F39BA">
            <w:pPr>
              <w:spacing w:after="0"/>
              <w:jc w:val="center"/>
              <w:rPr>
                <w:rFonts w:ascii="Arial" w:hAnsi="Arial" w:cstheme="minorBidi"/>
                <w:sz w:val="20"/>
                <w:szCs w:val="20"/>
              </w:rPr>
            </w:pPr>
          </w:p>
        </w:tc>
        <w:tc>
          <w:tcPr>
            <w:tcW w:w="709" w:type="dxa"/>
            <w:tcBorders>
              <w:left w:val="single" w:sz="12" w:space="0" w:color="auto"/>
              <w:bottom w:val="single" w:sz="6" w:space="0" w:color="262626"/>
              <w:right w:val="single" w:sz="12" w:space="0" w:color="auto"/>
            </w:tcBorders>
          </w:tcPr>
          <w:p w14:paraId="49A835E6" w14:textId="77777777" w:rsidR="000627C0" w:rsidRPr="00035759" w:rsidRDefault="000627C0" w:rsidP="003F39BA">
            <w:pPr>
              <w:spacing w:after="0"/>
              <w:jc w:val="center"/>
              <w:rPr>
                <w:rFonts w:ascii="Arial" w:hAnsi="Arial" w:cs="Arial"/>
                <w:sz w:val="20"/>
                <w:szCs w:val="20"/>
              </w:rPr>
            </w:pPr>
          </w:p>
        </w:tc>
        <w:tc>
          <w:tcPr>
            <w:tcW w:w="850" w:type="dxa"/>
            <w:tcBorders>
              <w:left w:val="single" w:sz="12" w:space="0" w:color="auto"/>
              <w:bottom w:val="single" w:sz="6" w:space="0" w:color="262626"/>
              <w:right w:val="single" w:sz="12" w:space="0" w:color="auto"/>
            </w:tcBorders>
          </w:tcPr>
          <w:p w14:paraId="5528A247" w14:textId="77777777" w:rsidR="000627C0" w:rsidRPr="00035759" w:rsidRDefault="000627C0" w:rsidP="003F39BA">
            <w:pPr>
              <w:spacing w:after="0"/>
              <w:jc w:val="center"/>
              <w:rPr>
                <w:rFonts w:ascii="Arial" w:hAnsi="Arial" w:cs="Arial"/>
                <w:sz w:val="20"/>
                <w:szCs w:val="20"/>
              </w:rPr>
            </w:pPr>
          </w:p>
        </w:tc>
        <w:tc>
          <w:tcPr>
            <w:tcW w:w="851" w:type="dxa"/>
            <w:tcBorders>
              <w:left w:val="single" w:sz="12" w:space="0" w:color="auto"/>
              <w:bottom w:val="single" w:sz="6" w:space="0" w:color="262626"/>
              <w:right w:val="single" w:sz="12" w:space="0" w:color="auto"/>
            </w:tcBorders>
          </w:tcPr>
          <w:p w14:paraId="12E662F3" w14:textId="77777777" w:rsidR="000627C0" w:rsidRPr="00035759" w:rsidRDefault="000627C0" w:rsidP="003F39BA">
            <w:pPr>
              <w:spacing w:after="0"/>
              <w:jc w:val="center"/>
              <w:rPr>
                <w:rFonts w:ascii="Arial" w:hAnsi="Arial" w:cs="Arial"/>
                <w:sz w:val="20"/>
                <w:szCs w:val="20"/>
              </w:rPr>
            </w:pPr>
            <w:r w:rsidRPr="00035759">
              <w:rPr>
                <w:rFonts w:ascii="Arial" w:hAnsi="Arial" w:cs="Arial"/>
                <w:sz w:val="20"/>
                <w:szCs w:val="20"/>
              </w:rPr>
              <w:t>X</w:t>
            </w:r>
          </w:p>
        </w:tc>
        <w:tc>
          <w:tcPr>
            <w:tcW w:w="1276" w:type="dxa"/>
            <w:tcBorders>
              <w:left w:val="single" w:sz="12" w:space="0" w:color="auto"/>
              <w:bottom w:val="single" w:sz="6" w:space="0" w:color="262626"/>
              <w:right w:val="single" w:sz="8" w:space="0" w:color="262626"/>
            </w:tcBorders>
            <w:shd w:val="clear" w:color="auto" w:fill="auto"/>
          </w:tcPr>
          <w:p w14:paraId="2B6EBFFF" w14:textId="77777777" w:rsidR="000627C0" w:rsidRPr="00035759" w:rsidRDefault="000627C0" w:rsidP="003F39BA">
            <w:pPr>
              <w:spacing w:after="0"/>
              <w:jc w:val="center"/>
              <w:rPr>
                <w:rFonts w:ascii="Arial" w:hAnsi="Arial" w:cs="Arial"/>
                <w:sz w:val="20"/>
                <w:szCs w:val="20"/>
              </w:rPr>
            </w:pPr>
          </w:p>
        </w:tc>
      </w:tr>
      <w:tr w:rsidR="000627C0" w:rsidRPr="00035759" w14:paraId="41794CF0" w14:textId="77777777" w:rsidTr="003F39BA">
        <w:trPr>
          <w:trHeight w:val="189"/>
        </w:trPr>
        <w:tc>
          <w:tcPr>
            <w:tcW w:w="3539" w:type="dxa"/>
            <w:tcBorders>
              <w:top w:val="single" w:sz="12" w:space="0" w:color="262626"/>
              <w:bottom w:val="nil"/>
              <w:right w:val="single" w:sz="12" w:space="0" w:color="auto"/>
            </w:tcBorders>
            <w:shd w:val="clear" w:color="auto" w:fill="auto"/>
          </w:tcPr>
          <w:p w14:paraId="6DACD061" w14:textId="77777777" w:rsidR="000627C0" w:rsidRPr="00035759" w:rsidRDefault="000627C0" w:rsidP="003F39BA">
            <w:pPr>
              <w:spacing w:after="0"/>
              <w:jc w:val="right"/>
              <w:rPr>
                <w:rFonts w:ascii="Arial" w:hAnsi="Arial" w:cs="Arial"/>
                <w:b/>
                <w:bCs/>
                <w:i/>
                <w:sz w:val="20"/>
                <w:szCs w:val="20"/>
              </w:rPr>
            </w:pPr>
            <w:r w:rsidRPr="00035759">
              <w:rPr>
                <w:rFonts w:ascii="Arial" w:hAnsi="Arial" w:cs="Arial"/>
                <w:b/>
                <w:bCs/>
                <w:sz w:val="20"/>
                <w:szCs w:val="20"/>
              </w:rPr>
              <w:t>ASSESSMENTS:</w:t>
            </w:r>
          </w:p>
        </w:tc>
        <w:tc>
          <w:tcPr>
            <w:tcW w:w="1559" w:type="dxa"/>
            <w:tcBorders>
              <w:top w:val="single" w:sz="12" w:space="0" w:color="262626"/>
              <w:left w:val="single" w:sz="12" w:space="0" w:color="auto"/>
              <w:right w:val="single" w:sz="12" w:space="0" w:color="262626"/>
            </w:tcBorders>
            <w:shd w:val="clear" w:color="auto" w:fill="auto"/>
          </w:tcPr>
          <w:p w14:paraId="19C310AD" w14:textId="77777777" w:rsidR="000627C0" w:rsidRPr="00035759" w:rsidRDefault="000627C0" w:rsidP="003F39BA">
            <w:pPr>
              <w:spacing w:after="0"/>
              <w:jc w:val="center"/>
              <w:rPr>
                <w:rFonts w:ascii="Arial" w:hAnsi="Arial" w:cs="Arial"/>
                <w:sz w:val="20"/>
                <w:szCs w:val="20"/>
              </w:rPr>
            </w:pPr>
          </w:p>
        </w:tc>
        <w:tc>
          <w:tcPr>
            <w:tcW w:w="1276" w:type="dxa"/>
            <w:tcBorders>
              <w:top w:val="single" w:sz="12" w:space="0" w:color="262626"/>
              <w:left w:val="single" w:sz="12" w:space="0" w:color="262626"/>
              <w:right w:val="single" w:sz="12" w:space="0" w:color="262626"/>
            </w:tcBorders>
            <w:shd w:val="clear" w:color="auto" w:fill="auto"/>
          </w:tcPr>
          <w:p w14:paraId="6B638500" w14:textId="77777777" w:rsidR="000627C0" w:rsidRPr="00035759" w:rsidRDefault="000627C0" w:rsidP="003F39BA">
            <w:pPr>
              <w:spacing w:after="0"/>
              <w:jc w:val="center"/>
              <w:rPr>
                <w:rFonts w:ascii="Arial" w:hAnsi="Arial" w:cs="Arial"/>
                <w:sz w:val="20"/>
                <w:szCs w:val="20"/>
              </w:rPr>
            </w:pPr>
          </w:p>
        </w:tc>
        <w:tc>
          <w:tcPr>
            <w:tcW w:w="851" w:type="dxa"/>
            <w:tcBorders>
              <w:top w:val="single" w:sz="12" w:space="0" w:color="262626"/>
              <w:left w:val="single" w:sz="12" w:space="0" w:color="262626"/>
            </w:tcBorders>
            <w:shd w:val="clear" w:color="auto" w:fill="auto"/>
          </w:tcPr>
          <w:p w14:paraId="63F24E21" w14:textId="77777777" w:rsidR="000627C0" w:rsidRPr="00035759" w:rsidRDefault="000627C0" w:rsidP="003F39BA">
            <w:pPr>
              <w:spacing w:after="0"/>
              <w:jc w:val="center"/>
              <w:rPr>
                <w:rFonts w:ascii="Arial" w:hAnsi="Arial" w:cs="Arial"/>
                <w:sz w:val="20"/>
                <w:szCs w:val="20"/>
              </w:rPr>
            </w:pPr>
          </w:p>
        </w:tc>
        <w:tc>
          <w:tcPr>
            <w:tcW w:w="850" w:type="dxa"/>
            <w:tcBorders>
              <w:top w:val="single" w:sz="12" w:space="0" w:color="262626"/>
            </w:tcBorders>
            <w:shd w:val="clear" w:color="auto" w:fill="auto"/>
          </w:tcPr>
          <w:p w14:paraId="61AC2F03" w14:textId="77777777" w:rsidR="000627C0" w:rsidRPr="00035759" w:rsidRDefault="000627C0" w:rsidP="003F39BA">
            <w:pPr>
              <w:spacing w:after="0"/>
              <w:jc w:val="center"/>
              <w:rPr>
                <w:rFonts w:ascii="Arial" w:hAnsi="Arial" w:cstheme="minorBidi"/>
                <w:noProof/>
                <w:sz w:val="20"/>
                <w:szCs w:val="20"/>
              </w:rPr>
            </w:pPr>
          </w:p>
        </w:tc>
        <w:tc>
          <w:tcPr>
            <w:tcW w:w="851" w:type="dxa"/>
            <w:tcBorders>
              <w:top w:val="single" w:sz="12" w:space="0" w:color="262626"/>
            </w:tcBorders>
            <w:shd w:val="clear" w:color="auto" w:fill="auto"/>
          </w:tcPr>
          <w:p w14:paraId="25947CEE" w14:textId="77777777" w:rsidR="000627C0" w:rsidRPr="00035759" w:rsidRDefault="000627C0" w:rsidP="003F39BA">
            <w:pPr>
              <w:spacing w:after="0"/>
              <w:jc w:val="center"/>
              <w:rPr>
                <w:rFonts w:ascii="Arial" w:hAnsi="Arial" w:cstheme="minorBidi"/>
                <w:sz w:val="20"/>
                <w:szCs w:val="20"/>
              </w:rPr>
            </w:pPr>
          </w:p>
        </w:tc>
        <w:tc>
          <w:tcPr>
            <w:tcW w:w="850" w:type="dxa"/>
            <w:tcBorders>
              <w:top w:val="single" w:sz="12" w:space="0" w:color="262626"/>
            </w:tcBorders>
            <w:shd w:val="clear" w:color="auto" w:fill="auto"/>
          </w:tcPr>
          <w:p w14:paraId="4C896D15" w14:textId="77777777" w:rsidR="000627C0" w:rsidRPr="00035759" w:rsidRDefault="000627C0" w:rsidP="003F39BA">
            <w:pPr>
              <w:spacing w:after="0"/>
              <w:jc w:val="center"/>
              <w:rPr>
                <w:rFonts w:ascii="Arial" w:hAnsi="Arial" w:cstheme="minorBidi"/>
                <w:sz w:val="20"/>
                <w:szCs w:val="20"/>
              </w:rPr>
            </w:pPr>
          </w:p>
        </w:tc>
        <w:tc>
          <w:tcPr>
            <w:tcW w:w="851" w:type="dxa"/>
            <w:tcBorders>
              <w:top w:val="single" w:sz="12" w:space="0" w:color="262626"/>
              <w:right w:val="single" w:sz="4" w:space="0" w:color="auto"/>
            </w:tcBorders>
          </w:tcPr>
          <w:p w14:paraId="4F2AA86D" w14:textId="77777777" w:rsidR="000627C0" w:rsidRPr="00035759" w:rsidRDefault="000627C0" w:rsidP="003F39BA">
            <w:pPr>
              <w:spacing w:after="0"/>
              <w:jc w:val="center"/>
              <w:rPr>
                <w:rFonts w:ascii="Arial" w:hAnsi="Arial" w:cstheme="minorBidi"/>
                <w:sz w:val="20"/>
                <w:szCs w:val="20"/>
              </w:rPr>
            </w:pPr>
          </w:p>
        </w:tc>
        <w:tc>
          <w:tcPr>
            <w:tcW w:w="850" w:type="dxa"/>
            <w:tcBorders>
              <w:top w:val="single" w:sz="12" w:space="0" w:color="262626"/>
              <w:left w:val="single" w:sz="4" w:space="0" w:color="auto"/>
              <w:right w:val="single" w:sz="4" w:space="0" w:color="auto"/>
            </w:tcBorders>
          </w:tcPr>
          <w:p w14:paraId="328C49B8" w14:textId="77777777" w:rsidR="000627C0" w:rsidRPr="00035759" w:rsidRDefault="000627C0" w:rsidP="003F39BA">
            <w:pPr>
              <w:spacing w:after="0"/>
              <w:jc w:val="center"/>
              <w:rPr>
                <w:rFonts w:ascii="Arial" w:hAnsi="Arial" w:cstheme="minorBidi"/>
                <w:sz w:val="20"/>
                <w:szCs w:val="20"/>
              </w:rPr>
            </w:pPr>
          </w:p>
        </w:tc>
        <w:tc>
          <w:tcPr>
            <w:tcW w:w="709" w:type="dxa"/>
            <w:tcBorders>
              <w:top w:val="single" w:sz="12" w:space="0" w:color="262626"/>
              <w:left w:val="single" w:sz="12" w:space="0" w:color="auto"/>
              <w:right w:val="single" w:sz="12" w:space="0" w:color="auto"/>
            </w:tcBorders>
          </w:tcPr>
          <w:p w14:paraId="4AF4F5CE" w14:textId="77777777" w:rsidR="000627C0" w:rsidRPr="00035759" w:rsidRDefault="000627C0" w:rsidP="003F39BA">
            <w:pPr>
              <w:spacing w:after="0"/>
              <w:jc w:val="center"/>
              <w:rPr>
                <w:rFonts w:ascii="Arial" w:hAnsi="Arial" w:cs="Arial"/>
                <w:sz w:val="20"/>
                <w:szCs w:val="20"/>
              </w:rPr>
            </w:pPr>
          </w:p>
        </w:tc>
        <w:tc>
          <w:tcPr>
            <w:tcW w:w="850" w:type="dxa"/>
            <w:tcBorders>
              <w:top w:val="single" w:sz="12" w:space="0" w:color="262626"/>
              <w:left w:val="single" w:sz="12" w:space="0" w:color="auto"/>
              <w:right w:val="single" w:sz="12" w:space="0" w:color="auto"/>
            </w:tcBorders>
          </w:tcPr>
          <w:p w14:paraId="3286B122" w14:textId="77777777" w:rsidR="000627C0" w:rsidRPr="00035759" w:rsidRDefault="000627C0" w:rsidP="003F39BA">
            <w:pPr>
              <w:spacing w:after="0"/>
              <w:jc w:val="center"/>
              <w:rPr>
                <w:rFonts w:ascii="Arial" w:hAnsi="Arial" w:cs="Arial"/>
                <w:sz w:val="20"/>
                <w:szCs w:val="20"/>
              </w:rPr>
            </w:pPr>
          </w:p>
        </w:tc>
        <w:tc>
          <w:tcPr>
            <w:tcW w:w="851" w:type="dxa"/>
            <w:tcBorders>
              <w:top w:val="single" w:sz="12" w:space="0" w:color="262626"/>
              <w:left w:val="single" w:sz="12" w:space="0" w:color="auto"/>
              <w:right w:val="single" w:sz="12" w:space="0" w:color="auto"/>
            </w:tcBorders>
          </w:tcPr>
          <w:p w14:paraId="74464243" w14:textId="77777777" w:rsidR="000627C0" w:rsidRPr="00035759" w:rsidRDefault="000627C0" w:rsidP="003F39BA">
            <w:pPr>
              <w:spacing w:after="0"/>
              <w:jc w:val="center"/>
              <w:rPr>
                <w:rFonts w:ascii="Arial" w:hAnsi="Arial" w:cs="Arial"/>
                <w:sz w:val="20"/>
                <w:szCs w:val="20"/>
              </w:rPr>
            </w:pPr>
          </w:p>
        </w:tc>
        <w:tc>
          <w:tcPr>
            <w:tcW w:w="1276" w:type="dxa"/>
            <w:tcBorders>
              <w:top w:val="single" w:sz="12" w:space="0" w:color="262626"/>
              <w:left w:val="single" w:sz="12" w:space="0" w:color="auto"/>
              <w:right w:val="single" w:sz="8" w:space="0" w:color="262626"/>
            </w:tcBorders>
            <w:shd w:val="clear" w:color="auto" w:fill="auto"/>
          </w:tcPr>
          <w:p w14:paraId="4668E72C" w14:textId="77777777" w:rsidR="000627C0" w:rsidRPr="00035759" w:rsidRDefault="000627C0" w:rsidP="003F39BA">
            <w:pPr>
              <w:spacing w:after="0"/>
              <w:jc w:val="center"/>
              <w:rPr>
                <w:rFonts w:ascii="Arial" w:hAnsi="Arial" w:cs="Arial"/>
                <w:sz w:val="20"/>
                <w:szCs w:val="20"/>
              </w:rPr>
            </w:pPr>
          </w:p>
        </w:tc>
      </w:tr>
      <w:tr w:rsidR="000627C0" w:rsidRPr="00035759" w14:paraId="4FEF107C" w14:textId="77777777" w:rsidTr="003F39BA">
        <w:trPr>
          <w:trHeight w:val="81"/>
        </w:trPr>
        <w:tc>
          <w:tcPr>
            <w:tcW w:w="3539" w:type="dxa"/>
            <w:tcBorders>
              <w:top w:val="nil"/>
              <w:bottom w:val="nil"/>
              <w:right w:val="single" w:sz="12" w:space="0" w:color="auto"/>
            </w:tcBorders>
            <w:shd w:val="clear" w:color="auto" w:fill="auto"/>
          </w:tcPr>
          <w:p w14:paraId="658977BD" w14:textId="77777777" w:rsidR="000627C0" w:rsidRPr="00035759" w:rsidRDefault="000627C0" w:rsidP="003F39BA">
            <w:pPr>
              <w:spacing w:after="0"/>
              <w:jc w:val="right"/>
              <w:rPr>
                <w:rFonts w:ascii="Arial" w:hAnsi="Arial" w:cs="Arial"/>
                <w:i/>
                <w:sz w:val="20"/>
                <w:szCs w:val="20"/>
              </w:rPr>
            </w:pPr>
            <w:r w:rsidRPr="00035759">
              <w:rPr>
                <w:rFonts w:ascii="Arial" w:hAnsi="Arial" w:cs="Arial"/>
                <w:i/>
                <w:sz w:val="20"/>
                <w:szCs w:val="20"/>
              </w:rPr>
              <w:t xml:space="preserve">Baseline transfusion &amp; SSI rates </w:t>
            </w:r>
          </w:p>
        </w:tc>
        <w:tc>
          <w:tcPr>
            <w:tcW w:w="1559" w:type="dxa"/>
            <w:tcBorders>
              <w:left w:val="single" w:sz="12" w:space="0" w:color="auto"/>
              <w:right w:val="single" w:sz="12" w:space="0" w:color="262626"/>
            </w:tcBorders>
            <w:shd w:val="clear" w:color="auto" w:fill="auto"/>
          </w:tcPr>
          <w:p w14:paraId="65C384B8" w14:textId="77777777" w:rsidR="000627C0" w:rsidRPr="00035759" w:rsidRDefault="000627C0" w:rsidP="003F39BA">
            <w:pPr>
              <w:spacing w:after="0"/>
              <w:jc w:val="center"/>
              <w:rPr>
                <w:rFonts w:ascii="Arial" w:hAnsi="Arial" w:cs="Arial"/>
                <w:sz w:val="20"/>
                <w:szCs w:val="20"/>
              </w:rPr>
            </w:pPr>
          </w:p>
        </w:tc>
        <w:tc>
          <w:tcPr>
            <w:tcW w:w="1276" w:type="dxa"/>
            <w:tcBorders>
              <w:left w:val="single" w:sz="12" w:space="0" w:color="262626"/>
              <w:right w:val="single" w:sz="12" w:space="0" w:color="262626"/>
            </w:tcBorders>
            <w:shd w:val="clear" w:color="auto" w:fill="auto"/>
          </w:tcPr>
          <w:p w14:paraId="18C778BD" w14:textId="77777777" w:rsidR="000627C0" w:rsidRPr="00035759" w:rsidRDefault="000627C0" w:rsidP="003F39BA">
            <w:pPr>
              <w:spacing w:after="0"/>
              <w:jc w:val="center"/>
              <w:rPr>
                <w:rFonts w:ascii="Arial" w:hAnsi="Arial" w:cs="Arial"/>
                <w:sz w:val="20"/>
                <w:szCs w:val="20"/>
              </w:rPr>
            </w:pPr>
            <w:r w:rsidRPr="00035759">
              <w:rPr>
                <w:rFonts w:ascii="Arial" w:hAnsi="Arial" w:cs="Arial"/>
                <w:sz w:val="20"/>
                <w:szCs w:val="20"/>
              </w:rPr>
              <w:t>X</w:t>
            </w:r>
          </w:p>
        </w:tc>
        <w:tc>
          <w:tcPr>
            <w:tcW w:w="851" w:type="dxa"/>
            <w:tcBorders>
              <w:left w:val="single" w:sz="12" w:space="0" w:color="262626"/>
            </w:tcBorders>
            <w:shd w:val="clear" w:color="auto" w:fill="auto"/>
          </w:tcPr>
          <w:p w14:paraId="376FA1BC" w14:textId="77777777" w:rsidR="000627C0" w:rsidRPr="00035759" w:rsidRDefault="000627C0" w:rsidP="003F39BA">
            <w:pPr>
              <w:spacing w:after="0"/>
              <w:jc w:val="center"/>
              <w:rPr>
                <w:rFonts w:ascii="Arial" w:hAnsi="Arial" w:cs="Arial"/>
                <w:sz w:val="20"/>
                <w:szCs w:val="20"/>
              </w:rPr>
            </w:pPr>
          </w:p>
        </w:tc>
        <w:tc>
          <w:tcPr>
            <w:tcW w:w="850" w:type="dxa"/>
            <w:shd w:val="clear" w:color="auto" w:fill="auto"/>
          </w:tcPr>
          <w:p w14:paraId="509C702E" w14:textId="77777777" w:rsidR="000627C0" w:rsidRPr="00035759" w:rsidRDefault="000627C0" w:rsidP="003F39BA">
            <w:pPr>
              <w:spacing w:after="0"/>
              <w:jc w:val="center"/>
              <w:rPr>
                <w:rFonts w:ascii="Arial" w:hAnsi="Arial" w:cstheme="minorBidi"/>
                <w:noProof/>
                <w:sz w:val="20"/>
                <w:szCs w:val="20"/>
              </w:rPr>
            </w:pPr>
          </w:p>
        </w:tc>
        <w:tc>
          <w:tcPr>
            <w:tcW w:w="851" w:type="dxa"/>
            <w:shd w:val="clear" w:color="auto" w:fill="auto"/>
          </w:tcPr>
          <w:p w14:paraId="1C88681C" w14:textId="77777777" w:rsidR="000627C0" w:rsidRPr="00035759" w:rsidRDefault="000627C0" w:rsidP="003F39BA">
            <w:pPr>
              <w:spacing w:after="0"/>
              <w:jc w:val="center"/>
              <w:rPr>
                <w:rFonts w:ascii="Arial" w:hAnsi="Arial" w:cstheme="minorBidi"/>
                <w:sz w:val="20"/>
                <w:szCs w:val="20"/>
              </w:rPr>
            </w:pPr>
          </w:p>
        </w:tc>
        <w:tc>
          <w:tcPr>
            <w:tcW w:w="850" w:type="dxa"/>
            <w:shd w:val="clear" w:color="auto" w:fill="auto"/>
          </w:tcPr>
          <w:p w14:paraId="380EB404" w14:textId="77777777" w:rsidR="000627C0" w:rsidRPr="00035759" w:rsidRDefault="000627C0" w:rsidP="003F39BA">
            <w:pPr>
              <w:spacing w:after="0"/>
              <w:jc w:val="center"/>
              <w:rPr>
                <w:rFonts w:ascii="Arial" w:hAnsi="Arial" w:cstheme="minorBidi"/>
                <w:sz w:val="20"/>
                <w:szCs w:val="20"/>
              </w:rPr>
            </w:pPr>
          </w:p>
        </w:tc>
        <w:tc>
          <w:tcPr>
            <w:tcW w:w="851" w:type="dxa"/>
            <w:tcBorders>
              <w:right w:val="single" w:sz="4" w:space="0" w:color="auto"/>
            </w:tcBorders>
          </w:tcPr>
          <w:p w14:paraId="271CDFFC" w14:textId="77777777" w:rsidR="000627C0" w:rsidRPr="00035759" w:rsidRDefault="000627C0" w:rsidP="003F39BA">
            <w:pPr>
              <w:spacing w:after="0"/>
              <w:jc w:val="center"/>
              <w:rPr>
                <w:rFonts w:ascii="Arial" w:hAnsi="Arial" w:cstheme="minorBidi"/>
                <w:sz w:val="20"/>
                <w:szCs w:val="20"/>
              </w:rPr>
            </w:pPr>
          </w:p>
        </w:tc>
        <w:tc>
          <w:tcPr>
            <w:tcW w:w="850" w:type="dxa"/>
            <w:tcBorders>
              <w:left w:val="single" w:sz="4" w:space="0" w:color="auto"/>
              <w:right w:val="single" w:sz="4" w:space="0" w:color="auto"/>
            </w:tcBorders>
          </w:tcPr>
          <w:p w14:paraId="19C99AEB" w14:textId="77777777" w:rsidR="000627C0" w:rsidRPr="00035759" w:rsidRDefault="000627C0" w:rsidP="003F39BA">
            <w:pPr>
              <w:spacing w:after="0"/>
              <w:jc w:val="center"/>
              <w:rPr>
                <w:rFonts w:ascii="Arial" w:hAnsi="Arial" w:cstheme="minorBidi"/>
                <w:sz w:val="20"/>
                <w:szCs w:val="20"/>
              </w:rPr>
            </w:pPr>
          </w:p>
        </w:tc>
        <w:tc>
          <w:tcPr>
            <w:tcW w:w="709" w:type="dxa"/>
            <w:tcBorders>
              <w:left w:val="single" w:sz="12" w:space="0" w:color="auto"/>
              <w:right w:val="single" w:sz="12" w:space="0" w:color="auto"/>
            </w:tcBorders>
            <w:shd w:val="clear" w:color="auto" w:fill="FFFFFF"/>
          </w:tcPr>
          <w:p w14:paraId="6648F113" w14:textId="77777777" w:rsidR="000627C0" w:rsidRPr="00035759" w:rsidRDefault="000627C0" w:rsidP="003F39BA">
            <w:pPr>
              <w:spacing w:after="0"/>
              <w:jc w:val="center"/>
              <w:rPr>
                <w:rFonts w:ascii="Arial" w:hAnsi="Arial" w:cs="Arial"/>
                <w:sz w:val="20"/>
                <w:szCs w:val="20"/>
              </w:rPr>
            </w:pPr>
          </w:p>
        </w:tc>
        <w:tc>
          <w:tcPr>
            <w:tcW w:w="850" w:type="dxa"/>
            <w:tcBorders>
              <w:left w:val="single" w:sz="12" w:space="0" w:color="auto"/>
              <w:right w:val="single" w:sz="12" w:space="0" w:color="auto"/>
            </w:tcBorders>
            <w:shd w:val="clear" w:color="auto" w:fill="FFFFFF"/>
          </w:tcPr>
          <w:p w14:paraId="17555F97" w14:textId="77777777" w:rsidR="000627C0" w:rsidRPr="00035759" w:rsidRDefault="000627C0" w:rsidP="003F39BA">
            <w:pPr>
              <w:spacing w:after="0"/>
              <w:jc w:val="center"/>
              <w:rPr>
                <w:rFonts w:ascii="Arial" w:hAnsi="Arial" w:cs="Arial"/>
                <w:sz w:val="20"/>
                <w:szCs w:val="20"/>
              </w:rPr>
            </w:pPr>
          </w:p>
        </w:tc>
        <w:tc>
          <w:tcPr>
            <w:tcW w:w="851" w:type="dxa"/>
            <w:tcBorders>
              <w:left w:val="single" w:sz="12" w:space="0" w:color="auto"/>
              <w:right w:val="single" w:sz="12" w:space="0" w:color="auto"/>
            </w:tcBorders>
            <w:shd w:val="clear" w:color="auto" w:fill="FFFFFF"/>
          </w:tcPr>
          <w:p w14:paraId="4140D6BB" w14:textId="77777777" w:rsidR="000627C0" w:rsidRPr="00035759" w:rsidRDefault="000627C0" w:rsidP="003F39BA">
            <w:pPr>
              <w:spacing w:after="0"/>
              <w:jc w:val="center"/>
              <w:rPr>
                <w:rFonts w:ascii="Arial" w:hAnsi="Arial" w:cs="Arial"/>
                <w:sz w:val="20"/>
                <w:szCs w:val="20"/>
              </w:rPr>
            </w:pPr>
          </w:p>
        </w:tc>
        <w:tc>
          <w:tcPr>
            <w:tcW w:w="1276" w:type="dxa"/>
            <w:tcBorders>
              <w:left w:val="single" w:sz="12" w:space="0" w:color="auto"/>
              <w:right w:val="single" w:sz="8" w:space="0" w:color="262626"/>
            </w:tcBorders>
            <w:shd w:val="clear" w:color="auto" w:fill="FFFFFF"/>
          </w:tcPr>
          <w:p w14:paraId="6F7AAA95" w14:textId="77777777" w:rsidR="000627C0" w:rsidRPr="00035759" w:rsidRDefault="000627C0" w:rsidP="003F39BA">
            <w:pPr>
              <w:spacing w:after="0"/>
              <w:jc w:val="center"/>
              <w:rPr>
                <w:rFonts w:ascii="Arial" w:hAnsi="Arial" w:cs="Arial"/>
                <w:sz w:val="20"/>
                <w:szCs w:val="20"/>
              </w:rPr>
            </w:pPr>
          </w:p>
        </w:tc>
      </w:tr>
      <w:tr w:rsidR="000627C0" w:rsidRPr="00035759" w14:paraId="5F82C8C0" w14:textId="77777777" w:rsidTr="003F39BA">
        <w:trPr>
          <w:trHeight w:val="81"/>
        </w:trPr>
        <w:tc>
          <w:tcPr>
            <w:tcW w:w="3539" w:type="dxa"/>
            <w:tcBorders>
              <w:top w:val="nil"/>
              <w:bottom w:val="nil"/>
              <w:right w:val="single" w:sz="12" w:space="0" w:color="auto"/>
            </w:tcBorders>
            <w:shd w:val="clear" w:color="auto" w:fill="auto"/>
          </w:tcPr>
          <w:p w14:paraId="215856B7" w14:textId="77777777" w:rsidR="000627C0" w:rsidRPr="00035759" w:rsidRDefault="000627C0" w:rsidP="003F39BA">
            <w:pPr>
              <w:spacing w:after="0"/>
              <w:jc w:val="right"/>
              <w:rPr>
                <w:rFonts w:ascii="Arial" w:hAnsi="Arial" w:cs="Arial"/>
                <w:i/>
                <w:sz w:val="20"/>
                <w:szCs w:val="20"/>
              </w:rPr>
            </w:pPr>
            <w:r w:rsidRPr="00035759">
              <w:rPr>
                <w:rFonts w:ascii="Arial" w:hAnsi="Arial" w:cs="Arial"/>
                <w:i/>
                <w:sz w:val="20"/>
                <w:szCs w:val="20"/>
              </w:rPr>
              <w:t>Implementation period**</w:t>
            </w:r>
          </w:p>
        </w:tc>
        <w:tc>
          <w:tcPr>
            <w:tcW w:w="1559" w:type="dxa"/>
            <w:tcBorders>
              <w:left w:val="single" w:sz="12" w:space="0" w:color="auto"/>
              <w:right w:val="single" w:sz="12" w:space="0" w:color="262626"/>
            </w:tcBorders>
            <w:shd w:val="clear" w:color="auto" w:fill="auto"/>
          </w:tcPr>
          <w:p w14:paraId="55037303" w14:textId="77777777" w:rsidR="000627C0" w:rsidRPr="00035759" w:rsidRDefault="000627C0" w:rsidP="003F39BA">
            <w:pPr>
              <w:spacing w:after="0"/>
              <w:jc w:val="center"/>
              <w:rPr>
                <w:rFonts w:ascii="Arial" w:hAnsi="Arial" w:cs="Arial"/>
                <w:sz w:val="20"/>
                <w:szCs w:val="20"/>
              </w:rPr>
            </w:pPr>
          </w:p>
        </w:tc>
        <w:tc>
          <w:tcPr>
            <w:tcW w:w="1276" w:type="dxa"/>
            <w:tcBorders>
              <w:left w:val="single" w:sz="12" w:space="0" w:color="262626"/>
              <w:right w:val="single" w:sz="12" w:space="0" w:color="262626"/>
            </w:tcBorders>
            <w:shd w:val="clear" w:color="auto" w:fill="auto"/>
          </w:tcPr>
          <w:p w14:paraId="00600D57" w14:textId="77777777" w:rsidR="000627C0" w:rsidRPr="00035759" w:rsidRDefault="000627C0" w:rsidP="003F39BA">
            <w:pPr>
              <w:spacing w:after="0"/>
              <w:jc w:val="center"/>
              <w:rPr>
                <w:rFonts w:ascii="Arial" w:hAnsi="Arial" w:cs="Arial"/>
                <w:sz w:val="20"/>
                <w:szCs w:val="20"/>
              </w:rPr>
            </w:pPr>
          </w:p>
        </w:tc>
        <w:tc>
          <w:tcPr>
            <w:tcW w:w="851" w:type="dxa"/>
            <w:tcBorders>
              <w:left w:val="single" w:sz="12" w:space="0" w:color="262626"/>
            </w:tcBorders>
            <w:shd w:val="clear" w:color="auto" w:fill="auto"/>
          </w:tcPr>
          <w:p w14:paraId="7FEC6E83" w14:textId="77777777" w:rsidR="000627C0" w:rsidRPr="00035759" w:rsidRDefault="000627C0" w:rsidP="003F39BA">
            <w:pPr>
              <w:spacing w:after="0"/>
              <w:jc w:val="center"/>
              <w:rPr>
                <w:rFonts w:ascii="Arial" w:hAnsi="Arial" w:cs="Arial"/>
                <w:sz w:val="20"/>
                <w:szCs w:val="20"/>
              </w:rPr>
            </w:pPr>
            <w:r w:rsidRPr="00035759">
              <w:rPr>
                <w:rFonts w:ascii="Arial" w:hAnsi="Arial" w:cstheme="minorBidi"/>
                <w:noProof/>
                <w:sz w:val="20"/>
                <w:szCs w:val="20"/>
                <w:lang w:eastAsia="en-GB"/>
              </w:rPr>
              <mc:AlternateContent>
                <mc:Choice Requires="wps">
                  <w:drawing>
                    <wp:anchor distT="0" distB="0" distL="114300" distR="114300" simplePos="0" relativeHeight="251753472" behindDoc="0" locked="0" layoutInCell="1" allowOverlap="1" wp14:anchorId="37F9F62B" wp14:editId="0B65AB1D">
                      <wp:simplePos x="0" y="0"/>
                      <wp:positionH relativeFrom="column">
                        <wp:posOffset>225425</wp:posOffset>
                      </wp:positionH>
                      <wp:positionV relativeFrom="paragraph">
                        <wp:posOffset>95885</wp:posOffset>
                      </wp:positionV>
                      <wp:extent cx="559435" cy="0"/>
                      <wp:effectExtent l="38100" t="38100" r="37465" b="38100"/>
                      <wp:wrapNone/>
                      <wp:docPr id="5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9435" cy="0"/>
                              </a:xfrm>
                              <a:prstGeom prst="straightConnector1">
                                <a:avLst/>
                              </a:prstGeom>
                              <a:noFill/>
                              <a:ln w="28575">
                                <a:solidFill>
                                  <a:srgbClr val="272727"/>
                                </a:solidFill>
                                <a:round/>
                                <a:headEnd type="diamond" w="med" len="sm"/>
                                <a:tailEnd type="diamond"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B80F9B" id="AutoShape 3" o:spid="_x0000_s1026" type="#_x0000_t32" style="position:absolute;margin-left:17.75pt;margin-top:7.55pt;width:44.0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" strokecolor="#272727" strokeweight="2.25pt">
                      <v:stroke startarrow="diamond" startarrowlength="short" endarrow="diamond" endarrowlength="short"/>
                      <o:lock v:ext="edit" shapetype="f"/>
                    </v:shape>
                  </w:pict>
                </mc:Fallback>
              </mc:AlternateContent>
            </w:r>
          </w:p>
        </w:tc>
        <w:tc>
          <w:tcPr>
            <w:tcW w:w="850" w:type="dxa"/>
            <w:shd w:val="clear" w:color="auto" w:fill="auto"/>
          </w:tcPr>
          <w:p w14:paraId="2C58825E" w14:textId="77777777" w:rsidR="000627C0" w:rsidRPr="00AD29B0" w:rsidRDefault="000627C0" w:rsidP="003F39BA">
            <w:pPr>
              <w:spacing w:after="0"/>
              <w:jc w:val="center"/>
              <w:rPr>
                <w:rFonts w:ascii="Arial" w:hAnsi="Arial" w:cstheme="minorBidi"/>
                <w:noProof/>
                <w:sz w:val="20"/>
                <w:szCs w:val="20"/>
              </w:rPr>
            </w:pPr>
          </w:p>
        </w:tc>
        <w:tc>
          <w:tcPr>
            <w:tcW w:w="851" w:type="dxa"/>
            <w:shd w:val="clear" w:color="auto" w:fill="auto"/>
          </w:tcPr>
          <w:p w14:paraId="5A8E0BDD" w14:textId="77777777" w:rsidR="000627C0" w:rsidRPr="00035759" w:rsidRDefault="000627C0" w:rsidP="003F39BA">
            <w:pPr>
              <w:spacing w:after="0"/>
              <w:jc w:val="center"/>
              <w:rPr>
                <w:rFonts w:ascii="Arial" w:hAnsi="Arial" w:cstheme="minorBidi"/>
                <w:sz w:val="20"/>
                <w:szCs w:val="20"/>
              </w:rPr>
            </w:pPr>
          </w:p>
        </w:tc>
        <w:tc>
          <w:tcPr>
            <w:tcW w:w="850" w:type="dxa"/>
            <w:shd w:val="clear" w:color="auto" w:fill="auto"/>
          </w:tcPr>
          <w:p w14:paraId="166A1493" w14:textId="77777777" w:rsidR="000627C0" w:rsidRPr="00035759" w:rsidRDefault="000627C0" w:rsidP="003F39BA">
            <w:pPr>
              <w:spacing w:after="0"/>
              <w:jc w:val="center"/>
              <w:rPr>
                <w:rFonts w:ascii="Arial" w:hAnsi="Arial" w:cstheme="minorBidi"/>
                <w:sz w:val="20"/>
                <w:szCs w:val="20"/>
              </w:rPr>
            </w:pPr>
          </w:p>
        </w:tc>
        <w:tc>
          <w:tcPr>
            <w:tcW w:w="851" w:type="dxa"/>
            <w:tcBorders>
              <w:right w:val="single" w:sz="4" w:space="0" w:color="auto"/>
            </w:tcBorders>
          </w:tcPr>
          <w:p w14:paraId="7EA40578" w14:textId="77777777" w:rsidR="000627C0" w:rsidRPr="00035759" w:rsidRDefault="000627C0" w:rsidP="003F39BA">
            <w:pPr>
              <w:spacing w:after="0"/>
              <w:jc w:val="center"/>
              <w:rPr>
                <w:rFonts w:ascii="Arial" w:hAnsi="Arial" w:cstheme="minorBidi"/>
                <w:sz w:val="20"/>
                <w:szCs w:val="20"/>
              </w:rPr>
            </w:pPr>
          </w:p>
        </w:tc>
        <w:tc>
          <w:tcPr>
            <w:tcW w:w="850" w:type="dxa"/>
            <w:tcBorders>
              <w:left w:val="single" w:sz="4" w:space="0" w:color="auto"/>
              <w:right w:val="single" w:sz="4" w:space="0" w:color="auto"/>
            </w:tcBorders>
          </w:tcPr>
          <w:p w14:paraId="7572C407" w14:textId="77777777" w:rsidR="000627C0" w:rsidRPr="00035759" w:rsidRDefault="000627C0" w:rsidP="003F39BA">
            <w:pPr>
              <w:spacing w:after="0"/>
              <w:jc w:val="center"/>
              <w:rPr>
                <w:rFonts w:ascii="Arial" w:hAnsi="Arial" w:cstheme="minorBidi"/>
                <w:sz w:val="20"/>
                <w:szCs w:val="20"/>
              </w:rPr>
            </w:pPr>
          </w:p>
        </w:tc>
        <w:tc>
          <w:tcPr>
            <w:tcW w:w="709" w:type="dxa"/>
            <w:tcBorders>
              <w:left w:val="single" w:sz="12" w:space="0" w:color="auto"/>
              <w:right w:val="single" w:sz="12" w:space="0" w:color="auto"/>
            </w:tcBorders>
            <w:shd w:val="clear" w:color="auto" w:fill="FFFFFF"/>
          </w:tcPr>
          <w:p w14:paraId="4ED72F10" w14:textId="77777777" w:rsidR="000627C0" w:rsidRPr="00035759" w:rsidRDefault="000627C0" w:rsidP="003F39BA">
            <w:pPr>
              <w:spacing w:after="0"/>
              <w:jc w:val="center"/>
              <w:rPr>
                <w:rFonts w:ascii="Arial" w:hAnsi="Arial" w:cs="Arial"/>
                <w:sz w:val="20"/>
                <w:szCs w:val="20"/>
              </w:rPr>
            </w:pPr>
          </w:p>
        </w:tc>
        <w:tc>
          <w:tcPr>
            <w:tcW w:w="850" w:type="dxa"/>
            <w:tcBorders>
              <w:left w:val="single" w:sz="12" w:space="0" w:color="auto"/>
              <w:right w:val="single" w:sz="12" w:space="0" w:color="auto"/>
            </w:tcBorders>
            <w:shd w:val="clear" w:color="auto" w:fill="FFFFFF"/>
          </w:tcPr>
          <w:p w14:paraId="30354FA8" w14:textId="77777777" w:rsidR="000627C0" w:rsidRPr="00035759" w:rsidRDefault="000627C0" w:rsidP="003F39BA">
            <w:pPr>
              <w:spacing w:after="0"/>
              <w:jc w:val="center"/>
              <w:rPr>
                <w:rFonts w:ascii="Arial" w:hAnsi="Arial" w:cs="Arial"/>
                <w:sz w:val="20"/>
                <w:szCs w:val="20"/>
              </w:rPr>
            </w:pPr>
          </w:p>
        </w:tc>
        <w:tc>
          <w:tcPr>
            <w:tcW w:w="851" w:type="dxa"/>
            <w:tcBorders>
              <w:left w:val="single" w:sz="12" w:space="0" w:color="auto"/>
              <w:right w:val="single" w:sz="12" w:space="0" w:color="auto"/>
            </w:tcBorders>
            <w:shd w:val="clear" w:color="auto" w:fill="FFFFFF"/>
          </w:tcPr>
          <w:p w14:paraId="083DA784" w14:textId="77777777" w:rsidR="000627C0" w:rsidRPr="00035759" w:rsidRDefault="000627C0" w:rsidP="003F39BA">
            <w:pPr>
              <w:spacing w:after="0"/>
              <w:jc w:val="center"/>
              <w:rPr>
                <w:rFonts w:ascii="Arial" w:hAnsi="Arial" w:cs="Arial"/>
                <w:sz w:val="20"/>
                <w:szCs w:val="20"/>
              </w:rPr>
            </w:pPr>
          </w:p>
        </w:tc>
        <w:tc>
          <w:tcPr>
            <w:tcW w:w="1276" w:type="dxa"/>
            <w:tcBorders>
              <w:left w:val="single" w:sz="12" w:space="0" w:color="auto"/>
              <w:right w:val="single" w:sz="8" w:space="0" w:color="262626"/>
            </w:tcBorders>
            <w:shd w:val="clear" w:color="auto" w:fill="FFFFFF"/>
          </w:tcPr>
          <w:p w14:paraId="4050315E" w14:textId="77777777" w:rsidR="000627C0" w:rsidRPr="00035759" w:rsidRDefault="000627C0" w:rsidP="003F39BA">
            <w:pPr>
              <w:spacing w:after="0"/>
              <w:jc w:val="center"/>
              <w:rPr>
                <w:rFonts w:ascii="Arial" w:hAnsi="Arial" w:cs="Arial"/>
                <w:sz w:val="20"/>
                <w:szCs w:val="20"/>
              </w:rPr>
            </w:pPr>
          </w:p>
        </w:tc>
      </w:tr>
      <w:tr w:rsidR="000627C0" w:rsidRPr="00035759" w14:paraId="49E62451" w14:textId="77777777" w:rsidTr="003F39BA">
        <w:trPr>
          <w:trHeight w:val="58"/>
        </w:trPr>
        <w:tc>
          <w:tcPr>
            <w:tcW w:w="3539" w:type="dxa"/>
            <w:tcBorders>
              <w:top w:val="nil"/>
              <w:bottom w:val="nil"/>
              <w:right w:val="single" w:sz="12" w:space="0" w:color="auto"/>
            </w:tcBorders>
            <w:shd w:val="clear" w:color="auto" w:fill="auto"/>
          </w:tcPr>
          <w:p w14:paraId="375C5347" w14:textId="77777777" w:rsidR="000627C0" w:rsidRPr="00035759" w:rsidRDefault="000627C0" w:rsidP="003F39BA">
            <w:pPr>
              <w:spacing w:after="0"/>
              <w:contextualSpacing/>
              <w:jc w:val="right"/>
              <w:rPr>
                <w:rFonts w:ascii="Arial" w:hAnsi="Arial" w:cs="Arial"/>
                <w:i/>
                <w:sz w:val="20"/>
                <w:szCs w:val="20"/>
              </w:rPr>
            </w:pPr>
            <w:r w:rsidRPr="00035759">
              <w:rPr>
                <w:rFonts w:ascii="Arial" w:hAnsi="Arial" w:cs="Arial"/>
                <w:i/>
                <w:sz w:val="20"/>
                <w:szCs w:val="20"/>
              </w:rPr>
              <w:t xml:space="preserve">Outcome data collection for analysis </w:t>
            </w:r>
          </w:p>
        </w:tc>
        <w:tc>
          <w:tcPr>
            <w:tcW w:w="1559" w:type="dxa"/>
            <w:tcBorders>
              <w:left w:val="single" w:sz="12" w:space="0" w:color="auto"/>
              <w:right w:val="single" w:sz="12" w:space="0" w:color="262626"/>
            </w:tcBorders>
            <w:shd w:val="clear" w:color="auto" w:fill="auto"/>
          </w:tcPr>
          <w:p w14:paraId="6BF3A95A" w14:textId="77777777" w:rsidR="000627C0" w:rsidRPr="00035759" w:rsidRDefault="000627C0" w:rsidP="003F39BA">
            <w:pPr>
              <w:spacing w:after="0"/>
              <w:jc w:val="center"/>
              <w:rPr>
                <w:rFonts w:ascii="Arial" w:hAnsi="Arial" w:cs="Arial"/>
                <w:sz w:val="20"/>
                <w:szCs w:val="20"/>
              </w:rPr>
            </w:pPr>
          </w:p>
        </w:tc>
        <w:tc>
          <w:tcPr>
            <w:tcW w:w="1276" w:type="dxa"/>
            <w:tcBorders>
              <w:left w:val="single" w:sz="12" w:space="0" w:color="262626"/>
              <w:right w:val="single" w:sz="12" w:space="0" w:color="262626"/>
            </w:tcBorders>
            <w:shd w:val="clear" w:color="auto" w:fill="auto"/>
          </w:tcPr>
          <w:p w14:paraId="7DB4C45F" w14:textId="77777777" w:rsidR="000627C0" w:rsidRPr="00035759" w:rsidRDefault="000627C0" w:rsidP="003F39BA">
            <w:pPr>
              <w:spacing w:after="0"/>
              <w:jc w:val="center"/>
              <w:rPr>
                <w:rFonts w:ascii="Arial" w:hAnsi="Arial" w:cs="Arial"/>
                <w:sz w:val="20"/>
                <w:szCs w:val="20"/>
              </w:rPr>
            </w:pPr>
          </w:p>
        </w:tc>
        <w:tc>
          <w:tcPr>
            <w:tcW w:w="851" w:type="dxa"/>
            <w:tcBorders>
              <w:left w:val="single" w:sz="12" w:space="0" w:color="262626"/>
            </w:tcBorders>
            <w:shd w:val="clear" w:color="auto" w:fill="auto"/>
          </w:tcPr>
          <w:p w14:paraId="1ADE7942" w14:textId="77777777" w:rsidR="000627C0" w:rsidRPr="00035759" w:rsidRDefault="000627C0" w:rsidP="003F39BA">
            <w:pPr>
              <w:spacing w:after="0"/>
              <w:jc w:val="center"/>
              <w:rPr>
                <w:rFonts w:ascii="Arial" w:hAnsi="Arial" w:cs="Arial"/>
                <w:sz w:val="20"/>
                <w:szCs w:val="20"/>
              </w:rPr>
            </w:pPr>
          </w:p>
        </w:tc>
        <w:tc>
          <w:tcPr>
            <w:tcW w:w="850" w:type="dxa"/>
            <w:shd w:val="clear" w:color="auto" w:fill="auto"/>
          </w:tcPr>
          <w:p w14:paraId="63DE9F7B" w14:textId="77777777" w:rsidR="000627C0" w:rsidRPr="00035759" w:rsidRDefault="000627C0" w:rsidP="003F39BA">
            <w:pPr>
              <w:spacing w:after="0"/>
              <w:jc w:val="center"/>
              <w:rPr>
                <w:rFonts w:ascii="Arial" w:hAnsi="Arial" w:cstheme="minorBidi"/>
                <w:noProof/>
                <w:sz w:val="20"/>
                <w:szCs w:val="20"/>
              </w:rPr>
            </w:pPr>
            <w:r w:rsidRPr="00035759">
              <w:rPr>
                <w:rFonts w:ascii="Arial" w:hAnsi="Arial" w:cstheme="minorBidi"/>
                <w:noProof/>
                <w:sz w:val="20"/>
                <w:szCs w:val="20"/>
                <w:lang w:eastAsia="en-GB"/>
              </w:rPr>
              <mc:AlternateContent>
                <mc:Choice Requires="wps">
                  <w:drawing>
                    <wp:anchor distT="0" distB="0" distL="114300" distR="114300" simplePos="0" relativeHeight="251751424" behindDoc="0" locked="0" layoutInCell="1" allowOverlap="1" wp14:anchorId="56622E28" wp14:editId="0F919E55">
                      <wp:simplePos x="0" y="0"/>
                      <wp:positionH relativeFrom="column">
                        <wp:posOffset>334010</wp:posOffset>
                      </wp:positionH>
                      <wp:positionV relativeFrom="paragraph">
                        <wp:posOffset>88265</wp:posOffset>
                      </wp:positionV>
                      <wp:extent cx="1619250" cy="0"/>
                      <wp:effectExtent l="38100" t="38100" r="44450" b="38100"/>
                      <wp:wrapNone/>
                      <wp:docPr id="5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19250" cy="0"/>
                              </a:xfrm>
                              <a:prstGeom prst="straightConnector1">
                                <a:avLst/>
                              </a:prstGeom>
                              <a:noFill/>
                              <a:ln w="28575">
                                <a:solidFill>
                                  <a:srgbClr val="272727"/>
                                </a:solidFill>
                                <a:round/>
                                <a:headEnd type="diamond" w="med" len="sm"/>
                                <a:tailEnd type="diamond"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8ED160" id="AutoShape 4" o:spid="_x0000_s1026" type="#_x0000_t32" style="position:absolute;margin-left:26.3pt;margin-top:6.95pt;width:12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" strokecolor="#272727" strokeweight="2.25pt">
                      <v:stroke startarrow="diamond" startarrowlength="short" endarrow="diamond" endarrowlength="short"/>
                      <o:lock v:ext="edit" shapetype="f"/>
                    </v:shape>
                  </w:pict>
                </mc:Fallback>
              </mc:AlternateContent>
            </w:r>
          </w:p>
        </w:tc>
        <w:tc>
          <w:tcPr>
            <w:tcW w:w="851" w:type="dxa"/>
            <w:shd w:val="clear" w:color="auto" w:fill="auto"/>
          </w:tcPr>
          <w:p w14:paraId="6E992EF6" w14:textId="77777777" w:rsidR="000627C0" w:rsidRPr="00AD29B0" w:rsidRDefault="000627C0" w:rsidP="003F39BA">
            <w:pPr>
              <w:spacing w:after="0"/>
              <w:jc w:val="center"/>
              <w:rPr>
                <w:rFonts w:ascii="Arial" w:hAnsi="Arial" w:cstheme="minorBidi"/>
                <w:sz w:val="20"/>
                <w:szCs w:val="20"/>
              </w:rPr>
            </w:pPr>
          </w:p>
        </w:tc>
        <w:tc>
          <w:tcPr>
            <w:tcW w:w="850" w:type="dxa"/>
            <w:shd w:val="clear" w:color="auto" w:fill="auto"/>
          </w:tcPr>
          <w:p w14:paraId="05AB882F" w14:textId="77777777" w:rsidR="000627C0" w:rsidRPr="00035759" w:rsidRDefault="000627C0" w:rsidP="003F39BA">
            <w:pPr>
              <w:spacing w:after="0"/>
              <w:jc w:val="center"/>
              <w:rPr>
                <w:rFonts w:ascii="Arial" w:hAnsi="Arial" w:cstheme="minorBidi"/>
                <w:sz w:val="20"/>
                <w:szCs w:val="20"/>
              </w:rPr>
            </w:pPr>
          </w:p>
        </w:tc>
        <w:tc>
          <w:tcPr>
            <w:tcW w:w="851" w:type="dxa"/>
            <w:tcBorders>
              <w:right w:val="single" w:sz="4" w:space="0" w:color="auto"/>
            </w:tcBorders>
          </w:tcPr>
          <w:p w14:paraId="20942D72" w14:textId="77777777" w:rsidR="000627C0" w:rsidRPr="00035759" w:rsidRDefault="000627C0" w:rsidP="003F39BA">
            <w:pPr>
              <w:spacing w:after="0"/>
              <w:jc w:val="center"/>
              <w:rPr>
                <w:rFonts w:ascii="Arial" w:hAnsi="Arial" w:cstheme="minorBidi"/>
                <w:sz w:val="20"/>
                <w:szCs w:val="20"/>
              </w:rPr>
            </w:pPr>
          </w:p>
        </w:tc>
        <w:tc>
          <w:tcPr>
            <w:tcW w:w="850" w:type="dxa"/>
            <w:tcBorders>
              <w:left w:val="single" w:sz="4" w:space="0" w:color="auto"/>
              <w:right w:val="single" w:sz="4" w:space="0" w:color="auto"/>
            </w:tcBorders>
          </w:tcPr>
          <w:p w14:paraId="6FA034FE" w14:textId="77777777" w:rsidR="000627C0" w:rsidRPr="00035759" w:rsidRDefault="000627C0" w:rsidP="003F39BA">
            <w:pPr>
              <w:spacing w:after="0"/>
              <w:rPr>
                <w:rFonts w:ascii="Arial" w:hAnsi="Arial" w:cstheme="minorBidi"/>
                <w:sz w:val="20"/>
                <w:szCs w:val="20"/>
              </w:rPr>
            </w:pPr>
          </w:p>
        </w:tc>
        <w:tc>
          <w:tcPr>
            <w:tcW w:w="709" w:type="dxa"/>
            <w:tcBorders>
              <w:left w:val="single" w:sz="12" w:space="0" w:color="auto"/>
              <w:right w:val="single" w:sz="12" w:space="0" w:color="auto"/>
            </w:tcBorders>
          </w:tcPr>
          <w:p w14:paraId="701DF885" w14:textId="77777777" w:rsidR="000627C0" w:rsidRPr="00035759" w:rsidRDefault="000627C0" w:rsidP="003F39BA">
            <w:pPr>
              <w:spacing w:after="0"/>
              <w:jc w:val="center"/>
              <w:rPr>
                <w:rFonts w:ascii="Arial" w:hAnsi="Arial" w:cs="Arial"/>
                <w:sz w:val="20"/>
                <w:szCs w:val="20"/>
              </w:rPr>
            </w:pPr>
          </w:p>
        </w:tc>
        <w:tc>
          <w:tcPr>
            <w:tcW w:w="850" w:type="dxa"/>
            <w:tcBorders>
              <w:left w:val="single" w:sz="12" w:space="0" w:color="auto"/>
              <w:right w:val="single" w:sz="12" w:space="0" w:color="auto"/>
            </w:tcBorders>
          </w:tcPr>
          <w:p w14:paraId="48D3F715" w14:textId="77777777" w:rsidR="000627C0" w:rsidRPr="00035759" w:rsidRDefault="000627C0" w:rsidP="003F39BA">
            <w:pPr>
              <w:spacing w:after="0"/>
              <w:jc w:val="center"/>
              <w:rPr>
                <w:rFonts w:ascii="Arial" w:hAnsi="Arial" w:cs="Arial"/>
                <w:sz w:val="20"/>
                <w:szCs w:val="20"/>
              </w:rPr>
            </w:pPr>
          </w:p>
        </w:tc>
        <w:tc>
          <w:tcPr>
            <w:tcW w:w="851" w:type="dxa"/>
            <w:tcBorders>
              <w:left w:val="single" w:sz="12" w:space="0" w:color="auto"/>
              <w:right w:val="single" w:sz="12" w:space="0" w:color="auto"/>
            </w:tcBorders>
          </w:tcPr>
          <w:p w14:paraId="06BAC8B5" w14:textId="77777777" w:rsidR="000627C0" w:rsidRPr="00035759" w:rsidRDefault="000627C0" w:rsidP="003F39BA">
            <w:pPr>
              <w:spacing w:after="0"/>
              <w:jc w:val="center"/>
              <w:rPr>
                <w:rFonts w:ascii="Arial" w:hAnsi="Arial" w:cs="Arial"/>
                <w:sz w:val="20"/>
                <w:szCs w:val="20"/>
              </w:rPr>
            </w:pPr>
          </w:p>
        </w:tc>
        <w:tc>
          <w:tcPr>
            <w:tcW w:w="1276" w:type="dxa"/>
            <w:tcBorders>
              <w:left w:val="single" w:sz="12" w:space="0" w:color="auto"/>
              <w:right w:val="single" w:sz="8" w:space="0" w:color="262626"/>
            </w:tcBorders>
            <w:shd w:val="clear" w:color="auto" w:fill="auto"/>
          </w:tcPr>
          <w:p w14:paraId="46B286B2" w14:textId="77777777" w:rsidR="000627C0" w:rsidRPr="00035759" w:rsidRDefault="000627C0" w:rsidP="003F39BA">
            <w:pPr>
              <w:spacing w:after="0"/>
              <w:jc w:val="center"/>
              <w:rPr>
                <w:rFonts w:ascii="Arial" w:hAnsi="Arial" w:cs="Arial"/>
                <w:sz w:val="20"/>
                <w:szCs w:val="20"/>
              </w:rPr>
            </w:pPr>
            <w:r w:rsidRPr="00035759">
              <w:rPr>
                <w:rFonts w:ascii="Arial" w:hAnsi="Arial" w:cs="Arial"/>
                <w:sz w:val="20"/>
                <w:szCs w:val="20"/>
              </w:rPr>
              <w:t>X</w:t>
            </w:r>
          </w:p>
        </w:tc>
      </w:tr>
      <w:tr w:rsidR="000627C0" w:rsidRPr="00035759" w14:paraId="2E66D42D" w14:textId="77777777" w:rsidTr="003F39BA">
        <w:trPr>
          <w:trHeight w:val="76"/>
        </w:trPr>
        <w:tc>
          <w:tcPr>
            <w:tcW w:w="3539" w:type="dxa"/>
            <w:tcBorders>
              <w:top w:val="nil"/>
              <w:bottom w:val="nil"/>
              <w:right w:val="single" w:sz="12" w:space="0" w:color="auto"/>
            </w:tcBorders>
            <w:shd w:val="clear" w:color="auto" w:fill="auto"/>
          </w:tcPr>
          <w:p w14:paraId="1D0C2679" w14:textId="77777777" w:rsidR="000627C0" w:rsidRPr="00035759" w:rsidRDefault="000627C0" w:rsidP="003F39BA">
            <w:pPr>
              <w:spacing w:after="0"/>
              <w:jc w:val="right"/>
              <w:rPr>
                <w:rFonts w:ascii="Arial" w:hAnsi="Arial" w:cs="Arial"/>
                <w:i/>
                <w:sz w:val="20"/>
                <w:szCs w:val="20"/>
              </w:rPr>
            </w:pPr>
            <w:r w:rsidRPr="00035759">
              <w:rPr>
                <w:rFonts w:ascii="Arial" w:hAnsi="Arial" w:cs="Arial"/>
                <w:i/>
                <w:sz w:val="20"/>
                <w:szCs w:val="20"/>
              </w:rPr>
              <w:t>SSI IOC data validation</w:t>
            </w:r>
          </w:p>
        </w:tc>
        <w:tc>
          <w:tcPr>
            <w:tcW w:w="1559" w:type="dxa"/>
            <w:tcBorders>
              <w:left w:val="single" w:sz="12" w:space="0" w:color="auto"/>
              <w:right w:val="single" w:sz="12" w:space="0" w:color="262626"/>
            </w:tcBorders>
            <w:shd w:val="clear" w:color="auto" w:fill="auto"/>
          </w:tcPr>
          <w:p w14:paraId="762CAAC6" w14:textId="77777777" w:rsidR="000627C0" w:rsidRPr="00035759" w:rsidRDefault="000627C0" w:rsidP="003F39BA">
            <w:pPr>
              <w:spacing w:after="0"/>
              <w:jc w:val="center"/>
              <w:rPr>
                <w:rFonts w:ascii="Arial" w:hAnsi="Arial" w:cs="Arial"/>
                <w:sz w:val="20"/>
                <w:szCs w:val="20"/>
              </w:rPr>
            </w:pPr>
          </w:p>
        </w:tc>
        <w:tc>
          <w:tcPr>
            <w:tcW w:w="1276" w:type="dxa"/>
            <w:tcBorders>
              <w:left w:val="single" w:sz="12" w:space="0" w:color="262626"/>
              <w:right w:val="single" w:sz="12" w:space="0" w:color="262626"/>
            </w:tcBorders>
            <w:shd w:val="clear" w:color="auto" w:fill="auto"/>
          </w:tcPr>
          <w:p w14:paraId="2AA05E53" w14:textId="77777777" w:rsidR="000627C0" w:rsidRPr="00035759" w:rsidRDefault="000627C0" w:rsidP="003F39BA">
            <w:pPr>
              <w:spacing w:after="0"/>
              <w:jc w:val="center"/>
              <w:rPr>
                <w:rFonts w:ascii="Arial" w:hAnsi="Arial" w:cs="Arial"/>
                <w:sz w:val="20"/>
                <w:szCs w:val="20"/>
              </w:rPr>
            </w:pPr>
          </w:p>
        </w:tc>
        <w:tc>
          <w:tcPr>
            <w:tcW w:w="851" w:type="dxa"/>
            <w:tcBorders>
              <w:left w:val="single" w:sz="12" w:space="0" w:color="262626"/>
            </w:tcBorders>
            <w:shd w:val="clear" w:color="auto" w:fill="auto"/>
          </w:tcPr>
          <w:p w14:paraId="654F5B4F" w14:textId="77777777" w:rsidR="000627C0" w:rsidRPr="00035759" w:rsidRDefault="000627C0" w:rsidP="003F39BA">
            <w:pPr>
              <w:spacing w:after="0"/>
              <w:jc w:val="center"/>
              <w:rPr>
                <w:rFonts w:ascii="Arial" w:hAnsi="Arial" w:cs="Arial"/>
                <w:sz w:val="20"/>
                <w:szCs w:val="20"/>
              </w:rPr>
            </w:pPr>
          </w:p>
        </w:tc>
        <w:tc>
          <w:tcPr>
            <w:tcW w:w="850" w:type="dxa"/>
            <w:shd w:val="clear" w:color="auto" w:fill="auto"/>
          </w:tcPr>
          <w:p w14:paraId="306ED8A4" w14:textId="77777777" w:rsidR="000627C0" w:rsidRPr="00035759" w:rsidRDefault="000627C0" w:rsidP="003F39BA">
            <w:pPr>
              <w:spacing w:after="0"/>
              <w:jc w:val="center"/>
              <w:rPr>
                <w:rFonts w:ascii="Arial" w:hAnsi="Arial" w:cstheme="minorBidi"/>
                <w:noProof/>
                <w:sz w:val="20"/>
                <w:szCs w:val="20"/>
                <w:lang w:eastAsia="en-GB"/>
              </w:rPr>
            </w:pPr>
          </w:p>
        </w:tc>
        <w:tc>
          <w:tcPr>
            <w:tcW w:w="851" w:type="dxa"/>
            <w:shd w:val="clear" w:color="auto" w:fill="auto"/>
          </w:tcPr>
          <w:p w14:paraId="2779D77B" w14:textId="77777777" w:rsidR="000627C0" w:rsidRPr="00035759" w:rsidRDefault="000627C0" w:rsidP="003F39BA">
            <w:pPr>
              <w:spacing w:after="0"/>
              <w:jc w:val="center"/>
              <w:rPr>
                <w:rFonts w:ascii="Arial" w:hAnsi="Arial" w:cstheme="minorBidi"/>
                <w:sz w:val="20"/>
                <w:szCs w:val="20"/>
              </w:rPr>
            </w:pPr>
          </w:p>
        </w:tc>
        <w:tc>
          <w:tcPr>
            <w:tcW w:w="850" w:type="dxa"/>
            <w:shd w:val="clear" w:color="auto" w:fill="auto"/>
          </w:tcPr>
          <w:p w14:paraId="084C639A" w14:textId="77777777" w:rsidR="000627C0" w:rsidRPr="00035759" w:rsidRDefault="000627C0" w:rsidP="003F39BA">
            <w:pPr>
              <w:spacing w:after="0"/>
              <w:jc w:val="center"/>
              <w:rPr>
                <w:rFonts w:ascii="Arial" w:hAnsi="Arial" w:cstheme="minorBidi"/>
                <w:sz w:val="20"/>
                <w:szCs w:val="20"/>
              </w:rPr>
            </w:pPr>
          </w:p>
        </w:tc>
        <w:tc>
          <w:tcPr>
            <w:tcW w:w="851" w:type="dxa"/>
            <w:tcBorders>
              <w:right w:val="single" w:sz="4" w:space="0" w:color="auto"/>
            </w:tcBorders>
          </w:tcPr>
          <w:p w14:paraId="7595BD38" w14:textId="77777777" w:rsidR="000627C0" w:rsidRPr="00035759" w:rsidRDefault="000627C0" w:rsidP="003F39BA">
            <w:pPr>
              <w:spacing w:after="0"/>
              <w:jc w:val="center"/>
              <w:rPr>
                <w:rFonts w:ascii="Arial" w:hAnsi="Arial" w:cstheme="minorBidi"/>
                <w:sz w:val="20"/>
                <w:szCs w:val="20"/>
              </w:rPr>
            </w:pPr>
          </w:p>
        </w:tc>
        <w:tc>
          <w:tcPr>
            <w:tcW w:w="850" w:type="dxa"/>
            <w:tcBorders>
              <w:left w:val="single" w:sz="4" w:space="0" w:color="auto"/>
              <w:right w:val="single" w:sz="4" w:space="0" w:color="auto"/>
            </w:tcBorders>
          </w:tcPr>
          <w:p w14:paraId="0C8908FB" w14:textId="77777777" w:rsidR="000627C0" w:rsidRPr="00035759" w:rsidRDefault="000627C0" w:rsidP="003F39BA">
            <w:pPr>
              <w:spacing w:after="0"/>
              <w:rPr>
                <w:rFonts w:ascii="Arial" w:hAnsi="Arial" w:cstheme="minorBidi"/>
                <w:sz w:val="20"/>
                <w:szCs w:val="20"/>
              </w:rPr>
            </w:pPr>
          </w:p>
        </w:tc>
        <w:tc>
          <w:tcPr>
            <w:tcW w:w="709" w:type="dxa"/>
            <w:tcBorders>
              <w:left w:val="single" w:sz="12" w:space="0" w:color="auto"/>
              <w:right w:val="single" w:sz="12" w:space="0" w:color="auto"/>
            </w:tcBorders>
          </w:tcPr>
          <w:p w14:paraId="002A2D93" w14:textId="77777777" w:rsidR="000627C0" w:rsidRPr="00AD29B0" w:rsidRDefault="000627C0" w:rsidP="003F39BA">
            <w:pPr>
              <w:spacing w:after="0"/>
              <w:jc w:val="center"/>
              <w:rPr>
                <w:rFonts w:ascii="Arial" w:hAnsi="Arial" w:cs="Arial"/>
                <w:sz w:val="20"/>
                <w:szCs w:val="20"/>
              </w:rPr>
            </w:pPr>
            <w:r w:rsidRPr="00035759">
              <w:rPr>
                <w:rFonts w:ascii="Arial" w:hAnsi="Arial" w:cstheme="minorBidi"/>
                <w:noProof/>
                <w:sz w:val="20"/>
                <w:szCs w:val="20"/>
                <w:lang w:eastAsia="en-GB"/>
              </w:rPr>
              <mc:AlternateContent>
                <mc:Choice Requires="wps">
                  <w:drawing>
                    <wp:anchor distT="0" distB="0" distL="114300" distR="114300" simplePos="0" relativeHeight="251754496" behindDoc="0" locked="0" layoutInCell="1" allowOverlap="1" wp14:anchorId="6073E8A3" wp14:editId="59B0932C">
                      <wp:simplePos x="0" y="0"/>
                      <wp:positionH relativeFrom="column">
                        <wp:posOffset>-294595</wp:posOffset>
                      </wp:positionH>
                      <wp:positionV relativeFrom="paragraph">
                        <wp:posOffset>136774</wp:posOffset>
                      </wp:positionV>
                      <wp:extent cx="1021080" cy="0"/>
                      <wp:effectExtent l="38100" t="38100" r="33020" b="3810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1080" cy="0"/>
                              </a:xfrm>
                              <a:prstGeom prst="straightConnector1">
                                <a:avLst/>
                              </a:prstGeom>
                              <a:noFill/>
                              <a:ln w="28575">
                                <a:solidFill>
                                  <a:srgbClr val="272727"/>
                                </a:solidFill>
                                <a:round/>
                                <a:headEnd type="diamond" w="med" len="sm"/>
                                <a:tailEnd type="diamond"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903F63" id="AutoShape 2" o:spid="_x0000_s1026" type="#_x0000_t32" style="position:absolute;margin-left:-23.2pt;margin-top:10.75pt;width:80.4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" strokecolor="#272727" strokeweight="2.25pt">
                      <v:stroke startarrow="diamond" startarrowlength="short" endarrow="diamond" endarrowlength="short"/>
                      <o:lock v:ext="edit" shapetype="f"/>
                    </v:shape>
                  </w:pict>
                </mc:Fallback>
              </mc:AlternateContent>
            </w:r>
          </w:p>
        </w:tc>
        <w:tc>
          <w:tcPr>
            <w:tcW w:w="850" w:type="dxa"/>
            <w:tcBorders>
              <w:left w:val="single" w:sz="12" w:space="0" w:color="auto"/>
              <w:right w:val="single" w:sz="12" w:space="0" w:color="auto"/>
            </w:tcBorders>
          </w:tcPr>
          <w:p w14:paraId="6D231034" w14:textId="77777777" w:rsidR="000627C0" w:rsidRPr="00AD29B0" w:rsidRDefault="000627C0" w:rsidP="003F39BA">
            <w:pPr>
              <w:spacing w:after="0"/>
              <w:jc w:val="center"/>
              <w:rPr>
                <w:rFonts w:ascii="Arial" w:hAnsi="Arial" w:cs="Arial"/>
                <w:sz w:val="20"/>
                <w:szCs w:val="20"/>
              </w:rPr>
            </w:pPr>
          </w:p>
        </w:tc>
        <w:tc>
          <w:tcPr>
            <w:tcW w:w="851" w:type="dxa"/>
            <w:tcBorders>
              <w:left w:val="single" w:sz="12" w:space="0" w:color="auto"/>
              <w:right w:val="single" w:sz="12" w:space="0" w:color="auto"/>
            </w:tcBorders>
          </w:tcPr>
          <w:p w14:paraId="753196BF" w14:textId="77777777" w:rsidR="000627C0" w:rsidRPr="00035759" w:rsidRDefault="000627C0" w:rsidP="003F39BA">
            <w:pPr>
              <w:spacing w:after="0"/>
              <w:jc w:val="center"/>
              <w:rPr>
                <w:rFonts w:ascii="Arial" w:hAnsi="Arial" w:cs="Arial"/>
                <w:sz w:val="20"/>
                <w:szCs w:val="20"/>
              </w:rPr>
            </w:pPr>
          </w:p>
        </w:tc>
        <w:tc>
          <w:tcPr>
            <w:tcW w:w="1276" w:type="dxa"/>
            <w:tcBorders>
              <w:left w:val="single" w:sz="12" w:space="0" w:color="auto"/>
              <w:right w:val="single" w:sz="8" w:space="0" w:color="262626"/>
            </w:tcBorders>
            <w:shd w:val="clear" w:color="auto" w:fill="auto"/>
          </w:tcPr>
          <w:p w14:paraId="0A710F5B" w14:textId="77777777" w:rsidR="000627C0" w:rsidRPr="00035759" w:rsidRDefault="000627C0" w:rsidP="003F39BA">
            <w:pPr>
              <w:spacing w:after="0"/>
              <w:jc w:val="center"/>
              <w:rPr>
                <w:rFonts w:ascii="Arial" w:hAnsi="Arial" w:cs="Arial"/>
                <w:sz w:val="20"/>
                <w:szCs w:val="20"/>
              </w:rPr>
            </w:pPr>
          </w:p>
        </w:tc>
      </w:tr>
      <w:tr w:rsidR="000627C0" w:rsidRPr="00035759" w14:paraId="5ABCF09B" w14:textId="77777777" w:rsidTr="003F39BA">
        <w:trPr>
          <w:trHeight w:val="108"/>
        </w:trPr>
        <w:tc>
          <w:tcPr>
            <w:tcW w:w="3539" w:type="dxa"/>
            <w:tcBorders>
              <w:top w:val="nil"/>
              <w:bottom w:val="nil"/>
              <w:right w:val="single" w:sz="12" w:space="0" w:color="auto"/>
            </w:tcBorders>
            <w:shd w:val="clear" w:color="auto" w:fill="auto"/>
          </w:tcPr>
          <w:p w14:paraId="39E68C14" w14:textId="77777777" w:rsidR="000627C0" w:rsidRPr="00035759" w:rsidRDefault="000627C0" w:rsidP="003F39BA">
            <w:pPr>
              <w:spacing w:after="0"/>
              <w:jc w:val="right"/>
              <w:rPr>
                <w:rFonts w:ascii="Arial" w:hAnsi="Arial" w:cs="Arial"/>
                <w:i/>
                <w:sz w:val="20"/>
                <w:szCs w:val="20"/>
              </w:rPr>
            </w:pPr>
            <w:r w:rsidRPr="00035759">
              <w:rPr>
                <w:rFonts w:ascii="Arial" w:hAnsi="Arial" w:cs="Arial"/>
                <w:i/>
                <w:sz w:val="20"/>
                <w:szCs w:val="20"/>
              </w:rPr>
              <w:t>Process evaluation interviews*</w:t>
            </w:r>
          </w:p>
        </w:tc>
        <w:tc>
          <w:tcPr>
            <w:tcW w:w="1559" w:type="dxa"/>
            <w:tcBorders>
              <w:left w:val="single" w:sz="12" w:space="0" w:color="auto"/>
              <w:right w:val="single" w:sz="12" w:space="0" w:color="262626"/>
            </w:tcBorders>
            <w:shd w:val="clear" w:color="auto" w:fill="auto"/>
          </w:tcPr>
          <w:p w14:paraId="5C98AAEA" w14:textId="77777777" w:rsidR="000627C0" w:rsidRPr="00035759" w:rsidRDefault="000627C0" w:rsidP="003F39BA">
            <w:pPr>
              <w:spacing w:after="0"/>
              <w:jc w:val="center"/>
              <w:rPr>
                <w:rFonts w:ascii="Arial" w:hAnsi="Arial" w:cs="Arial"/>
                <w:sz w:val="20"/>
                <w:szCs w:val="20"/>
              </w:rPr>
            </w:pPr>
          </w:p>
        </w:tc>
        <w:tc>
          <w:tcPr>
            <w:tcW w:w="1276" w:type="dxa"/>
            <w:tcBorders>
              <w:left w:val="single" w:sz="12" w:space="0" w:color="262626"/>
              <w:right w:val="single" w:sz="12" w:space="0" w:color="262626"/>
            </w:tcBorders>
            <w:shd w:val="clear" w:color="auto" w:fill="auto"/>
          </w:tcPr>
          <w:p w14:paraId="67E1B011" w14:textId="77777777" w:rsidR="000627C0" w:rsidRPr="00035759" w:rsidRDefault="000627C0" w:rsidP="003F39BA">
            <w:pPr>
              <w:spacing w:after="0"/>
              <w:jc w:val="center"/>
              <w:rPr>
                <w:rFonts w:ascii="Arial" w:hAnsi="Arial" w:cs="Arial"/>
                <w:sz w:val="20"/>
                <w:szCs w:val="20"/>
              </w:rPr>
            </w:pPr>
          </w:p>
        </w:tc>
        <w:tc>
          <w:tcPr>
            <w:tcW w:w="851" w:type="dxa"/>
            <w:tcBorders>
              <w:left w:val="single" w:sz="12" w:space="0" w:color="262626"/>
            </w:tcBorders>
            <w:shd w:val="clear" w:color="auto" w:fill="auto"/>
          </w:tcPr>
          <w:p w14:paraId="582C6CF1" w14:textId="77777777" w:rsidR="000627C0" w:rsidRPr="00035759" w:rsidRDefault="000627C0" w:rsidP="003F39BA">
            <w:pPr>
              <w:spacing w:after="0"/>
              <w:jc w:val="center"/>
              <w:rPr>
                <w:rFonts w:ascii="Arial" w:hAnsi="Arial" w:cs="Arial"/>
                <w:sz w:val="20"/>
                <w:szCs w:val="20"/>
              </w:rPr>
            </w:pPr>
          </w:p>
        </w:tc>
        <w:tc>
          <w:tcPr>
            <w:tcW w:w="850" w:type="dxa"/>
            <w:shd w:val="clear" w:color="auto" w:fill="auto"/>
          </w:tcPr>
          <w:p w14:paraId="3B5C418D" w14:textId="77777777" w:rsidR="000627C0" w:rsidRPr="00035759" w:rsidRDefault="000627C0" w:rsidP="003F39BA">
            <w:pPr>
              <w:spacing w:after="0"/>
              <w:jc w:val="center"/>
              <w:rPr>
                <w:rFonts w:ascii="Arial" w:hAnsi="Arial" w:cstheme="minorBidi"/>
                <w:noProof/>
                <w:sz w:val="20"/>
                <w:szCs w:val="20"/>
              </w:rPr>
            </w:pPr>
            <w:r w:rsidRPr="00035759">
              <w:rPr>
                <w:rFonts w:ascii="Arial" w:hAnsi="Arial" w:cstheme="minorBidi"/>
                <w:noProof/>
                <w:sz w:val="20"/>
                <w:szCs w:val="20"/>
                <w:lang w:eastAsia="en-GB"/>
              </w:rPr>
              <mc:AlternateContent>
                <mc:Choice Requires="wps">
                  <w:drawing>
                    <wp:anchor distT="0" distB="0" distL="114300" distR="114300" simplePos="0" relativeHeight="251752448" behindDoc="0" locked="0" layoutInCell="1" allowOverlap="1" wp14:anchorId="660AF6A5" wp14:editId="4DA4F4DA">
                      <wp:simplePos x="0" y="0"/>
                      <wp:positionH relativeFrom="column">
                        <wp:posOffset>182245</wp:posOffset>
                      </wp:positionH>
                      <wp:positionV relativeFrom="paragraph">
                        <wp:posOffset>109220</wp:posOffset>
                      </wp:positionV>
                      <wp:extent cx="559435" cy="0"/>
                      <wp:effectExtent l="38100" t="38100" r="37465" b="381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9435" cy="0"/>
                              </a:xfrm>
                              <a:prstGeom prst="straightConnector1">
                                <a:avLst/>
                              </a:prstGeom>
                              <a:noFill/>
                              <a:ln w="28575">
                                <a:solidFill>
                                  <a:srgbClr val="272727"/>
                                </a:solidFill>
                                <a:round/>
                                <a:headEnd type="diamond" w="med" len="sm"/>
                                <a:tailEnd type="diamond"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DBAA72" id="AutoShape 3" o:spid="_x0000_s1026" type="#_x0000_t32" style="position:absolute;margin-left:14.35pt;margin-top:8.6pt;width:44.0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" strokecolor="#272727" strokeweight="2.25pt">
                      <v:stroke startarrow="diamond" startarrowlength="short" endarrow="diamond" endarrowlength="short"/>
                      <o:lock v:ext="edit" shapetype="f"/>
                    </v:shape>
                  </w:pict>
                </mc:Fallback>
              </mc:AlternateContent>
            </w:r>
          </w:p>
        </w:tc>
        <w:tc>
          <w:tcPr>
            <w:tcW w:w="851" w:type="dxa"/>
            <w:shd w:val="clear" w:color="auto" w:fill="auto"/>
          </w:tcPr>
          <w:p w14:paraId="5D4B9C8E" w14:textId="77777777" w:rsidR="000627C0" w:rsidRPr="00AD29B0" w:rsidRDefault="000627C0" w:rsidP="003F39BA">
            <w:pPr>
              <w:spacing w:after="0"/>
              <w:jc w:val="center"/>
              <w:rPr>
                <w:rFonts w:ascii="Arial" w:hAnsi="Arial" w:cstheme="minorBidi"/>
                <w:noProof/>
                <w:sz w:val="20"/>
                <w:szCs w:val="20"/>
              </w:rPr>
            </w:pPr>
          </w:p>
        </w:tc>
        <w:tc>
          <w:tcPr>
            <w:tcW w:w="850" w:type="dxa"/>
            <w:shd w:val="clear" w:color="auto" w:fill="auto"/>
          </w:tcPr>
          <w:p w14:paraId="38C1E7BA" w14:textId="77777777" w:rsidR="000627C0" w:rsidRPr="00035759" w:rsidRDefault="000627C0" w:rsidP="003F39BA">
            <w:pPr>
              <w:spacing w:after="0"/>
              <w:jc w:val="center"/>
              <w:rPr>
                <w:rFonts w:ascii="Arial" w:hAnsi="Arial" w:cstheme="minorBidi"/>
                <w:sz w:val="20"/>
                <w:szCs w:val="20"/>
              </w:rPr>
            </w:pPr>
          </w:p>
        </w:tc>
        <w:tc>
          <w:tcPr>
            <w:tcW w:w="851" w:type="dxa"/>
            <w:tcBorders>
              <w:right w:val="single" w:sz="4" w:space="0" w:color="auto"/>
            </w:tcBorders>
          </w:tcPr>
          <w:p w14:paraId="01E392E1" w14:textId="77777777" w:rsidR="000627C0" w:rsidRPr="00AD29B0" w:rsidRDefault="000627C0" w:rsidP="003F39BA">
            <w:pPr>
              <w:spacing w:after="0"/>
              <w:jc w:val="center"/>
              <w:rPr>
                <w:rFonts w:ascii="Arial" w:hAnsi="Arial" w:cstheme="minorBidi"/>
                <w:sz w:val="20"/>
                <w:szCs w:val="20"/>
              </w:rPr>
            </w:pPr>
          </w:p>
        </w:tc>
        <w:tc>
          <w:tcPr>
            <w:tcW w:w="850" w:type="dxa"/>
            <w:tcBorders>
              <w:left w:val="single" w:sz="4" w:space="0" w:color="auto"/>
              <w:right w:val="single" w:sz="4" w:space="0" w:color="auto"/>
            </w:tcBorders>
          </w:tcPr>
          <w:p w14:paraId="12868015" w14:textId="77777777" w:rsidR="000627C0" w:rsidRPr="00035759" w:rsidRDefault="000627C0" w:rsidP="003F39BA">
            <w:pPr>
              <w:spacing w:after="0"/>
              <w:rPr>
                <w:rFonts w:ascii="Arial" w:hAnsi="Arial" w:cstheme="minorBidi"/>
                <w:sz w:val="20"/>
                <w:szCs w:val="20"/>
              </w:rPr>
            </w:pPr>
            <w:r w:rsidRPr="00035759">
              <w:rPr>
                <w:rFonts w:ascii="Arial" w:hAnsi="Arial" w:cstheme="minorBidi"/>
                <w:noProof/>
                <w:sz w:val="20"/>
                <w:szCs w:val="20"/>
                <w:lang w:eastAsia="en-GB"/>
              </w:rPr>
              <mc:AlternateContent>
                <mc:Choice Requires="wps">
                  <w:drawing>
                    <wp:anchor distT="0" distB="0" distL="114300" distR="114300" simplePos="0" relativeHeight="251755520" behindDoc="0" locked="0" layoutInCell="1" allowOverlap="1" wp14:anchorId="4C523206" wp14:editId="0856006D">
                      <wp:simplePos x="0" y="0"/>
                      <wp:positionH relativeFrom="column">
                        <wp:posOffset>-829945</wp:posOffset>
                      </wp:positionH>
                      <wp:positionV relativeFrom="paragraph">
                        <wp:posOffset>100965</wp:posOffset>
                      </wp:positionV>
                      <wp:extent cx="1619250" cy="0"/>
                      <wp:effectExtent l="38100" t="38100" r="44450" b="3810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19250" cy="0"/>
                              </a:xfrm>
                              <a:prstGeom prst="straightConnector1">
                                <a:avLst/>
                              </a:prstGeom>
                              <a:noFill/>
                              <a:ln w="28575">
                                <a:solidFill>
                                  <a:srgbClr val="272727"/>
                                </a:solidFill>
                                <a:round/>
                                <a:headEnd type="diamond" w="med" len="sm"/>
                                <a:tailEnd type="diamond"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0A4008" id="AutoShape 4" o:spid="_x0000_s1026" type="#_x0000_t32" style="position:absolute;margin-left:-65.35pt;margin-top:7.95pt;width:127.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" strokecolor="#272727" strokeweight="2.25pt">
                      <v:stroke startarrow="diamond" startarrowlength="short" endarrow="diamond" endarrowlength="short"/>
                      <o:lock v:ext="edit" shapetype="f"/>
                    </v:shape>
                  </w:pict>
                </mc:Fallback>
              </mc:AlternateContent>
            </w:r>
          </w:p>
        </w:tc>
        <w:tc>
          <w:tcPr>
            <w:tcW w:w="709" w:type="dxa"/>
            <w:tcBorders>
              <w:left w:val="single" w:sz="12" w:space="0" w:color="auto"/>
              <w:right w:val="single" w:sz="12" w:space="0" w:color="auto"/>
            </w:tcBorders>
          </w:tcPr>
          <w:p w14:paraId="4CEC5DE7" w14:textId="77777777" w:rsidR="000627C0" w:rsidRPr="00035759" w:rsidRDefault="000627C0" w:rsidP="003F39BA">
            <w:pPr>
              <w:keepNext/>
              <w:spacing w:after="0"/>
              <w:jc w:val="center"/>
              <w:rPr>
                <w:rFonts w:ascii="Arial" w:hAnsi="Arial" w:cs="Arial"/>
                <w:sz w:val="20"/>
                <w:szCs w:val="20"/>
              </w:rPr>
            </w:pPr>
          </w:p>
        </w:tc>
        <w:tc>
          <w:tcPr>
            <w:tcW w:w="850" w:type="dxa"/>
            <w:tcBorders>
              <w:left w:val="single" w:sz="12" w:space="0" w:color="auto"/>
              <w:right w:val="single" w:sz="12" w:space="0" w:color="auto"/>
            </w:tcBorders>
          </w:tcPr>
          <w:p w14:paraId="22DB4135" w14:textId="77777777" w:rsidR="000627C0" w:rsidRPr="00035759" w:rsidRDefault="000627C0" w:rsidP="003F39BA">
            <w:pPr>
              <w:keepNext/>
              <w:spacing w:after="0"/>
              <w:jc w:val="center"/>
              <w:rPr>
                <w:rFonts w:ascii="Arial" w:hAnsi="Arial" w:cs="Arial"/>
                <w:sz w:val="20"/>
                <w:szCs w:val="20"/>
              </w:rPr>
            </w:pPr>
          </w:p>
        </w:tc>
        <w:tc>
          <w:tcPr>
            <w:tcW w:w="851" w:type="dxa"/>
            <w:tcBorders>
              <w:left w:val="single" w:sz="12" w:space="0" w:color="auto"/>
              <w:right w:val="single" w:sz="12" w:space="0" w:color="auto"/>
            </w:tcBorders>
          </w:tcPr>
          <w:p w14:paraId="5061635F" w14:textId="77777777" w:rsidR="000627C0" w:rsidRPr="00035759" w:rsidRDefault="000627C0" w:rsidP="003F39BA">
            <w:pPr>
              <w:keepNext/>
              <w:spacing w:after="0"/>
              <w:jc w:val="center"/>
              <w:rPr>
                <w:rFonts w:ascii="Arial" w:hAnsi="Arial" w:cs="Arial"/>
                <w:sz w:val="20"/>
                <w:szCs w:val="20"/>
              </w:rPr>
            </w:pPr>
          </w:p>
        </w:tc>
        <w:tc>
          <w:tcPr>
            <w:tcW w:w="1276" w:type="dxa"/>
            <w:tcBorders>
              <w:left w:val="single" w:sz="12" w:space="0" w:color="auto"/>
              <w:right w:val="single" w:sz="8" w:space="0" w:color="262626"/>
            </w:tcBorders>
            <w:shd w:val="clear" w:color="auto" w:fill="auto"/>
          </w:tcPr>
          <w:p w14:paraId="432E1A8A" w14:textId="77777777" w:rsidR="000627C0" w:rsidRPr="00035759" w:rsidRDefault="000627C0" w:rsidP="003F39BA">
            <w:pPr>
              <w:keepNext/>
              <w:spacing w:after="0"/>
              <w:jc w:val="center"/>
              <w:rPr>
                <w:rFonts w:ascii="Arial" w:hAnsi="Arial" w:cs="Arial"/>
                <w:sz w:val="20"/>
                <w:szCs w:val="20"/>
              </w:rPr>
            </w:pPr>
            <w:r w:rsidRPr="00035759">
              <w:rPr>
                <w:rFonts w:ascii="Arial" w:hAnsi="Arial" w:cs="Arial"/>
                <w:sz w:val="20"/>
                <w:szCs w:val="20"/>
              </w:rPr>
              <w:t>X</w:t>
            </w:r>
          </w:p>
        </w:tc>
      </w:tr>
      <w:tr w:rsidR="000627C0" w:rsidRPr="00035759" w14:paraId="6C319137" w14:textId="77777777" w:rsidTr="003F39BA">
        <w:trPr>
          <w:trHeight w:val="132"/>
        </w:trPr>
        <w:tc>
          <w:tcPr>
            <w:tcW w:w="15163" w:type="dxa"/>
            <w:gridSpan w:val="13"/>
            <w:tcBorders>
              <w:top w:val="single" w:sz="4" w:space="0" w:color="auto"/>
              <w:left w:val="nil"/>
              <w:bottom w:val="nil"/>
              <w:right w:val="nil"/>
            </w:tcBorders>
          </w:tcPr>
          <w:p w14:paraId="1D67474C" w14:textId="77777777" w:rsidR="000627C0" w:rsidRPr="00035759" w:rsidRDefault="000627C0" w:rsidP="003F39BA">
            <w:pPr>
              <w:keepNext/>
              <w:spacing w:after="0"/>
              <w:rPr>
                <w:rFonts w:ascii="Arial" w:hAnsi="Arial" w:cs="Arial"/>
                <w:sz w:val="18"/>
                <w:szCs w:val="18"/>
              </w:rPr>
            </w:pPr>
            <w:r w:rsidRPr="00035759">
              <w:rPr>
                <w:rFonts w:ascii="Arial" w:hAnsi="Arial" w:cs="Arial"/>
                <w:sz w:val="18"/>
                <w:szCs w:val="18"/>
              </w:rPr>
              <w:t>QIC = Quality improvement collaborative, SSI = Surgical site infection, IOC = Independent outcomes committee</w:t>
            </w:r>
          </w:p>
          <w:p w14:paraId="1E26F20C" w14:textId="77777777" w:rsidR="000627C0" w:rsidRPr="00035759" w:rsidRDefault="000627C0" w:rsidP="003F39BA">
            <w:pPr>
              <w:keepNext/>
              <w:spacing w:after="0"/>
              <w:rPr>
                <w:rFonts w:ascii="Arial" w:hAnsi="Arial" w:cs="Arial"/>
                <w:sz w:val="18"/>
                <w:szCs w:val="18"/>
              </w:rPr>
            </w:pPr>
            <w:r w:rsidRPr="00035759">
              <w:rPr>
                <w:rFonts w:ascii="Arial" w:hAnsi="Arial" w:cs="Arial"/>
                <w:sz w:val="18"/>
                <w:szCs w:val="18"/>
              </w:rPr>
              <w:t xml:space="preserve">*The timeline involved towards the end of the QIST programme was adversely affected by the COVID-19 pandemic. The timing and nature of the cross over collaborative learning events and final celebration events changed in light of national guidance. The cross over collaboratives consisted of 2 learning events (Nov 2019 and March 2020), a third had been planned but was cancelled due to lockdown restrictions. The final celebration event was delayed until November 2020, this was held virtually instead of in person as originally planned. </w:t>
            </w:r>
          </w:p>
          <w:p w14:paraId="57207C1E" w14:textId="77777777" w:rsidR="000627C0" w:rsidRPr="00035759" w:rsidRDefault="000627C0" w:rsidP="003F39BA">
            <w:pPr>
              <w:keepNext/>
              <w:spacing w:after="0"/>
              <w:rPr>
                <w:rFonts w:ascii="Arial" w:hAnsi="Arial" w:cs="Arial"/>
                <w:sz w:val="18"/>
                <w:szCs w:val="18"/>
              </w:rPr>
            </w:pPr>
            <w:r w:rsidRPr="00035759">
              <w:rPr>
                <w:rFonts w:ascii="Arial" w:hAnsi="Arial" w:cs="Arial"/>
                <w:sz w:val="18"/>
                <w:szCs w:val="18"/>
              </w:rPr>
              <w:t>** The implementation period was a 6-month period during which it was expected Trusts would develop and implement their preoperative pathways before the trial measurement/outcome data collection phase began.</w:t>
            </w:r>
          </w:p>
          <w:p w14:paraId="144668DD" w14:textId="77777777" w:rsidR="000627C0" w:rsidRPr="00035759" w:rsidRDefault="000627C0" w:rsidP="003F39BA">
            <w:pPr>
              <w:keepNext/>
              <w:spacing w:after="0"/>
              <w:rPr>
                <w:rFonts w:ascii="Arial" w:hAnsi="Arial" w:cs="Arial"/>
                <w:sz w:val="18"/>
                <w:szCs w:val="18"/>
              </w:rPr>
            </w:pPr>
          </w:p>
        </w:tc>
      </w:tr>
      <w:bookmarkEnd w:id="5"/>
    </w:tbl>
    <w:p w14:paraId="12A2FB1C" w14:textId="7F928DB5" w:rsidR="000627C0" w:rsidRDefault="000627C0" w:rsidP="000627C0">
      <w:pPr>
        <w:widowControl w:val="0"/>
        <w:autoSpaceDE w:val="0"/>
        <w:autoSpaceDN w:val="0"/>
        <w:adjustRightInd w:val="0"/>
        <w:spacing w:after="0" w:line="240" w:lineRule="auto"/>
      </w:pPr>
    </w:p>
    <w:p w14:paraId="34535955" w14:textId="57B9F18C" w:rsidR="000627C0" w:rsidRDefault="000627C0" w:rsidP="000627C0">
      <w:pPr>
        <w:widowControl w:val="0"/>
        <w:autoSpaceDE w:val="0"/>
        <w:autoSpaceDN w:val="0"/>
        <w:adjustRightInd w:val="0"/>
        <w:spacing w:after="0" w:line="240" w:lineRule="auto"/>
      </w:pPr>
    </w:p>
    <w:p w14:paraId="1374764F" w14:textId="194A23DC" w:rsidR="000627C0" w:rsidRDefault="000627C0" w:rsidP="000627C0">
      <w:pPr>
        <w:widowControl w:val="0"/>
        <w:autoSpaceDE w:val="0"/>
        <w:autoSpaceDN w:val="0"/>
        <w:adjustRightInd w:val="0"/>
        <w:spacing w:after="0" w:line="240" w:lineRule="auto"/>
      </w:pPr>
    </w:p>
    <w:p w14:paraId="4C4E714F" w14:textId="77777777" w:rsidR="000627C0" w:rsidRDefault="000627C0" w:rsidP="000627C0">
      <w:pPr>
        <w:widowControl w:val="0"/>
        <w:autoSpaceDE w:val="0"/>
        <w:autoSpaceDN w:val="0"/>
        <w:adjustRightInd w:val="0"/>
        <w:spacing w:after="0" w:line="240" w:lineRule="auto"/>
      </w:pPr>
    </w:p>
    <w:p w14:paraId="208F7D18" w14:textId="011AE578" w:rsidR="000627C0" w:rsidRDefault="000627C0" w:rsidP="000627C0">
      <w:pPr>
        <w:pStyle w:val="Caption"/>
        <w:keepNext/>
      </w:pPr>
      <w:bookmarkStart w:id="6" w:name="_Ref66693565"/>
      <w:r>
        <w:t xml:space="preserve">Table </w:t>
      </w:r>
      <w:r w:rsidR="009D4DFE">
        <w:fldChar w:fldCharType="begin"/>
      </w:r>
      <w:r w:rsidR="009D4DFE">
        <w:instrText xml:space="preserve"> SEQ Table \* ARABIC </w:instrText>
      </w:r>
      <w:r w:rsidR="009D4DFE">
        <w:fldChar w:fldCharType="separate"/>
      </w:r>
      <w:r w:rsidR="005F7BCC">
        <w:rPr>
          <w:noProof/>
        </w:rPr>
        <w:t>2</w:t>
      </w:r>
      <w:r w:rsidR="009D4DFE">
        <w:rPr>
          <w:noProof/>
        </w:rPr>
        <w:fldChar w:fldCharType="end"/>
      </w:r>
      <w:bookmarkEnd w:id="6"/>
      <w:r>
        <w:t xml:space="preserve">: </w:t>
      </w:r>
      <w:r w:rsidRPr="007211BA">
        <w:t xml:space="preserve">Baseline characteristics of the Trusts </w:t>
      </w:r>
      <w:r>
        <w:t>as randomised (n=41) and as</w:t>
      </w:r>
      <w:r w:rsidRPr="007211BA">
        <w:t xml:space="preserve"> included in the analysis (</w:t>
      </w:r>
      <w:r>
        <w:t>n=27</w:t>
      </w:r>
      <w:r w:rsidRPr="007211BA">
        <w:t>)</w:t>
      </w:r>
    </w:p>
    <w:tbl>
      <w:tblPr>
        <w:tblStyle w:val="TableGrid"/>
        <w:tblW w:w="0" w:type="auto"/>
        <w:tblLook w:val="04A0" w:firstRow="1" w:lastRow="0" w:firstColumn="1" w:lastColumn="0" w:noHBand="0" w:noVBand="1"/>
      </w:tblPr>
      <w:tblGrid>
        <w:gridCol w:w="2105"/>
        <w:gridCol w:w="1381"/>
        <w:gridCol w:w="1381"/>
        <w:gridCol w:w="1381"/>
        <w:gridCol w:w="1381"/>
        <w:gridCol w:w="1381"/>
      </w:tblGrid>
      <w:tr w:rsidR="000627C0" w:rsidRPr="00DA32F2" w14:paraId="0C19D269" w14:textId="77777777" w:rsidTr="003F39BA">
        <w:tc>
          <w:tcPr>
            <w:tcW w:w="2105" w:type="dxa"/>
          </w:tcPr>
          <w:p w14:paraId="3BBECBAC" w14:textId="77777777" w:rsidR="000627C0" w:rsidRPr="00DA32F2" w:rsidRDefault="000627C0" w:rsidP="003F39BA">
            <w:pPr>
              <w:spacing w:after="0" w:line="240" w:lineRule="auto"/>
              <w:rPr>
                <w:rFonts w:asciiTheme="minorHAnsi" w:hAnsiTheme="minorHAnsi" w:cstheme="minorHAnsi"/>
              </w:rPr>
            </w:pPr>
          </w:p>
        </w:tc>
        <w:tc>
          <w:tcPr>
            <w:tcW w:w="2762" w:type="dxa"/>
            <w:gridSpan w:val="2"/>
          </w:tcPr>
          <w:p w14:paraId="21986A0A" w14:textId="31887690" w:rsidR="000627C0" w:rsidRPr="00C23310" w:rsidRDefault="000627C0" w:rsidP="003F39BA">
            <w:pPr>
              <w:spacing w:after="0" w:line="240" w:lineRule="auto"/>
              <w:jc w:val="center"/>
              <w:rPr>
                <w:rFonts w:asciiTheme="minorHAnsi" w:hAnsiTheme="minorHAnsi" w:cstheme="minorHAnsi"/>
                <w:vertAlign w:val="superscript"/>
              </w:rPr>
            </w:pPr>
            <w:r w:rsidRPr="00DA32F2">
              <w:rPr>
                <w:rFonts w:asciiTheme="minorHAnsi" w:hAnsiTheme="minorHAnsi" w:cstheme="minorHAnsi"/>
              </w:rPr>
              <w:t>As randomised</w:t>
            </w:r>
            <w:r w:rsidR="00D917B7">
              <w:rPr>
                <w:rFonts w:asciiTheme="minorHAnsi" w:hAnsiTheme="minorHAnsi" w:cstheme="minorHAnsi"/>
                <w:vertAlign w:val="superscript"/>
              </w:rPr>
              <w:t>b</w:t>
            </w:r>
          </w:p>
        </w:tc>
        <w:tc>
          <w:tcPr>
            <w:tcW w:w="4143" w:type="dxa"/>
            <w:gridSpan w:val="3"/>
          </w:tcPr>
          <w:p w14:paraId="6F28D254" w14:textId="5B395285" w:rsidR="000627C0" w:rsidRPr="00C23310" w:rsidRDefault="000627C0" w:rsidP="003F39BA">
            <w:pPr>
              <w:spacing w:after="0" w:line="240" w:lineRule="auto"/>
              <w:jc w:val="center"/>
              <w:rPr>
                <w:rFonts w:asciiTheme="minorHAnsi" w:hAnsiTheme="minorHAnsi" w:cstheme="minorHAnsi"/>
                <w:vertAlign w:val="superscript"/>
              </w:rPr>
            </w:pPr>
            <w:r w:rsidRPr="00DA32F2">
              <w:rPr>
                <w:rFonts w:asciiTheme="minorHAnsi" w:hAnsiTheme="minorHAnsi" w:cstheme="minorHAnsi"/>
              </w:rPr>
              <w:t>As analysed</w:t>
            </w:r>
            <w:r w:rsidR="00D917B7">
              <w:rPr>
                <w:rFonts w:asciiTheme="minorHAnsi" w:hAnsiTheme="minorHAnsi" w:cstheme="minorHAnsi"/>
                <w:vertAlign w:val="superscript"/>
              </w:rPr>
              <w:t>b</w:t>
            </w:r>
          </w:p>
        </w:tc>
      </w:tr>
      <w:tr w:rsidR="000627C0" w:rsidRPr="00DA32F2" w14:paraId="2B02B065" w14:textId="77777777" w:rsidTr="003F39BA">
        <w:tc>
          <w:tcPr>
            <w:tcW w:w="2105" w:type="dxa"/>
          </w:tcPr>
          <w:p w14:paraId="55A9BD37" w14:textId="77777777" w:rsidR="000627C0" w:rsidRPr="00DA32F2" w:rsidRDefault="000627C0" w:rsidP="003F39BA">
            <w:pPr>
              <w:spacing w:after="0" w:line="240" w:lineRule="auto"/>
              <w:rPr>
                <w:rFonts w:asciiTheme="minorHAnsi" w:hAnsiTheme="minorHAnsi" w:cstheme="minorHAnsi"/>
              </w:rPr>
            </w:pPr>
          </w:p>
        </w:tc>
        <w:tc>
          <w:tcPr>
            <w:tcW w:w="1381" w:type="dxa"/>
          </w:tcPr>
          <w:p w14:paraId="6BCCD439"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Anaemia (n=19)</w:t>
            </w:r>
          </w:p>
        </w:tc>
        <w:tc>
          <w:tcPr>
            <w:tcW w:w="1381" w:type="dxa"/>
          </w:tcPr>
          <w:p w14:paraId="2BF68878"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Infection (n=22)</w:t>
            </w:r>
          </w:p>
        </w:tc>
        <w:tc>
          <w:tcPr>
            <w:tcW w:w="1381" w:type="dxa"/>
          </w:tcPr>
          <w:p w14:paraId="2BDE1D84"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Anaemia (n=11)</w:t>
            </w:r>
          </w:p>
        </w:tc>
        <w:tc>
          <w:tcPr>
            <w:tcW w:w="1381" w:type="dxa"/>
          </w:tcPr>
          <w:p w14:paraId="031F1418"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 xml:space="preserve">Infection </w:t>
            </w:r>
            <w:r>
              <w:rPr>
                <w:rFonts w:asciiTheme="minorHAnsi" w:hAnsiTheme="minorHAnsi" w:cstheme="minorHAnsi"/>
              </w:rPr>
              <w:br/>
            </w:r>
            <w:r w:rsidRPr="00DA32F2">
              <w:rPr>
                <w:rFonts w:asciiTheme="minorHAnsi" w:hAnsiTheme="minorHAnsi" w:cstheme="minorHAnsi"/>
              </w:rPr>
              <w:t>(n=16)</w:t>
            </w:r>
          </w:p>
        </w:tc>
        <w:tc>
          <w:tcPr>
            <w:tcW w:w="1381" w:type="dxa"/>
          </w:tcPr>
          <w:p w14:paraId="5A52869A"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 xml:space="preserve">Overall </w:t>
            </w:r>
            <w:r>
              <w:rPr>
                <w:rFonts w:asciiTheme="minorHAnsi" w:hAnsiTheme="minorHAnsi" w:cstheme="minorHAnsi"/>
              </w:rPr>
              <w:br/>
            </w:r>
            <w:r w:rsidRPr="00DA32F2">
              <w:rPr>
                <w:rFonts w:asciiTheme="minorHAnsi" w:hAnsiTheme="minorHAnsi" w:cstheme="minorHAnsi"/>
              </w:rPr>
              <w:t>(n=27)</w:t>
            </w:r>
          </w:p>
        </w:tc>
      </w:tr>
      <w:tr w:rsidR="000627C0" w:rsidRPr="00DA32F2" w14:paraId="00732D2C" w14:textId="77777777" w:rsidTr="003F39BA">
        <w:tc>
          <w:tcPr>
            <w:tcW w:w="2105" w:type="dxa"/>
          </w:tcPr>
          <w:p w14:paraId="2135D322" w14:textId="77777777" w:rsidR="000627C0" w:rsidRPr="00DB219E" w:rsidRDefault="000627C0" w:rsidP="003F39BA">
            <w:pPr>
              <w:spacing w:after="0" w:line="240" w:lineRule="auto"/>
              <w:rPr>
                <w:rFonts w:asciiTheme="minorHAnsi" w:hAnsiTheme="minorHAnsi" w:cstheme="minorHAnsi"/>
                <w:b/>
              </w:rPr>
            </w:pPr>
            <w:r w:rsidRPr="00DB219E">
              <w:rPr>
                <w:rFonts w:asciiTheme="minorHAnsi" w:hAnsiTheme="minorHAnsi" w:cstheme="minorHAnsi"/>
                <w:b/>
              </w:rPr>
              <w:t>Number of THR and TKR undertaken in 2016/2017</w:t>
            </w:r>
          </w:p>
        </w:tc>
        <w:tc>
          <w:tcPr>
            <w:tcW w:w="1381" w:type="dxa"/>
          </w:tcPr>
          <w:p w14:paraId="28F17AEC" w14:textId="77777777" w:rsidR="000627C0" w:rsidRPr="00DA32F2" w:rsidRDefault="000627C0" w:rsidP="003F39BA">
            <w:pPr>
              <w:spacing w:after="0" w:line="240" w:lineRule="auto"/>
              <w:jc w:val="center"/>
              <w:rPr>
                <w:rFonts w:asciiTheme="minorHAnsi" w:hAnsiTheme="minorHAnsi" w:cstheme="minorHAnsi"/>
              </w:rPr>
            </w:pPr>
          </w:p>
        </w:tc>
        <w:tc>
          <w:tcPr>
            <w:tcW w:w="1381" w:type="dxa"/>
          </w:tcPr>
          <w:p w14:paraId="530572B8" w14:textId="77777777" w:rsidR="000627C0" w:rsidRPr="00DA32F2" w:rsidRDefault="000627C0" w:rsidP="003F39BA">
            <w:pPr>
              <w:spacing w:after="0" w:line="240" w:lineRule="auto"/>
              <w:jc w:val="center"/>
              <w:rPr>
                <w:rFonts w:asciiTheme="minorHAnsi" w:hAnsiTheme="minorHAnsi" w:cstheme="minorHAnsi"/>
              </w:rPr>
            </w:pPr>
          </w:p>
        </w:tc>
        <w:tc>
          <w:tcPr>
            <w:tcW w:w="1381" w:type="dxa"/>
          </w:tcPr>
          <w:p w14:paraId="130EE586" w14:textId="77777777" w:rsidR="000627C0" w:rsidRPr="00DA32F2" w:rsidRDefault="000627C0" w:rsidP="003F39BA">
            <w:pPr>
              <w:spacing w:after="0" w:line="240" w:lineRule="auto"/>
              <w:jc w:val="center"/>
              <w:rPr>
                <w:rFonts w:asciiTheme="minorHAnsi" w:hAnsiTheme="minorHAnsi" w:cstheme="minorHAnsi"/>
              </w:rPr>
            </w:pPr>
          </w:p>
        </w:tc>
        <w:tc>
          <w:tcPr>
            <w:tcW w:w="1381" w:type="dxa"/>
          </w:tcPr>
          <w:p w14:paraId="3D87EFA4" w14:textId="77777777" w:rsidR="000627C0" w:rsidRPr="00DA32F2" w:rsidRDefault="000627C0" w:rsidP="003F39BA">
            <w:pPr>
              <w:spacing w:after="0" w:line="240" w:lineRule="auto"/>
              <w:jc w:val="center"/>
              <w:rPr>
                <w:rFonts w:asciiTheme="minorHAnsi" w:hAnsiTheme="minorHAnsi" w:cstheme="minorHAnsi"/>
              </w:rPr>
            </w:pPr>
          </w:p>
        </w:tc>
        <w:tc>
          <w:tcPr>
            <w:tcW w:w="1381" w:type="dxa"/>
          </w:tcPr>
          <w:p w14:paraId="230135A1" w14:textId="77777777" w:rsidR="000627C0" w:rsidRPr="00DA32F2" w:rsidRDefault="000627C0" w:rsidP="003F39BA">
            <w:pPr>
              <w:spacing w:after="0" w:line="240" w:lineRule="auto"/>
              <w:jc w:val="center"/>
              <w:rPr>
                <w:rFonts w:asciiTheme="minorHAnsi" w:hAnsiTheme="minorHAnsi" w:cstheme="minorHAnsi"/>
              </w:rPr>
            </w:pPr>
          </w:p>
        </w:tc>
      </w:tr>
      <w:tr w:rsidR="000627C0" w:rsidRPr="00DA32F2" w14:paraId="1C46C408" w14:textId="77777777" w:rsidTr="003F39BA">
        <w:tc>
          <w:tcPr>
            <w:tcW w:w="2105" w:type="dxa"/>
          </w:tcPr>
          <w:p w14:paraId="5D988FA1" w14:textId="77777777" w:rsidR="000627C0" w:rsidRPr="00DA32F2" w:rsidRDefault="000627C0" w:rsidP="003F39BA">
            <w:pPr>
              <w:spacing w:after="0" w:line="240" w:lineRule="auto"/>
              <w:rPr>
                <w:rFonts w:asciiTheme="minorHAnsi" w:hAnsiTheme="minorHAnsi" w:cstheme="minorHAnsi"/>
              </w:rPr>
            </w:pPr>
            <w:r w:rsidRPr="00DA32F2">
              <w:rPr>
                <w:rFonts w:asciiTheme="minorHAnsi" w:hAnsiTheme="minorHAnsi" w:cstheme="minorHAnsi"/>
              </w:rPr>
              <w:t>Mean (SD)</w:t>
            </w:r>
          </w:p>
        </w:tc>
        <w:tc>
          <w:tcPr>
            <w:tcW w:w="1381" w:type="dxa"/>
            <w:vAlign w:val="bottom"/>
          </w:tcPr>
          <w:p w14:paraId="40CAF87E"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814.7 (523.6)</w:t>
            </w:r>
          </w:p>
        </w:tc>
        <w:tc>
          <w:tcPr>
            <w:tcW w:w="1381" w:type="dxa"/>
            <w:vAlign w:val="bottom"/>
          </w:tcPr>
          <w:p w14:paraId="45ABD962"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916.4 (636.8)</w:t>
            </w:r>
          </w:p>
        </w:tc>
        <w:tc>
          <w:tcPr>
            <w:tcW w:w="1381" w:type="dxa"/>
          </w:tcPr>
          <w:p w14:paraId="6CBF55BF"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924.0 (622.0)</w:t>
            </w:r>
          </w:p>
        </w:tc>
        <w:tc>
          <w:tcPr>
            <w:tcW w:w="1381" w:type="dxa"/>
          </w:tcPr>
          <w:p w14:paraId="034975BA"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980.4 (720.1)</w:t>
            </w:r>
          </w:p>
        </w:tc>
        <w:tc>
          <w:tcPr>
            <w:tcW w:w="1381" w:type="dxa"/>
          </w:tcPr>
          <w:p w14:paraId="3436256E"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957.4 (669.9)</w:t>
            </w:r>
          </w:p>
        </w:tc>
      </w:tr>
      <w:tr w:rsidR="000627C0" w:rsidRPr="00DA32F2" w14:paraId="7F36307B" w14:textId="77777777" w:rsidTr="003F39BA">
        <w:tc>
          <w:tcPr>
            <w:tcW w:w="2105" w:type="dxa"/>
          </w:tcPr>
          <w:p w14:paraId="61DB33EE" w14:textId="77777777" w:rsidR="000627C0" w:rsidRPr="00DA32F2" w:rsidRDefault="000627C0" w:rsidP="003F39BA">
            <w:pPr>
              <w:spacing w:after="0" w:line="240" w:lineRule="auto"/>
              <w:rPr>
                <w:rFonts w:asciiTheme="minorHAnsi" w:hAnsiTheme="minorHAnsi" w:cstheme="minorHAnsi"/>
              </w:rPr>
            </w:pPr>
            <w:r w:rsidRPr="00DA32F2">
              <w:rPr>
                <w:rFonts w:asciiTheme="minorHAnsi" w:hAnsiTheme="minorHAnsi" w:cstheme="minorHAnsi"/>
              </w:rPr>
              <w:t>Median (min, max)</w:t>
            </w:r>
          </w:p>
        </w:tc>
        <w:tc>
          <w:tcPr>
            <w:tcW w:w="1381" w:type="dxa"/>
            <w:vAlign w:val="bottom"/>
          </w:tcPr>
          <w:p w14:paraId="3164272D"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669 (353, 2442)</w:t>
            </w:r>
          </w:p>
        </w:tc>
        <w:tc>
          <w:tcPr>
            <w:tcW w:w="1381" w:type="dxa"/>
            <w:vAlign w:val="bottom"/>
          </w:tcPr>
          <w:p w14:paraId="6A3FAA88"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661.5 (354, 2876)</w:t>
            </w:r>
          </w:p>
        </w:tc>
        <w:tc>
          <w:tcPr>
            <w:tcW w:w="1381" w:type="dxa"/>
          </w:tcPr>
          <w:p w14:paraId="277E24A9"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707 (416, 2442)</w:t>
            </w:r>
          </w:p>
        </w:tc>
        <w:tc>
          <w:tcPr>
            <w:tcW w:w="1381" w:type="dxa"/>
          </w:tcPr>
          <w:p w14:paraId="2D512789"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661.5 (392, 2876)</w:t>
            </w:r>
          </w:p>
        </w:tc>
        <w:tc>
          <w:tcPr>
            <w:tcW w:w="1381" w:type="dxa"/>
          </w:tcPr>
          <w:p w14:paraId="1D6678D4"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671 (392, 2876)</w:t>
            </w:r>
          </w:p>
        </w:tc>
      </w:tr>
      <w:tr w:rsidR="000627C0" w:rsidRPr="00DA32F2" w14:paraId="61021AD0" w14:textId="77777777" w:rsidTr="003F39BA">
        <w:tc>
          <w:tcPr>
            <w:tcW w:w="2105" w:type="dxa"/>
          </w:tcPr>
          <w:p w14:paraId="5CEEEC39" w14:textId="77777777" w:rsidR="000627C0" w:rsidRPr="00DA32F2" w:rsidRDefault="000627C0" w:rsidP="003F39BA">
            <w:pPr>
              <w:spacing w:after="0" w:line="240" w:lineRule="auto"/>
              <w:rPr>
                <w:rFonts w:asciiTheme="minorHAnsi" w:hAnsiTheme="minorHAnsi" w:cstheme="minorHAnsi"/>
              </w:rPr>
            </w:pPr>
            <w:r w:rsidRPr="00DB219E">
              <w:rPr>
                <w:rFonts w:asciiTheme="minorHAnsi" w:hAnsiTheme="minorHAnsi" w:cstheme="minorHAnsi"/>
                <w:b/>
              </w:rPr>
              <w:t>Dichotomised, n,(%)</w:t>
            </w:r>
          </w:p>
        </w:tc>
        <w:tc>
          <w:tcPr>
            <w:tcW w:w="1381" w:type="dxa"/>
          </w:tcPr>
          <w:p w14:paraId="54E92531" w14:textId="77777777" w:rsidR="000627C0" w:rsidRPr="00DA32F2" w:rsidRDefault="000627C0" w:rsidP="003F39BA">
            <w:pPr>
              <w:spacing w:after="0" w:line="240" w:lineRule="auto"/>
              <w:jc w:val="center"/>
              <w:rPr>
                <w:rFonts w:asciiTheme="minorHAnsi" w:hAnsiTheme="minorHAnsi" w:cstheme="minorHAnsi"/>
              </w:rPr>
            </w:pPr>
          </w:p>
        </w:tc>
        <w:tc>
          <w:tcPr>
            <w:tcW w:w="1381" w:type="dxa"/>
          </w:tcPr>
          <w:p w14:paraId="0F44A484" w14:textId="77777777" w:rsidR="000627C0" w:rsidRPr="00DA32F2" w:rsidRDefault="000627C0" w:rsidP="003F39BA">
            <w:pPr>
              <w:spacing w:after="0" w:line="240" w:lineRule="auto"/>
              <w:jc w:val="center"/>
              <w:rPr>
                <w:rFonts w:asciiTheme="minorHAnsi" w:hAnsiTheme="minorHAnsi" w:cstheme="minorHAnsi"/>
              </w:rPr>
            </w:pPr>
          </w:p>
        </w:tc>
        <w:tc>
          <w:tcPr>
            <w:tcW w:w="1381" w:type="dxa"/>
          </w:tcPr>
          <w:p w14:paraId="57681C04" w14:textId="77777777" w:rsidR="000627C0" w:rsidRPr="00DA32F2" w:rsidRDefault="000627C0" w:rsidP="003F39BA">
            <w:pPr>
              <w:spacing w:after="0" w:line="240" w:lineRule="auto"/>
              <w:jc w:val="center"/>
              <w:rPr>
                <w:rFonts w:asciiTheme="minorHAnsi" w:hAnsiTheme="minorHAnsi" w:cstheme="minorHAnsi"/>
              </w:rPr>
            </w:pPr>
          </w:p>
        </w:tc>
        <w:tc>
          <w:tcPr>
            <w:tcW w:w="1381" w:type="dxa"/>
          </w:tcPr>
          <w:p w14:paraId="5007AAE8" w14:textId="77777777" w:rsidR="000627C0" w:rsidRPr="00DA32F2" w:rsidRDefault="000627C0" w:rsidP="003F39BA">
            <w:pPr>
              <w:spacing w:after="0" w:line="240" w:lineRule="auto"/>
              <w:jc w:val="center"/>
              <w:rPr>
                <w:rFonts w:asciiTheme="minorHAnsi" w:hAnsiTheme="minorHAnsi" w:cstheme="minorHAnsi"/>
              </w:rPr>
            </w:pPr>
          </w:p>
        </w:tc>
        <w:tc>
          <w:tcPr>
            <w:tcW w:w="1381" w:type="dxa"/>
          </w:tcPr>
          <w:p w14:paraId="51345DDF" w14:textId="77777777" w:rsidR="000627C0" w:rsidRPr="00DA32F2" w:rsidRDefault="000627C0" w:rsidP="003F39BA">
            <w:pPr>
              <w:spacing w:after="0" w:line="240" w:lineRule="auto"/>
              <w:jc w:val="center"/>
              <w:rPr>
                <w:rFonts w:asciiTheme="minorHAnsi" w:hAnsiTheme="minorHAnsi" w:cstheme="minorHAnsi"/>
              </w:rPr>
            </w:pPr>
          </w:p>
        </w:tc>
      </w:tr>
      <w:tr w:rsidR="000627C0" w:rsidRPr="00DA32F2" w14:paraId="01F971FD" w14:textId="77777777" w:rsidTr="003F39BA">
        <w:tc>
          <w:tcPr>
            <w:tcW w:w="2105" w:type="dxa"/>
          </w:tcPr>
          <w:p w14:paraId="28CB7F7F" w14:textId="77777777" w:rsidR="000627C0" w:rsidRPr="00DA32F2" w:rsidRDefault="000627C0" w:rsidP="003F39BA">
            <w:pPr>
              <w:spacing w:after="0" w:line="240" w:lineRule="auto"/>
              <w:rPr>
                <w:rFonts w:asciiTheme="minorHAnsi" w:hAnsiTheme="minorHAnsi" w:cstheme="minorHAnsi"/>
              </w:rPr>
            </w:pPr>
            <w:r w:rsidRPr="00DA32F2">
              <w:rPr>
                <w:rFonts w:asciiTheme="minorHAnsi" w:hAnsiTheme="minorHAnsi" w:cstheme="minorHAnsi"/>
              </w:rPr>
              <w:t>≤660</w:t>
            </w:r>
          </w:p>
        </w:tc>
        <w:tc>
          <w:tcPr>
            <w:tcW w:w="1381" w:type="dxa"/>
            <w:vAlign w:val="bottom"/>
          </w:tcPr>
          <w:p w14:paraId="21E6EE20"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9 (47.4)</w:t>
            </w:r>
          </w:p>
        </w:tc>
        <w:tc>
          <w:tcPr>
            <w:tcW w:w="1381" w:type="dxa"/>
            <w:vAlign w:val="bottom"/>
          </w:tcPr>
          <w:p w14:paraId="334A03F0"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11 (50.0)</w:t>
            </w:r>
          </w:p>
        </w:tc>
        <w:tc>
          <w:tcPr>
            <w:tcW w:w="1381" w:type="dxa"/>
          </w:tcPr>
          <w:p w14:paraId="3985DE83"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4 (36.4)</w:t>
            </w:r>
          </w:p>
        </w:tc>
        <w:tc>
          <w:tcPr>
            <w:tcW w:w="1381" w:type="dxa"/>
          </w:tcPr>
          <w:p w14:paraId="5FB616A3"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8 (50.0)</w:t>
            </w:r>
          </w:p>
        </w:tc>
        <w:tc>
          <w:tcPr>
            <w:tcW w:w="1381" w:type="dxa"/>
          </w:tcPr>
          <w:p w14:paraId="678F5D41"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12 (44.4)</w:t>
            </w:r>
          </w:p>
        </w:tc>
      </w:tr>
      <w:tr w:rsidR="000627C0" w:rsidRPr="00DA32F2" w14:paraId="555F3935" w14:textId="77777777" w:rsidTr="003F39BA">
        <w:tc>
          <w:tcPr>
            <w:tcW w:w="2105" w:type="dxa"/>
          </w:tcPr>
          <w:p w14:paraId="5996B58D" w14:textId="77777777" w:rsidR="000627C0" w:rsidRPr="00DA32F2" w:rsidRDefault="000627C0" w:rsidP="003F39BA">
            <w:pPr>
              <w:spacing w:after="0" w:line="240" w:lineRule="auto"/>
              <w:rPr>
                <w:rFonts w:asciiTheme="minorHAnsi" w:hAnsiTheme="minorHAnsi" w:cstheme="minorHAnsi"/>
              </w:rPr>
            </w:pPr>
            <w:r w:rsidRPr="00DA32F2">
              <w:rPr>
                <w:rFonts w:asciiTheme="minorHAnsi" w:hAnsiTheme="minorHAnsi" w:cstheme="minorHAnsi"/>
              </w:rPr>
              <w:t>&gt;660</w:t>
            </w:r>
          </w:p>
        </w:tc>
        <w:tc>
          <w:tcPr>
            <w:tcW w:w="1381" w:type="dxa"/>
            <w:vAlign w:val="bottom"/>
          </w:tcPr>
          <w:p w14:paraId="05BFB660"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10 (52.6)</w:t>
            </w:r>
          </w:p>
        </w:tc>
        <w:tc>
          <w:tcPr>
            <w:tcW w:w="1381" w:type="dxa"/>
            <w:vAlign w:val="bottom"/>
          </w:tcPr>
          <w:p w14:paraId="26C42451"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11 (50.0)</w:t>
            </w:r>
          </w:p>
        </w:tc>
        <w:tc>
          <w:tcPr>
            <w:tcW w:w="1381" w:type="dxa"/>
          </w:tcPr>
          <w:p w14:paraId="4DB20E0B"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7 (63.6)</w:t>
            </w:r>
          </w:p>
        </w:tc>
        <w:tc>
          <w:tcPr>
            <w:tcW w:w="1381" w:type="dxa"/>
          </w:tcPr>
          <w:p w14:paraId="42D194F0"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8 (50.0)</w:t>
            </w:r>
          </w:p>
        </w:tc>
        <w:tc>
          <w:tcPr>
            <w:tcW w:w="1381" w:type="dxa"/>
          </w:tcPr>
          <w:p w14:paraId="7D4B85F6"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15 (55.6)</w:t>
            </w:r>
          </w:p>
        </w:tc>
      </w:tr>
      <w:tr w:rsidR="000627C0" w:rsidRPr="00DA32F2" w14:paraId="02E4B89F" w14:textId="77777777" w:rsidTr="003F39BA">
        <w:tc>
          <w:tcPr>
            <w:tcW w:w="2105" w:type="dxa"/>
          </w:tcPr>
          <w:p w14:paraId="4122966C" w14:textId="77777777" w:rsidR="000627C0" w:rsidRPr="00C404FA" w:rsidRDefault="000627C0" w:rsidP="003F39BA">
            <w:pPr>
              <w:spacing w:after="0" w:line="240" w:lineRule="auto"/>
              <w:rPr>
                <w:rFonts w:asciiTheme="minorHAnsi" w:hAnsiTheme="minorHAnsi" w:cstheme="minorHAnsi"/>
                <w:b/>
              </w:rPr>
            </w:pPr>
            <w:r w:rsidRPr="00DB219E">
              <w:rPr>
                <w:rFonts w:asciiTheme="minorHAnsi" w:hAnsiTheme="minorHAnsi" w:cstheme="minorHAnsi"/>
                <w:b/>
              </w:rPr>
              <w:t>Learning from Mistakes Category</w:t>
            </w:r>
            <w:r w:rsidRPr="00DA32F2">
              <w:rPr>
                <w:rFonts w:asciiTheme="minorHAnsi" w:hAnsiTheme="minorHAnsi" w:cstheme="minorHAnsi"/>
                <w:b/>
                <w:vertAlign w:val="superscript"/>
              </w:rPr>
              <w:t>a</w:t>
            </w:r>
            <w:r w:rsidRPr="00DB219E">
              <w:rPr>
                <w:rFonts w:asciiTheme="minorHAnsi" w:hAnsiTheme="minorHAnsi" w:cstheme="minorHAnsi"/>
                <w:b/>
              </w:rPr>
              <w:t xml:space="preserve">, n (%) </w:t>
            </w:r>
          </w:p>
        </w:tc>
        <w:tc>
          <w:tcPr>
            <w:tcW w:w="1381" w:type="dxa"/>
          </w:tcPr>
          <w:p w14:paraId="66F183D9" w14:textId="77777777" w:rsidR="000627C0" w:rsidRPr="00DA32F2" w:rsidRDefault="000627C0" w:rsidP="003F39BA">
            <w:pPr>
              <w:spacing w:after="0" w:line="240" w:lineRule="auto"/>
              <w:jc w:val="center"/>
              <w:rPr>
                <w:rFonts w:asciiTheme="minorHAnsi" w:hAnsiTheme="minorHAnsi" w:cstheme="minorHAnsi"/>
              </w:rPr>
            </w:pPr>
          </w:p>
        </w:tc>
        <w:tc>
          <w:tcPr>
            <w:tcW w:w="1381" w:type="dxa"/>
          </w:tcPr>
          <w:p w14:paraId="5A5C1B22" w14:textId="77777777" w:rsidR="000627C0" w:rsidRPr="00DA32F2" w:rsidRDefault="000627C0" w:rsidP="003F39BA">
            <w:pPr>
              <w:spacing w:after="0" w:line="240" w:lineRule="auto"/>
              <w:jc w:val="center"/>
              <w:rPr>
                <w:rFonts w:asciiTheme="minorHAnsi" w:hAnsiTheme="minorHAnsi" w:cstheme="minorHAnsi"/>
              </w:rPr>
            </w:pPr>
          </w:p>
        </w:tc>
        <w:tc>
          <w:tcPr>
            <w:tcW w:w="1381" w:type="dxa"/>
          </w:tcPr>
          <w:p w14:paraId="1A89D87F" w14:textId="77777777" w:rsidR="000627C0" w:rsidRPr="00DA32F2" w:rsidRDefault="000627C0" w:rsidP="003F39BA">
            <w:pPr>
              <w:spacing w:after="0" w:line="240" w:lineRule="auto"/>
              <w:jc w:val="center"/>
              <w:rPr>
                <w:rFonts w:asciiTheme="minorHAnsi" w:hAnsiTheme="minorHAnsi" w:cstheme="minorHAnsi"/>
              </w:rPr>
            </w:pPr>
          </w:p>
        </w:tc>
        <w:tc>
          <w:tcPr>
            <w:tcW w:w="1381" w:type="dxa"/>
          </w:tcPr>
          <w:p w14:paraId="35433E41" w14:textId="77777777" w:rsidR="000627C0" w:rsidRPr="00DA32F2" w:rsidRDefault="000627C0" w:rsidP="003F39BA">
            <w:pPr>
              <w:spacing w:after="0" w:line="240" w:lineRule="auto"/>
              <w:jc w:val="center"/>
              <w:rPr>
                <w:rFonts w:asciiTheme="minorHAnsi" w:hAnsiTheme="minorHAnsi" w:cstheme="minorHAnsi"/>
              </w:rPr>
            </w:pPr>
          </w:p>
        </w:tc>
        <w:tc>
          <w:tcPr>
            <w:tcW w:w="1381" w:type="dxa"/>
          </w:tcPr>
          <w:p w14:paraId="6FB80D57" w14:textId="77777777" w:rsidR="000627C0" w:rsidRPr="00DA32F2" w:rsidRDefault="000627C0" w:rsidP="003F39BA">
            <w:pPr>
              <w:spacing w:after="0" w:line="240" w:lineRule="auto"/>
              <w:jc w:val="center"/>
              <w:rPr>
                <w:rFonts w:asciiTheme="minorHAnsi" w:hAnsiTheme="minorHAnsi" w:cstheme="minorHAnsi"/>
              </w:rPr>
            </w:pPr>
          </w:p>
        </w:tc>
      </w:tr>
      <w:tr w:rsidR="000627C0" w:rsidRPr="00DA32F2" w14:paraId="4AF53248" w14:textId="77777777" w:rsidTr="003F39BA">
        <w:tc>
          <w:tcPr>
            <w:tcW w:w="2105" w:type="dxa"/>
          </w:tcPr>
          <w:p w14:paraId="1B8B6289" w14:textId="77777777" w:rsidR="000627C0" w:rsidRPr="00DA32F2" w:rsidRDefault="000627C0" w:rsidP="003F39BA">
            <w:pPr>
              <w:spacing w:after="0" w:line="240" w:lineRule="auto"/>
              <w:rPr>
                <w:rFonts w:asciiTheme="minorHAnsi" w:hAnsiTheme="minorHAnsi" w:cstheme="minorHAnsi"/>
                <w:b/>
              </w:rPr>
            </w:pPr>
            <w:r w:rsidRPr="00DA32F2">
              <w:rPr>
                <w:rFonts w:asciiTheme="minorHAnsi" w:hAnsiTheme="minorHAnsi" w:cstheme="minorHAnsi"/>
              </w:rPr>
              <w:t>Outstanding</w:t>
            </w:r>
          </w:p>
        </w:tc>
        <w:tc>
          <w:tcPr>
            <w:tcW w:w="1381" w:type="dxa"/>
            <w:vAlign w:val="bottom"/>
          </w:tcPr>
          <w:p w14:paraId="4D4FF325"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1 (5.3)</w:t>
            </w:r>
          </w:p>
        </w:tc>
        <w:tc>
          <w:tcPr>
            <w:tcW w:w="1381" w:type="dxa"/>
            <w:vAlign w:val="bottom"/>
          </w:tcPr>
          <w:p w14:paraId="0F2FA6F7"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2 (9.1)</w:t>
            </w:r>
          </w:p>
        </w:tc>
        <w:tc>
          <w:tcPr>
            <w:tcW w:w="1381" w:type="dxa"/>
          </w:tcPr>
          <w:p w14:paraId="32250103"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0 (0.0)</w:t>
            </w:r>
          </w:p>
        </w:tc>
        <w:tc>
          <w:tcPr>
            <w:tcW w:w="1381" w:type="dxa"/>
          </w:tcPr>
          <w:p w14:paraId="50A49B2B"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1 (6.3)</w:t>
            </w:r>
          </w:p>
        </w:tc>
        <w:tc>
          <w:tcPr>
            <w:tcW w:w="1381" w:type="dxa"/>
          </w:tcPr>
          <w:p w14:paraId="55E19A9C"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1 (3.7)</w:t>
            </w:r>
          </w:p>
        </w:tc>
      </w:tr>
      <w:tr w:rsidR="000627C0" w:rsidRPr="00DA32F2" w14:paraId="7900443A" w14:textId="77777777" w:rsidTr="003F39BA">
        <w:tc>
          <w:tcPr>
            <w:tcW w:w="2105" w:type="dxa"/>
          </w:tcPr>
          <w:p w14:paraId="3B96C54E" w14:textId="77777777" w:rsidR="000627C0" w:rsidRPr="00DA32F2" w:rsidRDefault="000627C0" w:rsidP="003F39BA">
            <w:pPr>
              <w:spacing w:after="0" w:line="240" w:lineRule="auto"/>
              <w:rPr>
                <w:rFonts w:asciiTheme="minorHAnsi" w:hAnsiTheme="minorHAnsi" w:cstheme="minorHAnsi"/>
              </w:rPr>
            </w:pPr>
            <w:r w:rsidRPr="00DA32F2">
              <w:rPr>
                <w:rFonts w:asciiTheme="minorHAnsi" w:hAnsiTheme="minorHAnsi" w:cstheme="minorHAnsi"/>
              </w:rPr>
              <w:t>Good</w:t>
            </w:r>
          </w:p>
        </w:tc>
        <w:tc>
          <w:tcPr>
            <w:tcW w:w="1381" w:type="dxa"/>
            <w:vAlign w:val="bottom"/>
          </w:tcPr>
          <w:p w14:paraId="221C1050"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8 (42.1)</w:t>
            </w:r>
          </w:p>
        </w:tc>
        <w:tc>
          <w:tcPr>
            <w:tcW w:w="1381" w:type="dxa"/>
            <w:vAlign w:val="bottom"/>
          </w:tcPr>
          <w:p w14:paraId="29AA91C6"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9 (40.9)</w:t>
            </w:r>
          </w:p>
        </w:tc>
        <w:tc>
          <w:tcPr>
            <w:tcW w:w="1381" w:type="dxa"/>
          </w:tcPr>
          <w:p w14:paraId="0FA72210"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5 (45.5)</w:t>
            </w:r>
          </w:p>
        </w:tc>
        <w:tc>
          <w:tcPr>
            <w:tcW w:w="1381" w:type="dxa"/>
          </w:tcPr>
          <w:p w14:paraId="19D27E15"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7 (43.8)</w:t>
            </w:r>
          </w:p>
        </w:tc>
        <w:tc>
          <w:tcPr>
            <w:tcW w:w="1381" w:type="dxa"/>
          </w:tcPr>
          <w:p w14:paraId="3B3B9CEF"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12 (44.4)</w:t>
            </w:r>
          </w:p>
        </w:tc>
      </w:tr>
      <w:tr w:rsidR="000627C0" w:rsidRPr="00DA32F2" w14:paraId="4FA59444" w14:textId="77777777" w:rsidTr="003F39BA">
        <w:tc>
          <w:tcPr>
            <w:tcW w:w="2105" w:type="dxa"/>
          </w:tcPr>
          <w:p w14:paraId="1A46693F" w14:textId="77777777" w:rsidR="000627C0" w:rsidRPr="00DA32F2" w:rsidRDefault="000627C0" w:rsidP="003F39BA">
            <w:pPr>
              <w:spacing w:after="0" w:line="240" w:lineRule="auto"/>
              <w:rPr>
                <w:rFonts w:asciiTheme="minorHAnsi" w:hAnsiTheme="minorHAnsi" w:cstheme="minorHAnsi"/>
              </w:rPr>
            </w:pPr>
            <w:r w:rsidRPr="00DA32F2">
              <w:rPr>
                <w:rFonts w:asciiTheme="minorHAnsi" w:hAnsiTheme="minorHAnsi" w:cstheme="minorHAnsi"/>
              </w:rPr>
              <w:t>Significant concern</w:t>
            </w:r>
          </w:p>
        </w:tc>
        <w:tc>
          <w:tcPr>
            <w:tcW w:w="1381" w:type="dxa"/>
            <w:vAlign w:val="bottom"/>
          </w:tcPr>
          <w:p w14:paraId="1A405940"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7 (36.8)</w:t>
            </w:r>
          </w:p>
        </w:tc>
        <w:tc>
          <w:tcPr>
            <w:tcW w:w="1381" w:type="dxa"/>
            <w:vAlign w:val="bottom"/>
          </w:tcPr>
          <w:p w14:paraId="31ACAB0B"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7 (31.8)</w:t>
            </w:r>
          </w:p>
        </w:tc>
        <w:tc>
          <w:tcPr>
            <w:tcW w:w="1381" w:type="dxa"/>
          </w:tcPr>
          <w:p w14:paraId="482A80B7"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4 (36.4)</w:t>
            </w:r>
          </w:p>
        </w:tc>
        <w:tc>
          <w:tcPr>
            <w:tcW w:w="1381" w:type="dxa"/>
          </w:tcPr>
          <w:p w14:paraId="2198BD68"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6 (37.5)</w:t>
            </w:r>
          </w:p>
        </w:tc>
        <w:tc>
          <w:tcPr>
            <w:tcW w:w="1381" w:type="dxa"/>
          </w:tcPr>
          <w:p w14:paraId="7BA6F8D9"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10 (37.0)</w:t>
            </w:r>
          </w:p>
        </w:tc>
      </w:tr>
      <w:tr w:rsidR="000627C0" w:rsidRPr="00DA32F2" w14:paraId="1B7B4E74" w14:textId="77777777" w:rsidTr="003F39BA">
        <w:tc>
          <w:tcPr>
            <w:tcW w:w="2105" w:type="dxa"/>
          </w:tcPr>
          <w:p w14:paraId="1E35E33A" w14:textId="77777777" w:rsidR="000627C0" w:rsidRPr="00DA32F2" w:rsidRDefault="000627C0" w:rsidP="003F39BA">
            <w:pPr>
              <w:spacing w:after="0" w:line="240" w:lineRule="auto"/>
              <w:rPr>
                <w:rFonts w:asciiTheme="minorHAnsi" w:hAnsiTheme="minorHAnsi" w:cstheme="minorHAnsi"/>
              </w:rPr>
            </w:pPr>
            <w:r w:rsidRPr="00DA32F2">
              <w:rPr>
                <w:rFonts w:asciiTheme="minorHAnsi" w:hAnsiTheme="minorHAnsi" w:cstheme="minorHAnsi"/>
              </w:rPr>
              <w:t>Poor</w:t>
            </w:r>
          </w:p>
        </w:tc>
        <w:tc>
          <w:tcPr>
            <w:tcW w:w="1381" w:type="dxa"/>
            <w:vAlign w:val="bottom"/>
          </w:tcPr>
          <w:p w14:paraId="145AD87A"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3 (15.8)</w:t>
            </w:r>
          </w:p>
        </w:tc>
        <w:tc>
          <w:tcPr>
            <w:tcW w:w="1381" w:type="dxa"/>
            <w:vAlign w:val="bottom"/>
          </w:tcPr>
          <w:p w14:paraId="7C2F80D5"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4 (18.2)</w:t>
            </w:r>
          </w:p>
        </w:tc>
        <w:tc>
          <w:tcPr>
            <w:tcW w:w="1381" w:type="dxa"/>
          </w:tcPr>
          <w:p w14:paraId="456E5447"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2 (18.2)</w:t>
            </w:r>
          </w:p>
        </w:tc>
        <w:tc>
          <w:tcPr>
            <w:tcW w:w="1381" w:type="dxa"/>
          </w:tcPr>
          <w:p w14:paraId="34A40D06"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2 (12.5)</w:t>
            </w:r>
          </w:p>
        </w:tc>
        <w:tc>
          <w:tcPr>
            <w:tcW w:w="1381" w:type="dxa"/>
          </w:tcPr>
          <w:p w14:paraId="149461DE" w14:textId="77777777" w:rsidR="000627C0" w:rsidRPr="00DA32F2" w:rsidRDefault="000627C0" w:rsidP="003F39BA">
            <w:pPr>
              <w:spacing w:after="0" w:line="240" w:lineRule="auto"/>
              <w:jc w:val="center"/>
              <w:rPr>
                <w:rFonts w:asciiTheme="minorHAnsi" w:hAnsiTheme="minorHAnsi" w:cstheme="minorHAnsi"/>
              </w:rPr>
            </w:pPr>
            <w:r w:rsidRPr="00DA32F2">
              <w:rPr>
                <w:rFonts w:asciiTheme="minorHAnsi" w:hAnsiTheme="minorHAnsi" w:cstheme="minorHAnsi"/>
              </w:rPr>
              <w:t>4 (14.8)</w:t>
            </w:r>
          </w:p>
        </w:tc>
      </w:tr>
    </w:tbl>
    <w:p w14:paraId="647D7295" w14:textId="1245D19A" w:rsidR="000627C0" w:rsidRPr="00C404FA" w:rsidRDefault="000627C0" w:rsidP="000627C0">
      <w:pPr>
        <w:rPr>
          <w:sz w:val="20"/>
        </w:rPr>
      </w:pPr>
      <w:r w:rsidRPr="00C404FA">
        <w:rPr>
          <w:sz w:val="20"/>
          <w:vertAlign w:val="superscript"/>
        </w:rPr>
        <w:t>a</w:t>
      </w:r>
      <w:r w:rsidRPr="00C404FA">
        <w:rPr>
          <w:sz w:val="20"/>
        </w:rPr>
        <w:t xml:space="preserve"> outstanding levels of openness and transparency; good levels of openness and transparency; significant concerns about openness and transparency; and poor reporting culture</w:t>
      </w:r>
      <w:r w:rsidR="00D917B7">
        <w:rPr>
          <w:sz w:val="20"/>
        </w:rPr>
        <w:t xml:space="preserve">. </w:t>
      </w:r>
      <w:r w:rsidR="00D917B7" w:rsidRPr="007A334E">
        <w:rPr>
          <w:rFonts w:asciiTheme="minorHAnsi" w:hAnsiTheme="minorHAnsi" w:cstheme="minorHAnsi"/>
          <w:vertAlign w:val="superscript"/>
        </w:rPr>
        <w:t>b</w:t>
      </w:r>
      <w:r w:rsidR="00D917B7">
        <w:rPr>
          <w:rFonts w:asciiTheme="minorHAnsi" w:hAnsiTheme="minorHAnsi" w:cstheme="minorHAnsi"/>
        </w:rPr>
        <w:t xml:space="preserve"> </w:t>
      </w:r>
      <w:r w:rsidR="00D917B7" w:rsidRPr="006851F0">
        <w:rPr>
          <w:rFonts w:asciiTheme="minorHAnsi" w:hAnsiTheme="minorHAnsi" w:cstheme="minorHAnsi"/>
          <w:sz w:val="20"/>
          <w:szCs w:val="20"/>
        </w:rPr>
        <w:t>differences between as randomised and as analysed are due to some Trusts not confirming capacity and capability</w:t>
      </w:r>
    </w:p>
    <w:p w14:paraId="6D568225" w14:textId="20FF742F" w:rsidR="000627C0" w:rsidRDefault="000627C0" w:rsidP="000627C0">
      <w:pPr>
        <w:pStyle w:val="Caption"/>
        <w:keepNext/>
      </w:pPr>
      <w:r>
        <w:br w:type="page"/>
      </w:r>
    </w:p>
    <w:p w14:paraId="2ACBC6C5" w14:textId="0B6E97E7" w:rsidR="000627C0" w:rsidRDefault="000627C0" w:rsidP="000627C0">
      <w:pPr>
        <w:pStyle w:val="Caption"/>
        <w:keepNext/>
      </w:pPr>
      <w:bookmarkStart w:id="7" w:name="_Ref71296421"/>
      <w:r>
        <w:t xml:space="preserve">Table </w:t>
      </w:r>
      <w:r w:rsidR="009D4DFE">
        <w:fldChar w:fldCharType="begin"/>
      </w:r>
      <w:r w:rsidR="009D4DFE">
        <w:instrText xml:space="preserve"> SEQ Table \* ARABIC </w:instrText>
      </w:r>
      <w:r w:rsidR="009D4DFE">
        <w:fldChar w:fldCharType="separate"/>
      </w:r>
      <w:r w:rsidR="005F7BCC">
        <w:rPr>
          <w:noProof/>
        </w:rPr>
        <w:t>3</w:t>
      </w:r>
      <w:r w:rsidR="009D4DFE">
        <w:rPr>
          <w:noProof/>
        </w:rPr>
        <w:fldChar w:fldCharType="end"/>
      </w:r>
      <w:bookmarkEnd w:id="7"/>
      <w:r>
        <w:t xml:space="preserve">: </w:t>
      </w:r>
      <w:r w:rsidRPr="00111FDC">
        <w:t>Patient and procedure details</w:t>
      </w:r>
    </w:p>
    <w:tbl>
      <w:tblPr>
        <w:tblStyle w:val="TableGrid"/>
        <w:tblW w:w="0" w:type="auto"/>
        <w:tblInd w:w="720" w:type="dxa"/>
        <w:tblLook w:val="04A0" w:firstRow="1" w:lastRow="0" w:firstColumn="1" w:lastColumn="0" w:noHBand="0" w:noVBand="1"/>
      </w:tblPr>
      <w:tblGrid>
        <w:gridCol w:w="3230"/>
        <w:gridCol w:w="1656"/>
        <w:gridCol w:w="1702"/>
        <w:gridCol w:w="1702"/>
      </w:tblGrid>
      <w:tr w:rsidR="000627C0" w:rsidRPr="00281E4F" w14:paraId="6A2983E5" w14:textId="77777777" w:rsidTr="003F39BA">
        <w:tc>
          <w:tcPr>
            <w:tcW w:w="3230" w:type="dxa"/>
          </w:tcPr>
          <w:p w14:paraId="66953AD2" w14:textId="77777777" w:rsidR="000627C0" w:rsidRPr="00281E4F" w:rsidRDefault="000627C0" w:rsidP="003F39BA">
            <w:pPr>
              <w:pStyle w:val="ListParagraph"/>
              <w:spacing w:after="0" w:line="240" w:lineRule="auto"/>
              <w:ind w:left="0"/>
            </w:pPr>
          </w:p>
        </w:tc>
        <w:tc>
          <w:tcPr>
            <w:tcW w:w="1656" w:type="dxa"/>
            <w:vAlign w:val="bottom"/>
          </w:tcPr>
          <w:p w14:paraId="05FE8088" w14:textId="77777777" w:rsidR="000627C0" w:rsidRPr="00281E4F" w:rsidRDefault="000627C0" w:rsidP="003F39BA">
            <w:pPr>
              <w:pStyle w:val="ListParagraph"/>
              <w:spacing w:after="0" w:line="240" w:lineRule="auto"/>
              <w:ind w:left="0"/>
              <w:jc w:val="center"/>
              <w:rPr>
                <w:b/>
              </w:rPr>
            </w:pPr>
            <w:r w:rsidRPr="00281E4F">
              <w:rPr>
                <w:b/>
              </w:rPr>
              <w:t>Anaemia</w:t>
            </w:r>
          </w:p>
          <w:p w14:paraId="0F9586A6" w14:textId="77777777" w:rsidR="000627C0" w:rsidRPr="00281E4F" w:rsidRDefault="000627C0" w:rsidP="003F39BA">
            <w:pPr>
              <w:pStyle w:val="ListParagraph"/>
              <w:spacing w:after="0" w:line="240" w:lineRule="auto"/>
              <w:ind w:left="0"/>
              <w:jc w:val="center"/>
              <w:rPr>
                <w:b/>
              </w:rPr>
            </w:pPr>
            <w:r w:rsidRPr="00281E4F">
              <w:rPr>
                <w:b/>
              </w:rPr>
              <w:t>(n=6324)</w:t>
            </w:r>
          </w:p>
        </w:tc>
        <w:tc>
          <w:tcPr>
            <w:tcW w:w="1702" w:type="dxa"/>
            <w:vAlign w:val="bottom"/>
          </w:tcPr>
          <w:p w14:paraId="765B4C58" w14:textId="77777777" w:rsidR="000627C0" w:rsidRPr="00281E4F" w:rsidRDefault="000627C0" w:rsidP="003F39BA">
            <w:pPr>
              <w:pStyle w:val="ListParagraph"/>
              <w:spacing w:after="0" w:line="240" w:lineRule="auto"/>
              <w:ind w:left="0"/>
              <w:jc w:val="center"/>
              <w:rPr>
                <w:b/>
              </w:rPr>
            </w:pPr>
            <w:r w:rsidRPr="00281E4F">
              <w:rPr>
                <w:b/>
              </w:rPr>
              <w:t>Infection</w:t>
            </w:r>
          </w:p>
          <w:p w14:paraId="278CB518" w14:textId="77777777" w:rsidR="000627C0" w:rsidRPr="00281E4F" w:rsidRDefault="000627C0" w:rsidP="003F39BA">
            <w:pPr>
              <w:pStyle w:val="ListParagraph"/>
              <w:spacing w:after="0" w:line="240" w:lineRule="auto"/>
              <w:ind w:left="0"/>
              <w:jc w:val="center"/>
              <w:rPr>
                <w:b/>
              </w:rPr>
            </w:pPr>
            <w:r w:rsidRPr="00281E4F">
              <w:rPr>
                <w:b/>
              </w:rPr>
              <w:t>(n=12930)</w:t>
            </w:r>
          </w:p>
        </w:tc>
        <w:tc>
          <w:tcPr>
            <w:tcW w:w="1702" w:type="dxa"/>
            <w:vAlign w:val="bottom"/>
          </w:tcPr>
          <w:p w14:paraId="5C0C2D90" w14:textId="77777777" w:rsidR="000627C0" w:rsidRPr="00281E4F" w:rsidRDefault="000627C0" w:rsidP="003F39BA">
            <w:pPr>
              <w:pStyle w:val="ListParagraph"/>
              <w:spacing w:after="0" w:line="240" w:lineRule="auto"/>
              <w:ind w:left="0"/>
              <w:jc w:val="center"/>
              <w:rPr>
                <w:b/>
              </w:rPr>
            </w:pPr>
            <w:r w:rsidRPr="00281E4F">
              <w:rPr>
                <w:b/>
              </w:rPr>
              <w:t>Total</w:t>
            </w:r>
          </w:p>
          <w:p w14:paraId="5A3CD0F7" w14:textId="77777777" w:rsidR="000627C0" w:rsidRPr="00281E4F" w:rsidRDefault="000627C0" w:rsidP="003F39BA">
            <w:pPr>
              <w:pStyle w:val="ListParagraph"/>
              <w:spacing w:after="0" w:line="240" w:lineRule="auto"/>
              <w:ind w:left="0"/>
              <w:jc w:val="center"/>
              <w:rPr>
                <w:b/>
              </w:rPr>
            </w:pPr>
            <w:r w:rsidRPr="00281E4F">
              <w:rPr>
                <w:b/>
              </w:rPr>
              <w:t>(n=19254)</w:t>
            </w:r>
          </w:p>
        </w:tc>
      </w:tr>
      <w:tr w:rsidR="000627C0" w:rsidRPr="00281E4F" w14:paraId="64737F49" w14:textId="77777777" w:rsidTr="003F39BA">
        <w:tc>
          <w:tcPr>
            <w:tcW w:w="3230" w:type="dxa"/>
            <w:vAlign w:val="bottom"/>
          </w:tcPr>
          <w:p w14:paraId="55B5E52C" w14:textId="77777777" w:rsidR="000627C0" w:rsidRPr="00281E4F" w:rsidRDefault="000627C0" w:rsidP="003F39BA">
            <w:pPr>
              <w:pStyle w:val="ListParagraph"/>
              <w:spacing w:after="0" w:line="240" w:lineRule="auto"/>
              <w:ind w:left="0"/>
              <w:rPr>
                <w:b/>
              </w:rPr>
            </w:pPr>
            <w:r w:rsidRPr="00281E4F">
              <w:rPr>
                <w:b/>
              </w:rPr>
              <w:t>Age, years</w:t>
            </w:r>
          </w:p>
        </w:tc>
        <w:tc>
          <w:tcPr>
            <w:tcW w:w="1656" w:type="dxa"/>
            <w:vAlign w:val="bottom"/>
          </w:tcPr>
          <w:p w14:paraId="3E25A1ED" w14:textId="77777777" w:rsidR="000627C0" w:rsidRPr="00281E4F" w:rsidRDefault="000627C0" w:rsidP="003F39BA">
            <w:pPr>
              <w:pStyle w:val="ListParagraph"/>
              <w:spacing w:after="0" w:line="240" w:lineRule="auto"/>
              <w:ind w:left="0"/>
            </w:pPr>
          </w:p>
        </w:tc>
        <w:tc>
          <w:tcPr>
            <w:tcW w:w="1702" w:type="dxa"/>
            <w:vAlign w:val="bottom"/>
          </w:tcPr>
          <w:p w14:paraId="44C1CBE0" w14:textId="77777777" w:rsidR="000627C0" w:rsidRPr="00281E4F" w:rsidRDefault="000627C0" w:rsidP="003F39BA">
            <w:pPr>
              <w:pStyle w:val="ListParagraph"/>
              <w:spacing w:after="0" w:line="240" w:lineRule="auto"/>
              <w:ind w:left="0"/>
            </w:pPr>
          </w:p>
        </w:tc>
        <w:tc>
          <w:tcPr>
            <w:tcW w:w="1702" w:type="dxa"/>
            <w:vAlign w:val="bottom"/>
          </w:tcPr>
          <w:p w14:paraId="59B734DA" w14:textId="77777777" w:rsidR="000627C0" w:rsidRPr="00281E4F" w:rsidRDefault="000627C0" w:rsidP="003F39BA">
            <w:pPr>
              <w:pStyle w:val="ListParagraph"/>
              <w:spacing w:after="0" w:line="240" w:lineRule="auto"/>
              <w:ind w:left="0"/>
            </w:pPr>
          </w:p>
        </w:tc>
      </w:tr>
      <w:tr w:rsidR="000627C0" w:rsidRPr="00281E4F" w14:paraId="49186D8D" w14:textId="77777777" w:rsidTr="003F39BA">
        <w:tc>
          <w:tcPr>
            <w:tcW w:w="3230" w:type="dxa"/>
          </w:tcPr>
          <w:p w14:paraId="3DE70988" w14:textId="77777777" w:rsidR="000627C0" w:rsidRPr="00281E4F" w:rsidRDefault="000627C0" w:rsidP="003F39BA">
            <w:pPr>
              <w:pStyle w:val="ListParagraph"/>
              <w:spacing w:after="0" w:line="240" w:lineRule="auto"/>
              <w:ind w:left="0"/>
            </w:pPr>
            <w:r w:rsidRPr="00281E4F">
              <w:t>Mean (SD)</w:t>
            </w:r>
          </w:p>
        </w:tc>
        <w:tc>
          <w:tcPr>
            <w:tcW w:w="1656" w:type="dxa"/>
            <w:vAlign w:val="bottom"/>
          </w:tcPr>
          <w:p w14:paraId="63658377" w14:textId="77777777" w:rsidR="000627C0" w:rsidRPr="00281E4F" w:rsidRDefault="000627C0" w:rsidP="003F39BA">
            <w:pPr>
              <w:pStyle w:val="ListParagraph"/>
              <w:spacing w:after="0" w:line="240" w:lineRule="auto"/>
              <w:ind w:left="0"/>
              <w:jc w:val="right"/>
            </w:pPr>
            <w:r w:rsidRPr="00281E4F">
              <w:t>69.7 (9.9)</w:t>
            </w:r>
          </w:p>
        </w:tc>
        <w:tc>
          <w:tcPr>
            <w:tcW w:w="1702" w:type="dxa"/>
            <w:vAlign w:val="bottom"/>
          </w:tcPr>
          <w:p w14:paraId="48715CFF" w14:textId="77777777" w:rsidR="000627C0" w:rsidRPr="00281E4F" w:rsidRDefault="000627C0" w:rsidP="003F39BA">
            <w:pPr>
              <w:pStyle w:val="ListParagraph"/>
              <w:spacing w:after="0" w:line="240" w:lineRule="auto"/>
              <w:ind w:left="0"/>
              <w:jc w:val="right"/>
            </w:pPr>
            <w:r w:rsidRPr="00281E4F">
              <w:t>68.9 (10.8)</w:t>
            </w:r>
          </w:p>
        </w:tc>
        <w:tc>
          <w:tcPr>
            <w:tcW w:w="1702" w:type="dxa"/>
            <w:vAlign w:val="bottom"/>
          </w:tcPr>
          <w:p w14:paraId="40098AA3" w14:textId="77777777" w:rsidR="000627C0" w:rsidRPr="00281E4F" w:rsidRDefault="000627C0" w:rsidP="003F39BA">
            <w:pPr>
              <w:pStyle w:val="ListParagraph"/>
              <w:spacing w:after="0" w:line="240" w:lineRule="auto"/>
              <w:ind w:left="0"/>
              <w:jc w:val="right"/>
            </w:pPr>
            <w:r w:rsidRPr="00281E4F">
              <w:t>69.2 (10.5)</w:t>
            </w:r>
          </w:p>
        </w:tc>
      </w:tr>
      <w:tr w:rsidR="000627C0" w:rsidRPr="00281E4F" w14:paraId="63972D5A" w14:textId="77777777" w:rsidTr="003F39BA">
        <w:tc>
          <w:tcPr>
            <w:tcW w:w="3230" w:type="dxa"/>
            <w:vAlign w:val="bottom"/>
          </w:tcPr>
          <w:p w14:paraId="492F87FF" w14:textId="6B2FE7B1" w:rsidR="000627C0" w:rsidRPr="00281E4F" w:rsidRDefault="00677DBD" w:rsidP="003F39BA">
            <w:pPr>
              <w:pStyle w:val="ListParagraph"/>
              <w:spacing w:after="0" w:line="240" w:lineRule="auto"/>
              <w:ind w:left="0"/>
              <w:rPr>
                <w:b/>
              </w:rPr>
            </w:pPr>
            <w:r>
              <w:rPr>
                <w:b/>
              </w:rPr>
              <w:t>Sex</w:t>
            </w:r>
            <w:r w:rsidR="000627C0" w:rsidRPr="00281E4F">
              <w:rPr>
                <w:b/>
              </w:rPr>
              <w:t>, n (%)</w:t>
            </w:r>
          </w:p>
        </w:tc>
        <w:tc>
          <w:tcPr>
            <w:tcW w:w="1656" w:type="dxa"/>
            <w:vAlign w:val="bottom"/>
          </w:tcPr>
          <w:p w14:paraId="3F81304E" w14:textId="77777777" w:rsidR="000627C0" w:rsidRPr="00281E4F" w:rsidRDefault="000627C0" w:rsidP="003F39BA">
            <w:pPr>
              <w:pStyle w:val="ListParagraph"/>
              <w:spacing w:after="0" w:line="240" w:lineRule="auto"/>
              <w:ind w:left="0"/>
              <w:jc w:val="right"/>
            </w:pPr>
          </w:p>
        </w:tc>
        <w:tc>
          <w:tcPr>
            <w:tcW w:w="1702" w:type="dxa"/>
            <w:vAlign w:val="bottom"/>
          </w:tcPr>
          <w:p w14:paraId="5A27050A" w14:textId="77777777" w:rsidR="000627C0" w:rsidRPr="00281E4F" w:rsidRDefault="000627C0" w:rsidP="003F39BA">
            <w:pPr>
              <w:pStyle w:val="ListParagraph"/>
              <w:spacing w:after="0" w:line="240" w:lineRule="auto"/>
              <w:ind w:left="0"/>
              <w:jc w:val="right"/>
            </w:pPr>
          </w:p>
        </w:tc>
        <w:tc>
          <w:tcPr>
            <w:tcW w:w="1702" w:type="dxa"/>
            <w:vAlign w:val="bottom"/>
          </w:tcPr>
          <w:p w14:paraId="25F92F45" w14:textId="77777777" w:rsidR="000627C0" w:rsidRPr="00281E4F" w:rsidRDefault="000627C0" w:rsidP="003F39BA">
            <w:pPr>
              <w:pStyle w:val="ListParagraph"/>
              <w:spacing w:after="0" w:line="240" w:lineRule="auto"/>
              <w:ind w:left="0"/>
              <w:jc w:val="right"/>
            </w:pPr>
          </w:p>
        </w:tc>
      </w:tr>
      <w:tr w:rsidR="000627C0" w:rsidRPr="00281E4F" w14:paraId="15B7881A" w14:textId="77777777" w:rsidTr="003F39BA">
        <w:tc>
          <w:tcPr>
            <w:tcW w:w="3230" w:type="dxa"/>
            <w:vAlign w:val="bottom"/>
          </w:tcPr>
          <w:p w14:paraId="39B3B3E2" w14:textId="77777777" w:rsidR="000627C0" w:rsidRPr="00281E4F" w:rsidRDefault="000627C0" w:rsidP="003F39BA">
            <w:pPr>
              <w:pStyle w:val="ListParagraph"/>
              <w:spacing w:after="0" w:line="240" w:lineRule="auto"/>
              <w:ind w:left="0"/>
            </w:pPr>
            <w:r w:rsidRPr="00281E4F">
              <w:t>Male</w:t>
            </w:r>
          </w:p>
        </w:tc>
        <w:tc>
          <w:tcPr>
            <w:tcW w:w="1656" w:type="dxa"/>
            <w:vAlign w:val="bottom"/>
          </w:tcPr>
          <w:p w14:paraId="3E08A4F1" w14:textId="77777777" w:rsidR="000627C0" w:rsidRPr="00281E4F" w:rsidRDefault="000627C0" w:rsidP="003F39BA">
            <w:pPr>
              <w:pStyle w:val="ListParagraph"/>
              <w:spacing w:after="0" w:line="240" w:lineRule="auto"/>
              <w:ind w:left="0"/>
              <w:jc w:val="right"/>
            </w:pPr>
            <w:r w:rsidRPr="00281E4F">
              <w:t>2604 (41.2)</w:t>
            </w:r>
          </w:p>
        </w:tc>
        <w:tc>
          <w:tcPr>
            <w:tcW w:w="1702" w:type="dxa"/>
            <w:vAlign w:val="bottom"/>
          </w:tcPr>
          <w:p w14:paraId="6CAC8219" w14:textId="77777777" w:rsidR="000627C0" w:rsidRPr="00281E4F" w:rsidRDefault="000627C0" w:rsidP="003F39BA">
            <w:pPr>
              <w:pStyle w:val="ListParagraph"/>
              <w:spacing w:after="0" w:line="240" w:lineRule="auto"/>
              <w:ind w:left="0"/>
              <w:jc w:val="right"/>
            </w:pPr>
            <w:r w:rsidRPr="00281E4F">
              <w:t>5297 (41.0)</w:t>
            </w:r>
          </w:p>
        </w:tc>
        <w:tc>
          <w:tcPr>
            <w:tcW w:w="1702" w:type="dxa"/>
            <w:vAlign w:val="bottom"/>
          </w:tcPr>
          <w:p w14:paraId="3107DD0A" w14:textId="77777777" w:rsidR="000627C0" w:rsidRPr="00281E4F" w:rsidRDefault="000627C0" w:rsidP="003F39BA">
            <w:pPr>
              <w:pStyle w:val="ListParagraph"/>
              <w:spacing w:after="0" w:line="240" w:lineRule="auto"/>
              <w:ind w:left="0"/>
              <w:jc w:val="right"/>
            </w:pPr>
            <w:r w:rsidRPr="00281E4F">
              <w:t>7901 (41.0)</w:t>
            </w:r>
          </w:p>
        </w:tc>
      </w:tr>
      <w:tr w:rsidR="000627C0" w:rsidRPr="00281E4F" w14:paraId="6E503BF4" w14:textId="77777777" w:rsidTr="003F39BA">
        <w:tc>
          <w:tcPr>
            <w:tcW w:w="3230" w:type="dxa"/>
            <w:vAlign w:val="bottom"/>
          </w:tcPr>
          <w:p w14:paraId="3CECFB27" w14:textId="77777777" w:rsidR="000627C0" w:rsidRPr="00281E4F" w:rsidRDefault="000627C0" w:rsidP="003F39BA">
            <w:pPr>
              <w:pStyle w:val="ListParagraph"/>
              <w:spacing w:after="0" w:line="240" w:lineRule="auto"/>
              <w:ind w:left="0"/>
            </w:pPr>
            <w:r w:rsidRPr="00281E4F">
              <w:t>Female</w:t>
            </w:r>
          </w:p>
        </w:tc>
        <w:tc>
          <w:tcPr>
            <w:tcW w:w="1656" w:type="dxa"/>
            <w:vAlign w:val="bottom"/>
          </w:tcPr>
          <w:p w14:paraId="6A6BD95D" w14:textId="77777777" w:rsidR="000627C0" w:rsidRPr="00281E4F" w:rsidRDefault="000627C0" w:rsidP="003F39BA">
            <w:pPr>
              <w:pStyle w:val="ListParagraph"/>
              <w:spacing w:after="0" w:line="240" w:lineRule="auto"/>
              <w:ind w:left="0"/>
              <w:jc w:val="right"/>
            </w:pPr>
            <w:r w:rsidRPr="00281E4F">
              <w:t>3720 (58.8)</w:t>
            </w:r>
          </w:p>
        </w:tc>
        <w:tc>
          <w:tcPr>
            <w:tcW w:w="1702" w:type="dxa"/>
            <w:vAlign w:val="bottom"/>
          </w:tcPr>
          <w:p w14:paraId="467EA897" w14:textId="77777777" w:rsidR="000627C0" w:rsidRPr="00281E4F" w:rsidRDefault="000627C0" w:rsidP="003F39BA">
            <w:pPr>
              <w:pStyle w:val="ListParagraph"/>
              <w:spacing w:after="0" w:line="240" w:lineRule="auto"/>
              <w:ind w:left="0"/>
              <w:jc w:val="right"/>
            </w:pPr>
            <w:r w:rsidRPr="00281E4F">
              <w:t>7633 (59.0)</w:t>
            </w:r>
          </w:p>
        </w:tc>
        <w:tc>
          <w:tcPr>
            <w:tcW w:w="1702" w:type="dxa"/>
            <w:vAlign w:val="bottom"/>
          </w:tcPr>
          <w:p w14:paraId="0416809A" w14:textId="77777777" w:rsidR="000627C0" w:rsidRPr="00281E4F" w:rsidRDefault="000627C0" w:rsidP="003F39BA">
            <w:pPr>
              <w:pStyle w:val="ListParagraph"/>
              <w:spacing w:after="0" w:line="240" w:lineRule="auto"/>
              <w:ind w:left="0"/>
              <w:jc w:val="right"/>
            </w:pPr>
            <w:r w:rsidRPr="00281E4F">
              <w:t>11353 (59.0)</w:t>
            </w:r>
          </w:p>
        </w:tc>
      </w:tr>
      <w:tr w:rsidR="000627C0" w:rsidRPr="00281E4F" w14:paraId="27B7B782" w14:textId="77777777" w:rsidTr="003F39BA">
        <w:tc>
          <w:tcPr>
            <w:tcW w:w="3230" w:type="dxa"/>
            <w:vAlign w:val="bottom"/>
          </w:tcPr>
          <w:p w14:paraId="1718FFB2" w14:textId="77777777" w:rsidR="000627C0" w:rsidRPr="00281E4F" w:rsidRDefault="000627C0" w:rsidP="003F39BA">
            <w:pPr>
              <w:pStyle w:val="ListParagraph"/>
              <w:spacing w:after="0" w:line="240" w:lineRule="auto"/>
              <w:ind w:left="0"/>
              <w:rPr>
                <w:b/>
              </w:rPr>
            </w:pPr>
            <w:r w:rsidRPr="00281E4F">
              <w:rPr>
                <w:b/>
              </w:rPr>
              <w:t>Procedure type, n (%)</w:t>
            </w:r>
          </w:p>
        </w:tc>
        <w:tc>
          <w:tcPr>
            <w:tcW w:w="1656" w:type="dxa"/>
            <w:vAlign w:val="bottom"/>
          </w:tcPr>
          <w:p w14:paraId="3516137A" w14:textId="77777777" w:rsidR="000627C0" w:rsidRPr="00281E4F" w:rsidRDefault="000627C0" w:rsidP="003F39BA">
            <w:pPr>
              <w:pStyle w:val="ListParagraph"/>
              <w:spacing w:after="0" w:line="240" w:lineRule="auto"/>
              <w:ind w:left="0"/>
              <w:jc w:val="right"/>
            </w:pPr>
          </w:p>
        </w:tc>
        <w:tc>
          <w:tcPr>
            <w:tcW w:w="1702" w:type="dxa"/>
            <w:vAlign w:val="bottom"/>
          </w:tcPr>
          <w:p w14:paraId="2AF5F18F" w14:textId="77777777" w:rsidR="000627C0" w:rsidRPr="00281E4F" w:rsidRDefault="000627C0" w:rsidP="003F39BA">
            <w:pPr>
              <w:pStyle w:val="ListParagraph"/>
              <w:spacing w:after="0" w:line="240" w:lineRule="auto"/>
              <w:ind w:left="0"/>
              <w:jc w:val="right"/>
            </w:pPr>
          </w:p>
        </w:tc>
        <w:tc>
          <w:tcPr>
            <w:tcW w:w="1702" w:type="dxa"/>
            <w:vAlign w:val="bottom"/>
          </w:tcPr>
          <w:p w14:paraId="3840C44E" w14:textId="77777777" w:rsidR="000627C0" w:rsidRPr="00281E4F" w:rsidRDefault="000627C0" w:rsidP="003F39BA">
            <w:pPr>
              <w:pStyle w:val="ListParagraph"/>
              <w:spacing w:after="0" w:line="240" w:lineRule="auto"/>
              <w:ind w:left="0"/>
              <w:jc w:val="right"/>
            </w:pPr>
          </w:p>
        </w:tc>
      </w:tr>
      <w:tr w:rsidR="000627C0" w:rsidRPr="00281E4F" w14:paraId="1628CDFF" w14:textId="77777777" w:rsidTr="003F39BA">
        <w:tc>
          <w:tcPr>
            <w:tcW w:w="3230" w:type="dxa"/>
            <w:vAlign w:val="bottom"/>
          </w:tcPr>
          <w:p w14:paraId="4E07C187" w14:textId="77777777" w:rsidR="000627C0" w:rsidRPr="00281E4F" w:rsidRDefault="000627C0" w:rsidP="003F39BA">
            <w:pPr>
              <w:pStyle w:val="ListParagraph"/>
              <w:spacing w:after="0" w:line="240" w:lineRule="auto"/>
              <w:ind w:left="0"/>
            </w:pPr>
            <w:r w:rsidRPr="00281E4F">
              <w:t>Hip</w:t>
            </w:r>
          </w:p>
        </w:tc>
        <w:tc>
          <w:tcPr>
            <w:tcW w:w="1656" w:type="dxa"/>
            <w:vAlign w:val="bottom"/>
          </w:tcPr>
          <w:p w14:paraId="1A9846F0" w14:textId="77777777" w:rsidR="000627C0" w:rsidRPr="00281E4F" w:rsidRDefault="000627C0" w:rsidP="003F39BA">
            <w:pPr>
              <w:pStyle w:val="ListParagraph"/>
              <w:spacing w:after="0" w:line="240" w:lineRule="auto"/>
              <w:ind w:left="0"/>
              <w:jc w:val="right"/>
            </w:pPr>
            <w:r w:rsidRPr="00281E4F">
              <w:t>3181 (50.3)</w:t>
            </w:r>
          </w:p>
        </w:tc>
        <w:tc>
          <w:tcPr>
            <w:tcW w:w="1702" w:type="dxa"/>
            <w:vAlign w:val="bottom"/>
          </w:tcPr>
          <w:p w14:paraId="5EE6386E" w14:textId="77777777" w:rsidR="000627C0" w:rsidRPr="00281E4F" w:rsidRDefault="000627C0" w:rsidP="003F39BA">
            <w:pPr>
              <w:pStyle w:val="ListParagraph"/>
              <w:spacing w:after="0" w:line="240" w:lineRule="auto"/>
              <w:ind w:left="0"/>
              <w:jc w:val="right"/>
            </w:pPr>
            <w:r w:rsidRPr="00281E4F">
              <w:t>6238 (48.2)</w:t>
            </w:r>
          </w:p>
        </w:tc>
        <w:tc>
          <w:tcPr>
            <w:tcW w:w="1702" w:type="dxa"/>
            <w:vAlign w:val="bottom"/>
          </w:tcPr>
          <w:p w14:paraId="410FCC99" w14:textId="77777777" w:rsidR="000627C0" w:rsidRPr="00281E4F" w:rsidRDefault="000627C0" w:rsidP="003F39BA">
            <w:pPr>
              <w:pStyle w:val="ListParagraph"/>
              <w:spacing w:after="0" w:line="240" w:lineRule="auto"/>
              <w:ind w:left="0"/>
              <w:jc w:val="right"/>
            </w:pPr>
            <w:r w:rsidRPr="00281E4F">
              <w:t>9419 (48.9)</w:t>
            </w:r>
          </w:p>
        </w:tc>
      </w:tr>
      <w:tr w:rsidR="000627C0" w:rsidRPr="00281E4F" w14:paraId="056327BF" w14:textId="77777777" w:rsidTr="003F39BA">
        <w:tc>
          <w:tcPr>
            <w:tcW w:w="3230" w:type="dxa"/>
            <w:vAlign w:val="bottom"/>
          </w:tcPr>
          <w:p w14:paraId="36735CE5" w14:textId="77777777" w:rsidR="000627C0" w:rsidRPr="00281E4F" w:rsidRDefault="000627C0" w:rsidP="003F39BA">
            <w:pPr>
              <w:pStyle w:val="ListParagraph"/>
              <w:spacing w:after="0" w:line="240" w:lineRule="auto"/>
              <w:ind w:left="0"/>
            </w:pPr>
            <w:r w:rsidRPr="00281E4F">
              <w:t>Knee</w:t>
            </w:r>
          </w:p>
        </w:tc>
        <w:tc>
          <w:tcPr>
            <w:tcW w:w="1656" w:type="dxa"/>
            <w:vAlign w:val="bottom"/>
          </w:tcPr>
          <w:p w14:paraId="02BF8BF2" w14:textId="77777777" w:rsidR="000627C0" w:rsidRPr="00281E4F" w:rsidRDefault="000627C0" w:rsidP="003F39BA">
            <w:pPr>
              <w:pStyle w:val="ListParagraph"/>
              <w:spacing w:after="0" w:line="240" w:lineRule="auto"/>
              <w:ind w:left="0"/>
              <w:jc w:val="right"/>
            </w:pPr>
            <w:r w:rsidRPr="00281E4F">
              <w:t>3143 (49.7)</w:t>
            </w:r>
          </w:p>
        </w:tc>
        <w:tc>
          <w:tcPr>
            <w:tcW w:w="1702" w:type="dxa"/>
            <w:vAlign w:val="bottom"/>
          </w:tcPr>
          <w:p w14:paraId="096872B9" w14:textId="77777777" w:rsidR="000627C0" w:rsidRPr="00281E4F" w:rsidRDefault="000627C0" w:rsidP="003F39BA">
            <w:pPr>
              <w:pStyle w:val="ListParagraph"/>
              <w:spacing w:after="0" w:line="240" w:lineRule="auto"/>
              <w:ind w:left="0"/>
              <w:jc w:val="right"/>
            </w:pPr>
            <w:r w:rsidRPr="00281E4F">
              <w:t>6692 (51.8)</w:t>
            </w:r>
          </w:p>
        </w:tc>
        <w:tc>
          <w:tcPr>
            <w:tcW w:w="1702" w:type="dxa"/>
            <w:vAlign w:val="bottom"/>
          </w:tcPr>
          <w:p w14:paraId="0705D258" w14:textId="77777777" w:rsidR="000627C0" w:rsidRPr="00281E4F" w:rsidRDefault="000627C0" w:rsidP="003F39BA">
            <w:pPr>
              <w:pStyle w:val="ListParagraph"/>
              <w:spacing w:after="0" w:line="240" w:lineRule="auto"/>
              <w:ind w:left="0"/>
              <w:jc w:val="right"/>
            </w:pPr>
            <w:r w:rsidRPr="00281E4F">
              <w:t>9835 (51.1)</w:t>
            </w:r>
          </w:p>
        </w:tc>
      </w:tr>
      <w:tr w:rsidR="000627C0" w:rsidRPr="00281E4F" w14:paraId="3445B2BC" w14:textId="77777777" w:rsidTr="003F39BA">
        <w:tc>
          <w:tcPr>
            <w:tcW w:w="3230" w:type="dxa"/>
          </w:tcPr>
          <w:p w14:paraId="47F86DEE" w14:textId="77777777" w:rsidR="000627C0" w:rsidRPr="00281E4F" w:rsidRDefault="000627C0" w:rsidP="003F39BA">
            <w:pPr>
              <w:pStyle w:val="ListParagraph"/>
              <w:spacing w:after="0" w:line="240" w:lineRule="auto"/>
              <w:ind w:left="0"/>
            </w:pPr>
            <w:r w:rsidRPr="00281E4F">
              <w:rPr>
                <w:b/>
              </w:rPr>
              <w:t>Comorbidities</w:t>
            </w:r>
          </w:p>
        </w:tc>
        <w:tc>
          <w:tcPr>
            <w:tcW w:w="1656" w:type="dxa"/>
            <w:vAlign w:val="bottom"/>
          </w:tcPr>
          <w:p w14:paraId="209E2875" w14:textId="77777777" w:rsidR="000627C0" w:rsidRPr="00281E4F" w:rsidRDefault="000627C0" w:rsidP="003F39BA">
            <w:pPr>
              <w:pStyle w:val="ListParagraph"/>
              <w:spacing w:after="0" w:line="240" w:lineRule="auto"/>
              <w:ind w:left="0"/>
              <w:jc w:val="center"/>
              <w:rPr>
                <w:b/>
              </w:rPr>
            </w:pPr>
            <w:r w:rsidRPr="00281E4F">
              <w:rPr>
                <w:b/>
              </w:rPr>
              <w:t>n=6138</w:t>
            </w:r>
          </w:p>
        </w:tc>
        <w:tc>
          <w:tcPr>
            <w:tcW w:w="1702" w:type="dxa"/>
            <w:vAlign w:val="bottom"/>
          </w:tcPr>
          <w:p w14:paraId="6E82D55C" w14:textId="77777777" w:rsidR="000627C0" w:rsidRPr="00281E4F" w:rsidRDefault="000627C0" w:rsidP="003F39BA">
            <w:pPr>
              <w:pStyle w:val="ListParagraph"/>
              <w:spacing w:after="0" w:line="240" w:lineRule="auto"/>
              <w:ind w:left="0"/>
              <w:jc w:val="center"/>
              <w:rPr>
                <w:b/>
              </w:rPr>
            </w:pPr>
            <w:r w:rsidRPr="00281E4F">
              <w:rPr>
                <w:b/>
              </w:rPr>
              <w:t>n=12295</w:t>
            </w:r>
          </w:p>
        </w:tc>
        <w:tc>
          <w:tcPr>
            <w:tcW w:w="1702" w:type="dxa"/>
            <w:vAlign w:val="bottom"/>
          </w:tcPr>
          <w:p w14:paraId="2C4027DA" w14:textId="77777777" w:rsidR="000627C0" w:rsidRPr="00281E4F" w:rsidRDefault="000627C0" w:rsidP="003F39BA">
            <w:pPr>
              <w:pStyle w:val="ListParagraph"/>
              <w:spacing w:after="0" w:line="240" w:lineRule="auto"/>
              <w:ind w:left="0"/>
              <w:jc w:val="center"/>
              <w:rPr>
                <w:b/>
              </w:rPr>
            </w:pPr>
            <w:r w:rsidRPr="00281E4F">
              <w:rPr>
                <w:b/>
              </w:rPr>
              <w:t>n=18433</w:t>
            </w:r>
          </w:p>
        </w:tc>
      </w:tr>
      <w:tr w:rsidR="000627C0" w:rsidRPr="00281E4F" w14:paraId="7AEC5BDB" w14:textId="77777777" w:rsidTr="003F39BA">
        <w:tc>
          <w:tcPr>
            <w:tcW w:w="3230" w:type="dxa"/>
            <w:vAlign w:val="bottom"/>
          </w:tcPr>
          <w:p w14:paraId="70E69648" w14:textId="77777777" w:rsidR="000627C0" w:rsidRPr="00281E4F" w:rsidRDefault="000627C0" w:rsidP="003F39BA">
            <w:pPr>
              <w:pStyle w:val="ListParagraph"/>
              <w:spacing w:after="0" w:line="240" w:lineRule="auto"/>
              <w:ind w:left="0"/>
            </w:pPr>
            <w:r w:rsidRPr="00281E4F">
              <w:t>Hypertension</w:t>
            </w:r>
          </w:p>
        </w:tc>
        <w:tc>
          <w:tcPr>
            <w:tcW w:w="1656" w:type="dxa"/>
            <w:vAlign w:val="bottom"/>
          </w:tcPr>
          <w:p w14:paraId="59204D01" w14:textId="77777777" w:rsidR="000627C0" w:rsidRPr="00281E4F" w:rsidRDefault="000627C0" w:rsidP="003F39BA">
            <w:pPr>
              <w:pStyle w:val="ListParagraph"/>
              <w:spacing w:after="0" w:line="240" w:lineRule="auto"/>
              <w:ind w:left="0"/>
              <w:jc w:val="right"/>
            </w:pPr>
            <w:r w:rsidRPr="00281E4F">
              <w:t>3213 (52.3)</w:t>
            </w:r>
          </w:p>
        </w:tc>
        <w:tc>
          <w:tcPr>
            <w:tcW w:w="1702" w:type="dxa"/>
            <w:vAlign w:val="bottom"/>
          </w:tcPr>
          <w:p w14:paraId="4736FB26" w14:textId="77777777" w:rsidR="000627C0" w:rsidRPr="00281E4F" w:rsidRDefault="000627C0" w:rsidP="003F39BA">
            <w:pPr>
              <w:pStyle w:val="ListParagraph"/>
              <w:spacing w:after="0" w:line="240" w:lineRule="auto"/>
              <w:ind w:left="0"/>
              <w:jc w:val="right"/>
            </w:pPr>
            <w:r w:rsidRPr="00281E4F">
              <w:t>6080 (49.5)</w:t>
            </w:r>
          </w:p>
        </w:tc>
        <w:tc>
          <w:tcPr>
            <w:tcW w:w="1702" w:type="dxa"/>
            <w:vAlign w:val="bottom"/>
          </w:tcPr>
          <w:p w14:paraId="234DCE34" w14:textId="77777777" w:rsidR="000627C0" w:rsidRPr="00281E4F" w:rsidRDefault="000627C0" w:rsidP="003F39BA">
            <w:pPr>
              <w:pStyle w:val="ListParagraph"/>
              <w:spacing w:after="0" w:line="240" w:lineRule="auto"/>
              <w:ind w:left="0"/>
              <w:jc w:val="right"/>
            </w:pPr>
            <w:r w:rsidRPr="00281E4F">
              <w:t>9293 (50.4)</w:t>
            </w:r>
          </w:p>
        </w:tc>
      </w:tr>
      <w:tr w:rsidR="000627C0" w:rsidRPr="00281E4F" w14:paraId="3C89DB14" w14:textId="77777777" w:rsidTr="003F39BA">
        <w:tc>
          <w:tcPr>
            <w:tcW w:w="3230" w:type="dxa"/>
            <w:vAlign w:val="bottom"/>
          </w:tcPr>
          <w:p w14:paraId="588CDEE3" w14:textId="77777777" w:rsidR="000627C0" w:rsidRPr="00281E4F" w:rsidRDefault="000627C0" w:rsidP="003F39BA">
            <w:pPr>
              <w:pStyle w:val="ListParagraph"/>
              <w:spacing w:after="0" w:line="240" w:lineRule="auto"/>
              <w:ind w:left="0"/>
            </w:pPr>
            <w:r w:rsidRPr="00281E4F">
              <w:t xml:space="preserve">Non-insulin-dependent diabetes </w:t>
            </w:r>
            <w:r w:rsidRPr="00281E4F">
              <w:rPr>
                <w:bCs/>
                <w:color w:val="202124"/>
                <w:shd w:val="clear" w:color="auto" w:fill="FFFFFF"/>
              </w:rPr>
              <w:t>mellitus</w:t>
            </w:r>
            <w:r w:rsidRPr="00281E4F">
              <w:rPr>
                <w:color w:val="202124"/>
                <w:shd w:val="clear" w:color="auto" w:fill="FFFFFF"/>
              </w:rPr>
              <w:t> </w:t>
            </w:r>
          </w:p>
        </w:tc>
        <w:tc>
          <w:tcPr>
            <w:tcW w:w="1656" w:type="dxa"/>
            <w:vAlign w:val="bottom"/>
          </w:tcPr>
          <w:p w14:paraId="2F4F8DE5" w14:textId="77777777" w:rsidR="000627C0" w:rsidRPr="00281E4F" w:rsidRDefault="000627C0" w:rsidP="003F39BA">
            <w:pPr>
              <w:pStyle w:val="ListParagraph"/>
              <w:spacing w:after="0" w:line="240" w:lineRule="auto"/>
              <w:ind w:left="0"/>
              <w:jc w:val="right"/>
            </w:pPr>
            <w:r w:rsidRPr="00281E4F">
              <w:t>780 (12.7)</w:t>
            </w:r>
          </w:p>
        </w:tc>
        <w:tc>
          <w:tcPr>
            <w:tcW w:w="1702" w:type="dxa"/>
            <w:vAlign w:val="bottom"/>
          </w:tcPr>
          <w:p w14:paraId="1A036575" w14:textId="77777777" w:rsidR="000627C0" w:rsidRPr="00281E4F" w:rsidRDefault="000627C0" w:rsidP="003F39BA">
            <w:pPr>
              <w:pStyle w:val="ListParagraph"/>
              <w:spacing w:after="0" w:line="240" w:lineRule="auto"/>
              <w:ind w:left="0"/>
              <w:jc w:val="right"/>
            </w:pPr>
            <w:r w:rsidRPr="00281E4F">
              <w:t>1638 (13.3)</w:t>
            </w:r>
          </w:p>
        </w:tc>
        <w:tc>
          <w:tcPr>
            <w:tcW w:w="1702" w:type="dxa"/>
            <w:vAlign w:val="bottom"/>
          </w:tcPr>
          <w:p w14:paraId="0F57F620" w14:textId="77777777" w:rsidR="000627C0" w:rsidRPr="00281E4F" w:rsidRDefault="000627C0" w:rsidP="003F39BA">
            <w:pPr>
              <w:pStyle w:val="ListParagraph"/>
              <w:spacing w:after="0" w:line="240" w:lineRule="auto"/>
              <w:ind w:left="0"/>
              <w:jc w:val="right"/>
            </w:pPr>
            <w:r w:rsidRPr="00281E4F">
              <w:t>2418 (13.1)</w:t>
            </w:r>
          </w:p>
        </w:tc>
      </w:tr>
      <w:tr w:rsidR="000627C0" w:rsidRPr="00281E4F" w14:paraId="66428F78" w14:textId="77777777" w:rsidTr="003F39BA">
        <w:tc>
          <w:tcPr>
            <w:tcW w:w="3230" w:type="dxa"/>
            <w:vAlign w:val="bottom"/>
          </w:tcPr>
          <w:p w14:paraId="0FA6639D" w14:textId="77777777" w:rsidR="000627C0" w:rsidRPr="00281E4F" w:rsidRDefault="000627C0" w:rsidP="003F39BA">
            <w:pPr>
              <w:pStyle w:val="ListParagraph"/>
              <w:spacing w:after="0" w:line="240" w:lineRule="auto"/>
              <w:ind w:left="0"/>
            </w:pPr>
            <w:r w:rsidRPr="00281E4F">
              <w:t>Chronic ischaemic heart disease</w:t>
            </w:r>
          </w:p>
        </w:tc>
        <w:tc>
          <w:tcPr>
            <w:tcW w:w="1656" w:type="dxa"/>
            <w:vAlign w:val="bottom"/>
          </w:tcPr>
          <w:p w14:paraId="7D482D3D" w14:textId="77777777" w:rsidR="000627C0" w:rsidRPr="00281E4F" w:rsidRDefault="000627C0" w:rsidP="003F39BA">
            <w:pPr>
              <w:pStyle w:val="ListParagraph"/>
              <w:spacing w:after="0" w:line="240" w:lineRule="auto"/>
              <w:ind w:left="0"/>
              <w:jc w:val="right"/>
            </w:pPr>
            <w:r w:rsidRPr="00281E4F">
              <w:t>595 (9.7)</w:t>
            </w:r>
          </w:p>
        </w:tc>
        <w:tc>
          <w:tcPr>
            <w:tcW w:w="1702" w:type="dxa"/>
            <w:vAlign w:val="bottom"/>
          </w:tcPr>
          <w:p w14:paraId="54FC67A2" w14:textId="77777777" w:rsidR="000627C0" w:rsidRPr="00281E4F" w:rsidRDefault="000627C0" w:rsidP="003F39BA">
            <w:pPr>
              <w:pStyle w:val="ListParagraph"/>
              <w:spacing w:after="0" w:line="240" w:lineRule="auto"/>
              <w:ind w:left="0"/>
              <w:jc w:val="right"/>
            </w:pPr>
            <w:r w:rsidRPr="00281E4F">
              <w:t>1139 (9.3)</w:t>
            </w:r>
          </w:p>
        </w:tc>
        <w:tc>
          <w:tcPr>
            <w:tcW w:w="1702" w:type="dxa"/>
            <w:vAlign w:val="bottom"/>
          </w:tcPr>
          <w:p w14:paraId="72209009" w14:textId="77777777" w:rsidR="000627C0" w:rsidRPr="00281E4F" w:rsidRDefault="000627C0" w:rsidP="003F39BA">
            <w:pPr>
              <w:pStyle w:val="ListParagraph"/>
              <w:spacing w:after="0" w:line="240" w:lineRule="auto"/>
              <w:ind w:left="0"/>
              <w:jc w:val="right"/>
            </w:pPr>
            <w:r w:rsidRPr="00281E4F">
              <w:t>1734 (9.4)</w:t>
            </w:r>
          </w:p>
        </w:tc>
      </w:tr>
      <w:tr w:rsidR="000627C0" w:rsidRPr="00281E4F" w14:paraId="4429057D" w14:textId="77777777" w:rsidTr="003F39BA">
        <w:tc>
          <w:tcPr>
            <w:tcW w:w="3230" w:type="dxa"/>
            <w:vAlign w:val="bottom"/>
          </w:tcPr>
          <w:p w14:paraId="2286E582" w14:textId="77777777" w:rsidR="000627C0" w:rsidRPr="00281E4F" w:rsidRDefault="000627C0" w:rsidP="003F39BA">
            <w:pPr>
              <w:pStyle w:val="ListParagraph"/>
              <w:spacing w:after="0" w:line="240" w:lineRule="auto"/>
              <w:ind w:left="0"/>
            </w:pPr>
            <w:r w:rsidRPr="00281E4F">
              <w:t>Hypothyroidism</w:t>
            </w:r>
          </w:p>
        </w:tc>
        <w:tc>
          <w:tcPr>
            <w:tcW w:w="1656" w:type="dxa"/>
            <w:vAlign w:val="bottom"/>
          </w:tcPr>
          <w:p w14:paraId="2C1F69D2" w14:textId="77777777" w:rsidR="000627C0" w:rsidRPr="00281E4F" w:rsidRDefault="000627C0" w:rsidP="003F39BA">
            <w:pPr>
              <w:pStyle w:val="ListParagraph"/>
              <w:spacing w:after="0" w:line="240" w:lineRule="auto"/>
              <w:ind w:left="0"/>
              <w:jc w:val="right"/>
            </w:pPr>
            <w:r w:rsidRPr="00281E4F">
              <w:t>596 (9.7)</w:t>
            </w:r>
          </w:p>
        </w:tc>
        <w:tc>
          <w:tcPr>
            <w:tcW w:w="1702" w:type="dxa"/>
            <w:vAlign w:val="bottom"/>
          </w:tcPr>
          <w:p w14:paraId="4C2B5C9A" w14:textId="77777777" w:rsidR="000627C0" w:rsidRPr="00281E4F" w:rsidRDefault="000627C0" w:rsidP="003F39BA">
            <w:pPr>
              <w:pStyle w:val="ListParagraph"/>
              <w:spacing w:after="0" w:line="240" w:lineRule="auto"/>
              <w:ind w:left="0"/>
              <w:jc w:val="right"/>
            </w:pPr>
            <w:r w:rsidRPr="00281E4F">
              <w:t>1105 (9.0)</w:t>
            </w:r>
          </w:p>
        </w:tc>
        <w:tc>
          <w:tcPr>
            <w:tcW w:w="1702" w:type="dxa"/>
            <w:vAlign w:val="bottom"/>
          </w:tcPr>
          <w:p w14:paraId="368C6C71" w14:textId="77777777" w:rsidR="000627C0" w:rsidRPr="00281E4F" w:rsidRDefault="000627C0" w:rsidP="003F39BA">
            <w:pPr>
              <w:pStyle w:val="ListParagraph"/>
              <w:spacing w:after="0" w:line="240" w:lineRule="auto"/>
              <w:ind w:left="0"/>
              <w:jc w:val="right"/>
            </w:pPr>
            <w:r w:rsidRPr="00281E4F">
              <w:t>1701 (9.2)</w:t>
            </w:r>
          </w:p>
        </w:tc>
      </w:tr>
      <w:tr w:rsidR="000627C0" w:rsidRPr="00281E4F" w14:paraId="7F5D6D39" w14:textId="77777777" w:rsidTr="003F39BA">
        <w:tc>
          <w:tcPr>
            <w:tcW w:w="3230" w:type="dxa"/>
            <w:vAlign w:val="bottom"/>
          </w:tcPr>
          <w:p w14:paraId="74C46F76" w14:textId="77777777" w:rsidR="000627C0" w:rsidRPr="00281E4F" w:rsidRDefault="000627C0" w:rsidP="003F39BA">
            <w:pPr>
              <w:pStyle w:val="ListParagraph"/>
              <w:spacing w:after="0" w:line="240" w:lineRule="auto"/>
              <w:ind w:left="0"/>
            </w:pPr>
            <w:r w:rsidRPr="00281E4F">
              <w:t>Atrial fibrillation</w:t>
            </w:r>
          </w:p>
        </w:tc>
        <w:tc>
          <w:tcPr>
            <w:tcW w:w="1656" w:type="dxa"/>
            <w:vAlign w:val="bottom"/>
          </w:tcPr>
          <w:p w14:paraId="2EF50704" w14:textId="77777777" w:rsidR="000627C0" w:rsidRPr="00281E4F" w:rsidRDefault="000627C0" w:rsidP="003F39BA">
            <w:pPr>
              <w:pStyle w:val="ListParagraph"/>
              <w:spacing w:after="0" w:line="240" w:lineRule="auto"/>
              <w:ind w:left="0"/>
              <w:jc w:val="right"/>
            </w:pPr>
            <w:r w:rsidRPr="00281E4F">
              <w:t>517 (8.4)</w:t>
            </w:r>
          </w:p>
        </w:tc>
        <w:tc>
          <w:tcPr>
            <w:tcW w:w="1702" w:type="dxa"/>
            <w:vAlign w:val="bottom"/>
          </w:tcPr>
          <w:p w14:paraId="091AF5C1" w14:textId="77777777" w:rsidR="000627C0" w:rsidRPr="00281E4F" w:rsidRDefault="000627C0" w:rsidP="003F39BA">
            <w:pPr>
              <w:pStyle w:val="ListParagraph"/>
              <w:spacing w:after="0" w:line="240" w:lineRule="auto"/>
              <w:ind w:left="0"/>
              <w:jc w:val="right"/>
            </w:pPr>
            <w:r w:rsidRPr="00281E4F">
              <w:t>866 (7.0)</w:t>
            </w:r>
          </w:p>
        </w:tc>
        <w:tc>
          <w:tcPr>
            <w:tcW w:w="1702" w:type="dxa"/>
            <w:vAlign w:val="bottom"/>
          </w:tcPr>
          <w:p w14:paraId="6A52A3A9" w14:textId="77777777" w:rsidR="000627C0" w:rsidRPr="00281E4F" w:rsidRDefault="000627C0" w:rsidP="003F39BA">
            <w:pPr>
              <w:pStyle w:val="ListParagraph"/>
              <w:spacing w:after="0" w:line="240" w:lineRule="auto"/>
              <w:ind w:left="0"/>
              <w:jc w:val="right"/>
            </w:pPr>
            <w:r w:rsidRPr="00281E4F">
              <w:t>1383 (7.5)</w:t>
            </w:r>
          </w:p>
        </w:tc>
      </w:tr>
      <w:tr w:rsidR="000627C0" w:rsidRPr="00281E4F" w14:paraId="2FC38D79" w14:textId="77777777" w:rsidTr="003F39BA">
        <w:tc>
          <w:tcPr>
            <w:tcW w:w="3230" w:type="dxa"/>
            <w:vAlign w:val="bottom"/>
          </w:tcPr>
          <w:p w14:paraId="3E3413F3" w14:textId="77777777" w:rsidR="000627C0" w:rsidRPr="00281E4F" w:rsidRDefault="000627C0" w:rsidP="003F39BA">
            <w:pPr>
              <w:pStyle w:val="ListParagraph"/>
              <w:spacing w:after="0" w:line="240" w:lineRule="auto"/>
              <w:ind w:left="0"/>
            </w:pPr>
            <w:r w:rsidRPr="00281E4F">
              <w:t>History of circulatory disease</w:t>
            </w:r>
          </w:p>
        </w:tc>
        <w:tc>
          <w:tcPr>
            <w:tcW w:w="1656" w:type="dxa"/>
            <w:vAlign w:val="bottom"/>
          </w:tcPr>
          <w:p w14:paraId="6EEE2F03" w14:textId="77777777" w:rsidR="000627C0" w:rsidRPr="00281E4F" w:rsidRDefault="000627C0" w:rsidP="003F39BA">
            <w:pPr>
              <w:pStyle w:val="ListParagraph"/>
              <w:spacing w:after="0" w:line="240" w:lineRule="auto"/>
              <w:ind w:left="0"/>
              <w:jc w:val="right"/>
            </w:pPr>
            <w:r w:rsidRPr="00281E4F">
              <w:t>434 (7.1)</w:t>
            </w:r>
          </w:p>
        </w:tc>
        <w:tc>
          <w:tcPr>
            <w:tcW w:w="1702" w:type="dxa"/>
            <w:vAlign w:val="bottom"/>
          </w:tcPr>
          <w:p w14:paraId="428E68D8" w14:textId="77777777" w:rsidR="000627C0" w:rsidRPr="00281E4F" w:rsidRDefault="000627C0" w:rsidP="003F39BA">
            <w:pPr>
              <w:pStyle w:val="ListParagraph"/>
              <w:spacing w:after="0" w:line="240" w:lineRule="auto"/>
              <w:ind w:left="0"/>
              <w:jc w:val="right"/>
            </w:pPr>
            <w:r w:rsidRPr="00281E4F">
              <w:t>938 (7.6)</w:t>
            </w:r>
          </w:p>
        </w:tc>
        <w:tc>
          <w:tcPr>
            <w:tcW w:w="1702" w:type="dxa"/>
            <w:vAlign w:val="bottom"/>
          </w:tcPr>
          <w:p w14:paraId="6C590FE4" w14:textId="77777777" w:rsidR="000627C0" w:rsidRPr="00281E4F" w:rsidRDefault="000627C0" w:rsidP="003F39BA">
            <w:pPr>
              <w:pStyle w:val="ListParagraph"/>
              <w:spacing w:after="0" w:line="240" w:lineRule="auto"/>
              <w:ind w:left="0"/>
              <w:jc w:val="right"/>
            </w:pPr>
            <w:r w:rsidRPr="00281E4F">
              <w:t>1372 (7.4)</w:t>
            </w:r>
          </w:p>
        </w:tc>
      </w:tr>
      <w:tr w:rsidR="000627C0" w:rsidRPr="00281E4F" w14:paraId="1879E29C" w14:textId="77777777" w:rsidTr="003F39BA">
        <w:tc>
          <w:tcPr>
            <w:tcW w:w="3230" w:type="dxa"/>
            <w:vAlign w:val="bottom"/>
          </w:tcPr>
          <w:p w14:paraId="7C17274E" w14:textId="77777777" w:rsidR="000627C0" w:rsidRPr="00281E4F" w:rsidRDefault="000627C0" w:rsidP="003F39BA">
            <w:pPr>
              <w:pStyle w:val="ListParagraph"/>
              <w:spacing w:after="0" w:line="240" w:lineRule="auto"/>
              <w:ind w:left="0"/>
            </w:pPr>
            <w:r w:rsidRPr="00281E4F">
              <w:t>COPD</w:t>
            </w:r>
          </w:p>
        </w:tc>
        <w:tc>
          <w:tcPr>
            <w:tcW w:w="1656" w:type="dxa"/>
            <w:vAlign w:val="bottom"/>
          </w:tcPr>
          <w:p w14:paraId="1F4BDF10" w14:textId="77777777" w:rsidR="000627C0" w:rsidRPr="00281E4F" w:rsidRDefault="000627C0" w:rsidP="003F39BA">
            <w:pPr>
              <w:pStyle w:val="ListParagraph"/>
              <w:spacing w:after="0" w:line="240" w:lineRule="auto"/>
              <w:ind w:left="0"/>
              <w:jc w:val="right"/>
            </w:pPr>
            <w:r w:rsidRPr="00281E4F">
              <w:t>397 (6.5)</w:t>
            </w:r>
          </w:p>
        </w:tc>
        <w:tc>
          <w:tcPr>
            <w:tcW w:w="1702" w:type="dxa"/>
            <w:vAlign w:val="bottom"/>
          </w:tcPr>
          <w:p w14:paraId="3CB928E0" w14:textId="77777777" w:rsidR="000627C0" w:rsidRPr="00281E4F" w:rsidRDefault="000627C0" w:rsidP="003F39BA">
            <w:pPr>
              <w:pStyle w:val="ListParagraph"/>
              <w:spacing w:after="0" w:line="240" w:lineRule="auto"/>
              <w:ind w:left="0"/>
              <w:jc w:val="right"/>
            </w:pPr>
            <w:r w:rsidRPr="00281E4F">
              <w:t>694 (5.6)</w:t>
            </w:r>
          </w:p>
        </w:tc>
        <w:tc>
          <w:tcPr>
            <w:tcW w:w="1702" w:type="dxa"/>
            <w:vAlign w:val="bottom"/>
          </w:tcPr>
          <w:p w14:paraId="2661FED4" w14:textId="77777777" w:rsidR="000627C0" w:rsidRPr="00281E4F" w:rsidRDefault="000627C0" w:rsidP="003F39BA">
            <w:pPr>
              <w:pStyle w:val="ListParagraph"/>
              <w:spacing w:after="0" w:line="240" w:lineRule="auto"/>
              <w:ind w:left="0"/>
              <w:jc w:val="right"/>
            </w:pPr>
            <w:r w:rsidRPr="00281E4F">
              <w:t>1091 (5.9)</w:t>
            </w:r>
          </w:p>
        </w:tc>
      </w:tr>
      <w:tr w:rsidR="000627C0" w:rsidRPr="00281E4F" w14:paraId="3623D08F" w14:textId="77777777" w:rsidTr="003F39BA">
        <w:tc>
          <w:tcPr>
            <w:tcW w:w="3230" w:type="dxa"/>
          </w:tcPr>
          <w:p w14:paraId="16F73B1D" w14:textId="77777777" w:rsidR="000627C0" w:rsidRPr="00281E4F" w:rsidRDefault="000627C0" w:rsidP="003F39BA">
            <w:pPr>
              <w:pStyle w:val="ListParagraph"/>
              <w:spacing w:after="0" w:line="240" w:lineRule="auto"/>
              <w:ind w:left="0"/>
            </w:pPr>
            <w:r w:rsidRPr="00281E4F">
              <w:t>Rheumatoid Arthritis</w:t>
            </w:r>
          </w:p>
        </w:tc>
        <w:tc>
          <w:tcPr>
            <w:tcW w:w="1656" w:type="dxa"/>
            <w:vAlign w:val="bottom"/>
          </w:tcPr>
          <w:p w14:paraId="25A3831B" w14:textId="77777777" w:rsidR="000627C0" w:rsidRPr="00281E4F" w:rsidRDefault="000627C0" w:rsidP="003F39BA">
            <w:pPr>
              <w:pStyle w:val="ListParagraph"/>
              <w:spacing w:after="0" w:line="240" w:lineRule="auto"/>
              <w:ind w:left="0"/>
              <w:jc w:val="right"/>
            </w:pPr>
            <w:r w:rsidRPr="00281E4F">
              <w:t>197 (3.2)</w:t>
            </w:r>
          </w:p>
        </w:tc>
        <w:tc>
          <w:tcPr>
            <w:tcW w:w="1702" w:type="dxa"/>
            <w:vAlign w:val="bottom"/>
          </w:tcPr>
          <w:p w14:paraId="0CE965CC" w14:textId="77777777" w:rsidR="000627C0" w:rsidRPr="00281E4F" w:rsidRDefault="000627C0" w:rsidP="003F39BA">
            <w:pPr>
              <w:pStyle w:val="ListParagraph"/>
              <w:spacing w:after="0" w:line="240" w:lineRule="auto"/>
              <w:ind w:left="0"/>
              <w:jc w:val="right"/>
            </w:pPr>
            <w:r w:rsidRPr="00281E4F">
              <w:t>435 (3.5)</w:t>
            </w:r>
          </w:p>
        </w:tc>
        <w:tc>
          <w:tcPr>
            <w:tcW w:w="1702" w:type="dxa"/>
            <w:vAlign w:val="bottom"/>
          </w:tcPr>
          <w:p w14:paraId="70F3056B" w14:textId="77777777" w:rsidR="000627C0" w:rsidRPr="00281E4F" w:rsidRDefault="000627C0" w:rsidP="003F39BA">
            <w:pPr>
              <w:pStyle w:val="ListParagraph"/>
              <w:spacing w:after="0" w:line="240" w:lineRule="auto"/>
              <w:ind w:left="0"/>
              <w:jc w:val="right"/>
            </w:pPr>
            <w:r w:rsidRPr="00281E4F">
              <w:t>632 (3.4)</w:t>
            </w:r>
          </w:p>
        </w:tc>
      </w:tr>
      <w:tr w:rsidR="000627C0" w:rsidRPr="00281E4F" w14:paraId="71E19B79" w14:textId="77777777" w:rsidTr="003F39BA">
        <w:tc>
          <w:tcPr>
            <w:tcW w:w="3230" w:type="dxa"/>
            <w:vAlign w:val="bottom"/>
          </w:tcPr>
          <w:p w14:paraId="1704CD00" w14:textId="77777777" w:rsidR="000627C0" w:rsidRPr="00281E4F" w:rsidRDefault="000627C0" w:rsidP="003F39BA">
            <w:pPr>
              <w:pStyle w:val="ListParagraph"/>
              <w:spacing w:after="0" w:line="240" w:lineRule="auto"/>
              <w:ind w:left="0"/>
            </w:pPr>
            <w:r w:rsidRPr="00281E4F">
              <w:t>Alzheimer’s Disease</w:t>
            </w:r>
          </w:p>
        </w:tc>
        <w:tc>
          <w:tcPr>
            <w:tcW w:w="1656" w:type="dxa"/>
            <w:vAlign w:val="bottom"/>
          </w:tcPr>
          <w:p w14:paraId="2E3944AE" w14:textId="77777777" w:rsidR="000627C0" w:rsidRPr="00281E4F" w:rsidRDefault="000627C0" w:rsidP="003F39BA">
            <w:pPr>
              <w:pStyle w:val="ListParagraph"/>
              <w:spacing w:after="0" w:line="240" w:lineRule="auto"/>
              <w:ind w:left="0"/>
              <w:jc w:val="right"/>
            </w:pPr>
            <w:r w:rsidRPr="00281E4F">
              <w:t>17 (0.3)</w:t>
            </w:r>
          </w:p>
        </w:tc>
        <w:tc>
          <w:tcPr>
            <w:tcW w:w="1702" w:type="dxa"/>
            <w:vAlign w:val="bottom"/>
          </w:tcPr>
          <w:p w14:paraId="660C8C38" w14:textId="77777777" w:rsidR="000627C0" w:rsidRPr="00281E4F" w:rsidRDefault="000627C0" w:rsidP="003F39BA">
            <w:pPr>
              <w:pStyle w:val="ListParagraph"/>
              <w:spacing w:after="0" w:line="240" w:lineRule="auto"/>
              <w:ind w:left="0"/>
              <w:jc w:val="right"/>
            </w:pPr>
            <w:r w:rsidRPr="00281E4F">
              <w:t>43 (0.3)</w:t>
            </w:r>
          </w:p>
        </w:tc>
        <w:tc>
          <w:tcPr>
            <w:tcW w:w="1702" w:type="dxa"/>
            <w:vAlign w:val="bottom"/>
          </w:tcPr>
          <w:p w14:paraId="0A6C255A" w14:textId="77777777" w:rsidR="000627C0" w:rsidRPr="00281E4F" w:rsidRDefault="000627C0" w:rsidP="003F39BA">
            <w:pPr>
              <w:pStyle w:val="ListParagraph"/>
              <w:spacing w:after="0" w:line="240" w:lineRule="auto"/>
              <w:ind w:left="0"/>
              <w:jc w:val="right"/>
            </w:pPr>
            <w:r w:rsidRPr="00281E4F">
              <w:t>60 (0.3)</w:t>
            </w:r>
          </w:p>
        </w:tc>
      </w:tr>
      <w:tr w:rsidR="000627C0" w:rsidRPr="00281E4F" w14:paraId="2C05A826" w14:textId="77777777" w:rsidTr="003F39BA">
        <w:tc>
          <w:tcPr>
            <w:tcW w:w="3230" w:type="dxa"/>
            <w:vAlign w:val="bottom"/>
          </w:tcPr>
          <w:p w14:paraId="7716707B" w14:textId="77777777" w:rsidR="000627C0" w:rsidRPr="00281E4F" w:rsidRDefault="000627C0" w:rsidP="003F39BA">
            <w:pPr>
              <w:pStyle w:val="ListParagraph"/>
              <w:spacing w:after="0" w:line="240" w:lineRule="auto"/>
              <w:ind w:left="0"/>
            </w:pPr>
            <w:r w:rsidRPr="00281E4F">
              <w:t>Hyperthyroidism</w:t>
            </w:r>
          </w:p>
        </w:tc>
        <w:tc>
          <w:tcPr>
            <w:tcW w:w="1656" w:type="dxa"/>
            <w:vAlign w:val="bottom"/>
          </w:tcPr>
          <w:p w14:paraId="32E624E2" w14:textId="77777777" w:rsidR="000627C0" w:rsidRPr="00281E4F" w:rsidRDefault="000627C0" w:rsidP="003F39BA">
            <w:pPr>
              <w:pStyle w:val="ListParagraph"/>
              <w:spacing w:after="0" w:line="240" w:lineRule="auto"/>
              <w:ind w:left="0"/>
              <w:jc w:val="right"/>
            </w:pPr>
            <w:r w:rsidRPr="00281E4F">
              <w:t>23 (0.4)</w:t>
            </w:r>
          </w:p>
        </w:tc>
        <w:tc>
          <w:tcPr>
            <w:tcW w:w="1702" w:type="dxa"/>
            <w:vAlign w:val="bottom"/>
          </w:tcPr>
          <w:p w14:paraId="4221B1DE" w14:textId="77777777" w:rsidR="000627C0" w:rsidRPr="00281E4F" w:rsidRDefault="000627C0" w:rsidP="003F39BA">
            <w:pPr>
              <w:pStyle w:val="ListParagraph"/>
              <w:spacing w:after="0" w:line="240" w:lineRule="auto"/>
              <w:ind w:left="0"/>
              <w:jc w:val="right"/>
            </w:pPr>
            <w:r w:rsidRPr="00281E4F">
              <w:t>34 (0.3)</w:t>
            </w:r>
          </w:p>
        </w:tc>
        <w:tc>
          <w:tcPr>
            <w:tcW w:w="1702" w:type="dxa"/>
            <w:vAlign w:val="bottom"/>
          </w:tcPr>
          <w:p w14:paraId="21B15B3B" w14:textId="77777777" w:rsidR="000627C0" w:rsidRPr="00281E4F" w:rsidRDefault="000627C0" w:rsidP="003F39BA">
            <w:pPr>
              <w:pStyle w:val="ListParagraph"/>
              <w:spacing w:after="0" w:line="240" w:lineRule="auto"/>
              <w:ind w:left="0"/>
              <w:jc w:val="right"/>
            </w:pPr>
            <w:r w:rsidRPr="00281E4F">
              <w:t>57 (0.3)</w:t>
            </w:r>
          </w:p>
        </w:tc>
      </w:tr>
      <w:tr w:rsidR="000627C0" w:rsidRPr="00281E4F" w14:paraId="2B1C9FD4" w14:textId="77777777" w:rsidTr="003F39BA">
        <w:tc>
          <w:tcPr>
            <w:tcW w:w="3230" w:type="dxa"/>
            <w:vAlign w:val="bottom"/>
          </w:tcPr>
          <w:p w14:paraId="701078BE" w14:textId="77777777" w:rsidR="000627C0" w:rsidRPr="00281E4F" w:rsidRDefault="000627C0" w:rsidP="003F39BA">
            <w:pPr>
              <w:pStyle w:val="ListParagraph"/>
              <w:spacing w:after="0" w:line="240" w:lineRule="auto"/>
              <w:ind w:left="0"/>
            </w:pPr>
            <w:r w:rsidRPr="00281E4F">
              <w:t>Insulin-dependent diabetes mellitus</w:t>
            </w:r>
          </w:p>
        </w:tc>
        <w:tc>
          <w:tcPr>
            <w:tcW w:w="1656" w:type="dxa"/>
            <w:vAlign w:val="bottom"/>
          </w:tcPr>
          <w:p w14:paraId="42F5010B" w14:textId="77777777" w:rsidR="000627C0" w:rsidRPr="00281E4F" w:rsidRDefault="000627C0" w:rsidP="003F39BA">
            <w:pPr>
              <w:pStyle w:val="ListParagraph"/>
              <w:spacing w:after="0" w:line="240" w:lineRule="auto"/>
              <w:ind w:left="0"/>
              <w:jc w:val="right"/>
            </w:pPr>
            <w:r w:rsidRPr="00281E4F">
              <w:t>12 (0.2)</w:t>
            </w:r>
          </w:p>
        </w:tc>
        <w:tc>
          <w:tcPr>
            <w:tcW w:w="1702" w:type="dxa"/>
            <w:vAlign w:val="bottom"/>
          </w:tcPr>
          <w:p w14:paraId="4C35CBC0" w14:textId="77777777" w:rsidR="000627C0" w:rsidRPr="00281E4F" w:rsidRDefault="000627C0" w:rsidP="003F39BA">
            <w:pPr>
              <w:pStyle w:val="ListParagraph"/>
              <w:spacing w:after="0" w:line="240" w:lineRule="auto"/>
              <w:ind w:left="0"/>
              <w:jc w:val="right"/>
            </w:pPr>
            <w:r w:rsidRPr="00281E4F">
              <w:t>35 (0.3)</w:t>
            </w:r>
          </w:p>
        </w:tc>
        <w:tc>
          <w:tcPr>
            <w:tcW w:w="1702" w:type="dxa"/>
            <w:vAlign w:val="bottom"/>
          </w:tcPr>
          <w:p w14:paraId="46D66CE6" w14:textId="77777777" w:rsidR="000627C0" w:rsidRPr="00281E4F" w:rsidRDefault="000627C0" w:rsidP="003F39BA">
            <w:pPr>
              <w:pStyle w:val="ListParagraph"/>
              <w:spacing w:after="0" w:line="240" w:lineRule="auto"/>
              <w:ind w:left="0"/>
              <w:jc w:val="right"/>
            </w:pPr>
            <w:r w:rsidRPr="00281E4F">
              <w:t>47 (0.3)</w:t>
            </w:r>
          </w:p>
        </w:tc>
      </w:tr>
      <w:tr w:rsidR="000627C0" w:rsidRPr="00281E4F" w14:paraId="108B5292" w14:textId="77777777" w:rsidTr="003F39BA">
        <w:tc>
          <w:tcPr>
            <w:tcW w:w="3230" w:type="dxa"/>
            <w:vAlign w:val="bottom"/>
          </w:tcPr>
          <w:p w14:paraId="042C4D8E" w14:textId="77777777" w:rsidR="000627C0" w:rsidRPr="00281E4F" w:rsidRDefault="000627C0" w:rsidP="003F39BA">
            <w:pPr>
              <w:pStyle w:val="ListParagraph"/>
              <w:spacing w:after="0" w:line="240" w:lineRule="auto"/>
              <w:ind w:left="0"/>
            </w:pPr>
            <w:r w:rsidRPr="00281E4F">
              <w:t>Dementia</w:t>
            </w:r>
          </w:p>
        </w:tc>
        <w:tc>
          <w:tcPr>
            <w:tcW w:w="1656" w:type="dxa"/>
            <w:vAlign w:val="bottom"/>
          </w:tcPr>
          <w:p w14:paraId="32A7E347" w14:textId="77777777" w:rsidR="000627C0" w:rsidRPr="00281E4F" w:rsidRDefault="000627C0" w:rsidP="003F39BA">
            <w:pPr>
              <w:pStyle w:val="ListParagraph"/>
              <w:spacing w:after="0" w:line="240" w:lineRule="auto"/>
              <w:ind w:left="0"/>
              <w:jc w:val="right"/>
            </w:pPr>
            <w:r w:rsidRPr="00281E4F">
              <w:t>16 (0.3)</w:t>
            </w:r>
          </w:p>
        </w:tc>
        <w:tc>
          <w:tcPr>
            <w:tcW w:w="1702" w:type="dxa"/>
            <w:vAlign w:val="bottom"/>
          </w:tcPr>
          <w:p w14:paraId="6DC6F873" w14:textId="77777777" w:rsidR="000627C0" w:rsidRPr="00281E4F" w:rsidRDefault="000627C0" w:rsidP="003F39BA">
            <w:pPr>
              <w:pStyle w:val="ListParagraph"/>
              <w:spacing w:after="0" w:line="240" w:lineRule="auto"/>
              <w:ind w:left="0"/>
              <w:jc w:val="right"/>
            </w:pPr>
            <w:r w:rsidRPr="00281E4F">
              <w:t>21 (0.2)</w:t>
            </w:r>
          </w:p>
        </w:tc>
        <w:tc>
          <w:tcPr>
            <w:tcW w:w="1702" w:type="dxa"/>
            <w:vAlign w:val="bottom"/>
          </w:tcPr>
          <w:p w14:paraId="053655EF" w14:textId="77777777" w:rsidR="000627C0" w:rsidRPr="00281E4F" w:rsidRDefault="000627C0" w:rsidP="003F39BA">
            <w:pPr>
              <w:pStyle w:val="ListParagraph"/>
              <w:spacing w:after="0" w:line="240" w:lineRule="auto"/>
              <w:ind w:left="0"/>
              <w:jc w:val="right"/>
            </w:pPr>
            <w:r w:rsidRPr="00281E4F">
              <w:t>37 (0.2)</w:t>
            </w:r>
          </w:p>
        </w:tc>
      </w:tr>
      <w:tr w:rsidR="000627C0" w:rsidRPr="00281E4F" w14:paraId="4045F2C1" w14:textId="77777777" w:rsidTr="003F39BA">
        <w:tc>
          <w:tcPr>
            <w:tcW w:w="3230" w:type="dxa"/>
            <w:vAlign w:val="bottom"/>
          </w:tcPr>
          <w:p w14:paraId="4BEB6CFA" w14:textId="77777777" w:rsidR="000627C0" w:rsidRPr="00281E4F" w:rsidRDefault="000627C0" w:rsidP="003F39BA">
            <w:pPr>
              <w:pStyle w:val="ListParagraph"/>
              <w:spacing w:after="0" w:line="240" w:lineRule="auto"/>
              <w:ind w:left="0"/>
            </w:pPr>
            <w:r w:rsidRPr="00281E4F">
              <w:t>Obesity</w:t>
            </w:r>
          </w:p>
        </w:tc>
        <w:tc>
          <w:tcPr>
            <w:tcW w:w="1656" w:type="dxa"/>
            <w:vAlign w:val="bottom"/>
          </w:tcPr>
          <w:p w14:paraId="21C086AB" w14:textId="77777777" w:rsidR="000627C0" w:rsidRPr="00281E4F" w:rsidRDefault="000627C0" w:rsidP="003F39BA">
            <w:pPr>
              <w:pStyle w:val="ListParagraph"/>
              <w:spacing w:after="0" w:line="240" w:lineRule="auto"/>
              <w:ind w:left="0"/>
              <w:jc w:val="right"/>
            </w:pPr>
            <w:r w:rsidRPr="00281E4F">
              <w:t>1479 (24.1)</w:t>
            </w:r>
          </w:p>
        </w:tc>
        <w:tc>
          <w:tcPr>
            <w:tcW w:w="1702" w:type="dxa"/>
            <w:vAlign w:val="bottom"/>
          </w:tcPr>
          <w:p w14:paraId="71FB0B69" w14:textId="77777777" w:rsidR="000627C0" w:rsidRPr="00281E4F" w:rsidRDefault="000627C0" w:rsidP="003F39BA">
            <w:pPr>
              <w:pStyle w:val="ListParagraph"/>
              <w:spacing w:after="0" w:line="240" w:lineRule="auto"/>
              <w:ind w:left="0"/>
              <w:jc w:val="right"/>
            </w:pPr>
            <w:r w:rsidRPr="00281E4F">
              <w:t>2292 (23.1)</w:t>
            </w:r>
          </w:p>
        </w:tc>
        <w:tc>
          <w:tcPr>
            <w:tcW w:w="1702" w:type="dxa"/>
            <w:vAlign w:val="bottom"/>
          </w:tcPr>
          <w:p w14:paraId="46F1AB50" w14:textId="77777777" w:rsidR="000627C0" w:rsidRPr="00281E4F" w:rsidRDefault="000627C0" w:rsidP="003F39BA">
            <w:pPr>
              <w:pStyle w:val="ListParagraph"/>
              <w:spacing w:after="0" w:line="240" w:lineRule="auto"/>
              <w:ind w:left="0"/>
              <w:jc w:val="right"/>
            </w:pPr>
            <w:r w:rsidRPr="00281E4F">
              <w:t>3771 (23.5)</w:t>
            </w:r>
          </w:p>
        </w:tc>
      </w:tr>
      <w:tr w:rsidR="000627C0" w:rsidRPr="00281E4F" w14:paraId="27F145CB" w14:textId="77777777" w:rsidTr="003F39BA">
        <w:tc>
          <w:tcPr>
            <w:tcW w:w="3230" w:type="dxa"/>
            <w:vAlign w:val="bottom"/>
          </w:tcPr>
          <w:p w14:paraId="567EB605" w14:textId="77777777" w:rsidR="000627C0" w:rsidRPr="00281E4F" w:rsidRDefault="000627C0" w:rsidP="003F39BA">
            <w:pPr>
              <w:pStyle w:val="ListParagraph"/>
              <w:spacing w:after="0" w:line="240" w:lineRule="auto"/>
              <w:ind w:left="0"/>
            </w:pPr>
            <w:r w:rsidRPr="00281E4F">
              <w:t>Hypercholesterolemia</w:t>
            </w:r>
          </w:p>
        </w:tc>
        <w:tc>
          <w:tcPr>
            <w:tcW w:w="1656" w:type="dxa"/>
            <w:vAlign w:val="bottom"/>
          </w:tcPr>
          <w:p w14:paraId="5619CAD6" w14:textId="77777777" w:rsidR="000627C0" w:rsidRPr="00281E4F" w:rsidRDefault="000627C0" w:rsidP="003F39BA">
            <w:pPr>
              <w:pStyle w:val="ListParagraph"/>
              <w:spacing w:after="0" w:line="240" w:lineRule="auto"/>
              <w:ind w:left="0"/>
              <w:jc w:val="right"/>
            </w:pPr>
            <w:r w:rsidRPr="00281E4F">
              <w:t>609 (9.9)</w:t>
            </w:r>
          </w:p>
        </w:tc>
        <w:tc>
          <w:tcPr>
            <w:tcW w:w="1702" w:type="dxa"/>
            <w:vAlign w:val="bottom"/>
          </w:tcPr>
          <w:p w14:paraId="36875899" w14:textId="77777777" w:rsidR="000627C0" w:rsidRPr="00281E4F" w:rsidRDefault="000627C0" w:rsidP="003F39BA">
            <w:pPr>
              <w:pStyle w:val="ListParagraph"/>
              <w:spacing w:after="0" w:line="240" w:lineRule="auto"/>
              <w:ind w:left="0"/>
              <w:jc w:val="right"/>
            </w:pPr>
            <w:r w:rsidRPr="00281E4F">
              <w:t>1062 (10.7)</w:t>
            </w:r>
          </w:p>
        </w:tc>
        <w:tc>
          <w:tcPr>
            <w:tcW w:w="1702" w:type="dxa"/>
            <w:vAlign w:val="bottom"/>
          </w:tcPr>
          <w:p w14:paraId="015EABCB" w14:textId="77777777" w:rsidR="000627C0" w:rsidRPr="00281E4F" w:rsidRDefault="000627C0" w:rsidP="003F39BA">
            <w:pPr>
              <w:pStyle w:val="ListParagraph"/>
              <w:spacing w:after="0" w:line="240" w:lineRule="auto"/>
              <w:ind w:left="0"/>
              <w:jc w:val="right"/>
            </w:pPr>
            <w:r w:rsidRPr="00281E4F">
              <w:t>1671 (10.4)</w:t>
            </w:r>
          </w:p>
        </w:tc>
      </w:tr>
      <w:tr w:rsidR="000627C0" w:rsidRPr="00281E4F" w14:paraId="46E01D65" w14:textId="77777777" w:rsidTr="003F39BA">
        <w:tc>
          <w:tcPr>
            <w:tcW w:w="3230" w:type="dxa"/>
            <w:vAlign w:val="bottom"/>
          </w:tcPr>
          <w:p w14:paraId="6E0F3551" w14:textId="77777777" w:rsidR="000627C0" w:rsidRPr="00281E4F" w:rsidRDefault="000627C0" w:rsidP="003F39BA">
            <w:pPr>
              <w:pStyle w:val="ListParagraph"/>
              <w:spacing w:after="0" w:line="240" w:lineRule="auto"/>
              <w:ind w:left="0"/>
            </w:pPr>
            <w:r w:rsidRPr="00281E4F">
              <w:t>Smoking</w:t>
            </w:r>
          </w:p>
        </w:tc>
        <w:tc>
          <w:tcPr>
            <w:tcW w:w="1656" w:type="dxa"/>
            <w:vAlign w:val="bottom"/>
          </w:tcPr>
          <w:p w14:paraId="587D4F16" w14:textId="77777777" w:rsidR="000627C0" w:rsidRPr="00281E4F" w:rsidRDefault="000627C0" w:rsidP="003F39BA">
            <w:pPr>
              <w:pStyle w:val="ListParagraph"/>
              <w:spacing w:after="0" w:line="240" w:lineRule="auto"/>
              <w:ind w:left="0"/>
              <w:jc w:val="right"/>
            </w:pPr>
            <w:r w:rsidRPr="00281E4F">
              <w:t>327 (5.3)</w:t>
            </w:r>
          </w:p>
        </w:tc>
        <w:tc>
          <w:tcPr>
            <w:tcW w:w="1702" w:type="dxa"/>
            <w:vAlign w:val="bottom"/>
          </w:tcPr>
          <w:p w14:paraId="5A4FDB61" w14:textId="77777777" w:rsidR="000627C0" w:rsidRPr="00281E4F" w:rsidRDefault="000627C0" w:rsidP="003F39BA">
            <w:pPr>
              <w:pStyle w:val="ListParagraph"/>
              <w:spacing w:after="0" w:line="240" w:lineRule="auto"/>
              <w:ind w:left="0"/>
              <w:jc w:val="right"/>
            </w:pPr>
            <w:r w:rsidRPr="00281E4F">
              <w:t>632 (6.4)</w:t>
            </w:r>
          </w:p>
        </w:tc>
        <w:tc>
          <w:tcPr>
            <w:tcW w:w="1702" w:type="dxa"/>
            <w:vAlign w:val="bottom"/>
          </w:tcPr>
          <w:p w14:paraId="449FF0A7" w14:textId="77777777" w:rsidR="000627C0" w:rsidRPr="00281E4F" w:rsidRDefault="000627C0" w:rsidP="003F39BA">
            <w:pPr>
              <w:pStyle w:val="ListParagraph"/>
              <w:spacing w:after="0" w:line="240" w:lineRule="auto"/>
              <w:ind w:left="0"/>
              <w:jc w:val="right"/>
            </w:pPr>
            <w:r w:rsidRPr="00281E4F">
              <w:t>959 (6.0)</w:t>
            </w:r>
          </w:p>
        </w:tc>
      </w:tr>
      <w:tr w:rsidR="000627C0" w:rsidRPr="00281E4F" w14:paraId="65FBA943" w14:textId="77777777" w:rsidTr="003F39BA">
        <w:tc>
          <w:tcPr>
            <w:tcW w:w="3230" w:type="dxa"/>
            <w:vAlign w:val="bottom"/>
          </w:tcPr>
          <w:p w14:paraId="1ED486A8" w14:textId="77777777" w:rsidR="000627C0" w:rsidRPr="00281E4F" w:rsidRDefault="000627C0" w:rsidP="003F39BA">
            <w:pPr>
              <w:pStyle w:val="ListParagraph"/>
              <w:spacing w:after="0" w:line="240" w:lineRule="auto"/>
              <w:ind w:left="0"/>
            </w:pPr>
            <w:r w:rsidRPr="00281E4F">
              <w:t>Low sodium</w:t>
            </w:r>
          </w:p>
        </w:tc>
        <w:tc>
          <w:tcPr>
            <w:tcW w:w="1656" w:type="dxa"/>
            <w:vAlign w:val="bottom"/>
          </w:tcPr>
          <w:p w14:paraId="5A3EA223" w14:textId="77777777" w:rsidR="000627C0" w:rsidRPr="00281E4F" w:rsidRDefault="000627C0" w:rsidP="003F39BA">
            <w:pPr>
              <w:pStyle w:val="ListParagraph"/>
              <w:spacing w:after="0" w:line="240" w:lineRule="auto"/>
              <w:ind w:left="0"/>
              <w:jc w:val="right"/>
            </w:pPr>
            <w:r w:rsidRPr="00281E4F">
              <w:t>106 (1.7)</w:t>
            </w:r>
          </w:p>
        </w:tc>
        <w:tc>
          <w:tcPr>
            <w:tcW w:w="1702" w:type="dxa"/>
            <w:vAlign w:val="bottom"/>
          </w:tcPr>
          <w:p w14:paraId="2FDF0104" w14:textId="77777777" w:rsidR="000627C0" w:rsidRPr="00281E4F" w:rsidRDefault="000627C0" w:rsidP="003F39BA">
            <w:pPr>
              <w:pStyle w:val="ListParagraph"/>
              <w:spacing w:after="0" w:line="240" w:lineRule="auto"/>
              <w:ind w:left="0"/>
              <w:jc w:val="right"/>
            </w:pPr>
            <w:r w:rsidRPr="00281E4F">
              <w:t>193 (1.9)</w:t>
            </w:r>
          </w:p>
        </w:tc>
        <w:tc>
          <w:tcPr>
            <w:tcW w:w="1702" w:type="dxa"/>
            <w:vAlign w:val="bottom"/>
          </w:tcPr>
          <w:p w14:paraId="1936CA4D" w14:textId="77777777" w:rsidR="000627C0" w:rsidRPr="00281E4F" w:rsidRDefault="000627C0" w:rsidP="003F39BA">
            <w:pPr>
              <w:pStyle w:val="ListParagraph"/>
              <w:spacing w:after="0" w:line="240" w:lineRule="auto"/>
              <w:ind w:left="0"/>
              <w:jc w:val="right"/>
            </w:pPr>
            <w:r w:rsidRPr="00281E4F">
              <w:t>299 (1.9)</w:t>
            </w:r>
          </w:p>
        </w:tc>
      </w:tr>
      <w:tr w:rsidR="000627C0" w:rsidRPr="00281E4F" w14:paraId="3357BB83" w14:textId="77777777" w:rsidTr="003F39BA">
        <w:tc>
          <w:tcPr>
            <w:tcW w:w="3230" w:type="dxa"/>
            <w:vAlign w:val="bottom"/>
          </w:tcPr>
          <w:p w14:paraId="02995F83" w14:textId="77777777" w:rsidR="000627C0" w:rsidRPr="00281E4F" w:rsidRDefault="000627C0" w:rsidP="003F39BA">
            <w:pPr>
              <w:pStyle w:val="ListParagraph"/>
              <w:spacing w:after="0" w:line="240" w:lineRule="auto"/>
              <w:ind w:left="0"/>
            </w:pPr>
            <w:r w:rsidRPr="00281E4F">
              <w:t>Psoriatic arthritis</w:t>
            </w:r>
          </w:p>
        </w:tc>
        <w:tc>
          <w:tcPr>
            <w:tcW w:w="1656" w:type="dxa"/>
            <w:vAlign w:val="bottom"/>
          </w:tcPr>
          <w:p w14:paraId="50F1D4D8" w14:textId="77777777" w:rsidR="000627C0" w:rsidRPr="00281E4F" w:rsidRDefault="000627C0" w:rsidP="003F39BA">
            <w:pPr>
              <w:pStyle w:val="ListParagraph"/>
              <w:spacing w:after="0" w:line="240" w:lineRule="auto"/>
              <w:ind w:left="0"/>
              <w:jc w:val="right"/>
            </w:pPr>
            <w:r w:rsidRPr="00281E4F">
              <w:t>18 (0.3)</w:t>
            </w:r>
          </w:p>
        </w:tc>
        <w:tc>
          <w:tcPr>
            <w:tcW w:w="1702" w:type="dxa"/>
            <w:vAlign w:val="bottom"/>
          </w:tcPr>
          <w:p w14:paraId="687F3B69" w14:textId="77777777" w:rsidR="000627C0" w:rsidRPr="00281E4F" w:rsidRDefault="000627C0" w:rsidP="003F39BA">
            <w:pPr>
              <w:pStyle w:val="ListParagraph"/>
              <w:spacing w:after="0" w:line="240" w:lineRule="auto"/>
              <w:ind w:left="0"/>
              <w:jc w:val="right"/>
            </w:pPr>
            <w:r w:rsidRPr="00281E4F">
              <w:t>52 (0.5)</w:t>
            </w:r>
          </w:p>
        </w:tc>
        <w:tc>
          <w:tcPr>
            <w:tcW w:w="1702" w:type="dxa"/>
            <w:vAlign w:val="bottom"/>
          </w:tcPr>
          <w:p w14:paraId="74170CEC" w14:textId="77777777" w:rsidR="000627C0" w:rsidRPr="00281E4F" w:rsidRDefault="000627C0" w:rsidP="003F39BA">
            <w:pPr>
              <w:pStyle w:val="ListParagraph"/>
              <w:spacing w:after="0" w:line="240" w:lineRule="auto"/>
              <w:ind w:left="0"/>
              <w:jc w:val="right"/>
            </w:pPr>
            <w:r w:rsidRPr="00281E4F">
              <w:t>70 (0.4)</w:t>
            </w:r>
          </w:p>
        </w:tc>
      </w:tr>
    </w:tbl>
    <w:p w14:paraId="47C15B25" w14:textId="77777777" w:rsidR="000627C0" w:rsidRPr="00CF7ECE" w:rsidRDefault="000627C0" w:rsidP="000627C0"/>
    <w:p w14:paraId="7289B694" w14:textId="77777777" w:rsidR="005F7BCC" w:rsidRDefault="000627C0">
      <w:pPr>
        <w:spacing w:after="0" w:line="240" w:lineRule="auto"/>
      </w:pPr>
      <w:r>
        <w:br w:type="page"/>
      </w:r>
    </w:p>
    <w:p w14:paraId="7360F1E5" w14:textId="39108C07" w:rsidR="005F7BCC" w:rsidRDefault="005F7BCC" w:rsidP="00C23310">
      <w:pPr>
        <w:pStyle w:val="Caption"/>
        <w:keepNext/>
      </w:pPr>
      <w:bookmarkStart w:id="8" w:name="_Ref89097170"/>
      <w:r>
        <w:t xml:space="preserve">Table </w:t>
      </w:r>
      <w:r w:rsidR="009D4DFE">
        <w:fldChar w:fldCharType="begin"/>
      </w:r>
      <w:r w:rsidR="009D4DFE">
        <w:instrText xml:space="preserve"> SEQ Table \* ARABIC </w:instrText>
      </w:r>
      <w:r w:rsidR="009D4DFE">
        <w:fldChar w:fldCharType="separate"/>
      </w:r>
      <w:r>
        <w:rPr>
          <w:noProof/>
        </w:rPr>
        <w:t>4</w:t>
      </w:r>
      <w:r w:rsidR="009D4DFE">
        <w:rPr>
          <w:noProof/>
        </w:rPr>
        <w:fldChar w:fldCharType="end"/>
      </w:r>
      <w:bookmarkEnd w:id="8"/>
      <w:r>
        <w:t>: Summary</w:t>
      </w:r>
      <w:r w:rsidR="00F44E7E">
        <w:t xml:space="preserve"> of variation </w:t>
      </w:r>
      <w:r w:rsidR="00F44E7E" w:rsidRPr="00433391">
        <w:t xml:space="preserve">in approach to implementing </w:t>
      </w:r>
      <w:r w:rsidR="00F44E7E">
        <w:t xml:space="preserve">anaemia screening and </w:t>
      </w:r>
      <w:r w:rsidR="00F44E7E" w:rsidRPr="00433391">
        <w:t>MSSA decolonisation pathway</w:t>
      </w:r>
      <w:r w:rsidR="00F44E7E">
        <w:t>s</w:t>
      </w:r>
      <w:r w:rsidR="00F44E7E" w:rsidRPr="00433391">
        <w:t>, rates of implementation and primary outcome reporting</w:t>
      </w:r>
    </w:p>
    <w:tbl>
      <w:tblPr>
        <w:tblStyle w:val="TableGrid"/>
        <w:tblW w:w="15021" w:type="dxa"/>
        <w:tblLook w:val="04A0" w:firstRow="1" w:lastRow="0" w:firstColumn="1" w:lastColumn="0" w:noHBand="0" w:noVBand="1"/>
      </w:tblPr>
      <w:tblGrid>
        <w:gridCol w:w="941"/>
        <w:gridCol w:w="2598"/>
        <w:gridCol w:w="1623"/>
        <w:gridCol w:w="2107"/>
        <w:gridCol w:w="1970"/>
        <w:gridCol w:w="992"/>
        <w:gridCol w:w="1827"/>
        <w:gridCol w:w="1816"/>
        <w:gridCol w:w="1147"/>
      </w:tblGrid>
      <w:tr w:rsidR="00A61796" w14:paraId="6F72F086" w14:textId="77777777" w:rsidTr="00C23310">
        <w:tc>
          <w:tcPr>
            <w:tcW w:w="941" w:type="dxa"/>
          </w:tcPr>
          <w:p w14:paraId="282E39C3" w14:textId="77777777" w:rsidR="005F7BCC" w:rsidRPr="00191B93" w:rsidRDefault="005F7BCC" w:rsidP="003F39BA">
            <w:r w:rsidRPr="00191B93">
              <w:t>Trial arm</w:t>
            </w:r>
          </w:p>
        </w:tc>
        <w:tc>
          <w:tcPr>
            <w:tcW w:w="2598" w:type="dxa"/>
          </w:tcPr>
          <w:p w14:paraId="106ABA32" w14:textId="77777777" w:rsidR="005F7BCC" w:rsidRPr="00191B93" w:rsidRDefault="005F7BCC" w:rsidP="003F39BA">
            <w:r w:rsidRPr="00191B93">
              <w:t>Approach to diagnosing anaemia or MSSA decolonisation</w:t>
            </w:r>
          </w:p>
        </w:tc>
        <w:tc>
          <w:tcPr>
            <w:tcW w:w="1623" w:type="dxa"/>
          </w:tcPr>
          <w:p w14:paraId="6975C729" w14:textId="77777777" w:rsidR="005F7BCC" w:rsidRPr="00191B93" w:rsidRDefault="005F7BCC" w:rsidP="003F39BA">
            <w:r w:rsidRPr="00191B93">
              <w:t>Total number of procedures performed</w:t>
            </w:r>
            <w:r w:rsidRPr="00191B93">
              <w:rPr>
                <w:vertAlign w:val="superscript"/>
              </w:rPr>
              <w:t xml:space="preserve"> </w:t>
            </w:r>
            <w:r w:rsidRPr="00191B93">
              <w:t>during trial 12-month measurement period (n range)</w:t>
            </w:r>
          </w:p>
        </w:tc>
        <w:tc>
          <w:tcPr>
            <w:tcW w:w="2107" w:type="dxa"/>
          </w:tcPr>
          <w:p w14:paraId="6666562B" w14:textId="77777777" w:rsidR="005F7BCC" w:rsidRPr="00191B93" w:rsidRDefault="005F7BCC" w:rsidP="003F39BA">
            <w:r w:rsidRPr="00191B93">
              <w:t>Procedures where records were provided (included in QIST analysis) (% range of total procedures performed)</w:t>
            </w:r>
          </w:p>
        </w:tc>
        <w:tc>
          <w:tcPr>
            <w:tcW w:w="1970" w:type="dxa"/>
          </w:tcPr>
          <w:p w14:paraId="7F04AD7F" w14:textId="77777777" w:rsidR="005F7BCC" w:rsidRPr="00191B93" w:rsidRDefault="005F7BCC" w:rsidP="003F39BA">
            <w:r w:rsidRPr="00191B93">
              <w:t>Procedures for which pre-op pathway was implemented as part of QIST</w:t>
            </w:r>
            <w:r w:rsidRPr="00191B93">
              <w:rPr>
                <w:vertAlign w:val="superscript"/>
              </w:rPr>
              <w:t>a</w:t>
            </w:r>
            <w:r w:rsidRPr="00191B93">
              <w:t xml:space="preserve"> (% range of total procedures performed)</w:t>
            </w:r>
          </w:p>
        </w:tc>
        <w:tc>
          <w:tcPr>
            <w:tcW w:w="992" w:type="dxa"/>
            <w:vAlign w:val="center"/>
          </w:tcPr>
          <w:p w14:paraId="7180E755" w14:textId="77777777" w:rsidR="005F7BCC" w:rsidRPr="00191B93" w:rsidRDefault="005F7BCC" w:rsidP="003F39BA">
            <w:pPr>
              <w:jc w:val="center"/>
            </w:pPr>
            <w:r w:rsidRPr="00191B93">
              <w:t>Reported potential SSIs, n</w:t>
            </w:r>
          </w:p>
          <w:p w14:paraId="79378E01" w14:textId="77777777" w:rsidR="005F7BCC" w:rsidRPr="00191B93" w:rsidRDefault="005F7BCC" w:rsidP="003F39BA"/>
        </w:tc>
        <w:tc>
          <w:tcPr>
            <w:tcW w:w="1827" w:type="dxa"/>
            <w:vAlign w:val="center"/>
          </w:tcPr>
          <w:p w14:paraId="634FAC61" w14:textId="77777777" w:rsidR="005F7BCC" w:rsidRPr="00191B93" w:rsidRDefault="005F7BCC" w:rsidP="003F39BA">
            <w:r w:rsidRPr="00191B93">
              <w:t>All SSIs confirmed by IOC</w:t>
            </w:r>
            <w:r w:rsidRPr="00191B93">
              <w:rPr>
                <w:vertAlign w:val="superscript"/>
              </w:rPr>
              <w:t>b</w:t>
            </w:r>
            <w:r w:rsidRPr="00191B93">
              <w:t xml:space="preserve"> (% range of reported potential SSIs)</w:t>
            </w:r>
          </w:p>
        </w:tc>
        <w:tc>
          <w:tcPr>
            <w:tcW w:w="1816" w:type="dxa"/>
            <w:vAlign w:val="center"/>
          </w:tcPr>
          <w:p w14:paraId="0294F45C" w14:textId="77777777" w:rsidR="005F7BCC" w:rsidRPr="00191B93" w:rsidRDefault="005F7BCC" w:rsidP="003F39BA">
            <w:r w:rsidRPr="00191B93">
              <w:t>IOC confirmed deep SSIs by causative organism (% range of procedures included in QIST)</w:t>
            </w:r>
          </w:p>
        </w:tc>
        <w:tc>
          <w:tcPr>
            <w:tcW w:w="1147" w:type="dxa"/>
            <w:vAlign w:val="center"/>
          </w:tcPr>
          <w:p w14:paraId="276F2F36" w14:textId="77777777" w:rsidR="005F7BCC" w:rsidRPr="00191B93" w:rsidRDefault="005F7BCC" w:rsidP="003F39BA">
            <w:r w:rsidRPr="00191B93">
              <w:t>Procedures requiring blood transfusion (% range)</w:t>
            </w:r>
          </w:p>
        </w:tc>
      </w:tr>
      <w:tr w:rsidR="00A61796" w14:paraId="1A49E33E" w14:textId="77777777" w:rsidTr="00C23310">
        <w:tc>
          <w:tcPr>
            <w:tcW w:w="941" w:type="dxa"/>
          </w:tcPr>
          <w:p w14:paraId="27824795" w14:textId="77777777" w:rsidR="005F7BCC" w:rsidRPr="00191B93" w:rsidRDefault="005F7BCC" w:rsidP="003F39BA">
            <w:r w:rsidRPr="00191B93">
              <w:t>Anaemia</w:t>
            </w:r>
          </w:p>
        </w:tc>
        <w:tc>
          <w:tcPr>
            <w:tcW w:w="2598" w:type="dxa"/>
          </w:tcPr>
          <w:p w14:paraId="4C00DF31" w14:textId="5081089D" w:rsidR="005F7BCC" w:rsidRPr="00191B93" w:rsidRDefault="00DC314B" w:rsidP="003F39BA">
            <w:r w:rsidRPr="00191B93">
              <w:t xml:space="preserve">Variation in </w:t>
            </w:r>
            <w:r w:rsidR="005F7BCC" w:rsidRPr="00191B93">
              <w:t xml:space="preserve">Hb thresholds </w:t>
            </w:r>
            <w:r w:rsidRPr="00191B93">
              <w:t>for diagnosing anaemia were observed</w:t>
            </w:r>
            <w:r w:rsidR="007E58B8" w:rsidRPr="00191B93">
              <w:t>. L</w:t>
            </w:r>
            <w:r w:rsidR="005F7BCC" w:rsidRPr="00191B93">
              <w:t>ower limit</w:t>
            </w:r>
            <w:r w:rsidR="007E58B8" w:rsidRPr="00191B93">
              <w:t>s</w:t>
            </w:r>
            <w:r w:rsidR="005F7BCC" w:rsidRPr="00191B93">
              <w:t xml:space="preserve"> </w:t>
            </w:r>
            <w:r w:rsidR="007E58B8" w:rsidRPr="00191B93">
              <w:t>ranged from</w:t>
            </w:r>
            <w:r w:rsidR="005F7BCC" w:rsidRPr="00191B93">
              <w:t xml:space="preserve"> 105</w:t>
            </w:r>
            <w:r w:rsidR="007E58B8" w:rsidRPr="00191B93">
              <w:t>-</w:t>
            </w:r>
            <w:r w:rsidR="005F7BCC" w:rsidRPr="00191B93">
              <w:t>115</w:t>
            </w:r>
            <w:r w:rsidR="007E58B8" w:rsidRPr="00191B93">
              <w:t>g/L</w:t>
            </w:r>
            <w:r w:rsidR="005F7BCC" w:rsidRPr="00191B93">
              <w:t xml:space="preserve"> </w:t>
            </w:r>
            <w:r w:rsidR="007E58B8" w:rsidRPr="00191B93">
              <w:t>and</w:t>
            </w:r>
            <w:r w:rsidR="005F7BCC" w:rsidRPr="00191B93">
              <w:t xml:space="preserve"> upper limit</w:t>
            </w:r>
            <w:r w:rsidR="007E58B8" w:rsidRPr="00191B93">
              <w:t>s ranged from</w:t>
            </w:r>
            <w:r w:rsidR="005F7BCC" w:rsidRPr="00191B93">
              <w:t xml:space="preserve"> 115-129</w:t>
            </w:r>
            <w:r w:rsidR="007E58B8" w:rsidRPr="00191B93">
              <w:t>g/L.</w:t>
            </w:r>
          </w:p>
          <w:p w14:paraId="587F4041" w14:textId="00DA3B98" w:rsidR="005F7BCC" w:rsidRPr="00191B93" w:rsidRDefault="005F7BCC" w:rsidP="003F39BA">
            <w:r w:rsidRPr="00191B93">
              <w:t xml:space="preserve">Not all </w:t>
            </w:r>
            <w:r w:rsidR="00FE48D0" w:rsidRPr="00191B93">
              <w:t xml:space="preserve">Trusts </w:t>
            </w:r>
            <w:r w:rsidRPr="00191B93">
              <w:t xml:space="preserve">used </w:t>
            </w:r>
            <w:r w:rsidR="00864D73" w:rsidRPr="00191B93">
              <w:t>sex</w:t>
            </w:r>
            <w:r w:rsidRPr="00191B93">
              <w:t xml:space="preserve"> dependant thresholds </w:t>
            </w:r>
          </w:p>
        </w:tc>
        <w:tc>
          <w:tcPr>
            <w:tcW w:w="1623" w:type="dxa"/>
          </w:tcPr>
          <w:p w14:paraId="24D0D535" w14:textId="19C26C24" w:rsidR="005F7BCC" w:rsidRPr="00191B93" w:rsidRDefault="005F7BCC" w:rsidP="003F39BA">
            <w:r w:rsidRPr="00191B93">
              <w:t xml:space="preserve">397 </w:t>
            </w:r>
            <w:r w:rsidR="00CE43AD" w:rsidRPr="00191B93">
              <w:t>–</w:t>
            </w:r>
            <w:r w:rsidRPr="00191B93">
              <w:t xml:space="preserve"> 2805</w:t>
            </w:r>
          </w:p>
        </w:tc>
        <w:tc>
          <w:tcPr>
            <w:tcW w:w="2107" w:type="dxa"/>
          </w:tcPr>
          <w:p w14:paraId="7A9012B0" w14:textId="77777777" w:rsidR="005F7BCC" w:rsidRPr="00191B93" w:rsidRDefault="005F7BCC" w:rsidP="003F39BA">
            <w:r w:rsidRPr="00191B93">
              <w:t>20.4 – 100%</w:t>
            </w:r>
          </w:p>
        </w:tc>
        <w:tc>
          <w:tcPr>
            <w:tcW w:w="1970" w:type="dxa"/>
          </w:tcPr>
          <w:p w14:paraId="0429F23C" w14:textId="77777777" w:rsidR="005F7BCC" w:rsidRPr="00191B93" w:rsidRDefault="005F7BCC" w:rsidP="003F39BA">
            <w:r w:rsidRPr="00191B93">
              <w:t>16.4 – 98.1</w:t>
            </w:r>
          </w:p>
        </w:tc>
        <w:tc>
          <w:tcPr>
            <w:tcW w:w="992" w:type="dxa"/>
          </w:tcPr>
          <w:p w14:paraId="583EAADB" w14:textId="52BB5F7E" w:rsidR="005F7BCC" w:rsidRPr="00191B93" w:rsidRDefault="005F7BCC" w:rsidP="003F39BA">
            <w:r w:rsidRPr="00191B93">
              <w:t xml:space="preserve">0 </w:t>
            </w:r>
            <w:r w:rsidR="00CE43AD" w:rsidRPr="00191B93">
              <w:t>–</w:t>
            </w:r>
            <w:r w:rsidRPr="00191B93">
              <w:t xml:space="preserve"> 25</w:t>
            </w:r>
          </w:p>
        </w:tc>
        <w:tc>
          <w:tcPr>
            <w:tcW w:w="1827" w:type="dxa"/>
          </w:tcPr>
          <w:p w14:paraId="772D8333" w14:textId="77777777" w:rsidR="005F7BCC" w:rsidRPr="00191B93" w:rsidRDefault="005F7BCC" w:rsidP="003F39BA">
            <w:r w:rsidRPr="00191B93">
              <w:t>11 – 100%</w:t>
            </w:r>
          </w:p>
        </w:tc>
        <w:tc>
          <w:tcPr>
            <w:tcW w:w="1816" w:type="dxa"/>
          </w:tcPr>
          <w:p w14:paraId="280F2E18" w14:textId="77777777" w:rsidR="005F7BCC" w:rsidRPr="00191B93" w:rsidRDefault="005F7BCC" w:rsidP="003F39BA">
            <w:r w:rsidRPr="00191B93">
              <w:t>MSSA: 0 – 0.7%</w:t>
            </w:r>
          </w:p>
          <w:p w14:paraId="69681E37" w14:textId="77777777" w:rsidR="005F7BCC" w:rsidRPr="00191B93" w:rsidRDefault="005F7BCC" w:rsidP="003F39BA">
            <w:r w:rsidRPr="00191B93">
              <w:t>Any</w:t>
            </w:r>
            <w:r w:rsidRPr="00191B93">
              <w:rPr>
                <w:vertAlign w:val="superscript"/>
              </w:rPr>
              <w:t>c</w:t>
            </w:r>
            <w:r w:rsidRPr="00191B93">
              <w:t>: 0 – 1.1%</w:t>
            </w:r>
          </w:p>
        </w:tc>
        <w:tc>
          <w:tcPr>
            <w:tcW w:w="1147" w:type="dxa"/>
          </w:tcPr>
          <w:p w14:paraId="5A5C1977" w14:textId="77777777" w:rsidR="005F7BCC" w:rsidRPr="00191B93" w:rsidRDefault="005F7BCC" w:rsidP="003F39BA">
            <w:r w:rsidRPr="00191B93">
              <w:t>0 – 11.6%</w:t>
            </w:r>
          </w:p>
        </w:tc>
      </w:tr>
      <w:tr w:rsidR="00A61796" w14:paraId="37BEB48D" w14:textId="77777777" w:rsidTr="00C23310">
        <w:tc>
          <w:tcPr>
            <w:tcW w:w="941" w:type="dxa"/>
          </w:tcPr>
          <w:p w14:paraId="1F9F826A" w14:textId="77777777" w:rsidR="005F7BCC" w:rsidRPr="00191B93" w:rsidRDefault="005F7BCC" w:rsidP="003F39BA">
            <w:r w:rsidRPr="00191B93">
              <w:t>Infection</w:t>
            </w:r>
          </w:p>
        </w:tc>
        <w:tc>
          <w:tcPr>
            <w:tcW w:w="2598" w:type="dxa"/>
          </w:tcPr>
          <w:p w14:paraId="49A4744D" w14:textId="2850C1E9" w:rsidR="005F7BCC" w:rsidRPr="00191B93" w:rsidRDefault="005F7BCC" w:rsidP="003F39BA">
            <w:r w:rsidRPr="00191B93">
              <w:t>6 Trusts screened and only decolonised MSSA positive patients</w:t>
            </w:r>
            <w:r w:rsidR="007E58B8" w:rsidRPr="00191B93">
              <w:t>. MSSA positive rate ranged from 21.9 – 31.2%</w:t>
            </w:r>
          </w:p>
          <w:p w14:paraId="5C0C6ABF" w14:textId="4E6482C3" w:rsidR="007E58B8" w:rsidRPr="00191B93" w:rsidRDefault="005F7BCC" w:rsidP="003F39BA">
            <w:r w:rsidRPr="00191B93">
              <w:t>10 Trusts decolonised all patients without screening</w:t>
            </w:r>
          </w:p>
        </w:tc>
        <w:tc>
          <w:tcPr>
            <w:tcW w:w="1623" w:type="dxa"/>
          </w:tcPr>
          <w:p w14:paraId="63680E41" w14:textId="794B4A5F" w:rsidR="005F7BCC" w:rsidRPr="00191B93" w:rsidRDefault="005F7BCC" w:rsidP="003F39BA">
            <w:r w:rsidRPr="00191B93">
              <w:t xml:space="preserve">457 </w:t>
            </w:r>
            <w:r w:rsidR="00CE43AD" w:rsidRPr="00191B93">
              <w:t>–</w:t>
            </w:r>
            <w:r w:rsidRPr="00191B93">
              <w:t xml:space="preserve"> 2786</w:t>
            </w:r>
          </w:p>
        </w:tc>
        <w:tc>
          <w:tcPr>
            <w:tcW w:w="2107" w:type="dxa"/>
          </w:tcPr>
          <w:p w14:paraId="29F7D0E5" w14:textId="77777777" w:rsidR="005F7BCC" w:rsidRPr="00191B93" w:rsidRDefault="005F7BCC" w:rsidP="003F39BA">
            <w:r w:rsidRPr="00191B93">
              <w:t>22.6 – 100%</w:t>
            </w:r>
          </w:p>
        </w:tc>
        <w:tc>
          <w:tcPr>
            <w:tcW w:w="1970" w:type="dxa"/>
          </w:tcPr>
          <w:p w14:paraId="2315AFA5" w14:textId="77777777" w:rsidR="005F7BCC" w:rsidRPr="00191B93" w:rsidRDefault="005F7BCC" w:rsidP="003F39BA">
            <w:r w:rsidRPr="00191B93">
              <w:t>0 – 94.1%</w:t>
            </w:r>
          </w:p>
        </w:tc>
        <w:tc>
          <w:tcPr>
            <w:tcW w:w="992" w:type="dxa"/>
          </w:tcPr>
          <w:p w14:paraId="1200073D" w14:textId="58712A67" w:rsidR="005F7BCC" w:rsidRPr="00191B93" w:rsidRDefault="005F7BCC" w:rsidP="003F39BA">
            <w:r w:rsidRPr="00191B93">
              <w:t xml:space="preserve">0 </w:t>
            </w:r>
            <w:r w:rsidR="00CE43AD" w:rsidRPr="00191B93">
              <w:t>–</w:t>
            </w:r>
            <w:r w:rsidRPr="00191B93">
              <w:t xml:space="preserve"> 75</w:t>
            </w:r>
          </w:p>
        </w:tc>
        <w:tc>
          <w:tcPr>
            <w:tcW w:w="1827" w:type="dxa"/>
          </w:tcPr>
          <w:p w14:paraId="26226EC7" w14:textId="77777777" w:rsidR="005F7BCC" w:rsidRPr="00191B93" w:rsidRDefault="005F7BCC" w:rsidP="003F39BA">
            <w:r w:rsidRPr="00191B93">
              <w:t>9 – 100%</w:t>
            </w:r>
          </w:p>
        </w:tc>
        <w:tc>
          <w:tcPr>
            <w:tcW w:w="1816" w:type="dxa"/>
          </w:tcPr>
          <w:p w14:paraId="120083F0" w14:textId="77777777" w:rsidR="005F7BCC" w:rsidRPr="00191B93" w:rsidRDefault="005F7BCC" w:rsidP="003F39BA">
            <w:r w:rsidRPr="00191B93">
              <w:t>MSSA: 0 – 0.7%</w:t>
            </w:r>
          </w:p>
          <w:p w14:paraId="38D25824" w14:textId="0874900E" w:rsidR="005F7BCC" w:rsidRPr="00191B93" w:rsidRDefault="005F7BCC" w:rsidP="003F39BA">
            <w:r w:rsidRPr="00191B93">
              <w:t>Any</w:t>
            </w:r>
            <w:r w:rsidRPr="00191B93">
              <w:rPr>
                <w:vertAlign w:val="superscript"/>
              </w:rPr>
              <w:t>c</w:t>
            </w:r>
            <w:r w:rsidRPr="00191B93">
              <w:t xml:space="preserve">: 0 </w:t>
            </w:r>
            <w:r w:rsidR="00CE43AD" w:rsidRPr="00191B93">
              <w:t>–</w:t>
            </w:r>
            <w:r w:rsidRPr="00191B93">
              <w:t xml:space="preserve"> 2.1%</w:t>
            </w:r>
          </w:p>
        </w:tc>
        <w:tc>
          <w:tcPr>
            <w:tcW w:w="1147" w:type="dxa"/>
          </w:tcPr>
          <w:p w14:paraId="788C41A1" w14:textId="77777777" w:rsidR="005F7BCC" w:rsidRPr="00191B93" w:rsidRDefault="005F7BCC" w:rsidP="003F39BA">
            <w:r w:rsidRPr="00191B93">
              <w:t>0 – 7.7%</w:t>
            </w:r>
          </w:p>
        </w:tc>
      </w:tr>
      <w:tr w:rsidR="005F7BCC" w14:paraId="5B26930E" w14:textId="77777777" w:rsidTr="00C23310">
        <w:tc>
          <w:tcPr>
            <w:tcW w:w="15021" w:type="dxa"/>
            <w:gridSpan w:val="9"/>
          </w:tcPr>
          <w:p w14:paraId="4C53E4FA" w14:textId="77777777" w:rsidR="005F7BCC" w:rsidRPr="00610F23" w:rsidRDefault="005F7BCC" w:rsidP="00610F23">
            <w:pPr>
              <w:spacing w:after="0"/>
            </w:pPr>
            <w:r w:rsidRPr="00610F23">
              <w:rPr>
                <w:rFonts w:asciiTheme="minorHAnsi" w:hAnsiTheme="minorHAnsi"/>
                <w:sz w:val="24"/>
                <w:szCs w:val="24"/>
              </w:rPr>
              <w:t xml:space="preserve"> </w:t>
            </w:r>
            <w:r w:rsidRPr="00610F23">
              <w:rPr>
                <w:sz w:val="24"/>
                <w:szCs w:val="24"/>
                <w:vertAlign w:val="superscript"/>
              </w:rPr>
              <w:t xml:space="preserve">a </w:t>
            </w:r>
            <w:r w:rsidRPr="00610F23">
              <w:rPr>
                <w:sz w:val="24"/>
                <w:szCs w:val="24"/>
              </w:rPr>
              <w:t>during 12 month trial measurement period</w:t>
            </w:r>
            <w:r w:rsidRPr="00610F23">
              <w:rPr>
                <w:rFonts w:asciiTheme="minorHAnsi" w:hAnsiTheme="minorHAnsi"/>
                <w:sz w:val="24"/>
                <w:szCs w:val="24"/>
              </w:rPr>
              <w:t xml:space="preserve"> </w:t>
            </w:r>
            <w:r w:rsidRPr="00610F23">
              <w:rPr>
                <w:rFonts w:asciiTheme="minorHAnsi" w:hAnsiTheme="minorHAnsi"/>
                <w:sz w:val="24"/>
                <w:szCs w:val="24"/>
                <w:vertAlign w:val="superscript"/>
              </w:rPr>
              <w:t>b</w:t>
            </w:r>
            <w:r w:rsidRPr="00610F23">
              <w:rPr>
                <w:sz w:val="24"/>
                <w:szCs w:val="24"/>
              </w:rPr>
              <w:t xml:space="preserve">using either CDC or PHE definitions for deep or superficial SSI </w:t>
            </w:r>
            <w:r w:rsidRPr="00610F23">
              <w:rPr>
                <w:sz w:val="24"/>
                <w:szCs w:val="24"/>
                <w:vertAlign w:val="superscript"/>
              </w:rPr>
              <w:t xml:space="preserve">c </w:t>
            </w:r>
            <w:r w:rsidRPr="00610F23">
              <w:rPr>
                <w:sz w:val="24"/>
                <w:szCs w:val="24"/>
              </w:rPr>
              <w:t>including MSSA</w:t>
            </w:r>
          </w:p>
          <w:p w14:paraId="248CD54B" w14:textId="3FB990F1" w:rsidR="00191B93" w:rsidRDefault="00F44E7E" w:rsidP="00CE43AD">
            <w:pPr>
              <w:spacing w:after="0"/>
            </w:pPr>
            <w:r w:rsidRPr="00610F23">
              <w:rPr>
                <w:sz w:val="24"/>
                <w:szCs w:val="24"/>
              </w:rPr>
              <w:t>Further detail</w:t>
            </w:r>
            <w:r w:rsidR="00DC314B" w:rsidRPr="00610F23">
              <w:rPr>
                <w:sz w:val="24"/>
                <w:szCs w:val="24"/>
              </w:rPr>
              <w:t>s are</w:t>
            </w:r>
            <w:r w:rsidRPr="00610F23">
              <w:rPr>
                <w:sz w:val="24"/>
                <w:szCs w:val="24"/>
              </w:rPr>
              <w:t xml:space="preserve"> provided in </w:t>
            </w:r>
            <w:r w:rsidR="00E842C1" w:rsidRPr="00610F23">
              <w:rPr>
                <w:sz w:val="24"/>
                <w:szCs w:val="24"/>
              </w:rPr>
              <w:t>S</w:t>
            </w:r>
            <w:r w:rsidRPr="00610F23">
              <w:rPr>
                <w:sz w:val="24"/>
                <w:szCs w:val="24"/>
              </w:rPr>
              <w:t xml:space="preserve">upplementary </w:t>
            </w:r>
            <w:r w:rsidR="00E842C1" w:rsidRPr="00610F23">
              <w:rPr>
                <w:sz w:val="24"/>
                <w:szCs w:val="24"/>
              </w:rPr>
              <w:t>F</w:t>
            </w:r>
            <w:r w:rsidRPr="00610F23">
              <w:rPr>
                <w:sz w:val="24"/>
                <w:szCs w:val="24"/>
              </w:rPr>
              <w:t>iles 2 and 3</w:t>
            </w:r>
          </w:p>
          <w:p w14:paraId="64E0ED15" w14:textId="77777777" w:rsidR="00191B93" w:rsidRPr="00610F23" w:rsidRDefault="00191B93" w:rsidP="00610F23">
            <w:pPr>
              <w:spacing w:after="0"/>
            </w:pPr>
          </w:p>
          <w:p w14:paraId="2A2150D4" w14:textId="02926C64" w:rsidR="00FE48D0" w:rsidRPr="00610F23" w:rsidRDefault="00FE48D0" w:rsidP="00610F23">
            <w:pPr>
              <w:spacing w:after="0"/>
              <w:rPr>
                <w:rFonts w:asciiTheme="minorHAnsi" w:eastAsiaTheme="minorHAnsi" w:hAnsiTheme="minorHAnsi"/>
              </w:rPr>
            </w:pPr>
          </w:p>
        </w:tc>
      </w:tr>
    </w:tbl>
    <w:p w14:paraId="453829C3" w14:textId="1A7E93A8" w:rsidR="000627C0" w:rsidRDefault="000627C0" w:rsidP="000627C0">
      <w:pPr>
        <w:pStyle w:val="Caption"/>
        <w:keepNext/>
      </w:pPr>
      <w:bookmarkStart w:id="9" w:name="_Ref66702591"/>
      <w:r>
        <w:t xml:space="preserve">Table </w:t>
      </w:r>
      <w:r w:rsidR="009D4DFE">
        <w:fldChar w:fldCharType="begin"/>
      </w:r>
      <w:r w:rsidR="009D4DFE">
        <w:instrText xml:space="preserve"> SEQ Table \* ARABIC </w:instrText>
      </w:r>
      <w:r w:rsidR="009D4DFE">
        <w:fldChar w:fldCharType="separate"/>
      </w:r>
      <w:r w:rsidR="005F7BCC">
        <w:rPr>
          <w:noProof/>
        </w:rPr>
        <w:t>5</w:t>
      </w:r>
      <w:r w:rsidR="009D4DFE">
        <w:rPr>
          <w:noProof/>
        </w:rPr>
        <w:fldChar w:fldCharType="end"/>
      </w:r>
      <w:bookmarkEnd w:id="9"/>
      <w:r>
        <w:t xml:space="preserve">: </w:t>
      </w:r>
      <w:r w:rsidRPr="00B87D2D">
        <w:t xml:space="preserve">Results of the </w:t>
      </w:r>
      <w:r>
        <w:t xml:space="preserve">primary, </w:t>
      </w:r>
      <w:r w:rsidRPr="00B87D2D">
        <w:t xml:space="preserve">secondary </w:t>
      </w:r>
      <w:r>
        <w:t xml:space="preserve">outcomes </w:t>
      </w:r>
      <w:r w:rsidRPr="00B87D2D">
        <w:t>and sensitivity analyses</w:t>
      </w:r>
    </w:p>
    <w:tbl>
      <w:tblPr>
        <w:tblStyle w:val="TableGrid"/>
        <w:tblW w:w="0" w:type="auto"/>
        <w:tblLook w:val="04A0" w:firstRow="1" w:lastRow="0" w:firstColumn="1" w:lastColumn="0" w:noHBand="0" w:noVBand="1"/>
      </w:tblPr>
      <w:tblGrid>
        <w:gridCol w:w="2568"/>
        <w:gridCol w:w="2931"/>
        <w:gridCol w:w="2931"/>
        <w:gridCol w:w="1757"/>
        <w:gridCol w:w="1303"/>
      </w:tblGrid>
      <w:tr w:rsidR="000627C0" w:rsidRPr="00DE37C4" w14:paraId="6B22B90A" w14:textId="77777777" w:rsidTr="003F39BA">
        <w:tc>
          <w:tcPr>
            <w:tcW w:w="2568" w:type="dxa"/>
            <w:vMerge w:val="restart"/>
          </w:tcPr>
          <w:p w14:paraId="16A6E88C" w14:textId="77777777" w:rsidR="000627C0" w:rsidRPr="00DE37C4" w:rsidRDefault="000627C0" w:rsidP="003F39BA">
            <w:pPr>
              <w:spacing w:after="0" w:line="240" w:lineRule="auto"/>
              <w:rPr>
                <w:b/>
              </w:rPr>
            </w:pPr>
            <w:r w:rsidRPr="00DE37C4">
              <w:rPr>
                <w:b/>
              </w:rPr>
              <w:t>Outcome, n (%)</w:t>
            </w:r>
            <w:r w:rsidRPr="00892849">
              <w:rPr>
                <w:b/>
                <w:vertAlign w:val="superscript"/>
              </w:rPr>
              <w:t>a</w:t>
            </w:r>
          </w:p>
        </w:tc>
        <w:tc>
          <w:tcPr>
            <w:tcW w:w="3382" w:type="dxa"/>
            <w:gridSpan w:val="2"/>
          </w:tcPr>
          <w:p w14:paraId="1C33FA02" w14:textId="77777777" w:rsidR="000627C0" w:rsidRPr="00DE37C4" w:rsidRDefault="000627C0" w:rsidP="003F39BA">
            <w:pPr>
              <w:spacing w:after="0" w:line="240" w:lineRule="auto"/>
              <w:jc w:val="center"/>
              <w:rPr>
                <w:b/>
              </w:rPr>
            </w:pPr>
            <w:r w:rsidRPr="00DE37C4">
              <w:rPr>
                <w:b/>
              </w:rPr>
              <w:t>Unadjusted</w:t>
            </w:r>
          </w:p>
        </w:tc>
        <w:tc>
          <w:tcPr>
            <w:tcW w:w="3060" w:type="dxa"/>
            <w:gridSpan w:val="2"/>
          </w:tcPr>
          <w:p w14:paraId="110AEC95" w14:textId="77777777" w:rsidR="000627C0" w:rsidRPr="00DE37C4" w:rsidRDefault="000627C0" w:rsidP="003F39BA">
            <w:pPr>
              <w:spacing w:after="0" w:line="240" w:lineRule="auto"/>
              <w:jc w:val="center"/>
              <w:rPr>
                <w:b/>
              </w:rPr>
            </w:pPr>
            <w:r w:rsidRPr="00DE37C4">
              <w:rPr>
                <w:b/>
              </w:rPr>
              <w:t>Adjusted</w:t>
            </w:r>
            <w:r w:rsidRPr="0015751B">
              <w:rPr>
                <w:b/>
                <w:vertAlign w:val="superscript"/>
              </w:rPr>
              <w:t>b</w:t>
            </w:r>
          </w:p>
        </w:tc>
      </w:tr>
      <w:tr w:rsidR="000627C0" w:rsidRPr="00DE37C4" w14:paraId="79BFBF90" w14:textId="77777777" w:rsidTr="003F39BA">
        <w:tc>
          <w:tcPr>
            <w:tcW w:w="2568" w:type="dxa"/>
            <w:vMerge/>
          </w:tcPr>
          <w:p w14:paraId="2E219538" w14:textId="77777777" w:rsidR="000627C0" w:rsidRPr="00DE37C4" w:rsidRDefault="000627C0" w:rsidP="003F39BA">
            <w:pPr>
              <w:spacing w:after="0" w:line="240" w:lineRule="auto"/>
            </w:pPr>
          </w:p>
        </w:tc>
        <w:tc>
          <w:tcPr>
            <w:tcW w:w="1538" w:type="dxa"/>
          </w:tcPr>
          <w:p w14:paraId="59663E10" w14:textId="77777777" w:rsidR="000627C0" w:rsidRPr="00DE37C4" w:rsidRDefault="000627C0" w:rsidP="003F39BA">
            <w:pPr>
              <w:spacing w:after="0" w:line="240" w:lineRule="auto"/>
              <w:jc w:val="center"/>
              <w:rPr>
                <w:b/>
              </w:rPr>
            </w:pPr>
            <w:r w:rsidRPr="00DE37C4">
              <w:rPr>
                <w:b/>
              </w:rPr>
              <w:t>Anaemia</w:t>
            </w:r>
          </w:p>
          <w:p w14:paraId="4267D8E9" w14:textId="77777777" w:rsidR="000627C0" w:rsidRPr="00DE37C4" w:rsidRDefault="000627C0" w:rsidP="003F39BA">
            <w:pPr>
              <w:spacing w:after="0" w:line="240" w:lineRule="auto"/>
              <w:jc w:val="center"/>
              <w:rPr>
                <w:b/>
              </w:rPr>
            </w:pPr>
            <w:r w:rsidRPr="00DE37C4">
              <w:rPr>
                <w:b/>
              </w:rPr>
              <w:t>(n=6324)</w:t>
            </w:r>
          </w:p>
        </w:tc>
        <w:tc>
          <w:tcPr>
            <w:tcW w:w="1844" w:type="dxa"/>
          </w:tcPr>
          <w:p w14:paraId="24F9281B" w14:textId="77777777" w:rsidR="000627C0" w:rsidRPr="00DE37C4" w:rsidRDefault="000627C0" w:rsidP="003F39BA">
            <w:pPr>
              <w:spacing w:after="0" w:line="240" w:lineRule="auto"/>
              <w:jc w:val="center"/>
              <w:rPr>
                <w:b/>
              </w:rPr>
            </w:pPr>
            <w:r w:rsidRPr="00DE37C4">
              <w:rPr>
                <w:b/>
              </w:rPr>
              <w:t>Infection</w:t>
            </w:r>
          </w:p>
          <w:p w14:paraId="058455E6" w14:textId="77777777" w:rsidR="000627C0" w:rsidRPr="00DE37C4" w:rsidRDefault="000627C0" w:rsidP="003F39BA">
            <w:pPr>
              <w:spacing w:after="0" w:line="240" w:lineRule="auto"/>
              <w:jc w:val="center"/>
              <w:rPr>
                <w:b/>
              </w:rPr>
            </w:pPr>
            <w:r w:rsidRPr="00DE37C4">
              <w:rPr>
                <w:b/>
              </w:rPr>
              <w:t>(n=12930)</w:t>
            </w:r>
          </w:p>
        </w:tc>
        <w:tc>
          <w:tcPr>
            <w:tcW w:w="1757" w:type="dxa"/>
          </w:tcPr>
          <w:p w14:paraId="40E013F9" w14:textId="77777777" w:rsidR="000627C0" w:rsidRPr="00DE37C4" w:rsidRDefault="000627C0" w:rsidP="003F39BA">
            <w:pPr>
              <w:spacing w:after="0" w:line="240" w:lineRule="auto"/>
              <w:jc w:val="center"/>
              <w:rPr>
                <w:b/>
              </w:rPr>
            </w:pPr>
            <w:r>
              <w:rPr>
                <w:b/>
              </w:rPr>
              <w:t xml:space="preserve">OR </w:t>
            </w:r>
            <w:r w:rsidRPr="00DE37C4">
              <w:rPr>
                <w:b/>
              </w:rPr>
              <w:t>(95% CI)</w:t>
            </w:r>
          </w:p>
        </w:tc>
        <w:tc>
          <w:tcPr>
            <w:tcW w:w="1303" w:type="dxa"/>
          </w:tcPr>
          <w:p w14:paraId="6F6B12DE" w14:textId="77777777" w:rsidR="000627C0" w:rsidRPr="00DE37C4" w:rsidRDefault="000627C0" w:rsidP="003F39BA">
            <w:pPr>
              <w:spacing w:after="0" w:line="240" w:lineRule="auto"/>
              <w:jc w:val="center"/>
              <w:rPr>
                <w:b/>
              </w:rPr>
            </w:pPr>
            <w:r w:rsidRPr="00DE37C4">
              <w:rPr>
                <w:b/>
              </w:rPr>
              <w:t>p-value</w:t>
            </w:r>
          </w:p>
        </w:tc>
      </w:tr>
      <w:tr w:rsidR="000627C0" w:rsidRPr="00DE37C4" w14:paraId="515F564D" w14:textId="77777777" w:rsidTr="003F39BA">
        <w:tc>
          <w:tcPr>
            <w:tcW w:w="2568" w:type="dxa"/>
          </w:tcPr>
          <w:p w14:paraId="4C24ED53" w14:textId="77777777" w:rsidR="000627C0" w:rsidRPr="00DE37C4" w:rsidRDefault="000627C0" w:rsidP="003F39BA">
            <w:pPr>
              <w:spacing w:after="0" w:line="240" w:lineRule="auto"/>
              <w:rPr>
                <w:i/>
              </w:rPr>
            </w:pPr>
            <w:r w:rsidRPr="00DE37C4">
              <w:rPr>
                <w:i/>
              </w:rPr>
              <w:t>Primary outcomes</w:t>
            </w:r>
          </w:p>
        </w:tc>
        <w:tc>
          <w:tcPr>
            <w:tcW w:w="1538" w:type="dxa"/>
          </w:tcPr>
          <w:p w14:paraId="3FB1664A" w14:textId="77777777" w:rsidR="000627C0" w:rsidRPr="00DE37C4" w:rsidRDefault="000627C0" w:rsidP="003F39BA">
            <w:pPr>
              <w:spacing w:after="0" w:line="240" w:lineRule="auto"/>
            </w:pPr>
          </w:p>
        </w:tc>
        <w:tc>
          <w:tcPr>
            <w:tcW w:w="1844" w:type="dxa"/>
          </w:tcPr>
          <w:p w14:paraId="13ADF642" w14:textId="77777777" w:rsidR="000627C0" w:rsidRPr="00DE37C4" w:rsidRDefault="000627C0" w:rsidP="003F39BA">
            <w:pPr>
              <w:spacing w:after="0" w:line="240" w:lineRule="auto"/>
            </w:pPr>
          </w:p>
        </w:tc>
        <w:tc>
          <w:tcPr>
            <w:tcW w:w="1757" w:type="dxa"/>
          </w:tcPr>
          <w:p w14:paraId="13CCFF7F" w14:textId="77777777" w:rsidR="000627C0" w:rsidRPr="00DE37C4" w:rsidRDefault="000627C0" w:rsidP="003F39BA">
            <w:pPr>
              <w:spacing w:after="0" w:line="240" w:lineRule="auto"/>
            </w:pPr>
          </w:p>
        </w:tc>
        <w:tc>
          <w:tcPr>
            <w:tcW w:w="1303" w:type="dxa"/>
          </w:tcPr>
          <w:p w14:paraId="3A72637C" w14:textId="77777777" w:rsidR="000627C0" w:rsidRPr="00DE37C4" w:rsidRDefault="000627C0" w:rsidP="003F39BA">
            <w:pPr>
              <w:spacing w:after="0" w:line="240" w:lineRule="auto"/>
            </w:pPr>
          </w:p>
        </w:tc>
      </w:tr>
      <w:tr w:rsidR="000627C0" w:rsidRPr="00DE37C4" w14:paraId="7671C395" w14:textId="77777777" w:rsidTr="003F39BA">
        <w:tc>
          <w:tcPr>
            <w:tcW w:w="2568" w:type="dxa"/>
          </w:tcPr>
          <w:p w14:paraId="517EA209" w14:textId="77777777" w:rsidR="000627C0" w:rsidRPr="00DE37C4" w:rsidRDefault="000627C0" w:rsidP="003F39BA">
            <w:pPr>
              <w:spacing w:after="0" w:line="240" w:lineRule="auto"/>
            </w:pPr>
            <w:r w:rsidRPr="00DE37C4">
              <w:t>Blood transfusion</w:t>
            </w:r>
          </w:p>
        </w:tc>
        <w:tc>
          <w:tcPr>
            <w:tcW w:w="1538" w:type="dxa"/>
            <w:vAlign w:val="bottom"/>
          </w:tcPr>
          <w:p w14:paraId="021B19DA" w14:textId="77777777" w:rsidR="000627C0" w:rsidRPr="00DE37C4" w:rsidRDefault="000627C0" w:rsidP="003F39BA">
            <w:pPr>
              <w:spacing w:after="0" w:line="240" w:lineRule="auto"/>
              <w:jc w:val="right"/>
            </w:pPr>
            <w:r w:rsidRPr="00DE37C4">
              <w:t>183 (2.9)</w:t>
            </w:r>
          </w:p>
        </w:tc>
        <w:tc>
          <w:tcPr>
            <w:tcW w:w="1844" w:type="dxa"/>
            <w:vAlign w:val="bottom"/>
          </w:tcPr>
          <w:p w14:paraId="64BB66DB" w14:textId="77777777" w:rsidR="000627C0" w:rsidRPr="00DE37C4" w:rsidRDefault="000627C0" w:rsidP="003F39BA">
            <w:pPr>
              <w:spacing w:after="0" w:line="240" w:lineRule="auto"/>
              <w:jc w:val="right"/>
            </w:pPr>
            <w:r w:rsidRPr="00DE37C4">
              <w:t>302 (2.3)</w:t>
            </w:r>
          </w:p>
        </w:tc>
        <w:tc>
          <w:tcPr>
            <w:tcW w:w="1757" w:type="dxa"/>
          </w:tcPr>
          <w:p w14:paraId="0465D547" w14:textId="77777777" w:rsidR="000627C0" w:rsidRPr="00DE37C4" w:rsidRDefault="000627C0" w:rsidP="003F39BA">
            <w:pPr>
              <w:spacing w:after="0" w:line="240" w:lineRule="auto"/>
              <w:jc w:val="right"/>
            </w:pPr>
            <w:r w:rsidRPr="00855409">
              <w:t>0.83 (0.36, 1.91)</w:t>
            </w:r>
          </w:p>
        </w:tc>
        <w:tc>
          <w:tcPr>
            <w:tcW w:w="1303" w:type="dxa"/>
          </w:tcPr>
          <w:p w14:paraId="51B3B69F" w14:textId="77777777" w:rsidR="000627C0" w:rsidRPr="00DE37C4" w:rsidRDefault="000627C0" w:rsidP="003F39BA">
            <w:pPr>
              <w:spacing w:after="0" w:line="240" w:lineRule="auto"/>
              <w:jc w:val="right"/>
            </w:pPr>
            <w:r w:rsidRPr="00855409">
              <w:t>0.67</w:t>
            </w:r>
          </w:p>
        </w:tc>
      </w:tr>
      <w:tr w:rsidR="000627C0" w:rsidRPr="00DE37C4" w14:paraId="46539120" w14:textId="77777777" w:rsidTr="003F39BA">
        <w:tc>
          <w:tcPr>
            <w:tcW w:w="2568" w:type="dxa"/>
          </w:tcPr>
          <w:p w14:paraId="05691275" w14:textId="77777777" w:rsidR="000627C0" w:rsidRPr="00DE37C4" w:rsidRDefault="000627C0" w:rsidP="003F39BA">
            <w:pPr>
              <w:spacing w:after="0" w:line="240" w:lineRule="auto"/>
            </w:pPr>
            <w:r w:rsidRPr="00DE37C4">
              <w:rPr>
                <w:rFonts w:eastAsia="Calibri"/>
              </w:rPr>
              <w:t>Deep SSI (MSSA) (PHE)</w:t>
            </w:r>
          </w:p>
        </w:tc>
        <w:tc>
          <w:tcPr>
            <w:tcW w:w="1538" w:type="dxa"/>
            <w:vAlign w:val="bottom"/>
          </w:tcPr>
          <w:p w14:paraId="2AF5D890" w14:textId="77777777" w:rsidR="000627C0" w:rsidRPr="00DE37C4" w:rsidRDefault="000627C0" w:rsidP="003F39BA">
            <w:pPr>
              <w:spacing w:after="0" w:line="240" w:lineRule="auto"/>
              <w:jc w:val="right"/>
            </w:pPr>
            <w:r w:rsidRPr="00DE37C4">
              <w:t>8 (0.13)</w:t>
            </w:r>
          </w:p>
        </w:tc>
        <w:tc>
          <w:tcPr>
            <w:tcW w:w="1844" w:type="dxa"/>
            <w:vAlign w:val="bottom"/>
          </w:tcPr>
          <w:p w14:paraId="3481DFC9" w14:textId="77777777" w:rsidR="000627C0" w:rsidRPr="00DE37C4" w:rsidRDefault="000627C0" w:rsidP="003F39BA">
            <w:pPr>
              <w:spacing w:after="0" w:line="240" w:lineRule="auto"/>
              <w:jc w:val="right"/>
            </w:pPr>
            <w:r w:rsidRPr="00DE37C4">
              <w:t>18 (0.14)</w:t>
            </w:r>
          </w:p>
        </w:tc>
        <w:tc>
          <w:tcPr>
            <w:tcW w:w="1757" w:type="dxa"/>
          </w:tcPr>
          <w:p w14:paraId="7572E2D4" w14:textId="77777777" w:rsidR="000627C0" w:rsidRPr="00DE37C4" w:rsidRDefault="000627C0" w:rsidP="003F39BA">
            <w:pPr>
              <w:spacing w:after="0" w:line="240" w:lineRule="auto"/>
              <w:jc w:val="right"/>
            </w:pPr>
            <w:r w:rsidRPr="00601B4A">
              <w:t>1.01 (0.42, 2.46)</w:t>
            </w:r>
          </w:p>
        </w:tc>
        <w:tc>
          <w:tcPr>
            <w:tcW w:w="1303" w:type="dxa"/>
          </w:tcPr>
          <w:p w14:paraId="5374E3CA" w14:textId="77777777" w:rsidR="000627C0" w:rsidRPr="00DE37C4" w:rsidRDefault="000627C0" w:rsidP="003F39BA">
            <w:pPr>
              <w:spacing w:after="0" w:line="240" w:lineRule="auto"/>
              <w:jc w:val="right"/>
            </w:pPr>
            <w:r w:rsidRPr="00601B4A">
              <w:t>0.98</w:t>
            </w:r>
          </w:p>
        </w:tc>
      </w:tr>
      <w:tr w:rsidR="000627C0" w:rsidRPr="00DE37C4" w14:paraId="3A24F94F" w14:textId="77777777" w:rsidTr="003F39BA">
        <w:tc>
          <w:tcPr>
            <w:tcW w:w="2568" w:type="dxa"/>
          </w:tcPr>
          <w:p w14:paraId="0EF3632D" w14:textId="77777777" w:rsidR="000627C0" w:rsidRPr="00DE37C4" w:rsidRDefault="000627C0" w:rsidP="003F39BA">
            <w:pPr>
              <w:spacing w:after="0" w:line="240" w:lineRule="auto"/>
              <w:rPr>
                <w:i/>
              </w:rPr>
            </w:pPr>
            <w:r w:rsidRPr="00DE37C4">
              <w:rPr>
                <w:i/>
              </w:rPr>
              <w:t>Secondary infection outcomes</w:t>
            </w:r>
          </w:p>
        </w:tc>
        <w:tc>
          <w:tcPr>
            <w:tcW w:w="1538" w:type="dxa"/>
            <w:vAlign w:val="bottom"/>
          </w:tcPr>
          <w:p w14:paraId="2A307410" w14:textId="77777777" w:rsidR="000627C0" w:rsidRPr="00DE37C4" w:rsidRDefault="000627C0" w:rsidP="003F39BA">
            <w:pPr>
              <w:spacing w:after="0" w:line="240" w:lineRule="auto"/>
              <w:jc w:val="right"/>
            </w:pPr>
          </w:p>
        </w:tc>
        <w:tc>
          <w:tcPr>
            <w:tcW w:w="1844" w:type="dxa"/>
            <w:vAlign w:val="bottom"/>
          </w:tcPr>
          <w:p w14:paraId="1FE164ED" w14:textId="77777777" w:rsidR="000627C0" w:rsidRPr="00DE37C4" w:rsidRDefault="000627C0" w:rsidP="003F39BA">
            <w:pPr>
              <w:spacing w:after="0" w:line="240" w:lineRule="auto"/>
              <w:jc w:val="right"/>
            </w:pPr>
          </w:p>
        </w:tc>
        <w:tc>
          <w:tcPr>
            <w:tcW w:w="1757" w:type="dxa"/>
          </w:tcPr>
          <w:p w14:paraId="24E9AD25" w14:textId="77777777" w:rsidR="000627C0" w:rsidRPr="00DE37C4" w:rsidRDefault="000627C0" w:rsidP="003F39BA">
            <w:pPr>
              <w:spacing w:after="0" w:line="240" w:lineRule="auto"/>
              <w:jc w:val="right"/>
            </w:pPr>
          </w:p>
        </w:tc>
        <w:tc>
          <w:tcPr>
            <w:tcW w:w="1303" w:type="dxa"/>
          </w:tcPr>
          <w:p w14:paraId="33A41E23" w14:textId="77777777" w:rsidR="000627C0" w:rsidRPr="00DE37C4" w:rsidRDefault="000627C0" w:rsidP="003F39BA">
            <w:pPr>
              <w:spacing w:after="0" w:line="240" w:lineRule="auto"/>
              <w:jc w:val="right"/>
            </w:pPr>
          </w:p>
        </w:tc>
      </w:tr>
      <w:tr w:rsidR="000627C0" w:rsidRPr="00DE37C4" w14:paraId="285F992C" w14:textId="77777777" w:rsidTr="003F39BA">
        <w:tc>
          <w:tcPr>
            <w:tcW w:w="2568" w:type="dxa"/>
          </w:tcPr>
          <w:p w14:paraId="377D2850" w14:textId="77777777" w:rsidR="000627C0" w:rsidRPr="00DE37C4" w:rsidRDefault="000627C0" w:rsidP="003F39BA">
            <w:pPr>
              <w:spacing w:after="0" w:line="240" w:lineRule="auto"/>
            </w:pPr>
            <w:r w:rsidRPr="00DE37C4">
              <w:rPr>
                <w:rFonts w:eastAsia="Calibri"/>
              </w:rPr>
              <w:t>Deep SSI (MSSA) (CDC)</w:t>
            </w:r>
          </w:p>
        </w:tc>
        <w:tc>
          <w:tcPr>
            <w:tcW w:w="1538" w:type="dxa"/>
            <w:vAlign w:val="bottom"/>
          </w:tcPr>
          <w:p w14:paraId="57804C05" w14:textId="77777777" w:rsidR="000627C0" w:rsidRPr="00DE37C4" w:rsidRDefault="000627C0" w:rsidP="003F39BA">
            <w:pPr>
              <w:spacing w:after="0" w:line="240" w:lineRule="auto"/>
              <w:jc w:val="right"/>
            </w:pPr>
            <w:r w:rsidRPr="00DE37C4">
              <w:t>8 (0.13)</w:t>
            </w:r>
          </w:p>
        </w:tc>
        <w:tc>
          <w:tcPr>
            <w:tcW w:w="1844" w:type="dxa"/>
            <w:vAlign w:val="bottom"/>
          </w:tcPr>
          <w:p w14:paraId="6FF1362D" w14:textId="77777777" w:rsidR="000627C0" w:rsidRPr="00DE37C4" w:rsidRDefault="000627C0" w:rsidP="003F39BA">
            <w:pPr>
              <w:spacing w:after="0" w:line="240" w:lineRule="auto"/>
              <w:jc w:val="right"/>
            </w:pPr>
            <w:r w:rsidRPr="00DE37C4">
              <w:t>18 (0.14)</w:t>
            </w:r>
          </w:p>
        </w:tc>
        <w:tc>
          <w:tcPr>
            <w:tcW w:w="1757" w:type="dxa"/>
          </w:tcPr>
          <w:p w14:paraId="13B85ECD" w14:textId="77777777" w:rsidR="000627C0" w:rsidRPr="00DE37C4" w:rsidRDefault="000627C0" w:rsidP="003F39BA">
            <w:pPr>
              <w:spacing w:after="0" w:line="240" w:lineRule="auto"/>
              <w:jc w:val="right"/>
            </w:pPr>
            <w:r w:rsidRPr="00B44F3D">
              <w:t>1.01 (0.42, 2.46)</w:t>
            </w:r>
          </w:p>
        </w:tc>
        <w:tc>
          <w:tcPr>
            <w:tcW w:w="1303" w:type="dxa"/>
          </w:tcPr>
          <w:p w14:paraId="23199B17" w14:textId="77777777" w:rsidR="000627C0" w:rsidRPr="00DE37C4" w:rsidRDefault="000627C0" w:rsidP="003F39BA">
            <w:pPr>
              <w:spacing w:after="0" w:line="240" w:lineRule="auto"/>
              <w:jc w:val="right"/>
            </w:pPr>
            <w:r w:rsidRPr="00B44F3D">
              <w:t>0.98</w:t>
            </w:r>
          </w:p>
        </w:tc>
      </w:tr>
      <w:tr w:rsidR="000627C0" w:rsidRPr="00DE37C4" w14:paraId="4FA42C5D" w14:textId="77777777" w:rsidTr="003F39BA">
        <w:tc>
          <w:tcPr>
            <w:tcW w:w="2568" w:type="dxa"/>
          </w:tcPr>
          <w:p w14:paraId="76840253" w14:textId="77777777" w:rsidR="000627C0" w:rsidRPr="00DE37C4" w:rsidRDefault="000627C0" w:rsidP="003F39BA">
            <w:pPr>
              <w:spacing w:after="0" w:line="240" w:lineRule="auto"/>
            </w:pPr>
            <w:r w:rsidRPr="00DE37C4">
              <w:rPr>
                <w:rFonts w:eastAsia="Calibri"/>
              </w:rPr>
              <w:t>Deep SSI (MSSA) (</w:t>
            </w:r>
            <w:r>
              <w:rPr>
                <w:rFonts w:eastAsia="Calibri"/>
              </w:rPr>
              <w:t>e</w:t>
            </w:r>
            <w:r w:rsidRPr="00DE37C4">
              <w:rPr>
                <w:rFonts w:eastAsia="Calibri"/>
              </w:rPr>
              <w:t>ither)</w:t>
            </w:r>
          </w:p>
        </w:tc>
        <w:tc>
          <w:tcPr>
            <w:tcW w:w="1538" w:type="dxa"/>
            <w:vAlign w:val="bottom"/>
          </w:tcPr>
          <w:p w14:paraId="415A2616" w14:textId="77777777" w:rsidR="000627C0" w:rsidRPr="00DE37C4" w:rsidRDefault="000627C0" w:rsidP="003F39BA">
            <w:pPr>
              <w:spacing w:after="0" w:line="240" w:lineRule="auto"/>
              <w:jc w:val="right"/>
            </w:pPr>
            <w:r w:rsidRPr="00DE37C4">
              <w:t>8 (0.13)</w:t>
            </w:r>
          </w:p>
        </w:tc>
        <w:tc>
          <w:tcPr>
            <w:tcW w:w="1844" w:type="dxa"/>
            <w:vAlign w:val="bottom"/>
          </w:tcPr>
          <w:p w14:paraId="3A73DE41" w14:textId="77777777" w:rsidR="000627C0" w:rsidRPr="00DE37C4" w:rsidRDefault="000627C0" w:rsidP="003F39BA">
            <w:pPr>
              <w:spacing w:after="0" w:line="240" w:lineRule="auto"/>
              <w:jc w:val="right"/>
            </w:pPr>
            <w:r w:rsidRPr="00DE37C4">
              <w:t>18 (0.14)</w:t>
            </w:r>
          </w:p>
        </w:tc>
        <w:tc>
          <w:tcPr>
            <w:tcW w:w="1757" w:type="dxa"/>
          </w:tcPr>
          <w:p w14:paraId="0A22294D" w14:textId="77777777" w:rsidR="000627C0" w:rsidRPr="00DE37C4" w:rsidRDefault="000627C0" w:rsidP="003F39BA">
            <w:pPr>
              <w:spacing w:after="0" w:line="240" w:lineRule="auto"/>
              <w:jc w:val="right"/>
            </w:pPr>
            <w:r w:rsidRPr="00B44F3D">
              <w:t>1.01 (0.42, 2.46)</w:t>
            </w:r>
          </w:p>
        </w:tc>
        <w:tc>
          <w:tcPr>
            <w:tcW w:w="1303" w:type="dxa"/>
          </w:tcPr>
          <w:p w14:paraId="5B971F9A" w14:textId="77777777" w:rsidR="000627C0" w:rsidRPr="00DE37C4" w:rsidRDefault="000627C0" w:rsidP="003F39BA">
            <w:pPr>
              <w:spacing w:after="0" w:line="240" w:lineRule="auto"/>
              <w:jc w:val="right"/>
            </w:pPr>
            <w:r w:rsidRPr="00B44F3D">
              <w:t>0.98</w:t>
            </w:r>
          </w:p>
        </w:tc>
      </w:tr>
      <w:tr w:rsidR="000627C0" w:rsidRPr="00DE37C4" w14:paraId="6F6A3CA6" w14:textId="77777777" w:rsidTr="003F39BA">
        <w:tc>
          <w:tcPr>
            <w:tcW w:w="2568" w:type="dxa"/>
          </w:tcPr>
          <w:p w14:paraId="6846C852" w14:textId="77777777" w:rsidR="000627C0" w:rsidRPr="00DE37C4" w:rsidRDefault="000627C0" w:rsidP="003F39BA">
            <w:pPr>
              <w:spacing w:after="0" w:line="240" w:lineRule="auto"/>
            </w:pPr>
            <w:r w:rsidRPr="00DE37C4">
              <w:rPr>
                <w:rFonts w:eastAsia="Calibri"/>
              </w:rPr>
              <w:t>Deep SSI (any) (PHE)</w:t>
            </w:r>
          </w:p>
        </w:tc>
        <w:tc>
          <w:tcPr>
            <w:tcW w:w="1538" w:type="dxa"/>
            <w:vAlign w:val="bottom"/>
          </w:tcPr>
          <w:p w14:paraId="7E7FD823" w14:textId="77777777" w:rsidR="000627C0" w:rsidRPr="00DE37C4" w:rsidRDefault="000627C0" w:rsidP="003F39BA">
            <w:pPr>
              <w:spacing w:after="0" w:line="240" w:lineRule="auto"/>
              <w:jc w:val="right"/>
            </w:pPr>
            <w:r w:rsidRPr="00DE37C4">
              <w:t>23 (0.36)</w:t>
            </w:r>
          </w:p>
        </w:tc>
        <w:tc>
          <w:tcPr>
            <w:tcW w:w="1844" w:type="dxa"/>
            <w:vAlign w:val="bottom"/>
          </w:tcPr>
          <w:p w14:paraId="0993BB91" w14:textId="77777777" w:rsidR="000627C0" w:rsidRPr="00DE37C4" w:rsidRDefault="000627C0" w:rsidP="003F39BA">
            <w:pPr>
              <w:spacing w:after="0" w:line="240" w:lineRule="auto"/>
              <w:jc w:val="right"/>
            </w:pPr>
            <w:r w:rsidRPr="00DE37C4">
              <w:t>48 (0.37)</w:t>
            </w:r>
          </w:p>
        </w:tc>
        <w:tc>
          <w:tcPr>
            <w:tcW w:w="1757" w:type="dxa"/>
          </w:tcPr>
          <w:p w14:paraId="038F5F1B" w14:textId="77777777" w:rsidR="000627C0" w:rsidRPr="00DE37C4" w:rsidRDefault="000627C0" w:rsidP="003F39BA">
            <w:pPr>
              <w:spacing w:after="0" w:line="240" w:lineRule="auto"/>
              <w:jc w:val="right"/>
            </w:pPr>
            <w:r w:rsidRPr="00B44F3D">
              <w:t>0.97 (0.57, 1.64)</w:t>
            </w:r>
          </w:p>
        </w:tc>
        <w:tc>
          <w:tcPr>
            <w:tcW w:w="1303" w:type="dxa"/>
          </w:tcPr>
          <w:p w14:paraId="2E402F7B" w14:textId="77777777" w:rsidR="000627C0" w:rsidRPr="00DE37C4" w:rsidRDefault="000627C0" w:rsidP="003F39BA">
            <w:pPr>
              <w:spacing w:after="0" w:line="240" w:lineRule="auto"/>
              <w:jc w:val="right"/>
            </w:pPr>
            <w:r w:rsidRPr="00B44F3D">
              <w:t>0.91</w:t>
            </w:r>
          </w:p>
        </w:tc>
      </w:tr>
      <w:tr w:rsidR="000627C0" w:rsidRPr="00DE37C4" w14:paraId="440D476F" w14:textId="77777777" w:rsidTr="003F39BA">
        <w:tc>
          <w:tcPr>
            <w:tcW w:w="2568" w:type="dxa"/>
          </w:tcPr>
          <w:p w14:paraId="59A5AAA2" w14:textId="77777777" w:rsidR="000627C0" w:rsidRPr="00DE37C4" w:rsidRDefault="000627C0" w:rsidP="003F39BA">
            <w:pPr>
              <w:spacing w:after="0" w:line="240" w:lineRule="auto"/>
            </w:pPr>
            <w:r w:rsidRPr="00DE37C4">
              <w:rPr>
                <w:rFonts w:eastAsia="Calibri"/>
              </w:rPr>
              <w:t>Deep SSI (any) (CDC)</w:t>
            </w:r>
          </w:p>
        </w:tc>
        <w:tc>
          <w:tcPr>
            <w:tcW w:w="1538" w:type="dxa"/>
            <w:vAlign w:val="bottom"/>
          </w:tcPr>
          <w:p w14:paraId="438FEC48" w14:textId="77777777" w:rsidR="000627C0" w:rsidRPr="00DE37C4" w:rsidRDefault="000627C0" w:rsidP="003F39BA">
            <w:pPr>
              <w:spacing w:after="0" w:line="240" w:lineRule="auto"/>
              <w:jc w:val="right"/>
            </w:pPr>
            <w:r w:rsidRPr="00DE37C4">
              <w:t>23 (0.36)</w:t>
            </w:r>
          </w:p>
        </w:tc>
        <w:tc>
          <w:tcPr>
            <w:tcW w:w="1844" w:type="dxa"/>
            <w:vAlign w:val="bottom"/>
          </w:tcPr>
          <w:p w14:paraId="0368616C" w14:textId="77777777" w:rsidR="000627C0" w:rsidRPr="00DE37C4" w:rsidRDefault="000627C0" w:rsidP="003F39BA">
            <w:pPr>
              <w:spacing w:after="0" w:line="240" w:lineRule="auto"/>
              <w:jc w:val="right"/>
            </w:pPr>
            <w:r w:rsidRPr="00DE37C4">
              <w:t>48 (0.37)</w:t>
            </w:r>
          </w:p>
        </w:tc>
        <w:tc>
          <w:tcPr>
            <w:tcW w:w="1757" w:type="dxa"/>
          </w:tcPr>
          <w:p w14:paraId="566E28DA" w14:textId="77777777" w:rsidR="000627C0" w:rsidRPr="00DE37C4" w:rsidRDefault="000627C0" w:rsidP="003F39BA">
            <w:pPr>
              <w:spacing w:after="0" w:line="240" w:lineRule="auto"/>
              <w:jc w:val="right"/>
            </w:pPr>
            <w:r w:rsidRPr="00B44F3D">
              <w:t>0.97 (0.57, 1.64)</w:t>
            </w:r>
          </w:p>
        </w:tc>
        <w:tc>
          <w:tcPr>
            <w:tcW w:w="1303" w:type="dxa"/>
          </w:tcPr>
          <w:p w14:paraId="5B220B03" w14:textId="77777777" w:rsidR="000627C0" w:rsidRPr="00DE37C4" w:rsidRDefault="000627C0" w:rsidP="003F39BA">
            <w:pPr>
              <w:spacing w:after="0" w:line="240" w:lineRule="auto"/>
              <w:jc w:val="right"/>
            </w:pPr>
            <w:r w:rsidRPr="00B44F3D">
              <w:t>0.91</w:t>
            </w:r>
          </w:p>
        </w:tc>
      </w:tr>
      <w:tr w:rsidR="000627C0" w:rsidRPr="00DE37C4" w14:paraId="6099C938" w14:textId="77777777" w:rsidTr="003F39BA">
        <w:tc>
          <w:tcPr>
            <w:tcW w:w="2568" w:type="dxa"/>
          </w:tcPr>
          <w:p w14:paraId="4C7A42E4" w14:textId="77777777" w:rsidR="000627C0" w:rsidRPr="00DE37C4" w:rsidRDefault="000627C0" w:rsidP="003F39BA">
            <w:pPr>
              <w:spacing w:after="0" w:line="240" w:lineRule="auto"/>
            </w:pPr>
            <w:r w:rsidRPr="00DE37C4">
              <w:rPr>
                <w:rFonts w:eastAsia="Calibri"/>
              </w:rPr>
              <w:t>Deep SSI (any) (</w:t>
            </w:r>
            <w:r>
              <w:rPr>
                <w:rFonts w:eastAsia="Calibri"/>
              </w:rPr>
              <w:t>e</w:t>
            </w:r>
            <w:r w:rsidRPr="00DE37C4">
              <w:rPr>
                <w:rFonts w:eastAsia="Calibri"/>
              </w:rPr>
              <w:t>ither)</w:t>
            </w:r>
          </w:p>
        </w:tc>
        <w:tc>
          <w:tcPr>
            <w:tcW w:w="1538" w:type="dxa"/>
            <w:vAlign w:val="bottom"/>
          </w:tcPr>
          <w:p w14:paraId="09650F4E" w14:textId="77777777" w:rsidR="000627C0" w:rsidRPr="00DE37C4" w:rsidRDefault="000627C0" w:rsidP="003F39BA">
            <w:pPr>
              <w:spacing w:after="0" w:line="240" w:lineRule="auto"/>
              <w:jc w:val="right"/>
            </w:pPr>
            <w:r w:rsidRPr="00DE37C4">
              <w:t>23 (0.36)</w:t>
            </w:r>
          </w:p>
        </w:tc>
        <w:tc>
          <w:tcPr>
            <w:tcW w:w="1844" w:type="dxa"/>
            <w:vAlign w:val="bottom"/>
          </w:tcPr>
          <w:p w14:paraId="0508DB16" w14:textId="77777777" w:rsidR="000627C0" w:rsidRPr="00DE37C4" w:rsidRDefault="000627C0" w:rsidP="003F39BA">
            <w:pPr>
              <w:spacing w:after="0" w:line="240" w:lineRule="auto"/>
              <w:jc w:val="right"/>
            </w:pPr>
            <w:r w:rsidRPr="00DE37C4">
              <w:t>48 (0.37)</w:t>
            </w:r>
          </w:p>
        </w:tc>
        <w:tc>
          <w:tcPr>
            <w:tcW w:w="1757" w:type="dxa"/>
          </w:tcPr>
          <w:p w14:paraId="3FC993DD" w14:textId="77777777" w:rsidR="000627C0" w:rsidRPr="00DE37C4" w:rsidRDefault="000627C0" w:rsidP="003F39BA">
            <w:pPr>
              <w:spacing w:after="0" w:line="240" w:lineRule="auto"/>
              <w:jc w:val="right"/>
            </w:pPr>
            <w:r w:rsidRPr="00B44F3D">
              <w:t>0.97 (0.57, 1.64)</w:t>
            </w:r>
          </w:p>
        </w:tc>
        <w:tc>
          <w:tcPr>
            <w:tcW w:w="1303" w:type="dxa"/>
          </w:tcPr>
          <w:p w14:paraId="333A59F5" w14:textId="77777777" w:rsidR="000627C0" w:rsidRPr="00DE37C4" w:rsidRDefault="000627C0" w:rsidP="003F39BA">
            <w:pPr>
              <w:spacing w:after="0" w:line="240" w:lineRule="auto"/>
              <w:jc w:val="right"/>
            </w:pPr>
            <w:r w:rsidRPr="00B44F3D">
              <w:t>0.91</w:t>
            </w:r>
          </w:p>
        </w:tc>
      </w:tr>
      <w:tr w:rsidR="000627C0" w:rsidRPr="00DE37C4" w14:paraId="62681344" w14:textId="77777777" w:rsidTr="003F39BA">
        <w:tc>
          <w:tcPr>
            <w:tcW w:w="2568" w:type="dxa"/>
          </w:tcPr>
          <w:p w14:paraId="06C9528C" w14:textId="77777777" w:rsidR="000627C0" w:rsidRPr="00DE37C4" w:rsidRDefault="000627C0" w:rsidP="003F39BA">
            <w:pPr>
              <w:spacing w:after="0" w:line="240" w:lineRule="auto"/>
            </w:pPr>
            <w:r w:rsidRPr="00DE37C4">
              <w:rPr>
                <w:rFonts w:eastAsia="Calibri"/>
              </w:rPr>
              <w:t>Superficial SSI (MSSA) (PHE)</w:t>
            </w:r>
          </w:p>
        </w:tc>
        <w:tc>
          <w:tcPr>
            <w:tcW w:w="1538" w:type="dxa"/>
            <w:vAlign w:val="bottom"/>
          </w:tcPr>
          <w:p w14:paraId="7470793B" w14:textId="77777777" w:rsidR="000627C0" w:rsidRPr="00DE37C4" w:rsidRDefault="000627C0" w:rsidP="003F39BA">
            <w:pPr>
              <w:spacing w:after="0" w:line="240" w:lineRule="auto"/>
              <w:jc w:val="right"/>
            </w:pPr>
            <w:r w:rsidRPr="00DE37C4">
              <w:t>5 (0.08)</w:t>
            </w:r>
          </w:p>
        </w:tc>
        <w:tc>
          <w:tcPr>
            <w:tcW w:w="1844" w:type="dxa"/>
            <w:vAlign w:val="bottom"/>
          </w:tcPr>
          <w:p w14:paraId="19E7CB5D" w14:textId="77777777" w:rsidR="000627C0" w:rsidRPr="00DE37C4" w:rsidRDefault="000627C0" w:rsidP="003F39BA">
            <w:pPr>
              <w:spacing w:after="0" w:line="240" w:lineRule="auto"/>
              <w:jc w:val="right"/>
            </w:pPr>
            <w:r w:rsidRPr="00DE37C4">
              <w:t>4 (0.03)</w:t>
            </w:r>
          </w:p>
        </w:tc>
        <w:tc>
          <w:tcPr>
            <w:tcW w:w="1757" w:type="dxa"/>
          </w:tcPr>
          <w:p w14:paraId="6C717D3C" w14:textId="77777777" w:rsidR="000627C0" w:rsidRPr="00DE37C4" w:rsidRDefault="000627C0" w:rsidP="003F39BA">
            <w:pPr>
              <w:spacing w:after="0" w:line="240" w:lineRule="auto"/>
              <w:jc w:val="right"/>
            </w:pPr>
            <w:r w:rsidRPr="00B44F3D">
              <w:t>0.49 (0.13, 1.86)</w:t>
            </w:r>
          </w:p>
        </w:tc>
        <w:tc>
          <w:tcPr>
            <w:tcW w:w="1303" w:type="dxa"/>
          </w:tcPr>
          <w:p w14:paraId="58DE4774" w14:textId="77777777" w:rsidR="000627C0" w:rsidRPr="00DE37C4" w:rsidRDefault="000627C0" w:rsidP="003F39BA">
            <w:pPr>
              <w:spacing w:after="0" w:line="240" w:lineRule="auto"/>
              <w:jc w:val="right"/>
            </w:pPr>
            <w:r w:rsidRPr="00B44F3D">
              <w:t>0.29</w:t>
            </w:r>
          </w:p>
        </w:tc>
      </w:tr>
      <w:tr w:rsidR="000627C0" w:rsidRPr="00DE37C4" w14:paraId="4B59C03D" w14:textId="77777777" w:rsidTr="003F39BA">
        <w:tc>
          <w:tcPr>
            <w:tcW w:w="2568" w:type="dxa"/>
          </w:tcPr>
          <w:p w14:paraId="4DB807A5" w14:textId="77777777" w:rsidR="000627C0" w:rsidRPr="00DE37C4" w:rsidRDefault="000627C0" w:rsidP="003F39BA">
            <w:pPr>
              <w:spacing w:after="0" w:line="240" w:lineRule="auto"/>
            </w:pPr>
            <w:r w:rsidRPr="00DE37C4">
              <w:rPr>
                <w:rFonts w:eastAsia="Calibri"/>
              </w:rPr>
              <w:t>Superficial SSI (MSSA) (CDC)</w:t>
            </w:r>
          </w:p>
        </w:tc>
        <w:tc>
          <w:tcPr>
            <w:tcW w:w="1538" w:type="dxa"/>
            <w:vAlign w:val="bottom"/>
          </w:tcPr>
          <w:p w14:paraId="280A2D05" w14:textId="77777777" w:rsidR="000627C0" w:rsidRPr="00DE37C4" w:rsidRDefault="000627C0" w:rsidP="003F39BA">
            <w:pPr>
              <w:spacing w:after="0" w:line="240" w:lineRule="auto"/>
              <w:jc w:val="right"/>
            </w:pPr>
            <w:r w:rsidRPr="00DE37C4">
              <w:t>5 (0.08)</w:t>
            </w:r>
          </w:p>
        </w:tc>
        <w:tc>
          <w:tcPr>
            <w:tcW w:w="1844" w:type="dxa"/>
            <w:vAlign w:val="bottom"/>
          </w:tcPr>
          <w:p w14:paraId="296DD7C2" w14:textId="77777777" w:rsidR="000627C0" w:rsidRPr="00DE37C4" w:rsidRDefault="000627C0" w:rsidP="003F39BA">
            <w:pPr>
              <w:spacing w:after="0" w:line="240" w:lineRule="auto"/>
              <w:jc w:val="right"/>
            </w:pPr>
            <w:r w:rsidRPr="00DE37C4">
              <w:t>10 (0.08)</w:t>
            </w:r>
          </w:p>
        </w:tc>
        <w:tc>
          <w:tcPr>
            <w:tcW w:w="1757" w:type="dxa"/>
          </w:tcPr>
          <w:p w14:paraId="75FAF721" w14:textId="77777777" w:rsidR="000627C0" w:rsidRPr="00DE37C4" w:rsidRDefault="000627C0" w:rsidP="003F39BA">
            <w:pPr>
              <w:spacing w:after="0" w:line="240" w:lineRule="auto"/>
              <w:jc w:val="right"/>
            </w:pPr>
            <w:r w:rsidRPr="00B44F3D">
              <w:t>0.93 (0.25, 3.45)</w:t>
            </w:r>
          </w:p>
        </w:tc>
        <w:tc>
          <w:tcPr>
            <w:tcW w:w="1303" w:type="dxa"/>
          </w:tcPr>
          <w:p w14:paraId="37E79C08" w14:textId="77777777" w:rsidR="000627C0" w:rsidRPr="00DE37C4" w:rsidRDefault="000627C0" w:rsidP="003F39BA">
            <w:pPr>
              <w:spacing w:after="0" w:line="240" w:lineRule="auto"/>
              <w:jc w:val="right"/>
            </w:pPr>
            <w:r w:rsidRPr="00B44F3D">
              <w:t>0.91</w:t>
            </w:r>
          </w:p>
        </w:tc>
      </w:tr>
      <w:tr w:rsidR="000627C0" w:rsidRPr="00DE37C4" w14:paraId="31075258" w14:textId="77777777" w:rsidTr="003F39BA">
        <w:tc>
          <w:tcPr>
            <w:tcW w:w="2568" w:type="dxa"/>
          </w:tcPr>
          <w:p w14:paraId="4D30BC20" w14:textId="77777777" w:rsidR="000627C0" w:rsidRPr="00DE37C4" w:rsidRDefault="000627C0" w:rsidP="003F39BA">
            <w:pPr>
              <w:spacing w:after="0" w:line="240" w:lineRule="auto"/>
            </w:pPr>
            <w:r w:rsidRPr="00DE37C4">
              <w:rPr>
                <w:rFonts w:eastAsia="Calibri"/>
              </w:rPr>
              <w:t>Superficial SSI (MSSA) (</w:t>
            </w:r>
            <w:r>
              <w:rPr>
                <w:rFonts w:eastAsia="Calibri"/>
              </w:rPr>
              <w:t>e</w:t>
            </w:r>
            <w:r w:rsidRPr="00DE37C4">
              <w:rPr>
                <w:rFonts w:eastAsia="Calibri"/>
              </w:rPr>
              <w:t>ither)</w:t>
            </w:r>
          </w:p>
        </w:tc>
        <w:tc>
          <w:tcPr>
            <w:tcW w:w="1538" w:type="dxa"/>
            <w:vAlign w:val="bottom"/>
          </w:tcPr>
          <w:p w14:paraId="61ADFAE7" w14:textId="77777777" w:rsidR="000627C0" w:rsidRPr="00DE37C4" w:rsidRDefault="000627C0" w:rsidP="003F39BA">
            <w:pPr>
              <w:spacing w:after="0" w:line="240" w:lineRule="auto"/>
              <w:jc w:val="right"/>
            </w:pPr>
            <w:r w:rsidRPr="00DE37C4">
              <w:t>5 (0.08)</w:t>
            </w:r>
          </w:p>
        </w:tc>
        <w:tc>
          <w:tcPr>
            <w:tcW w:w="1844" w:type="dxa"/>
            <w:vAlign w:val="bottom"/>
          </w:tcPr>
          <w:p w14:paraId="6A7F639B" w14:textId="77777777" w:rsidR="000627C0" w:rsidRPr="00DE37C4" w:rsidRDefault="000627C0" w:rsidP="003F39BA">
            <w:pPr>
              <w:spacing w:after="0" w:line="240" w:lineRule="auto"/>
              <w:jc w:val="right"/>
            </w:pPr>
            <w:r w:rsidRPr="00DE37C4">
              <w:t>10 (0.08)</w:t>
            </w:r>
          </w:p>
        </w:tc>
        <w:tc>
          <w:tcPr>
            <w:tcW w:w="1757" w:type="dxa"/>
          </w:tcPr>
          <w:p w14:paraId="341D1C88" w14:textId="77777777" w:rsidR="000627C0" w:rsidRPr="00DE37C4" w:rsidRDefault="000627C0" w:rsidP="003F39BA">
            <w:pPr>
              <w:spacing w:after="0" w:line="240" w:lineRule="auto"/>
              <w:jc w:val="right"/>
            </w:pPr>
            <w:r w:rsidRPr="00B44F3D">
              <w:t>0.93 (0.25, 3.45)</w:t>
            </w:r>
          </w:p>
        </w:tc>
        <w:tc>
          <w:tcPr>
            <w:tcW w:w="1303" w:type="dxa"/>
          </w:tcPr>
          <w:p w14:paraId="5BDC6479" w14:textId="77777777" w:rsidR="000627C0" w:rsidRPr="00DE37C4" w:rsidRDefault="000627C0" w:rsidP="003F39BA">
            <w:pPr>
              <w:spacing w:after="0" w:line="240" w:lineRule="auto"/>
              <w:jc w:val="right"/>
            </w:pPr>
            <w:r w:rsidRPr="00B44F3D">
              <w:t>0.91</w:t>
            </w:r>
          </w:p>
        </w:tc>
      </w:tr>
      <w:tr w:rsidR="000627C0" w:rsidRPr="00DE37C4" w14:paraId="2C3261C4" w14:textId="77777777" w:rsidTr="003F39BA">
        <w:tc>
          <w:tcPr>
            <w:tcW w:w="2568" w:type="dxa"/>
          </w:tcPr>
          <w:p w14:paraId="00EED263" w14:textId="77777777" w:rsidR="000627C0" w:rsidRPr="00DE37C4" w:rsidRDefault="000627C0" w:rsidP="003F39BA">
            <w:pPr>
              <w:spacing w:after="0" w:line="240" w:lineRule="auto"/>
              <w:rPr>
                <w:rFonts w:eastAsia="Calibri"/>
              </w:rPr>
            </w:pPr>
            <w:r w:rsidRPr="00DE37C4">
              <w:rPr>
                <w:rFonts w:eastAsia="Calibri"/>
              </w:rPr>
              <w:t>Superficial SSI (any) (PHE)</w:t>
            </w:r>
          </w:p>
        </w:tc>
        <w:tc>
          <w:tcPr>
            <w:tcW w:w="1538" w:type="dxa"/>
            <w:vAlign w:val="bottom"/>
          </w:tcPr>
          <w:p w14:paraId="6509E054" w14:textId="77777777" w:rsidR="000627C0" w:rsidRPr="00DE37C4" w:rsidRDefault="000627C0" w:rsidP="003F39BA">
            <w:pPr>
              <w:spacing w:after="0" w:line="240" w:lineRule="auto"/>
              <w:jc w:val="right"/>
            </w:pPr>
            <w:r w:rsidRPr="00DE37C4">
              <w:t>16 (0.25)</w:t>
            </w:r>
          </w:p>
        </w:tc>
        <w:tc>
          <w:tcPr>
            <w:tcW w:w="1844" w:type="dxa"/>
            <w:vAlign w:val="bottom"/>
          </w:tcPr>
          <w:p w14:paraId="46EFD17B" w14:textId="77777777" w:rsidR="000627C0" w:rsidRPr="00DE37C4" w:rsidRDefault="000627C0" w:rsidP="003F39BA">
            <w:pPr>
              <w:spacing w:after="0" w:line="240" w:lineRule="auto"/>
              <w:jc w:val="right"/>
            </w:pPr>
            <w:r w:rsidRPr="00DE37C4">
              <w:t>33 (0.26)</w:t>
            </w:r>
          </w:p>
        </w:tc>
        <w:tc>
          <w:tcPr>
            <w:tcW w:w="1757" w:type="dxa"/>
          </w:tcPr>
          <w:p w14:paraId="79442E40" w14:textId="77777777" w:rsidR="000627C0" w:rsidRPr="00DE37C4" w:rsidRDefault="000627C0" w:rsidP="003F39BA">
            <w:pPr>
              <w:spacing w:after="0" w:line="240" w:lineRule="auto"/>
              <w:jc w:val="right"/>
            </w:pPr>
            <w:r w:rsidRPr="00B44F3D">
              <w:t>1.11 (0.55, 2.25)</w:t>
            </w:r>
          </w:p>
        </w:tc>
        <w:tc>
          <w:tcPr>
            <w:tcW w:w="1303" w:type="dxa"/>
          </w:tcPr>
          <w:p w14:paraId="47AF53E5" w14:textId="77777777" w:rsidR="000627C0" w:rsidRPr="00DE37C4" w:rsidRDefault="000627C0" w:rsidP="003F39BA">
            <w:pPr>
              <w:spacing w:after="0" w:line="240" w:lineRule="auto"/>
              <w:jc w:val="right"/>
            </w:pPr>
            <w:r w:rsidRPr="00B44F3D">
              <w:t>0.77</w:t>
            </w:r>
          </w:p>
        </w:tc>
      </w:tr>
      <w:tr w:rsidR="000627C0" w:rsidRPr="00DE37C4" w14:paraId="564A6793" w14:textId="77777777" w:rsidTr="003F39BA">
        <w:tc>
          <w:tcPr>
            <w:tcW w:w="2568" w:type="dxa"/>
          </w:tcPr>
          <w:p w14:paraId="23DD736C" w14:textId="77777777" w:rsidR="000627C0" w:rsidRPr="00DE37C4" w:rsidRDefault="000627C0" w:rsidP="003F39BA">
            <w:pPr>
              <w:spacing w:after="0" w:line="240" w:lineRule="auto"/>
              <w:rPr>
                <w:rFonts w:eastAsia="Calibri"/>
              </w:rPr>
            </w:pPr>
            <w:r w:rsidRPr="00DE37C4">
              <w:rPr>
                <w:rFonts w:eastAsia="Calibri"/>
              </w:rPr>
              <w:t>Superficial SSI (any) (CDC)</w:t>
            </w:r>
          </w:p>
        </w:tc>
        <w:tc>
          <w:tcPr>
            <w:tcW w:w="1538" w:type="dxa"/>
            <w:vAlign w:val="bottom"/>
          </w:tcPr>
          <w:p w14:paraId="01A1BA33" w14:textId="77777777" w:rsidR="000627C0" w:rsidRPr="00DE37C4" w:rsidRDefault="000627C0" w:rsidP="003F39BA">
            <w:pPr>
              <w:spacing w:after="0" w:line="240" w:lineRule="auto"/>
              <w:jc w:val="right"/>
            </w:pPr>
            <w:r w:rsidRPr="00DE37C4">
              <w:t>18 (0.28)</w:t>
            </w:r>
          </w:p>
        </w:tc>
        <w:tc>
          <w:tcPr>
            <w:tcW w:w="1844" w:type="dxa"/>
            <w:vAlign w:val="bottom"/>
          </w:tcPr>
          <w:p w14:paraId="3470E057" w14:textId="77777777" w:rsidR="000627C0" w:rsidRPr="00DE37C4" w:rsidRDefault="000627C0" w:rsidP="003F39BA">
            <w:pPr>
              <w:spacing w:after="0" w:line="240" w:lineRule="auto"/>
              <w:jc w:val="right"/>
            </w:pPr>
            <w:r w:rsidRPr="00DE37C4">
              <w:t>48 (0.37)</w:t>
            </w:r>
          </w:p>
        </w:tc>
        <w:tc>
          <w:tcPr>
            <w:tcW w:w="1757" w:type="dxa"/>
          </w:tcPr>
          <w:p w14:paraId="695B2AB8" w14:textId="77777777" w:rsidR="000627C0" w:rsidRPr="00DE37C4" w:rsidRDefault="000627C0" w:rsidP="003F39BA">
            <w:pPr>
              <w:spacing w:after="0" w:line="240" w:lineRule="auto"/>
              <w:jc w:val="right"/>
            </w:pPr>
            <w:r w:rsidRPr="00B44F3D">
              <w:t>1.30 (0.62, 2.73)</w:t>
            </w:r>
          </w:p>
        </w:tc>
        <w:tc>
          <w:tcPr>
            <w:tcW w:w="1303" w:type="dxa"/>
          </w:tcPr>
          <w:p w14:paraId="6982B443" w14:textId="77777777" w:rsidR="000627C0" w:rsidRPr="00DE37C4" w:rsidRDefault="000627C0" w:rsidP="003F39BA">
            <w:pPr>
              <w:spacing w:after="0" w:line="240" w:lineRule="auto"/>
              <w:jc w:val="right"/>
            </w:pPr>
            <w:r w:rsidRPr="00B44F3D">
              <w:t>0.49</w:t>
            </w:r>
          </w:p>
        </w:tc>
      </w:tr>
      <w:tr w:rsidR="000627C0" w:rsidRPr="00DE37C4" w14:paraId="0E95F575" w14:textId="77777777" w:rsidTr="003F39BA">
        <w:tc>
          <w:tcPr>
            <w:tcW w:w="2568" w:type="dxa"/>
          </w:tcPr>
          <w:p w14:paraId="7F744831" w14:textId="77777777" w:rsidR="000627C0" w:rsidRPr="00DE37C4" w:rsidRDefault="000627C0" w:rsidP="003F39BA">
            <w:pPr>
              <w:spacing w:after="0" w:line="240" w:lineRule="auto"/>
              <w:rPr>
                <w:rFonts w:eastAsia="Calibri"/>
              </w:rPr>
            </w:pPr>
            <w:r w:rsidRPr="00DE37C4">
              <w:rPr>
                <w:rFonts w:eastAsia="Calibri"/>
              </w:rPr>
              <w:t>Superficial SSI (any) (</w:t>
            </w:r>
            <w:r>
              <w:rPr>
                <w:rFonts w:eastAsia="Calibri"/>
              </w:rPr>
              <w:t>e</w:t>
            </w:r>
            <w:r w:rsidRPr="00DE37C4">
              <w:rPr>
                <w:rFonts w:eastAsia="Calibri"/>
              </w:rPr>
              <w:t>ither)</w:t>
            </w:r>
          </w:p>
        </w:tc>
        <w:tc>
          <w:tcPr>
            <w:tcW w:w="1538" w:type="dxa"/>
            <w:vAlign w:val="bottom"/>
          </w:tcPr>
          <w:p w14:paraId="2B027F2E" w14:textId="77777777" w:rsidR="000627C0" w:rsidRPr="00DE37C4" w:rsidRDefault="000627C0" w:rsidP="003F39BA">
            <w:pPr>
              <w:spacing w:after="0" w:line="240" w:lineRule="auto"/>
              <w:jc w:val="right"/>
            </w:pPr>
            <w:r w:rsidRPr="00DE37C4">
              <w:t>18 (0.28)</w:t>
            </w:r>
          </w:p>
        </w:tc>
        <w:tc>
          <w:tcPr>
            <w:tcW w:w="1844" w:type="dxa"/>
            <w:vAlign w:val="bottom"/>
          </w:tcPr>
          <w:p w14:paraId="19D5D976" w14:textId="77777777" w:rsidR="000627C0" w:rsidRPr="00DE37C4" w:rsidRDefault="000627C0" w:rsidP="003F39BA">
            <w:pPr>
              <w:spacing w:after="0" w:line="240" w:lineRule="auto"/>
              <w:jc w:val="right"/>
            </w:pPr>
            <w:r w:rsidRPr="00DE37C4">
              <w:t>48 (0.37)</w:t>
            </w:r>
          </w:p>
        </w:tc>
        <w:tc>
          <w:tcPr>
            <w:tcW w:w="1757" w:type="dxa"/>
          </w:tcPr>
          <w:p w14:paraId="3C043DDD" w14:textId="77777777" w:rsidR="000627C0" w:rsidRPr="00DE37C4" w:rsidRDefault="000627C0" w:rsidP="003F39BA">
            <w:pPr>
              <w:spacing w:after="0" w:line="240" w:lineRule="auto"/>
              <w:jc w:val="right"/>
            </w:pPr>
            <w:r w:rsidRPr="00B44F3D">
              <w:t>1.30 (0.62, 2.73)</w:t>
            </w:r>
          </w:p>
        </w:tc>
        <w:tc>
          <w:tcPr>
            <w:tcW w:w="1303" w:type="dxa"/>
          </w:tcPr>
          <w:p w14:paraId="09C61165" w14:textId="77777777" w:rsidR="000627C0" w:rsidRPr="00DE37C4" w:rsidRDefault="000627C0" w:rsidP="003F39BA">
            <w:pPr>
              <w:spacing w:after="0" w:line="240" w:lineRule="auto"/>
              <w:jc w:val="right"/>
            </w:pPr>
            <w:r w:rsidRPr="00B44F3D">
              <w:t>0.49</w:t>
            </w:r>
          </w:p>
        </w:tc>
      </w:tr>
      <w:tr w:rsidR="000627C0" w:rsidRPr="00DE37C4" w14:paraId="688DEB2D" w14:textId="77777777" w:rsidTr="003F39BA">
        <w:tc>
          <w:tcPr>
            <w:tcW w:w="2568" w:type="dxa"/>
          </w:tcPr>
          <w:p w14:paraId="29F651F6" w14:textId="77777777" w:rsidR="000627C0" w:rsidRPr="00F54F6F" w:rsidRDefault="000627C0" w:rsidP="003F39BA">
            <w:pPr>
              <w:spacing w:after="0" w:line="240" w:lineRule="auto"/>
              <w:rPr>
                <w:rFonts w:eastAsia="Calibri"/>
                <w:i/>
              </w:rPr>
            </w:pPr>
            <w:r w:rsidRPr="00F54F6F">
              <w:rPr>
                <w:rFonts w:eastAsia="Calibri"/>
                <w:i/>
              </w:rPr>
              <w:t>Secondary outcomes</w:t>
            </w:r>
          </w:p>
        </w:tc>
        <w:tc>
          <w:tcPr>
            <w:tcW w:w="1538" w:type="dxa"/>
            <w:vAlign w:val="bottom"/>
          </w:tcPr>
          <w:p w14:paraId="69B316A4" w14:textId="77777777" w:rsidR="000627C0" w:rsidRPr="00DE37C4" w:rsidRDefault="000627C0" w:rsidP="003F39BA">
            <w:pPr>
              <w:spacing w:after="0" w:line="240" w:lineRule="auto"/>
              <w:jc w:val="right"/>
            </w:pPr>
          </w:p>
        </w:tc>
        <w:tc>
          <w:tcPr>
            <w:tcW w:w="1844" w:type="dxa"/>
            <w:vAlign w:val="bottom"/>
          </w:tcPr>
          <w:p w14:paraId="16788E56" w14:textId="77777777" w:rsidR="000627C0" w:rsidRPr="00DE37C4" w:rsidRDefault="000627C0" w:rsidP="003F39BA">
            <w:pPr>
              <w:spacing w:after="0" w:line="240" w:lineRule="auto"/>
              <w:jc w:val="right"/>
            </w:pPr>
          </w:p>
        </w:tc>
        <w:tc>
          <w:tcPr>
            <w:tcW w:w="1757" w:type="dxa"/>
          </w:tcPr>
          <w:p w14:paraId="29F93D47" w14:textId="77777777" w:rsidR="000627C0" w:rsidRPr="00B44F3D" w:rsidRDefault="000627C0" w:rsidP="003F39BA">
            <w:pPr>
              <w:spacing w:after="0" w:line="240" w:lineRule="auto"/>
              <w:jc w:val="right"/>
            </w:pPr>
          </w:p>
        </w:tc>
        <w:tc>
          <w:tcPr>
            <w:tcW w:w="1303" w:type="dxa"/>
          </w:tcPr>
          <w:p w14:paraId="59B0A3EF" w14:textId="77777777" w:rsidR="000627C0" w:rsidRPr="00B44F3D" w:rsidRDefault="000627C0" w:rsidP="003F39BA">
            <w:pPr>
              <w:spacing w:after="0" w:line="240" w:lineRule="auto"/>
              <w:jc w:val="right"/>
            </w:pPr>
          </w:p>
        </w:tc>
      </w:tr>
      <w:tr w:rsidR="000627C0" w:rsidRPr="00DE37C4" w14:paraId="6DA58576" w14:textId="77777777" w:rsidTr="003F39BA">
        <w:tc>
          <w:tcPr>
            <w:tcW w:w="2568" w:type="dxa"/>
          </w:tcPr>
          <w:p w14:paraId="27841802" w14:textId="77777777" w:rsidR="000627C0" w:rsidRPr="008C6C0C" w:rsidRDefault="000627C0" w:rsidP="003F39BA">
            <w:pPr>
              <w:spacing w:after="0" w:line="240" w:lineRule="auto"/>
              <w:rPr>
                <w:rFonts w:eastAsia="Calibri"/>
                <w:i/>
              </w:rPr>
            </w:pPr>
          </w:p>
        </w:tc>
        <w:tc>
          <w:tcPr>
            <w:tcW w:w="1538" w:type="dxa"/>
            <w:vAlign w:val="bottom"/>
          </w:tcPr>
          <w:p w14:paraId="1199C578" w14:textId="77777777" w:rsidR="000627C0" w:rsidRPr="00F54F6F" w:rsidRDefault="000627C0" w:rsidP="003F39BA">
            <w:pPr>
              <w:spacing w:after="0" w:line="240" w:lineRule="auto"/>
              <w:jc w:val="center"/>
              <w:rPr>
                <w:b/>
              </w:rPr>
            </w:pPr>
            <w:r w:rsidRPr="00F54F6F">
              <w:rPr>
                <w:b/>
              </w:rPr>
              <w:t>n=6138</w:t>
            </w:r>
          </w:p>
        </w:tc>
        <w:tc>
          <w:tcPr>
            <w:tcW w:w="1844" w:type="dxa"/>
            <w:vAlign w:val="bottom"/>
          </w:tcPr>
          <w:p w14:paraId="53393DAC" w14:textId="77777777" w:rsidR="000627C0" w:rsidRPr="00F54F6F" w:rsidRDefault="000627C0" w:rsidP="003F39BA">
            <w:pPr>
              <w:spacing w:after="0" w:line="240" w:lineRule="auto"/>
              <w:jc w:val="center"/>
              <w:rPr>
                <w:b/>
              </w:rPr>
            </w:pPr>
            <w:r w:rsidRPr="00F54F6F">
              <w:rPr>
                <w:b/>
              </w:rPr>
              <w:t>n=9911</w:t>
            </w:r>
          </w:p>
        </w:tc>
        <w:tc>
          <w:tcPr>
            <w:tcW w:w="1757" w:type="dxa"/>
          </w:tcPr>
          <w:p w14:paraId="55FFC859" w14:textId="77777777" w:rsidR="000627C0" w:rsidRPr="00B44F3D" w:rsidRDefault="000627C0" w:rsidP="003F39BA">
            <w:pPr>
              <w:spacing w:after="0" w:line="240" w:lineRule="auto"/>
              <w:jc w:val="right"/>
            </w:pPr>
          </w:p>
        </w:tc>
        <w:tc>
          <w:tcPr>
            <w:tcW w:w="1303" w:type="dxa"/>
          </w:tcPr>
          <w:p w14:paraId="50B5E881" w14:textId="77777777" w:rsidR="000627C0" w:rsidRPr="00B44F3D" w:rsidRDefault="000627C0" w:rsidP="003F39BA">
            <w:pPr>
              <w:spacing w:after="0" w:line="240" w:lineRule="auto"/>
              <w:jc w:val="right"/>
            </w:pPr>
          </w:p>
        </w:tc>
      </w:tr>
      <w:tr w:rsidR="000627C0" w:rsidRPr="00DE37C4" w14:paraId="5B3320C3" w14:textId="77777777" w:rsidTr="003F39BA">
        <w:tc>
          <w:tcPr>
            <w:tcW w:w="2568" w:type="dxa"/>
          </w:tcPr>
          <w:p w14:paraId="01FDEF97" w14:textId="77777777" w:rsidR="000627C0" w:rsidRPr="00DE37C4" w:rsidRDefault="000627C0" w:rsidP="003F39BA">
            <w:pPr>
              <w:spacing w:after="0" w:line="240" w:lineRule="auto"/>
              <w:rPr>
                <w:rFonts w:eastAsia="Calibri"/>
              </w:rPr>
            </w:pPr>
            <w:r>
              <w:rPr>
                <w:rFonts w:eastAsia="Calibri"/>
              </w:rPr>
              <w:t>Unplanned readmissions</w:t>
            </w:r>
          </w:p>
        </w:tc>
        <w:tc>
          <w:tcPr>
            <w:tcW w:w="1538" w:type="dxa"/>
            <w:vAlign w:val="bottom"/>
          </w:tcPr>
          <w:p w14:paraId="05DD20BE" w14:textId="77777777" w:rsidR="000627C0" w:rsidRPr="00DE37C4" w:rsidRDefault="000627C0" w:rsidP="003F39BA">
            <w:pPr>
              <w:spacing w:after="0" w:line="240" w:lineRule="auto"/>
              <w:jc w:val="right"/>
            </w:pPr>
            <w:r>
              <w:t>390 (6.4)</w:t>
            </w:r>
          </w:p>
        </w:tc>
        <w:tc>
          <w:tcPr>
            <w:tcW w:w="1844" w:type="dxa"/>
            <w:vAlign w:val="bottom"/>
          </w:tcPr>
          <w:p w14:paraId="0F3DC4F0" w14:textId="77777777" w:rsidR="000627C0" w:rsidRPr="00DE37C4" w:rsidRDefault="000627C0" w:rsidP="003F39BA">
            <w:pPr>
              <w:spacing w:after="0" w:line="240" w:lineRule="auto"/>
              <w:jc w:val="right"/>
            </w:pPr>
            <w:r>
              <w:t>464 (4.7)</w:t>
            </w:r>
          </w:p>
        </w:tc>
        <w:tc>
          <w:tcPr>
            <w:tcW w:w="1757" w:type="dxa"/>
          </w:tcPr>
          <w:p w14:paraId="4FB8E03A" w14:textId="77777777" w:rsidR="000627C0" w:rsidRPr="00B44F3D" w:rsidRDefault="000627C0" w:rsidP="003F39BA">
            <w:pPr>
              <w:spacing w:after="0" w:line="240" w:lineRule="auto"/>
              <w:jc w:val="right"/>
            </w:pPr>
            <w:r w:rsidRPr="005A1DB7">
              <w:t>1.09 (0.54, 2.19)</w:t>
            </w:r>
          </w:p>
        </w:tc>
        <w:tc>
          <w:tcPr>
            <w:tcW w:w="1303" w:type="dxa"/>
          </w:tcPr>
          <w:p w14:paraId="027EF2BE" w14:textId="77777777" w:rsidR="000627C0" w:rsidRPr="00B44F3D" w:rsidRDefault="000627C0" w:rsidP="003F39BA">
            <w:pPr>
              <w:spacing w:after="0" w:line="240" w:lineRule="auto"/>
              <w:jc w:val="right"/>
            </w:pPr>
            <w:r w:rsidRPr="005A1DB7">
              <w:t>0.81</w:t>
            </w:r>
          </w:p>
        </w:tc>
      </w:tr>
      <w:tr w:rsidR="000627C0" w:rsidRPr="00DE37C4" w14:paraId="17955657" w14:textId="77777777" w:rsidTr="003F39BA">
        <w:tc>
          <w:tcPr>
            <w:tcW w:w="2568" w:type="dxa"/>
          </w:tcPr>
          <w:p w14:paraId="537CCC75" w14:textId="77777777" w:rsidR="000627C0" w:rsidRDefault="000627C0" w:rsidP="003F39BA">
            <w:pPr>
              <w:spacing w:after="0" w:line="240" w:lineRule="auto"/>
              <w:rPr>
                <w:rFonts w:eastAsia="Calibri"/>
              </w:rPr>
            </w:pPr>
          </w:p>
        </w:tc>
        <w:tc>
          <w:tcPr>
            <w:tcW w:w="1538" w:type="dxa"/>
            <w:vAlign w:val="bottom"/>
          </w:tcPr>
          <w:p w14:paraId="75BC7965" w14:textId="77777777" w:rsidR="000627C0" w:rsidRPr="00F54F6F" w:rsidRDefault="000627C0" w:rsidP="003F39BA">
            <w:pPr>
              <w:spacing w:after="0" w:line="240" w:lineRule="auto"/>
              <w:jc w:val="center"/>
              <w:rPr>
                <w:b/>
              </w:rPr>
            </w:pPr>
            <w:r w:rsidRPr="00F54F6F">
              <w:rPr>
                <w:b/>
              </w:rPr>
              <w:t>n=6324</w:t>
            </w:r>
          </w:p>
        </w:tc>
        <w:tc>
          <w:tcPr>
            <w:tcW w:w="1844" w:type="dxa"/>
            <w:vAlign w:val="bottom"/>
          </w:tcPr>
          <w:p w14:paraId="5A8A102D" w14:textId="77777777" w:rsidR="000627C0" w:rsidRPr="00F54F6F" w:rsidRDefault="000627C0" w:rsidP="003F39BA">
            <w:pPr>
              <w:spacing w:after="0" w:line="240" w:lineRule="auto"/>
              <w:jc w:val="center"/>
              <w:rPr>
                <w:b/>
              </w:rPr>
            </w:pPr>
            <w:r w:rsidRPr="00F54F6F">
              <w:rPr>
                <w:b/>
              </w:rPr>
              <w:t>n=12693</w:t>
            </w:r>
          </w:p>
        </w:tc>
        <w:tc>
          <w:tcPr>
            <w:tcW w:w="1757" w:type="dxa"/>
          </w:tcPr>
          <w:p w14:paraId="7D9B6B2E" w14:textId="77777777" w:rsidR="000627C0" w:rsidRPr="00B44F3D" w:rsidRDefault="000627C0" w:rsidP="003F39BA">
            <w:pPr>
              <w:spacing w:after="0" w:line="240" w:lineRule="auto"/>
              <w:jc w:val="right"/>
            </w:pPr>
          </w:p>
        </w:tc>
        <w:tc>
          <w:tcPr>
            <w:tcW w:w="1303" w:type="dxa"/>
          </w:tcPr>
          <w:p w14:paraId="4E6BC5F0" w14:textId="77777777" w:rsidR="000627C0" w:rsidRPr="00B44F3D" w:rsidRDefault="000627C0" w:rsidP="003F39BA">
            <w:pPr>
              <w:spacing w:after="0" w:line="240" w:lineRule="auto"/>
              <w:jc w:val="right"/>
            </w:pPr>
          </w:p>
        </w:tc>
      </w:tr>
      <w:tr w:rsidR="000627C0" w:rsidRPr="00DE37C4" w14:paraId="5A0D32D5" w14:textId="77777777" w:rsidTr="003F39BA">
        <w:tc>
          <w:tcPr>
            <w:tcW w:w="2568" w:type="dxa"/>
          </w:tcPr>
          <w:p w14:paraId="571E0C63" w14:textId="77777777" w:rsidR="000627C0" w:rsidRPr="00DE37C4" w:rsidRDefault="000627C0" w:rsidP="003F39BA">
            <w:pPr>
              <w:spacing w:after="0" w:line="240" w:lineRule="auto"/>
              <w:rPr>
                <w:rFonts w:eastAsia="Calibri"/>
              </w:rPr>
            </w:pPr>
            <w:r>
              <w:rPr>
                <w:rFonts w:eastAsia="Calibri"/>
              </w:rPr>
              <w:t>Critical care admission</w:t>
            </w:r>
          </w:p>
        </w:tc>
        <w:tc>
          <w:tcPr>
            <w:tcW w:w="1538" w:type="dxa"/>
            <w:vAlign w:val="bottom"/>
          </w:tcPr>
          <w:p w14:paraId="36CE286D" w14:textId="77777777" w:rsidR="000627C0" w:rsidRPr="00DE37C4" w:rsidRDefault="000627C0" w:rsidP="003F39BA">
            <w:pPr>
              <w:spacing w:after="0" w:line="240" w:lineRule="auto"/>
              <w:jc w:val="right"/>
            </w:pPr>
            <w:r>
              <w:t>182 (2.9)</w:t>
            </w:r>
          </w:p>
        </w:tc>
        <w:tc>
          <w:tcPr>
            <w:tcW w:w="1844" w:type="dxa"/>
            <w:vAlign w:val="bottom"/>
          </w:tcPr>
          <w:p w14:paraId="1DF1BE1C" w14:textId="77777777" w:rsidR="000627C0" w:rsidRPr="00DE37C4" w:rsidRDefault="000627C0" w:rsidP="003F39BA">
            <w:pPr>
              <w:spacing w:after="0" w:line="240" w:lineRule="auto"/>
              <w:jc w:val="right"/>
            </w:pPr>
            <w:r>
              <w:t>465 (3.7)</w:t>
            </w:r>
          </w:p>
        </w:tc>
        <w:tc>
          <w:tcPr>
            <w:tcW w:w="1757" w:type="dxa"/>
          </w:tcPr>
          <w:p w14:paraId="5E16E9D9" w14:textId="77777777" w:rsidR="000627C0" w:rsidRPr="00B44F3D" w:rsidRDefault="000627C0" w:rsidP="003F39BA">
            <w:pPr>
              <w:spacing w:after="0" w:line="240" w:lineRule="auto"/>
              <w:jc w:val="right"/>
            </w:pPr>
            <w:r w:rsidRPr="005A1DB7">
              <w:t>1.05 (0.46, 2.43)</w:t>
            </w:r>
          </w:p>
        </w:tc>
        <w:tc>
          <w:tcPr>
            <w:tcW w:w="1303" w:type="dxa"/>
          </w:tcPr>
          <w:p w14:paraId="30161415" w14:textId="77777777" w:rsidR="000627C0" w:rsidRPr="00B44F3D" w:rsidRDefault="000627C0" w:rsidP="003F39BA">
            <w:pPr>
              <w:spacing w:after="0" w:line="240" w:lineRule="auto"/>
              <w:jc w:val="right"/>
            </w:pPr>
            <w:r w:rsidRPr="005A1DB7">
              <w:t>0.90</w:t>
            </w:r>
          </w:p>
        </w:tc>
      </w:tr>
      <w:tr w:rsidR="000627C0" w:rsidRPr="00DE37C4" w14:paraId="2F497CAD" w14:textId="77777777" w:rsidTr="003F39BA">
        <w:tc>
          <w:tcPr>
            <w:tcW w:w="2568" w:type="dxa"/>
          </w:tcPr>
          <w:p w14:paraId="476400FA" w14:textId="77777777" w:rsidR="000627C0" w:rsidRDefault="000627C0" w:rsidP="003F39BA">
            <w:pPr>
              <w:spacing w:after="0" w:line="240" w:lineRule="auto"/>
              <w:rPr>
                <w:rFonts w:eastAsia="Calibri"/>
              </w:rPr>
            </w:pPr>
          </w:p>
        </w:tc>
        <w:tc>
          <w:tcPr>
            <w:tcW w:w="1538" w:type="dxa"/>
            <w:vAlign w:val="bottom"/>
          </w:tcPr>
          <w:p w14:paraId="62864A5D" w14:textId="77777777" w:rsidR="000627C0" w:rsidRPr="00DE37C4" w:rsidRDefault="000627C0" w:rsidP="003F39BA">
            <w:pPr>
              <w:spacing w:after="0" w:line="240" w:lineRule="auto"/>
              <w:jc w:val="right"/>
            </w:pPr>
          </w:p>
        </w:tc>
        <w:tc>
          <w:tcPr>
            <w:tcW w:w="1844" w:type="dxa"/>
            <w:vAlign w:val="bottom"/>
          </w:tcPr>
          <w:p w14:paraId="54DFBFEE" w14:textId="77777777" w:rsidR="000627C0" w:rsidRPr="00DE37C4" w:rsidRDefault="000627C0" w:rsidP="003F39BA">
            <w:pPr>
              <w:spacing w:after="0" w:line="240" w:lineRule="auto"/>
              <w:jc w:val="right"/>
            </w:pPr>
          </w:p>
        </w:tc>
        <w:tc>
          <w:tcPr>
            <w:tcW w:w="1757" w:type="dxa"/>
          </w:tcPr>
          <w:p w14:paraId="26D2E7C0" w14:textId="77777777" w:rsidR="000627C0" w:rsidRPr="00BE3AAE" w:rsidRDefault="000627C0" w:rsidP="003F39BA">
            <w:pPr>
              <w:spacing w:after="0" w:line="240" w:lineRule="auto"/>
              <w:jc w:val="center"/>
              <w:rPr>
                <w:b/>
              </w:rPr>
            </w:pPr>
            <w:r w:rsidRPr="00BE3AAE">
              <w:rPr>
                <w:b/>
              </w:rPr>
              <w:t>IRR (95% CI)</w:t>
            </w:r>
          </w:p>
        </w:tc>
        <w:tc>
          <w:tcPr>
            <w:tcW w:w="1303" w:type="dxa"/>
          </w:tcPr>
          <w:p w14:paraId="041185DF" w14:textId="77777777" w:rsidR="000627C0" w:rsidRPr="00B44F3D" w:rsidRDefault="000627C0" w:rsidP="003F39BA">
            <w:pPr>
              <w:spacing w:after="0" w:line="240" w:lineRule="auto"/>
              <w:jc w:val="center"/>
            </w:pPr>
            <w:r w:rsidRPr="00DE37C4">
              <w:rPr>
                <w:b/>
              </w:rPr>
              <w:t>p-value</w:t>
            </w:r>
          </w:p>
        </w:tc>
      </w:tr>
      <w:tr w:rsidR="000627C0" w:rsidRPr="00DE37C4" w14:paraId="1AC996A4" w14:textId="77777777" w:rsidTr="003F39BA">
        <w:tc>
          <w:tcPr>
            <w:tcW w:w="2568" w:type="dxa"/>
          </w:tcPr>
          <w:p w14:paraId="3140C952" w14:textId="77777777" w:rsidR="000627C0" w:rsidRDefault="000627C0" w:rsidP="003F39BA">
            <w:pPr>
              <w:spacing w:after="0" w:line="240" w:lineRule="auto"/>
              <w:rPr>
                <w:rFonts w:eastAsia="Calibri"/>
              </w:rPr>
            </w:pPr>
            <w:r>
              <w:rPr>
                <w:rFonts w:eastAsia="Calibri"/>
              </w:rPr>
              <w:t>Length of stay on critical care</w:t>
            </w:r>
            <w:r w:rsidRPr="008C7689">
              <w:rPr>
                <w:rFonts w:eastAsia="Calibri"/>
                <w:vertAlign w:val="superscript"/>
              </w:rPr>
              <w:t>c</w:t>
            </w:r>
            <w:r>
              <w:rPr>
                <w:rFonts w:eastAsia="Calibri"/>
                <w:vertAlign w:val="superscript"/>
              </w:rPr>
              <w:t>, d</w:t>
            </w:r>
          </w:p>
        </w:tc>
        <w:tc>
          <w:tcPr>
            <w:tcW w:w="1538" w:type="dxa"/>
            <w:vAlign w:val="bottom"/>
          </w:tcPr>
          <w:p w14:paraId="1D782BC7" w14:textId="77777777" w:rsidR="000627C0" w:rsidRPr="00DE37C4" w:rsidRDefault="000627C0" w:rsidP="003F39BA">
            <w:pPr>
              <w:spacing w:after="0" w:line="240" w:lineRule="auto"/>
              <w:jc w:val="right"/>
            </w:pPr>
          </w:p>
        </w:tc>
        <w:tc>
          <w:tcPr>
            <w:tcW w:w="1844" w:type="dxa"/>
            <w:vAlign w:val="bottom"/>
          </w:tcPr>
          <w:p w14:paraId="263434BB" w14:textId="77777777" w:rsidR="000627C0" w:rsidRPr="00DE37C4" w:rsidRDefault="000627C0" w:rsidP="003F39BA">
            <w:pPr>
              <w:spacing w:after="0" w:line="240" w:lineRule="auto"/>
              <w:jc w:val="right"/>
            </w:pPr>
          </w:p>
        </w:tc>
        <w:tc>
          <w:tcPr>
            <w:tcW w:w="1757" w:type="dxa"/>
          </w:tcPr>
          <w:p w14:paraId="3BD7AFB1" w14:textId="77777777" w:rsidR="000627C0" w:rsidRPr="00B44F3D" w:rsidRDefault="000627C0" w:rsidP="003F39BA">
            <w:pPr>
              <w:spacing w:after="0" w:line="240" w:lineRule="auto"/>
              <w:jc w:val="right"/>
            </w:pPr>
          </w:p>
        </w:tc>
        <w:tc>
          <w:tcPr>
            <w:tcW w:w="1303" w:type="dxa"/>
          </w:tcPr>
          <w:p w14:paraId="5C7BF742" w14:textId="77777777" w:rsidR="000627C0" w:rsidRPr="00B44F3D" w:rsidRDefault="000627C0" w:rsidP="003F39BA">
            <w:pPr>
              <w:spacing w:after="0" w:line="240" w:lineRule="auto"/>
              <w:jc w:val="right"/>
            </w:pPr>
          </w:p>
        </w:tc>
      </w:tr>
      <w:tr w:rsidR="000627C0" w:rsidRPr="00DE37C4" w14:paraId="4C9E6CF2" w14:textId="77777777" w:rsidTr="003F39BA">
        <w:tc>
          <w:tcPr>
            <w:tcW w:w="2568" w:type="dxa"/>
          </w:tcPr>
          <w:p w14:paraId="42A4C820" w14:textId="77777777" w:rsidR="000627C0" w:rsidRPr="004A1F16" w:rsidRDefault="000627C0" w:rsidP="003F39BA">
            <w:pPr>
              <w:spacing w:after="0" w:line="240" w:lineRule="auto"/>
              <w:rPr>
                <w:rFonts w:eastAsia="Calibri"/>
                <w:i/>
              </w:rPr>
            </w:pPr>
            <w:r>
              <w:rPr>
                <w:rFonts w:eastAsia="Calibri"/>
                <w:i/>
              </w:rPr>
              <w:t>N, m</w:t>
            </w:r>
            <w:r w:rsidRPr="004A1F16">
              <w:rPr>
                <w:rFonts w:eastAsia="Calibri"/>
                <w:i/>
              </w:rPr>
              <w:t>ean (SD)</w:t>
            </w:r>
          </w:p>
          <w:p w14:paraId="469E5675" w14:textId="77777777" w:rsidR="000627C0" w:rsidRDefault="000627C0" w:rsidP="003F39BA">
            <w:pPr>
              <w:spacing w:after="0" w:line="240" w:lineRule="auto"/>
              <w:rPr>
                <w:rFonts w:eastAsia="Calibri"/>
              </w:rPr>
            </w:pPr>
            <w:r w:rsidRPr="004A1F16">
              <w:rPr>
                <w:rFonts w:eastAsia="Calibri"/>
                <w:i/>
              </w:rPr>
              <w:t>Median (min, max)</w:t>
            </w:r>
          </w:p>
        </w:tc>
        <w:tc>
          <w:tcPr>
            <w:tcW w:w="1538" w:type="dxa"/>
            <w:vAlign w:val="bottom"/>
          </w:tcPr>
          <w:p w14:paraId="43679062" w14:textId="77777777" w:rsidR="000627C0" w:rsidRPr="00DE37C4" w:rsidRDefault="000627C0" w:rsidP="003F39BA">
            <w:pPr>
              <w:spacing w:after="0" w:line="240" w:lineRule="auto"/>
              <w:jc w:val="right"/>
            </w:pPr>
            <w:r>
              <w:t xml:space="preserve">182, </w:t>
            </w:r>
            <w:r w:rsidRPr="004B64A7">
              <w:t>1.7</w:t>
            </w:r>
            <w:r>
              <w:t xml:space="preserve"> (</w:t>
            </w:r>
            <w:r w:rsidRPr="004B64A7">
              <w:t>1.</w:t>
            </w:r>
            <w:r>
              <w:t>4)</w:t>
            </w:r>
            <w:r>
              <w:br/>
            </w:r>
            <w:r w:rsidRPr="004B64A7">
              <w:t>1</w:t>
            </w:r>
            <w:r>
              <w:t xml:space="preserve"> (</w:t>
            </w:r>
            <w:r w:rsidRPr="004B64A7">
              <w:t>0</w:t>
            </w:r>
            <w:r>
              <w:t xml:space="preserve">, </w:t>
            </w:r>
            <w:r w:rsidRPr="004B64A7">
              <w:t>12</w:t>
            </w:r>
            <w:r>
              <w:t>)</w:t>
            </w:r>
          </w:p>
        </w:tc>
        <w:tc>
          <w:tcPr>
            <w:tcW w:w="1844" w:type="dxa"/>
            <w:vAlign w:val="bottom"/>
          </w:tcPr>
          <w:p w14:paraId="771ADD2F" w14:textId="77777777" w:rsidR="000627C0" w:rsidRPr="00DE37C4" w:rsidRDefault="000627C0" w:rsidP="003F39BA">
            <w:pPr>
              <w:spacing w:after="0" w:line="240" w:lineRule="auto"/>
              <w:jc w:val="right"/>
            </w:pPr>
            <w:r>
              <w:t xml:space="preserve">465, </w:t>
            </w:r>
            <w:r w:rsidRPr="005A3EF5">
              <w:t>1.5</w:t>
            </w:r>
            <w:r>
              <w:t xml:space="preserve"> (</w:t>
            </w:r>
            <w:r w:rsidRPr="005A3EF5">
              <w:t>1.3</w:t>
            </w:r>
            <w:r>
              <w:t>)</w:t>
            </w:r>
            <w:r>
              <w:br/>
            </w:r>
            <w:r w:rsidRPr="005A3EF5">
              <w:t>1</w:t>
            </w:r>
            <w:r>
              <w:t xml:space="preserve"> (0, </w:t>
            </w:r>
            <w:r w:rsidRPr="005A3EF5">
              <w:t>17</w:t>
            </w:r>
            <w:r>
              <w:t>)</w:t>
            </w:r>
          </w:p>
        </w:tc>
        <w:tc>
          <w:tcPr>
            <w:tcW w:w="1757" w:type="dxa"/>
          </w:tcPr>
          <w:p w14:paraId="5CA44F41" w14:textId="77777777" w:rsidR="000627C0" w:rsidRPr="005A1DB7" w:rsidRDefault="000627C0" w:rsidP="003F39BA">
            <w:pPr>
              <w:spacing w:after="0" w:line="240" w:lineRule="auto"/>
              <w:jc w:val="right"/>
            </w:pPr>
            <w:r w:rsidRPr="000E0027">
              <w:t>1.05 (0.79, 1.41)</w:t>
            </w:r>
          </w:p>
        </w:tc>
        <w:tc>
          <w:tcPr>
            <w:tcW w:w="1303" w:type="dxa"/>
          </w:tcPr>
          <w:p w14:paraId="26816222" w14:textId="77777777" w:rsidR="000627C0" w:rsidRPr="005A1DB7" w:rsidRDefault="000627C0" w:rsidP="003F39BA">
            <w:pPr>
              <w:spacing w:after="0" w:line="240" w:lineRule="auto"/>
              <w:jc w:val="right"/>
            </w:pPr>
            <w:r w:rsidRPr="000E0027">
              <w:t>0.73</w:t>
            </w:r>
          </w:p>
        </w:tc>
      </w:tr>
      <w:tr w:rsidR="000627C0" w:rsidRPr="00DE37C4" w14:paraId="40786FB2" w14:textId="77777777" w:rsidTr="003F39BA">
        <w:tc>
          <w:tcPr>
            <w:tcW w:w="2568" w:type="dxa"/>
          </w:tcPr>
          <w:p w14:paraId="74C65B66" w14:textId="77777777" w:rsidR="000627C0" w:rsidRPr="004A1F16" w:rsidRDefault="000627C0" w:rsidP="003F39BA">
            <w:pPr>
              <w:spacing w:after="0" w:line="240" w:lineRule="auto"/>
              <w:rPr>
                <w:rFonts w:eastAsia="Calibri"/>
                <w:i/>
              </w:rPr>
            </w:pPr>
            <w:r>
              <w:rPr>
                <w:rFonts w:eastAsia="Calibri"/>
                <w:i/>
              </w:rPr>
              <w:t xml:space="preserve">N, </w:t>
            </w:r>
            <w:r w:rsidRPr="004A1F16">
              <w:rPr>
                <w:rFonts w:eastAsia="Calibri"/>
                <w:i/>
              </w:rPr>
              <w:t>Mean (SD)</w:t>
            </w:r>
          </w:p>
          <w:p w14:paraId="78AD4FF0" w14:textId="77777777" w:rsidR="000627C0" w:rsidRPr="004A1F16" w:rsidRDefault="000627C0" w:rsidP="003F39BA">
            <w:pPr>
              <w:spacing w:after="0" w:line="240" w:lineRule="auto"/>
              <w:rPr>
                <w:rFonts w:eastAsia="Calibri"/>
                <w:i/>
              </w:rPr>
            </w:pPr>
            <w:r w:rsidRPr="004A1F16">
              <w:rPr>
                <w:rFonts w:eastAsia="Calibri"/>
                <w:i/>
              </w:rPr>
              <w:t>Median (min, max)</w:t>
            </w:r>
          </w:p>
        </w:tc>
        <w:tc>
          <w:tcPr>
            <w:tcW w:w="1538" w:type="dxa"/>
            <w:vAlign w:val="bottom"/>
          </w:tcPr>
          <w:p w14:paraId="2BE09C01" w14:textId="77777777" w:rsidR="000627C0" w:rsidRPr="00DE37C4" w:rsidRDefault="000627C0" w:rsidP="003F39BA">
            <w:pPr>
              <w:spacing w:after="0" w:line="240" w:lineRule="auto"/>
              <w:jc w:val="right"/>
            </w:pPr>
            <w:r>
              <w:t>6324, 0.05 (0.4)</w:t>
            </w:r>
            <w:r>
              <w:br/>
              <w:t>0 (0, 12)</w:t>
            </w:r>
          </w:p>
        </w:tc>
        <w:tc>
          <w:tcPr>
            <w:tcW w:w="1844" w:type="dxa"/>
            <w:vAlign w:val="bottom"/>
          </w:tcPr>
          <w:p w14:paraId="62CDA8E7" w14:textId="77777777" w:rsidR="000627C0" w:rsidRPr="00DE37C4" w:rsidRDefault="000627C0" w:rsidP="003F39BA">
            <w:pPr>
              <w:spacing w:after="0" w:line="240" w:lineRule="auto"/>
              <w:jc w:val="right"/>
            </w:pPr>
            <w:r>
              <w:t>12693, 0</w:t>
            </w:r>
            <w:r w:rsidRPr="00D26C04">
              <w:t>.0</w:t>
            </w:r>
            <w:r>
              <w:t>6 (0.4)</w:t>
            </w:r>
            <w:r>
              <w:br/>
            </w:r>
            <w:r w:rsidRPr="00D26C04">
              <w:t>0</w:t>
            </w:r>
            <w:r>
              <w:t xml:space="preserve"> (</w:t>
            </w:r>
            <w:r w:rsidRPr="00D26C04">
              <w:t>0</w:t>
            </w:r>
            <w:r>
              <w:t xml:space="preserve">, </w:t>
            </w:r>
            <w:r w:rsidRPr="00D26C04">
              <w:t>17</w:t>
            </w:r>
            <w:r>
              <w:t>)</w:t>
            </w:r>
          </w:p>
        </w:tc>
        <w:tc>
          <w:tcPr>
            <w:tcW w:w="1757" w:type="dxa"/>
          </w:tcPr>
          <w:p w14:paraId="06D59E42" w14:textId="77777777" w:rsidR="000627C0" w:rsidRPr="005A1DB7" w:rsidRDefault="000627C0" w:rsidP="003F39BA">
            <w:pPr>
              <w:spacing w:after="0" w:line="240" w:lineRule="auto"/>
              <w:jc w:val="right"/>
            </w:pPr>
            <w:r w:rsidRPr="000E0027">
              <w:t>0.97 (0.86, 1.09)</w:t>
            </w:r>
          </w:p>
        </w:tc>
        <w:tc>
          <w:tcPr>
            <w:tcW w:w="1303" w:type="dxa"/>
          </w:tcPr>
          <w:p w14:paraId="4C24F283" w14:textId="77777777" w:rsidR="000627C0" w:rsidRPr="005A1DB7" w:rsidRDefault="000627C0" w:rsidP="003F39BA">
            <w:pPr>
              <w:spacing w:after="0" w:line="240" w:lineRule="auto"/>
              <w:jc w:val="right"/>
            </w:pPr>
            <w:r w:rsidRPr="000E0027">
              <w:t>0.56</w:t>
            </w:r>
          </w:p>
        </w:tc>
      </w:tr>
      <w:tr w:rsidR="000627C0" w:rsidRPr="00DE37C4" w14:paraId="023F253A" w14:textId="77777777" w:rsidTr="003F39BA">
        <w:tc>
          <w:tcPr>
            <w:tcW w:w="2568" w:type="dxa"/>
          </w:tcPr>
          <w:p w14:paraId="6761CCEA" w14:textId="77777777" w:rsidR="000627C0" w:rsidRPr="00DE37C4" w:rsidRDefault="000627C0" w:rsidP="003F39BA">
            <w:pPr>
              <w:spacing w:after="0" w:line="240" w:lineRule="auto"/>
              <w:rPr>
                <w:rFonts w:eastAsia="Calibri"/>
              </w:rPr>
            </w:pPr>
          </w:p>
        </w:tc>
        <w:tc>
          <w:tcPr>
            <w:tcW w:w="1538" w:type="dxa"/>
            <w:vAlign w:val="bottom"/>
          </w:tcPr>
          <w:p w14:paraId="2DFF1143" w14:textId="77777777" w:rsidR="000627C0" w:rsidRPr="00DE37C4" w:rsidRDefault="000627C0" w:rsidP="003F39BA">
            <w:pPr>
              <w:spacing w:after="0" w:line="240" w:lineRule="auto"/>
              <w:jc w:val="center"/>
            </w:pPr>
            <w:r w:rsidRPr="00F54F6F">
              <w:rPr>
                <w:b/>
              </w:rPr>
              <w:t>n=6138</w:t>
            </w:r>
          </w:p>
        </w:tc>
        <w:tc>
          <w:tcPr>
            <w:tcW w:w="1844" w:type="dxa"/>
            <w:vAlign w:val="bottom"/>
          </w:tcPr>
          <w:p w14:paraId="2D461287" w14:textId="77777777" w:rsidR="000627C0" w:rsidRPr="00DE37C4" w:rsidRDefault="000627C0" w:rsidP="003F39BA">
            <w:pPr>
              <w:spacing w:after="0" w:line="240" w:lineRule="auto"/>
              <w:jc w:val="center"/>
            </w:pPr>
            <w:r w:rsidRPr="00F54F6F">
              <w:rPr>
                <w:b/>
              </w:rPr>
              <w:t>n=9911</w:t>
            </w:r>
          </w:p>
        </w:tc>
        <w:tc>
          <w:tcPr>
            <w:tcW w:w="1757" w:type="dxa"/>
          </w:tcPr>
          <w:p w14:paraId="7441A10D" w14:textId="77777777" w:rsidR="000627C0" w:rsidRPr="00B44F3D" w:rsidRDefault="000627C0" w:rsidP="003F39BA">
            <w:pPr>
              <w:spacing w:after="0" w:line="240" w:lineRule="auto"/>
              <w:jc w:val="right"/>
            </w:pPr>
          </w:p>
        </w:tc>
        <w:tc>
          <w:tcPr>
            <w:tcW w:w="1303" w:type="dxa"/>
          </w:tcPr>
          <w:p w14:paraId="14CC7207" w14:textId="77777777" w:rsidR="000627C0" w:rsidRPr="00B44F3D" w:rsidRDefault="000627C0" w:rsidP="003F39BA">
            <w:pPr>
              <w:spacing w:after="0" w:line="240" w:lineRule="auto"/>
              <w:jc w:val="right"/>
            </w:pPr>
          </w:p>
        </w:tc>
      </w:tr>
      <w:tr w:rsidR="000627C0" w:rsidRPr="00DE37C4" w14:paraId="360F572C" w14:textId="77777777" w:rsidTr="003F39BA">
        <w:tc>
          <w:tcPr>
            <w:tcW w:w="2568" w:type="dxa"/>
          </w:tcPr>
          <w:p w14:paraId="4B83DBC4" w14:textId="77777777" w:rsidR="000627C0" w:rsidRPr="00DE37C4" w:rsidRDefault="000627C0" w:rsidP="003F39BA">
            <w:pPr>
              <w:spacing w:after="0" w:line="240" w:lineRule="auto"/>
              <w:rPr>
                <w:rFonts w:eastAsia="Calibri"/>
              </w:rPr>
            </w:pPr>
            <w:r>
              <w:rPr>
                <w:rFonts w:eastAsia="Calibri"/>
              </w:rPr>
              <w:t>Length of hospital stay</w:t>
            </w:r>
            <w:r w:rsidRPr="0004522B">
              <w:rPr>
                <w:rFonts w:eastAsia="Calibri"/>
                <w:vertAlign w:val="superscript"/>
              </w:rPr>
              <w:t>c</w:t>
            </w:r>
          </w:p>
        </w:tc>
        <w:tc>
          <w:tcPr>
            <w:tcW w:w="1538" w:type="dxa"/>
            <w:vAlign w:val="bottom"/>
          </w:tcPr>
          <w:p w14:paraId="1C92C2CD" w14:textId="77777777" w:rsidR="000627C0" w:rsidRPr="00DE37C4" w:rsidRDefault="000627C0" w:rsidP="003F39BA">
            <w:pPr>
              <w:spacing w:after="0" w:line="240" w:lineRule="auto"/>
              <w:jc w:val="right"/>
            </w:pPr>
          </w:p>
        </w:tc>
        <w:tc>
          <w:tcPr>
            <w:tcW w:w="1844" w:type="dxa"/>
            <w:vAlign w:val="bottom"/>
          </w:tcPr>
          <w:p w14:paraId="4547FFB9" w14:textId="77777777" w:rsidR="000627C0" w:rsidRPr="00DE37C4" w:rsidRDefault="000627C0" w:rsidP="003F39BA">
            <w:pPr>
              <w:spacing w:after="0" w:line="240" w:lineRule="auto"/>
              <w:jc w:val="right"/>
            </w:pPr>
          </w:p>
        </w:tc>
        <w:tc>
          <w:tcPr>
            <w:tcW w:w="1757" w:type="dxa"/>
          </w:tcPr>
          <w:p w14:paraId="762A4075" w14:textId="77777777" w:rsidR="000627C0" w:rsidRPr="00B44F3D" w:rsidRDefault="000627C0" w:rsidP="003F39BA">
            <w:pPr>
              <w:spacing w:after="0" w:line="240" w:lineRule="auto"/>
              <w:jc w:val="right"/>
            </w:pPr>
          </w:p>
        </w:tc>
        <w:tc>
          <w:tcPr>
            <w:tcW w:w="1303" w:type="dxa"/>
          </w:tcPr>
          <w:p w14:paraId="4DF7CA0E" w14:textId="77777777" w:rsidR="000627C0" w:rsidRPr="00B44F3D" w:rsidRDefault="000627C0" w:rsidP="003F39BA">
            <w:pPr>
              <w:spacing w:after="0" w:line="240" w:lineRule="auto"/>
              <w:jc w:val="right"/>
            </w:pPr>
          </w:p>
        </w:tc>
      </w:tr>
      <w:tr w:rsidR="000627C0" w:rsidRPr="00DE37C4" w14:paraId="1DEF88F2" w14:textId="77777777" w:rsidTr="003F39BA">
        <w:tc>
          <w:tcPr>
            <w:tcW w:w="2568" w:type="dxa"/>
          </w:tcPr>
          <w:p w14:paraId="059015E5" w14:textId="77777777" w:rsidR="000627C0" w:rsidRPr="004A1F16" w:rsidRDefault="000627C0" w:rsidP="003F39BA">
            <w:pPr>
              <w:spacing w:after="0" w:line="240" w:lineRule="auto"/>
              <w:rPr>
                <w:rFonts w:eastAsia="Calibri"/>
                <w:i/>
              </w:rPr>
            </w:pPr>
            <w:r w:rsidRPr="004A1F16">
              <w:rPr>
                <w:rFonts w:eastAsia="Calibri"/>
                <w:i/>
              </w:rPr>
              <w:t>Mean (SD)</w:t>
            </w:r>
          </w:p>
          <w:p w14:paraId="03A49CAE" w14:textId="77777777" w:rsidR="000627C0" w:rsidRPr="00DE37C4" w:rsidRDefault="000627C0" w:rsidP="003F39BA">
            <w:pPr>
              <w:spacing w:after="0" w:line="240" w:lineRule="auto"/>
              <w:rPr>
                <w:rFonts w:eastAsia="Calibri"/>
              </w:rPr>
            </w:pPr>
            <w:r w:rsidRPr="004A1F16">
              <w:rPr>
                <w:rFonts w:eastAsia="Calibri"/>
                <w:i/>
              </w:rPr>
              <w:t>Median (min, max)</w:t>
            </w:r>
          </w:p>
        </w:tc>
        <w:tc>
          <w:tcPr>
            <w:tcW w:w="1538" w:type="dxa"/>
            <w:vAlign w:val="bottom"/>
          </w:tcPr>
          <w:p w14:paraId="5D1B7250" w14:textId="4CFA4511" w:rsidR="000627C0" w:rsidRPr="00CE43AD" w:rsidRDefault="000627C0" w:rsidP="00610F23">
            <w:pPr>
              <w:pStyle w:val="ListParagraph"/>
              <w:numPr>
                <w:ilvl w:val="2"/>
                <w:numId w:val="5"/>
              </w:numPr>
              <w:spacing w:after="0" w:line="240" w:lineRule="auto"/>
              <w:jc w:val="right"/>
            </w:pPr>
            <w:r w:rsidRPr="00CE43AD">
              <w:t>(3.9)</w:t>
            </w:r>
          </w:p>
          <w:p w14:paraId="00FD3C43" w14:textId="77777777" w:rsidR="000627C0" w:rsidRPr="00DE37C4" w:rsidRDefault="000627C0" w:rsidP="003F39BA">
            <w:pPr>
              <w:spacing w:after="0" w:line="240" w:lineRule="auto"/>
              <w:jc w:val="right"/>
            </w:pPr>
            <w:r w:rsidRPr="00FB7D28">
              <w:t>3</w:t>
            </w:r>
            <w:r>
              <w:t xml:space="preserve"> (</w:t>
            </w:r>
            <w:r w:rsidRPr="00FB7D28">
              <w:t>0</w:t>
            </w:r>
            <w:r>
              <w:t xml:space="preserve">, </w:t>
            </w:r>
            <w:r w:rsidRPr="00FB7D28">
              <w:t>137</w:t>
            </w:r>
            <w:r>
              <w:t>)</w:t>
            </w:r>
          </w:p>
        </w:tc>
        <w:tc>
          <w:tcPr>
            <w:tcW w:w="1844" w:type="dxa"/>
            <w:vAlign w:val="bottom"/>
          </w:tcPr>
          <w:p w14:paraId="0DFD779D" w14:textId="38387D03" w:rsidR="000627C0" w:rsidRPr="00CE43AD" w:rsidRDefault="000627C0" w:rsidP="00610F23">
            <w:pPr>
              <w:pStyle w:val="ListParagraph"/>
              <w:numPr>
                <w:ilvl w:val="2"/>
                <w:numId w:val="5"/>
              </w:numPr>
              <w:spacing w:after="0" w:line="240" w:lineRule="auto"/>
              <w:jc w:val="right"/>
            </w:pPr>
            <w:r w:rsidRPr="00CE43AD">
              <w:t>(3.1)</w:t>
            </w:r>
          </w:p>
          <w:p w14:paraId="4FE26806" w14:textId="77777777" w:rsidR="000627C0" w:rsidRPr="00DE37C4" w:rsidRDefault="000627C0" w:rsidP="003F39BA">
            <w:pPr>
              <w:spacing w:after="0" w:line="240" w:lineRule="auto"/>
              <w:jc w:val="right"/>
            </w:pPr>
            <w:r w:rsidRPr="00FB7D28">
              <w:t xml:space="preserve">3 </w:t>
            </w:r>
            <w:r>
              <w:t>(</w:t>
            </w:r>
            <w:r w:rsidRPr="00FB7D28">
              <w:t>0</w:t>
            </w:r>
            <w:r>
              <w:t xml:space="preserve">, </w:t>
            </w:r>
            <w:r w:rsidRPr="00FB7D28">
              <w:t>91</w:t>
            </w:r>
            <w:r>
              <w:t>)</w:t>
            </w:r>
          </w:p>
        </w:tc>
        <w:tc>
          <w:tcPr>
            <w:tcW w:w="1757" w:type="dxa"/>
          </w:tcPr>
          <w:p w14:paraId="3BBD970B" w14:textId="77777777" w:rsidR="000627C0" w:rsidRPr="00B44F3D" w:rsidRDefault="000627C0" w:rsidP="003F39BA">
            <w:pPr>
              <w:spacing w:after="0" w:line="240" w:lineRule="auto"/>
              <w:jc w:val="right"/>
            </w:pPr>
            <w:r w:rsidRPr="005A1DB7">
              <w:t>1.03 (0.93, 1.14)</w:t>
            </w:r>
          </w:p>
        </w:tc>
        <w:tc>
          <w:tcPr>
            <w:tcW w:w="1303" w:type="dxa"/>
          </w:tcPr>
          <w:p w14:paraId="73584F85" w14:textId="77777777" w:rsidR="000627C0" w:rsidRPr="00B44F3D" w:rsidRDefault="000627C0" w:rsidP="003F39BA">
            <w:pPr>
              <w:spacing w:after="0" w:line="240" w:lineRule="auto"/>
              <w:jc w:val="right"/>
            </w:pPr>
            <w:r w:rsidRPr="005A1DB7">
              <w:t>0.5</w:t>
            </w:r>
            <w:r>
              <w:t>3</w:t>
            </w:r>
          </w:p>
        </w:tc>
      </w:tr>
      <w:tr w:rsidR="000627C0" w:rsidRPr="00DE37C4" w14:paraId="475EEE8E" w14:textId="77777777" w:rsidTr="003F39BA">
        <w:trPr>
          <w:trHeight w:val="258"/>
        </w:trPr>
        <w:tc>
          <w:tcPr>
            <w:tcW w:w="2568" w:type="dxa"/>
          </w:tcPr>
          <w:p w14:paraId="0965677C" w14:textId="77777777" w:rsidR="000627C0" w:rsidRDefault="000627C0" w:rsidP="003F39BA">
            <w:pPr>
              <w:spacing w:after="0" w:line="240" w:lineRule="auto"/>
              <w:rPr>
                <w:rFonts w:eastAsia="Calibri"/>
                <w:i/>
              </w:rPr>
            </w:pPr>
            <w:r>
              <w:rPr>
                <w:rFonts w:eastAsia="Calibri"/>
                <w:i/>
              </w:rPr>
              <w:t>Sensitivity analyses</w:t>
            </w:r>
          </w:p>
        </w:tc>
        <w:tc>
          <w:tcPr>
            <w:tcW w:w="1538" w:type="dxa"/>
          </w:tcPr>
          <w:p w14:paraId="123FC309" w14:textId="77777777" w:rsidR="000627C0" w:rsidRPr="00FB7D28" w:rsidRDefault="000627C0" w:rsidP="003F39BA">
            <w:pPr>
              <w:spacing w:after="0" w:line="240" w:lineRule="auto"/>
            </w:pPr>
          </w:p>
        </w:tc>
        <w:tc>
          <w:tcPr>
            <w:tcW w:w="1844" w:type="dxa"/>
          </w:tcPr>
          <w:p w14:paraId="3329F295" w14:textId="77777777" w:rsidR="000627C0" w:rsidRPr="00FB7D28" w:rsidRDefault="000627C0" w:rsidP="003F39BA">
            <w:pPr>
              <w:spacing w:after="0" w:line="240" w:lineRule="auto"/>
            </w:pPr>
          </w:p>
        </w:tc>
        <w:tc>
          <w:tcPr>
            <w:tcW w:w="1757" w:type="dxa"/>
          </w:tcPr>
          <w:p w14:paraId="6B4C0E73" w14:textId="77777777" w:rsidR="000627C0" w:rsidRPr="00284934" w:rsidRDefault="000627C0" w:rsidP="003F39BA">
            <w:pPr>
              <w:spacing w:after="0" w:line="240" w:lineRule="auto"/>
              <w:jc w:val="center"/>
              <w:rPr>
                <w:b/>
              </w:rPr>
            </w:pPr>
            <w:r w:rsidRPr="00284934">
              <w:rPr>
                <w:b/>
              </w:rPr>
              <w:t>OR (95% CI)</w:t>
            </w:r>
          </w:p>
        </w:tc>
        <w:tc>
          <w:tcPr>
            <w:tcW w:w="1303" w:type="dxa"/>
          </w:tcPr>
          <w:p w14:paraId="5FD34730" w14:textId="77777777" w:rsidR="000627C0" w:rsidRPr="005A1DB7" w:rsidRDefault="000627C0" w:rsidP="003F39BA">
            <w:pPr>
              <w:spacing w:after="0" w:line="240" w:lineRule="auto"/>
              <w:jc w:val="right"/>
            </w:pPr>
          </w:p>
        </w:tc>
      </w:tr>
      <w:tr w:rsidR="000627C0" w:rsidRPr="00DE37C4" w14:paraId="5F58B718" w14:textId="77777777" w:rsidTr="003F39BA">
        <w:tc>
          <w:tcPr>
            <w:tcW w:w="2568" w:type="dxa"/>
          </w:tcPr>
          <w:p w14:paraId="1FF28991" w14:textId="77777777" w:rsidR="000627C0" w:rsidRPr="004A1F16" w:rsidRDefault="000627C0" w:rsidP="003F39BA">
            <w:pPr>
              <w:spacing w:after="0" w:line="240" w:lineRule="auto"/>
              <w:rPr>
                <w:rFonts w:eastAsia="Calibri"/>
                <w:i/>
              </w:rPr>
            </w:pPr>
            <w:r>
              <w:rPr>
                <w:rFonts w:eastAsia="Calibri"/>
                <w:i/>
              </w:rPr>
              <w:t>Excluding contaminated sites</w:t>
            </w:r>
          </w:p>
        </w:tc>
        <w:tc>
          <w:tcPr>
            <w:tcW w:w="1538" w:type="dxa"/>
            <w:vAlign w:val="bottom"/>
          </w:tcPr>
          <w:p w14:paraId="36943A32" w14:textId="77777777" w:rsidR="000627C0" w:rsidRPr="004F2E0D" w:rsidRDefault="000627C0" w:rsidP="003F39BA">
            <w:pPr>
              <w:spacing w:after="0" w:line="240" w:lineRule="auto"/>
              <w:jc w:val="center"/>
              <w:rPr>
                <w:b/>
              </w:rPr>
            </w:pPr>
            <w:r w:rsidRPr="004F2E0D">
              <w:rPr>
                <w:b/>
              </w:rPr>
              <w:t>n=6324</w:t>
            </w:r>
          </w:p>
        </w:tc>
        <w:tc>
          <w:tcPr>
            <w:tcW w:w="1844" w:type="dxa"/>
            <w:vAlign w:val="bottom"/>
          </w:tcPr>
          <w:p w14:paraId="6F8964AE" w14:textId="77777777" w:rsidR="000627C0" w:rsidRPr="004F2E0D" w:rsidRDefault="000627C0" w:rsidP="003F39BA">
            <w:pPr>
              <w:spacing w:after="0" w:line="240" w:lineRule="auto"/>
              <w:jc w:val="center"/>
              <w:rPr>
                <w:b/>
              </w:rPr>
            </w:pPr>
            <w:r w:rsidRPr="004F2E0D">
              <w:rPr>
                <w:b/>
              </w:rPr>
              <w:t>n=8607</w:t>
            </w:r>
          </w:p>
        </w:tc>
        <w:tc>
          <w:tcPr>
            <w:tcW w:w="1757" w:type="dxa"/>
          </w:tcPr>
          <w:p w14:paraId="04E86339" w14:textId="77777777" w:rsidR="000627C0" w:rsidRPr="005A1DB7" w:rsidRDefault="000627C0" w:rsidP="003F39BA">
            <w:pPr>
              <w:spacing w:after="0" w:line="240" w:lineRule="auto"/>
              <w:jc w:val="right"/>
            </w:pPr>
          </w:p>
        </w:tc>
        <w:tc>
          <w:tcPr>
            <w:tcW w:w="1303" w:type="dxa"/>
          </w:tcPr>
          <w:p w14:paraId="6233267F" w14:textId="77777777" w:rsidR="000627C0" w:rsidRPr="005A1DB7" w:rsidRDefault="000627C0" w:rsidP="003F39BA">
            <w:pPr>
              <w:spacing w:after="0" w:line="240" w:lineRule="auto"/>
              <w:jc w:val="right"/>
            </w:pPr>
          </w:p>
        </w:tc>
      </w:tr>
      <w:tr w:rsidR="000627C0" w:rsidRPr="00DE37C4" w14:paraId="5C126613" w14:textId="77777777" w:rsidTr="003F39BA">
        <w:tc>
          <w:tcPr>
            <w:tcW w:w="2568" w:type="dxa"/>
          </w:tcPr>
          <w:p w14:paraId="6974EF34" w14:textId="77777777" w:rsidR="000627C0" w:rsidRPr="004A1F16" w:rsidRDefault="000627C0" w:rsidP="003F39BA">
            <w:pPr>
              <w:spacing w:after="0" w:line="240" w:lineRule="auto"/>
              <w:rPr>
                <w:rFonts w:eastAsia="Calibri"/>
                <w:i/>
              </w:rPr>
            </w:pPr>
            <w:r w:rsidRPr="00DE37C4">
              <w:t>Blood transfusion</w:t>
            </w:r>
          </w:p>
        </w:tc>
        <w:tc>
          <w:tcPr>
            <w:tcW w:w="1538" w:type="dxa"/>
            <w:vAlign w:val="bottom"/>
          </w:tcPr>
          <w:p w14:paraId="460995C7" w14:textId="77777777" w:rsidR="000627C0" w:rsidRPr="00FB7D28" w:rsidRDefault="000627C0" w:rsidP="003F39BA">
            <w:pPr>
              <w:spacing w:after="0" w:line="240" w:lineRule="auto"/>
              <w:jc w:val="right"/>
            </w:pPr>
            <w:r>
              <w:t>138 (2.9)</w:t>
            </w:r>
          </w:p>
        </w:tc>
        <w:tc>
          <w:tcPr>
            <w:tcW w:w="1844" w:type="dxa"/>
            <w:vAlign w:val="bottom"/>
          </w:tcPr>
          <w:p w14:paraId="78C3BEBE" w14:textId="77777777" w:rsidR="000627C0" w:rsidRPr="00FB7D28" w:rsidRDefault="000627C0" w:rsidP="003F39BA">
            <w:pPr>
              <w:spacing w:after="0" w:line="240" w:lineRule="auto"/>
              <w:jc w:val="right"/>
            </w:pPr>
            <w:r>
              <w:t>230 (2.7)</w:t>
            </w:r>
          </w:p>
        </w:tc>
        <w:tc>
          <w:tcPr>
            <w:tcW w:w="1757" w:type="dxa"/>
          </w:tcPr>
          <w:p w14:paraId="08797BDC" w14:textId="77777777" w:rsidR="000627C0" w:rsidRPr="005A1DB7" w:rsidRDefault="000627C0" w:rsidP="003F39BA">
            <w:pPr>
              <w:spacing w:after="0" w:line="240" w:lineRule="auto"/>
              <w:jc w:val="right"/>
            </w:pPr>
            <w:r w:rsidRPr="00115A03">
              <w:t>0.81 (0.36, 1.84)</w:t>
            </w:r>
          </w:p>
        </w:tc>
        <w:tc>
          <w:tcPr>
            <w:tcW w:w="1303" w:type="dxa"/>
          </w:tcPr>
          <w:p w14:paraId="37914BB6" w14:textId="77777777" w:rsidR="000627C0" w:rsidRPr="005A1DB7" w:rsidRDefault="000627C0" w:rsidP="003F39BA">
            <w:pPr>
              <w:spacing w:after="0" w:line="240" w:lineRule="auto"/>
              <w:jc w:val="right"/>
            </w:pPr>
            <w:r w:rsidRPr="00115A03">
              <w:t>0.62</w:t>
            </w:r>
          </w:p>
        </w:tc>
      </w:tr>
      <w:tr w:rsidR="000627C0" w:rsidRPr="00DE37C4" w14:paraId="54C76CA9" w14:textId="77777777" w:rsidTr="003F39BA">
        <w:tc>
          <w:tcPr>
            <w:tcW w:w="2568" w:type="dxa"/>
          </w:tcPr>
          <w:p w14:paraId="48E2C264" w14:textId="77777777" w:rsidR="000627C0" w:rsidRPr="004A1F16" w:rsidRDefault="000627C0" w:rsidP="003F39BA">
            <w:pPr>
              <w:spacing w:after="0" w:line="240" w:lineRule="auto"/>
              <w:rPr>
                <w:rFonts w:eastAsia="Calibri"/>
                <w:i/>
              </w:rPr>
            </w:pPr>
            <w:r w:rsidRPr="00DE37C4">
              <w:rPr>
                <w:rFonts w:eastAsia="Calibri"/>
              </w:rPr>
              <w:t>Deep SSI (MSSA) (PHE)</w:t>
            </w:r>
          </w:p>
        </w:tc>
        <w:tc>
          <w:tcPr>
            <w:tcW w:w="1538" w:type="dxa"/>
            <w:vAlign w:val="bottom"/>
          </w:tcPr>
          <w:p w14:paraId="3E4847DA" w14:textId="77777777" w:rsidR="000627C0" w:rsidRPr="00FB7D28" w:rsidRDefault="000627C0" w:rsidP="003F39BA">
            <w:pPr>
              <w:spacing w:after="0" w:line="240" w:lineRule="auto"/>
              <w:jc w:val="right"/>
            </w:pPr>
            <w:r>
              <w:t>8 (0.13)</w:t>
            </w:r>
          </w:p>
        </w:tc>
        <w:tc>
          <w:tcPr>
            <w:tcW w:w="1844" w:type="dxa"/>
            <w:vAlign w:val="bottom"/>
          </w:tcPr>
          <w:p w14:paraId="75F941A5" w14:textId="77777777" w:rsidR="000627C0" w:rsidRPr="00FB7D28" w:rsidRDefault="000627C0" w:rsidP="003F39BA">
            <w:pPr>
              <w:spacing w:after="0" w:line="240" w:lineRule="auto"/>
              <w:jc w:val="right"/>
            </w:pPr>
            <w:r>
              <w:t>14 (0.16)</w:t>
            </w:r>
          </w:p>
        </w:tc>
        <w:tc>
          <w:tcPr>
            <w:tcW w:w="1757" w:type="dxa"/>
          </w:tcPr>
          <w:p w14:paraId="765853C5" w14:textId="77777777" w:rsidR="000627C0" w:rsidRPr="005A1DB7" w:rsidRDefault="000627C0" w:rsidP="003F39BA">
            <w:pPr>
              <w:spacing w:after="0" w:line="240" w:lineRule="auto"/>
              <w:jc w:val="right"/>
            </w:pPr>
            <w:r w:rsidRPr="00115A03">
              <w:t>1.28 (0.52, 3.16)</w:t>
            </w:r>
          </w:p>
        </w:tc>
        <w:tc>
          <w:tcPr>
            <w:tcW w:w="1303" w:type="dxa"/>
          </w:tcPr>
          <w:p w14:paraId="35929E15" w14:textId="77777777" w:rsidR="000627C0" w:rsidRPr="005A1DB7" w:rsidRDefault="000627C0" w:rsidP="003F39BA">
            <w:pPr>
              <w:spacing w:after="0" w:line="240" w:lineRule="auto"/>
              <w:jc w:val="right"/>
            </w:pPr>
            <w:r w:rsidRPr="00115A03">
              <w:t>0.59</w:t>
            </w:r>
          </w:p>
        </w:tc>
      </w:tr>
      <w:tr w:rsidR="000627C0" w:rsidRPr="00DE37C4" w14:paraId="10A4F5A7" w14:textId="77777777" w:rsidTr="003F39BA">
        <w:tc>
          <w:tcPr>
            <w:tcW w:w="2568" w:type="dxa"/>
          </w:tcPr>
          <w:p w14:paraId="01A071DB" w14:textId="6A209BC7" w:rsidR="000627C0" w:rsidRPr="004A1F16" w:rsidRDefault="00050218" w:rsidP="003F39BA">
            <w:pPr>
              <w:spacing w:after="0" w:line="240" w:lineRule="auto"/>
              <w:rPr>
                <w:rFonts w:eastAsia="Calibri"/>
                <w:i/>
              </w:rPr>
            </w:pPr>
            <w:r>
              <w:rPr>
                <w:rFonts w:eastAsia="Calibri"/>
                <w:i/>
              </w:rPr>
              <w:t xml:space="preserve">Ischaemic heart disease </w:t>
            </w:r>
            <w:r w:rsidR="000627C0">
              <w:rPr>
                <w:rFonts w:eastAsia="Calibri"/>
                <w:i/>
              </w:rPr>
              <w:t>as covariate</w:t>
            </w:r>
          </w:p>
        </w:tc>
        <w:tc>
          <w:tcPr>
            <w:tcW w:w="1538" w:type="dxa"/>
            <w:vAlign w:val="bottom"/>
          </w:tcPr>
          <w:p w14:paraId="033C859A" w14:textId="77777777" w:rsidR="000627C0" w:rsidRPr="00FB7D28" w:rsidRDefault="000627C0" w:rsidP="003F39BA">
            <w:pPr>
              <w:spacing w:after="0" w:line="240" w:lineRule="auto"/>
              <w:jc w:val="center"/>
            </w:pPr>
            <w:r w:rsidRPr="004F2E0D">
              <w:rPr>
                <w:b/>
              </w:rPr>
              <w:t>n=</w:t>
            </w:r>
            <w:r>
              <w:rPr>
                <w:b/>
              </w:rPr>
              <w:t>6138</w:t>
            </w:r>
          </w:p>
        </w:tc>
        <w:tc>
          <w:tcPr>
            <w:tcW w:w="1844" w:type="dxa"/>
            <w:vAlign w:val="bottom"/>
          </w:tcPr>
          <w:p w14:paraId="43DE0A69" w14:textId="77777777" w:rsidR="000627C0" w:rsidRPr="00FB7D28" w:rsidRDefault="000627C0" w:rsidP="003F39BA">
            <w:pPr>
              <w:spacing w:after="0" w:line="240" w:lineRule="auto"/>
              <w:jc w:val="center"/>
            </w:pPr>
            <w:r w:rsidRPr="004F2E0D">
              <w:rPr>
                <w:b/>
              </w:rPr>
              <w:t>n=</w:t>
            </w:r>
            <w:r>
              <w:rPr>
                <w:b/>
              </w:rPr>
              <w:t>12295</w:t>
            </w:r>
          </w:p>
        </w:tc>
        <w:tc>
          <w:tcPr>
            <w:tcW w:w="1757" w:type="dxa"/>
          </w:tcPr>
          <w:p w14:paraId="38423C97" w14:textId="77777777" w:rsidR="000627C0" w:rsidRPr="005A1DB7" w:rsidRDefault="000627C0" w:rsidP="003F39BA">
            <w:pPr>
              <w:spacing w:after="0" w:line="240" w:lineRule="auto"/>
              <w:jc w:val="right"/>
            </w:pPr>
          </w:p>
        </w:tc>
        <w:tc>
          <w:tcPr>
            <w:tcW w:w="1303" w:type="dxa"/>
          </w:tcPr>
          <w:p w14:paraId="601B414C" w14:textId="77777777" w:rsidR="000627C0" w:rsidRPr="005A1DB7" w:rsidRDefault="000627C0" w:rsidP="003F39BA">
            <w:pPr>
              <w:spacing w:after="0" w:line="240" w:lineRule="auto"/>
              <w:jc w:val="right"/>
            </w:pPr>
          </w:p>
        </w:tc>
      </w:tr>
      <w:tr w:rsidR="000627C0" w:rsidRPr="00DE37C4" w14:paraId="6595458B" w14:textId="77777777" w:rsidTr="003F39BA">
        <w:tc>
          <w:tcPr>
            <w:tcW w:w="2568" w:type="dxa"/>
          </w:tcPr>
          <w:p w14:paraId="2370B082" w14:textId="77777777" w:rsidR="000627C0" w:rsidRPr="004A1F16" w:rsidRDefault="000627C0" w:rsidP="003F39BA">
            <w:pPr>
              <w:spacing w:after="0" w:line="240" w:lineRule="auto"/>
              <w:rPr>
                <w:rFonts w:eastAsia="Calibri"/>
                <w:i/>
              </w:rPr>
            </w:pPr>
            <w:r w:rsidRPr="00DE37C4">
              <w:t>Blood transfusion</w:t>
            </w:r>
          </w:p>
        </w:tc>
        <w:tc>
          <w:tcPr>
            <w:tcW w:w="1538" w:type="dxa"/>
            <w:vAlign w:val="bottom"/>
          </w:tcPr>
          <w:p w14:paraId="35301E7A" w14:textId="77777777" w:rsidR="000627C0" w:rsidRPr="00FB7D28" w:rsidRDefault="000627C0" w:rsidP="003F39BA">
            <w:pPr>
              <w:spacing w:after="0" w:line="240" w:lineRule="auto"/>
              <w:jc w:val="right"/>
            </w:pPr>
            <w:r>
              <w:t>176 (2.9)</w:t>
            </w:r>
          </w:p>
        </w:tc>
        <w:tc>
          <w:tcPr>
            <w:tcW w:w="1844" w:type="dxa"/>
            <w:vAlign w:val="bottom"/>
          </w:tcPr>
          <w:p w14:paraId="120E1174" w14:textId="77777777" w:rsidR="000627C0" w:rsidRPr="00FB7D28" w:rsidRDefault="000627C0" w:rsidP="003F39BA">
            <w:pPr>
              <w:spacing w:after="0" w:line="240" w:lineRule="auto"/>
              <w:jc w:val="right"/>
            </w:pPr>
            <w:r>
              <w:t>265 (2.2)</w:t>
            </w:r>
          </w:p>
        </w:tc>
        <w:tc>
          <w:tcPr>
            <w:tcW w:w="1757" w:type="dxa"/>
          </w:tcPr>
          <w:p w14:paraId="40C04E88" w14:textId="77777777" w:rsidR="000627C0" w:rsidRPr="005A1DB7" w:rsidRDefault="000627C0" w:rsidP="003F39BA">
            <w:pPr>
              <w:spacing w:after="0" w:line="240" w:lineRule="auto"/>
              <w:jc w:val="right"/>
            </w:pPr>
            <w:r w:rsidRPr="001A3E71">
              <w:t>0.83 (0.37, 1.86)</w:t>
            </w:r>
          </w:p>
        </w:tc>
        <w:tc>
          <w:tcPr>
            <w:tcW w:w="1303" w:type="dxa"/>
          </w:tcPr>
          <w:p w14:paraId="2C918482" w14:textId="77777777" w:rsidR="000627C0" w:rsidRPr="005A1DB7" w:rsidRDefault="000627C0" w:rsidP="003F39BA">
            <w:pPr>
              <w:spacing w:after="0" w:line="240" w:lineRule="auto"/>
              <w:jc w:val="right"/>
            </w:pPr>
            <w:r w:rsidRPr="001A3E71">
              <w:t>0.65</w:t>
            </w:r>
          </w:p>
        </w:tc>
      </w:tr>
      <w:tr w:rsidR="000627C0" w:rsidRPr="00DE37C4" w14:paraId="4BCAB3A5" w14:textId="77777777" w:rsidTr="003F39BA">
        <w:tc>
          <w:tcPr>
            <w:tcW w:w="2568" w:type="dxa"/>
          </w:tcPr>
          <w:p w14:paraId="2A99C8ED" w14:textId="77777777" w:rsidR="000627C0" w:rsidRPr="00306A9D" w:rsidRDefault="000627C0" w:rsidP="003F39BA">
            <w:pPr>
              <w:spacing w:after="0" w:line="240" w:lineRule="auto"/>
              <w:rPr>
                <w:rFonts w:eastAsia="Calibri"/>
                <w:i/>
              </w:rPr>
            </w:pPr>
            <w:r w:rsidRPr="004F2E0D">
              <w:rPr>
                <w:rFonts w:eastAsia="Calibri"/>
                <w:i/>
              </w:rPr>
              <w:t>Excluding sites with no transfusions</w:t>
            </w:r>
          </w:p>
        </w:tc>
        <w:tc>
          <w:tcPr>
            <w:tcW w:w="1538" w:type="dxa"/>
            <w:vAlign w:val="bottom"/>
          </w:tcPr>
          <w:p w14:paraId="68BE075C" w14:textId="77777777" w:rsidR="000627C0" w:rsidRPr="00560BFB" w:rsidRDefault="000627C0" w:rsidP="003F39BA">
            <w:pPr>
              <w:spacing w:after="0" w:line="240" w:lineRule="auto"/>
              <w:jc w:val="center"/>
              <w:rPr>
                <w:b/>
              </w:rPr>
            </w:pPr>
            <w:r w:rsidRPr="00560BFB">
              <w:rPr>
                <w:b/>
              </w:rPr>
              <w:t>n=6243</w:t>
            </w:r>
          </w:p>
        </w:tc>
        <w:tc>
          <w:tcPr>
            <w:tcW w:w="1844" w:type="dxa"/>
            <w:vAlign w:val="bottom"/>
          </w:tcPr>
          <w:p w14:paraId="5D2D3767" w14:textId="77777777" w:rsidR="000627C0" w:rsidRPr="00560BFB" w:rsidRDefault="000627C0" w:rsidP="003F39BA">
            <w:pPr>
              <w:spacing w:after="0" w:line="240" w:lineRule="auto"/>
              <w:jc w:val="center"/>
              <w:rPr>
                <w:b/>
              </w:rPr>
            </w:pPr>
            <w:r w:rsidRPr="00560BFB">
              <w:rPr>
                <w:b/>
              </w:rPr>
              <w:t>n=1</w:t>
            </w:r>
            <w:r>
              <w:rPr>
                <w:b/>
              </w:rPr>
              <w:t>1</w:t>
            </w:r>
            <w:r w:rsidRPr="00560BFB">
              <w:rPr>
                <w:b/>
              </w:rPr>
              <w:t>965</w:t>
            </w:r>
          </w:p>
        </w:tc>
        <w:tc>
          <w:tcPr>
            <w:tcW w:w="1757" w:type="dxa"/>
          </w:tcPr>
          <w:p w14:paraId="2AB3423C" w14:textId="77777777" w:rsidR="000627C0" w:rsidRPr="005A1DB7" w:rsidRDefault="000627C0" w:rsidP="003F39BA">
            <w:pPr>
              <w:spacing w:after="0" w:line="240" w:lineRule="auto"/>
              <w:jc w:val="right"/>
            </w:pPr>
          </w:p>
        </w:tc>
        <w:tc>
          <w:tcPr>
            <w:tcW w:w="1303" w:type="dxa"/>
          </w:tcPr>
          <w:p w14:paraId="3A00CD24" w14:textId="77777777" w:rsidR="000627C0" w:rsidRPr="005A1DB7" w:rsidRDefault="000627C0" w:rsidP="003F39BA">
            <w:pPr>
              <w:spacing w:after="0" w:line="240" w:lineRule="auto"/>
              <w:jc w:val="right"/>
            </w:pPr>
          </w:p>
        </w:tc>
      </w:tr>
      <w:tr w:rsidR="000627C0" w:rsidRPr="00DE37C4" w14:paraId="31862564" w14:textId="77777777" w:rsidTr="003F39BA">
        <w:tc>
          <w:tcPr>
            <w:tcW w:w="2568" w:type="dxa"/>
          </w:tcPr>
          <w:p w14:paraId="3A5AAB6A" w14:textId="77777777" w:rsidR="000627C0" w:rsidRPr="004A1F16" w:rsidRDefault="000627C0" w:rsidP="003F39BA">
            <w:pPr>
              <w:spacing w:after="0" w:line="240" w:lineRule="auto"/>
              <w:rPr>
                <w:rFonts w:eastAsia="Calibri"/>
                <w:i/>
              </w:rPr>
            </w:pPr>
            <w:r w:rsidRPr="00DE37C4">
              <w:t>Blood transfusion</w:t>
            </w:r>
          </w:p>
        </w:tc>
        <w:tc>
          <w:tcPr>
            <w:tcW w:w="1538" w:type="dxa"/>
            <w:vAlign w:val="bottom"/>
          </w:tcPr>
          <w:p w14:paraId="436EDF9E" w14:textId="77777777" w:rsidR="000627C0" w:rsidRPr="00FB7D28" w:rsidRDefault="000627C0" w:rsidP="003F39BA">
            <w:pPr>
              <w:spacing w:after="0" w:line="240" w:lineRule="auto"/>
              <w:jc w:val="right"/>
            </w:pPr>
            <w:r>
              <w:t>183 (</w:t>
            </w:r>
            <w:r w:rsidRPr="00560BFB">
              <w:t>2.9</w:t>
            </w:r>
            <w:r>
              <w:t>)</w:t>
            </w:r>
          </w:p>
        </w:tc>
        <w:tc>
          <w:tcPr>
            <w:tcW w:w="1844" w:type="dxa"/>
            <w:vAlign w:val="bottom"/>
          </w:tcPr>
          <w:p w14:paraId="0F858FA3" w14:textId="77777777" w:rsidR="000627C0" w:rsidRPr="00FB7D28" w:rsidRDefault="000627C0" w:rsidP="003F39BA">
            <w:pPr>
              <w:spacing w:after="0" w:line="240" w:lineRule="auto"/>
              <w:jc w:val="right"/>
            </w:pPr>
            <w:r>
              <w:t>302 (</w:t>
            </w:r>
            <w:r w:rsidRPr="00560BFB">
              <w:t>2.5</w:t>
            </w:r>
            <w:r>
              <w:t>)</w:t>
            </w:r>
          </w:p>
        </w:tc>
        <w:tc>
          <w:tcPr>
            <w:tcW w:w="1757" w:type="dxa"/>
          </w:tcPr>
          <w:p w14:paraId="11E40E86" w14:textId="77777777" w:rsidR="000627C0" w:rsidRPr="005A1DB7" w:rsidRDefault="000627C0" w:rsidP="003F39BA">
            <w:pPr>
              <w:spacing w:after="0" w:line="240" w:lineRule="auto"/>
              <w:jc w:val="right"/>
            </w:pPr>
            <w:r w:rsidRPr="0017478B">
              <w:t>1.03 (0.52, 2.05)</w:t>
            </w:r>
          </w:p>
        </w:tc>
        <w:tc>
          <w:tcPr>
            <w:tcW w:w="1303" w:type="dxa"/>
          </w:tcPr>
          <w:p w14:paraId="750DE7E5" w14:textId="77777777" w:rsidR="000627C0" w:rsidRPr="005A1DB7" w:rsidRDefault="000627C0" w:rsidP="003F39BA">
            <w:pPr>
              <w:spacing w:after="0" w:line="240" w:lineRule="auto"/>
              <w:jc w:val="right"/>
            </w:pPr>
            <w:r w:rsidRPr="0017478B">
              <w:t>0.94</w:t>
            </w:r>
          </w:p>
        </w:tc>
      </w:tr>
      <w:tr w:rsidR="000627C0" w:rsidRPr="00DE37C4" w14:paraId="14088B21" w14:textId="77777777" w:rsidTr="003F39BA">
        <w:tc>
          <w:tcPr>
            <w:tcW w:w="2568" w:type="dxa"/>
          </w:tcPr>
          <w:p w14:paraId="02554812" w14:textId="77777777" w:rsidR="000627C0" w:rsidRPr="004A1F16" w:rsidRDefault="000627C0" w:rsidP="003F39BA">
            <w:pPr>
              <w:spacing w:after="0" w:line="240" w:lineRule="auto"/>
              <w:rPr>
                <w:rFonts w:eastAsia="Calibri"/>
                <w:i/>
              </w:rPr>
            </w:pPr>
            <w:r w:rsidRPr="004F2E0D">
              <w:rPr>
                <w:rFonts w:eastAsia="Calibri"/>
                <w:i/>
              </w:rPr>
              <w:t xml:space="preserve">Excluding sites with no </w:t>
            </w:r>
            <w:r>
              <w:rPr>
                <w:rFonts w:eastAsia="Calibri"/>
                <w:i/>
              </w:rPr>
              <w:t>reported infections</w:t>
            </w:r>
          </w:p>
        </w:tc>
        <w:tc>
          <w:tcPr>
            <w:tcW w:w="1538" w:type="dxa"/>
            <w:vAlign w:val="bottom"/>
          </w:tcPr>
          <w:p w14:paraId="1CBA8CBE" w14:textId="77777777" w:rsidR="000627C0" w:rsidRPr="00FB7D28" w:rsidRDefault="000627C0" w:rsidP="003F39BA">
            <w:pPr>
              <w:spacing w:after="0" w:line="240" w:lineRule="auto"/>
              <w:jc w:val="center"/>
            </w:pPr>
            <w:r w:rsidRPr="00560BFB">
              <w:rPr>
                <w:b/>
              </w:rPr>
              <w:t>n=6243</w:t>
            </w:r>
          </w:p>
        </w:tc>
        <w:tc>
          <w:tcPr>
            <w:tcW w:w="1844" w:type="dxa"/>
            <w:vAlign w:val="bottom"/>
          </w:tcPr>
          <w:p w14:paraId="3BB62354" w14:textId="77777777" w:rsidR="000627C0" w:rsidRPr="00FB7D28" w:rsidRDefault="000627C0" w:rsidP="003F39BA">
            <w:pPr>
              <w:spacing w:after="0" w:line="240" w:lineRule="auto"/>
              <w:jc w:val="center"/>
            </w:pPr>
            <w:r w:rsidRPr="00560BFB">
              <w:rPr>
                <w:b/>
              </w:rPr>
              <w:t>n=1</w:t>
            </w:r>
            <w:r>
              <w:rPr>
                <w:b/>
              </w:rPr>
              <w:t>1712</w:t>
            </w:r>
          </w:p>
        </w:tc>
        <w:tc>
          <w:tcPr>
            <w:tcW w:w="1757" w:type="dxa"/>
          </w:tcPr>
          <w:p w14:paraId="557610E0" w14:textId="77777777" w:rsidR="000627C0" w:rsidRPr="005A1DB7" w:rsidRDefault="000627C0" w:rsidP="003F39BA">
            <w:pPr>
              <w:spacing w:after="0" w:line="240" w:lineRule="auto"/>
              <w:jc w:val="right"/>
            </w:pPr>
          </w:p>
        </w:tc>
        <w:tc>
          <w:tcPr>
            <w:tcW w:w="1303" w:type="dxa"/>
          </w:tcPr>
          <w:p w14:paraId="2D724688" w14:textId="77777777" w:rsidR="000627C0" w:rsidRPr="005A1DB7" w:rsidRDefault="000627C0" w:rsidP="003F39BA">
            <w:pPr>
              <w:spacing w:after="0" w:line="240" w:lineRule="auto"/>
              <w:jc w:val="right"/>
            </w:pPr>
          </w:p>
        </w:tc>
      </w:tr>
      <w:tr w:rsidR="000627C0" w:rsidRPr="00DE37C4" w14:paraId="0554014F" w14:textId="77777777" w:rsidTr="003F39BA">
        <w:tc>
          <w:tcPr>
            <w:tcW w:w="2568" w:type="dxa"/>
          </w:tcPr>
          <w:p w14:paraId="26CE1B8D" w14:textId="77777777" w:rsidR="000627C0" w:rsidRPr="004A1F16" w:rsidRDefault="000627C0" w:rsidP="003F39BA">
            <w:pPr>
              <w:spacing w:after="0" w:line="240" w:lineRule="auto"/>
              <w:rPr>
                <w:rFonts w:eastAsia="Calibri"/>
                <w:i/>
              </w:rPr>
            </w:pPr>
            <w:r w:rsidRPr="00DE37C4">
              <w:rPr>
                <w:rFonts w:eastAsia="Calibri"/>
              </w:rPr>
              <w:t>Deep SSI (MSSA) (PHE)</w:t>
            </w:r>
          </w:p>
        </w:tc>
        <w:tc>
          <w:tcPr>
            <w:tcW w:w="1538" w:type="dxa"/>
            <w:vAlign w:val="bottom"/>
          </w:tcPr>
          <w:p w14:paraId="4C03AA4B" w14:textId="77777777" w:rsidR="000627C0" w:rsidRPr="00FB7D28" w:rsidRDefault="000627C0" w:rsidP="003F39BA">
            <w:pPr>
              <w:spacing w:after="0" w:line="240" w:lineRule="auto"/>
              <w:jc w:val="right"/>
            </w:pPr>
            <w:r>
              <w:t>8 (0.13)</w:t>
            </w:r>
          </w:p>
        </w:tc>
        <w:tc>
          <w:tcPr>
            <w:tcW w:w="1844" w:type="dxa"/>
            <w:vAlign w:val="bottom"/>
          </w:tcPr>
          <w:p w14:paraId="43A8D052" w14:textId="77777777" w:rsidR="000627C0" w:rsidRPr="00FB7D28" w:rsidRDefault="000627C0" w:rsidP="003F39BA">
            <w:pPr>
              <w:spacing w:after="0" w:line="240" w:lineRule="auto"/>
              <w:jc w:val="right"/>
            </w:pPr>
            <w:r>
              <w:t>18 (0.15)</w:t>
            </w:r>
          </w:p>
        </w:tc>
        <w:tc>
          <w:tcPr>
            <w:tcW w:w="1757" w:type="dxa"/>
          </w:tcPr>
          <w:p w14:paraId="3E4CA1CC" w14:textId="77777777" w:rsidR="000627C0" w:rsidRPr="005A1DB7" w:rsidRDefault="000627C0" w:rsidP="003F39BA">
            <w:pPr>
              <w:spacing w:after="0" w:line="240" w:lineRule="auto"/>
              <w:jc w:val="right"/>
            </w:pPr>
            <w:r w:rsidRPr="00F06370">
              <w:t>1.28 (0.51, 3.24)</w:t>
            </w:r>
          </w:p>
        </w:tc>
        <w:tc>
          <w:tcPr>
            <w:tcW w:w="1303" w:type="dxa"/>
          </w:tcPr>
          <w:p w14:paraId="1CE7D7F1" w14:textId="77777777" w:rsidR="000627C0" w:rsidRPr="005A1DB7" w:rsidRDefault="000627C0" w:rsidP="003F39BA">
            <w:pPr>
              <w:spacing w:after="0" w:line="240" w:lineRule="auto"/>
              <w:jc w:val="right"/>
            </w:pPr>
            <w:r w:rsidRPr="00F06370">
              <w:t>0.60</w:t>
            </w:r>
          </w:p>
        </w:tc>
      </w:tr>
      <w:tr w:rsidR="000627C0" w:rsidRPr="00DE37C4" w14:paraId="501B2000" w14:textId="77777777" w:rsidTr="003F39BA">
        <w:tc>
          <w:tcPr>
            <w:tcW w:w="2568" w:type="dxa"/>
          </w:tcPr>
          <w:p w14:paraId="02C2F57E" w14:textId="77777777" w:rsidR="000627C0" w:rsidRPr="004A1F16" w:rsidRDefault="000627C0" w:rsidP="003F39BA">
            <w:pPr>
              <w:spacing w:after="0" w:line="240" w:lineRule="auto"/>
              <w:rPr>
                <w:rFonts w:eastAsia="Calibri"/>
                <w:i/>
              </w:rPr>
            </w:pPr>
            <w:r w:rsidRPr="004F2E0D">
              <w:rPr>
                <w:rFonts w:eastAsia="Calibri"/>
                <w:i/>
              </w:rPr>
              <w:t xml:space="preserve">Excluding sites </w:t>
            </w:r>
            <w:r>
              <w:rPr>
                <w:rFonts w:eastAsia="Calibri"/>
                <w:i/>
              </w:rPr>
              <w:t>with 100% infection confirmation</w:t>
            </w:r>
          </w:p>
        </w:tc>
        <w:tc>
          <w:tcPr>
            <w:tcW w:w="1538" w:type="dxa"/>
            <w:vAlign w:val="bottom"/>
          </w:tcPr>
          <w:p w14:paraId="0C508252" w14:textId="77777777" w:rsidR="000627C0" w:rsidRPr="00FB7D28" w:rsidRDefault="000627C0" w:rsidP="003F39BA">
            <w:pPr>
              <w:spacing w:after="0" w:line="240" w:lineRule="auto"/>
              <w:jc w:val="center"/>
            </w:pPr>
            <w:r w:rsidRPr="00560BFB">
              <w:rPr>
                <w:b/>
              </w:rPr>
              <w:t>n=</w:t>
            </w:r>
            <w:r>
              <w:rPr>
                <w:b/>
              </w:rPr>
              <w:t>5162</w:t>
            </w:r>
          </w:p>
        </w:tc>
        <w:tc>
          <w:tcPr>
            <w:tcW w:w="1844" w:type="dxa"/>
            <w:vAlign w:val="bottom"/>
          </w:tcPr>
          <w:p w14:paraId="07A44954" w14:textId="77777777" w:rsidR="000627C0" w:rsidRPr="00FB7D28" w:rsidRDefault="000627C0" w:rsidP="003F39BA">
            <w:pPr>
              <w:spacing w:after="0" w:line="240" w:lineRule="auto"/>
              <w:jc w:val="center"/>
            </w:pPr>
            <w:r w:rsidRPr="00560BFB">
              <w:rPr>
                <w:b/>
              </w:rPr>
              <w:t>n=1</w:t>
            </w:r>
            <w:r>
              <w:rPr>
                <w:b/>
              </w:rPr>
              <w:t>1</w:t>
            </w:r>
            <w:r w:rsidRPr="00560BFB">
              <w:rPr>
                <w:b/>
              </w:rPr>
              <w:t>9</w:t>
            </w:r>
            <w:r>
              <w:rPr>
                <w:b/>
              </w:rPr>
              <w:t>03</w:t>
            </w:r>
          </w:p>
        </w:tc>
        <w:tc>
          <w:tcPr>
            <w:tcW w:w="1757" w:type="dxa"/>
          </w:tcPr>
          <w:p w14:paraId="449DD533" w14:textId="77777777" w:rsidR="000627C0" w:rsidRPr="005A1DB7" w:rsidRDefault="000627C0" w:rsidP="003F39BA">
            <w:pPr>
              <w:spacing w:after="0" w:line="240" w:lineRule="auto"/>
              <w:jc w:val="right"/>
            </w:pPr>
          </w:p>
        </w:tc>
        <w:tc>
          <w:tcPr>
            <w:tcW w:w="1303" w:type="dxa"/>
          </w:tcPr>
          <w:p w14:paraId="7608F139" w14:textId="77777777" w:rsidR="000627C0" w:rsidRPr="005A1DB7" w:rsidRDefault="000627C0" w:rsidP="003F39BA">
            <w:pPr>
              <w:spacing w:after="0" w:line="240" w:lineRule="auto"/>
              <w:jc w:val="right"/>
            </w:pPr>
          </w:p>
        </w:tc>
      </w:tr>
      <w:tr w:rsidR="000627C0" w:rsidRPr="00DE37C4" w14:paraId="4F1A0196" w14:textId="77777777" w:rsidTr="003F39BA">
        <w:tc>
          <w:tcPr>
            <w:tcW w:w="2568" w:type="dxa"/>
          </w:tcPr>
          <w:p w14:paraId="3BA7896D" w14:textId="77777777" w:rsidR="000627C0" w:rsidRPr="004A1F16" w:rsidRDefault="000627C0" w:rsidP="003F39BA">
            <w:pPr>
              <w:spacing w:after="0" w:line="240" w:lineRule="auto"/>
              <w:rPr>
                <w:rFonts w:eastAsia="Calibri"/>
                <w:i/>
              </w:rPr>
            </w:pPr>
            <w:r w:rsidRPr="00DE37C4">
              <w:rPr>
                <w:rFonts w:eastAsia="Calibri"/>
              </w:rPr>
              <w:t>Deep SSI (MSSA) (PHE)</w:t>
            </w:r>
          </w:p>
        </w:tc>
        <w:tc>
          <w:tcPr>
            <w:tcW w:w="1538" w:type="dxa"/>
            <w:vAlign w:val="bottom"/>
          </w:tcPr>
          <w:p w14:paraId="254FE3E1" w14:textId="77777777" w:rsidR="000627C0" w:rsidRPr="00FB7D28" w:rsidRDefault="000627C0" w:rsidP="003F39BA">
            <w:pPr>
              <w:spacing w:after="0" w:line="240" w:lineRule="auto"/>
              <w:jc w:val="right"/>
            </w:pPr>
            <w:r>
              <w:t>6 (0.12)</w:t>
            </w:r>
          </w:p>
        </w:tc>
        <w:tc>
          <w:tcPr>
            <w:tcW w:w="1844" w:type="dxa"/>
            <w:vAlign w:val="bottom"/>
          </w:tcPr>
          <w:p w14:paraId="04E5FAF2" w14:textId="77777777" w:rsidR="000627C0" w:rsidRPr="00FB7D28" w:rsidRDefault="000627C0" w:rsidP="003F39BA">
            <w:pPr>
              <w:spacing w:after="0" w:line="240" w:lineRule="auto"/>
              <w:jc w:val="right"/>
            </w:pPr>
            <w:r>
              <w:t>14 (0.12)</w:t>
            </w:r>
          </w:p>
        </w:tc>
        <w:tc>
          <w:tcPr>
            <w:tcW w:w="1757" w:type="dxa"/>
          </w:tcPr>
          <w:p w14:paraId="05D8BEFB" w14:textId="77777777" w:rsidR="000627C0" w:rsidRPr="005A1DB7" w:rsidRDefault="000627C0" w:rsidP="003F39BA">
            <w:pPr>
              <w:spacing w:after="0" w:line="240" w:lineRule="auto"/>
              <w:jc w:val="right"/>
            </w:pPr>
            <w:r w:rsidRPr="00BB7733">
              <w:t>0.85 (0.31, 2.37)</w:t>
            </w:r>
          </w:p>
        </w:tc>
        <w:tc>
          <w:tcPr>
            <w:tcW w:w="1303" w:type="dxa"/>
          </w:tcPr>
          <w:p w14:paraId="672344F9" w14:textId="77777777" w:rsidR="000627C0" w:rsidRPr="005A1DB7" w:rsidRDefault="000627C0" w:rsidP="003F39BA">
            <w:pPr>
              <w:spacing w:after="0" w:line="240" w:lineRule="auto"/>
              <w:jc w:val="right"/>
            </w:pPr>
            <w:r w:rsidRPr="00BB7733">
              <w:t>0.76</w:t>
            </w:r>
          </w:p>
        </w:tc>
      </w:tr>
    </w:tbl>
    <w:p w14:paraId="33BBBE5F" w14:textId="5C67BEE6" w:rsidR="000627C0" w:rsidRPr="0019322B" w:rsidRDefault="000627C0" w:rsidP="000627C0">
      <w:pPr>
        <w:rPr>
          <w:rFonts w:eastAsia="Calibri"/>
          <w:sz w:val="20"/>
          <w:szCs w:val="20"/>
        </w:rPr>
      </w:pPr>
      <w:r w:rsidRPr="00BE3AAE">
        <w:rPr>
          <w:sz w:val="20"/>
          <w:vertAlign w:val="superscript"/>
        </w:rPr>
        <w:t>a</w:t>
      </w:r>
      <w:r>
        <w:rPr>
          <w:sz w:val="20"/>
        </w:rPr>
        <w:t xml:space="preserve"> unless mean (SD), median, minimum, maximum as stated</w:t>
      </w:r>
      <w:r>
        <w:rPr>
          <w:sz w:val="20"/>
        </w:rPr>
        <w:br/>
      </w:r>
      <w:r w:rsidRPr="0015751B">
        <w:rPr>
          <w:sz w:val="20"/>
          <w:vertAlign w:val="superscript"/>
        </w:rPr>
        <w:t xml:space="preserve">b </w:t>
      </w:r>
      <w:r w:rsidRPr="0015751B">
        <w:rPr>
          <w:sz w:val="20"/>
        </w:rPr>
        <w:t>treatment effects associated with infection arm presented</w:t>
      </w:r>
      <w:r>
        <w:rPr>
          <w:sz w:val="20"/>
        </w:rPr>
        <w:br/>
      </w:r>
      <w:r w:rsidRPr="008C7689">
        <w:rPr>
          <w:rFonts w:eastAsia="Calibri"/>
          <w:sz w:val="20"/>
          <w:szCs w:val="20"/>
          <w:vertAlign w:val="superscript"/>
        </w:rPr>
        <w:t xml:space="preserve">c </w:t>
      </w:r>
      <w:r w:rsidRPr="008C7689">
        <w:rPr>
          <w:rFonts w:eastAsia="Calibri"/>
          <w:sz w:val="20"/>
          <w:szCs w:val="20"/>
        </w:rPr>
        <w:t>midnights in hospital</w:t>
      </w:r>
      <w:r>
        <w:rPr>
          <w:rFonts w:eastAsia="Calibri"/>
          <w:sz w:val="20"/>
          <w:szCs w:val="20"/>
        </w:rPr>
        <w:br/>
      </w:r>
      <w:r w:rsidRPr="00984985">
        <w:rPr>
          <w:rFonts w:eastAsia="Calibri"/>
          <w:sz w:val="20"/>
          <w:szCs w:val="20"/>
          <w:vertAlign w:val="superscript"/>
        </w:rPr>
        <w:t>d</w:t>
      </w:r>
      <w:r>
        <w:rPr>
          <w:rFonts w:eastAsia="Calibri"/>
          <w:sz w:val="20"/>
          <w:szCs w:val="20"/>
        </w:rPr>
        <w:t xml:space="preserve"> first analysis includes only those admitted to critical care, second also includes those not admitted to critical care imputing 0 midnights in critical care and using a zero-inflated model</w:t>
      </w:r>
      <w:r w:rsidRPr="008C7689">
        <w:rPr>
          <w:sz w:val="20"/>
          <w:szCs w:val="20"/>
        </w:rPr>
        <w:br/>
      </w:r>
      <w:r w:rsidRPr="00513909">
        <w:rPr>
          <w:sz w:val="20"/>
          <w:szCs w:val="20"/>
        </w:rPr>
        <w:t>SSI, surgical site infection; MSSA, methicillin-</w:t>
      </w:r>
      <w:r w:rsidRPr="00422342">
        <w:rPr>
          <w:sz w:val="20"/>
          <w:szCs w:val="20"/>
        </w:rPr>
        <w:t>susceptible Staphylococcus aureus</w:t>
      </w:r>
      <w:r w:rsidRPr="0019322B">
        <w:rPr>
          <w:sz w:val="20"/>
          <w:szCs w:val="20"/>
        </w:rPr>
        <w:t>; PHE, Public Health England;</w:t>
      </w:r>
      <w:r w:rsidRPr="00306A9D">
        <w:rPr>
          <w:sz w:val="20"/>
          <w:szCs w:val="20"/>
        </w:rPr>
        <w:t xml:space="preserve"> </w:t>
      </w:r>
      <w:r w:rsidRPr="00A032C1">
        <w:rPr>
          <w:sz w:val="20"/>
          <w:szCs w:val="20"/>
        </w:rPr>
        <w:t>CDC, Centre for Disease Control</w:t>
      </w:r>
      <w:r w:rsidRPr="0019322B">
        <w:rPr>
          <w:rFonts w:eastAsia="Calibri"/>
          <w:sz w:val="20"/>
          <w:szCs w:val="20"/>
        </w:rPr>
        <w:t>;</w:t>
      </w:r>
      <w:r>
        <w:rPr>
          <w:rFonts w:eastAsia="Calibri"/>
          <w:sz w:val="20"/>
          <w:szCs w:val="20"/>
        </w:rPr>
        <w:t xml:space="preserve"> OR, odds ratio;</w:t>
      </w:r>
      <w:r w:rsidRPr="0019322B">
        <w:rPr>
          <w:rFonts w:eastAsia="Calibri"/>
          <w:sz w:val="20"/>
          <w:szCs w:val="20"/>
        </w:rPr>
        <w:t xml:space="preserve"> </w:t>
      </w:r>
      <w:r w:rsidRPr="00422342">
        <w:rPr>
          <w:sz w:val="20"/>
          <w:szCs w:val="20"/>
        </w:rPr>
        <w:t>IRR, incidence rate ratio</w:t>
      </w:r>
      <w:r w:rsidRPr="00422342">
        <w:rPr>
          <w:sz w:val="20"/>
          <w:szCs w:val="20"/>
        </w:rPr>
        <w:br/>
      </w:r>
      <w:r w:rsidRPr="00A032C1">
        <w:rPr>
          <w:sz w:val="20"/>
          <w:szCs w:val="20"/>
        </w:rPr>
        <w:t>Deep infections measured up to 90 days post-surgery; superfi</w:t>
      </w:r>
      <w:r w:rsidRPr="006144A4">
        <w:rPr>
          <w:sz w:val="20"/>
          <w:szCs w:val="20"/>
        </w:rPr>
        <w:t xml:space="preserve">cial infections measured up to 30 days post-surgery; unplanned readmission within 30 days of </w:t>
      </w:r>
      <w:r w:rsidRPr="00367573">
        <w:rPr>
          <w:sz w:val="20"/>
          <w:szCs w:val="20"/>
        </w:rPr>
        <w:t>discharge; critical care admissions, and time spent on critical care,</w:t>
      </w:r>
      <w:r w:rsidRPr="00984985">
        <w:rPr>
          <w:sz w:val="20"/>
          <w:szCs w:val="20"/>
        </w:rPr>
        <w:t xml:space="preserve"> up to 30 days post-surgery.</w:t>
      </w:r>
      <w:r>
        <w:rPr>
          <w:sz w:val="20"/>
        </w:rPr>
        <w:t xml:space="preserve"> </w:t>
      </w:r>
    </w:p>
    <w:p w14:paraId="4483050C" w14:textId="77777777" w:rsidR="000627C0" w:rsidRDefault="000627C0" w:rsidP="000627C0">
      <w:pPr>
        <w:widowControl w:val="0"/>
        <w:autoSpaceDE w:val="0"/>
        <w:autoSpaceDN w:val="0"/>
        <w:adjustRightInd w:val="0"/>
        <w:spacing w:after="0" w:line="240" w:lineRule="auto"/>
      </w:pPr>
    </w:p>
    <w:p w14:paraId="71658296" w14:textId="77777777" w:rsidR="000627C0" w:rsidRDefault="000627C0" w:rsidP="000627C0">
      <w:pPr>
        <w:widowControl w:val="0"/>
        <w:autoSpaceDE w:val="0"/>
        <w:autoSpaceDN w:val="0"/>
        <w:adjustRightInd w:val="0"/>
        <w:spacing w:after="0" w:line="240" w:lineRule="auto"/>
      </w:pPr>
    </w:p>
    <w:p w14:paraId="5E4F9D8A" w14:textId="77777777" w:rsidR="000627C0" w:rsidRDefault="000627C0" w:rsidP="000627C0">
      <w:pPr>
        <w:widowControl w:val="0"/>
        <w:autoSpaceDE w:val="0"/>
        <w:autoSpaceDN w:val="0"/>
        <w:adjustRightInd w:val="0"/>
        <w:spacing w:after="0" w:line="240" w:lineRule="auto"/>
      </w:pPr>
    </w:p>
    <w:p w14:paraId="56A87C95" w14:textId="46A6EE4A" w:rsidR="007C6DB7" w:rsidRDefault="007C6DB7" w:rsidP="0046525C">
      <w:pPr>
        <w:pStyle w:val="Caption"/>
        <w:keepNext/>
      </w:pPr>
      <w:bookmarkStart w:id="10" w:name="_Ref71541170"/>
      <w:r>
        <w:t xml:space="preserve">Table </w:t>
      </w:r>
      <w:r w:rsidR="009D4DFE">
        <w:fldChar w:fldCharType="begin"/>
      </w:r>
      <w:r w:rsidR="009D4DFE">
        <w:instrText xml:space="preserve"> SEQ Table \* ARABIC </w:instrText>
      </w:r>
      <w:r w:rsidR="009D4DFE">
        <w:fldChar w:fldCharType="separate"/>
      </w:r>
      <w:r w:rsidR="005F7BCC">
        <w:rPr>
          <w:noProof/>
        </w:rPr>
        <w:t>6</w:t>
      </w:r>
      <w:r w:rsidR="009D4DFE">
        <w:rPr>
          <w:noProof/>
        </w:rPr>
        <w:fldChar w:fldCharType="end"/>
      </w:r>
      <w:bookmarkEnd w:id="10"/>
      <w:r>
        <w:t>: Breakdown of transfusion and SSI outcomes by type of procedure</w:t>
      </w:r>
      <w:r w:rsidR="00D76E63">
        <w:t>, where procedure known</w:t>
      </w:r>
    </w:p>
    <w:tbl>
      <w:tblPr>
        <w:tblStyle w:val="TableGrid"/>
        <w:tblW w:w="0" w:type="auto"/>
        <w:tblLook w:val="04A0" w:firstRow="1" w:lastRow="0" w:firstColumn="1" w:lastColumn="0" w:noHBand="0" w:noVBand="1"/>
      </w:tblPr>
      <w:tblGrid>
        <w:gridCol w:w="2689"/>
        <w:gridCol w:w="708"/>
        <w:gridCol w:w="2127"/>
        <w:gridCol w:w="2693"/>
      </w:tblGrid>
      <w:tr w:rsidR="00864B9F" w14:paraId="7AA3F5EC" w14:textId="3E9500B6" w:rsidTr="007C6DB7">
        <w:tc>
          <w:tcPr>
            <w:tcW w:w="2689" w:type="dxa"/>
          </w:tcPr>
          <w:p w14:paraId="5898385F" w14:textId="77777777" w:rsidR="00864B9F" w:rsidRDefault="00864B9F" w:rsidP="00AD493B"/>
        </w:tc>
        <w:tc>
          <w:tcPr>
            <w:tcW w:w="708" w:type="dxa"/>
          </w:tcPr>
          <w:p w14:paraId="62B782E1" w14:textId="25E487D0" w:rsidR="00864B9F" w:rsidRDefault="00864B9F" w:rsidP="00AD493B"/>
        </w:tc>
        <w:tc>
          <w:tcPr>
            <w:tcW w:w="2127" w:type="dxa"/>
          </w:tcPr>
          <w:p w14:paraId="3524EF52" w14:textId="364D5D21" w:rsidR="00864B9F" w:rsidRDefault="00864B9F" w:rsidP="00AD493B">
            <w:r>
              <w:t>QIST: Anaemia arm</w:t>
            </w:r>
          </w:p>
        </w:tc>
        <w:tc>
          <w:tcPr>
            <w:tcW w:w="2693" w:type="dxa"/>
          </w:tcPr>
          <w:p w14:paraId="7549164A" w14:textId="75F21708" w:rsidR="00864B9F" w:rsidRDefault="00864B9F" w:rsidP="00AD493B">
            <w:r>
              <w:t>QIST: Infection arm</w:t>
            </w:r>
          </w:p>
        </w:tc>
      </w:tr>
      <w:tr w:rsidR="00D76E63" w14:paraId="5C8F7AF5" w14:textId="0FE8FC5D" w:rsidTr="007C6DB7">
        <w:tc>
          <w:tcPr>
            <w:tcW w:w="2689" w:type="dxa"/>
            <w:vMerge w:val="restart"/>
          </w:tcPr>
          <w:p w14:paraId="7F1E4635" w14:textId="4E05A4B0" w:rsidR="00D76E63" w:rsidRDefault="00D76E63" w:rsidP="00D76E63">
            <w:r>
              <w:t>Transfusion (n, %)</w:t>
            </w:r>
          </w:p>
        </w:tc>
        <w:tc>
          <w:tcPr>
            <w:tcW w:w="708" w:type="dxa"/>
          </w:tcPr>
          <w:p w14:paraId="4778599D" w14:textId="5F215993" w:rsidR="00D76E63" w:rsidRDefault="00D76E63" w:rsidP="00D76E63">
            <w:r>
              <w:t>THR</w:t>
            </w:r>
          </w:p>
        </w:tc>
        <w:tc>
          <w:tcPr>
            <w:tcW w:w="2127" w:type="dxa"/>
          </w:tcPr>
          <w:p w14:paraId="6F12A756" w14:textId="010ECAF9" w:rsidR="00D76E63" w:rsidRDefault="00D76E63" w:rsidP="00D76E63">
            <w:r>
              <w:t>138/3175 (4.3)</w:t>
            </w:r>
          </w:p>
        </w:tc>
        <w:tc>
          <w:tcPr>
            <w:tcW w:w="2693" w:type="dxa"/>
          </w:tcPr>
          <w:p w14:paraId="7826296A" w14:textId="2F8D657C" w:rsidR="00D76E63" w:rsidRDefault="00D76E63" w:rsidP="00D76E63">
            <w:r>
              <w:t>179/6118 (2.9)</w:t>
            </w:r>
          </w:p>
        </w:tc>
      </w:tr>
      <w:tr w:rsidR="00D76E63" w14:paraId="2AB82DB3" w14:textId="6B0FB919" w:rsidTr="007C6DB7">
        <w:tc>
          <w:tcPr>
            <w:tcW w:w="2689" w:type="dxa"/>
            <w:vMerge/>
          </w:tcPr>
          <w:p w14:paraId="076D01A4" w14:textId="77777777" w:rsidR="00D76E63" w:rsidRDefault="00D76E63" w:rsidP="00D76E63"/>
        </w:tc>
        <w:tc>
          <w:tcPr>
            <w:tcW w:w="708" w:type="dxa"/>
          </w:tcPr>
          <w:p w14:paraId="7BE4B4FC" w14:textId="034B604E" w:rsidR="00D76E63" w:rsidRDefault="00D76E63" w:rsidP="00D76E63">
            <w:r>
              <w:t>TKR</w:t>
            </w:r>
          </w:p>
        </w:tc>
        <w:tc>
          <w:tcPr>
            <w:tcW w:w="2127" w:type="dxa"/>
          </w:tcPr>
          <w:p w14:paraId="10002189" w14:textId="5E4401DD" w:rsidR="00D76E63" w:rsidRDefault="00D76E63" w:rsidP="00D76E63">
            <w:r>
              <w:t>45/31</w:t>
            </w:r>
            <w:r w:rsidR="00082B26">
              <w:t>35</w:t>
            </w:r>
            <w:r>
              <w:t xml:space="preserve"> (1.4)</w:t>
            </w:r>
          </w:p>
        </w:tc>
        <w:tc>
          <w:tcPr>
            <w:tcW w:w="2693" w:type="dxa"/>
          </w:tcPr>
          <w:p w14:paraId="553CDC02" w14:textId="32C598AF" w:rsidR="00D76E63" w:rsidRDefault="00D76E63" w:rsidP="00D76E63">
            <w:r>
              <w:t>123/6506 (1.9)</w:t>
            </w:r>
          </w:p>
        </w:tc>
      </w:tr>
      <w:tr w:rsidR="00D76E63" w14:paraId="69F40200" w14:textId="1AD1102C" w:rsidTr="007C6DB7">
        <w:tc>
          <w:tcPr>
            <w:tcW w:w="2689" w:type="dxa"/>
            <w:vMerge w:val="restart"/>
          </w:tcPr>
          <w:p w14:paraId="76BE01AB" w14:textId="53533E6F" w:rsidR="00D76E63" w:rsidRDefault="00D76E63" w:rsidP="00D76E63">
            <w:r>
              <w:t>Deep SSI (MSSA n, %)</w:t>
            </w:r>
          </w:p>
        </w:tc>
        <w:tc>
          <w:tcPr>
            <w:tcW w:w="708" w:type="dxa"/>
          </w:tcPr>
          <w:p w14:paraId="7252EE8F" w14:textId="7C1CBF17" w:rsidR="00D76E63" w:rsidRDefault="00D76E63" w:rsidP="00D76E63">
            <w:r>
              <w:t>THR</w:t>
            </w:r>
          </w:p>
        </w:tc>
        <w:tc>
          <w:tcPr>
            <w:tcW w:w="2127" w:type="dxa"/>
          </w:tcPr>
          <w:p w14:paraId="7296E473" w14:textId="617F4C3C" w:rsidR="00D76E63" w:rsidRDefault="00D76E63" w:rsidP="00D76E63">
            <w:r>
              <w:t>4/3175 (0.1)</w:t>
            </w:r>
          </w:p>
        </w:tc>
        <w:tc>
          <w:tcPr>
            <w:tcW w:w="2693" w:type="dxa"/>
          </w:tcPr>
          <w:p w14:paraId="61661A7C" w14:textId="6B9C91C1" w:rsidR="00D76E63" w:rsidRDefault="00D76E63" w:rsidP="00D76E63">
            <w:r>
              <w:t>9/6118 (0.1)</w:t>
            </w:r>
          </w:p>
        </w:tc>
      </w:tr>
      <w:tr w:rsidR="00D76E63" w14:paraId="48A2DB18" w14:textId="77777777" w:rsidTr="007C6DB7">
        <w:tc>
          <w:tcPr>
            <w:tcW w:w="2689" w:type="dxa"/>
            <w:vMerge/>
          </w:tcPr>
          <w:p w14:paraId="68520EE1" w14:textId="77777777" w:rsidR="00D76E63" w:rsidRDefault="00D76E63" w:rsidP="00D76E63"/>
        </w:tc>
        <w:tc>
          <w:tcPr>
            <w:tcW w:w="708" w:type="dxa"/>
          </w:tcPr>
          <w:p w14:paraId="2F11C2C7" w14:textId="75DBCA51" w:rsidR="00D76E63" w:rsidRDefault="00D76E63" w:rsidP="00D76E63">
            <w:r>
              <w:t>TKR</w:t>
            </w:r>
          </w:p>
        </w:tc>
        <w:tc>
          <w:tcPr>
            <w:tcW w:w="2127" w:type="dxa"/>
          </w:tcPr>
          <w:p w14:paraId="576A1B7E" w14:textId="67FEA15A" w:rsidR="00D76E63" w:rsidRDefault="00D76E63" w:rsidP="00D76E63">
            <w:r>
              <w:t>4/31</w:t>
            </w:r>
            <w:r w:rsidR="00082B26">
              <w:t>35</w:t>
            </w:r>
            <w:r>
              <w:t xml:space="preserve"> (0.1)</w:t>
            </w:r>
          </w:p>
        </w:tc>
        <w:tc>
          <w:tcPr>
            <w:tcW w:w="2693" w:type="dxa"/>
          </w:tcPr>
          <w:p w14:paraId="1CAD8A64" w14:textId="7539F6E6" w:rsidR="00D76E63" w:rsidRDefault="00D76E63" w:rsidP="00D76E63">
            <w:r>
              <w:t>9/6506 (0.1)</w:t>
            </w:r>
          </w:p>
        </w:tc>
      </w:tr>
      <w:tr w:rsidR="00D76E63" w14:paraId="7C6FE1FA" w14:textId="77777777" w:rsidTr="007C6DB7">
        <w:tc>
          <w:tcPr>
            <w:tcW w:w="2689" w:type="dxa"/>
            <w:vMerge w:val="restart"/>
          </w:tcPr>
          <w:p w14:paraId="366F2A40" w14:textId="0865DBCF" w:rsidR="00D76E63" w:rsidRDefault="00D76E63" w:rsidP="00D76E63">
            <w:r>
              <w:t>Deep SSI (any organism n, %)</w:t>
            </w:r>
          </w:p>
        </w:tc>
        <w:tc>
          <w:tcPr>
            <w:tcW w:w="708" w:type="dxa"/>
          </w:tcPr>
          <w:p w14:paraId="61B4A0F4" w14:textId="30D72D1B" w:rsidR="00D76E63" w:rsidRDefault="00D76E63" w:rsidP="00D76E63">
            <w:r>
              <w:t>THR</w:t>
            </w:r>
          </w:p>
        </w:tc>
        <w:tc>
          <w:tcPr>
            <w:tcW w:w="2127" w:type="dxa"/>
          </w:tcPr>
          <w:p w14:paraId="698FAA52" w14:textId="4BC1C75F" w:rsidR="00D76E63" w:rsidRDefault="00D76E63" w:rsidP="00D76E63">
            <w:r>
              <w:t>15/3175 (0.5)</w:t>
            </w:r>
          </w:p>
        </w:tc>
        <w:tc>
          <w:tcPr>
            <w:tcW w:w="2693" w:type="dxa"/>
          </w:tcPr>
          <w:p w14:paraId="47860B64" w14:textId="640A5E0D" w:rsidR="00D76E63" w:rsidRDefault="00D76E63" w:rsidP="00D76E63">
            <w:r>
              <w:t>26/6118 (0.4)</w:t>
            </w:r>
          </w:p>
        </w:tc>
      </w:tr>
      <w:tr w:rsidR="00D76E63" w14:paraId="3D7129E4" w14:textId="77777777" w:rsidTr="007C6DB7">
        <w:tc>
          <w:tcPr>
            <w:tcW w:w="2689" w:type="dxa"/>
            <w:vMerge/>
          </w:tcPr>
          <w:p w14:paraId="30093CB3" w14:textId="77777777" w:rsidR="00D76E63" w:rsidRDefault="00D76E63" w:rsidP="00D76E63"/>
        </w:tc>
        <w:tc>
          <w:tcPr>
            <w:tcW w:w="708" w:type="dxa"/>
          </w:tcPr>
          <w:p w14:paraId="6D6A61F0" w14:textId="49EA2C71" w:rsidR="00D76E63" w:rsidRDefault="00D76E63" w:rsidP="00D76E63">
            <w:r>
              <w:t>TKR</w:t>
            </w:r>
          </w:p>
        </w:tc>
        <w:tc>
          <w:tcPr>
            <w:tcW w:w="2127" w:type="dxa"/>
          </w:tcPr>
          <w:p w14:paraId="253C15E5" w14:textId="245BFC06" w:rsidR="00D76E63" w:rsidRDefault="00D76E63" w:rsidP="00D76E63">
            <w:r>
              <w:t>8/31</w:t>
            </w:r>
            <w:r w:rsidR="00082B26">
              <w:t>35</w:t>
            </w:r>
            <w:r>
              <w:t xml:space="preserve"> (0.3)</w:t>
            </w:r>
          </w:p>
        </w:tc>
        <w:tc>
          <w:tcPr>
            <w:tcW w:w="2693" w:type="dxa"/>
          </w:tcPr>
          <w:p w14:paraId="0D20C6A4" w14:textId="7BE63B58" w:rsidR="00D76E63" w:rsidRDefault="00D76E63" w:rsidP="00D76E63">
            <w:r>
              <w:t>22/6506 (0.4)</w:t>
            </w:r>
          </w:p>
        </w:tc>
      </w:tr>
    </w:tbl>
    <w:p w14:paraId="29FFC0F3" w14:textId="2833A3E5" w:rsidR="00864B9F" w:rsidRDefault="00864B9F" w:rsidP="00AD493B"/>
    <w:p w14:paraId="602352D1" w14:textId="462D18D5" w:rsidR="00FE48D0" w:rsidRDefault="00FE48D0">
      <w:pPr>
        <w:spacing w:after="0" w:line="240" w:lineRule="auto"/>
      </w:pPr>
      <w:r>
        <w:br w:type="page"/>
      </w:r>
    </w:p>
    <w:p w14:paraId="366EA2AA" w14:textId="69B60A15" w:rsidR="00FE48D0" w:rsidRDefault="00FE48D0" w:rsidP="00FE48D0">
      <w:pPr>
        <w:pStyle w:val="Caption"/>
        <w:keepNext/>
      </w:pPr>
      <w:r>
        <w:t xml:space="preserve">Supplementary </w:t>
      </w:r>
      <w:r w:rsidR="00E842C1">
        <w:t>F</w:t>
      </w:r>
      <w:r>
        <w:t>ile 1:</w:t>
      </w:r>
      <w:r w:rsidR="00290C43">
        <w:t xml:space="preserve"> </w:t>
      </w:r>
      <w:r w:rsidRPr="007414DB">
        <w:t xml:space="preserve">Summary of how elements of the </w:t>
      </w:r>
      <w:r w:rsidR="00B9376C" w:rsidRPr="00B9376C">
        <w:t xml:space="preserve">Institute for Healthcare Improvement </w:t>
      </w:r>
      <w:r w:rsidRPr="007414DB">
        <w:t>Breakthrough Series Collaborative model were applied to the Quality Improvement for Surgical Teams (QIST) collaboratives</w:t>
      </w:r>
    </w:p>
    <w:tbl>
      <w:tblPr>
        <w:tblStyle w:val="TableGrid"/>
        <w:tblW w:w="14884" w:type="dxa"/>
        <w:tblInd w:w="-5" w:type="dxa"/>
        <w:tblLook w:val="04A0" w:firstRow="1" w:lastRow="0" w:firstColumn="1" w:lastColumn="0" w:noHBand="0" w:noVBand="1"/>
      </w:tblPr>
      <w:tblGrid>
        <w:gridCol w:w="1367"/>
        <w:gridCol w:w="13517"/>
      </w:tblGrid>
      <w:tr w:rsidR="00FE48D0" w:rsidRPr="00035759" w14:paraId="1AA8E1A8" w14:textId="77777777" w:rsidTr="003F39BA">
        <w:trPr>
          <w:trHeight w:val="381"/>
        </w:trPr>
        <w:tc>
          <w:tcPr>
            <w:tcW w:w="1367" w:type="dxa"/>
            <w:tcBorders>
              <w:top w:val="single" w:sz="4" w:space="0" w:color="auto"/>
            </w:tcBorders>
          </w:tcPr>
          <w:p w14:paraId="4D63238E" w14:textId="77777777" w:rsidR="00FE48D0" w:rsidRPr="0050087A" w:rsidRDefault="00FE48D0" w:rsidP="003F39BA">
            <w:pPr>
              <w:widowControl w:val="0"/>
              <w:autoSpaceDE w:val="0"/>
              <w:autoSpaceDN w:val="0"/>
              <w:adjustRightInd w:val="0"/>
              <w:spacing w:after="0" w:line="240" w:lineRule="auto"/>
              <w:jc w:val="center"/>
              <w:rPr>
                <w:rFonts w:cs="Times New Roman"/>
                <w:b/>
              </w:rPr>
            </w:pPr>
            <w:r w:rsidRPr="0050087A">
              <w:rPr>
                <w:rFonts w:cs="Times New Roman"/>
                <w:b/>
              </w:rPr>
              <w:t>Elements of Collaborative</w:t>
            </w:r>
          </w:p>
        </w:tc>
        <w:tc>
          <w:tcPr>
            <w:tcW w:w="13517" w:type="dxa"/>
            <w:tcBorders>
              <w:top w:val="single" w:sz="4" w:space="0" w:color="auto"/>
            </w:tcBorders>
          </w:tcPr>
          <w:p w14:paraId="6F57E995" w14:textId="77777777" w:rsidR="00FE48D0" w:rsidRPr="0050087A" w:rsidRDefault="00FE48D0" w:rsidP="003F39BA">
            <w:pPr>
              <w:widowControl w:val="0"/>
              <w:autoSpaceDE w:val="0"/>
              <w:autoSpaceDN w:val="0"/>
              <w:adjustRightInd w:val="0"/>
              <w:spacing w:after="0" w:line="240" w:lineRule="auto"/>
              <w:jc w:val="center"/>
              <w:rPr>
                <w:rFonts w:cs="Times New Roman"/>
                <w:b/>
              </w:rPr>
            </w:pPr>
            <w:r w:rsidRPr="0050087A">
              <w:rPr>
                <w:rFonts w:cs="Times New Roman"/>
                <w:b/>
              </w:rPr>
              <w:t xml:space="preserve">How </w:t>
            </w:r>
            <w:r>
              <w:rPr>
                <w:rFonts w:cs="Times New Roman"/>
                <w:b/>
              </w:rPr>
              <w:t xml:space="preserve">quality improvement collaboratives were </w:t>
            </w:r>
            <w:r w:rsidRPr="0050087A">
              <w:rPr>
                <w:rFonts w:cs="Times New Roman"/>
                <w:b/>
              </w:rPr>
              <w:t xml:space="preserve">delivered during </w:t>
            </w:r>
            <w:r>
              <w:rPr>
                <w:rFonts w:cs="Times New Roman"/>
                <w:b/>
              </w:rPr>
              <w:t xml:space="preserve">the </w:t>
            </w:r>
            <w:r w:rsidRPr="0050087A">
              <w:rPr>
                <w:rFonts w:cs="Times New Roman"/>
                <w:b/>
              </w:rPr>
              <w:t>QIST trial</w:t>
            </w:r>
          </w:p>
        </w:tc>
      </w:tr>
      <w:tr w:rsidR="00FE48D0" w:rsidRPr="00035759" w14:paraId="027B87B2" w14:textId="77777777" w:rsidTr="003F39BA">
        <w:trPr>
          <w:trHeight w:val="182"/>
        </w:trPr>
        <w:tc>
          <w:tcPr>
            <w:tcW w:w="1367" w:type="dxa"/>
          </w:tcPr>
          <w:p w14:paraId="5BE5AC7E" w14:textId="77777777" w:rsidR="00FE48D0" w:rsidRPr="0050087A" w:rsidRDefault="00FE48D0" w:rsidP="003F39BA">
            <w:pPr>
              <w:widowControl w:val="0"/>
              <w:autoSpaceDE w:val="0"/>
              <w:autoSpaceDN w:val="0"/>
              <w:adjustRightInd w:val="0"/>
              <w:spacing w:after="0" w:line="240" w:lineRule="auto"/>
              <w:rPr>
                <w:rFonts w:cs="Times New Roman"/>
              </w:rPr>
            </w:pPr>
            <w:r w:rsidRPr="0050087A">
              <w:rPr>
                <w:rFonts w:cs="Times New Roman"/>
              </w:rPr>
              <w:t>Topic Selection</w:t>
            </w:r>
          </w:p>
        </w:tc>
        <w:tc>
          <w:tcPr>
            <w:tcW w:w="13517" w:type="dxa"/>
          </w:tcPr>
          <w:p w14:paraId="15173C09" w14:textId="77777777" w:rsidR="00FE48D0" w:rsidRPr="0050087A" w:rsidRDefault="00FE48D0" w:rsidP="003F39BA">
            <w:pPr>
              <w:pStyle w:val="ListParagraph"/>
              <w:widowControl w:val="0"/>
              <w:numPr>
                <w:ilvl w:val="0"/>
                <w:numId w:val="21"/>
              </w:numPr>
              <w:autoSpaceDE w:val="0"/>
              <w:autoSpaceDN w:val="0"/>
              <w:adjustRightInd w:val="0"/>
              <w:spacing w:after="0" w:line="240" w:lineRule="auto"/>
              <w:rPr>
                <w:rFonts w:cs="Times New Roman"/>
              </w:rPr>
            </w:pPr>
            <w:r w:rsidRPr="0050087A">
              <w:rPr>
                <w:rFonts w:cs="Times New Roman"/>
              </w:rPr>
              <w:t xml:space="preserve">Real-world improvements seen with these MSSA and </w:t>
            </w:r>
            <w:r w:rsidRPr="00035759">
              <w:rPr>
                <w:rFonts w:cs="Times New Roman"/>
              </w:rPr>
              <w:t>anaemia</w:t>
            </w:r>
            <w:r w:rsidRPr="0050087A">
              <w:rPr>
                <w:rFonts w:cs="Times New Roman"/>
              </w:rPr>
              <w:t xml:space="preserve"> screening protocols</w:t>
            </w:r>
          </w:p>
          <w:p w14:paraId="3766EC14" w14:textId="77777777" w:rsidR="00FE48D0" w:rsidRPr="0050087A" w:rsidRDefault="00FE48D0" w:rsidP="003F39BA">
            <w:pPr>
              <w:pStyle w:val="ListParagraph"/>
              <w:widowControl w:val="0"/>
              <w:numPr>
                <w:ilvl w:val="0"/>
                <w:numId w:val="21"/>
              </w:numPr>
              <w:autoSpaceDE w:val="0"/>
              <w:autoSpaceDN w:val="0"/>
              <w:adjustRightInd w:val="0"/>
              <w:spacing w:after="0" w:line="240" w:lineRule="auto"/>
              <w:rPr>
                <w:rFonts w:cs="Times New Roman"/>
              </w:rPr>
            </w:pPr>
            <w:r w:rsidRPr="0050087A">
              <w:rPr>
                <w:rFonts w:cs="Times New Roman"/>
              </w:rPr>
              <w:t>They are not yet widely used across the NHS</w:t>
            </w:r>
          </w:p>
        </w:tc>
      </w:tr>
      <w:tr w:rsidR="00FE48D0" w:rsidRPr="00035759" w14:paraId="16242F36" w14:textId="77777777" w:rsidTr="003F39BA">
        <w:trPr>
          <w:trHeight w:val="182"/>
        </w:trPr>
        <w:tc>
          <w:tcPr>
            <w:tcW w:w="1367" w:type="dxa"/>
          </w:tcPr>
          <w:p w14:paraId="581175A1" w14:textId="77777777" w:rsidR="00FE48D0" w:rsidRPr="0050087A" w:rsidRDefault="00FE48D0" w:rsidP="003F39BA">
            <w:pPr>
              <w:widowControl w:val="0"/>
              <w:autoSpaceDE w:val="0"/>
              <w:autoSpaceDN w:val="0"/>
              <w:adjustRightInd w:val="0"/>
              <w:spacing w:after="0" w:line="240" w:lineRule="auto"/>
              <w:rPr>
                <w:rFonts w:cs="Times New Roman"/>
              </w:rPr>
            </w:pPr>
            <w:r w:rsidRPr="0050087A">
              <w:rPr>
                <w:rFonts w:cs="Times New Roman"/>
              </w:rPr>
              <w:t>Faculty Recruitment</w:t>
            </w:r>
          </w:p>
        </w:tc>
        <w:tc>
          <w:tcPr>
            <w:tcW w:w="13517" w:type="dxa"/>
          </w:tcPr>
          <w:p w14:paraId="30DA83A6" w14:textId="07ADBC12" w:rsidR="00FE48D0" w:rsidRPr="0050087A" w:rsidRDefault="00FE48D0" w:rsidP="00B9376C">
            <w:pPr>
              <w:pStyle w:val="ListParagraph"/>
              <w:widowControl w:val="0"/>
              <w:numPr>
                <w:ilvl w:val="0"/>
                <w:numId w:val="5"/>
              </w:numPr>
              <w:autoSpaceDE w:val="0"/>
              <w:autoSpaceDN w:val="0"/>
              <w:adjustRightInd w:val="0"/>
              <w:spacing w:after="0" w:line="240" w:lineRule="auto"/>
              <w:rPr>
                <w:rFonts w:cs="Times New Roman"/>
              </w:rPr>
            </w:pPr>
            <w:r w:rsidRPr="0050087A">
              <w:rPr>
                <w:rFonts w:cs="Times New Roman"/>
              </w:rPr>
              <w:t xml:space="preserve">CI </w:t>
            </w:r>
            <w:r>
              <w:rPr>
                <w:rFonts w:cs="Times New Roman"/>
              </w:rPr>
              <w:t xml:space="preserve">(Mike Reed) </w:t>
            </w:r>
            <w:r w:rsidRPr="0050087A">
              <w:rPr>
                <w:rFonts w:cs="Times New Roman"/>
              </w:rPr>
              <w:t xml:space="preserve">and clinical </w:t>
            </w:r>
            <w:r>
              <w:rPr>
                <w:rFonts w:cs="Times New Roman"/>
              </w:rPr>
              <w:t xml:space="preserve">lead (Ashley Scrimshire) </w:t>
            </w:r>
            <w:r w:rsidRPr="0050087A">
              <w:rPr>
                <w:rFonts w:cs="Times New Roman"/>
              </w:rPr>
              <w:t xml:space="preserve">both completed the </w:t>
            </w:r>
            <w:r w:rsidR="00B9376C" w:rsidRPr="00B9376C">
              <w:rPr>
                <w:rFonts w:cs="Times New Roman"/>
              </w:rPr>
              <w:t xml:space="preserve">Institute for Healthcare Improvement </w:t>
            </w:r>
            <w:r w:rsidRPr="0050087A">
              <w:rPr>
                <w:rFonts w:cs="Times New Roman"/>
              </w:rPr>
              <w:t xml:space="preserve">Breakthough Series College training </w:t>
            </w:r>
            <w:r>
              <w:rPr>
                <w:rFonts w:cs="Times New Roman"/>
              </w:rPr>
              <w:t xml:space="preserve">in Boston, USA </w:t>
            </w:r>
            <w:r w:rsidRPr="0050087A">
              <w:rPr>
                <w:rFonts w:cs="Times New Roman"/>
              </w:rPr>
              <w:t>before commencement of the QIST collaboratives</w:t>
            </w:r>
          </w:p>
          <w:p w14:paraId="49F93FD6" w14:textId="77777777" w:rsidR="00FE48D0" w:rsidRPr="0050087A" w:rsidRDefault="00FE48D0" w:rsidP="003F39BA">
            <w:pPr>
              <w:pStyle w:val="ListParagraph"/>
              <w:widowControl w:val="0"/>
              <w:autoSpaceDE w:val="0"/>
              <w:autoSpaceDN w:val="0"/>
              <w:adjustRightInd w:val="0"/>
              <w:spacing w:after="0" w:line="240" w:lineRule="auto"/>
              <w:rPr>
                <w:rFonts w:cs="Times New Roman"/>
              </w:rPr>
            </w:pPr>
          </w:p>
          <w:p w14:paraId="7A12C7FC" w14:textId="77777777" w:rsidR="00FE48D0" w:rsidRPr="0050087A" w:rsidRDefault="00FE48D0" w:rsidP="003F39BA">
            <w:pPr>
              <w:pStyle w:val="ListParagraph"/>
              <w:widowControl w:val="0"/>
              <w:numPr>
                <w:ilvl w:val="0"/>
                <w:numId w:val="5"/>
              </w:numPr>
              <w:autoSpaceDE w:val="0"/>
              <w:autoSpaceDN w:val="0"/>
              <w:adjustRightInd w:val="0"/>
              <w:spacing w:after="0" w:line="240" w:lineRule="auto"/>
              <w:rPr>
                <w:rFonts w:cs="Times New Roman"/>
              </w:rPr>
            </w:pPr>
            <w:r>
              <w:rPr>
                <w:rFonts w:cs="Times New Roman"/>
              </w:rPr>
              <w:t>In addition, a</w:t>
            </w:r>
            <w:r w:rsidRPr="0050087A">
              <w:rPr>
                <w:rFonts w:cs="Times New Roman"/>
              </w:rPr>
              <w:t xml:space="preserve"> team of expert faculty were recruited and participated in the development and delivery of the QIST collaboratives. The faculty include: </w:t>
            </w:r>
          </w:p>
          <w:p w14:paraId="06E445A2" w14:textId="77777777" w:rsidR="00CE43AD" w:rsidRPr="00CE43AD" w:rsidRDefault="00CE43AD" w:rsidP="00610F23">
            <w:pPr>
              <w:pStyle w:val="ListParagraph"/>
              <w:rPr>
                <w:rFonts w:cs="Times New Roman"/>
              </w:rPr>
            </w:pPr>
          </w:p>
          <w:p w14:paraId="3D8F072F" w14:textId="77777777" w:rsidR="00FE48D0" w:rsidRPr="0050087A" w:rsidRDefault="00FE48D0" w:rsidP="003F39BA">
            <w:pPr>
              <w:pStyle w:val="ListParagraph"/>
              <w:widowControl w:val="0"/>
              <w:numPr>
                <w:ilvl w:val="1"/>
                <w:numId w:val="5"/>
              </w:numPr>
              <w:autoSpaceDE w:val="0"/>
              <w:autoSpaceDN w:val="0"/>
              <w:adjustRightInd w:val="0"/>
              <w:spacing w:after="0" w:line="240" w:lineRule="auto"/>
              <w:rPr>
                <w:rFonts w:cs="Times New Roman"/>
              </w:rPr>
            </w:pPr>
            <w:r w:rsidRPr="0050087A">
              <w:rPr>
                <w:rFonts w:cs="Times New Roman"/>
              </w:rPr>
              <w:t>QIST: Anaemia: Dr A Kotze (consultant anaesthetist), Dr C Tiplady (Consultant haematologist), A Marriott (Surgical care practitioner), J Turner (staff nurse), W Atkinson (staff nurse)</w:t>
            </w:r>
          </w:p>
          <w:p w14:paraId="33135AA2" w14:textId="77777777" w:rsidR="00FE48D0" w:rsidRPr="0050087A" w:rsidRDefault="00FE48D0" w:rsidP="003F39BA">
            <w:pPr>
              <w:pStyle w:val="ListParagraph"/>
              <w:widowControl w:val="0"/>
              <w:numPr>
                <w:ilvl w:val="1"/>
                <w:numId w:val="5"/>
              </w:numPr>
              <w:autoSpaceDE w:val="0"/>
              <w:autoSpaceDN w:val="0"/>
              <w:adjustRightInd w:val="0"/>
              <w:spacing w:after="0" w:line="240" w:lineRule="auto"/>
              <w:rPr>
                <w:rFonts w:cs="Times New Roman"/>
              </w:rPr>
            </w:pPr>
            <w:r w:rsidRPr="0050087A">
              <w:rPr>
                <w:rFonts w:cs="Times New Roman"/>
              </w:rPr>
              <w:t xml:space="preserve">QIST: Infection: Dr D Tate (consultant microbiologist), Mr A Malviya (consultant orthopaedic surgeon), </w:t>
            </w:r>
          </w:p>
          <w:p w14:paraId="0888DA69" w14:textId="77777777" w:rsidR="00FE48D0" w:rsidRPr="0050087A" w:rsidRDefault="00FE48D0" w:rsidP="003F39BA">
            <w:pPr>
              <w:pStyle w:val="ListParagraph"/>
              <w:widowControl w:val="0"/>
              <w:numPr>
                <w:ilvl w:val="1"/>
                <w:numId w:val="5"/>
              </w:numPr>
              <w:autoSpaceDE w:val="0"/>
              <w:autoSpaceDN w:val="0"/>
              <w:adjustRightInd w:val="0"/>
              <w:spacing w:after="0" w:line="240" w:lineRule="auto"/>
              <w:rPr>
                <w:rFonts w:cs="Times New Roman"/>
              </w:rPr>
            </w:pPr>
            <w:r w:rsidRPr="0050087A">
              <w:rPr>
                <w:rFonts w:cs="Times New Roman"/>
              </w:rPr>
              <w:t>SSI surveillance (relevant to data collection for both trial arms): T Lamagni (Public Health England, Head of Surgical Site Infection Surveillance Service), G Lowdon (Surgical site infection surveillance lead)</w:t>
            </w:r>
          </w:p>
          <w:p w14:paraId="052FB4A8" w14:textId="77777777" w:rsidR="00FE48D0" w:rsidRPr="0050087A" w:rsidRDefault="00FE48D0" w:rsidP="003F39BA">
            <w:pPr>
              <w:pStyle w:val="ListParagraph"/>
              <w:widowControl w:val="0"/>
              <w:numPr>
                <w:ilvl w:val="1"/>
                <w:numId w:val="5"/>
              </w:numPr>
              <w:autoSpaceDE w:val="0"/>
              <w:autoSpaceDN w:val="0"/>
              <w:adjustRightInd w:val="0"/>
              <w:spacing w:after="0" w:line="240" w:lineRule="auto"/>
              <w:rPr>
                <w:rFonts w:cs="Times New Roman"/>
              </w:rPr>
            </w:pPr>
            <w:r w:rsidRPr="0050087A">
              <w:rPr>
                <w:rFonts w:cs="Times New Roman"/>
              </w:rPr>
              <w:t>Quality improvement: Mrs A Laverty (Chief experience officer), Steve Harrison (Head of quality improvement, Sheffield Teaching Hospitals NHS Foundation Trust)</w:t>
            </w:r>
          </w:p>
          <w:p w14:paraId="12324197" w14:textId="77777777" w:rsidR="00FE48D0" w:rsidRPr="0050087A" w:rsidRDefault="00FE48D0" w:rsidP="003F39BA">
            <w:pPr>
              <w:pStyle w:val="ListParagraph"/>
              <w:widowControl w:val="0"/>
              <w:numPr>
                <w:ilvl w:val="1"/>
                <w:numId w:val="5"/>
              </w:numPr>
              <w:autoSpaceDE w:val="0"/>
              <w:autoSpaceDN w:val="0"/>
              <w:adjustRightInd w:val="0"/>
              <w:spacing w:after="0" w:line="240" w:lineRule="auto"/>
              <w:rPr>
                <w:rFonts w:cs="Times New Roman"/>
              </w:rPr>
            </w:pPr>
            <w:r w:rsidRPr="0050087A">
              <w:rPr>
                <w:rFonts w:cs="Times New Roman"/>
              </w:rPr>
              <w:t>Clinical informatics: M Burgess (information analyst)</w:t>
            </w:r>
          </w:p>
          <w:p w14:paraId="2D0AE5F2" w14:textId="77777777" w:rsidR="00FE48D0" w:rsidRPr="0050087A" w:rsidRDefault="00FE48D0" w:rsidP="003F39BA">
            <w:pPr>
              <w:pStyle w:val="ListParagraph"/>
              <w:widowControl w:val="0"/>
              <w:numPr>
                <w:ilvl w:val="1"/>
                <w:numId w:val="5"/>
              </w:numPr>
              <w:autoSpaceDE w:val="0"/>
              <w:autoSpaceDN w:val="0"/>
              <w:adjustRightInd w:val="0"/>
              <w:spacing w:after="0" w:line="240" w:lineRule="auto"/>
              <w:rPr>
                <w:rFonts w:cs="Times New Roman"/>
              </w:rPr>
            </w:pPr>
            <w:r w:rsidRPr="0050087A">
              <w:rPr>
                <w:rFonts w:cs="Times New Roman"/>
              </w:rPr>
              <w:t>Patient representative: S Cadwallader</w:t>
            </w:r>
          </w:p>
        </w:tc>
      </w:tr>
      <w:tr w:rsidR="00FE48D0" w:rsidRPr="00035759" w14:paraId="37F0D19D" w14:textId="77777777" w:rsidTr="003F39BA">
        <w:trPr>
          <w:trHeight w:val="182"/>
        </w:trPr>
        <w:tc>
          <w:tcPr>
            <w:tcW w:w="1367" w:type="dxa"/>
          </w:tcPr>
          <w:p w14:paraId="0533EA3C" w14:textId="77777777" w:rsidR="00FE48D0" w:rsidRPr="0050087A" w:rsidRDefault="00FE48D0" w:rsidP="003F39BA">
            <w:pPr>
              <w:widowControl w:val="0"/>
              <w:autoSpaceDE w:val="0"/>
              <w:autoSpaceDN w:val="0"/>
              <w:adjustRightInd w:val="0"/>
              <w:spacing w:after="0" w:line="240" w:lineRule="auto"/>
              <w:rPr>
                <w:rFonts w:cs="Times New Roman"/>
              </w:rPr>
            </w:pPr>
            <w:r w:rsidRPr="0050087A">
              <w:rPr>
                <w:rFonts w:cs="Times New Roman"/>
              </w:rPr>
              <w:t>Enrolment of Teams</w:t>
            </w:r>
          </w:p>
        </w:tc>
        <w:tc>
          <w:tcPr>
            <w:tcW w:w="13517" w:type="dxa"/>
          </w:tcPr>
          <w:p w14:paraId="33ADBB71" w14:textId="77777777" w:rsidR="00FE48D0" w:rsidRPr="0050087A" w:rsidRDefault="00FE48D0" w:rsidP="003F39BA">
            <w:pPr>
              <w:pStyle w:val="ListParagraph"/>
              <w:widowControl w:val="0"/>
              <w:numPr>
                <w:ilvl w:val="0"/>
                <w:numId w:val="22"/>
              </w:numPr>
              <w:autoSpaceDE w:val="0"/>
              <w:autoSpaceDN w:val="0"/>
              <w:adjustRightInd w:val="0"/>
              <w:spacing w:after="0" w:line="240" w:lineRule="auto"/>
              <w:rPr>
                <w:rFonts w:cs="Times New Roman"/>
              </w:rPr>
            </w:pPr>
            <w:r w:rsidRPr="0050087A">
              <w:rPr>
                <w:rFonts w:cs="Times New Roman"/>
              </w:rPr>
              <w:t>Calls for interested centres through BOA and NHS Improvement to all NHS Trusts in England to senior leaders, management and clinicians to increase support and engagement</w:t>
            </w:r>
          </w:p>
          <w:p w14:paraId="2AFCA802" w14:textId="77777777" w:rsidR="00FE48D0" w:rsidRPr="0050087A" w:rsidRDefault="00FE48D0" w:rsidP="003F39BA">
            <w:pPr>
              <w:pStyle w:val="ListParagraph"/>
              <w:widowControl w:val="0"/>
              <w:autoSpaceDE w:val="0"/>
              <w:autoSpaceDN w:val="0"/>
              <w:adjustRightInd w:val="0"/>
              <w:spacing w:after="0" w:line="240" w:lineRule="auto"/>
              <w:rPr>
                <w:rFonts w:cs="Times New Roman"/>
              </w:rPr>
            </w:pPr>
          </w:p>
          <w:p w14:paraId="3C1927B3" w14:textId="2F14BC5B" w:rsidR="00CE43AD" w:rsidRPr="00F52F91" w:rsidRDefault="00FE48D0" w:rsidP="00610F23">
            <w:pPr>
              <w:pStyle w:val="ListParagraph"/>
              <w:widowControl w:val="0"/>
              <w:numPr>
                <w:ilvl w:val="0"/>
                <w:numId w:val="22"/>
              </w:numPr>
              <w:autoSpaceDE w:val="0"/>
              <w:autoSpaceDN w:val="0"/>
              <w:adjustRightInd w:val="0"/>
              <w:spacing w:after="0" w:line="240" w:lineRule="auto"/>
              <w:rPr>
                <w:rFonts w:cs="Times New Roman"/>
              </w:rPr>
            </w:pPr>
            <w:r w:rsidRPr="0050087A">
              <w:rPr>
                <w:rFonts w:cs="Times New Roman"/>
              </w:rPr>
              <w:t>41 Trusts randomi</w:t>
            </w:r>
            <w:r>
              <w:rPr>
                <w:rFonts w:cs="Times New Roman"/>
              </w:rPr>
              <w:t>s</w:t>
            </w:r>
            <w:r w:rsidRPr="0050087A">
              <w:rPr>
                <w:rFonts w:cs="Times New Roman"/>
              </w:rPr>
              <w:t>ed</w:t>
            </w:r>
          </w:p>
          <w:p w14:paraId="7ED09211" w14:textId="77777777" w:rsidR="00FE48D0" w:rsidRPr="0050087A" w:rsidRDefault="00FE48D0" w:rsidP="003F39BA">
            <w:pPr>
              <w:widowControl w:val="0"/>
              <w:autoSpaceDE w:val="0"/>
              <w:autoSpaceDN w:val="0"/>
              <w:adjustRightInd w:val="0"/>
              <w:spacing w:after="0" w:line="240" w:lineRule="auto"/>
              <w:rPr>
                <w:rFonts w:cs="Times New Roman"/>
              </w:rPr>
            </w:pPr>
          </w:p>
          <w:p w14:paraId="22808812" w14:textId="77777777" w:rsidR="00FE48D0" w:rsidRPr="0050087A" w:rsidRDefault="00FE48D0" w:rsidP="003F39BA">
            <w:pPr>
              <w:pStyle w:val="ListParagraph"/>
              <w:widowControl w:val="0"/>
              <w:numPr>
                <w:ilvl w:val="0"/>
                <w:numId w:val="22"/>
              </w:numPr>
              <w:autoSpaceDE w:val="0"/>
              <w:autoSpaceDN w:val="0"/>
              <w:adjustRightInd w:val="0"/>
              <w:spacing w:after="0" w:line="240" w:lineRule="auto"/>
              <w:rPr>
                <w:rFonts w:cs="Times New Roman"/>
              </w:rPr>
            </w:pPr>
            <w:r w:rsidRPr="0050087A">
              <w:rPr>
                <w:rFonts w:cs="Times New Roman"/>
              </w:rPr>
              <w:t>All team members were healthcare professionals</w:t>
            </w:r>
          </w:p>
        </w:tc>
      </w:tr>
      <w:tr w:rsidR="00FE48D0" w:rsidRPr="00035759" w14:paraId="5F6698BE" w14:textId="77777777" w:rsidTr="003F39BA">
        <w:trPr>
          <w:trHeight w:val="182"/>
        </w:trPr>
        <w:tc>
          <w:tcPr>
            <w:tcW w:w="1367" w:type="dxa"/>
          </w:tcPr>
          <w:p w14:paraId="2CA63AEB" w14:textId="77777777" w:rsidR="00FE48D0" w:rsidRPr="0050087A" w:rsidRDefault="00FE48D0" w:rsidP="003F39BA">
            <w:pPr>
              <w:widowControl w:val="0"/>
              <w:autoSpaceDE w:val="0"/>
              <w:autoSpaceDN w:val="0"/>
              <w:adjustRightInd w:val="0"/>
              <w:spacing w:after="0" w:line="240" w:lineRule="auto"/>
              <w:rPr>
                <w:rFonts w:cs="Times New Roman"/>
              </w:rPr>
            </w:pPr>
            <w:r w:rsidRPr="0050087A">
              <w:rPr>
                <w:rFonts w:cs="Times New Roman"/>
              </w:rPr>
              <w:t>Learning Sessions</w:t>
            </w:r>
          </w:p>
        </w:tc>
        <w:tc>
          <w:tcPr>
            <w:tcW w:w="13517" w:type="dxa"/>
          </w:tcPr>
          <w:p w14:paraId="002F1CC5" w14:textId="77777777" w:rsidR="00FE48D0" w:rsidRPr="0050087A" w:rsidRDefault="00FE48D0" w:rsidP="003F39BA">
            <w:pPr>
              <w:pStyle w:val="ListParagraph"/>
              <w:widowControl w:val="0"/>
              <w:numPr>
                <w:ilvl w:val="0"/>
                <w:numId w:val="9"/>
              </w:numPr>
              <w:autoSpaceDE w:val="0"/>
              <w:autoSpaceDN w:val="0"/>
              <w:adjustRightInd w:val="0"/>
              <w:spacing w:after="0" w:line="240" w:lineRule="auto"/>
              <w:rPr>
                <w:rFonts w:cs="Times New Roman"/>
              </w:rPr>
            </w:pPr>
            <w:r w:rsidRPr="0050087A">
              <w:rPr>
                <w:rFonts w:cs="Times New Roman"/>
              </w:rPr>
              <w:t xml:space="preserve">Learning events for the two trial arms were held on different dates for </w:t>
            </w:r>
            <w:r w:rsidRPr="00035759">
              <w:rPr>
                <w:rFonts w:cs="Times New Roman"/>
              </w:rPr>
              <w:t>anaemia</w:t>
            </w:r>
            <w:r w:rsidRPr="0050087A">
              <w:rPr>
                <w:rFonts w:cs="Times New Roman"/>
              </w:rPr>
              <w:t xml:space="preserve"> and MSSA collaboratives to avoid contamination. Before the first event teams were sent a welcome pack with background materials and some pre-work exercises. Three one day, face to face events took place </w:t>
            </w:r>
            <w:r>
              <w:rPr>
                <w:rFonts w:cs="Times New Roman"/>
              </w:rPr>
              <w:t xml:space="preserve">in hotel conference suite facilities across England </w:t>
            </w:r>
            <w:r w:rsidRPr="0050087A">
              <w:rPr>
                <w:rFonts w:cs="Times New Roman"/>
              </w:rPr>
              <w:t>per collabor</w:t>
            </w:r>
            <w:r>
              <w:rPr>
                <w:rFonts w:cs="Times New Roman"/>
              </w:rPr>
              <w:t>a</w:t>
            </w:r>
            <w:r w:rsidRPr="0050087A">
              <w:rPr>
                <w:rFonts w:cs="Times New Roman"/>
              </w:rPr>
              <w:t>tive. The dates and attendance for each of the learning events were:</w:t>
            </w:r>
          </w:p>
          <w:p w14:paraId="2A6F6B6A" w14:textId="77777777" w:rsidR="00FE48D0" w:rsidRPr="0050087A" w:rsidRDefault="00FE48D0" w:rsidP="003F39BA">
            <w:pPr>
              <w:pStyle w:val="ListParagraph"/>
              <w:widowControl w:val="0"/>
              <w:numPr>
                <w:ilvl w:val="1"/>
                <w:numId w:val="9"/>
              </w:numPr>
              <w:autoSpaceDE w:val="0"/>
              <w:autoSpaceDN w:val="0"/>
              <w:adjustRightInd w:val="0"/>
              <w:spacing w:after="0" w:line="240" w:lineRule="auto"/>
              <w:ind w:left="885" w:hanging="284"/>
              <w:rPr>
                <w:rFonts w:cs="Times New Roman"/>
              </w:rPr>
            </w:pPr>
            <w:r w:rsidRPr="0050087A">
              <w:t>QIST Anaemia</w:t>
            </w:r>
          </w:p>
          <w:p w14:paraId="0F787DAE" w14:textId="77777777" w:rsidR="00FE48D0" w:rsidRPr="0050087A" w:rsidRDefault="00FE48D0" w:rsidP="003F39BA">
            <w:pPr>
              <w:numPr>
                <w:ilvl w:val="2"/>
                <w:numId w:val="9"/>
              </w:numPr>
              <w:spacing w:after="0" w:line="240" w:lineRule="auto"/>
              <w:ind w:left="1452" w:hanging="273"/>
            </w:pPr>
            <w:r w:rsidRPr="0050087A">
              <w:t>Learning event 1: 22</w:t>
            </w:r>
            <w:r w:rsidRPr="0050087A">
              <w:rPr>
                <w:vertAlign w:val="superscript"/>
              </w:rPr>
              <w:t>nd</w:t>
            </w:r>
            <w:r w:rsidRPr="0050087A">
              <w:t xml:space="preserve"> May 2018</w:t>
            </w:r>
          </w:p>
          <w:p w14:paraId="1C7A389B" w14:textId="77777777" w:rsidR="00FE48D0" w:rsidRPr="0050087A" w:rsidRDefault="00FE48D0" w:rsidP="003F39BA">
            <w:pPr>
              <w:numPr>
                <w:ilvl w:val="3"/>
                <w:numId w:val="9"/>
              </w:numPr>
              <w:tabs>
                <w:tab w:val="left" w:pos="1452"/>
              </w:tabs>
              <w:spacing w:after="0" w:line="240" w:lineRule="auto"/>
              <w:ind w:left="1735" w:hanging="283"/>
            </w:pPr>
            <w:r w:rsidRPr="0050087A">
              <w:t>Total 46 attendees from 11 teams. Mean per team 4.2 people (range 3-6)</w:t>
            </w:r>
          </w:p>
          <w:p w14:paraId="17DA5539" w14:textId="77777777" w:rsidR="00FE48D0" w:rsidRPr="0050087A" w:rsidRDefault="00FE48D0" w:rsidP="003F39BA">
            <w:pPr>
              <w:numPr>
                <w:ilvl w:val="2"/>
                <w:numId w:val="9"/>
              </w:numPr>
              <w:spacing w:after="0" w:line="240" w:lineRule="auto"/>
              <w:ind w:left="1452" w:hanging="273"/>
            </w:pPr>
            <w:r w:rsidRPr="0050087A">
              <w:t>Learning event 2: 27</w:t>
            </w:r>
            <w:r w:rsidRPr="0050087A">
              <w:rPr>
                <w:vertAlign w:val="superscript"/>
              </w:rPr>
              <w:t>th</w:t>
            </w:r>
            <w:r w:rsidRPr="0050087A">
              <w:t xml:space="preserve"> June 2018</w:t>
            </w:r>
          </w:p>
          <w:p w14:paraId="2E04270D" w14:textId="77777777" w:rsidR="00FE48D0" w:rsidRPr="0050087A" w:rsidRDefault="00FE48D0" w:rsidP="003F39BA">
            <w:pPr>
              <w:numPr>
                <w:ilvl w:val="3"/>
                <w:numId w:val="9"/>
              </w:numPr>
              <w:spacing w:after="0" w:line="240" w:lineRule="auto"/>
              <w:ind w:left="1735" w:hanging="283"/>
            </w:pPr>
            <w:r w:rsidRPr="0050087A">
              <w:t>Total 33 attendees from 9 teams. Mean per team 3.7 people (range 2-5)</w:t>
            </w:r>
          </w:p>
          <w:p w14:paraId="705AF22A" w14:textId="77777777" w:rsidR="00FE48D0" w:rsidRPr="0050087A" w:rsidRDefault="00FE48D0" w:rsidP="003F39BA">
            <w:pPr>
              <w:numPr>
                <w:ilvl w:val="2"/>
                <w:numId w:val="9"/>
              </w:numPr>
              <w:spacing w:after="0" w:line="240" w:lineRule="auto"/>
              <w:ind w:left="1452" w:hanging="284"/>
            </w:pPr>
            <w:r w:rsidRPr="0050087A">
              <w:t>Learning event 3: 11</w:t>
            </w:r>
            <w:r w:rsidRPr="0050087A">
              <w:rPr>
                <w:vertAlign w:val="superscript"/>
              </w:rPr>
              <w:t>th</w:t>
            </w:r>
            <w:r w:rsidRPr="0050087A">
              <w:t xml:space="preserve"> September 2018</w:t>
            </w:r>
          </w:p>
          <w:p w14:paraId="6C092A4B" w14:textId="77777777" w:rsidR="00FE48D0" w:rsidRPr="0050087A" w:rsidRDefault="00FE48D0" w:rsidP="003F39BA">
            <w:pPr>
              <w:numPr>
                <w:ilvl w:val="3"/>
                <w:numId w:val="9"/>
              </w:numPr>
              <w:spacing w:after="0" w:line="240" w:lineRule="auto"/>
              <w:ind w:left="1735" w:hanging="283"/>
            </w:pPr>
            <w:r w:rsidRPr="0050087A">
              <w:t>Total 31 attendees from 11 teams. Mean per team 2.8 people (range 1-6)</w:t>
            </w:r>
          </w:p>
          <w:p w14:paraId="36A874F6" w14:textId="77777777" w:rsidR="00FE48D0" w:rsidRPr="0050087A" w:rsidRDefault="00FE48D0" w:rsidP="003F39BA">
            <w:pPr>
              <w:numPr>
                <w:ilvl w:val="2"/>
                <w:numId w:val="9"/>
              </w:numPr>
              <w:spacing w:after="0" w:line="240" w:lineRule="auto"/>
              <w:ind w:left="1452" w:hanging="273"/>
            </w:pPr>
            <w:r w:rsidRPr="0050087A">
              <w:t>Summative congress: 15</w:t>
            </w:r>
            <w:r w:rsidRPr="0050087A">
              <w:rPr>
                <w:vertAlign w:val="superscript"/>
              </w:rPr>
              <w:t>th</w:t>
            </w:r>
            <w:r w:rsidRPr="0050087A">
              <w:t xml:space="preserve"> May 2019</w:t>
            </w:r>
          </w:p>
          <w:p w14:paraId="779BC2A0" w14:textId="77777777" w:rsidR="00FE48D0" w:rsidRPr="0050087A" w:rsidRDefault="00FE48D0" w:rsidP="003F39BA">
            <w:pPr>
              <w:numPr>
                <w:ilvl w:val="3"/>
                <w:numId w:val="9"/>
              </w:numPr>
              <w:spacing w:after="0" w:line="240" w:lineRule="auto"/>
              <w:ind w:left="1735" w:hanging="283"/>
            </w:pPr>
            <w:r w:rsidRPr="0050087A">
              <w:t>Total 31 attendees from 10 teams. Mean per team 3.1 people (range 2-4)</w:t>
            </w:r>
          </w:p>
          <w:p w14:paraId="2D867C59" w14:textId="77777777" w:rsidR="00FE48D0" w:rsidRPr="0050087A" w:rsidRDefault="00FE48D0" w:rsidP="003F39BA">
            <w:pPr>
              <w:spacing w:after="0" w:line="240" w:lineRule="auto"/>
              <w:ind w:left="1735"/>
            </w:pPr>
          </w:p>
          <w:p w14:paraId="1B5D1E81" w14:textId="77777777" w:rsidR="00FE48D0" w:rsidRPr="0050087A" w:rsidRDefault="00FE48D0" w:rsidP="003F39BA">
            <w:pPr>
              <w:numPr>
                <w:ilvl w:val="1"/>
                <w:numId w:val="9"/>
              </w:numPr>
              <w:tabs>
                <w:tab w:val="left" w:pos="601"/>
              </w:tabs>
              <w:spacing w:after="0" w:line="240" w:lineRule="auto"/>
              <w:ind w:left="885" w:hanging="284"/>
            </w:pPr>
            <w:r w:rsidRPr="0050087A">
              <w:t>QIST infection</w:t>
            </w:r>
          </w:p>
          <w:p w14:paraId="5E67E8DE" w14:textId="77777777" w:rsidR="00FE48D0" w:rsidRPr="0050087A" w:rsidRDefault="00FE48D0" w:rsidP="003F39BA">
            <w:pPr>
              <w:numPr>
                <w:ilvl w:val="2"/>
                <w:numId w:val="9"/>
              </w:numPr>
              <w:spacing w:after="0" w:line="240" w:lineRule="auto"/>
              <w:ind w:left="1452" w:hanging="284"/>
            </w:pPr>
            <w:r w:rsidRPr="0050087A">
              <w:t>Learning event 1: 24</w:t>
            </w:r>
            <w:r w:rsidRPr="0050087A">
              <w:rPr>
                <w:vertAlign w:val="superscript"/>
              </w:rPr>
              <w:t>th</w:t>
            </w:r>
            <w:r w:rsidRPr="0050087A">
              <w:t xml:space="preserve"> May 2018</w:t>
            </w:r>
          </w:p>
          <w:p w14:paraId="535D7AB8" w14:textId="77777777" w:rsidR="00FE48D0" w:rsidRPr="0050087A" w:rsidRDefault="00FE48D0" w:rsidP="003F39BA">
            <w:pPr>
              <w:numPr>
                <w:ilvl w:val="3"/>
                <w:numId w:val="9"/>
              </w:numPr>
              <w:spacing w:after="0" w:line="240" w:lineRule="auto"/>
              <w:ind w:left="1735" w:hanging="283"/>
            </w:pPr>
            <w:r w:rsidRPr="0050087A">
              <w:t>Total 62 attendees from 16 teams. Mean per team 3.9 people (range 1-6)</w:t>
            </w:r>
          </w:p>
          <w:p w14:paraId="4439B82A" w14:textId="77777777" w:rsidR="00FE48D0" w:rsidRPr="0050087A" w:rsidRDefault="00FE48D0" w:rsidP="003F39BA">
            <w:pPr>
              <w:numPr>
                <w:ilvl w:val="2"/>
                <w:numId w:val="9"/>
              </w:numPr>
              <w:spacing w:after="0" w:line="240" w:lineRule="auto"/>
              <w:ind w:left="1452" w:hanging="284"/>
            </w:pPr>
            <w:r w:rsidRPr="0050087A">
              <w:t>Learning event 2: 26</w:t>
            </w:r>
            <w:r w:rsidRPr="0050087A">
              <w:rPr>
                <w:vertAlign w:val="superscript"/>
              </w:rPr>
              <w:t>th</w:t>
            </w:r>
            <w:r w:rsidRPr="0050087A">
              <w:t xml:space="preserve"> June 2018</w:t>
            </w:r>
          </w:p>
          <w:p w14:paraId="755AFC7F" w14:textId="77777777" w:rsidR="00FE48D0" w:rsidRPr="0050087A" w:rsidRDefault="00FE48D0" w:rsidP="003F39BA">
            <w:pPr>
              <w:numPr>
                <w:ilvl w:val="3"/>
                <w:numId w:val="9"/>
              </w:numPr>
              <w:spacing w:after="0" w:line="240" w:lineRule="auto"/>
              <w:ind w:left="1735" w:hanging="283"/>
            </w:pPr>
            <w:r w:rsidRPr="0050087A">
              <w:t>Total 48 attendees from 15 teams. Mean per team 3.2 people (range 1-6)</w:t>
            </w:r>
          </w:p>
          <w:p w14:paraId="3E957ACA" w14:textId="77777777" w:rsidR="00FE48D0" w:rsidRPr="0050087A" w:rsidRDefault="00FE48D0" w:rsidP="003F39BA">
            <w:pPr>
              <w:numPr>
                <w:ilvl w:val="2"/>
                <w:numId w:val="9"/>
              </w:numPr>
              <w:spacing w:after="0" w:line="240" w:lineRule="auto"/>
              <w:ind w:left="1452" w:hanging="284"/>
            </w:pPr>
            <w:r w:rsidRPr="0050087A">
              <w:t>Learning event 3: 12</w:t>
            </w:r>
            <w:r w:rsidRPr="0050087A">
              <w:rPr>
                <w:vertAlign w:val="superscript"/>
              </w:rPr>
              <w:t>th</w:t>
            </w:r>
            <w:r w:rsidRPr="0050087A">
              <w:t xml:space="preserve"> September 2018</w:t>
            </w:r>
          </w:p>
          <w:p w14:paraId="07946B88" w14:textId="77777777" w:rsidR="00FE48D0" w:rsidRPr="0050087A" w:rsidRDefault="00FE48D0" w:rsidP="003F39BA">
            <w:pPr>
              <w:numPr>
                <w:ilvl w:val="3"/>
                <w:numId w:val="9"/>
              </w:numPr>
              <w:spacing w:after="0" w:line="240" w:lineRule="auto"/>
              <w:ind w:left="1735" w:hanging="283"/>
            </w:pPr>
            <w:r w:rsidRPr="0050087A">
              <w:t>Total 50 attendees from 14 teams. Mean per team 3.6 people (range 1-7)</w:t>
            </w:r>
          </w:p>
          <w:p w14:paraId="63EDF335" w14:textId="77777777" w:rsidR="00FE48D0" w:rsidRPr="0050087A" w:rsidRDefault="00FE48D0" w:rsidP="003F39BA">
            <w:pPr>
              <w:numPr>
                <w:ilvl w:val="2"/>
                <w:numId w:val="9"/>
              </w:numPr>
              <w:spacing w:after="0" w:line="240" w:lineRule="auto"/>
              <w:ind w:left="1452" w:hanging="284"/>
            </w:pPr>
            <w:r w:rsidRPr="0050087A">
              <w:t>Summative congress: 16</w:t>
            </w:r>
            <w:r w:rsidRPr="0050087A">
              <w:rPr>
                <w:vertAlign w:val="superscript"/>
              </w:rPr>
              <w:t>th</w:t>
            </w:r>
            <w:r w:rsidRPr="0050087A">
              <w:t xml:space="preserve"> May 2019</w:t>
            </w:r>
          </w:p>
          <w:p w14:paraId="3A9817F0" w14:textId="77777777" w:rsidR="00FE48D0" w:rsidRPr="0050087A" w:rsidRDefault="00FE48D0" w:rsidP="003F39BA">
            <w:pPr>
              <w:numPr>
                <w:ilvl w:val="3"/>
                <w:numId w:val="9"/>
              </w:numPr>
              <w:spacing w:after="0" w:line="240" w:lineRule="auto"/>
              <w:ind w:left="1735" w:hanging="283"/>
            </w:pPr>
            <w:r w:rsidRPr="0050087A">
              <w:t>Total 37 attendees from 14 teams. Mean per team 2.6 people (range 1-5)</w:t>
            </w:r>
          </w:p>
          <w:p w14:paraId="77DB2A4D" w14:textId="77777777" w:rsidR="00FE48D0" w:rsidRPr="0050087A" w:rsidRDefault="00FE48D0" w:rsidP="003F39BA">
            <w:pPr>
              <w:widowControl w:val="0"/>
              <w:autoSpaceDE w:val="0"/>
              <w:autoSpaceDN w:val="0"/>
              <w:adjustRightInd w:val="0"/>
              <w:spacing w:after="0" w:line="240" w:lineRule="auto"/>
              <w:rPr>
                <w:rFonts w:cs="Times New Roman"/>
              </w:rPr>
            </w:pPr>
          </w:p>
          <w:p w14:paraId="2DF2BD31" w14:textId="77777777" w:rsidR="00FE48D0" w:rsidRPr="0050087A" w:rsidRDefault="00FE48D0" w:rsidP="003F39BA">
            <w:pPr>
              <w:pStyle w:val="ListParagraph"/>
              <w:widowControl w:val="0"/>
              <w:numPr>
                <w:ilvl w:val="0"/>
                <w:numId w:val="9"/>
              </w:numPr>
              <w:autoSpaceDE w:val="0"/>
              <w:autoSpaceDN w:val="0"/>
              <w:adjustRightInd w:val="0"/>
              <w:spacing w:after="0" w:line="240" w:lineRule="auto"/>
              <w:rPr>
                <w:rFonts w:cs="Times New Roman"/>
              </w:rPr>
            </w:pPr>
            <w:r w:rsidRPr="0050087A">
              <w:rPr>
                <w:rFonts w:cs="Times New Roman"/>
              </w:rPr>
              <w:t xml:space="preserve">Each event was attended by field experts, </w:t>
            </w:r>
            <w:r w:rsidRPr="00035759">
              <w:t>programme leads, improvement fellows, patient leaders</w:t>
            </w:r>
            <w:r w:rsidRPr="00AD29B0">
              <w:t xml:space="preserve"> and study team members from each participating </w:t>
            </w:r>
            <w:r w:rsidRPr="003E2F54">
              <w:t>Trust.</w:t>
            </w:r>
            <w:r w:rsidRPr="0050087A">
              <w:rPr>
                <w:rFonts w:cs="Times New Roman"/>
              </w:rPr>
              <w:t xml:space="preserve"> Teams were offered 4 places at each learning event and multidisciplinary working was encouraged. Details of attendance at learning events can be found above. </w:t>
            </w:r>
          </w:p>
          <w:p w14:paraId="5450C5F5" w14:textId="77777777" w:rsidR="00FE48D0" w:rsidRPr="0050087A" w:rsidRDefault="00FE48D0" w:rsidP="003F39BA">
            <w:pPr>
              <w:widowControl w:val="0"/>
              <w:autoSpaceDE w:val="0"/>
              <w:autoSpaceDN w:val="0"/>
              <w:adjustRightInd w:val="0"/>
              <w:spacing w:after="0" w:line="240" w:lineRule="auto"/>
              <w:rPr>
                <w:rFonts w:cs="Times New Roman"/>
              </w:rPr>
            </w:pPr>
          </w:p>
          <w:p w14:paraId="2C14DCF7" w14:textId="498AC347" w:rsidR="00CE43AD" w:rsidRPr="00F52F91" w:rsidRDefault="00FE48D0" w:rsidP="00610F23">
            <w:pPr>
              <w:pStyle w:val="ListParagraph"/>
              <w:widowControl w:val="0"/>
              <w:numPr>
                <w:ilvl w:val="0"/>
                <w:numId w:val="9"/>
              </w:numPr>
              <w:autoSpaceDE w:val="0"/>
              <w:autoSpaceDN w:val="0"/>
              <w:adjustRightInd w:val="0"/>
              <w:spacing w:after="0" w:line="240" w:lineRule="auto"/>
              <w:rPr>
                <w:rFonts w:cs="Times New Roman"/>
              </w:rPr>
            </w:pPr>
            <w:r w:rsidRPr="0050087A">
              <w:rPr>
                <w:rFonts w:cs="Times New Roman"/>
              </w:rPr>
              <w:t xml:space="preserve">The content of the learning events included training Trusts on the relevant protocol, reviewing the evidence base, governance arrangements, business cases, communications, pathways, data collection and reporting arrangements. Example materials were created and shared with the participating Trusts via a secure online file store. These included the documents above plus a range of promotional materials to raise the profile of their QIST work locally such as patient videos, posters, press release statements. Participating teams also generated their own materials, such as patient information leaflets and letters to primary care and shared these amongst the collaborative groups. Content of the learning events also included a substantial amount of generic QI skills training with the intention of supporting change and building QI capacity at sites. Details of the content of each learning event can be found in the supplementary materials. </w:t>
            </w:r>
          </w:p>
          <w:p w14:paraId="2B2D21D1" w14:textId="77777777" w:rsidR="00FE48D0" w:rsidRPr="0050087A" w:rsidRDefault="00FE48D0" w:rsidP="003F39BA">
            <w:pPr>
              <w:widowControl w:val="0"/>
              <w:autoSpaceDE w:val="0"/>
              <w:autoSpaceDN w:val="0"/>
              <w:adjustRightInd w:val="0"/>
              <w:spacing w:after="0" w:line="240" w:lineRule="auto"/>
              <w:rPr>
                <w:rFonts w:cs="Times New Roman"/>
              </w:rPr>
            </w:pPr>
          </w:p>
          <w:p w14:paraId="7D7728D6" w14:textId="77777777" w:rsidR="00FE48D0" w:rsidRPr="0050087A" w:rsidRDefault="00FE48D0" w:rsidP="003F39BA">
            <w:pPr>
              <w:pStyle w:val="ListParagraph"/>
              <w:widowControl w:val="0"/>
              <w:numPr>
                <w:ilvl w:val="0"/>
                <w:numId w:val="9"/>
              </w:numPr>
              <w:autoSpaceDE w:val="0"/>
              <w:autoSpaceDN w:val="0"/>
              <w:adjustRightInd w:val="0"/>
              <w:spacing w:after="0" w:line="240" w:lineRule="auto"/>
              <w:rPr>
                <w:rFonts w:cs="Times New Roman"/>
              </w:rPr>
            </w:pPr>
            <w:r w:rsidRPr="0050087A">
              <w:rPr>
                <w:rFonts w:cs="Times New Roman"/>
              </w:rPr>
              <w:t>A further series of three learning sessions at the end of the study period were r</w:t>
            </w:r>
            <w:r>
              <w:rPr>
                <w:rFonts w:cs="Times New Roman"/>
              </w:rPr>
              <w:t>u</w:t>
            </w:r>
            <w:r w:rsidRPr="0050087A">
              <w:rPr>
                <w:rFonts w:cs="Times New Roman"/>
              </w:rPr>
              <w:t xml:space="preserve">n to teach all Trusts both interventions. These cross over collaborative events were </w:t>
            </w:r>
            <w:r>
              <w:rPr>
                <w:rFonts w:cs="Times New Roman"/>
              </w:rPr>
              <w:t xml:space="preserve">also </w:t>
            </w:r>
            <w:r w:rsidRPr="0050087A">
              <w:rPr>
                <w:rFonts w:cs="Times New Roman"/>
              </w:rPr>
              <w:t>made available to Trusts not involved in the trial element of QIST. The timing and nature of the cross over collaborative learning events and final celebration event changed in light of the COVID-19 pandemic and national lockdown restrictions. The cross over collaboratives consisted of 2 learning events (12</w:t>
            </w:r>
            <w:r w:rsidRPr="0050087A">
              <w:rPr>
                <w:rFonts w:cs="Times New Roman"/>
                <w:vertAlign w:val="superscript"/>
              </w:rPr>
              <w:t>th</w:t>
            </w:r>
            <w:r w:rsidRPr="0050087A">
              <w:rPr>
                <w:rFonts w:cs="Times New Roman"/>
              </w:rPr>
              <w:t xml:space="preserve"> &amp; 13</w:t>
            </w:r>
            <w:r w:rsidRPr="0050087A">
              <w:rPr>
                <w:rFonts w:cs="Times New Roman"/>
                <w:vertAlign w:val="superscript"/>
              </w:rPr>
              <w:t>th</w:t>
            </w:r>
            <w:r w:rsidRPr="0050087A">
              <w:rPr>
                <w:rFonts w:cs="Times New Roman"/>
              </w:rPr>
              <w:t xml:space="preserve"> Nov 2019 and 3</w:t>
            </w:r>
            <w:r w:rsidRPr="0050087A">
              <w:rPr>
                <w:rFonts w:cs="Times New Roman"/>
                <w:vertAlign w:val="superscript"/>
              </w:rPr>
              <w:t>rd</w:t>
            </w:r>
            <w:r w:rsidRPr="0050087A">
              <w:rPr>
                <w:rFonts w:cs="Times New Roman"/>
              </w:rPr>
              <w:t xml:space="preserve"> &amp; 4</w:t>
            </w:r>
            <w:r w:rsidRPr="0050087A">
              <w:rPr>
                <w:rFonts w:cs="Times New Roman"/>
                <w:vertAlign w:val="superscript"/>
              </w:rPr>
              <w:t>th</w:t>
            </w:r>
            <w:r w:rsidRPr="0050087A">
              <w:rPr>
                <w:rFonts w:cs="Times New Roman"/>
              </w:rPr>
              <w:t xml:space="preserve"> March 2020). A third had been planned but was cancelled due to national restrictions. </w:t>
            </w:r>
          </w:p>
        </w:tc>
      </w:tr>
      <w:tr w:rsidR="00FE48D0" w:rsidRPr="00035759" w14:paraId="69381C61" w14:textId="77777777" w:rsidTr="003F39BA">
        <w:trPr>
          <w:trHeight w:val="182"/>
        </w:trPr>
        <w:tc>
          <w:tcPr>
            <w:tcW w:w="1367" w:type="dxa"/>
          </w:tcPr>
          <w:p w14:paraId="7DFEACBA" w14:textId="77777777" w:rsidR="00FE48D0" w:rsidRPr="0050087A" w:rsidRDefault="00FE48D0" w:rsidP="003F39BA">
            <w:pPr>
              <w:widowControl w:val="0"/>
              <w:autoSpaceDE w:val="0"/>
              <w:autoSpaceDN w:val="0"/>
              <w:adjustRightInd w:val="0"/>
              <w:spacing w:after="0" w:line="240" w:lineRule="auto"/>
              <w:rPr>
                <w:rFonts w:cs="Times New Roman"/>
              </w:rPr>
            </w:pPr>
            <w:r w:rsidRPr="0050087A">
              <w:rPr>
                <w:rFonts w:cs="Times New Roman"/>
              </w:rPr>
              <w:t>Action Periods</w:t>
            </w:r>
          </w:p>
        </w:tc>
        <w:tc>
          <w:tcPr>
            <w:tcW w:w="13517" w:type="dxa"/>
          </w:tcPr>
          <w:p w14:paraId="2E355781" w14:textId="77777777" w:rsidR="00FE48D0" w:rsidRDefault="00FE48D0" w:rsidP="003F39BA">
            <w:pPr>
              <w:pStyle w:val="ListParagraph"/>
              <w:widowControl w:val="0"/>
              <w:numPr>
                <w:ilvl w:val="0"/>
                <w:numId w:val="20"/>
              </w:numPr>
              <w:autoSpaceDE w:val="0"/>
              <w:autoSpaceDN w:val="0"/>
              <w:adjustRightInd w:val="0"/>
              <w:spacing w:after="0" w:line="240" w:lineRule="auto"/>
              <w:rPr>
                <w:rFonts w:cs="Times New Roman"/>
              </w:rPr>
            </w:pPr>
            <w:r w:rsidRPr="0050087A">
              <w:rPr>
                <w:rFonts w:cs="Times New Roman"/>
              </w:rPr>
              <w:t xml:space="preserve">During the action periods participating teams worked on implementing change locally and collected data to measure the impact. </w:t>
            </w:r>
          </w:p>
          <w:p w14:paraId="4F6AB41F" w14:textId="77777777" w:rsidR="00FE48D0" w:rsidRDefault="00FE48D0" w:rsidP="003F39BA">
            <w:pPr>
              <w:pStyle w:val="ListParagraph"/>
              <w:widowControl w:val="0"/>
              <w:autoSpaceDE w:val="0"/>
              <w:autoSpaceDN w:val="0"/>
              <w:adjustRightInd w:val="0"/>
              <w:spacing w:after="0" w:line="240" w:lineRule="auto"/>
              <w:rPr>
                <w:rFonts w:cs="Times New Roman"/>
              </w:rPr>
            </w:pPr>
          </w:p>
          <w:p w14:paraId="4B8CF54F" w14:textId="1D1711AA" w:rsidR="00FE48D0" w:rsidRPr="008E6C84" w:rsidRDefault="00FE48D0" w:rsidP="003F39BA">
            <w:pPr>
              <w:pStyle w:val="ListParagraph"/>
              <w:widowControl w:val="0"/>
              <w:numPr>
                <w:ilvl w:val="0"/>
                <w:numId w:val="20"/>
              </w:numPr>
              <w:autoSpaceDE w:val="0"/>
              <w:autoSpaceDN w:val="0"/>
              <w:adjustRightInd w:val="0"/>
              <w:spacing w:after="0" w:line="240" w:lineRule="auto"/>
              <w:rPr>
                <w:rFonts w:cs="Times New Roman"/>
              </w:rPr>
            </w:pPr>
            <w:r>
              <w:rPr>
                <w:rFonts w:cs="Times New Roman"/>
              </w:rPr>
              <w:t>Financial support</w:t>
            </w:r>
            <w:r w:rsidRPr="008E6C84">
              <w:rPr>
                <w:rFonts w:cs="Times New Roman"/>
              </w:rPr>
              <w:t xml:space="preserve"> was provided to participating teams to support attendance at learning events for those travelling the furthest (&gt;4 hours each way), to support dedicated staff time to work on the improvement initiatives and for data collection </w:t>
            </w:r>
            <w:r w:rsidRPr="004864EF">
              <w:rPr>
                <w:rFonts w:cs="Times New Roman"/>
              </w:rPr>
              <w:t>(</w:t>
            </w:r>
            <w:r>
              <w:rPr>
                <w:rFonts w:cs="Times New Roman"/>
              </w:rPr>
              <w:t>one</w:t>
            </w:r>
            <w:r w:rsidRPr="004864EF">
              <w:rPr>
                <w:rFonts w:cs="Times New Roman"/>
              </w:rPr>
              <w:t xml:space="preserve"> session of Band 6 time for 18 months for Trusts expected to perform up to 900 THR/TKRs per year, </w:t>
            </w:r>
            <w:r>
              <w:rPr>
                <w:rFonts w:cs="Times New Roman"/>
              </w:rPr>
              <w:t>two</w:t>
            </w:r>
            <w:r w:rsidRPr="004864EF">
              <w:rPr>
                <w:rFonts w:cs="Times New Roman"/>
              </w:rPr>
              <w:t xml:space="preserve"> session</w:t>
            </w:r>
            <w:r>
              <w:rPr>
                <w:rFonts w:cs="Times New Roman"/>
              </w:rPr>
              <w:t>s</w:t>
            </w:r>
            <w:r w:rsidRPr="004864EF">
              <w:rPr>
                <w:rFonts w:cs="Times New Roman"/>
              </w:rPr>
              <w:t xml:space="preserve"> if &gt;900 procedures, </w:t>
            </w:r>
            <w:r>
              <w:rPr>
                <w:rFonts w:cs="Times New Roman"/>
              </w:rPr>
              <w:t>and three</w:t>
            </w:r>
            <w:r w:rsidRPr="004864EF">
              <w:rPr>
                <w:rFonts w:cs="Times New Roman"/>
              </w:rPr>
              <w:t xml:space="preserve"> </w:t>
            </w:r>
            <w:r>
              <w:rPr>
                <w:rFonts w:cs="Times New Roman"/>
              </w:rPr>
              <w:t>if</w:t>
            </w:r>
            <w:r w:rsidRPr="004864EF">
              <w:rPr>
                <w:rFonts w:cs="Times New Roman"/>
              </w:rPr>
              <w:t xml:space="preserve"> &gt;1800 procedures</w:t>
            </w:r>
            <w:r>
              <w:rPr>
                <w:rFonts w:cs="Times New Roman"/>
              </w:rPr>
              <w:t>; p</w:t>
            </w:r>
            <w:r w:rsidRPr="004864EF">
              <w:rPr>
                <w:rFonts w:cs="Times New Roman"/>
              </w:rPr>
              <w:t xml:space="preserve">lus 10 days of </w:t>
            </w:r>
            <w:r>
              <w:rPr>
                <w:rFonts w:cs="Times New Roman"/>
              </w:rPr>
              <w:t>B</w:t>
            </w:r>
            <w:r w:rsidRPr="004864EF">
              <w:rPr>
                <w:rFonts w:cs="Times New Roman"/>
              </w:rPr>
              <w:t xml:space="preserve">and 6 data analyst time to perform </w:t>
            </w:r>
            <w:r w:rsidR="00CE43AD" w:rsidRPr="004864EF">
              <w:t>Patient Administration System</w:t>
            </w:r>
            <w:r w:rsidR="00CE43AD" w:rsidRPr="004864EF" w:rsidDel="00CE43AD">
              <w:rPr>
                <w:rFonts w:cs="Times New Roman"/>
              </w:rPr>
              <w:t xml:space="preserve"> </w:t>
            </w:r>
            <w:r w:rsidR="00CE43AD">
              <w:rPr>
                <w:rFonts w:cs="Times New Roman"/>
              </w:rPr>
              <w:t xml:space="preserve">(PAS) </w:t>
            </w:r>
            <w:r w:rsidRPr="004864EF">
              <w:rPr>
                <w:rFonts w:cs="Times New Roman"/>
              </w:rPr>
              <w:t>data extractions and uploads).</w:t>
            </w:r>
            <w:r>
              <w:rPr>
                <w:rFonts w:cs="Times New Roman"/>
              </w:rPr>
              <w:t xml:space="preserve"> </w:t>
            </w:r>
            <w:r w:rsidRPr="008E6C84">
              <w:rPr>
                <w:rFonts w:cs="Times New Roman"/>
              </w:rPr>
              <w:t xml:space="preserve">In addition, product costs for IV iron (Ferrinject) and MSSA decolonising body wash and nasal gel (Octenidine) were provided when administered to patients in line with previously published protocols </w:t>
            </w:r>
            <w:r w:rsidRPr="008E6C84">
              <w:rPr>
                <w:rFonts w:cs="Times New Roman"/>
              </w:rPr>
              <w:fldChar w:fldCharType="begin" w:fldLock="1"/>
            </w:r>
            <w:r>
              <w:rPr>
                <w:rFonts w:cs="Times New Roman"/>
              </w:rPr>
              <w:instrText>ADDIN CSL_CITATION {"citationItems":[{"id":"ITEM-1","itemData":{"DOI":"10.1111/trf.14372","ISSN":"15372995","PMID":"29106698","abstract":"BACKGROUND: Preoperative anemia in patients undergoing elective hip and knee arthroplasty is associated with increased postoperative morbidity and mortality, red blood cell (RBC) transfusion, and length of stay (LOS). The aim of this study was to assess the effect of optimizing hemoglobin (Hb) levels before elective primary hip and knee arthroplasty. STUDY DESIGN AND METHODS: This is a prospective comparative cohort study of patients who underwent elective hip and knee arthroplasty before (control) and after (intervention) the launch of a Hb optimization program. Patients with anemia followed an agreed upon algorithm dependent on their medical history and blood variables taken on listing for surgery. The primary outcome for this study was the requirement for allogenic RBC transfusion. Secondary outcomes included hospital LOS, admission to critical care, readmission, medical complications, incidence of thromboembolic events, mortality, and costs. RESULTS: A total of 1814 control patients operated between February 2012 and February 2013 were compared to 1622 intervention patients operated between February 2013 and May 2014. In the intervention group transfusion was significantly reduced (108 [6%] vs. 63 [4.1%], p50.005) as well as readmission (81 [4.5%] vs. 48 [2.3%], p5 0.020) and critical care admission (23 [1.3%] vs. 9 [0.5%], p50.030). LOS was significantly reduced from 3.9 days to 3.6 days (p50.017). The saving for the cohort was £263,000 ($342,000). CONCLUSIONS: Algorithm-led preoperative anemia screening and management in elective arthroplasty was associated with reduced RBC transfusion, readmission, critical care admission, LOS, and costs.","author":[{"dropping-particle":"","family":"Pujol-Nicolas","given":"Andrea","non-dropping-particle":"","parse-names":false,"suffix":""},{"dropping-particle":"","family":"Morrison","given":"Rory","non-dropping-particle":"","parse-names":false,"suffix":""},{"dropping-particle":"","family":"Casson","given":"Clare","non-dropping-particle":"","parse-names":false,"suffix":""},{"dropping-particle":"","family":"Khan","given":"Sameer","non-dropping-particle":"","parse-names":false,"suffix":""},{"dropping-particle":"","family":"Marriott","given":"Allan","non-dropping-particle":"","parse-names":false,"suffix":""},{"dropping-particle":"","family":"Tiplady","given":"Christopher","non-dropping-particle":"","parse-names":false,"suffix":""},{"dropping-particle":"","family":"Kotze","given":"Alwyn","non-dropping-particle":"","parse-names":false,"suffix":""},{"dropping-particle":"","family":"Gray","given":"William","non-dropping-particle":"","parse-names":false,"suffix":""},{"dropping-particle":"","family":"Reed","given":"Mike","non-dropping-particle":"","parse-names":false,"suffix":""},{"dropping-particle":"","family":"A.","given":"Pujol-Nicolas","non-dropping-particle":"","parse-names":false,"suffix":""},{"dropping-particle":"","family":"R.","given":"Morrison","non-dropping-particle":"","parse-names":false,"suffix":""},{"dropping-particle":"","family":"C.","given":"Casson","non-dropping-particle":"","parse-names":false,"suffix":""},{"dropping-particle":"","family":"S.","given":"Khan","non-dropping-particle":"","parse-names":false,"suffix":""},{"dropping-particle":"","family":"A.","given":"Marriott","non-dropping-particle":"","parse-names":false,"suffix":""},{"dropping-particle":"","family":"C.","given":"Tiplady","non-dropping-particle":"","parse-names":false,"suffix":""},{"dropping-particle":"","family":"A.","given":"Kotze","non-dropping-particle":"","parse-names":false,"suffix":""},{"dropping-particle":"","family":"W.","given":"Gray","non-dropping-particle":"","parse-names":false,"suffix":""},{"dropping-particle":"","family":"Pujol-Nicolas","given":"Andrea","non-dropping-particle":"","parse-names":false,"suffix":""},{"dropping-particle":"","family":"Morrison","given":"Rory","non-dropping-particle":"","parse-names":false,"suffix":""},{"dropping-particle":"","family":"Casson","given":"Clare","non-dropping-particle":"","parse-names":false,"suffix":""},{"dropping-particle":"","family":"Khan","given":"Sameer","non-dropping-particle":"","parse-names":false,"suffix":""},{"dropping-particle":"","family":"Marriott","given":"Allan","non-dropping-particle":"","parse-names":false,"suffix":""},{"dropping-particle":"","family":"Tiplady","given":"Christopher","non-dropping-particle":"","parse-names":false,"suffix":""},{"dropping-particle":"","family":"Kotze","given":"Alwyn","non-dropping-particle":"","parse-names":false,"suffix":""},{"dropping-particle":"","family":"Gray","given":"William","non-dropping-particle":"","parse-names":false,"suffix":""},{"dropping-particle":"","family":"Reed","given":"Mike","non-dropping-particle":"","parse-names":false,"suffix":""},{"dropping-particle":"","family":"A.","given":"Pujol-Nicolas","non-dropping-particle":"","parse-names":false,"suffix":""},{"dropping-particle":"","family":"R.","given":"Morrison","non-dropping-particle":"","parse-names":false,"suffix":""},{"dropping-particle":"","family":"C.","given":"Casson","non-dropping-particle":"","parse-names":false,"suffix":""},{"dropping-particle":"","family":"S.","given":"Khan","non-dropping-particle":"","parse-names":false,"suffix":""},{"dropping-particle":"","family":"A.","given":"Marriott","non-dropping-particle":"","parse-names":false,"suffix":""},{"dropping-particle":"","family":"C.","given":"Tiplady","non-dropping-particle":"","parse-names":false,"suffix":""},{"dropping-particle":"","family":"A.","given":"Kotze","non-dropping-particle":"","parse-names":false,"suffix":""},{"dropping-particle":"","family":"W.","given":"Gray","non-dropping-particle":"","parse-names":false,"suffix":""},{"dropping-particle":"","family":"Morrison","given":"Rory","non-dropping-particle":"","parse-names":false,"suffix":""},{"dropping-particle":"","family":"Marriott","given":"Allan","non-dropping-particle":"","parse-names":false,"suffix":""},{"dropping-particle":"","family":"Pujol-Nicolas","given":"Andrea","non-dropping-particle":"","parse-names":false,"suffix":""},{"dropping-particle":"","family":"Gray","given":"William","non-dropping-particle":"","parse-names":false,"suffix":""},{"dropping-particle":"","family":"Kotze","given":"Alwyn","non-dropping-particle":"","parse-names":false,"suffix":""},{"dropping-particle":"","family":"Casson","given":"Clare","non-dropping-particle":"","parse-names":false,"suffix":""},{"dropping-particle":"","family":"Reed","given":"Mike","non-dropping-particle":"","parse-names":false,"suffix":""},{"dropping-particle":"","family":"Khan","given":"Sameer","non-dropping-particle":"","parse-names":false,"suffix":""},{"dropping-particle":"","family":"Tiplady","given":"Christopher","non-dropping-particle":"","parse-names":false,"suffix":""},{"dropping-particle":"","family":"Morrison","given":"Rory","non-dropping-particle":"","parse-names":false,"suffix":""},{"dropping-particle":"","family":"Casson","given":"Clare","non-dropping-particle":"","parse-names":false,"suffix":""},{"dropping-particle":"","family":"Khan","given":"Sameer","non-dropping-particle":"","parse-names":false,"suffix":""},{"dropping-particle":"","family":"Marriott","given":"Allan","non-dropping-particle":"","parse-names":false,"suffix":""},{"dropping-particle":"","family":"Tiplady","given":"Christopher","non-dropping-particle":"","parse-names":false,"suffix":""},{"dropping-particle":"","family":"Kotze","given":"Alwyn","non-dropping-particle":"","parse-names":false,"suffix":""},{"dropping-particle":"","family":"Gray","given":"William","non-dropping-particle":"","parse-names":false,"suffix":""},{"dropping-particle":"","family":"Reed","given":"Mike","non-dropping-particle":"","parse-names":false,"suffix":""}],"container-title":"Transfusion","id":"ITEM-1","issue":"12","issued":{"date-parts":[["2017"]]},"page":"3049-3057","title":"Preoperative screening and intervention for mild anemia with low iron stores in elective hip and knee arthroplasty","type":"article-journal","volume":"57"},"uris":["http://www.mendeley.com/documents/?uuid=3fff4056-f560-4f06-9053-75adae443a39"]},{"id":"ITEM-2","itemData":{"DOI":"10.1016/j.jinf.2018.05.012","ISSN":"01634453","PMID":"29932962","abstract":"Aims: Periprosthetic joint infection (PJI) is a catastrophic and potentially life threatening complication following arthroplasty. In addition to the resulting impact on patient morbidity and mortality, PJI is associated with significant financial cost, which is estimated at £21,937 per case. Methicillin sensitive staphylococcus aureus (MSSA) is a common isolate in PJI and colonisation is a proven risk factor for subsequent infection. The aims of this study were: (1) to determine if MSSA screening and decolonisation reduced MSSA PJI rate in primary joint replacement and (2) to determine cost effectiveness of such a screening program. Methods: Pre-operative screening for MSSA was introduced in our institution in 2010. All MSSA positive patients attending for elective arthroplasty were prescribed Octenisan body wash and nasal Bactroban for use 5 days prior to procedure, and five days after. Infection data was collected prospectively and compared with a control group from before. Results: Between 2007 and 2014, 12,910 primary arthroplasties (5917 hip, 6993 knee) were performed. There were 3593 in the pre-screening group and 9318 in the post-screening group. Pre-screening PJI MSSA rate was 0.75% which reduced to 0.25% post screening introduction (p &lt; 0.0001). Overall PJI rate fell from 1.92% to 1.41% (p = 0.03). The screening program was most effective in MSSA prevention in total hip arthroplasty (3% to 1.5%, p = 0.002) and significant in the multivariate analysis. Following the introduction of the screening programme 47 PJIs were avoided, with a cost per infection prevented of £1893. Conclusion: The MSSA screening and eradication protocol used in our institution was effective at reducing rates of MSSA PJI. Furthermore, it resulted in significant savings when compared to the cost of prevented infections.","author":[{"dropping-particle":"","family":"Jeans","given":"Edward","non-dropping-particle":"","parse-names":false,"suffix":""},{"dropping-particle":"","family":"Holleyman","given":"Richard","non-dropping-particle":"","parse-names":false,"suffix":""},{"dropping-particle":"","family":"Tate","given":"David","non-dropping-particle":"","parse-names":false,"suffix":""},{"dropping-particle":"","family":"Reed","given":"Mike","non-dropping-particle":"","parse-names":false,"suffix":""},{"dropping-particle":"","family":"Malviya","given":"Ajay","non-dropping-particle":"","parse-names":false,"suffix":""}],"container-title":"Journal of Infection","id":"ITEM-2","issue":"5","issued":{"date-parts":[["2018","11"]]},"page":"405-409","title":"Methicillin sensitive staphylococcus aureus screening and decolonisation in elective hip and knee arthroplasty","type":"article-journal","volume":"77"},"uris":["http://www.mendeley.com/documents/?uuid=d9bc695e-484d-4c9e-8d21-b9818e049bbb"]}],"mendeley":{"formattedCitation":"(40,41)","plainTextFormattedCitation":"(40,41)","previouslyFormattedCitation":"(40,41)"},"properties":{"noteIndex":0},"schema":"https://github.com/citation-style-language/schema/raw/master/csl-citation.json"}</w:instrText>
            </w:r>
            <w:r w:rsidRPr="008E6C84">
              <w:rPr>
                <w:rFonts w:cs="Times New Roman"/>
              </w:rPr>
              <w:fldChar w:fldCharType="separate"/>
            </w:r>
            <w:r w:rsidRPr="003F790D">
              <w:rPr>
                <w:rFonts w:cs="Times New Roman"/>
                <w:noProof/>
              </w:rPr>
              <w:t>(40,41)</w:t>
            </w:r>
            <w:r w:rsidRPr="008E6C84">
              <w:rPr>
                <w:rFonts w:cs="Times New Roman"/>
              </w:rPr>
              <w:fldChar w:fldCharType="end"/>
            </w:r>
            <w:r w:rsidR="003F2DF6">
              <w:rPr>
                <w:rFonts w:cs="Times New Roman"/>
              </w:rPr>
              <w:t>.</w:t>
            </w:r>
          </w:p>
          <w:p w14:paraId="79ABAEB0" w14:textId="77777777" w:rsidR="00FE48D0" w:rsidRPr="0050087A" w:rsidRDefault="00FE48D0" w:rsidP="003F39BA">
            <w:pPr>
              <w:spacing w:after="0" w:line="240" w:lineRule="auto"/>
              <w:rPr>
                <w:rFonts w:cs="Times New Roman"/>
              </w:rPr>
            </w:pPr>
          </w:p>
          <w:p w14:paraId="4A5991B8" w14:textId="77777777" w:rsidR="00FE48D0" w:rsidRPr="0050087A" w:rsidRDefault="00FE48D0" w:rsidP="003F39BA">
            <w:pPr>
              <w:pStyle w:val="ListParagraph"/>
              <w:widowControl w:val="0"/>
              <w:numPr>
                <w:ilvl w:val="0"/>
                <w:numId w:val="20"/>
              </w:numPr>
              <w:autoSpaceDE w:val="0"/>
              <w:autoSpaceDN w:val="0"/>
              <w:adjustRightInd w:val="0"/>
              <w:spacing w:after="0" w:line="240" w:lineRule="auto"/>
              <w:rPr>
                <w:rFonts w:cs="Times New Roman"/>
              </w:rPr>
            </w:pPr>
            <w:r w:rsidRPr="0050087A">
              <w:rPr>
                <w:rFonts w:cs="Times New Roman"/>
              </w:rPr>
              <w:t xml:space="preserve">In addition to faculty making themselves available to be contacted by teams, a programme of regular coaching calls between team members and project expert faculty, who were trained in coaching, was established and teams encouraged to take part. Each team was assigned the same coach for the duration of the collaborative. Teams also fed back regularly via written monthly reports and presenting at the learning sessions on their progress in implementing change. This data was regularly reviewed by the organizing faculty to aid individualization of the support offered to teams based on each team’s needs and preferences. A traffic light system </w:t>
            </w:r>
            <w:r>
              <w:rPr>
                <w:rFonts w:cs="Times New Roman"/>
              </w:rPr>
              <w:t>was</w:t>
            </w:r>
            <w:r w:rsidRPr="0050087A">
              <w:rPr>
                <w:rFonts w:cs="Times New Roman"/>
              </w:rPr>
              <w:t xml:space="preserve"> developed and maintained in an attempt to highlight to faculty </w:t>
            </w:r>
            <w:r>
              <w:rPr>
                <w:rFonts w:cs="Times New Roman"/>
              </w:rPr>
              <w:t xml:space="preserve">where </w:t>
            </w:r>
            <w:r w:rsidRPr="0050087A">
              <w:rPr>
                <w:rFonts w:cs="Times New Roman"/>
              </w:rPr>
              <w:t xml:space="preserve">teams may </w:t>
            </w:r>
            <w:r>
              <w:rPr>
                <w:rFonts w:cs="Times New Roman"/>
              </w:rPr>
              <w:t xml:space="preserve">have </w:t>
            </w:r>
            <w:r w:rsidRPr="0050087A">
              <w:rPr>
                <w:rFonts w:cs="Times New Roman"/>
              </w:rPr>
              <w:t>be</w:t>
            </w:r>
            <w:r>
              <w:rPr>
                <w:rFonts w:cs="Times New Roman"/>
              </w:rPr>
              <w:t>en</w:t>
            </w:r>
            <w:r w:rsidRPr="0050087A">
              <w:rPr>
                <w:rFonts w:cs="Times New Roman"/>
              </w:rPr>
              <w:t xml:space="preserve"> struggling or disengaged with the process.</w:t>
            </w:r>
          </w:p>
        </w:tc>
      </w:tr>
      <w:tr w:rsidR="00FE48D0" w:rsidRPr="00035759" w14:paraId="440928A5" w14:textId="77777777" w:rsidTr="003F39BA">
        <w:trPr>
          <w:trHeight w:val="182"/>
        </w:trPr>
        <w:tc>
          <w:tcPr>
            <w:tcW w:w="1367" w:type="dxa"/>
          </w:tcPr>
          <w:p w14:paraId="28A59B98" w14:textId="77777777" w:rsidR="00FE48D0" w:rsidRPr="0050087A" w:rsidRDefault="00FE48D0" w:rsidP="003F39BA">
            <w:pPr>
              <w:widowControl w:val="0"/>
              <w:autoSpaceDE w:val="0"/>
              <w:autoSpaceDN w:val="0"/>
              <w:adjustRightInd w:val="0"/>
              <w:spacing w:after="0" w:line="240" w:lineRule="auto"/>
              <w:rPr>
                <w:rFonts w:cs="Times New Roman"/>
              </w:rPr>
            </w:pPr>
            <w:r w:rsidRPr="0050087A">
              <w:rPr>
                <w:rFonts w:cs="Times New Roman"/>
              </w:rPr>
              <w:t>Summative Congress and Publications</w:t>
            </w:r>
          </w:p>
        </w:tc>
        <w:tc>
          <w:tcPr>
            <w:tcW w:w="13517" w:type="dxa"/>
          </w:tcPr>
          <w:p w14:paraId="744ECE56" w14:textId="77777777" w:rsidR="00FE48D0" w:rsidRPr="0050087A" w:rsidRDefault="00FE48D0" w:rsidP="003F39BA">
            <w:pPr>
              <w:pStyle w:val="ListParagraph"/>
              <w:widowControl w:val="0"/>
              <w:numPr>
                <w:ilvl w:val="0"/>
                <w:numId w:val="13"/>
              </w:numPr>
              <w:autoSpaceDE w:val="0"/>
              <w:autoSpaceDN w:val="0"/>
              <w:adjustRightInd w:val="0"/>
              <w:spacing w:after="0" w:line="240" w:lineRule="auto"/>
              <w:rPr>
                <w:rFonts w:cs="Times New Roman"/>
              </w:rPr>
            </w:pPr>
            <w:r w:rsidRPr="0050087A">
              <w:rPr>
                <w:rFonts w:cs="Times New Roman"/>
              </w:rPr>
              <w:t>Summative congresses for the anaemia and infection collaboratives took place on 15</w:t>
            </w:r>
            <w:r w:rsidRPr="0050087A">
              <w:rPr>
                <w:rFonts w:cs="Times New Roman"/>
                <w:vertAlign w:val="superscript"/>
              </w:rPr>
              <w:t>th</w:t>
            </w:r>
            <w:r w:rsidRPr="0050087A">
              <w:rPr>
                <w:rFonts w:cs="Times New Roman"/>
              </w:rPr>
              <w:t xml:space="preserve"> &amp; 16</w:t>
            </w:r>
            <w:r w:rsidRPr="0050087A">
              <w:rPr>
                <w:rFonts w:cs="Times New Roman"/>
                <w:vertAlign w:val="superscript"/>
              </w:rPr>
              <w:t>th</w:t>
            </w:r>
            <w:r w:rsidRPr="0050087A">
              <w:rPr>
                <w:rFonts w:cs="Times New Roman"/>
              </w:rPr>
              <w:t xml:space="preserve"> May 2019 respectively</w:t>
            </w:r>
            <w:r>
              <w:rPr>
                <w:rFonts w:cs="Times New Roman"/>
              </w:rPr>
              <w:t>.</w:t>
            </w:r>
          </w:p>
          <w:p w14:paraId="0E4EBB52" w14:textId="77777777" w:rsidR="00FE48D0" w:rsidRPr="0050087A" w:rsidRDefault="00FE48D0" w:rsidP="003F39BA">
            <w:pPr>
              <w:pStyle w:val="ListParagraph"/>
              <w:widowControl w:val="0"/>
              <w:autoSpaceDE w:val="0"/>
              <w:autoSpaceDN w:val="0"/>
              <w:adjustRightInd w:val="0"/>
              <w:spacing w:after="0" w:line="240" w:lineRule="auto"/>
              <w:rPr>
                <w:rFonts w:cs="Times New Roman"/>
              </w:rPr>
            </w:pPr>
          </w:p>
          <w:p w14:paraId="7D74F8D9" w14:textId="77777777" w:rsidR="00FE48D0" w:rsidRDefault="00FE48D0" w:rsidP="003F39BA">
            <w:pPr>
              <w:pStyle w:val="ListParagraph"/>
              <w:widowControl w:val="0"/>
              <w:numPr>
                <w:ilvl w:val="0"/>
                <w:numId w:val="13"/>
              </w:numPr>
              <w:autoSpaceDE w:val="0"/>
              <w:autoSpaceDN w:val="0"/>
              <w:adjustRightInd w:val="0"/>
              <w:spacing w:after="0" w:line="240" w:lineRule="auto"/>
              <w:rPr>
                <w:rFonts w:cs="Times New Roman"/>
              </w:rPr>
            </w:pPr>
            <w:r w:rsidRPr="0050087A">
              <w:rPr>
                <w:rFonts w:cs="Times New Roman"/>
              </w:rPr>
              <w:t>A final summative session was planned for September 2020. Due to COVID-19 this was delayed until Nov 2020 and delivered virtually instead of in person.</w:t>
            </w:r>
          </w:p>
          <w:p w14:paraId="0B7BA8A7" w14:textId="77777777" w:rsidR="00FE48D0" w:rsidRPr="00F52F91" w:rsidRDefault="00FE48D0" w:rsidP="00610F23">
            <w:pPr>
              <w:rPr>
                <w:rFonts w:cs="Times New Roman"/>
              </w:rPr>
            </w:pPr>
          </w:p>
          <w:p w14:paraId="2F7A30BA" w14:textId="190D590A" w:rsidR="00CE43AD" w:rsidRPr="00F52F91" w:rsidRDefault="00FE48D0" w:rsidP="00610F23">
            <w:pPr>
              <w:pStyle w:val="ListParagraph"/>
              <w:widowControl w:val="0"/>
              <w:numPr>
                <w:ilvl w:val="0"/>
                <w:numId w:val="13"/>
              </w:numPr>
              <w:autoSpaceDE w:val="0"/>
              <w:autoSpaceDN w:val="0"/>
              <w:adjustRightInd w:val="0"/>
              <w:spacing w:after="0" w:line="240" w:lineRule="auto"/>
              <w:rPr>
                <w:rFonts w:cs="Times New Roman"/>
              </w:rPr>
            </w:pPr>
            <w:r>
              <w:rPr>
                <w:rFonts w:cs="Times New Roman"/>
              </w:rPr>
              <w:t>Protocol paper published and this paper reports the results. Results being presented</w:t>
            </w:r>
            <w:r w:rsidRPr="00332831">
              <w:rPr>
                <w:rFonts w:cs="Times New Roman"/>
              </w:rPr>
              <w:t xml:space="preserve"> at International Evidence and Implementation summit 2021 and British Orthopaedic Association annual congress 2021. </w:t>
            </w:r>
          </w:p>
          <w:p w14:paraId="38315ABC" w14:textId="77777777" w:rsidR="00FE48D0" w:rsidRPr="0050087A" w:rsidRDefault="00FE48D0" w:rsidP="003F39BA">
            <w:pPr>
              <w:widowControl w:val="0"/>
              <w:autoSpaceDE w:val="0"/>
              <w:autoSpaceDN w:val="0"/>
              <w:adjustRightInd w:val="0"/>
              <w:spacing w:after="0" w:line="240" w:lineRule="auto"/>
              <w:rPr>
                <w:rFonts w:cs="Times New Roman"/>
              </w:rPr>
            </w:pPr>
          </w:p>
          <w:p w14:paraId="5872B7FC" w14:textId="774C13BB" w:rsidR="00FE48D0" w:rsidRPr="0050087A" w:rsidRDefault="00FE48D0" w:rsidP="003F39BA">
            <w:pPr>
              <w:pStyle w:val="ListParagraph"/>
              <w:widowControl w:val="0"/>
              <w:numPr>
                <w:ilvl w:val="0"/>
                <w:numId w:val="13"/>
              </w:numPr>
              <w:autoSpaceDE w:val="0"/>
              <w:autoSpaceDN w:val="0"/>
              <w:adjustRightInd w:val="0"/>
              <w:spacing w:after="0" w:line="240" w:lineRule="auto"/>
              <w:rPr>
                <w:rFonts w:asciiTheme="minorHAnsi" w:hAnsiTheme="minorHAnsi" w:cstheme="minorHAnsi"/>
              </w:rPr>
            </w:pPr>
            <w:r w:rsidRPr="0050087A">
              <w:rPr>
                <w:rFonts w:asciiTheme="minorHAnsi" w:hAnsiTheme="minorHAnsi" w:cstheme="minorHAnsi"/>
              </w:rPr>
              <w:t xml:space="preserve">The QIST: Anaemia teams were actively involved in the development of national CQUIN target </w:t>
            </w:r>
            <w:r w:rsidRPr="00035759">
              <w:rPr>
                <w:rFonts w:asciiTheme="minorHAnsi" w:hAnsiTheme="minorHAnsi" w:cstheme="minorHAnsi"/>
                <w:color w:val="000000"/>
              </w:rPr>
              <w:t>CCG10: Screening and treatment of iron deficiency anaemia in patients listed for</w:t>
            </w:r>
            <w:r w:rsidRPr="00AD29B0">
              <w:rPr>
                <w:rFonts w:asciiTheme="minorHAnsi" w:hAnsiTheme="minorHAnsi" w:cstheme="minorHAnsi"/>
                <w:color w:val="000000"/>
              </w:rPr>
              <w:t xml:space="preserve"> major elective blood loss surgery”, for the year 2020-21.</w:t>
            </w:r>
            <w:r>
              <w:rPr>
                <w:rFonts w:asciiTheme="minorHAnsi" w:hAnsiTheme="minorHAnsi" w:cstheme="minorHAnsi"/>
                <w:color w:val="000000"/>
              </w:rPr>
              <w:t xml:space="preserve"> However, implementation of this target has been postponed due to the COVID-19 pandemic</w:t>
            </w:r>
            <w:r w:rsidRPr="00AD29B0">
              <w:rPr>
                <w:rFonts w:asciiTheme="minorHAnsi" w:hAnsiTheme="minorHAnsi" w:cstheme="minorHAnsi"/>
                <w:color w:val="000000"/>
              </w:rPr>
              <w:t xml:space="preserve"> </w:t>
            </w:r>
            <w:r w:rsidRPr="00AD29B0">
              <w:rPr>
                <w:rFonts w:asciiTheme="minorHAnsi" w:hAnsiTheme="minorHAnsi" w:cstheme="minorHAnsi"/>
                <w:color w:val="000000"/>
              </w:rPr>
              <w:fldChar w:fldCharType="begin" w:fldLock="1"/>
            </w:r>
            <w:r w:rsidR="00883E1C">
              <w:rPr>
                <w:rFonts w:asciiTheme="minorHAnsi" w:hAnsiTheme="minorHAnsi" w:cstheme="minorHAnsi"/>
                <w:color w:val="000000"/>
              </w:rPr>
              <w:instrText>ADDIN CSL_CITATION {"citationItems":[{"id":"ITEM-1","itemData":{"abstract":"The CQUIN framework aims to support operational improvements in the quality of services, whilst creating new, improved patterns of care. This document is for commissioners and providers who will be using the CQUIN framework in 2014/15. It provides an overview of the financial framework for 2014/15, sets out the rules for CQUIN variations, provides detailed guidance on the national goals for 2014/15 and offers advice for those developing local CQUIN goals","author":[{"dropping-particle":"","family":"NHS England and NHS Improvement","given":"","non-dropping-particle":"","parse-names":false,"suffix":""}],"id":"ITEM-1","issued":{"date-parts":[["2020"]]},"number-of-pages":"1-37","title":"Commissioning for quality and innovation (CQUIN): Guidance for 2020 - 2021","type":"report"},"uris":["http://www.mendeley.com/documents/?uuid=5b1408c7-8658-400d-853a-e278bfb7e8e9"]}],"mendeley":{"formattedCitation":"(47)","plainTextFormattedCitation":"(47)","previouslyFormattedCitation":"(45)"},"properties":{"noteIndex":0},"schema":"https://github.com/citation-style-language/schema/raw/master/csl-citation.json"}</w:instrText>
            </w:r>
            <w:r w:rsidRPr="00AD29B0">
              <w:rPr>
                <w:rFonts w:asciiTheme="minorHAnsi" w:hAnsiTheme="minorHAnsi" w:cstheme="minorHAnsi"/>
                <w:color w:val="000000"/>
              </w:rPr>
              <w:fldChar w:fldCharType="separate"/>
            </w:r>
            <w:r w:rsidR="00883E1C" w:rsidRPr="00883E1C">
              <w:rPr>
                <w:rFonts w:asciiTheme="minorHAnsi" w:hAnsiTheme="minorHAnsi" w:cstheme="minorHAnsi"/>
                <w:noProof/>
                <w:color w:val="000000"/>
              </w:rPr>
              <w:t>(47)</w:t>
            </w:r>
            <w:r w:rsidRPr="00AD29B0">
              <w:rPr>
                <w:rFonts w:asciiTheme="minorHAnsi" w:hAnsiTheme="minorHAnsi" w:cstheme="minorHAnsi"/>
                <w:color w:val="000000"/>
              </w:rPr>
              <w:fldChar w:fldCharType="end"/>
            </w:r>
            <w:r w:rsidR="003F2DF6">
              <w:rPr>
                <w:rFonts w:asciiTheme="minorHAnsi" w:eastAsiaTheme="minorHAnsi" w:hAnsiTheme="minorHAnsi" w:cstheme="minorHAnsi"/>
                <w:sz w:val="24"/>
                <w:szCs w:val="24"/>
                <w:lang w:eastAsia="en-US"/>
              </w:rPr>
              <w:t>.</w:t>
            </w:r>
          </w:p>
        </w:tc>
      </w:tr>
      <w:tr w:rsidR="00FE48D0" w:rsidRPr="00035759" w14:paraId="78C79B97" w14:textId="77777777" w:rsidTr="003F39BA">
        <w:trPr>
          <w:trHeight w:val="182"/>
        </w:trPr>
        <w:tc>
          <w:tcPr>
            <w:tcW w:w="1367" w:type="dxa"/>
          </w:tcPr>
          <w:p w14:paraId="2E692393" w14:textId="77777777" w:rsidR="00FE48D0" w:rsidRPr="0050087A" w:rsidRDefault="00FE48D0" w:rsidP="003F39BA">
            <w:pPr>
              <w:widowControl w:val="0"/>
              <w:autoSpaceDE w:val="0"/>
              <w:autoSpaceDN w:val="0"/>
              <w:adjustRightInd w:val="0"/>
              <w:spacing w:after="0" w:line="240" w:lineRule="auto"/>
              <w:rPr>
                <w:rFonts w:cs="Times New Roman"/>
              </w:rPr>
            </w:pPr>
            <w:r w:rsidRPr="0050087A">
              <w:rPr>
                <w:rFonts w:cs="Times New Roman"/>
              </w:rPr>
              <w:t>Measurement and Evaluation</w:t>
            </w:r>
          </w:p>
        </w:tc>
        <w:tc>
          <w:tcPr>
            <w:tcW w:w="13517" w:type="dxa"/>
          </w:tcPr>
          <w:p w14:paraId="12868BE2" w14:textId="77777777" w:rsidR="00FE48D0" w:rsidRPr="0050087A" w:rsidRDefault="00FE48D0" w:rsidP="003F39BA">
            <w:pPr>
              <w:pStyle w:val="ListParagraph"/>
              <w:widowControl w:val="0"/>
              <w:numPr>
                <w:ilvl w:val="0"/>
                <w:numId w:val="14"/>
              </w:numPr>
              <w:autoSpaceDE w:val="0"/>
              <w:autoSpaceDN w:val="0"/>
              <w:adjustRightInd w:val="0"/>
              <w:spacing w:after="0" w:line="240" w:lineRule="auto"/>
              <w:rPr>
                <w:rFonts w:cs="Times New Roman"/>
              </w:rPr>
            </w:pPr>
            <w:r w:rsidRPr="0050087A">
              <w:rPr>
                <w:rFonts w:cs="Times New Roman"/>
              </w:rPr>
              <w:t>A bespoke, electronic data collection system was developed. This included manual data entry and uploading of PAS data from informatics teams. This system also incorporated a real time feedback mechanism that allowed participating teams to visualize and download their own data throughout the coll</w:t>
            </w:r>
            <w:r>
              <w:rPr>
                <w:rFonts w:cs="Times New Roman"/>
              </w:rPr>
              <w:t>a</w:t>
            </w:r>
            <w:r w:rsidRPr="0050087A">
              <w:rPr>
                <w:rFonts w:cs="Times New Roman"/>
              </w:rPr>
              <w:t>boratives. This allowed teams to track changes in their own process measures (i.e. screening rate) and outcomes (i.e. transfusion rate) over time, on a monthly basis. This was intended to support local implementation and provide benchmarking with peers. To aid data collection several prompts were built into the electronic data collection system using PAS data, for example if PAS data showed a patient were readmitted within 90 days the users were prompted to check and confirm if this was due to SSI or not. Teams were asked to report any potential SSI via the electronic system and an independent outcomes committee would then review each case and apply SSI criteria in a standardi</w:t>
            </w:r>
            <w:r>
              <w:rPr>
                <w:rFonts w:cs="Times New Roman"/>
              </w:rPr>
              <w:t>s</w:t>
            </w:r>
            <w:r w:rsidRPr="0050087A">
              <w:rPr>
                <w:rFonts w:cs="Times New Roman"/>
              </w:rPr>
              <w:t>ed fashion for definitive trial outcome.</w:t>
            </w:r>
          </w:p>
          <w:p w14:paraId="4EB10989" w14:textId="77777777" w:rsidR="00FE48D0" w:rsidRPr="0050087A" w:rsidRDefault="00FE48D0" w:rsidP="003F39BA">
            <w:pPr>
              <w:widowControl w:val="0"/>
              <w:autoSpaceDE w:val="0"/>
              <w:autoSpaceDN w:val="0"/>
              <w:adjustRightInd w:val="0"/>
              <w:spacing w:after="0" w:line="240" w:lineRule="auto"/>
              <w:rPr>
                <w:rFonts w:cs="Times New Roman"/>
              </w:rPr>
            </w:pPr>
          </w:p>
        </w:tc>
      </w:tr>
    </w:tbl>
    <w:p w14:paraId="1CA8F35B" w14:textId="77777777" w:rsidR="00FE48D0" w:rsidRDefault="00FE48D0" w:rsidP="00FE48D0">
      <w:pPr>
        <w:pStyle w:val="Caption"/>
        <w:keepNext/>
      </w:pPr>
    </w:p>
    <w:p w14:paraId="188CBB82" w14:textId="77777777" w:rsidR="00FE48D0" w:rsidRDefault="00FE48D0" w:rsidP="00FE48D0">
      <w:pPr>
        <w:spacing w:after="0" w:line="240" w:lineRule="auto"/>
        <w:rPr>
          <w:i/>
          <w:iCs/>
          <w:color w:val="44546A" w:themeColor="text2"/>
          <w:sz w:val="18"/>
          <w:szCs w:val="18"/>
        </w:rPr>
      </w:pPr>
      <w:r>
        <w:br w:type="page"/>
      </w:r>
    </w:p>
    <w:p w14:paraId="6F2F9AD2" w14:textId="77777777" w:rsidR="00FE48D0" w:rsidRDefault="00FE48D0" w:rsidP="00FE48D0">
      <w:pPr>
        <w:pStyle w:val="Caption"/>
        <w:keepNext/>
      </w:pPr>
    </w:p>
    <w:p w14:paraId="1053506C" w14:textId="3C9DDB87" w:rsidR="00FE48D0" w:rsidRDefault="00FE48D0" w:rsidP="00FE48D0">
      <w:pPr>
        <w:pStyle w:val="Caption"/>
        <w:keepNext/>
      </w:pPr>
      <w:r>
        <w:t xml:space="preserve">Supplementary </w:t>
      </w:r>
      <w:r w:rsidR="00E842C1">
        <w:t>F</w:t>
      </w:r>
      <w:r>
        <w:t xml:space="preserve">ile 2: </w:t>
      </w:r>
      <w:r w:rsidRPr="00433391">
        <w:t>Variation in approach to implementing MSSA decolonisation pathway, rates of implementation and primary outcome reporting</w:t>
      </w:r>
    </w:p>
    <w:tbl>
      <w:tblPr>
        <w:tblStyle w:val="TableGrid"/>
        <w:tblW w:w="13950" w:type="dxa"/>
        <w:tblLayout w:type="fixed"/>
        <w:tblLook w:val="04A0" w:firstRow="1" w:lastRow="0" w:firstColumn="1" w:lastColumn="0" w:noHBand="0" w:noVBand="1"/>
      </w:tblPr>
      <w:tblGrid>
        <w:gridCol w:w="704"/>
        <w:gridCol w:w="1418"/>
        <w:gridCol w:w="1417"/>
        <w:gridCol w:w="1418"/>
        <w:gridCol w:w="1701"/>
        <w:gridCol w:w="2551"/>
        <w:gridCol w:w="992"/>
        <w:gridCol w:w="1134"/>
        <w:gridCol w:w="1418"/>
        <w:gridCol w:w="1197"/>
      </w:tblGrid>
      <w:tr w:rsidR="00FE48D0" w:rsidRPr="00585A07" w14:paraId="544D3242" w14:textId="77777777" w:rsidTr="003F39BA">
        <w:trPr>
          <w:trHeight w:val="485"/>
        </w:trPr>
        <w:tc>
          <w:tcPr>
            <w:tcW w:w="704" w:type="dxa"/>
            <w:vAlign w:val="center"/>
          </w:tcPr>
          <w:p w14:paraId="6740F974" w14:textId="77777777" w:rsidR="00FE48D0" w:rsidRPr="00585A07" w:rsidRDefault="00FE48D0" w:rsidP="003F39BA">
            <w:pPr>
              <w:spacing w:after="0" w:line="240" w:lineRule="auto"/>
              <w:jc w:val="center"/>
            </w:pPr>
            <w:r>
              <w:t>Trust</w:t>
            </w:r>
          </w:p>
        </w:tc>
        <w:tc>
          <w:tcPr>
            <w:tcW w:w="1418" w:type="dxa"/>
            <w:vAlign w:val="center"/>
          </w:tcPr>
          <w:p w14:paraId="42AEB626" w14:textId="77777777" w:rsidR="00FE48D0" w:rsidRPr="00585A07" w:rsidRDefault="00FE48D0" w:rsidP="003F39BA">
            <w:pPr>
              <w:spacing w:after="0" w:line="240" w:lineRule="auto"/>
              <w:jc w:val="center"/>
            </w:pPr>
            <w:r>
              <w:t>A</w:t>
            </w:r>
            <w:r w:rsidRPr="00585A07">
              <w:t>pproach</w:t>
            </w:r>
            <w:r>
              <w:t xml:space="preserve"> to implementing MSSA decolonisation</w:t>
            </w:r>
          </w:p>
        </w:tc>
        <w:tc>
          <w:tcPr>
            <w:tcW w:w="1417" w:type="dxa"/>
            <w:vAlign w:val="center"/>
          </w:tcPr>
          <w:p w14:paraId="438EB5EF" w14:textId="77777777" w:rsidR="00FE48D0" w:rsidRDefault="00FE48D0" w:rsidP="003F39BA">
            <w:pPr>
              <w:spacing w:after="0" w:line="240" w:lineRule="auto"/>
              <w:jc w:val="center"/>
              <w:rPr>
                <w:vertAlign w:val="superscript"/>
              </w:rPr>
            </w:pPr>
            <w:r>
              <w:t>Total n</w:t>
            </w:r>
            <w:r w:rsidRPr="00585A07">
              <w:t xml:space="preserve">umber of </w:t>
            </w:r>
            <w:r>
              <w:t>procedures</w:t>
            </w:r>
            <w:r w:rsidRPr="00585A07">
              <w:t xml:space="preserve"> </w:t>
            </w:r>
            <w:r>
              <w:t>performed</w:t>
            </w:r>
            <w:r>
              <w:rPr>
                <w:vertAlign w:val="superscript"/>
              </w:rPr>
              <w:t xml:space="preserve"> </w:t>
            </w:r>
            <w:r>
              <w:t>during trial 12-month measurement period</w:t>
            </w:r>
          </w:p>
          <w:p w14:paraId="54E65B67" w14:textId="77777777" w:rsidR="00FE48D0" w:rsidRPr="003776ED" w:rsidRDefault="00FE48D0" w:rsidP="003F39BA">
            <w:pPr>
              <w:spacing w:after="0" w:line="240" w:lineRule="auto"/>
              <w:jc w:val="center"/>
            </w:pPr>
          </w:p>
        </w:tc>
        <w:tc>
          <w:tcPr>
            <w:tcW w:w="1418" w:type="dxa"/>
            <w:vAlign w:val="center"/>
          </w:tcPr>
          <w:p w14:paraId="244D667F" w14:textId="77777777" w:rsidR="00FE48D0" w:rsidRPr="00585A07" w:rsidRDefault="00FE48D0" w:rsidP="003F39BA">
            <w:pPr>
              <w:spacing w:after="0" w:line="240" w:lineRule="auto"/>
              <w:jc w:val="center"/>
            </w:pPr>
            <w:r>
              <w:t>Procedures where records were provided (included in QIST analysis) (n, % of total procedures performed)</w:t>
            </w:r>
          </w:p>
        </w:tc>
        <w:tc>
          <w:tcPr>
            <w:tcW w:w="1701" w:type="dxa"/>
          </w:tcPr>
          <w:p w14:paraId="4861D514" w14:textId="77777777" w:rsidR="00FE48D0" w:rsidRPr="00585A07" w:rsidRDefault="00FE48D0" w:rsidP="003F39BA">
            <w:pPr>
              <w:spacing w:after="0" w:line="240" w:lineRule="auto"/>
              <w:jc w:val="center"/>
            </w:pPr>
            <w:r>
              <w:t>Procedures for which MSSA decolonisation pathway was implemented as part of QIST</w:t>
            </w:r>
            <w:r>
              <w:rPr>
                <w:vertAlign w:val="superscript"/>
              </w:rPr>
              <w:t>a</w:t>
            </w:r>
            <w:r>
              <w:t xml:space="preserve"> (n, % of total procedures performed)</w:t>
            </w:r>
          </w:p>
        </w:tc>
        <w:tc>
          <w:tcPr>
            <w:tcW w:w="2551" w:type="dxa"/>
            <w:vAlign w:val="center"/>
          </w:tcPr>
          <w:p w14:paraId="6C3829EB" w14:textId="77777777" w:rsidR="00FE48D0" w:rsidRPr="00585A07" w:rsidRDefault="00FE48D0" w:rsidP="003F39BA">
            <w:pPr>
              <w:spacing w:after="0" w:line="240" w:lineRule="auto"/>
              <w:jc w:val="center"/>
            </w:pPr>
            <w:r w:rsidRPr="00585A07">
              <w:t>Screening results</w:t>
            </w:r>
            <w:r>
              <w:t>, n (% of procedures screened)</w:t>
            </w:r>
          </w:p>
        </w:tc>
        <w:tc>
          <w:tcPr>
            <w:tcW w:w="992" w:type="dxa"/>
            <w:vAlign w:val="center"/>
          </w:tcPr>
          <w:p w14:paraId="41AD0B6A" w14:textId="77777777" w:rsidR="00FE48D0" w:rsidRDefault="00FE48D0" w:rsidP="003F39BA">
            <w:pPr>
              <w:spacing w:after="0" w:line="240" w:lineRule="auto"/>
              <w:jc w:val="center"/>
            </w:pPr>
            <w:r>
              <w:t>Reported potential SSIs, n</w:t>
            </w:r>
          </w:p>
          <w:p w14:paraId="269BC2D7" w14:textId="77777777" w:rsidR="00FE48D0" w:rsidRPr="00585A07" w:rsidRDefault="00FE48D0" w:rsidP="003F39BA">
            <w:pPr>
              <w:spacing w:after="0" w:line="240" w:lineRule="auto"/>
              <w:jc w:val="center"/>
            </w:pPr>
          </w:p>
        </w:tc>
        <w:tc>
          <w:tcPr>
            <w:tcW w:w="1134" w:type="dxa"/>
            <w:vAlign w:val="center"/>
          </w:tcPr>
          <w:p w14:paraId="408E8A12" w14:textId="77777777" w:rsidR="00FE48D0" w:rsidRPr="00585A07" w:rsidRDefault="00FE48D0" w:rsidP="003F39BA">
            <w:pPr>
              <w:spacing w:after="0" w:line="240" w:lineRule="auto"/>
              <w:jc w:val="center"/>
            </w:pPr>
            <w:r>
              <w:t>All SSIs confirmed by IOC</w:t>
            </w:r>
            <w:r>
              <w:rPr>
                <w:vertAlign w:val="superscript"/>
              </w:rPr>
              <w:t>b</w:t>
            </w:r>
            <w:r>
              <w:t xml:space="preserve"> (n, % of reported potential SSIs)</w:t>
            </w:r>
          </w:p>
        </w:tc>
        <w:tc>
          <w:tcPr>
            <w:tcW w:w="1418" w:type="dxa"/>
            <w:vAlign w:val="center"/>
          </w:tcPr>
          <w:p w14:paraId="3753B7D2" w14:textId="77777777" w:rsidR="00FE48D0" w:rsidRDefault="00FE48D0" w:rsidP="003F39BA">
            <w:pPr>
              <w:spacing w:after="0" w:line="240" w:lineRule="auto"/>
              <w:jc w:val="center"/>
            </w:pPr>
            <w:r w:rsidRPr="00AB730C">
              <w:t>IOC confirmed deep SSIs by causative organism (n, %</w:t>
            </w:r>
            <w:r>
              <w:t xml:space="preserve"> of procedures included in QIST</w:t>
            </w:r>
            <w:r w:rsidRPr="00AB730C">
              <w:t>)</w:t>
            </w:r>
          </w:p>
        </w:tc>
        <w:tc>
          <w:tcPr>
            <w:tcW w:w="1197" w:type="dxa"/>
            <w:vAlign w:val="center"/>
          </w:tcPr>
          <w:p w14:paraId="21BFC09E" w14:textId="77777777" w:rsidR="00FE48D0" w:rsidRPr="00585A07" w:rsidRDefault="00FE48D0" w:rsidP="003F39BA">
            <w:pPr>
              <w:spacing w:after="0" w:line="240" w:lineRule="auto"/>
              <w:jc w:val="center"/>
            </w:pPr>
            <w:r>
              <w:t>Procedures requiring blood transfusion (n, %)</w:t>
            </w:r>
          </w:p>
        </w:tc>
      </w:tr>
      <w:tr w:rsidR="00FE48D0" w:rsidRPr="00585A07" w14:paraId="33D83112" w14:textId="77777777" w:rsidTr="003F39BA">
        <w:trPr>
          <w:trHeight w:val="233"/>
        </w:trPr>
        <w:tc>
          <w:tcPr>
            <w:tcW w:w="704" w:type="dxa"/>
            <w:vAlign w:val="center"/>
          </w:tcPr>
          <w:p w14:paraId="308DE50B" w14:textId="77777777" w:rsidR="00FE48D0" w:rsidRPr="00585A07" w:rsidRDefault="00FE48D0" w:rsidP="003F39BA">
            <w:pPr>
              <w:spacing w:after="0" w:line="240" w:lineRule="auto"/>
            </w:pPr>
            <w:r>
              <w:rPr>
                <w:color w:val="000000"/>
              </w:rPr>
              <w:t>1</w:t>
            </w:r>
          </w:p>
        </w:tc>
        <w:tc>
          <w:tcPr>
            <w:tcW w:w="1418" w:type="dxa"/>
          </w:tcPr>
          <w:p w14:paraId="4E98B362" w14:textId="77777777" w:rsidR="00FE48D0" w:rsidRPr="00585A07" w:rsidRDefault="00FE48D0" w:rsidP="003F39BA">
            <w:pPr>
              <w:spacing w:after="0" w:line="240" w:lineRule="auto"/>
            </w:pPr>
            <w:r w:rsidRPr="00585A07">
              <w:t>Screen</w:t>
            </w:r>
          </w:p>
        </w:tc>
        <w:tc>
          <w:tcPr>
            <w:tcW w:w="1417" w:type="dxa"/>
          </w:tcPr>
          <w:p w14:paraId="53268F04" w14:textId="77777777" w:rsidR="00FE48D0" w:rsidRPr="00585A07" w:rsidRDefault="00FE48D0" w:rsidP="003F39BA">
            <w:pPr>
              <w:spacing w:after="0" w:line="240" w:lineRule="auto"/>
            </w:pPr>
            <w:r>
              <w:t>482</w:t>
            </w:r>
          </w:p>
        </w:tc>
        <w:tc>
          <w:tcPr>
            <w:tcW w:w="1418" w:type="dxa"/>
          </w:tcPr>
          <w:p w14:paraId="0949732F" w14:textId="77777777" w:rsidR="00FE48D0" w:rsidRPr="00585A07" w:rsidRDefault="00FE48D0" w:rsidP="003F39BA">
            <w:pPr>
              <w:spacing w:after="0" w:line="240" w:lineRule="auto"/>
            </w:pPr>
            <w:r w:rsidRPr="00585A07">
              <w:t>141</w:t>
            </w:r>
            <w:r>
              <w:t xml:space="preserve"> (29.3)</w:t>
            </w:r>
          </w:p>
        </w:tc>
        <w:tc>
          <w:tcPr>
            <w:tcW w:w="1701" w:type="dxa"/>
          </w:tcPr>
          <w:p w14:paraId="61D486AC" w14:textId="77777777" w:rsidR="00FE48D0" w:rsidRPr="00585A07" w:rsidRDefault="00FE48D0" w:rsidP="003F39BA">
            <w:pPr>
              <w:spacing w:after="0" w:line="240" w:lineRule="auto"/>
            </w:pPr>
            <w:r>
              <w:t>137 (28.4)</w:t>
            </w:r>
          </w:p>
        </w:tc>
        <w:tc>
          <w:tcPr>
            <w:tcW w:w="2551" w:type="dxa"/>
          </w:tcPr>
          <w:p w14:paraId="313F61F5" w14:textId="77777777" w:rsidR="00FE48D0" w:rsidRPr="00585A07" w:rsidRDefault="00FE48D0" w:rsidP="003F39BA">
            <w:pPr>
              <w:spacing w:after="0" w:line="240" w:lineRule="auto"/>
            </w:pPr>
            <w:r w:rsidRPr="00585A07">
              <w:t>MSSA positive = 44 (31.2)</w:t>
            </w:r>
          </w:p>
          <w:p w14:paraId="679DB5F0" w14:textId="77777777" w:rsidR="00FE48D0" w:rsidRPr="00585A07" w:rsidRDefault="00FE48D0" w:rsidP="003F39BA">
            <w:pPr>
              <w:spacing w:after="0" w:line="240" w:lineRule="auto"/>
            </w:pPr>
            <w:r w:rsidRPr="00585A07">
              <w:t>MSSA negative = 97</w:t>
            </w:r>
            <w:r>
              <w:t xml:space="preserve"> (68.8)</w:t>
            </w:r>
          </w:p>
        </w:tc>
        <w:tc>
          <w:tcPr>
            <w:tcW w:w="992" w:type="dxa"/>
          </w:tcPr>
          <w:p w14:paraId="2859B266" w14:textId="77777777" w:rsidR="00FE48D0" w:rsidRPr="00585A07" w:rsidRDefault="00FE48D0" w:rsidP="003F39BA">
            <w:pPr>
              <w:spacing w:after="0" w:line="240" w:lineRule="auto"/>
            </w:pPr>
            <w:r>
              <w:t>3</w:t>
            </w:r>
          </w:p>
        </w:tc>
        <w:tc>
          <w:tcPr>
            <w:tcW w:w="1134" w:type="dxa"/>
          </w:tcPr>
          <w:p w14:paraId="141DB059" w14:textId="77777777" w:rsidR="00FE48D0" w:rsidRPr="00585A07" w:rsidRDefault="00FE48D0" w:rsidP="003F39BA">
            <w:pPr>
              <w:spacing w:after="0" w:line="240" w:lineRule="auto"/>
            </w:pPr>
            <w:r>
              <w:t>3 (100)</w:t>
            </w:r>
          </w:p>
        </w:tc>
        <w:tc>
          <w:tcPr>
            <w:tcW w:w="1418" w:type="dxa"/>
          </w:tcPr>
          <w:p w14:paraId="52031023" w14:textId="77777777" w:rsidR="00FE48D0" w:rsidRDefault="00FE48D0" w:rsidP="003F39BA">
            <w:pPr>
              <w:spacing w:after="0" w:line="240" w:lineRule="auto"/>
            </w:pPr>
            <w:r>
              <w:t>MSSA: 1 (0.7)</w:t>
            </w:r>
          </w:p>
          <w:p w14:paraId="5A8EE555" w14:textId="77777777" w:rsidR="00FE48D0" w:rsidRDefault="00FE48D0" w:rsidP="003F39BA">
            <w:pPr>
              <w:spacing w:after="0" w:line="240" w:lineRule="auto"/>
            </w:pPr>
            <w:r>
              <w:t>Any</w:t>
            </w:r>
            <w:r>
              <w:rPr>
                <w:vertAlign w:val="superscript"/>
              </w:rPr>
              <w:t>c</w:t>
            </w:r>
            <w:r>
              <w:t>: 3 (2.1)</w:t>
            </w:r>
          </w:p>
        </w:tc>
        <w:tc>
          <w:tcPr>
            <w:tcW w:w="1197" w:type="dxa"/>
          </w:tcPr>
          <w:p w14:paraId="3700C6D2" w14:textId="77777777" w:rsidR="00FE48D0" w:rsidRPr="00585A07" w:rsidRDefault="00FE48D0" w:rsidP="003F39BA">
            <w:pPr>
              <w:spacing w:after="0" w:line="240" w:lineRule="auto"/>
            </w:pPr>
            <w:r>
              <w:t>2 (1.4)</w:t>
            </w:r>
          </w:p>
        </w:tc>
      </w:tr>
      <w:tr w:rsidR="00FE48D0" w:rsidRPr="00585A07" w14:paraId="1281672F" w14:textId="77777777" w:rsidTr="003F39BA">
        <w:trPr>
          <w:trHeight w:val="209"/>
        </w:trPr>
        <w:tc>
          <w:tcPr>
            <w:tcW w:w="704" w:type="dxa"/>
            <w:vAlign w:val="center"/>
          </w:tcPr>
          <w:p w14:paraId="07DF3DA9" w14:textId="77777777" w:rsidR="00FE48D0" w:rsidRPr="00585A07" w:rsidRDefault="00FE48D0" w:rsidP="003F39BA">
            <w:pPr>
              <w:spacing w:after="0" w:line="240" w:lineRule="auto"/>
            </w:pPr>
            <w:r>
              <w:rPr>
                <w:color w:val="000000"/>
              </w:rPr>
              <w:t>2</w:t>
            </w:r>
          </w:p>
        </w:tc>
        <w:tc>
          <w:tcPr>
            <w:tcW w:w="1418" w:type="dxa"/>
          </w:tcPr>
          <w:p w14:paraId="1A4D1FC3" w14:textId="77777777" w:rsidR="00FE48D0" w:rsidRPr="00585A07" w:rsidRDefault="00FE48D0" w:rsidP="003F39BA">
            <w:pPr>
              <w:spacing w:after="0" w:line="240" w:lineRule="auto"/>
            </w:pPr>
            <w:r w:rsidRPr="00585A07">
              <w:t>Screen</w:t>
            </w:r>
          </w:p>
        </w:tc>
        <w:tc>
          <w:tcPr>
            <w:tcW w:w="1417" w:type="dxa"/>
          </w:tcPr>
          <w:p w14:paraId="1BC84B7E" w14:textId="77777777" w:rsidR="00FE48D0" w:rsidRPr="00585A07" w:rsidRDefault="00FE48D0" w:rsidP="003F39BA">
            <w:pPr>
              <w:spacing w:after="0" w:line="240" w:lineRule="auto"/>
            </w:pPr>
            <w:r>
              <w:t>457</w:t>
            </w:r>
          </w:p>
        </w:tc>
        <w:tc>
          <w:tcPr>
            <w:tcW w:w="1418" w:type="dxa"/>
          </w:tcPr>
          <w:p w14:paraId="6E04D778" w14:textId="77777777" w:rsidR="00FE48D0" w:rsidRPr="00585A07" w:rsidRDefault="00FE48D0" w:rsidP="003F39BA">
            <w:pPr>
              <w:spacing w:after="0" w:line="240" w:lineRule="auto"/>
            </w:pPr>
            <w:r w:rsidRPr="00AC4F83">
              <w:t>457</w:t>
            </w:r>
            <w:r>
              <w:t xml:space="preserve"> (100.0)</w:t>
            </w:r>
          </w:p>
        </w:tc>
        <w:tc>
          <w:tcPr>
            <w:tcW w:w="1701" w:type="dxa"/>
          </w:tcPr>
          <w:p w14:paraId="4ACB075C" w14:textId="77777777" w:rsidR="00FE48D0" w:rsidRPr="00585A07" w:rsidRDefault="00FE48D0" w:rsidP="003F39BA">
            <w:pPr>
              <w:spacing w:after="0" w:line="240" w:lineRule="auto"/>
            </w:pPr>
            <w:r>
              <w:t>409 (89.5)</w:t>
            </w:r>
          </w:p>
        </w:tc>
        <w:tc>
          <w:tcPr>
            <w:tcW w:w="2551" w:type="dxa"/>
          </w:tcPr>
          <w:p w14:paraId="69E63C7F" w14:textId="77777777" w:rsidR="00FE48D0" w:rsidRPr="00585A07" w:rsidRDefault="00FE48D0" w:rsidP="003F39BA">
            <w:pPr>
              <w:spacing w:after="0" w:line="240" w:lineRule="auto"/>
            </w:pPr>
            <w:r w:rsidRPr="00585A07">
              <w:t xml:space="preserve">MSSA positive = </w:t>
            </w:r>
            <w:r>
              <w:t>100</w:t>
            </w:r>
            <w:r w:rsidRPr="00585A07">
              <w:t xml:space="preserve"> (</w:t>
            </w:r>
            <w:r>
              <w:t>21.9</w:t>
            </w:r>
            <w:r w:rsidRPr="00585A07">
              <w:t>)</w:t>
            </w:r>
          </w:p>
          <w:p w14:paraId="40ABB971" w14:textId="77777777" w:rsidR="00FE48D0" w:rsidRPr="00585A07" w:rsidRDefault="00FE48D0" w:rsidP="003F39BA">
            <w:pPr>
              <w:spacing w:after="0" w:line="240" w:lineRule="auto"/>
            </w:pPr>
            <w:r w:rsidRPr="00585A07">
              <w:t>MSSA negative = 3</w:t>
            </w:r>
            <w:r>
              <w:t>53 (77.2)</w:t>
            </w:r>
          </w:p>
        </w:tc>
        <w:tc>
          <w:tcPr>
            <w:tcW w:w="992" w:type="dxa"/>
          </w:tcPr>
          <w:p w14:paraId="16F5EDB5" w14:textId="77777777" w:rsidR="00FE48D0" w:rsidRPr="00585A07" w:rsidRDefault="00FE48D0" w:rsidP="003F39BA">
            <w:pPr>
              <w:spacing w:after="0" w:line="240" w:lineRule="auto"/>
            </w:pPr>
            <w:r>
              <w:t>18</w:t>
            </w:r>
          </w:p>
        </w:tc>
        <w:tc>
          <w:tcPr>
            <w:tcW w:w="1134" w:type="dxa"/>
          </w:tcPr>
          <w:p w14:paraId="73AD016E" w14:textId="77777777" w:rsidR="00FE48D0" w:rsidRPr="00585A07" w:rsidRDefault="00FE48D0" w:rsidP="003F39BA">
            <w:pPr>
              <w:spacing w:after="0" w:line="240" w:lineRule="auto"/>
            </w:pPr>
            <w:r>
              <w:t>2 (11)</w:t>
            </w:r>
          </w:p>
        </w:tc>
        <w:tc>
          <w:tcPr>
            <w:tcW w:w="1418" w:type="dxa"/>
          </w:tcPr>
          <w:p w14:paraId="4F1CE081" w14:textId="77777777" w:rsidR="00FE48D0" w:rsidRDefault="00FE48D0" w:rsidP="003F39BA">
            <w:pPr>
              <w:spacing w:after="0" w:line="240" w:lineRule="auto"/>
            </w:pPr>
            <w:r>
              <w:t>MSSA: 0 (0.0)</w:t>
            </w:r>
          </w:p>
          <w:p w14:paraId="21DDA555" w14:textId="77777777" w:rsidR="00FE48D0" w:rsidRDefault="00FE48D0" w:rsidP="003F39BA">
            <w:pPr>
              <w:spacing w:after="0" w:line="240" w:lineRule="auto"/>
            </w:pPr>
            <w:r>
              <w:t>Any</w:t>
            </w:r>
            <w:r>
              <w:rPr>
                <w:vertAlign w:val="superscript"/>
              </w:rPr>
              <w:t>c</w:t>
            </w:r>
            <w:r>
              <w:t>: 0 (0.0)</w:t>
            </w:r>
          </w:p>
        </w:tc>
        <w:tc>
          <w:tcPr>
            <w:tcW w:w="1197" w:type="dxa"/>
          </w:tcPr>
          <w:p w14:paraId="4F1C7A01" w14:textId="77777777" w:rsidR="00FE48D0" w:rsidRPr="00585A07" w:rsidRDefault="00FE48D0" w:rsidP="003F39BA">
            <w:pPr>
              <w:spacing w:after="0" w:line="240" w:lineRule="auto"/>
            </w:pPr>
            <w:r>
              <w:t>12 (2.6)</w:t>
            </w:r>
          </w:p>
        </w:tc>
      </w:tr>
      <w:tr w:rsidR="00FE48D0" w:rsidRPr="00585A07" w14:paraId="0A465F74" w14:textId="77777777" w:rsidTr="003F39BA">
        <w:trPr>
          <w:trHeight w:val="231"/>
        </w:trPr>
        <w:tc>
          <w:tcPr>
            <w:tcW w:w="704" w:type="dxa"/>
            <w:vAlign w:val="center"/>
          </w:tcPr>
          <w:p w14:paraId="0960425B" w14:textId="77777777" w:rsidR="00FE48D0" w:rsidRPr="00585A07" w:rsidRDefault="00FE48D0" w:rsidP="003F39BA">
            <w:pPr>
              <w:spacing w:after="0" w:line="240" w:lineRule="auto"/>
            </w:pPr>
            <w:r>
              <w:rPr>
                <w:color w:val="000000"/>
              </w:rPr>
              <w:t>3</w:t>
            </w:r>
          </w:p>
        </w:tc>
        <w:tc>
          <w:tcPr>
            <w:tcW w:w="1418" w:type="dxa"/>
          </w:tcPr>
          <w:p w14:paraId="4CDE4D16" w14:textId="77777777" w:rsidR="00FE48D0" w:rsidRPr="00585A07" w:rsidRDefault="00FE48D0" w:rsidP="003F39BA">
            <w:pPr>
              <w:spacing w:after="0" w:line="240" w:lineRule="auto"/>
            </w:pPr>
            <w:r w:rsidRPr="00585A07">
              <w:t>Screen</w:t>
            </w:r>
          </w:p>
        </w:tc>
        <w:tc>
          <w:tcPr>
            <w:tcW w:w="1417" w:type="dxa"/>
          </w:tcPr>
          <w:p w14:paraId="07402F65" w14:textId="77777777" w:rsidR="00FE48D0" w:rsidRPr="00585A07" w:rsidRDefault="00FE48D0" w:rsidP="003F39BA">
            <w:pPr>
              <w:spacing w:after="0" w:line="240" w:lineRule="auto"/>
            </w:pPr>
            <w:r>
              <w:t>482</w:t>
            </w:r>
          </w:p>
        </w:tc>
        <w:tc>
          <w:tcPr>
            <w:tcW w:w="1418" w:type="dxa"/>
          </w:tcPr>
          <w:p w14:paraId="4466E678" w14:textId="77777777" w:rsidR="00FE48D0" w:rsidRPr="00585A07" w:rsidRDefault="00FE48D0" w:rsidP="003F39BA">
            <w:pPr>
              <w:spacing w:after="0" w:line="240" w:lineRule="auto"/>
            </w:pPr>
            <w:r>
              <w:t>477 (99.0)</w:t>
            </w:r>
          </w:p>
        </w:tc>
        <w:tc>
          <w:tcPr>
            <w:tcW w:w="1701" w:type="dxa"/>
          </w:tcPr>
          <w:p w14:paraId="3AA46CF3" w14:textId="77777777" w:rsidR="00FE48D0" w:rsidRPr="00585A07" w:rsidRDefault="00FE48D0" w:rsidP="003F39BA">
            <w:pPr>
              <w:spacing w:after="0" w:line="240" w:lineRule="auto"/>
            </w:pPr>
            <w:r>
              <w:t>380 (78.8)</w:t>
            </w:r>
          </w:p>
        </w:tc>
        <w:tc>
          <w:tcPr>
            <w:tcW w:w="2551" w:type="dxa"/>
          </w:tcPr>
          <w:p w14:paraId="50F47A92" w14:textId="77777777" w:rsidR="00FE48D0" w:rsidRPr="00585A07" w:rsidRDefault="00FE48D0" w:rsidP="003F39BA">
            <w:pPr>
              <w:spacing w:after="0" w:line="240" w:lineRule="auto"/>
            </w:pPr>
            <w:r w:rsidRPr="00585A07">
              <w:t xml:space="preserve">MSSA positive = </w:t>
            </w:r>
            <w:r>
              <w:t>146</w:t>
            </w:r>
            <w:r w:rsidRPr="00585A07">
              <w:t xml:space="preserve"> (30.</w:t>
            </w:r>
            <w:r>
              <w:t>6</w:t>
            </w:r>
            <w:r w:rsidRPr="00585A07">
              <w:t>)</w:t>
            </w:r>
          </w:p>
          <w:p w14:paraId="4E0F1A24" w14:textId="77777777" w:rsidR="00FE48D0" w:rsidRPr="00585A07" w:rsidRDefault="00FE48D0" w:rsidP="003F39BA">
            <w:pPr>
              <w:spacing w:after="0" w:line="240" w:lineRule="auto"/>
            </w:pPr>
            <w:r w:rsidRPr="00585A07">
              <w:t>MSSA negative = 3</w:t>
            </w:r>
            <w:r>
              <w:t>22 (67.5)</w:t>
            </w:r>
          </w:p>
        </w:tc>
        <w:tc>
          <w:tcPr>
            <w:tcW w:w="992" w:type="dxa"/>
          </w:tcPr>
          <w:p w14:paraId="346AAE85" w14:textId="77777777" w:rsidR="00FE48D0" w:rsidRPr="00585A07" w:rsidRDefault="00FE48D0" w:rsidP="003F39BA">
            <w:pPr>
              <w:spacing w:after="0" w:line="240" w:lineRule="auto"/>
            </w:pPr>
            <w:r>
              <w:t>17</w:t>
            </w:r>
          </w:p>
        </w:tc>
        <w:tc>
          <w:tcPr>
            <w:tcW w:w="1134" w:type="dxa"/>
          </w:tcPr>
          <w:p w14:paraId="7BB5FD2E" w14:textId="77777777" w:rsidR="00FE48D0" w:rsidRPr="00585A07" w:rsidRDefault="00FE48D0" w:rsidP="003F39BA">
            <w:pPr>
              <w:spacing w:after="0" w:line="240" w:lineRule="auto"/>
            </w:pPr>
            <w:r>
              <w:t>10 (59)</w:t>
            </w:r>
          </w:p>
        </w:tc>
        <w:tc>
          <w:tcPr>
            <w:tcW w:w="1418" w:type="dxa"/>
          </w:tcPr>
          <w:p w14:paraId="0FBEB7E3" w14:textId="77777777" w:rsidR="00FE48D0" w:rsidRDefault="00FE48D0" w:rsidP="003F39BA">
            <w:pPr>
              <w:spacing w:after="0" w:line="240" w:lineRule="auto"/>
            </w:pPr>
            <w:r>
              <w:t>MSSA: 1 (0.2)</w:t>
            </w:r>
          </w:p>
          <w:p w14:paraId="22A141C7" w14:textId="77777777" w:rsidR="00FE48D0" w:rsidRDefault="00FE48D0" w:rsidP="003F39BA">
            <w:pPr>
              <w:spacing w:after="0" w:line="240" w:lineRule="auto"/>
            </w:pPr>
            <w:r>
              <w:t>Any</w:t>
            </w:r>
            <w:r>
              <w:rPr>
                <w:vertAlign w:val="superscript"/>
              </w:rPr>
              <w:t>c</w:t>
            </w:r>
            <w:r>
              <w:t>: 2 (0.4)</w:t>
            </w:r>
          </w:p>
        </w:tc>
        <w:tc>
          <w:tcPr>
            <w:tcW w:w="1197" w:type="dxa"/>
          </w:tcPr>
          <w:p w14:paraId="1F653F9E" w14:textId="77777777" w:rsidR="00FE48D0" w:rsidRPr="00585A07" w:rsidRDefault="00FE48D0" w:rsidP="003F39BA">
            <w:pPr>
              <w:spacing w:after="0" w:line="240" w:lineRule="auto"/>
            </w:pPr>
            <w:r>
              <w:t>7 (1.5)</w:t>
            </w:r>
          </w:p>
        </w:tc>
      </w:tr>
      <w:tr w:rsidR="00FE48D0" w:rsidRPr="00585A07" w14:paraId="410BCE46" w14:textId="77777777" w:rsidTr="003F39BA">
        <w:trPr>
          <w:trHeight w:val="485"/>
        </w:trPr>
        <w:tc>
          <w:tcPr>
            <w:tcW w:w="704" w:type="dxa"/>
            <w:vAlign w:val="center"/>
          </w:tcPr>
          <w:p w14:paraId="48C88A74" w14:textId="77777777" w:rsidR="00FE48D0" w:rsidRPr="00585A07" w:rsidRDefault="00FE48D0" w:rsidP="003F39BA">
            <w:pPr>
              <w:spacing w:after="0" w:line="240" w:lineRule="auto"/>
            </w:pPr>
            <w:r>
              <w:rPr>
                <w:color w:val="000000"/>
              </w:rPr>
              <w:t>4</w:t>
            </w:r>
          </w:p>
        </w:tc>
        <w:tc>
          <w:tcPr>
            <w:tcW w:w="1418" w:type="dxa"/>
          </w:tcPr>
          <w:p w14:paraId="50746F83" w14:textId="77777777" w:rsidR="00FE48D0" w:rsidRPr="00585A07" w:rsidRDefault="00FE48D0" w:rsidP="003F39BA">
            <w:pPr>
              <w:spacing w:after="0" w:line="240" w:lineRule="auto"/>
            </w:pPr>
            <w:r w:rsidRPr="00585A07">
              <w:t>Screen</w:t>
            </w:r>
          </w:p>
        </w:tc>
        <w:tc>
          <w:tcPr>
            <w:tcW w:w="1417" w:type="dxa"/>
          </w:tcPr>
          <w:p w14:paraId="1DE6D998" w14:textId="77777777" w:rsidR="00FE48D0" w:rsidRPr="00585A07" w:rsidRDefault="00FE48D0" w:rsidP="003F39BA">
            <w:pPr>
              <w:spacing w:after="0" w:line="240" w:lineRule="auto"/>
            </w:pPr>
            <w:r>
              <w:t>589</w:t>
            </w:r>
          </w:p>
        </w:tc>
        <w:tc>
          <w:tcPr>
            <w:tcW w:w="1418" w:type="dxa"/>
          </w:tcPr>
          <w:p w14:paraId="3C36705D" w14:textId="77777777" w:rsidR="00FE48D0" w:rsidRPr="00585A07" w:rsidRDefault="00FE48D0" w:rsidP="003F39BA">
            <w:pPr>
              <w:spacing w:after="0" w:line="240" w:lineRule="auto"/>
            </w:pPr>
            <w:r>
              <w:t>582 (98.8)</w:t>
            </w:r>
          </w:p>
        </w:tc>
        <w:tc>
          <w:tcPr>
            <w:tcW w:w="1701" w:type="dxa"/>
          </w:tcPr>
          <w:p w14:paraId="0F8178F4" w14:textId="77777777" w:rsidR="00FE48D0" w:rsidRPr="00585A07" w:rsidRDefault="00FE48D0" w:rsidP="003F39BA">
            <w:pPr>
              <w:spacing w:after="0" w:line="240" w:lineRule="auto"/>
            </w:pPr>
            <w:r>
              <w:t>554 (94.1)</w:t>
            </w:r>
          </w:p>
        </w:tc>
        <w:tc>
          <w:tcPr>
            <w:tcW w:w="2551" w:type="dxa"/>
          </w:tcPr>
          <w:p w14:paraId="7509E1F5" w14:textId="77777777" w:rsidR="00FE48D0" w:rsidRPr="00585A07" w:rsidRDefault="00FE48D0" w:rsidP="003F39BA">
            <w:pPr>
              <w:spacing w:after="0" w:line="240" w:lineRule="auto"/>
            </w:pPr>
            <w:r w:rsidRPr="00585A07">
              <w:t xml:space="preserve">MSSA positive = </w:t>
            </w:r>
            <w:r>
              <w:t>151</w:t>
            </w:r>
            <w:r w:rsidRPr="00585A07">
              <w:t xml:space="preserve"> (2</w:t>
            </w:r>
            <w:r>
              <w:t>6.0</w:t>
            </w:r>
            <w:r w:rsidRPr="00585A07">
              <w:t>)</w:t>
            </w:r>
          </w:p>
          <w:p w14:paraId="172E727C" w14:textId="77777777" w:rsidR="00FE48D0" w:rsidRPr="00585A07" w:rsidRDefault="00FE48D0" w:rsidP="003F39BA">
            <w:pPr>
              <w:spacing w:after="0" w:line="240" w:lineRule="auto"/>
            </w:pPr>
            <w:r w:rsidRPr="00585A07">
              <w:t xml:space="preserve">MSSA negative = </w:t>
            </w:r>
            <w:r>
              <w:t>430 (73.9)</w:t>
            </w:r>
          </w:p>
        </w:tc>
        <w:tc>
          <w:tcPr>
            <w:tcW w:w="992" w:type="dxa"/>
          </w:tcPr>
          <w:p w14:paraId="6BEAC9E6" w14:textId="77777777" w:rsidR="00FE48D0" w:rsidRPr="00585A07" w:rsidRDefault="00FE48D0" w:rsidP="003F39BA">
            <w:pPr>
              <w:spacing w:after="0" w:line="240" w:lineRule="auto"/>
            </w:pPr>
            <w:r>
              <w:t>9</w:t>
            </w:r>
          </w:p>
        </w:tc>
        <w:tc>
          <w:tcPr>
            <w:tcW w:w="1134" w:type="dxa"/>
          </w:tcPr>
          <w:p w14:paraId="29506801" w14:textId="77777777" w:rsidR="00FE48D0" w:rsidRPr="00585A07" w:rsidRDefault="00FE48D0" w:rsidP="003F39BA">
            <w:pPr>
              <w:spacing w:after="0" w:line="240" w:lineRule="auto"/>
            </w:pPr>
            <w:r>
              <w:t>4 (44)</w:t>
            </w:r>
          </w:p>
        </w:tc>
        <w:tc>
          <w:tcPr>
            <w:tcW w:w="1418" w:type="dxa"/>
          </w:tcPr>
          <w:p w14:paraId="0CB2B420" w14:textId="77777777" w:rsidR="00FE48D0" w:rsidRDefault="00FE48D0" w:rsidP="003F39BA">
            <w:pPr>
              <w:spacing w:after="0" w:line="240" w:lineRule="auto"/>
            </w:pPr>
            <w:r>
              <w:t>MSSA: 2 (0.3)</w:t>
            </w:r>
          </w:p>
          <w:p w14:paraId="3EB4E739" w14:textId="77777777" w:rsidR="00FE48D0" w:rsidRDefault="00FE48D0" w:rsidP="003F39BA">
            <w:pPr>
              <w:spacing w:after="0" w:line="240" w:lineRule="auto"/>
            </w:pPr>
            <w:r>
              <w:t>Any</w:t>
            </w:r>
            <w:r>
              <w:rPr>
                <w:vertAlign w:val="superscript"/>
              </w:rPr>
              <w:t>c</w:t>
            </w:r>
            <w:r>
              <w:t>: 2 (0.3)</w:t>
            </w:r>
          </w:p>
        </w:tc>
        <w:tc>
          <w:tcPr>
            <w:tcW w:w="1197" w:type="dxa"/>
          </w:tcPr>
          <w:p w14:paraId="3D174701" w14:textId="77777777" w:rsidR="00FE48D0" w:rsidRPr="00585A07" w:rsidRDefault="00FE48D0" w:rsidP="003F39BA">
            <w:pPr>
              <w:spacing w:after="0" w:line="240" w:lineRule="auto"/>
            </w:pPr>
            <w:r>
              <w:t>34 (5.8)</w:t>
            </w:r>
          </w:p>
        </w:tc>
      </w:tr>
      <w:tr w:rsidR="00FE48D0" w:rsidRPr="00585A07" w14:paraId="34EAD74E" w14:textId="77777777" w:rsidTr="003F39BA">
        <w:trPr>
          <w:trHeight w:val="460"/>
        </w:trPr>
        <w:tc>
          <w:tcPr>
            <w:tcW w:w="704" w:type="dxa"/>
            <w:vAlign w:val="center"/>
          </w:tcPr>
          <w:p w14:paraId="7CF53642" w14:textId="77777777" w:rsidR="00FE48D0" w:rsidRPr="00585A07" w:rsidRDefault="00FE48D0" w:rsidP="003F39BA">
            <w:pPr>
              <w:spacing w:after="0" w:line="240" w:lineRule="auto"/>
            </w:pPr>
            <w:r>
              <w:rPr>
                <w:color w:val="000000"/>
              </w:rPr>
              <w:t>5</w:t>
            </w:r>
          </w:p>
        </w:tc>
        <w:tc>
          <w:tcPr>
            <w:tcW w:w="1418" w:type="dxa"/>
          </w:tcPr>
          <w:p w14:paraId="662F7238" w14:textId="77777777" w:rsidR="00FE48D0" w:rsidRPr="00585A07" w:rsidRDefault="00FE48D0" w:rsidP="003F39BA">
            <w:pPr>
              <w:spacing w:after="0" w:line="240" w:lineRule="auto"/>
            </w:pPr>
            <w:r w:rsidRPr="00585A07">
              <w:t>Screen</w:t>
            </w:r>
          </w:p>
        </w:tc>
        <w:tc>
          <w:tcPr>
            <w:tcW w:w="1417" w:type="dxa"/>
          </w:tcPr>
          <w:p w14:paraId="453DAC14" w14:textId="77777777" w:rsidR="00FE48D0" w:rsidRPr="00585A07" w:rsidRDefault="00FE48D0" w:rsidP="003F39BA">
            <w:pPr>
              <w:spacing w:after="0" w:line="240" w:lineRule="auto"/>
            </w:pPr>
            <w:r>
              <w:t>1107</w:t>
            </w:r>
          </w:p>
        </w:tc>
        <w:tc>
          <w:tcPr>
            <w:tcW w:w="1418" w:type="dxa"/>
          </w:tcPr>
          <w:p w14:paraId="69FF5E05" w14:textId="77777777" w:rsidR="00FE48D0" w:rsidRPr="00585A07" w:rsidRDefault="00FE48D0" w:rsidP="003F39BA">
            <w:pPr>
              <w:spacing w:after="0" w:line="240" w:lineRule="auto"/>
            </w:pPr>
            <w:r>
              <w:t>1000 (90.3)</w:t>
            </w:r>
          </w:p>
        </w:tc>
        <w:tc>
          <w:tcPr>
            <w:tcW w:w="1701" w:type="dxa"/>
          </w:tcPr>
          <w:p w14:paraId="04C6CF18" w14:textId="77777777" w:rsidR="00FE48D0" w:rsidRPr="00585A07" w:rsidRDefault="00FE48D0" w:rsidP="003F39BA">
            <w:pPr>
              <w:spacing w:after="0" w:line="240" w:lineRule="auto"/>
            </w:pPr>
            <w:r>
              <w:t>859 (77.6)</w:t>
            </w:r>
          </w:p>
        </w:tc>
        <w:tc>
          <w:tcPr>
            <w:tcW w:w="2551" w:type="dxa"/>
          </w:tcPr>
          <w:p w14:paraId="5A038710" w14:textId="77777777" w:rsidR="00FE48D0" w:rsidRPr="00585A07" w:rsidRDefault="00FE48D0" w:rsidP="003F39BA">
            <w:pPr>
              <w:spacing w:after="0" w:line="240" w:lineRule="auto"/>
            </w:pPr>
            <w:r w:rsidRPr="00585A07">
              <w:t xml:space="preserve">MSSA positive = </w:t>
            </w:r>
            <w:r>
              <w:t>299</w:t>
            </w:r>
            <w:r w:rsidRPr="00585A07">
              <w:t xml:space="preserve"> (</w:t>
            </w:r>
            <w:r>
              <w:t>29.9)</w:t>
            </w:r>
          </w:p>
          <w:p w14:paraId="54614541" w14:textId="77777777" w:rsidR="00FE48D0" w:rsidRPr="00585A07" w:rsidRDefault="00FE48D0" w:rsidP="003F39BA">
            <w:pPr>
              <w:spacing w:after="0" w:line="240" w:lineRule="auto"/>
            </w:pPr>
            <w:r w:rsidRPr="00585A07">
              <w:t xml:space="preserve">MSSA negative = </w:t>
            </w:r>
            <w:r>
              <w:t>672 (67.3)</w:t>
            </w:r>
          </w:p>
        </w:tc>
        <w:tc>
          <w:tcPr>
            <w:tcW w:w="992" w:type="dxa"/>
          </w:tcPr>
          <w:p w14:paraId="32AAC3A7" w14:textId="77777777" w:rsidR="00FE48D0" w:rsidRPr="00585A07" w:rsidRDefault="00FE48D0" w:rsidP="003F39BA">
            <w:pPr>
              <w:spacing w:after="0" w:line="240" w:lineRule="auto"/>
            </w:pPr>
            <w:r>
              <w:t>3</w:t>
            </w:r>
          </w:p>
        </w:tc>
        <w:tc>
          <w:tcPr>
            <w:tcW w:w="1134" w:type="dxa"/>
          </w:tcPr>
          <w:p w14:paraId="5C20ACDE" w14:textId="77777777" w:rsidR="00FE48D0" w:rsidRPr="00585A07" w:rsidRDefault="00FE48D0" w:rsidP="003F39BA">
            <w:pPr>
              <w:spacing w:after="0" w:line="240" w:lineRule="auto"/>
            </w:pPr>
            <w:r>
              <w:t>3 (100)</w:t>
            </w:r>
          </w:p>
        </w:tc>
        <w:tc>
          <w:tcPr>
            <w:tcW w:w="1418" w:type="dxa"/>
          </w:tcPr>
          <w:p w14:paraId="6C949A43" w14:textId="77777777" w:rsidR="00FE48D0" w:rsidRDefault="00FE48D0" w:rsidP="003F39BA">
            <w:pPr>
              <w:spacing w:after="0" w:line="240" w:lineRule="auto"/>
            </w:pPr>
            <w:r>
              <w:t>MSSA: 0 (0.0)</w:t>
            </w:r>
          </w:p>
          <w:p w14:paraId="1BEEDF79" w14:textId="77777777" w:rsidR="00FE48D0" w:rsidRDefault="00FE48D0" w:rsidP="003F39BA">
            <w:pPr>
              <w:spacing w:after="0" w:line="240" w:lineRule="auto"/>
            </w:pPr>
            <w:r>
              <w:t>Any</w:t>
            </w:r>
            <w:r>
              <w:rPr>
                <w:vertAlign w:val="superscript"/>
              </w:rPr>
              <w:t>c</w:t>
            </w:r>
            <w:r>
              <w:t>: 1 (0.1)</w:t>
            </w:r>
          </w:p>
        </w:tc>
        <w:tc>
          <w:tcPr>
            <w:tcW w:w="1197" w:type="dxa"/>
          </w:tcPr>
          <w:p w14:paraId="35FFE46C" w14:textId="77777777" w:rsidR="00FE48D0" w:rsidRPr="00585A07" w:rsidRDefault="00FE48D0" w:rsidP="003F39BA">
            <w:pPr>
              <w:spacing w:after="0" w:line="240" w:lineRule="auto"/>
            </w:pPr>
            <w:r>
              <w:t>4 (0.4)</w:t>
            </w:r>
          </w:p>
        </w:tc>
      </w:tr>
      <w:tr w:rsidR="00FE48D0" w:rsidRPr="00585A07" w14:paraId="5C53C6DC" w14:textId="77777777" w:rsidTr="003F39BA">
        <w:trPr>
          <w:trHeight w:val="409"/>
        </w:trPr>
        <w:tc>
          <w:tcPr>
            <w:tcW w:w="704" w:type="dxa"/>
            <w:vAlign w:val="center"/>
          </w:tcPr>
          <w:p w14:paraId="30529D89" w14:textId="77777777" w:rsidR="00FE48D0" w:rsidRPr="00585A07" w:rsidRDefault="00FE48D0" w:rsidP="003F39BA">
            <w:pPr>
              <w:spacing w:after="0" w:line="240" w:lineRule="auto"/>
              <w:rPr>
                <w:highlight w:val="yellow"/>
                <w:vertAlign w:val="superscript"/>
              </w:rPr>
            </w:pPr>
            <w:r>
              <w:rPr>
                <w:color w:val="000000"/>
              </w:rPr>
              <w:t>6</w:t>
            </w:r>
          </w:p>
        </w:tc>
        <w:tc>
          <w:tcPr>
            <w:tcW w:w="1418" w:type="dxa"/>
          </w:tcPr>
          <w:p w14:paraId="6C724E35" w14:textId="77777777" w:rsidR="00FE48D0" w:rsidRPr="00585A07" w:rsidRDefault="00FE48D0" w:rsidP="003F39BA">
            <w:pPr>
              <w:spacing w:after="0" w:line="240" w:lineRule="auto"/>
            </w:pPr>
            <w:r w:rsidRPr="00585A07">
              <w:t>Screen</w:t>
            </w:r>
          </w:p>
          <w:p w14:paraId="782F455B" w14:textId="77777777" w:rsidR="00FE48D0" w:rsidRPr="00585A07" w:rsidRDefault="00FE48D0" w:rsidP="003F39BA">
            <w:pPr>
              <w:spacing w:after="0" w:line="240" w:lineRule="auto"/>
              <w:rPr>
                <w:strike/>
              </w:rPr>
            </w:pPr>
          </w:p>
        </w:tc>
        <w:tc>
          <w:tcPr>
            <w:tcW w:w="1417" w:type="dxa"/>
          </w:tcPr>
          <w:p w14:paraId="4884A8DF" w14:textId="77777777" w:rsidR="00FE48D0" w:rsidRPr="00585A07" w:rsidRDefault="00FE48D0" w:rsidP="003F39BA">
            <w:pPr>
              <w:spacing w:after="0" w:line="240" w:lineRule="auto"/>
            </w:pPr>
            <w:r>
              <w:t>521</w:t>
            </w:r>
          </w:p>
        </w:tc>
        <w:tc>
          <w:tcPr>
            <w:tcW w:w="1418" w:type="dxa"/>
          </w:tcPr>
          <w:p w14:paraId="244F53BF" w14:textId="77777777" w:rsidR="00FE48D0" w:rsidRPr="00585A07" w:rsidRDefault="00FE48D0" w:rsidP="003F39BA">
            <w:pPr>
              <w:spacing w:after="0" w:line="240" w:lineRule="auto"/>
            </w:pPr>
            <w:r>
              <w:t>158 (30.3)</w:t>
            </w:r>
          </w:p>
        </w:tc>
        <w:tc>
          <w:tcPr>
            <w:tcW w:w="1701" w:type="dxa"/>
          </w:tcPr>
          <w:p w14:paraId="124C8CF9" w14:textId="77777777" w:rsidR="00FE48D0" w:rsidRPr="00585A07" w:rsidRDefault="00FE48D0" w:rsidP="003F39BA">
            <w:pPr>
              <w:spacing w:after="0" w:line="240" w:lineRule="auto"/>
            </w:pPr>
            <w:r>
              <w:t>146 (28.0)</w:t>
            </w:r>
          </w:p>
        </w:tc>
        <w:tc>
          <w:tcPr>
            <w:tcW w:w="2551" w:type="dxa"/>
          </w:tcPr>
          <w:p w14:paraId="1DC8E3FB" w14:textId="77777777" w:rsidR="00FE48D0" w:rsidRPr="003260E6" w:rsidRDefault="00FE48D0" w:rsidP="003F39BA">
            <w:pPr>
              <w:spacing w:after="0" w:line="240" w:lineRule="auto"/>
              <w:rPr>
                <w:vertAlign w:val="superscript"/>
              </w:rPr>
            </w:pPr>
            <w:r w:rsidRPr="00585A07">
              <w:t xml:space="preserve">MSSA positive = </w:t>
            </w:r>
            <w:r>
              <w:t>153</w:t>
            </w:r>
            <w:r w:rsidRPr="00585A07">
              <w:t xml:space="preserve"> (9</w:t>
            </w:r>
            <w:r>
              <w:t>6.8</w:t>
            </w:r>
            <w:r w:rsidRPr="00585A07">
              <w:t>)</w:t>
            </w:r>
            <w:r>
              <w:rPr>
                <w:vertAlign w:val="superscript"/>
              </w:rPr>
              <w:t>d</w:t>
            </w:r>
          </w:p>
          <w:p w14:paraId="3EDEDE83" w14:textId="77777777" w:rsidR="00FE48D0" w:rsidRPr="00585A07" w:rsidRDefault="00FE48D0" w:rsidP="003F39BA">
            <w:pPr>
              <w:spacing w:after="0" w:line="240" w:lineRule="auto"/>
            </w:pPr>
            <w:r w:rsidRPr="00585A07">
              <w:t>MSSA negative = 1</w:t>
            </w:r>
            <w:r>
              <w:t xml:space="preserve"> (0.6)</w:t>
            </w:r>
          </w:p>
        </w:tc>
        <w:tc>
          <w:tcPr>
            <w:tcW w:w="992" w:type="dxa"/>
          </w:tcPr>
          <w:p w14:paraId="070B28A0" w14:textId="77777777" w:rsidR="00FE48D0" w:rsidRPr="00585A07" w:rsidRDefault="00FE48D0" w:rsidP="003F39BA">
            <w:pPr>
              <w:spacing w:after="0" w:line="240" w:lineRule="auto"/>
            </w:pPr>
            <w:r>
              <w:t>4</w:t>
            </w:r>
          </w:p>
        </w:tc>
        <w:tc>
          <w:tcPr>
            <w:tcW w:w="1134" w:type="dxa"/>
          </w:tcPr>
          <w:p w14:paraId="52223E37" w14:textId="77777777" w:rsidR="00FE48D0" w:rsidRPr="00585A07" w:rsidRDefault="00FE48D0" w:rsidP="003F39BA">
            <w:pPr>
              <w:spacing w:after="0" w:line="240" w:lineRule="auto"/>
            </w:pPr>
            <w:r>
              <w:t>4 (100)</w:t>
            </w:r>
          </w:p>
        </w:tc>
        <w:tc>
          <w:tcPr>
            <w:tcW w:w="1418" w:type="dxa"/>
          </w:tcPr>
          <w:p w14:paraId="06B9B7C0" w14:textId="77777777" w:rsidR="00FE48D0" w:rsidRDefault="00FE48D0" w:rsidP="003F39BA">
            <w:pPr>
              <w:spacing w:after="0" w:line="240" w:lineRule="auto"/>
            </w:pPr>
            <w:r>
              <w:t>MSSA: 1 (0.6)</w:t>
            </w:r>
          </w:p>
          <w:p w14:paraId="1DCAE637" w14:textId="77777777" w:rsidR="00FE48D0" w:rsidRDefault="00FE48D0" w:rsidP="003F39BA">
            <w:pPr>
              <w:spacing w:after="0" w:line="240" w:lineRule="auto"/>
            </w:pPr>
            <w:r>
              <w:t>Any</w:t>
            </w:r>
            <w:r>
              <w:rPr>
                <w:vertAlign w:val="superscript"/>
              </w:rPr>
              <w:t>c</w:t>
            </w:r>
            <w:r>
              <w:t>: 2 (1.3)</w:t>
            </w:r>
          </w:p>
        </w:tc>
        <w:tc>
          <w:tcPr>
            <w:tcW w:w="1197" w:type="dxa"/>
          </w:tcPr>
          <w:p w14:paraId="0BEE9EEE" w14:textId="77777777" w:rsidR="00FE48D0" w:rsidRPr="00585A07" w:rsidRDefault="00FE48D0" w:rsidP="003F39BA">
            <w:pPr>
              <w:spacing w:after="0" w:line="240" w:lineRule="auto"/>
            </w:pPr>
            <w:r>
              <w:t>6 (3.8)</w:t>
            </w:r>
          </w:p>
        </w:tc>
      </w:tr>
      <w:tr w:rsidR="00FE48D0" w:rsidRPr="00585A07" w14:paraId="214C5C99" w14:textId="77777777" w:rsidTr="003F39BA">
        <w:trPr>
          <w:trHeight w:val="228"/>
        </w:trPr>
        <w:tc>
          <w:tcPr>
            <w:tcW w:w="704" w:type="dxa"/>
            <w:vAlign w:val="center"/>
          </w:tcPr>
          <w:p w14:paraId="1500BAD2" w14:textId="77777777" w:rsidR="00FE48D0" w:rsidRPr="00585A07" w:rsidRDefault="00FE48D0" w:rsidP="003F39BA">
            <w:pPr>
              <w:spacing w:after="0" w:line="240" w:lineRule="auto"/>
            </w:pPr>
            <w:r>
              <w:rPr>
                <w:color w:val="000000"/>
              </w:rPr>
              <w:t>7</w:t>
            </w:r>
          </w:p>
        </w:tc>
        <w:tc>
          <w:tcPr>
            <w:tcW w:w="1418" w:type="dxa"/>
          </w:tcPr>
          <w:p w14:paraId="580BB60C" w14:textId="77777777" w:rsidR="00FE48D0" w:rsidRPr="00585A07" w:rsidRDefault="00FE48D0" w:rsidP="003F39BA">
            <w:pPr>
              <w:spacing w:after="0" w:line="240" w:lineRule="auto"/>
            </w:pPr>
            <w:r w:rsidRPr="00585A07">
              <w:t>Blanket</w:t>
            </w:r>
          </w:p>
        </w:tc>
        <w:tc>
          <w:tcPr>
            <w:tcW w:w="1417" w:type="dxa"/>
          </w:tcPr>
          <w:p w14:paraId="5453C732" w14:textId="77777777" w:rsidR="00FE48D0" w:rsidRPr="00585A07" w:rsidRDefault="00FE48D0" w:rsidP="003F39BA">
            <w:pPr>
              <w:spacing w:after="0" w:line="240" w:lineRule="auto"/>
            </w:pPr>
            <w:r>
              <w:t>549</w:t>
            </w:r>
          </w:p>
        </w:tc>
        <w:tc>
          <w:tcPr>
            <w:tcW w:w="1418" w:type="dxa"/>
          </w:tcPr>
          <w:p w14:paraId="2D0DA507" w14:textId="77777777" w:rsidR="00FE48D0" w:rsidRPr="00585A07" w:rsidRDefault="00FE48D0" w:rsidP="003F39BA">
            <w:pPr>
              <w:spacing w:after="0" w:line="240" w:lineRule="auto"/>
            </w:pPr>
            <w:r w:rsidRPr="00585A07">
              <w:t>237</w:t>
            </w:r>
            <w:r>
              <w:t xml:space="preserve"> (43.2)</w:t>
            </w:r>
          </w:p>
        </w:tc>
        <w:tc>
          <w:tcPr>
            <w:tcW w:w="1701" w:type="dxa"/>
          </w:tcPr>
          <w:p w14:paraId="7F80CB8A" w14:textId="77777777" w:rsidR="00FE48D0" w:rsidRPr="00585A07" w:rsidRDefault="00FE48D0" w:rsidP="003F39BA">
            <w:pPr>
              <w:spacing w:after="0" w:line="240" w:lineRule="auto"/>
            </w:pPr>
            <w:r>
              <w:t>0 (-)</w:t>
            </w:r>
          </w:p>
        </w:tc>
        <w:tc>
          <w:tcPr>
            <w:tcW w:w="2551" w:type="dxa"/>
          </w:tcPr>
          <w:p w14:paraId="0B0D70B6" w14:textId="77777777" w:rsidR="00FE48D0" w:rsidRPr="00585A07" w:rsidRDefault="00FE48D0" w:rsidP="003F39BA">
            <w:pPr>
              <w:spacing w:after="0" w:line="240" w:lineRule="auto"/>
            </w:pPr>
            <w:r w:rsidRPr="00585A07">
              <w:t>N/A</w:t>
            </w:r>
          </w:p>
        </w:tc>
        <w:tc>
          <w:tcPr>
            <w:tcW w:w="992" w:type="dxa"/>
          </w:tcPr>
          <w:p w14:paraId="1DA9A819" w14:textId="77777777" w:rsidR="00FE48D0" w:rsidRPr="00585A07" w:rsidRDefault="00FE48D0" w:rsidP="003F39BA">
            <w:pPr>
              <w:spacing w:after="0" w:line="240" w:lineRule="auto"/>
            </w:pPr>
            <w:r>
              <w:t>0</w:t>
            </w:r>
          </w:p>
        </w:tc>
        <w:tc>
          <w:tcPr>
            <w:tcW w:w="1134" w:type="dxa"/>
          </w:tcPr>
          <w:p w14:paraId="10A2807B" w14:textId="77777777" w:rsidR="00FE48D0" w:rsidRPr="00585A07" w:rsidRDefault="00FE48D0" w:rsidP="003F39BA">
            <w:pPr>
              <w:spacing w:after="0" w:line="240" w:lineRule="auto"/>
            </w:pPr>
            <w:r>
              <w:t>0 (-)</w:t>
            </w:r>
          </w:p>
        </w:tc>
        <w:tc>
          <w:tcPr>
            <w:tcW w:w="1418" w:type="dxa"/>
          </w:tcPr>
          <w:p w14:paraId="4527A768" w14:textId="77777777" w:rsidR="00FE48D0" w:rsidRDefault="00FE48D0" w:rsidP="003F39BA">
            <w:pPr>
              <w:spacing w:after="0" w:line="240" w:lineRule="auto"/>
            </w:pPr>
            <w:r>
              <w:t>MSSA: 0 (0.0)</w:t>
            </w:r>
          </w:p>
          <w:p w14:paraId="1D4E0784" w14:textId="77777777" w:rsidR="00FE48D0" w:rsidRDefault="00FE48D0" w:rsidP="003F39BA">
            <w:pPr>
              <w:spacing w:after="0" w:line="240" w:lineRule="auto"/>
            </w:pPr>
            <w:r>
              <w:t>Any</w:t>
            </w:r>
            <w:r>
              <w:rPr>
                <w:vertAlign w:val="superscript"/>
              </w:rPr>
              <w:t>c</w:t>
            </w:r>
            <w:r>
              <w:t>: 0 (0.0)</w:t>
            </w:r>
          </w:p>
        </w:tc>
        <w:tc>
          <w:tcPr>
            <w:tcW w:w="1197" w:type="dxa"/>
          </w:tcPr>
          <w:p w14:paraId="55831869" w14:textId="77777777" w:rsidR="00FE48D0" w:rsidRPr="00585A07" w:rsidRDefault="00FE48D0" w:rsidP="003F39BA">
            <w:pPr>
              <w:spacing w:after="0" w:line="240" w:lineRule="auto"/>
            </w:pPr>
            <w:r>
              <w:t>0 (0.0)</w:t>
            </w:r>
          </w:p>
        </w:tc>
      </w:tr>
      <w:tr w:rsidR="00FE48D0" w:rsidRPr="00585A07" w14:paraId="196523FF" w14:textId="77777777" w:rsidTr="003F39BA">
        <w:trPr>
          <w:trHeight w:val="242"/>
        </w:trPr>
        <w:tc>
          <w:tcPr>
            <w:tcW w:w="704" w:type="dxa"/>
            <w:vAlign w:val="center"/>
          </w:tcPr>
          <w:p w14:paraId="09891501" w14:textId="77777777" w:rsidR="00FE48D0" w:rsidRPr="00585A07" w:rsidRDefault="00FE48D0" w:rsidP="003F39BA">
            <w:pPr>
              <w:spacing w:after="0" w:line="240" w:lineRule="auto"/>
            </w:pPr>
            <w:r>
              <w:rPr>
                <w:color w:val="000000"/>
              </w:rPr>
              <w:t>8</w:t>
            </w:r>
          </w:p>
        </w:tc>
        <w:tc>
          <w:tcPr>
            <w:tcW w:w="1418" w:type="dxa"/>
          </w:tcPr>
          <w:p w14:paraId="6AF77C69" w14:textId="77777777" w:rsidR="00FE48D0" w:rsidRPr="00585A07" w:rsidRDefault="00FE48D0" w:rsidP="003F39BA">
            <w:pPr>
              <w:spacing w:after="0" w:line="240" w:lineRule="auto"/>
            </w:pPr>
            <w:r w:rsidRPr="00585A07">
              <w:t>Blanket</w:t>
            </w:r>
          </w:p>
        </w:tc>
        <w:tc>
          <w:tcPr>
            <w:tcW w:w="1417" w:type="dxa"/>
          </w:tcPr>
          <w:p w14:paraId="336CB910" w14:textId="77777777" w:rsidR="00FE48D0" w:rsidRPr="00585A07" w:rsidRDefault="00FE48D0" w:rsidP="003F39BA">
            <w:pPr>
              <w:spacing w:after="0" w:line="240" w:lineRule="auto"/>
            </w:pPr>
            <w:r>
              <w:t>813</w:t>
            </w:r>
          </w:p>
        </w:tc>
        <w:tc>
          <w:tcPr>
            <w:tcW w:w="1418" w:type="dxa"/>
          </w:tcPr>
          <w:p w14:paraId="6D046A75" w14:textId="77777777" w:rsidR="00FE48D0" w:rsidRPr="00585A07" w:rsidRDefault="00FE48D0" w:rsidP="003F39BA">
            <w:pPr>
              <w:spacing w:after="0" w:line="240" w:lineRule="auto"/>
            </w:pPr>
            <w:r>
              <w:t>728 (89.5)</w:t>
            </w:r>
          </w:p>
        </w:tc>
        <w:tc>
          <w:tcPr>
            <w:tcW w:w="1701" w:type="dxa"/>
          </w:tcPr>
          <w:p w14:paraId="5D750DED" w14:textId="77777777" w:rsidR="00FE48D0" w:rsidRPr="00585A07" w:rsidRDefault="00FE48D0" w:rsidP="003F39BA">
            <w:pPr>
              <w:spacing w:after="0" w:line="240" w:lineRule="auto"/>
            </w:pPr>
            <w:r>
              <w:t>692 (85.1)</w:t>
            </w:r>
          </w:p>
        </w:tc>
        <w:tc>
          <w:tcPr>
            <w:tcW w:w="2551" w:type="dxa"/>
          </w:tcPr>
          <w:p w14:paraId="6EA42E03" w14:textId="77777777" w:rsidR="00FE48D0" w:rsidRPr="00585A07" w:rsidRDefault="00FE48D0" w:rsidP="003F39BA">
            <w:pPr>
              <w:spacing w:after="0" w:line="240" w:lineRule="auto"/>
            </w:pPr>
            <w:r w:rsidRPr="00585A07">
              <w:t>N/A</w:t>
            </w:r>
          </w:p>
        </w:tc>
        <w:tc>
          <w:tcPr>
            <w:tcW w:w="992" w:type="dxa"/>
          </w:tcPr>
          <w:p w14:paraId="2B861F07" w14:textId="77777777" w:rsidR="00FE48D0" w:rsidRPr="00585A07" w:rsidRDefault="00FE48D0" w:rsidP="003F39BA">
            <w:pPr>
              <w:spacing w:after="0" w:line="240" w:lineRule="auto"/>
            </w:pPr>
            <w:r>
              <w:t>3</w:t>
            </w:r>
          </w:p>
        </w:tc>
        <w:tc>
          <w:tcPr>
            <w:tcW w:w="1134" w:type="dxa"/>
          </w:tcPr>
          <w:p w14:paraId="536125C9" w14:textId="77777777" w:rsidR="00FE48D0" w:rsidRPr="00585A07" w:rsidRDefault="00FE48D0" w:rsidP="003F39BA">
            <w:pPr>
              <w:spacing w:after="0" w:line="240" w:lineRule="auto"/>
            </w:pPr>
            <w:r>
              <w:t>3 (100)</w:t>
            </w:r>
          </w:p>
        </w:tc>
        <w:tc>
          <w:tcPr>
            <w:tcW w:w="1418" w:type="dxa"/>
          </w:tcPr>
          <w:p w14:paraId="50F36C7B" w14:textId="77777777" w:rsidR="00FE48D0" w:rsidRDefault="00FE48D0" w:rsidP="003F39BA">
            <w:pPr>
              <w:spacing w:after="0" w:line="240" w:lineRule="auto"/>
            </w:pPr>
            <w:r>
              <w:t>MSSA: 2 (0.3)</w:t>
            </w:r>
          </w:p>
          <w:p w14:paraId="25958A12" w14:textId="77777777" w:rsidR="00FE48D0" w:rsidRDefault="00FE48D0" w:rsidP="003F39BA">
            <w:pPr>
              <w:spacing w:after="0" w:line="240" w:lineRule="auto"/>
            </w:pPr>
            <w:r>
              <w:t>Any</w:t>
            </w:r>
            <w:r>
              <w:rPr>
                <w:vertAlign w:val="superscript"/>
              </w:rPr>
              <w:t>c</w:t>
            </w:r>
            <w:r>
              <w:t>: 3 (0.4)</w:t>
            </w:r>
          </w:p>
        </w:tc>
        <w:tc>
          <w:tcPr>
            <w:tcW w:w="1197" w:type="dxa"/>
          </w:tcPr>
          <w:p w14:paraId="74DE90C7" w14:textId="77777777" w:rsidR="00FE48D0" w:rsidRPr="00585A07" w:rsidRDefault="00FE48D0" w:rsidP="003F39BA">
            <w:pPr>
              <w:spacing w:after="0" w:line="240" w:lineRule="auto"/>
            </w:pPr>
            <w:r>
              <w:t>0 (0.0)</w:t>
            </w:r>
          </w:p>
        </w:tc>
      </w:tr>
      <w:tr w:rsidR="00FE48D0" w:rsidRPr="00585A07" w14:paraId="137C1013" w14:textId="77777777" w:rsidTr="003F39BA">
        <w:trPr>
          <w:trHeight w:val="242"/>
        </w:trPr>
        <w:tc>
          <w:tcPr>
            <w:tcW w:w="704" w:type="dxa"/>
            <w:vAlign w:val="center"/>
          </w:tcPr>
          <w:p w14:paraId="5822B14C" w14:textId="77777777" w:rsidR="00FE48D0" w:rsidRPr="00585A07" w:rsidRDefault="00FE48D0" w:rsidP="003F39BA">
            <w:pPr>
              <w:spacing w:after="0" w:line="240" w:lineRule="auto"/>
            </w:pPr>
            <w:r>
              <w:rPr>
                <w:color w:val="000000"/>
              </w:rPr>
              <w:t>9</w:t>
            </w:r>
          </w:p>
        </w:tc>
        <w:tc>
          <w:tcPr>
            <w:tcW w:w="1418" w:type="dxa"/>
          </w:tcPr>
          <w:p w14:paraId="45F88B46" w14:textId="77777777" w:rsidR="00FE48D0" w:rsidRPr="00585A07" w:rsidRDefault="00FE48D0" w:rsidP="003F39BA">
            <w:pPr>
              <w:spacing w:after="0" w:line="240" w:lineRule="auto"/>
            </w:pPr>
            <w:r w:rsidRPr="00585A07">
              <w:t>Blanket</w:t>
            </w:r>
          </w:p>
        </w:tc>
        <w:tc>
          <w:tcPr>
            <w:tcW w:w="1417" w:type="dxa"/>
          </w:tcPr>
          <w:p w14:paraId="6B03CE06" w14:textId="77777777" w:rsidR="00FE48D0" w:rsidRPr="00585A07" w:rsidRDefault="00FE48D0" w:rsidP="003F39BA">
            <w:pPr>
              <w:spacing w:after="0" w:line="240" w:lineRule="auto"/>
            </w:pPr>
            <w:r>
              <w:t>719</w:t>
            </w:r>
          </w:p>
        </w:tc>
        <w:tc>
          <w:tcPr>
            <w:tcW w:w="1418" w:type="dxa"/>
          </w:tcPr>
          <w:p w14:paraId="0C03B4F8" w14:textId="77777777" w:rsidR="00FE48D0" w:rsidRPr="00585A07" w:rsidRDefault="00FE48D0" w:rsidP="003F39BA">
            <w:pPr>
              <w:spacing w:after="0" w:line="240" w:lineRule="auto"/>
            </w:pPr>
            <w:r>
              <w:t>678 (94.3)</w:t>
            </w:r>
          </w:p>
        </w:tc>
        <w:tc>
          <w:tcPr>
            <w:tcW w:w="1701" w:type="dxa"/>
          </w:tcPr>
          <w:p w14:paraId="05423A15" w14:textId="77777777" w:rsidR="00FE48D0" w:rsidRPr="00585A07" w:rsidRDefault="00FE48D0" w:rsidP="003F39BA">
            <w:pPr>
              <w:spacing w:after="0" w:line="240" w:lineRule="auto"/>
            </w:pPr>
            <w:r>
              <w:t>675 (93.9)</w:t>
            </w:r>
          </w:p>
        </w:tc>
        <w:tc>
          <w:tcPr>
            <w:tcW w:w="2551" w:type="dxa"/>
          </w:tcPr>
          <w:p w14:paraId="58BADCA4" w14:textId="77777777" w:rsidR="00FE48D0" w:rsidRPr="00585A07" w:rsidRDefault="00FE48D0" w:rsidP="003F39BA">
            <w:pPr>
              <w:spacing w:after="0" w:line="240" w:lineRule="auto"/>
            </w:pPr>
            <w:r w:rsidRPr="00585A07">
              <w:t>N/A</w:t>
            </w:r>
          </w:p>
        </w:tc>
        <w:tc>
          <w:tcPr>
            <w:tcW w:w="992" w:type="dxa"/>
          </w:tcPr>
          <w:p w14:paraId="13AF7571" w14:textId="77777777" w:rsidR="00FE48D0" w:rsidRPr="00585A07" w:rsidRDefault="00FE48D0" w:rsidP="003F39BA">
            <w:pPr>
              <w:spacing w:after="0" w:line="240" w:lineRule="auto"/>
            </w:pPr>
            <w:r>
              <w:t>18</w:t>
            </w:r>
          </w:p>
        </w:tc>
        <w:tc>
          <w:tcPr>
            <w:tcW w:w="1134" w:type="dxa"/>
          </w:tcPr>
          <w:p w14:paraId="4D393F2D" w14:textId="77777777" w:rsidR="00FE48D0" w:rsidRPr="00585A07" w:rsidRDefault="00FE48D0" w:rsidP="003F39BA">
            <w:pPr>
              <w:spacing w:after="0" w:line="240" w:lineRule="auto"/>
            </w:pPr>
            <w:r>
              <w:t>12 (67)</w:t>
            </w:r>
          </w:p>
        </w:tc>
        <w:tc>
          <w:tcPr>
            <w:tcW w:w="1418" w:type="dxa"/>
          </w:tcPr>
          <w:p w14:paraId="283973FF" w14:textId="77777777" w:rsidR="00FE48D0" w:rsidRDefault="00FE48D0" w:rsidP="003F39BA">
            <w:pPr>
              <w:spacing w:after="0" w:line="240" w:lineRule="auto"/>
            </w:pPr>
            <w:r>
              <w:t>MSSA: 1 (0.2)</w:t>
            </w:r>
          </w:p>
          <w:p w14:paraId="3F23BE86" w14:textId="77777777" w:rsidR="00FE48D0" w:rsidRDefault="00FE48D0" w:rsidP="003F39BA">
            <w:pPr>
              <w:spacing w:after="0" w:line="240" w:lineRule="auto"/>
            </w:pPr>
            <w:r>
              <w:t>Any</w:t>
            </w:r>
            <w:r>
              <w:rPr>
                <w:vertAlign w:val="superscript"/>
              </w:rPr>
              <w:t>c</w:t>
            </w:r>
            <w:r>
              <w:t>: 6 (0.9)</w:t>
            </w:r>
          </w:p>
        </w:tc>
        <w:tc>
          <w:tcPr>
            <w:tcW w:w="1197" w:type="dxa"/>
          </w:tcPr>
          <w:p w14:paraId="5951000E" w14:textId="77777777" w:rsidR="00FE48D0" w:rsidRPr="00585A07" w:rsidRDefault="00FE48D0" w:rsidP="003F39BA">
            <w:pPr>
              <w:spacing w:after="0" w:line="240" w:lineRule="auto"/>
            </w:pPr>
            <w:r>
              <w:t>8 (1.2)</w:t>
            </w:r>
          </w:p>
        </w:tc>
      </w:tr>
      <w:tr w:rsidR="00FE48D0" w:rsidRPr="00585A07" w14:paraId="38502699" w14:textId="77777777" w:rsidTr="003F39BA">
        <w:trPr>
          <w:trHeight w:val="242"/>
        </w:trPr>
        <w:tc>
          <w:tcPr>
            <w:tcW w:w="704" w:type="dxa"/>
            <w:vAlign w:val="center"/>
          </w:tcPr>
          <w:p w14:paraId="19816D77" w14:textId="77777777" w:rsidR="00FE48D0" w:rsidRPr="00585A07" w:rsidRDefault="00FE48D0" w:rsidP="003F39BA">
            <w:pPr>
              <w:spacing w:after="0" w:line="240" w:lineRule="auto"/>
            </w:pPr>
            <w:r>
              <w:rPr>
                <w:color w:val="000000"/>
              </w:rPr>
              <w:t>10</w:t>
            </w:r>
          </w:p>
        </w:tc>
        <w:tc>
          <w:tcPr>
            <w:tcW w:w="1418" w:type="dxa"/>
          </w:tcPr>
          <w:p w14:paraId="1551296D" w14:textId="77777777" w:rsidR="00FE48D0" w:rsidRPr="00585A07" w:rsidRDefault="00FE48D0" w:rsidP="003F39BA">
            <w:pPr>
              <w:spacing w:after="0" w:line="240" w:lineRule="auto"/>
            </w:pPr>
            <w:r w:rsidRPr="00585A07">
              <w:t>Blanket</w:t>
            </w:r>
          </w:p>
        </w:tc>
        <w:tc>
          <w:tcPr>
            <w:tcW w:w="1417" w:type="dxa"/>
          </w:tcPr>
          <w:p w14:paraId="65AF011A" w14:textId="77777777" w:rsidR="00FE48D0" w:rsidRPr="00585A07" w:rsidRDefault="00FE48D0" w:rsidP="003F39BA">
            <w:pPr>
              <w:spacing w:after="0" w:line="240" w:lineRule="auto"/>
            </w:pPr>
            <w:r>
              <w:t>880</w:t>
            </w:r>
          </w:p>
        </w:tc>
        <w:tc>
          <w:tcPr>
            <w:tcW w:w="1418" w:type="dxa"/>
          </w:tcPr>
          <w:p w14:paraId="05CA3FBB" w14:textId="77777777" w:rsidR="00FE48D0" w:rsidRPr="00585A07" w:rsidRDefault="00FE48D0" w:rsidP="003F39BA">
            <w:pPr>
              <w:spacing w:after="0" w:line="240" w:lineRule="auto"/>
            </w:pPr>
            <w:r>
              <w:t>816 (92.7)</w:t>
            </w:r>
          </w:p>
        </w:tc>
        <w:tc>
          <w:tcPr>
            <w:tcW w:w="1701" w:type="dxa"/>
          </w:tcPr>
          <w:p w14:paraId="3AFB9105" w14:textId="77777777" w:rsidR="00FE48D0" w:rsidRPr="005B66EC" w:rsidRDefault="00FE48D0" w:rsidP="003F39BA">
            <w:pPr>
              <w:spacing w:after="0" w:line="240" w:lineRule="auto"/>
            </w:pPr>
            <w:r>
              <w:t>769 (87.4)</w:t>
            </w:r>
          </w:p>
        </w:tc>
        <w:tc>
          <w:tcPr>
            <w:tcW w:w="2551" w:type="dxa"/>
          </w:tcPr>
          <w:p w14:paraId="5FF74D79" w14:textId="77777777" w:rsidR="00FE48D0" w:rsidRPr="00585A07" w:rsidRDefault="00FE48D0" w:rsidP="003F39BA">
            <w:pPr>
              <w:spacing w:after="0" w:line="240" w:lineRule="auto"/>
            </w:pPr>
            <w:r w:rsidRPr="005B66EC">
              <w:t>N/A</w:t>
            </w:r>
          </w:p>
        </w:tc>
        <w:tc>
          <w:tcPr>
            <w:tcW w:w="992" w:type="dxa"/>
          </w:tcPr>
          <w:p w14:paraId="2D6400F0" w14:textId="77777777" w:rsidR="00FE48D0" w:rsidRPr="00585A07" w:rsidRDefault="00FE48D0" w:rsidP="003F39BA">
            <w:pPr>
              <w:spacing w:after="0" w:line="240" w:lineRule="auto"/>
            </w:pPr>
            <w:r>
              <w:t>0</w:t>
            </w:r>
          </w:p>
        </w:tc>
        <w:tc>
          <w:tcPr>
            <w:tcW w:w="1134" w:type="dxa"/>
          </w:tcPr>
          <w:p w14:paraId="7084B2D4" w14:textId="77777777" w:rsidR="00FE48D0" w:rsidRPr="00585A07" w:rsidRDefault="00FE48D0" w:rsidP="003F39BA">
            <w:pPr>
              <w:spacing w:after="0" w:line="240" w:lineRule="auto"/>
            </w:pPr>
            <w:r>
              <w:t>0 (-)</w:t>
            </w:r>
          </w:p>
        </w:tc>
        <w:tc>
          <w:tcPr>
            <w:tcW w:w="1418" w:type="dxa"/>
          </w:tcPr>
          <w:p w14:paraId="2DCD5F56" w14:textId="77777777" w:rsidR="00FE48D0" w:rsidRDefault="00FE48D0" w:rsidP="003F39BA">
            <w:pPr>
              <w:spacing w:after="0" w:line="240" w:lineRule="auto"/>
            </w:pPr>
            <w:r>
              <w:t>MSSA: 0 (0.0)</w:t>
            </w:r>
          </w:p>
          <w:p w14:paraId="3ACF2482" w14:textId="77777777" w:rsidR="00FE48D0" w:rsidRDefault="00FE48D0" w:rsidP="003F39BA">
            <w:pPr>
              <w:spacing w:after="0" w:line="240" w:lineRule="auto"/>
            </w:pPr>
            <w:r>
              <w:t>Any</w:t>
            </w:r>
            <w:r>
              <w:rPr>
                <w:vertAlign w:val="superscript"/>
              </w:rPr>
              <w:t>c</w:t>
            </w:r>
            <w:r>
              <w:t>: 0 (0.0)</w:t>
            </w:r>
          </w:p>
        </w:tc>
        <w:tc>
          <w:tcPr>
            <w:tcW w:w="1197" w:type="dxa"/>
          </w:tcPr>
          <w:p w14:paraId="37B866E5" w14:textId="77777777" w:rsidR="00FE48D0" w:rsidRPr="00585A07" w:rsidRDefault="00FE48D0" w:rsidP="003F39BA">
            <w:pPr>
              <w:spacing w:after="0" w:line="240" w:lineRule="auto"/>
            </w:pPr>
            <w:r>
              <w:t>63 (7.7)</w:t>
            </w:r>
          </w:p>
        </w:tc>
      </w:tr>
      <w:tr w:rsidR="00FE48D0" w:rsidRPr="00585A07" w14:paraId="0BD532A9" w14:textId="77777777" w:rsidTr="003F39BA">
        <w:trPr>
          <w:trHeight w:val="185"/>
        </w:trPr>
        <w:tc>
          <w:tcPr>
            <w:tcW w:w="704" w:type="dxa"/>
            <w:vAlign w:val="center"/>
          </w:tcPr>
          <w:p w14:paraId="75E59964" w14:textId="77777777" w:rsidR="00FE48D0" w:rsidRPr="00585A07" w:rsidRDefault="00FE48D0" w:rsidP="003F39BA">
            <w:pPr>
              <w:spacing w:after="0" w:line="240" w:lineRule="auto"/>
              <w:rPr>
                <w:vertAlign w:val="superscript"/>
              </w:rPr>
            </w:pPr>
            <w:r>
              <w:rPr>
                <w:color w:val="000000"/>
              </w:rPr>
              <w:t>11</w:t>
            </w:r>
          </w:p>
        </w:tc>
        <w:tc>
          <w:tcPr>
            <w:tcW w:w="1418" w:type="dxa"/>
          </w:tcPr>
          <w:p w14:paraId="043A7B0E" w14:textId="77777777" w:rsidR="00FE48D0" w:rsidRPr="00585A07" w:rsidRDefault="00FE48D0" w:rsidP="003F39BA">
            <w:pPr>
              <w:spacing w:after="0" w:line="240" w:lineRule="auto"/>
            </w:pPr>
            <w:r w:rsidRPr="00585A07">
              <w:t>Blanket</w:t>
            </w:r>
          </w:p>
        </w:tc>
        <w:tc>
          <w:tcPr>
            <w:tcW w:w="1417" w:type="dxa"/>
          </w:tcPr>
          <w:p w14:paraId="528F86F3" w14:textId="77777777" w:rsidR="00FE48D0" w:rsidRPr="00585A07" w:rsidRDefault="00FE48D0" w:rsidP="003F39BA">
            <w:pPr>
              <w:spacing w:after="0" w:line="240" w:lineRule="auto"/>
            </w:pPr>
            <w:r>
              <w:t>730</w:t>
            </w:r>
          </w:p>
        </w:tc>
        <w:tc>
          <w:tcPr>
            <w:tcW w:w="1418" w:type="dxa"/>
          </w:tcPr>
          <w:p w14:paraId="67390153" w14:textId="77777777" w:rsidR="00FE48D0" w:rsidRPr="00585A07" w:rsidRDefault="00FE48D0" w:rsidP="003F39BA">
            <w:pPr>
              <w:spacing w:after="0" w:line="240" w:lineRule="auto"/>
            </w:pPr>
            <w:r w:rsidRPr="00585A07">
              <w:t>165</w:t>
            </w:r>
            <w:r>
              <w:t xml:space="preserve"> (22.6)</w:t>
            </w:r>
          </w:p>
        </w:tc>
        <w:tc>
          <w:tcPr>
            <w:tcW w:w="1701" w:type="dxa"/>
          </w:tcPr>
          <w:p w14:paraId="10F4C052" w14:textId="77777777" w:rsidR="00FE48D0" w:rsidRPr="00585A07" w:rsidRDefault="00FE48D0" w:rsidP="003F39BA">
            <w:pPr>
              <w:spacing w:after="0" w:line="240" w:lineRule="auto"/>
            </w:pPr>
            <w:r>
              <w:t>150 (20.5)</w:t>
            </w:r>
          </w:p>
        </w:tc>
        <w:tc>
          <w:tcPr>
            <w:tcW w:w="2551" w:type="dxa"/>
          </w:tcPr>
          <w:p w14:paraId="1882C43C" w14:textId="77777777" w:rsidR="00FE48D0" w:rsidRPr="00585A07" w:rsidRDefault="00FE48D0" w:rsidP="003F39BA">
            <w:pPr>
              <w:spacing w:after="0" w:line="240" w:lineRule="auto"/>
            </w:pPr>
            <w:r w:rsidRPr="00585A07">
              <w:t>N/A</w:t>
            </w:r>
          </w:p>
        </w:tc>
        <w:tc>
          <w:tcPr>
            <w:tcW w:w="992" w:type="dxa"/>
          </w:tcPr>
          <w:p w14:paraId="6BAEFF58" w14:textId="77777777" w:rsidR="00FE48D0" w:rsidRPr="00585A07" w:rsidRDefault="00FE48D0" w:rsidP="003F39BA">
            <w:pPr>
              <w:spacing w:after="0" w:line="240" w:lineRule="auto"/>
            </w:pPr>
            <w:r>
              <w:t>0</w:t>
            </w:r>
          </w:p>
        </w:tc>
        <w:tc>
          <w:tcPr>
            <w:tcW w:w="1134" w:type="dxa"/>
          </w:tcPr>
          <w:p w14:paraId="3386D319" w14:textId="77777777" w:rsidR="00FE48D0" w:rsidRPr="00585A07" w:rsidRDefault="00FE48D0" w:rsidP="003F39BA">
            <w:pPr>
              <w:spacing w:after="0" w:line="240" w:lineRule="auto"/>
            </w:pPr>
            <w:r>
              <w:t>0 (-)</w:t>
            </w:r>
          </w:p>
        </w:tc>
        <w:tc>
          <w:tcPr>
            <w:tcW w:w="1418" w:type="dxa"/>
          </w:tcPr>
          <w:p w14:paraId="565D30EF" w14:textId="77777777" w:rsidR="00FE48D0" w:rsidRDefault="00FE48D0" w:rsidP="003F39BA">
            <w:pPr>
              <w:spacing w:after="0" w:line="240" w:lineRule="auto"/>
            </w:pPr>
            <w:r>
              <w:t>MSSA: 0 (0.0)</w:t>
            </w:r>
          </w:p>
          <w:p w14:paraId="502B2C45" w14:textId="77777777" w:rsidR="00FE48D0" w:rsidRDefault="00FE48D0" w:rsidP="003F39BA">
            <w:pPr>
              <w:spacing w:after="0" w:line="240" w:lineRule="auto"/>
            </w:pPr>
            <w:r>
              <w:t>Any</w:t>
            </w:r>
            <w:r>
              <w:rPr>
                <w:vertAlign w:val="superscript"/>
              </w:rPr>
              <w:t>c</w:t>
            </w:r>
            <w:r>
              <w:t>: 0 (0.0)</w:t>
            </w:r>
          </w:p>
        </w:tc>
        <w:tc>
          <w:tcPr>
            <w:tcW w:w="1197" w:type="dxa"/>
          </w:tcPr>
          <w:p w14:paraId="234E3F0A" w14:textId="77777777" w:rsidR="00FE48D0" w:rsidRPr="00585A07" w:rsidRDefault="00FE48D0" w:rsidP="003F39BA">
            <w:pPr>
              <w:spacing w:after="0" w:line="240" w:lineRule="auto"/>
            </w:pPr>
            <w:r>
              <w:t>3 (1.8)</w:t>
            </w:r>
          </w:p>
        </w:tc>
      </w:tr>
      <w:tr w:rsidR="00FE48D0" w:rsidRPr="00585A07" w14:paraId="107A27DC" w14:textId="77777777" w:rsidTr="003F39BA">
        <w:trPr>
          <w:trHeight w:val="157"/>
        </w:trPr>
        <w:tc>
          <w:tcPr>
            <w:tcW w:w="704" w:type="dxa"/>
            <w:vAlign w:val="center"/>
          </w:tcPr>
          <w:p w14:paraId="0D053093" w14:textId="77777777" w:rsidR="00FE48D0" w:rsidRPr="00585A07" w:rsidRDefault="00FE48D0" w:rsidP="003F39BA">
            <w:pPr>
              <w:spacing w:after="0" w:line="240" w:lineRule="auto"/>
            </w:pPr>
            <w:r>
              <w:rPr>
                <w:color w:val="000000"/>
              </w:rPr>
              <w:t>12</w:t>
            </w:r>
          </w:p>
        </w:tc>
        <w:tc>
          <w:tcPr>
            <w:tcW w:w="1418" w:type="dxa"/>
          </w:tcPr>
          <w:p w14:paraId="1B252D34" w14:textId="77777777" w:rsidR="00FE48D0" w:rsidRPr="00585A07" w:rsidRDefault="00FE48D0" w:rsidP="003F39BA">
            <w:pPr>
              <w:spacing w:after="0" w:line="240" w:lineRule="auto"/>
            </w:pPr>
            <w:r w:rsidRPr="00585A07">
              <w:t>Blanket</w:t>
            </w:r>
          </w:p>
        </w:tc>
        <w:tc>
          <w:tcPr>
            <w:tcW w:w="1417" w:type="dxa"/>
          </w:tcPr>
          <w:p w14:paraId="7C43E766" w14:textId="77777777" w:rsidR="00FE48D0" w:rsidRPr="00585A07" w:rsidRDefault="00FE48D0" w:rsidP="003F39BA">
            <w:pPr>
              <w:spacing w:after="0" w:line="240" w:lineRule="auto"/>
            </w:pPr>
            <w:r>
              <w:t>846</w:t>
            </w:r>
          </w:p>
        </w:tc>
        <w:tc>
          <w:tcPr>
            <w:tcW w:w="1418" w:type="dxa"/>
          </w:tcPr>
          <w:p w14:paraId="54112725" w14:textId="77777777" w:rsidR="00FE48D0" w:rsidRPr="00585A07" w:rsidRDefault="00FE48D0" w:rsidP="003F39BA">
            <w:pPr>
              <w:spacing w:after="0" w:line="240" w:lineRule="auto"/>
            </w:pPr>
            <w:r>
              <w:t>815 (96.3)</w:t>
            </w:r>
          </w:p>
        </w:tc>
        <w:tc>
          <w:tcPr>
            <w:tcW w:w="1701" w:type="dxa"/>
          </w:tcPr>
          <w:p w14:paraId="31179048" w14:textId="77777777" w:rsidR="00FE48D0" w:rsidRPr="00585A07" w:rsidRDefault="00FE48D0" w:rsidP="003F39BA">
            <w:pPr>
              <w:spacing w:after="0" w:line="240" w:lineRule="auto"/>
            </w:pPr>
            <w:r>
              <w:t>785 (92.8)</w:t>
            </w:r>
          </w:p>
        </w:tc>
        <w:tc>
          <w:tcPr>
            <w:tcW w:w="2551" w:type="dxa"/>
          </w:tcPr>
          <w:p w14:paraId="7006EBD3" w14:textId="77777777" w:rsidR="00FE48D0" w:rsidRDefault="00FE48D0" w:rsidP="003F39BA">
            <w:pPr>
              <w:spacing w:after="0" w:line="240" w:lineRule="auto"/>
            </w:pPr>
            <w:r w:rsidRPr="00585A07">
              <w:t>N/A</w:t>
            </w:r>
          </w:p>
          <w:p w14:paraId="5491FD67" w14:textId="77777777" w:rsidR="00FE48D0" w:rsidRDefault="00FE48D0" w:rsidP="003F39BA">
            <w:pPr>
              <w:spacing w:after="0" w:line="240" w:lineRule="auto"/>
            </w:pPr>
          </w:p>
          <w:p w14:paraId="7FB34D14" w14:textId="77777777" w:rsidR="00FE48D0" w:rsidRPr="00585A07" w:rsidRDefault="00FE48D0" w:rsidP="003F39BA">
            <w:pPr>
              <w:spacing w:after="0" w:line="240" w:lineRule="auto"/>
            </w:pPr>
          </w:p>
        </w:tc>
        <w:tc>
          <w:tcPr>
            <w:tcW w:w="992" w:type="dxa"/>
          </w:tcPr>
          <w:p w14:paraId="1CA0F15A" w14:textId="77777777" w:rsidR="00FE48D0" w:rsidRPr="00585A07" w:rsidRDefault="00FE48D0" w:rsidP="003F39BA">
            <w:pPr>
              <w:spacing w:after="0" w:line="240" w:lineRule="auto"/>
            </w:pPr>
            <w:r>
              <w:t>9</w:t>
            </w:r>
          </w:p>
        </w:tc>
        <w:tc>
          <w:tcPr>
            <w:tcW w:w="1134" w:type="dxa"/>
          </w:tcPr>
          <w:p w14:paraId="6557D18D" w14:textId="77777777" w:rsidR="00FE48D0" w:rsidRPr="00585A07" w:rsidRDefault="00FE48D0" w:rsidP="003F39BA">
            <w:pPr>
              <w:spacing w:after="0" w:line="240" w:lineRule="auto"/>
            </w:pPr>
            <w:r>
              <w:t>6 (67)</w:t>
            </w:r>
          </w:p>
        </w:tc>
        <w:tc>
          <w:tcPr>
            <w:tcW w:w="1418" w:type="dxa"/>
          </w:tcPr>
          <w:p w14:paraId="750EEF7A" w14:textId="77777777" w:rsidR="00FE48D0" w:rsidRDefault="00FE48D0" w:rsidP="003F39BA">
            <w:pPr>
              <w:spacing w:after="0" w:line="240" w:lineRule="auto"/>
            </w:pPr>
            <w:r>
              <w:t>MSSA: 2 (0.3)</w:t>
            </w:r>
          </w:p>
          <w:p w14:paraId="590612AE" w14:textId="77777777" w:rsidR="00FE48D0" w:rsidRDefault="00FE48D0" w:rsidP="003F39BA">
            <w:pPr>
              <w:spacing w:after="0" w:line="240" w:lineRule="auto"/>
            </w:pPr>
            <w:r>
              <w:t>Any</w:t>
            </w:r>
            <w:r>
              <w:rPr>
                <w:vertAlign w:val="superscript"/>
              </w:rPr>
              <w:t>c</w:t>
            </w:r>
            <w:r>
              <w:t>: 3 (0.4)</w:t>
            </w:r>
          </w:p>
        </w:tc>
        <w:tc>
          <w:tcPr>
            <w:tcW w:w="1197" w:type="dxa"/>
          </w:tcPr>
          <w:p w14:paraId="590784B0" w14:textId="77777777" w:rsidR="00FE48D0" w:rsidRPr="00585A07" w:rsidRDefault="00FE48D0" w:rsidP="003F39BA">
            <w:pPr>
              <w:spacing w:after="0" w:line="240" w:lineRule="auto"/>
            </w:pPr>
            <w:r>
              <w:t>6 (0.7)</w:t>
            </w:r>
          </w:p>
        </w:tc>
      </w:tr>
      <w:tr w:rsidR="00FE48D0" w:rsidRPr="00585A07" w14:paraId="61D80EF5" w14:textId="77777777" w:rsidTr="003F39BA">
        <w:trPr>
          <w:trHeight w:val="241"/>
        </w:trPr>
        <w:tc>
          <w:tcPr>
            <w:tcW w:w="704" w:type="dxa"/>
            <w:vAlign w:val="center"/>
          </w:tcPr>
          <w:p w14:paraId="3957E72F" w14:textId="77777777" w:rsidR="00FE48D0" w:rsidRPr="00585A07" w:rsidRDefault="00FE48D0" w:rsidP="003F39BA">
            <w:pPr>
              <w:spacing w:after="0" w:line="240" w:lineRule="auto"/>
            </w:pPr>
            <w:r>
              <w:rPr>
                <w:color w:val="000000"/>
              </w:rPr>
              <w:t>13</w:t>
            </w:r>
          </w:p>
        </w:tc>
        <w:tc>
          <w:tcPr>
            <w:tcW w:w="1418" w:type="dxa"/>
          </w:tcPr>
          <w:p w14:paraId="7C4CBBC1" w14:textId="77777777" w:rsidR="00FE48D0" w:rsidRPr="00585A07" w:rsidRDefault="00FE48D0" w:rsidP="003F39BA">
            <w:pPr>
              <w:spacing w:after="0" w:line="240" w:lineRule="auto"/>
            </w:pPr>
            <w:r w:rsidRPr="00585A07">
              <w:t>Blanket</w:t>
            </w:r>
          </w:p>
        </w:tc>
        <w:tc>
          <w:tcPr>
            <w:tcW w:w="1417" w:type="dxa"/>
          </w:tcPr>
          <w:p w14:paraId="26CBD878" w14:textId="77777777" w:rsidR="00FE48D0" w:rsidRPr="00585A07" w:rsidRDefault="00FE48D0" w:rsidP="003F39BA">
            <w:pPr>
              <w:spacing w:after="0" w:line="240" w:lineRule="auto"/>
            </w:pPr>
            <w:r>
              <w:t>998</w:t>
            </w:r>
          </w:p>
        </w:tc>
        <w:tc>
          <w:tcPr>
            <w:tcW w:w="1418" w:type="dxa"/>
          </w:tcPr>
          <w:p w14:paraId="753C4916" w14:textId="77777777" w:rsidR="00FE48D0" w:rsidRPr="00585A07" w:rsidRDefault="00FE48D0" w:rsidP="003F39BA">
            <w:pPr>
              <w:spacing w:after="0" w:line="240" w:lineRule="auto"/>
            </w:pPr>
            <w:r w:rsidRPr="00AC4F83">
              <w:t>998</w:t>
            </w:r>
            <w:r>
              <w:t xml:space="preserve"> (100.0)</w:t>
            </w:r>
          </w:p>
        </w:tc>
        <w:tc>
          <w:tcPr>
            <w:tcW w:w="1701" w:type="dxa"/>
          </w:tcPr>
          <w:p w14:paraId="24CCB480" w14:textId="77777777" w:rsidR="00FE48D0" w:rsidRPr="00585A07" w:rsidRDefault="00FE48D0" w:rsidP="003F39BA">
            <w:pPr>
              <w:spacing w:after="0" w:line="240" w:lineRule="auto"/>
            </w:pPr>
            <w:r>
              <w:t>928 (93.0)</w:t>
            </w:r>
          </w:p>
        </w:tc>
        <w:tc>
          <w:tcPr>
            <w:tcW w:w="2551" w:type="dxa"/>
          </w:tcPr>
          <w:p w14:paraId="5C354E5E" w14:textId="77777777" w:rsidR="00FE48D0" w:rsidRPr="00585A07" w:rsidRDefault="00FE48D0" w:rsidP="003F39BA">
            <w:pPr>
              <w:spacing w:after="0" w:line="240" w:lineRule="auto"/>
            </w:pPr>
            <w:r w:rsidRPr="00585A07">
              <w:t>N/A</w:t>
            </w:r>
          </w:p>
        </w:tc>
        <w:tc>
          <w:tcPr>
            <w:tcW w:w="992" w:type="dxa"/>
          </w:tcPr>
          <w:p w14:paraId="040C4B03" w14:textId="77777777" w:rsidR="00FE48D0" w:rsidRPr="00585A07" w:rsidRDefault="00FE48D0" w:rsidP="003F39BA">
            <w:pPr>
              <w:spacing w:after="0" w:line="240" w:lineRule="auto"/>
            </w:pPr>
            <w:r>
              <w:t>14</w:t>
            </w:r>
          </w:p>
        </w:tc>
        <w:tc>
          <w:tcPr>
            <w:tcW w:w="1134" w:type="dxa"/>
          </w:tcPr>
          <w:p w14:paraId="66A663EA" w14:textId="77777777" w:rsidR="00FE48D0" w:rsidRPr="00585A07" w:rsidRDefault="00FE48D0" w:rsidP="003F39BA">
            <w:pPr>
              <w:spacing w:after="0" w:line="240" w:lineRule="auto"/>
            </w:pPr>
            <w:r>
              <w:t>12 (86)</w:t>
            </w:r>
          </w:p>
        </w:tc>
        <w:tc>
          <w:tcPr>
            <w:tcW w:w="1418" w:type="dxa"/>
          </w:tcPr>
          <w:p w14:paraId="18540032" w14:textId="77777777" w:rsidR="00FE48D0" w:rsidRDefault="00FE48D0" w:rsidP="003F39BA">
            <w:pPr>
              <w:spacing w:after="0" w:line="240" w:lineRule="auto"/>
            </w:pPr>
            <w:r>
              <w:t>MSSA: 0 (0.0)</w:t>
            </w:r>
          </w:p>
          <w:p w14:paraId="69983F20" w14:textId="77777777" w:rsidR="00FE48D0" w:rsidRDefault="00FE48D0" w:rsidP="003F39BA">
            <w:pPr>
              <w:spacing w:after="0" w:line="240" w:lineRule="auto"/>
            </w:pPr>
            <w:r>
              <w:t>Any</w:t>
            </w:r>
            <w:r>
              <w:rPr>
                <w:vertAlign w:val="superscript"/>
              </w:rPr>
              <w:t>c</w:t>
            </w:r>
            <w:r>
              <w:t>: 6 (0.6)</w:t>
            </w:r>
          </w:p>
        </w:tc>
        <w:tc>
          <w:tcPr>
            <w:tcW w:w="1197" w:type="dxa"/>
          </w:tcPr>
          <w:p w14:paraId="10BA9AF9" w14:textId="77777777" w:rsidR="00FE48D0" w:rsidRPr="00585A07" w:rsidRDefault="00FE48D0" w:rsidP="003F39BA">
            <w:pPr>
              <w:spacing w:after="0" w:line="240" w:lineRule="auto"/>
            </w:pPr>
            <w:r>
              <w:t>46 (4.6)</w:t>
            </w:r>
          </w:p>
        </w:tc>
      </w:tr>
      <w:tr w:rsidR="00FE48D0" w:rsidRPr="00585A07" w14:paraId="20AC6A3C" w14:textId="77777777" w:rsidTr="003F39BA">
        <w:trPr>
          <w:trHeight w:val="255"/>
        </w:trPr>
        <w:tc>
          <w:tcPr>
            <w:tcW w:w="704" w:type="dxa"/>
            <w:vAlign w:val="center"/>
          </w:tcPr>
          <w:p w14:paraId="38C2B84D" w14:textId="77777777" w:rsidR="00FE48D0" w:rsidRPr="00585A07" w:rsidRDefault="00FE48D0" w:rsidP="003F39BA">
            <w:pPr>
              <w:spacing w:after="0" w:line="240" w:lineRule="auto"/>
            </w:pPr>
            <w:r>
              <w:rPr>
                <w:color w:val="000000"/>
              </w:rPr>
              <w:t>14</w:t>
            </w:r>
          </w:p>
        </w:tc>
        <w:tc>
          <w:tcPr>
            <w:tcW w:w="1418" w:type="dxa"/>
          </w:tcPr>
          <w:p w14:paraId="21254003" w14:textId="77777777" w:rsidR="00FE48D0" w:rsidRPr="00585A07" w:rsidRDefault="00FE48D0" w:rsidP="003F39BA">
            <w:pPr>
              <w:spacing w:after="0" w:line="240" w:lineRule="auto"/>
            </w:pPr>
            <w:r w:rsidRPr="00585A07">
              <w:t>Blanket</w:t>
            </w:r>
          </w:p>
        </w:tc>
        <w:tc>
          <w:tcPr>
            <w:tcW w:w="1417" w:type="dxa"/>
          </w:tcPr>
          <w:p w14:paraId="2D1564FE" w14:textId="77777777" w:rsidR="00FE48D0" w:rsidRPr="00585A07" w:rsidRDefault="00FE48D0" w:rsidP="003F39BA">
            <w:pPr>
              <w:spacing w:after="0" w:line="240" w:lineRule="auto"/>
            </w:pPr>
            <w:r>
              <w:t>2786</w:t>
            </w:r>
          </w:p>
        </w:tc>
        <w:tc>
          <w:tcPr>
            <w:tcW w:w="1418" w:type="dxa"/>
          </w:tcPr>
          <w:p w14:paraId="28D03D11" w14:textId="77777777" w:rsidR="00FE48D0" w:rsidRPr="00585A07" w:rsidRDefault="00FE48D0" w:rsidP="003F39BA">
            <w:pPr>
              <w:spacing w:after="0" w:line="240" w:lineRule="auto"/>
            </w:pPr>
            <w:r>
              <w:t>2667 (95.7)</w:t>
            </w:r>
          </w:p>
        </w:tc>
        <w:tc>
          <w:tcPr>
            <w:tcW w:w="1701" w:type="dxa"/>
          </w:tcPr>
          <w:p w14:paraId="57C37204" w14:textId="77777777" w:rsidR="00FE48D0" w:rsidRPr="00585A07" w:rsidRDefault="00FE48D0" w:rsidP="003F39BA">
            <w:pPr>
              <w:spacing w:after="0" w:line="240" w:lineRule="auto"/>
            </w:pPr>
            <w:r>
              <w:t>2619 (94.0)</w:t>
            </w:r>
          </w:p>
        </w:tc>
        <w:tc>
          <w:tcPr>
            <w:tcW w:w="2551" w:type="dxa"/>
          </w:tcPr>
          <w:p w14:paraId="7FF9F02C" w14:textId="77777777" w:rsidR="00FE48D0" w:rsidRPr="00585A07" w:rsidRDefault="00FE48D0" w:rsidP="003F39BA">
            <w:pPr>
              <w:spacing w:after="0" w:line="240" w:lineRule="auto"/>
            </w:pPr>
            <w:r w:rsidRPr="00585A07">
              <w:t>N/A</w:t>
            </w:r>
          </w:p>
        </w:tc>
        <w:tc>
          <w:tcPr>
            <w:tcW w:w="992" w:type="dxa"/>
          </w:tcPr>
          <w:p w14:paraId="327FB754" w14:textId="77777777" w:rsidR="00FE48D0" w:rsidRPr="00585A07" w:rsidRDefault="00FE48D0" w:rsidP="003F39BA">
            <w:pPr>
              <w:spacing w:after="0" w:line="240" w:lineRule="auto"/>
            </w:pPr>
            <w:r>
              <w:t>75</w:t>
            </w:r>
          </w:p>
        </w:tc>
        <w:tc>
          <w:tcPr>
            <w:tcW w:w="1134" w:type="dxa"/>
          </w:tcPr>
          <w:p w14:paraId="68A8E85B" w14:textId="77777777" w:rsidR="00FE48D0" w:rsidRPr="00585A07" w:rsidRDefault="00FE48D0" w:rsidP="003F39BA">
            <w:pPr>
              <w:spacing w:after="0" w:line="240" w:lineRule="auto"/>
            </w:pPr>
            <w:r>
              <w:t>24 (31)</w:t>
            </w:r>
          </w:p>
        </w:tc>
        <w:tc>
          <w:tcPr>
            <w:tcW w:w="1418" w:type="dxa"/>
          </w:tcPr>
          <w:p w14:paraId="32E6D8E8" w14:textId="77777777" w:rsidR="00FE48D0" w:rsidRDefault="00FE48D0" w:rsidP="003F39BA">
            <w:pPr>
              <w:spacing w:after="0" w:line="240" w:lineRule="auto"/>
            </w:pPr>
            <w:r>
              <w:t>MSSA: 4 (0.1)</w:t>
            </w:r>
          </w:p>
          <w:p w14:paraId="5D1BFAB2" w14:textId="77777777" w:rsidR="00FE48D0" w:rsidRDefault="00FE48D0" w:rsidP="003F39BA">
            <w:pPr>
              <w:spacing w:after="0" w:line="240" w:lineRule="auto"/>
            </w:pPr>
            <w:r>
              <w:t>Any</w:t>
            </w:r>
            <w:r>
              <w:rPr>
                <w:vertAlign w:val="superscript"/>
              </w:rPr>
              <w:t>c</w:t>
            </w:r>
            <w:r>
              <w:t>: 9 (0.3)</w:t>
            </w:r>
          </w:p>
        </w:tc>
        <w:tc>
          <w:tcPr>
            <w:tcW w:w="1197" w:type="dxa"/>
          </w:tcPr>
          <w:p w14:paraId="156D6445" w14:textId="77777777" w:rsidR="00FE48D0" w:rsidRPr="00585A07" w:rsidRDefault="00FE48D0" w:rsidP="003F39BA">
            <w:pPr>
              <w:spacing w:after="0" w:line="240" w:lineRule="auto"/>
            </w:pPr>
            <w:r>
              <w:t>70 (2.6)</w:t>
            </w:r>
          </w:p>
        </w:tc>
      </w:tr>
      <w:tr w:rsidR="00FE48D0" w:rsidRPr="00585A07" w14:paraId="38A58B8D" w14:textId="77777777" w:rsidTr="003F39BA">
        <w:trPr>
          <w:trHeight w:val="132"/>
        </w:trPr>
        <w:tc>
          <w:tcPr>
            <w:tcW w:w="704" w:type="dxa"/>
            <w:vAlign w:val="center"/>
          </w:tcPr>
          <w:p w14:paraId="117437FF" w14:textId="77777777" w:rsidR="00FE48D0" w:rsidRPr="00585A07" w:rsidRDefault="00FE48D0" w:rsidP="003F39BA">
            <w:pPr>
              <w:spacing w:after="0" w:line="240" w:lineRule="auto"/>
            </w:pPr>
            <w:r>
              <w:rPr>
                <w:color w:val="000000"/>
              </w:rPr>
              <w:t>15</w:t>
            </w:r>
          </w:p>
        </w:tc>
        <w:tc>
          <w:tcPr>
            <w:tcW w:w="1418" w:type="dxa"/>
          </w:tcPr>
          <w:p w14:paraId="3294EDF5" w14:textId="77777777" w:rsidR="00FE48D0" w:rsidRPr="00585A07" w:rsidRDefault="00FE48D0" w:rsidP="003F39BA">
            <w:pPr>
              <w:spacing w:after="0" w:line="240" w:lineRule="auto"/>
            </w:pPr>
            <w:r w:rsidRPr="00585A07">
              <w:t>Blanket</w:t>
            </w:r>
          </w:p>
        </w:tc>
        <w:tc>
          <w:tcPr>
            <w:tcW w:w="1417" w:type="dxa"/>
          </w:tcPr>
          <w:p w14:paraId="16798BF3" w14:textId="77777777" w:rsidR="00FE48D0" w:rsidRPr="00585A07" w:rsidRDefault="00FE48D0" w:rsidP="003F39BA">
            <w:pPr>
              <w:spacing w:after="0" w:line="240" w:lineRule="auto"/>
            </w:pPr>
            <w:r>
              <w:t>504</w:t>
            </w:r>
          </w:p>
        </w:tc>
        <w:tc>
          <w:tcPr>
            <w:tcW w:w="1418" w:type="dxa"/>
          </w:tcPr>
          <w:p w14:paraId="4FFAA8BE" w14:textId="77777777" w:rsidR="00FE48D0" w:rsidRPr="00585A07" w:rsidRDefault="00FE48D0" w:rsidP="003F39BA">
            <w:pPr>
              <w:spacing w:after="0" w:line="240" w:lineRule="auto"/>
            </w:pPr>
            <w:r w:rsidRPr="00AC4F83">
              <w:t>504</w:t>
            </w:r>
            <w:r>
              <w:t xml:space="preserve"> (100.0)</w:t>
            </w:r>
          </w:p>
        </w:tc>
        <w:tc>
          <w:tcPr>
            <w:tcW w:w="1701" w:type="dxa"/>
          </w:tcPr>
          <w:p w14:paraId="5E285517" w14:textId="77777777" w:rsidR="00FE48D0" w:rsidRPr="00585A07" w:rsidRDefault="00FE48D0" w:rsidP="003F39BA">
            <w:pPr>
              <w:spacing w:after="0" w:line="240" w:lineRule="auto"/>
            </w:pPr>
            <w:r>
              <w:t>226 (44.8)</w:t>
            </w:r>
          </w:p>
        </w:tc>
        <w:tc>
          <w:tcPr>
            <w:tcW w:w="2551" w:type="dxa"/>
          </w:tcPr>
          <w:p w14:paraId="4C554BEA" w14:textId="77777777" w:rsidR="00FE48D0" w:rsidRPr="00585A07" w:rsidRDefault="00FE48D0" w:rsidP="003F39BA">
            <w:pPr>
              <w:spacing w:after="0" w:line="240" w:lineRule="auto"/>
            </w:pPr>
            <w:r w:rsidRPr="00585A07">
              <w:t>N/A</w:t>
            </w:r>
          </w:p>
        </w:tc>
        <w:tc>
          <w:tcPr>
            <w:tcW w:w="992" w:type="dxa"/>
          </w:tcPr>
          <w:p w14:paraId="7F4E33CF" w14:textId="77777777" w:rsidR="00FE48D0" w:rsidRPr="00585A07" w:rsidRDefault="00FE48D0" w:rsidP="003F39BA">
            <w:pPr>
              <w:spacing w:after="0" w:line="240" w:lineRule="auto"/>
            </w:pPr>
            <w:r>
              <w:t>17</w:t>
            </w:r>
          </w:p>
        </w:tc>
        <w:tc>
          <w:tcPr>
            <w:tcW w:w="1134" w:type="dxa"/>
          </w:tcPr>
          <w:p w14:paraId="76268A4D" w14:textId="77777777" w:rsidR="00FE48D0" w:rsidRPr="00585A07" w:rsidRDefault="00FE48D0" w:rsidP="003F39BA">
            <w:pPr>
              <w:spacing w:after="0" w:line="240" w:lineRule="auto"/>
            </w:pPr>
            <w:r>
              <w:t>13 (76)</w:t>
            </w:r>
          </w:p>
        </w:tc>
        <w:tc>
          <w:tcPr>
            <w:tcW w:w="1418" w:type="dxa"/>
          </w:tcPr>
          <w:p w14:paraId="3F94A0C9" w14:textId="77777777" w:rsidR="00FE48D0" w:rsidRDefault="00FE48D0" w:rsidP="003F39BA">
            <w:pPr>
              <w:spacing w:after="0" w:line="240" w:lineRule="auto"/>
            </w:pPr>
            <w:r>
              <w:t>MSSA: 0 (0.0)</w:t>
            </w:r>
          </w:p>
          <w:p w14:paraId="43E91FC1" w14:textId="77777777" w:rsidR="00FE48D0" w:rsidRDefault="00FE48D0" w:rsidP="003F39BA">
            <w:pPr>
              <w:spacing w:after="0" w:line="240" w:lineRule="auto"/>
            </w:pPr>
            <w:r>
              <w:t>Any</w:t>
            </w:r>
            <w:r>
              <w:rPr>
                <w:vertAlign w:val="superscript"/>
              </w:rPr>
              <w:t>c</w:t>
            </w:r>
            <w:r>
              <w:t>: 2 (0.4)</w:t>
            </w:r>
          </w:p>
        </w:tc>
        <w:tc>
          <w:tcPr>
            <w:tcW w:w="1197" w:type="dxa"/>
          </w:tcPr>
          <w:p w14:paraId="6173F5B2" w14:textId="77777777" w:rsidR="00FE48D0" w:rsidRPr="00585A07" w:rsidRDefault="00FE48D0" w:rsidP="003F39BA">
            <w:pPr>
              <w:spacing w:after="0" w:line="240" w:lineRule="auto"/>
            </w:pPr>
            <w:r>
              <w:t>36 (7.1)</w:t>
            </w:r>
          </w:p>
        </w:tc>
      </w:tr>
      <w:tr w:rsidR="00FE48D0" w:rsidRPr="00585A07" w14:paraId="2CBB69E6" w14:textId="77777777" w:rsidTr="003F39BA">
        <w:trPr>
          <w:trHeight w:val="210"/>
        </w:trPr>
        <w:tc>
          <w:tcPr>
            <w:tcW w:w="704" w:type="dxa"/>
            <w:tcBorders>
              <w:bottom w:val="single" w:sz="4" w:space="0" w:color="auto"/>
            </w:tcBorders>
            <w:vAlign w:val="center"/>
          </w:tcPr>
          <w:p w14:paraId="41E76A8D" w14:textId="77777777" w:rsidR="00FE48D0" w:rsidRPr="00585A07" w:rsidRDefault="00FE48D0" w:rsidP="003F39BA">
            <w:pPr>
              <w:spacing w:after="0" w:line="240" w:lineRule="auto"/>
            </w:pPr>
            <w:r>
              <w:rPr>
                <w:color w:val="000000"/>
              </w:rPr>
              <w:t>16</w:t>
            </w:r>
          </w:p>
        </w:tc>
        <w:tc>
          <w:tcPr>
            <w:tcW w:w="1418" w:type="dxa"/>
            <w:tcBorders>
              <w:bottom w:val="single" w:sz="4" w:space="0" w:color="auto"/>
            </w:tcBorders>
          </w:tcPr>
          <w:p w14:paraId="65EF8441" w14:textId="77777777" w:rsidR="00FE48D0" w:rsidRPr="00585A07" w:rsidRDefault="00FE48D0" w:rsidP="003F39BA">
            <w:pPr>
              <w:spacing w:after="0" w:line="240" w:lineRule="auto"/>
            </w:pPr>
            <w:r w:rsidRPr="00585A07">
              <w:t>Blanket</w:t>
            </w:r>
          </w:p>
        </w:tc>
        <w:tc>
          <w:tcPr>
            <w:tcW w:w="1417" w:type="dxa"/>
            <w:tcBorders>
              <w:bottom w:val="single" w:sz="4" w:space="0" w:color="auto"/>
            </w:tcBorders>
          </w:tcPr>
          <w:p w14:paraId="30B19412" w14:textId="77777777" w:rsidR="00FE48D0" w:rsidRPr="00585A07" w:rsidRDefault="00FE48D0" w:rsidP="003F39BA">
            <w:pPr>
              <w:spacing w:after="0" w:line="240" w:lineRule="auto"/>
            </w:pPr>
            <w:r>
              <w:t>2743</w:t>
            </w:r>
          </w:p>
        </w:tc>
        <w:tc>
          <w:tcPr>
            <w:tcW w:w="1418" w:type="dxa"/>
            <w:tcBorders>
              <w:bottom w:val="single" w:sz="4" w:space="0" w:color="auto"/>
            </w:tcBorders>
          </w:tcPr>
          <w:p w14:paraId="278A43F1" w14:textId="77777777" w:rsidR="00FE48D0" w:rsidRPr="00585A07" w:rsidRDefault="00FE48D0" w:rsidP="003F39BA">
            <w:pPr>
              <w:spacing w:after="0" w:line="240" w:lineRule="auto"/>
            </w:pPr>
            <w:r w:rsidRPr="00585A07">
              <w:t>2507</w:t>
            </w:r>
            <w:r>
              <w:t xml:space="preserve"> (91.4)</w:t>
            </w:r>
          </w:p>
        </w:tc>
        <w:tc>
          <w:tcPr>
            <w:tcW w:w="1701" w:type="dxa"/>
            <w:tcBorders>
              <w:bottom w:val="single" w:sz="4" w:space="0" w:color="auto"/>
            </w:tcBorders>
          </w:tcPr>
          <w:p w14:paraId="7E5D4060" w14:textId="77777777" w:rsidR="00FE48D0" w:rsidRPr="00585A07" w:rsidRDefault="00FE48D0" w:rsidP="003F39BA">
            <w:pPr>
              <w:spacing w:after="0" w:line="240" w:lineRule="auto"/>
            </w:pPr>
            <w:r>
              <w:t>1879 (68.5)</w:t>
            </w:r>
          </w:p>
        </w:tc>
        <w:tc>
          <w:tcPr>
            <w:tcW w:w="2551" w:type="dxa"/>
            <w:tcBorders>
              <w:bottom w:val="single" w:sz="4" w:space="0" w:color="auto"/>
            </w:tcBorders>
          </w:tcPr>
          <w:p w14:paraId="5A7B9C2F" w14:textId="77777777" w:rsidR="00FE48D0" w:rsidRPr="00585A07" w:rsidRDefault="00FE48D0" w:rsidP="003F39BA">
            <w:pPr>
              <w:spacing w:after="0" w:line="240" w:lineRule="auto"/>
            </w:pPr>
            <w:r w:rsidRPr="00585A07">
              <w:t>N/A</w:t>
            </w:r>
          </w:p>
        </w:tc>
        <w:tc>
          <w:tcPr>
            <w:tcW w:w="992" w:type="dxa"/>
            <w:tcBorders>
              <w:bottom w:val="single" w:sz="4" w:space="0" w:color="auto"/>
            </w:tcBorders>
          </w:tcPr>
          <w:p w14:paraId="532393E9" w14:textId="77777777" w:rsidR="00FE48D0" w:rsidRPr="00585A07" w:rsidRDefault="00FE48D0" w:rsidP="003F39BA">
            <w:pPr>
              <w:spacing w:after="0" w:line="240" w:lineRule="auto"/>
            </w:pPr>
            <w:r>
              <w:t>41</w:t>
            </w:r>
          </w:p>
        </w:tc>
        <w:tc>
          <w:tcPr>
            <w:tcW w:w="1134" w:type="dxa"/>
            <w:tcBorders>
              <w:bottom w:val="single" w:sz="4" w:space="0" w:color="auto"/>
            </w:tcBorders>
          </w:tcPr>
          <w:p w14:paraId="16EE2D82" w14:textId="77777777" w:rsidR="00FE48D0" w:rsidRPr="00585A07" w:rsidRDefault="00FE48D0" w:rsidP="003F39BA">
            <w:pPr>
              <w:spacing w:after="0" w:line="240" w:lineRule="auto"/>
            </w:pPr>
            <w:r>
              <w:t>14 (34)</w:t>
            </w:r>
          </w:p>
        </w:tc>
        <w:tc>
          <w:tcPr>
            <w:tcW w:w="1418" w:type="dxa"/>
            <w:tcBorders>
              <w:bottom w:val="single" w:sz="4" w:space="0" w:color="auto"/>
            </w:tcBorders>
          </w:tcPr>
          <w:p w14:paraId="4A54A23A" w14:textId="77777777" w:rsidR="00FE48D0" w:rsidRDefault="00FE48D0" w:rsidP="003F39BA">
            <w:pPr>
              <w:spacing w:after="0" w:line="240" w:lineRule="auto"/>
            </w:pPr>
            <w:r>
              <w:t>MSSA: 4 (0.2)</w:t>
            </w:r>
          </w:p>
          <w:p w14:paraId="2BE06848" w14:textId="77777777" w:rsidR="00FE48D0" w:rsidRDefault="00FE48D0" w:rsidP="003F39BA">
            <w:pPr>
              <w:spacing w:after="0" w:line="240" w:lineRule="auto"/>
            </w:pPr>
            <w:r>
              <w:t>Any</w:t>
            </w:r>
            <w:r>
              <w:rPr>
                <w:vertAlign w:val="superscript"/>
              </w:rPr>
              <w:t>c</w:t>
            </w:r>
            <w:r>
              <w:t>: 9 (0.4)</w:t>
            </w:r>
          </w:p>
        </w:tc>
        <w:tc>
          <w:tcPr>
            <w:tcW w:w="1197" w:type="dxa"/>
            <w:tcBorders>
              <w:bottom w:val="single" w:sz="4" w:space="0" w:color="auto"/>
            </w:tcBorders>
          </w:tcPr>
          <w:p w14:paraId="5B0D6A7F" w14:textId="77777777" w:rsidR="00FE48D0" w:rsidRPr="00585A07" w:rsidRDefault="00FE48D0" w:rsidP="003F39BA">
            <w:pPr>
              <w:spacing w:after="0" w:line="240" w:lineRule="auto"/>
            </w:pPr>
            <w:r>
              <w:t>5 (0.2)</w:t>
            </w:r>
          </w:p>
        </w:tc>
      </w:tr>
      <w:tr w:rsidR="00FE48D0" w:rsidRPr="00585A07" w14:paraId="240223BC" w14:textId="77777777" w:rsidTr="003F39BA">
        <w:trPr>
          <w:trHeight w:val="210"/>
        </w:trPr>
        <w:tc>
          <w:tcPr>
            <w:tcW w:w="704" w:type="dxa"/>
            <w:tcBorders>
              <w:bottom w:val="single" w:sz="4" w:space="0" w:color="auto"/>
            </w:tcBorders>
            <w:vAlign w:val="center"/>
          </w:tcPr>
          <w:p w14:paraId="2CDA5547" w14:textId="77777777" w:rsidR="00FE48D0" w:rsidRPr="00585A07" w:rsidRDefault="00FE48D0" w:rsidP="003F39BA">
            <w:pPr>
              <w:spacing w:after="0" w:line="240" w:lineRule="auto"/>
              <w:rPr>
                <w:color w:val="000000"/>
              </w:rPr>
            </w:pPr>
            <w:r>
              <w:rPr>
                <w:color w:val="000000"/>
              </w:rPr>
              <w:t>Total</w:t>
            </w:r>
          </w:p>
        </w:tc>
        <w:tc>
          <w:tcPr>
            <w:tcW w:w="1418" w:type="dxa"/>
            <w:tcBorders>
              <w:bottom w:val="single" w:sz="4" w:space="0" w:color="auto"/>
            </w:tcBorders>
          </w:tcPr>
          <w:p w14:paraId="4F064B86" w14:textId="77777777" w:rsidR="00FE48D0" w:rsidRPr="00585A07" w:rsidRDefault="00FE48D0" w:rsidP="003F39BA">
            <w:pPr>
              <w:spacing w:after="0" w:line="240" w:lineRule="auto"/>
              <w:jc w:val="center"/>
            </w:pPr>
            <w:r>
              <w:t>-</w:t>
            </w:r>
          </w:p>
        </w:tc>
        <w:tc>
          <w:tcPr>
            <w:tcW w:w="1417" w:type="dxa"/>
            <w:tcBorders>
              <w:bottom w:val="single" w:sz="4" w:space="0" w:color="auto"/>
            </w:tcBorders>
          </w:tcPr>
          <w:p w14:paraId="3F8C3F80" w14:textId="77777777" w:rsidR="00FE48D0" w:rsidRPr="00585A07" w:rsidRDefault="00FE48D0" w:rsidP="003F39BA">
            <w:pPr>
              <w:spacing w:after="0" w:line="240" w:lineRule="auto"/>
            </w:pPr>
            <w:r>
              <w:t>15,206</w:t>
            </w:r>
          </w:p>
        </w:tc>
        <w:tc>
          <w:tcPr>
            <w:tcW w:w="1418" w:type="dxa"/>
            <w:tcBorders>
              <w:bottom w:val="single" w:sz="4" w:space="0" w:color="auto"/>
            </w:tcBorders>
          </w:tcPr>
          <w:p w14:paraId="026CF9F4" w14:textId="77777777" w:rsidR="00FE48D0" w:rsidRPr="00585A07" w:rsidRDefault="00FE48D0" w:rsidP="003F39BA">
            <w:pPr>
              <w:spacing w:after="0" w:line="240" w:lineRule="auto"/>
            </w:pPr>
            <w:r>
              <w:t>12,930 (85.0)</w:t>
            </w:r>
          </w:p>
        </w:tc>
        <w:tc>
          <w:tcPr>
            <w:tcW w:w="1701" w:type="dxa"/>
            <w:tcBorders>
              <w:bottom w:val="single" w:sz="4" w:space="0" w:color="auto"/>
            </w:tcBorders>
          </w:tcPr>
          <w:p w14:paraId="29BDC10F" w14:textId="77777777" w:rsidR="00FE48D0" w:rsidRDefault="00FE48D0" w:rsidP="003F39BA">
            <w:pPr>
              <w:spacing w:after="0" w:line="240" w:lineRule="auto"/>
            </w:pPr>
            <w:r>
              <w:t>11208 (73.7)</w:t>
            </w:r>
          </w:p>
        </w:tc>
        <w:tc>
          <w:tcPr>
            <w:tcW w:w="2551" w:type="dxa"/>
            <w:tcBorders>
              <w:bottom w:val="single" w:sz="4" w:space="0" w:color="auto"/>
            </w:tcBorders>
          </w:tcPr>
          <w:p w14:paraId="6FA437DD" w14:textId="77777777" w:rsidR="00FE48D0" w:rsidRPr="00585A07" w:rsidRDefault="00FE48D0" w:rsidP="003F39BA">
            <w:pPr>
              <w:spacing w:after="0" w:line="240" w:lineRule="auto"/>
              <w:jc w:val="center"/>
            </w:pPr>
            <w:r>
              <w:t>-</w:t>
            </w:r>
          </w:p>
        </w:tc>
        <w:tc>
          <w:tcPr>
            <w:tcW w:w="992" w:type="dxa"/>
            <w:tcBorders>
              <w:bottom w:val="single" w:sz="4" w:space="0" w:color="auto"/>
            </w:tcBorders>
          </w:tcPr>
          <w:p w14:paraId="09FFFAD8" w14:textId="77777777" w:rsidR="00FE48D0" w:rsidRDefault="00FE48D0" w:rsidP="003F39BA">
            <w:pPr>
              <w:spacing w:after="0" w:line="240" w:lineRule="auto"/>
            </w:pPr>
            <w:r>
              <w:t>231</w:t>
            </w:r>
          </w:p>
        </w:tc>
        <w:tc>
          <w:tcPr>
            <w:tcW w:w="1134" w:type="dxa"/>
            <w:tcBorders>
              <w:bottom w:val="single" w:sz="4" w:space="0" w:color="auto"/>
            </w:tcBorders>
          </w:tcPr>
          <w:p w14:paraId="3C46F720" w14:textId="77777777" w:rsidR="00FE48D0" w:rsidRDefault="00FE48D0" w:rsidP="003F39BA">
            <w:pPr>
              <w:spacing w:after="0" w:line="240" w:lineRule="auto"/>
            </w:pPr>
            <w:r>
              <w:t>110 (47.6)</w:t>
            </w:r>
          </w:p>
        </w:tc>
        <w:tc>
          <w:tcPr>
            <w:tcW w:w="1418" w:type="dxa"/>
            <w:tcBorders>
              <w:bottom w:val="single" w:sz="4" w:space="0" w:color="auto"/>
            </w:tcBorders>
          </w:tcPr>
          <w:p w14:paraId="09836B7B" w14:textId="77777777" w:rsidR="00FE48D0" w:rsidRDefault="00FE48D0" w:rsidP="003F39BA">
            <w:pPr>
              <w:spacing w:after="0" w:line="240" w:lineRule="auto"/>
            </w:pPr>
            <w:r>
              <w:t>MSSA: 18 (0.1)</w:t>
            </w:r>
          </w:p>
          <w:p w14:paraId="11BF13E5" w14:textId="77777777" w:rsidR="00FE48D0" w:rsidRPr="003776ED" w:rsidRDefault="00FE48D0" w:rsidP="003F39BA">
            <w:pPr>
              <w:spacing w:after="0" w:line="240" w:lineRule="auto"/>
            </w:pPr>
            <w:r>
              <w:t>Any</w:t>
            </w:r>
            <w:r w:rsidRPr="00374E50">
              <w:rPr>
                <w:vertAlign w:val="superscript"/>
              </w:rPr>
              <w:t>c</w:t>
            </w:r>
            <w:r>
              <w:t>: 48 (0.4)</w:t>
            </w:r>
          </w:p>
        </w:tc>
        <w:tc>
          <w:tcPr>
            <w:tcW w:w="1197" w:type="dxa"/>
            <w:tcBorders>
              <w:bottom w:val="single" w:sz="4" w:space="0" w:color="auto"/>
            </w:tcBorders>
          </w:tcPr>
          <w:p w14:paraId="6A6AF33C" w14:textId="77777777" w:rsidR="00FE48D0" w:rsidRDefault="00FE48D0" w:rsidP="003F39BA">
            <w:pPr>
              <w:spacing w:after="0" w:line="240" w:lineRule="auto"/>
            </w:pPr>
            <w:r>
              <w:t>302 (2.3)</w:t>
            </w:r>
          </w:p>
        </w:tc>
      </w:tr>
      <w:tr w:rsidR="00FE48D0" w:rsidRPr="00585A07" w14:paraId="016E126C" w14:textId="77777777" w:rsidTr="003F39BA">
        <w:trPr>
          <w:trHeight w:val="472"/>
        </w:trPr>
        <w:tc>
          <w:tcPr>
            <w:tcW w:w="13950" w:type="dxa"/>
            <w:gridSpan w:val="10"/>
            <w:tcBorders>
              <w:top w:val="single" w:sz="4" w:space="0" w:color="auto"/>
              <w:left w:val="nil"/>
              <w:bottom w:val="nil"/>
              <w:right w:val="nil"/>
            </w:tcBorders>
          </w:tcPr>
          <w:p w14:paraId="01219C19" w14:textId="77777777" w:rsidR="00FE48D0" w:rsidRPr="00585A07" w:rsidRDefault="00FE48D0" w:rsidP="003F39BA">
            <w:pPr>
              <w:pStyle w:val="CommentText"/>
              <w:spacing w:after="0"/>
            </w:pPr>
            <w:r>
              <w:t xml:space="preserve">Screen = Screening patients and only offering nasal MSSA decolonisation treatment to those testing MSSA positive. Blanket = Not screening, but giving all patients nasal MSSA decolonisation treatment. </w:t>
            </w:r>
            <w:r>
              <w:rPr>
                <w:vertAlign w:val="superscript"/>
              </w:rPr>
              <w:t xml:space="preserve">a </w:t>
            </w:r>
            <w:r w:rsidRPr="00585A07">
              <w:t>during 12 month trial measurement perio</w:t>
            </w:r>
            <w:r>
              <w:t>d</w:t>
            </w:r>
            <w:r>
              <w:rPr>
                <w:rFonts w:asciiTheme="minorHAnsi" w:eastAsiaTheme="minorHAnsi" w:hAnsiTheme="minorHAnsi" w:cstheme="minorBidi"/>
                <w:lang w:eastAsia="en-US"/>
              </w:rPr>
              <w:t xml:space="preserve"> </w:t>
            </w:r>
            <w:r>
              <w:rPr>
                <w:rFonts w:asciiTheme="minorHAnsi" w:eastAsiaTheme="minorHAnsi" w:hAnsiTheme="minorHAnsi" w:cstheme="minorBidi"/>
                <w:vertAlign w:val="superscript"/>
                <w:lang w:eastAsia="en-US"/>
              </w:rPr>
              <w:t>b</w:t>
            </w:r>
            <w:r>
              <w:t xml:space="preserve">using either CDC or PHE definitions for deep or superficial SSI </w:t>
            </w:r>
            <w:r>
              <w:rPr>
                <w:vertAlign w:val="superscript"/>
              </w:rPr>
              <w:t xml:space="preserve">c </w:t>
            </w:r>
            <w:r>
              <w:t>including MSSA</w:t>
            </w:r>
            <w:r>
              <w:rPr>
                <w:vertAlign w:val="superscript"/>
              </w:rPr>
              <w:t xml:space="preserve">  d </w:t>
            </w:r>
            <w:r>
              <w:t>This Trust only provided data for procedures where MSSA decolonisation was given after a positive screening test</w:t>
            </w:r>
          </w:p>
        </w:tc>
      </w:tr>
    </w:tbl>
    <w:p w14:paraId="76C57A92" w14:textId="77777777" w:rsidR="00FE48D0" w:rsidRDefault="00FE48D0" w:rsidP="00FE48D0">
      <w:pPr>
        <w:pStyle w:val="Caption"/>
        <w:keepNext/>
      </w:pPr>
    </w:p>
    <w:p w14:paraId="4B1E755A" w14:textId="10FC275E" w:rsidR="00FE48D0" w:rsidRDefault="00FE48D0" w:rsidP="00AD493B"/>
    <w:p w14:paraId="347EF0BB" w14:textId="0024B82F" w:rsidR="00FE48D0" w:rsidRDefault="00FE48D0">
      <w:pPr>
        <w:spacing w:after="0" w:line="240" w:lineRule="auto"/>
      </w:pPr>
      <w:r>
        <w:br w:type="page"/>
      </w:r>
    </w:p>
    <w:p w14:paraId="6CCEB5CC" w14:textId="0EFBA7C8" w:rsidR="00FE48D0" w:rsidRDefault="00FE48D0" w:rsidP="00FE48D0">
      <w:pPr>
        <w:pStyle w:val="Caption"/>
        <w:keepNext/>
      </w:pPr>
      <w:r>
        <w:t xml:space="preserve">Supplementary </w:t>
      </w:r>
      <w:r w:rsidR="00E842C1">
        <w:t>F</w:t>
      </w:r>
      <w:r>
        <w:t xml:space="preserve">ile 3: </w:t>
      </w:r>
      <w:r w:rsidRPr="006208C4">
        <w:t>Variation in approach to implementing preoperative anaemia pathway, rates of implementation and primary outcome reporting</w:t>
      </w:r>
    </w:p>
    <w:tbl>
      <w:tblPr>
        <w:tblStyle w:val="TableGrid"/>
        <w:tblW w:w="14640" w:type="dxa"/>
        <w:tblLayout w:type="fixed"/>
        <w:tblLook w:val="04A0" w:firstRow="1" w:lastRow="0" w:firstColumn="1" w:lastColumn="0" w:noHBand="0" w:noVBand="1"/>
      </w:tblPr>
      <w:tblGrid>
        <w:gridCol w:w="637"/>
        <w:gridCol w:w="1343"/>
        <w:gridCol w:w="1701"/>
        <w:gridCol w:w="1276"/>
        <w:gridCol w:w="1417"/>
        <w:gridCol w:w="1276"/>
        <w:gridCol w:w="1134"/>
        <w:gridCol w:w="1417"/>
        <w:gridCol w:w="993"/>
        <w:gridCol w:w="1134"/>
        <w:gridCol w:w="1275"/>
        <w:gridCol w:w="1037"/>
      </w:tblGrid>
      <w:tr w:rsidR="00FE48D0" w:rsidRPr="00AD30CA" w14:paraId="1CFA3E96" w14:textId="77777777" w:rsidTr="003F39BA">
        <w:trPr>
          <w:trHeight w:val="708"/>
        </w:trPr>
        <w:tc>
          <w:tcPr>
            <w:tcW w:w="637" w:type="dxa"/>
            <w:vMerge w:val="restart"/>
            <w:vAlign w:val="center"/>
          </w:tcPr>
          <w:p w14:paraId="51213BA2" w14:textId="77777777" w:rsidR="00FE48D0" w:rsidRPr="00AD30CA" w:rsidRDefault="00FE48D0" w:rsidP="003F39BA">
            <w:pPr>
              <w:spacing w:after="0" w:line="240" w:lineRule="auto"/>
              <w:jc w:val="center"/>
              <w:rPr>
                <w:rFonts w:asciiTheme="minorHAnsi" w:hAnsiTheme="minorHAnsi" w:cstheme="minorBidi"/>
                <w:sz w:val="18"/>
                <w:szCs w:val="18"/>
              </w:rPr>
            </w:pPr>
            <w:r w:rsidRPr="00AD30CA">
              <w:rPr>
                <w:rFonts w:asciiTheme="minorHAnsi" w:eastAsiaTheme="minorHAnsi" w:hAnsiTheme="minorHAnsi" w:cstheme="minorBidi"/>
                <w:sz w:val="18"/>
                <w:szCs w:val="18"/>
                <w:lang w:eastAsia="en-US"/>
              </w:rPr>
              <w:t>Trust</w:t>
            </w:r>
          </w:p>
        </w:tc>
        <w:tc>
          <w:tcPr>
            <w:tcW w:w="5737" w:type="dxa"/>
            <w:gridSpan w:val="4"/>
            <w:vAlign w:val="center"/>
          </w:tcPr>
          <w:p w14:paraId="02F99EAE" w14:textId="77777777" w:rsidR="00FE48D0" w:rsidRPr="00AD30CA" w:rsidRDefault="00FE48D0" w:rsidP="003F39BA">
            <w:pPr>
              <w:spacing w:after="0" w:line="240" w:lineRule="auto"/>
              <w:jc w:val="center"/>
              <w:rPr>
                <w:rFonts w:asciiTheme="minorHAnsi" w:hAnsiTheme="minorHAnsi" w:cstheme="minorBidi"/>
                <w:sz w:val="18"/>
                <w:szCs w:val="18"/>
              </w:rPr>
            </w:pPr>
            <w:r w:rsidRPr="00AD30CA">
              <w:rPr>
                <w:rFonts w:asciiTheme="minorHAnsi" w:hAnsiTheme="minorHAnsi" w:cstheme="minorBidi"/>
                <w:sz w:val="18"/>
                <w:szCs w:val="18"/>
              </w:rPr>
              <w:t>Approach to implementing preoperative anaemia screening and treatment</w:t>
            </w:r>
          </w:p>
        </w:tc>
        <w:tc>
          <w:tcPr>
            <w:tcW w:w="1276" w:type="dxa"/>
            <w:vMerge w:val="restart"/>
            <w:vAlign w:val="center"/>
          </w:tcPr>
          <w:p w14:paraId="3D49311C" w14:textId="77777777" w:rsidR="00FE48D0" w:rsidRPr="00AD30CA" w:rsidRDefault="00FE48D0" w:rsidP="003F39BA">
            <w:pPr>
              <w:spacing w:after="0" w:line="240" w:lineRule="auto"/>
              <w:jc w:val="center"/>
              <w:rPr>
                <w:sz w:val="18"/>
                <w:szCs w:val="18"/>
                <w:vertAlign w:val="superscript"/>
              </w:rPr>
            </w:pPr>
            <w:r w:rsidRPr="00AD30CA">
              <w:rPr>
                <w:sz w:val="18"/>
                <w:szCs w:val="18"/>
              </w:rPr>
              <w:t>Total number of procedures performed during trial 12-month measurement period</w:t>
            </w:r>
          </w:p>
        </w:tc>
        <w:tc>
          <w:tcPr>
            <w:tcW w:w="1134" w:type="dxa"/>
            <w:vMerge w:val="restart"/>
            <w:vAlign w:val="center"/>
          </w:tcPr>
          <w:p w14:paraId="3BEDC5FB" w14:textId="77777777" w:rsidR="00FE48D0" w:rsidRPr="00AD30CA" w:rsidRDefault="00FE48D0" w:rsidP="003F39BA">
            <w:pPr>
              <w:spacing w:after="0" w:line="240" w:lineRule="auto"/>
              <w:jc w:val="center"/>
              <w:rPr>
                <w:sz w:val="18"/>
                <w:szCs w:val="18"/>
              </w:rPr>
            </w:pPr>
            <w:r w:rsidRPr="00AD30CA">
              <w:rPr>
                <w:sz w:val="18"/>
                <w:szCs w:val="18"/>
              </w:rPr>
              <w:t>Procedures where records were provided (included in QIST analysis) (n, % of total procedures performed)</w:t>
            </w:r>
          </w:p>
        </w:tc>
        <w:tc>
          <w:tcPr>
            <w:tcW w:w="1417" w:type="dxa"/>
            <w:vMerge w:val="restart"/>
          </w:tcPr>
          <w:p w14:paraId="2BD1119D" w14:textId="77777777" w:rsidR="00FE48D0" w:rsidRPr="00AD30CA" w:rsidRDefault="00FE48D0" w:rsidP="003F39BA">
            <w:pPr>
              <w:spacing w:after="0" w:line="240" w:lineRule="auto"/>
              <w:jc w:val="center"/>
              <w:rPr>
                <w:sz w:val="18"/>
                <w:szCs w:val="18"/>
              </w:rPr>
            </w:pPr>
            <w:r w:rsidRPr="00AD30CA">
              <w:rPr>
                <w:sz w:val="18"/>
                <w:szCs w:val="18"/>
              </w:rPr>
              <w:t>Procedures for which pre-op anaemia screening pathway was implemented as part of QIST</w:t>
            </w:r>
            <w:r w:rsidRPr="00AD30CA">
              <w:rPr>
                <w:sz w:val="18"/>
                <w:szCs w:val="18"/>
                <w:vertAlign w:val="superscript"/>
              </w:rPr>
              <w:t>a</w:t>
            </w:r>
            <w:r w:rsidRPr="00AD30CA">
              <w:rPr>
                <w:sz w:val="18"/>
                <w:szCs w:val="18"/>
              </w:rPr>
              <w:t xml:space="preserve"> (n, % of total procedures performed)</w:t>
            </w:r>
          </w:p>
        </w:tc>
        <w:tc>
          <w:tcPr>
            <w:tcW w:w="993" w:type="dxa"/>
            <w:vMerge w:val="restart"/>
            <w:vAlign w:val="center"/>
          </w:tcPr>
          <w:p w14:paraId="0E9D8F4D" w14:textId="77777777" w:rsidR="00FE48D0" w:rsidRPr="00AD30CA" w:rsidRDefault="00FE48D0" w:rsidP="003F39BA">
            <w:pPr>
              <w:spacing w:after="0" w:line="240" w:lineRule="auto"/>
              <w:jc w:val="center"/>
              <w:rPr>
                <w:sz w:val="18"/>
                <w:szCs w:val="18"/>
              </w:rPr>
            </w:pPr>
            <w:r w:rsidRPr="00AD30CA">
              <w:rPr>
                <w:sz w:val="18"/>
                <w:szCs w:val="18"/>
              </w:rPr>
              <w:t>Reported potential SSIs, n</w:t>
            </w:r>
          </w:p>
        </w:tc>
        <w:tc>
          <w:tcPr>
            <w:tcW w:w="1134" w:type="dxa"/>
            <w:vMerge w:val="restart"/>
            <w:vAlign w:val="center"/>
          </w:tcPr>
          <w:p w14:paraId="4D8F3997" w14:textId="77777777" w:rsidR="00FE48D0" w:rsidRPr="00AD30CA" w:rsidRDefault="00FE48D0" w:rsidP="003F39BA">
            <w:pPr>
              <w:spacing w:after="0" w:line="240" w:lineRule="auto"/>
              <w:jc w:val="center"/>
              <w:rPr>
                <w:sz w:val="18"/>
                <w:szCs w:val="18"/>
              </w:rPr>
            </w:pPr>
            <w:r w:rsidRPr="00AD30CA">
              <w:rPr>
                <w:sz w:val="18"/>
                <w:szCs w:val="18"/>
              </w:rPr>
              <w:t>All SSIs confirmed by IOC</w:t>
            </w:r>
            <w:r w:rsidRPr="00AD30CA">
              <w:rPr>
                <w:sz w:val="18"/>
                <w:szCs w:val="18"/>
                <w:vertAlign w:val="superscript"/>
              </w:rPr>
              <w:t>b</w:t>
            </w:r>
            <w:r w:rsidRPr="00AD30CA">
              <w:rPr>
                <w:sz w:val="18"/>
                <w:szCs w:val="18"/>
              </w:rPr>
              <w:t xml:space="preserve"> (n, % of reported potential SSIs)</w:t>
            </w:r>
          </w:p>
        </w:tc>
        <w:tc>
          <w:tcPr>
            <w:tcW w:w="1275" w:type="dxa"/>
            <w:vMerge w:val="restart"/>
            <w:vAlign w:val="center"/>
          </w:tcPr>
          <w:p w14:paraId="0AA12DAD" w14:textId="77777777" w:rsidR="00FE48D0" w:rsidRPr="00AD30CA" w:rsidRDefault="00FE48D0" w:rsidP="003F39BA">
            <w:pPr>
              <w:spacing w:after="0" w:line="240" w:lineRule="auto"/>
              <w:jc w:val="center"/>
              <w:rPr>
                <w:sz w:val="18"/>
                <w:szCs w:val="18"/>
              </w:rPr>
            </w:pPr>
            <w:r w:rsidRPr="00AD30CA">
              <w:rPr>
                <w:sz w:val="18"/>
                <w:szCs w:val="18"/>
              </w:rPr>
              <w:t>IOC confirmed deep SSIs by causative organism (n, % of procedures included in QIST)</w:t>
            </w:r>
          </w:p>
        </w:tc>
        <w:tc>
          <w:tcPr>
            <w:tcW w:w="1037" w:type="dxa"/>
            <w:vMerge w:val="restart"/>
            <w:vAlign w:val="center"/>
          </w:tcPr>
          <w:p w14:paraId="6461F4D3" w14:textId="77777777" w:rsidR="00FE48D0" w:rsidRPr="00AD30CA" w:rsidRDefault="00FE48D0" w:rsidP="003F39BA">
            <w:pPr>
              <w:spacing w:after="0" w:line="240" w:lineRule="auto"/>
              <w:jc w:val="center"/>
              <w:rPr>
                <w:sz w:val="18"/>
                <w:szCs w:val="18"/>
              </w:rPr>
            </w:pPr>
            <w:r w:rsidRPr="00AD30CA">
              <w:rPr>
                <w:sz w:val="18"/>
                <w:szCs w:val="18"/>
              </w:rPr>
              <w:t>Procedures requiring blood transfusion (n, %)</w:t>
            </w:r>
          </w:p>
        </w:tc>
      </w:tr>
      <w:tr w:rsidR="00FE48D0" w:rsidRPr="00AD30CA" w14:paraId="57DCA1DA" w14:textId="77777777" w:rsidTr="003F39BA">
        <w:trPr>
          <w:trHeight w:val="1558"/>
        </w:trPr>
        <w:tc>
          <w:tcPr>
            <w:tcW w:w="637" w:type="dxa"/>
            <w:vMerge/>
            <w:vAlign w:val="center"/>
          </w:tcPr>
          <w:p w14:paraId="473FC49A" w14:textId="77777777" w:rsidR="00FE48D0" w:rsidRPr="00AD30CA" w:rsidRDefault="00FE48D0" w:rsidP="003F39BA">
            <w:pPr>
              <w:spacing w:after="0" w:line="240" w:lineRule="auto"/>
              <w:jc w:val="center"/>
              <w:rPr>
                <w:rFonts w:asciiTheme="minorHAnsi" w:eastAsiaTheme="minorHAnsi" w:hAnsiTheme="minorHAnsi" w:cstheme="minorBidi"/>
                <w:sz w:val="18"/>
                <w:szCs w:val="18"/>
                <w:lang w:eastAsia="en-US"/>
              </w:rPr>
            </w:pPr>
          </w:p>
        </w:tc>
        <w:tc>
          <w:tcPr>
            <w:tcW w:w="1343" w:type="dxa"/>
            <w:vAlign w:val="center"/>
          </w:tcPr>
          <w:p w14:paraId="7466260D" w14:textId="77777777" w:rsidR="00FE48D0" w:rsidRPr="00AD30CA" w:rsidRDefault="00FE48D0" w:rsidP="003F39BA">
            <w:pPr>
              <w:spacing w:after="0" w:line="240" w:lineRule="auto"/>
              <w:jc w:val="center"/>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Criteria used for diagnosing anaemia and iron deficiency to be treated with iron</w:t>
            </w:r>
          </w:p>
        </w:tc>
        <w:tc>
          <w:tcPr>
            <w:tcW w:w="1701" w:type="dxa"/>
            <w:vAlign w:val="center"/>
          </w:tcPr>
          <w:p w14:paraId="0DCEC653" w14:textId="77777777" w:rsidR="00FE48D0" w:rsidRPr="00AD30CA" w:rsidRDefault="00FE48D0" w:rsidP="003F39BA">
            <w:pPr>
              <w:spacing w:after="0" w:line="240" w:lineRule="auto"/>
              <w:jc w:val="center"/>
              <w:rPr>
                <w:rFonts w:asciiTheme="minorHAnsi" w:hAnsiTheme="minorHAnsi" w:cstheme="minorBidi"/>
                <w:sz w:val="18"/>
                <w:szCs w:val="18"/>
              </w:rPr>
            </w:pPr>
            <w:r w:rsidRPr="00AD30CA">
              <w:rPr>
                <w:rFonts w:asciiTheme="minorHAnsi" w:eastAsiaTheme="minorHAnsi" w:hAnsiTheme="minorHAnsi" w:cstheme="minorBidi"/>
                <w:sz w:val="18"/>
                <w:szCs w:val="18"/>
                <w:lang w:eastAsia="en-US"/>
              </w:rPr>
              <w:t>Oral iron additional criteria and treatment regimen</w:t>
            </w:r>
          </w:p>
        </w:tc>
        <w:tc>
          <w:tcPr>
            <w:tcW w:w="1276" w:type="dxa"/>
            <w:vAlign w:val="center"/>
          </w:tcPr>
          <w:p w14:paraId="509B0C88" w14:textId="77777777" w:rsidR="00FE48D0" w:rsidRPr="00AD30CA" w:rsidRDefault="00FE48D0" w:rsidP="003F39BA">
            <w:pPr>
              <w:spacing w:after="0" w:line="240" w:lineRule="auto"/>
              <w:jc w:val="center"/>
              <w:rPr>
                <w:rFonts w:asciiTheme="minorHAnsi" w:hAnsiTheme="minorHAnsi" w:cstheme="minorBidi"/>
                <w:sz w:val="18"/>
                <w:szCs w:val="18"/>
              </w:rPr>
            </w:pPr>
            <w:r w:rsidRPr="00AD30CA">
              <w:rPr>
                <w:rFonts w:asciiTheme="minorHAnsi" w:eastAsiaTheme="minorHAnsi" w:hAnsiTheme="minorHAnsi" w:cstheme="minorBidi"/>
                <w:sz w:val="18"/>
                <w:szCs w:val="18"/>
                <w:lang w:eastAsia="en-US"/>
              </w:rPr>
              <w:t>IV iron additional criteria and treatment regimen</w:t>
            </w:r>
          </w:p>
        </w:tc>
        <w:tc>
          <w:tcPr>
            <w:tcW w:w="1417" w:type="dxa"/>
            <w:vAlign w:val="center"/>
          </w:tcPr>
          <w:p w14:paraId="673CA7F4" w14:textId="77777777" w:rsidR="00FE48D0" w:rsidRPr="00AD30CA" w:rsidRDefault="00FE48D0" w:rsidP="003F39BA">
            <w:pPr>
              <w:spacing w:after="0" w:line="240" w:lineRule="auto"/>
              <w:jc w:val="center"/>
              <w:rPr>
                <w:rFonts w:asciiTheme="minorHAnsi" w:hAnsiTheme="minorHAnsi" w:cstheme="minorBidi"/>
                <w:sz w:val="18"/>
                <w:szCs w:val="18"/>
              </w:rPr>
            </w:pPr>
            <w:r w:rsidRPr="00AD30CA">
              <w:rPr>
                <w:rFonts w:asciiTheme="minorHAnsi" w:eastAsiaTheme="minorHAnsi" w:hAnsiTheme="minorHAnsi" w:cstheme="minorBidi"/>
                <w:sz w:val="18"/>
                <w:szCs w:val="18"/>
                <w:lang w:eastAsia="en-US"/>
              </w:rPr>
              <w:t>Criteria used for referral for further investigation of anaemia prior to surgery</w:t>
            </w:r>
          </w:p>
        </w:tc>
        <w:tc>
          <w:tcPr>
            <w:tcW w:w="1276" w:type="dxa"/>
            <w:vMerge/>
          </w:tcPr>
          <w:p w14:paraId="1D0420B9" w14:textId="77777777" w:rsidR="00FE48D0" w:rsidRPr="00AD30CA" w:rsidRDefault="00FE48D0" w:rsidP="003F39BA">
            <w:pPr>
              <w:spacing w:after="0" w:line="240" w:lineRule="auto"/>
              <w:jc w:val="center"/>
              <w:rPr>
                <w:sz w:val="18"/>
                <w:szCs w:val="18"/>
              </w:rPr>
            </w:pPr>
          </w:p>
        </w:tc>
        <w:tc>
          <w:tcPr>
            <w:tcW w:w="1134" w:type="dxa"/>
            <w:vMerge/>
          </w:tcPr>
          <w:p w14:paraId="42680DF5" w14:textId="77777777" w:rsidR="00FE48D0" w:rsidRPr="00AD30CA" w:rsidRDefault="00FE48D0" w:rsidP="003F39BA">
            <w:pPr>
              <w:spacing w:after="0" w:line="240" w:lineRule="auto"/>
              <w:jc w:val="center"/>
              <w:rPr>
                <w:sz w:val="18"/>
                <w:szCs w:val="18"/>
              </w:rPr>
            </w:pPr>
          </w:p>
        </w:tc>
        <w:tc>
          <w:tcPr>
            <w:tcW w:w="1417" w:type="dxa"/>
            <w:vMerge/>
          </w:tcPr>
          <w:p w14:paraId="2CEC450D" w14:textId="77777777" w:rsidR="00FE48D0" w:rsidRPr="00AD30CA" w:rsidRDefault="00FE48D0" w:rsidP="003F39BA">
            <w:pPr>
              <w:spacing w:after="0" w:line="240" w:lineRule="auto"/>
              <w:jc w:val="center"/>
              <w:rPr>
                <w:rFonts w:asciiTheme="minorHAnsi" w:hAnsiTheme="minorHAnsi" w:cstheme="minorBidi"/>
                <w:sz w:val="18"/>
                <w:szCs w:val="18"/>
              </w:rPr>
            </w:pPr>
          </w:p>
        </w:tc>
        <w:tc>
          <w:tcPr>
            <w:tcW w:w="993" w:type="dxa"/>
            <w:vMerge/>
            <w:vAlign w:val="center"/>
          </w:tcPr>
          <w:p w14:paraId="7F21BD6A" w14:textId="77777777" w:rsidR="00FE48D0" w:rsidRPr="00AD30CA" w:rsidRDefault="00FE48D0" w:rsidP="003F39BA">
            <w:pPr>
              <w:spacing w:after="0" w:line="240" w:lineRule="auto"/>
              <w:jc w:val="center"/>
              <w:rPr>
                <w:rFonts w:asciiTheme="minorHAnsi" w:hAnsiTheme="minorHAnsi" w:cstheme="minorBidi"/>
                <w:sz w:val="18"/>
                <w:szCs w:val="18"/>
              </w:rPr>
            </w:pPr>
          </w:p>
        </w:tc>
        <w:tc>
          <w:tcPr>
            <w:tcW w:w="1134" w:type="dxa"/>
            <w:vMerge/>
            <w:vAlign w:val="center"/>
          </w:tcPr>
          <w:p w14:paraId="4C6C8677" w14:textId="77777777" w:rsidR="00FE48D0" w:rsidRPr="00AD30CA" w:rsidRDefault="00FE48D0" w:rsidP="003F39BA">
            <w:pPr>
              <w:spacing w:after="0" w:line="240" w:lineRule="auto"/>
              <w:jc w:val="center"/>
              <w:rPr>
                <w:rFonts w:asciiTheme="minorHAnsi" w:hAnsiTheme="minorHAnsi" w:cstheme="minorBidi"/>
                <w:sz w:val="18"/>
                <w:szCs w:val="18"/>
              </w:rPr>
            </w:pPr>
          </w:p>
        </w:tc>
        <w:tc>
          <w:tcPr>
            <w:tcW w:w="1275" w:type="dxa"/>
            <w:vMerge/>
          </w:tcPr>
          <w:p w14:paraId="7A6F5FEA" w14:textId="77777777" w:rsidR="00FE48D0" w:rsidRPr="00AD30CA" w:rsidRDefault="00FE48D0" w:rsidP="003F39BA">
            <w:pPr>
              <w:spacing w:after="0" w:line="240" w:lineRule="auto"/>
              <w:jc w:val="center"/>
              <w:rPr>
                <w:sz w:val="18"/>
                <w:szCs w:val="18"/>
              </w:rPr>
            </w:pPr>
          </w:p>
        </w:tc>
        <w:tc>
          <w:tcPr>
            <w:tcW w:w="1037" w:type="dxa"/>
            <w:vMerge/>
            <w:vAlign w:val="center"/>
          </w:tcPr>
          <w:p w14:paraId="1DBF884D" w14:textId="77777777" w:rsidR="00FE48D0" w:rsidRPr="00AD30CA" w:rsidRDefault="00FE48D0" w:rsidP="003F39BA">
            <w:pPr>
              <w:spacing w:after="0" w:line="240" w:lineRule="auto"/>
              <w:jc w:val="center"/>
              <w:rPr>
                <w:rFonts w:asciiTheme="minorHAnsi" w:hAnsiTheme="minorHAnsi" w:cstheme="minorBidi"/>
                <w:sz w:val="18"/>
                <w:szCs w:val="18"/>
              </w:rPr>
            </w:pPr>
          </w:p>
        </w:tc>
      </w:tr>
      <w:tr w:rsidR="00FE48D0" w:rsidRPr="00AD30CA" w14:paraId="31BE515A" w14:textId="77777777" w:rsidTr="003F39BA">
        <w:trPr>
          <w:trHeight w:val="605"/>
        </w:trPr>
        <w:tc>
          <w:tcPr>
            <w:tcW w:w="637" w:type="dxa"/>
          </w:tcPr>
          <w:p w14:paraId="463A04A8"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17</w:t>
            </w:r>
          </w:p>
        </w:tc>
        <w:tc>
          <w:tcPr>
            <w:tcW w:w="1343" w:type="dxa"/>
          </w:tcPr>
          <w:p w14:paraId="3AD1806A"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M: Hb 115-129g/L</w:t>
            </w:r>
          </w:p>
          <w:p w14:paraId="1238451E"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 xml:space="preserve">F: Hb 105 – 119g/L </w:t>
            </w:r>
          </w:p>
          <w:p w14:paraId="13C044E0"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&amp; Ferritin: 12-100 &amp; ESR &lt;50</w:t>
            </w:r>
          </w:p>
        </w:tc>
        <w:tc>
          <w:tcPr>
            <w:tcW w:w="1701" w:type="dxa"/>
          </w:tcPr>
          <w:p w14:paraId="521F08F6"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4 weeks ferrous sulfate 200mg TDS</w:t>
            </w:r>
          </w:p>
          <w:p w14:paraId="0BA79911"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p>
          <w:p w14:paraId="37A7D088"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Repeat bloods after 1 month</w:t>
            </w:r>
          </w:p>
        </w:tc>
        <w:tc>
          <w:tcPr>
            <w:tcW w:w="1276" w:type="dxa"/>
          </w:tcPr>
          <w:p w14:paraId="3BF7C374"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If eGFR &lt;50 or intolerance or failure of oral iron to correct anaemia</w:t>
            </w:r>
          </w:p>
        </w:tc>
        <w:tc>
          <w:tcPr>
            <w:tcW w:w="1417" w:type="dxa"/>
          </w:tcPr>
          <w:p w14:paraId="2B120F03"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Hb M &lt; 115</w:t>
            </w:r>
            <w:r w:rsidRPr="00AD30CA">
              <w:rPr>
                <w:rFonts w:asciiTheme="minorHAnsi" w:eastAsiaTheme="minorHAnsi" w:hAnsiTheme="minorHAnsi" w:cstheme="minorBidi"/>
                <w:sz w:val="18"/>
                <w:szCs w:val="18"/>
                <w:lang w:eastAsia="en-US"/>
              </w:rPr>
              <w:br/>
              <w:t xml:space="preserve">       F &lt; 105</w:t>
            </w:r>
            <w:r w:rsidRPr="00AD30CA">
              <w:rPr>
                <w:rFonts w:asciiTheme="minorHAnsi" w:eastAsiaTheme="minorHAnsi" w:hAnsiTheme="minorHAnsi" w:cstheme="minorBidi"/>
                <w:sz w:val="18"/>
                <w:szCs w:val="18"/>
                <w:lang w:eastAsia="en-US"/>
              </w:rPr>
              <w:br/>
              <w:t>or Ferritin &lt; 12</w:t>
            </w:r>
          </w:p>
          <w:p w14:paraId="6ED69FB5"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or ESR &gt; 50</w:t>
            </w:r>
          </w:p>
        </w:tc>
        <w:tc>
          <w:tcPr>
            <w:tcW w:w="1276" w:type="dxa"/>
          </w:tcPr>
          <w:p w14:paraId="3AB9D6BE"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672</w:t>
            </w:r>
          </w:p>
        </w:tc>
        <w:tc>
          <w:tcPr>
            <w:tcW w:w="1134" w:type="dxa"/>
          </w:tcPr>
          <w:p w14:paraId="067017C2"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656 (97.6)</w:t>
            </w:r>
          </w:p>
        </w:tc>
        <w:tc>
          <w:tcPr>
            <w:tcW w:w="1417" w:type="dxa"/>
          </w:tcPr>
          <w:p w14:paraId="154C3410"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611 (90.9)</w:t>
            </w:r>
          </w:p>
        </w:tc>
        <w:tc>
          <w:tcPr>
            <w:tcW w:w="993" w:type="dxa"/>
          </w:tcPr>
          <w:p w14:paraId="27760156"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25</w:t>
            </w:r>
          </w:p>
        </w:tc>
        <w:tc>
          <w:tcPr>
            <w:tcW w:w="1134" w:type="dxa"/>
          </w:tcPr>
          <w:p w14:paraId="751E0A91" w14:textId="77777777" w:rsidR="00FE48D0" w:rsidRPr="00AD30CA" w:rsidRDefault="00FE48D0" w:rsidP="003F39BA">
            <w:pPr>
              <w:spacing w:after="0" w:line="240" w:lineRule="auto"/>
              <w:rPr>
                <w:sz w:val="18"/>
                <w:szCs w:val="18"/>
              </w:rPr>
            </w:pPr>
            <w:r w:rsidRPr="00AD30CA">
              <w:rPr>
                <w:sz w:val="18"/>
                <w:szCs w:val="18"/>
              </w:rPr>
              <w:t>7 (28)</w:t>
            </w:r>
          </w:p>
        </w:tc>
        <w:tc>
          <w:tcPr>
            <w:tcW w:w="1275" w:type="dxa"/>
          </w:tcPr>
          <w:p w14:paraId="1C886413" w14:textId="77777777" w:rsidR="00FE48D0" w:rsidRPr="00AD30CA" w:rsidRDefault="00FE48D0" w:rsidP="003F39BA">
            <w:pPr>
              <w:spacing w:after="0" w:line="240" w:lineRule="auto"/>
              <w:rPr>
                <w:sz w:val="18"/>
                <w:szCs w:val="18"/>
              </w:rPr>
            </w:pPr>
            <w:r w:rsidRPr="00AD30CA">
              <w:rPr>
                <w:sz w:val="18"/>
                <w:szCs w:val="18"/>
              </w:rPr>
              <w:t>MSSA: 1 (0.2)</w:t>
            </w:r>
          </w:p>
          <w:p w14:paraId="3773E912" w14:textId="77777777" w:rsidR="00FE48D0" w:rsidRPr="00AD30CA" w:rsidRDefault="00FE48D0" w:rsidP="003F39BA">
            <w:pPr>
              <w:spacing w:after="0" w:line="240" w:lineRule="auto"/>
              <w:rPr>
                <w:rFonts w:asciiTheme="minorHAnsi" w:hAnsiTheme="minorHAnsi" w:cstheme="minorBidi"/>
                <w:sz w:val="18"/>
                <w:szCs w:val="18"/>
              </w:rPr>
            </w:pPr>
            <w:r w:rsidRPr="00AD30CA">
              <w:rPr>
                <w:sz w:val="18"/>
                <w:szCs w:val="18"/>
              </w:rPr>
              <w:t>Any</w:t>
            </w:r>
            <w:r w:rsidRPr="00AD30CA">
              <w:rPr>
                <w:sz w:val="18"/>
                <w:szCs w:val="18"/>
                <w:vertAlign w:val="superscript"/>
              </w:rPr>
              <w:t>c</w:t>
            </w:r>
            <w:r w:rsidRPr="00AD30CA">
              <w:rPr>
                <w:sz w:val="18"/>
                <w:szCs w:val="18"/>
              </w:rPr>
              <w:t>: 3 (0.5)</w:t>
            </w:r>
          </w:p>
        </w:tc>
        <w:tc>
          <w:tcPr>
            <w:tcW w:w="1037" w:type="dxa"/>
          </w:tcPr>
          <w:p w14:paraId="74C12BE8"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8 (1.2)</w:t>
            </w:r>
          </w:p>
        </w:tc>
      </w:tr>
      <w:tr w:rsidR="00FE48D0" w:rsidRPr="00AD30CA" w14:paraId="70DB8FFC" w14:textId="77777777" w:rsidTr="003F39BA">
        <w:trPr>
          <w:trHeight w:val="605"/>
        </w:trPr>
        <w:tc>
          <w:tcPr>
            <w:tcW w:w="637" w:type="dxa"/>
          </w:tcPr>
          <w:p w14:paraId="6D43BD17"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18</w:t>
            </w:r>
          </w:p>
        </w:tc>
        <w:tc>
          <w:tcPr>
            <w:tcW w:w="1343" w:type="dxa"/>
          </w:tcPr>
          <w:p w14:paraId="5AB9FB90"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M: Hb 115-129g/L &amp; Ferritin 40-300</w:t>
            </w:r>
          </w:p>
          <w:p w14:paraId="2BF4A5D8"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F: Hb 105 – 119g/L &amp; Ferritin 28-200</w:t>
            </w:r>
          </w:p>
        </w:tc>
        <w:tc>
          <w:tcPr>
            <w:tcW w:w="1701" w:type="dxa"/>
          </w:tcPr>
          <w:p w14:paraId="638B23D6"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eGFR &gt;50</w:t>
            </w:r>
          </w:p>
          <w:p w14:paraId="6BEAB6CF"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One month oral iron then check response.</w:t>
            </w:r>
          </w:p>
          <w:p w14:paraId="26741CE2"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p>
        </w:tc>
        <w:tc>
          <w:tcPr>
            <w:tcW w:w="1276" w:type="dxa"/>
          </w:tcPr>
          <w:p w14:paraId="4F84E357"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eGFR &lt;50 or intolerance or no increase of Hb with oral iron</w:t>
            </w:r>
          </w:p>
        </w:tc>
        <w:tc>
          <w:tcPr>
            <w:tcW w:w="1417" w:type="dxa"/>
          </w:tcPr>
          <w:p w14:paraId="38126742"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 xml:space="preserve">Hb </w:t>
            </w:r>
          </w:p>
          <w:p w14:paraId="351022F9"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 xml:space="preserve">&lt;115 Male </w:t>
            </w:r>
          </w:p>
          <w:p w14:paraId="471A75AF"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&lt;105 female</w:t>
            </w:r>
          </w:p>
        </w:tc>
        <w:tc>
          <w:tcPr>
            <w:tcW w:w="1276" w:type="dxa"/>
          </w:tcPr>
          <w:p w14:paraId="5D21A280"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2805</w:t>
            </w:r>
          </w:p>
        </w:tc>
        <w:tc>
          <w:tcPr>
            <w:tcW w:w="1134" w:type="dxa"/>
          </w:tcPr>
          <w:p w14:paraId="6E63DFDD"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1474 (52.5)</w:t>
            </w:r>
          </w:p>
        </w:tc>
        <w:tc>
          <w:tcPr>
            <w:tcW w:w="1417" w:type="dxa"/>
          </w:tcPr>
          <w:p w14:paraId="0890198C"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1451 (51.7)</w:t>
            </w:r>
          </w:p>
        </w:tc>
        <w:tc>
          <w:tcPr>
            <w:tcW w:w="993" w:type="dxa"/>
          </w:tcPr>
          <w:p w14:paraId="1B30D7DE"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21</w:t>
            </w:r>
          </w:p>
        </w:tc>
        <w:tc>
          <w:tcPr>
            <w:tcW w:w="1134" w:type="dxa"/>
          </w:tcPr>
          <w:p w14:paraId="3BD6287B"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10 (48)</w:t>
            </w:r>
          </w:p>
        </w:tc>
        <w:tc>
          <w:tcPr>
            <w:tcW w:w="1275" w:type="dxa"/>
          </w:tcPr>
          <w:p w14:paraId="21DBBF71" w14:textId="77777777" w:rsidR="00FE48D0" w:rsidRPr="00AD30CA" w:rsidRDefault="00FE48D0" w:rsidP="003F39BA">
            <w:pPr>
              <w:spacing w:after="0" w:line="240" w:lineRule="auto"/>
              <w:rPr>
                <w:sz w:val="18"/>
                <w:szCs w:val="18"/>
              </w:rPr>
            </w:pPr>
            <w:r w:rsidRPr="00AD30CA">
              <w:rPr>
                <w:sz w:val="18"/>
                <w:szCs w:val="18"/>
              </w:rPr>
              <w:t>MSSA: 1 (0.1)</w:t>
            </w:r>
          </w:p>
          <w:p w14:paraId="064C13D7" w14:textId="77777777" w:rsidR="00FE48D0" w:rsidRPr="00AD30CA" w:rsidRDefault="00FE48D0" w:rsidP="003F39BA">
            <w:pPr>
              <w:spacing w:after="0" w:line="240" w:lineRule="auto"/>
              <w:rPr>
                <w:rFonts w:asciiTheme="minorHAnsi" w:hAnsiTheme="minorHAnsi" w:cstheme="minorBidi"/>
                <w:sz w:val="18"/>
                <w:szCs w:val="18"/>
              </w:rPr>
            </w:pPr>
            <w:r w:rsidRPr="00AD30CA">
              <w:rPr>
                <w:sz w:val="18"/>
                <w:szCs w:val="18"/>
              </w:rPr>
              <w:t>Any</w:t>
            </w:r>
            <w:r w:rsidRPr="00AD30CA">
              <w:rPr>
                <w:sz w:val="18"/>
                <w:szCs w:val="18"/>
                <w:vertAlign w:val="superscript"/>
              </w:rPr>
              <w:t>c</w:t>
            </w:r>
            <w:r w:rsidRPr="00AD30CA">
              <w:rPr>
                <w:sz w:val="18"/>
                <w:szCs w:val="18"/>
              </w:rPr>
              <w:t>: 5 (0.3)</w:t>
            </w:r>
          </w:p>
        </w:tc>
        <w:tc>
          <w:tcPr>
            <w:tcW w:w="1037" w:type="dxa"/>
          </w:tcPr>
          <w:p w14:paraId="2FA1E504"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23 (1.6)</w:t>
            </w:r>
          </w:p>
        </w:tc>
      </w:tr>
      <w:tr w:rsidR="00FE48D0" w:rsidRPr="00AD30CA" w14:paraId="1DE91590" w14:textId="77777777" w:rsidTr="003F39BA">
        <w:trPr>
          <w:trHeight w:val="295"/>
        </w:trPr>
        <w:tc>
          <w:tcPr>
            <w:tcW w:w="637" w:type="dxa"/>
          </w:tcPr>
          <w:p w14:paraId="322FA5F7"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19</w:t>
            </w:r>
          </w:p>
        </w:tc>
        <w:tc>
          <w:tcPr>
            <w:tcW w:w="1343" w:type="dxa"/>
          </w:tcPr>
          <w:p w14:paraId="68FED277"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 xml:space="preserve">105&lt;Hb&lt;130 </w:t>
            </w:r>
          </w:p>
          <w:p w14:paraId="12DD01FD"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&amp; 30&lt;Ferritin&lt;200</w:t>
            </w:r>
          </w:p>
        </w:tc>
        <w:tc>
          <w:tcPr>
            <w:tcW w:w="1701" w:type="dxa"/>
          </w:tcPr>
          <w:p w14:paraId="43A209D2"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eGFR &gt;50</w:t>
            </w:r>
          </w:p>
          <w:p w14:paraId="3A5F9EFF"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Treatment “oral iron” type, dose and duration unknown</w:t>
            </w:r>
          </w:p>
        </w:tc>
        <w:tc>
          <w:tcPr>
            <w:tcW w:w="1276" w:type="dxa"/>
          </w:tcPr>
          <w:p w14:paraId="01637116"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eGFR&lt;50</w:t>
            </w:r>
          </w:p>
          <w:p w14:paraId="5EF6014D"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Treatment “IV iron” type, dose and duration unknown</w:t>
            </w:r>
          </w:p>
        </w:tc>
        <w:tc>
          <w:tcPr>
            <w:tcW w:w="1417" w:type="dxa"/>
          </w:tcPr>
          <w:p w14:paraId="1E9CDC8A"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Hb&lt;105</w:t>
            </w:r>
          </w:p>
        </w:tc>
        <w:tc>
          <w:tcPr>
            <w:tcW w:w="1276" w:type="dxa"/>
          </w:tcPr>
          <w:p w14:paraId="02C558DA"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879</w:t>
            </w:r>
          </w:p>
        </w:tc>
        <w:tc>
          <w:tcPr>
            <w:tcW w:w="1134" w:type="dxa"/>
          </w:tcPr>
          <w:p w14:paraId="67EE57F1"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458 (52.1)</w:t>
            </w:r>
          </w:p>
        </w:tc>
        <w:tc>
          <w:tcPr>
            <w:tcW w:w="1417" w:type="dxa"/>
          </w:tcPr>
          <w:p w14:paraId="3DB0B3F6"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442 (50.3)</w:t>
            </w:r>
          </w:p>
        </w:tc>
        <w:tc>
          <w:tcPr>
            <w:tcW w:w="993" w:type="dxa"/>
          </w:tcPr>
          <w:p w14:paraId="3EF4B511"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9</w:t>
            </w:r>
          </w:p>
        </w:tc>
        <w:tc>
          <w:tcPr>
            <w:tcW w:w="1134" w:type="dxa"/>
          </w:tcPr>
          <w:p w14:paraId="4CD318B4"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8 (89)</w:t>
            </w:r>
          </w:p>
        </w:tc>
        <w:tc>
          <w:tcPr>
            <w:tcW w:w="1275" w:type="dxa"/>
          </w:tcPr>
          <w:p w14:paraId="59678ED3" w14:textId="77777777" w:rsidR="00FE48D0" w:rsidRPr="00AD30CA" w:rsidRDefault="00FE48D0" w:rsidP="003F39BA">
            <w:pPr>
              <w:spacing w:after="0" w:line="240" w:lineRule="auto"/>
              <w:rPr>
                <w:sz w:val="18"/>
                <w:szCs w:val="18"/>
              </w:rPr>
            </w:pPr>
            <w:r w:rsidRPr="00AD30CA">
              <w:rPr>
                <w:sz w:val="18"/>
                <w:szCs w:val="18"/>
              </w:rPr>
              <w:t>MSSA: 3 (0.7)</w:t>
            </w:r>
          </w:p>
          <w:p w14:paraId="74DF21E5" w14:textId="77777777" w:rsidR="00FE48D0" w:rsidRPr="00AD30CA" w:rsidRDefault="00FE48D0" w:rsidP="003F39BA">
            <w:pPr>
              <w:spacing w:after="0" w:line="240" w:lineRule="auto"/>
              <w:rPr>
                <w:rFonts w:asciiTheme="minorHAnsi" w:hAnsiTheme="minorHAnsi" w:cstheme="minorBidi"/>
                <w:sz w:val="18"/>
                <w:szCs w:val="18"/>
              </w:rPr>
            </w:pPr>
            <w:r w:rsidRPr="00AD30CA">
              <w:rPr>
                <w:sz w:val="18"/>
                <w:szCs w:val="18"/>
              </w:rPr>
              <w:t>Any</w:t>
            </w:r>
            <w:r w:rsidRPr="00AD30CA">
              <w:rPr>
                <w:sz w:val="18"/>
                <w:szCs w:val="18"/>
                <w:vertAlign w:val="superscript"/>
              </w:rPr>
              <w:t>c</w:t>
            </w:r>
            <w:r w:rsidRPr="00AD30CA">
              <w:rPr>
                <w:sz w:val="18"/>
                <w:szCs w:val="18"/>
              </w:rPr>
              <w:t>: 5 (1.1)</w:t>
            </w:r>
          </w:p>
        </w:tc>
        <w:tc>
          <w:tcPr>
            <w:tcW w:w="1037" w:type="dxa"/>
          </w:tcPr>
          <w:p w14:paraId="2F2447F4"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8 (1.8)</w:t>
            </w:r>
          </w:p>
        </w:tc>
      </w:tr>
      <w:tr w:rsidR="00FE48D0" w:rsidRPr="00AD30CA" w14:paraId="2E501C5C" w14:textId="77777777" w:rsidTr="003F39BA">
        <w:trPr>
          <w:trHeight w:val="295"/>
        </w:trPr>
        <w:tc>
          <w:tcPr>
            <w:tcW w:w="637" w:type="dxa"/>
          </w:tcPr>
          <w:p w14:paraId="11ECF874"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20</w:t>
            </w:r>
          </w:p>
        </w:tc>
        <w:tc>
          <w:tcPr>
            <w:tcW w:w="1343" w:type="dxa"/>
          </w:tcPr>
          <w:p w14:paraId="4B042406"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105&lt;Hb&lt;119</w:t>
            </w:r>
          </w:p>
          <w:p w14:paraId="78E6E89F"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Ferritin 15-100</w:t>
            </w:r>
          </w:p>
        </w:tc>
        <w:tc>
          <w:tcPr>
            <w:tcW w:w="1701" w:type="dxa"/>
          </w:tcPr>
          <w:p w14:paraId="4D7711EC"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CRP ≤5 &amp; eGFR ≥44</w:t>
            </w:r>
          </w:p>
          <w:p w14:paraId="6BF775CE"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Check Hb response after 4 weeks. Continue until surgery if Hb improving</w:t>
            </w:r>
          </w:p>
        </w:tc>
        <w:tc>
          <w:tcPr>
            <w:tcW w:w="1276" w:type="dxa"/>
          </w:tcPr>
          <w:p w14:paraId="0F6F4F55"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CRP &gt;5 or eGFR &lt;44</w:t>
            </w:r>
          </w:p>
          <w:p w14:paraId="3C432E25"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Or if Hb not increasing after 4 weeks of oral iron</w:t>
            </w:r>
          </w:p>
        </w:tc>
        <w:tc>
          <w:tcPr>
            <w:tcW w:w="1417" w:type="dxa"/>
          </w:tcPr>
          <w:p w14:paraId="784E191B"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 xml:space="preserve">Hb &lt;105 </w:t>
            </w:r>
          </w:p>
          <w:p w14:paraId="67260E94"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or ferritin &lt;15</w:t>
            </w:r>
          </w:p>
        </w:tc>
        <w:tc>
          <w:tcPr>
            <w:tcW w:w="1276" w:type="dxa"/>
          </w:tcPr>
          <w:p w14:paraId="3A0A21A7"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398</w:t>
            </w:r>
          </w:p>
        </w:tc>
        <w:tc>
          <w:tcPr>
            <w:tcW w:w="1134" w:type="dxa"/>
          </w:tcPr>
          <w:p w14:paraId="31B9CDFF"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322 (80.9)</w:t>
            </w:r>
          </w:p>
        </w:tc>
        <w:tc>
          <w:tcPr>
            <w:tcW w:w="1417" w:type="dxa"/>
          </w:tcPr>
          <w:p w14:paraId="402090AB"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315 (79.1)</w:t>
            </w:r>
          </w:p>
        </w:tc>
        <w:tc>
          <w:tcPr>
            <w:tcW w:w="993" w:type="dxa"/>
          </w:tcPr>
          <w:p w14:paraId="3C5AD294"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14</w:t>
            </w:r>
          </w:p>
        </w:tc>
        <w:tc>
          <w:tcPr>
            <w:tcW w:w="1134" w:type="dxa"/>
          </w:tcPr>
          <w:p w14:paraId="034D452C"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6 (43)</w:t>
            </w:r>
          </w:p>
        </w:tc>
        <w:tc>
          <w:tcPr>
            <w:tcW w:w="1275" w:type="dxa"/>
          </w:tcPr>
          <w:p w14:paraId="46634E73" w14:textId="77777777" w:rsidR="00FE48D0" w:rsidRPr="00AD30CA" w:rsidRDefault="00FE48D0" w:rsidP="003F39BA">
            <w:pPr>
              <w:spacing w:after="0" w:line="240" w:lineRule="auto"/>
              <w:rPr>
                <w:sz w:val="18"/>
                <w:szCs w:val="18"/>
              </w:rPr>
            </w:pPr>
            <w:r w:rsidRPr="00AD30CA">
              <w:rPr>
                <w:sz w:val="18"/>
                <w:szCs w:val="18"/>
              </w:rPr>
              <w:t>MSSA: 0 (0.0)</w:t>
            </w:r>
          </w:p>
          <w:p w14:paraId="6AC564B9" w14:textId="77777777" w:rsidR="00FE48D0" w:rsidRPr="00AD30CA" w:rsidRDefault="00FE48D0" w:rsidP="003F39BA">
            <w:pPr>
              <w:spacing w:after="0" w:line="240" w:lineRule="auto"/>
              <w:rPr>
                <w:rFonts w:asciiTheme="minorHAnsi" w:hAnsiTheme="minorHAnsi" w:cstheme="minorBidi"/>
                <w:sz w:val="18"/>
                <w:szCs w:val="18"/>
              </w:rPr>
            </w:pPr>
            <w:r w:rsidRPr="00AD30CA">
              <w:rPr>
                <w:sz w:val="18"/>
                <w:szCs w:val="18"/>
              </w:rPr>
              <w:t>Any</w:t>
            </w:r>
            <w:r w:rsidRPr="00AD30CA">
              <w:rPr>
                <w:sz w:val="18"/>
                <w:szCs w:val="18"/>
                <w:vertAlign w:val="superscript"/>
              </w:rPr>
              <w:t>c</w:t>
            </w:r>
            <w:r w:rsidRPr="00AD30CA">
              <w:rPr>
                <w:sz w:val="18"/>
                <w:szCs w:val="18"/>
              </w:rPr>
              <w:t>: 3 (0.9)</w:t>
            </w:r>
          </w:p>
        </w:tc>
        <w:tc>
          <w:tcPr>
            <w:tcW w:w="1037" w:type="dxa"/>
          </w:tcPr>
          <w:p w14:paraId="31B600F9"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11 (3.4)</w:t>
            </w:r>
          </w:p>
        </w:tc>
      </w:tr>
      <w:tr w:rsidR="00FE48D0" w:rsidRPr="00AD30CA" w14:paraId="0E5B32C0" w14:textId="77777777" w:rsidTr="003F39BA">
        <w:trPr>
          <w:trHeight w:val="295"/>
        </w:trPr>
        <w:tc>
          <w:tcPr>
            <w:tcW w:w="637" w:type="dxa"/>
          </w:tcPr>
          <w:p w14:paraId="525CCF56"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21</w:t>
            </w:r>
          </w:p>
        </w:tc>
        <w:tc>
          <w:tcPr>
            <w:tcW w:w="1343" w:type="dxa"/>
          </w:tcPr>
          <w:p w14:paraId="4D8AEEE2"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M: Hb 115-129g/L &amp; Ferritin 23-322</w:t>
            </w:r>
          </w:p>
          <w:p w14:paraId="65FB295E"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p>
          <w:p w14:paraId="6F6EF01C"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F: Hb 105 – 119g/L &amp; Ferritin 11-291</w:t>
            </w:r>
          </w:p>
        </w:tc>
        <w:tc>
          <w:tcPr>
            <w:tcW w:w="1701" w:type="dxa"/>
          </w:tcPr>
          <w:p w14:paraId="0DFE50C5"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eGFR&gt;50</w:t>
            </w:r>
          </w:p>
          <w:p w14:paraId="706D4CF0"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28 day course ferrous sulphate. Bloods rechecked on admission for surgery.</w:t>
            </w:r>
          </w:p>
        </w:tc>
        <w:tc>
          <w:tcPr>
            <w:tcW w:w="1276" w:type="dxa"/>
          </w:tcPr>
          <w:p w14:paraId="2C2D75F2"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eGFR&lt;50</w:t>
            </w:r>
          </w:p>
          <w:p w14:paraId="671287F9"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or surgery planned within 4 weeks. Bloods rechecked on admission for surgery.</w:t>
            </w:r>
          </w:p>
        </w:tc>
        <w:tc>
          <w:tcPr>
            <w:tcW w:w="1417" w:type="dxa"/>
          </w:tcPr>
          <w:p w14:paraId="4CF74B1A"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 xml:space="preserve">M: Hb &lt;115 or </w:t>
            </w:r>
          </w:p>
          <w:p w14:paraId="4608F0A6"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323&lt; ferritin &lt;22</w:t>
            </w:r>
          </w:p>
          <w:p w14:paraId="6004DFBA"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p>
          <w:p w14:paraId="3607D117"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 xml:space="preserve">F: Hb&lt;105 or </w:t>
            </w:r>
          </w:p>
          <w:p w14:paraId="64ED361F"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292&lt; ferritin &lt;10</w:t>
            </w:r>
          </w:p>
        </w:tc>
        <w:tc>
          <w:tcPr>
            <w:tcW w:w="1276" w:type="dxa"/>
          </w:tcPr>
          <w:p w14:paraId="7B422A23"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849</w:t>
            </w:r>
          </w:p>
        </w:tc>
        <w:tc>
          <w:tcPr>
            <w:tcW w:w="1134" w:type="dxa"/>
          </w:tcPr>
          <w:p w14:paraId="3457699E"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738 (86.9)</w:t>
            </w:r>
          </w:p>
        </w:tc>
        <w:tc>
          <w:tcPr>
            <w:tcW w:w="1417" w:type="dxa"/>
          </w:tcPr>
          <w:p w14:paraId="187B9144"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617 (72.7)</w:t>
            </w:r>
          </w:p>
        </w:tc>
        <w:tc>
          <w:tcPr>
            <w:tcW w:w="993" w:type="dxa"/>
          </w:tcPr>
          <w:p w14:paraId="5780A063"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3</w:t>
            </w:r>
          </w:p>
        </w:tc>
        <w:tc>
          <w:tcPr>
            <w:tcW w:w="1134" w:type="dxa"/>
          </w:tcPr>
          <w:p w14:paraId="7C95E920"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3 (100)</w:t>
            </w:r>
          </w:p>
        </w:tc>
        <w:tc>
          <w:tcPr>
            <w:tcW w:w="1275" w:type="dxa"/>
          </w:tcPr>
          <w:p w14:paraId="1E1D77CC" w14:textId="77777777" w:rsidR="00FE48D0" w:rsidRPr="00AD30CA" w:rsidRDefault="00FE48D0" w:rsidP="003F39BA">
            <w:pPr>
              <w:spacing w:after="0" w:line="240" w:lineRule="auto"/>
              <w:rPr>
                <w:sz w:val="18"/>
                <w:szCs w:val="18"/>
              </w:rPr>
            </w:pPr>
            <w:r w:rsidRPr="00AD30CA">
              <w:rPr>
                <w:sz w:val="18"/>
                <w:szCs w:val="18"/>
              </w:rPr>
              <w:t>MSSA: 0 (0.0)</w:t>
            </w:r>
          </w:p>
          <w:p w14:paraId="6B899AA8" w14:textId="77777777" w:rsidR="00FE48D0" w:rsidRPr="00AD30CA" w:rsidRDefault="00FE48D0" w:rsidP="003F39BA">
            <w:pPr>
              <w:spacing w:after="0" w:line="240" w:lineRule="auto"/>
              <w:rPr>
                <w:rFonts w:asciiTheme="minorHAnsi" w:hAnsiTheme="minorHAnsi" w:cstheme="minorBidi"/>
                <w:sz w:val="18"/>
                <w:szCs w:val="18"/>
              </w:rPr>
            </w:pPr>
            <w:r w:rsidRPr="00AD30CA">
              <w:rPr>
                <w:sz w:val="18"/>
                <w:szCs w:val="18"/>
              </w:rPr>
              <w:t>Any</w:t>
            </w:r>
            <w:r w:rsidRPr="00AD30CA">
              <w:rPr>
                <w:sz w:val="18"/>
                <w:szCs w:val="18"/>
                <w:vertAlign w:val="superscript"/>
              </w:rPr>
              <w:t>c</w:t>
            </w:r>
            <w:r w:rsidRPr="00AD30CA">
              <w:rPr>
                <w:sz w:val="18"/>
                <w:szCs w:val="18"/>
              </w:rPr>
              <w:t>: 2 (0.3)</w:t>
            </w:r>
          </w:p>
        </w:tc>
        <w:tc>
          <w:tcPr>
            <w:tcW w:w="1037" w:type="dxa"/>
          </w:tcPr>
          <w:p w14:paraId="18FF1F29"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31 (4.2)</w:t>
            </w:r>
          </w:p>
        </w:tc>
      </w:tr>
      <w:tr w:rsidR="00FE48D0" w:rsidRPr="00AD30CA" w14:paraId="559DE4AB" w14:textId="77777777" w:rsidTr="003F39BA">
        <w:trPr>
          <w:trHeight w:val="295"/>
        </w:trPr>
        <w:tc>
          <w:tcPr>
            <w:tcW w:w="637" w:type="dxa"/>
          </w:tcPr>
          <w:p w14:paraId="5BB6B4D5"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22</w:t>
            </w:r>
          </w:p>
        </w:tc>
        <w:tc>
          <w:tcPr>
            <w:tcW w:w="1343" w:type="dxa"/>
          </w:tcPr>
          <w:p w14:paraId="0B443B5B"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M: Hb&lt;130g/L</w:t>
            </w:r>
          </w:p>
          <w:p w14:paraId="53A5BBB8"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F: Hb&lt;120g/L</w:t>
            </w:r>
          </w:p>
          <w:p w14:paraId="181F5B63"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p>
          <w:p w14:paraId="06019AC4"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&amp; MCV ≤80 &amp; ferritin &lt;30</w:t>
            </w:r>
          </w:p>
        </w:tc>
        <w:tc>
          <w:tcPr>
            <w:tcW w:w="1701" w:type="dxa"/>
          </w:tcPr>
          <w:p w14:paraId="069B14B8"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Surgery 8+ weeks away</w:t>
            </w:r>
          </w:p>
          <w:p w14:paraId="06767D36"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Oral iron for 4 weeks then recheck Hb. If Hb normalised continue oral iron until surgery.</w:t>
            </w:r>
          </w:p>
        </w:tc>
        <w:tc>
          <w:tcPr>
            <w:tcW w:w="1276" w:type="dxa"/>
          </w:tcPr>
          <w:p w14:paraId="0AAE3419"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Surgery &lt;8weeks away</w:t>
            </w:r>
          </w:p>
          <w:p w14:paraId="58114E64"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IV iron then recheck Hb in 2 weeks or on admission. If time available and Hb response, may need repeat IV iron dose after 2-4 weeks.</w:t>
            </w:r>
          </w:p>
        </w:tc>
        <w:tc>
          <w:tcPr>
            <w:tcW w:w="1417" w:type="dxa"/>
          </w:tcPr>
          <w:p w14:paraId="2AF92BB8"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val="en-US" w:eastAsia="en-US"/>
              </w:rPr>
              <w:t>Consider if</w:t>
            </w:r>
          </w:p>
          <w:p w14:paraId="340F0012"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p>
          <w:p w14:paraId="3E827E4B"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Hb M &lt; 130</w:t>
            </w:r>
            <w:r w:rsidRPr="00AD30CA">
              <w:rPr>
                <w:rFonts w:asciiTheme="minorHAnsi" w:eastAsiaTheme="minorHAnsi" w:hAnsiTheme="minorHAnsi" w:cstheme="minorBidi"/>
                <w:sz w:val="18"/>
                <w:szCs w:val="18"/>
                <w:lang w:eastAsia="en-US"/>
              </w:rPr>
              <w:br/>
              <w:t xml:space="preserve">       F &lt; 120</w:t>
            </w:r>
          </w:p>
          <w:p w14:paraId="2F33CF3A"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&amp; MCV&gt;80 &amp; ferritin &lt;30</w:t>
            </w:r>
          </w:p>
        </w:tc>
        <w:tc>
          <w:tcPr>
            <w:tcW w:w="1276" w:type="dxa"/>
          </w:tcPr>
          <w:p w14:paraId="71A19E96" w14:textId="77777777" w:rsidR="00FE48D0" w:rsidRPr="00AD30CA" w:rsidRDefault="00FE48D0" w:rsidP="003F39BA">
            <w:pPr>
              <w:spacing w:after="0" w:line="240" w:lineRule="auto"/>
              <w:rPr>
                <w:rFonts w:asciiTheme="minorHAnsi" w:hAnsiTheme="minorHAnsi" w:cstheme="minorBidi"/>
                <w:sz w:val="18"/>
                <w:szCs w:val="18"/>
                <w:lang w:val="en-US"/>
              </w:rPr>
            </w:pPr>
            <w:r w:rsidRPr="00AD30CA">
              <w:rPr>
                <w:rFonts w:asciiTheme="minorHAnsi" w:hAnsiTheme="minorHAnsi" w:cstheme="minorBidi"/>
                <w:sz w:val="18"/>
                <w:szCs w:val="18"/>
                <w:lang w:val="en-US"/>
              </w:rPr>
              <w:t>757</w:t>
            </w:r>
          </w:p>
        </w:tc>
        <w:tc>
          <w:tcPr>
            <w:tcW w:w="1134" w:type="dxa"/>
          </w:tcPr>
          <w:p w14:paraId="604DDB5F" w14:textId="77777777" w:rsidR="00FE48D0" w:rsidRPr="00AD30CA" w:rsidRDefault="00FE48D0" w:rsidP="003F39BA">
            <w:pPr>
              <w:spacing w:after="0" w:line="240" w:lineRule="auto"/>
              <w:rPr>
                <w:rFonts w:asciiTheme="minorHAnsi" w:hAnsiTheme="minorHAnsi" w:cstheme="minorBidi"/>
                <w:sz w:val="18"/>
                <w:szCs w:val="18"/>
                <w:lang w:val="en-US"/>
              </w:rPr>
            </w:pPr>
            <w:r w:rsidRPr="00AD30CA">
              <w:rPr>
                <w:rFonts w:asciiTheme="minorHAnsi" w:hAnsiTheme="minorHAnsi" w:cstheme="minorBidi"/>
                <w:sz w:val="18"/>
                <w:szCs w:val="18"/>
              </w:rPr>
              <w:t xml:space="preserve">697 </w:t>
            </w:r>
            <w:r w:rsidRPr="00AD30CA">
              <w:rPr>
                <w:rFonts w:asciiTheme="minorHAnsi" w:hAnsiTheme="minorHAnsi" w:cstheme="minorBidi"/>
                <w:sz w:val="18"/>
                <w:szCs w:val="18"/>
                <w:lang w:val="en-US"/>
              </w:rPr>
              <w:t>(92.1)</w:t>
            </w:r>
          </w:p>
        </w:tc>
        <w:tc>
          <w:tcPr>
            <w:tcW w:w="1417" w:type="dxa"/>
          </w:tcPr>
          <w:p w14:paraId="25E5C785" w14:textId="77777777" w:rsidR="00FE48D0" w:rsidRPr="00AD30CA" w:rsidRDefault="00FE48D0" w:rsidP="003F39BA">
            <w:pPr>
              <w:spacing w:after="0" w:line="240" w:lineRule="auto"/>
              <w:rPr>
                <w:rFonts w:asciiTheme="minorHAnsi" w:hAnsiTheme="minorHAnsi" w:cstheme="minorBidi"/>
                <w:sz w:val="18"/>
                <w:szCs w:val="18"/>
                <w:lang w:val="en-US"/>
              </w:rPr>
            </w:pPr>
            <w:r w:rsidRPr="00AD30CA">
              <w:rPr>
                <w:rFonts w:asciiTheme="minorHAnsi" w:hAnsiTheme="minorHAnsi" w:cstheme="minorBidi"/>
                <w:sz w:val="18"/>
                <w:szCs w:val="18"/>
                <w:lang w:val="en-US"/>
              </w:rPr>
              <w:t>685 (90.5)</w:t>
            </w:r>
          </w:p>
        </w:tc>
        <w:tc>
          <w:tcPr>
            <w:tcW w:w="993" w:type="dxa"/>
          </w:tcPr>
          <w:p w14:paraId="7B240464" w14:textId="77777777" w:rsidR="00FE48D0" w:rsidRPr="00AD30CA" w:rsidRDefault="00FE48D0" w:rsidP="003F39BA">
            <w:pPr>
              <w:spacing w:after="0" w:line="240" w:lineRule="auto"/>
              <w:rPr>
                <w:rFonts w:asciiTheme="minorHAnsi" w:hAnsiTheme="minorHAnsi" w:cstheme="minorBidi"/>
                <w:sz w:val="18"/>
                <w:szCs w:val="18"/>
                <w:lang w:val="en-US"/>
              </w:rPr>
            </w:pPr>
            <w:r w:rsidRPr="00AD30CA">
              <w:rPr>
                <w:rFonts w:asciiTheme="minorHAnsi" w:hAnsiTheme="minorHAnsi" w:cstheme="minorBidi"/>
                <w:sz w:val="18"/>
                <w:szCs w:val="18"/>
                <w:lang w:val="en-US"/>
              </w:rPr>
              <w:t>11</w:t>
            </w:r>
          </w:p>
        </w:tc>
        <w:tc>
          <w:tcPr>
            <w:tcW w:w="1134" w:type="dxa"/>
          </w:tcPr>
          <w:p w14:paraId="2FC970AE" w14:textId="77777777" w:rsidR="00FE48D0" w:rsidRPr="00AD30CA" w:rsidRDefault="00FE48D0" w:rsidP="003F39BA">
            <w:pPr>
              <w:spacing w:after="0" w:line="240" w:lineRule="auto"/>
              <w:rPr>
                <w:rFonts w:asciiTheme="minorHAnsi" w:hAnsiTheme="minorHAnsi" w:cstheme="minorBidi"/>
                <w:sz w:val="18"/>
                <w:szCs w:val="18"/>
                <w:lang w:val="en-US"/>
              </w:rPr>
            </w:pPr>
            <w:r w:rsidRPr="00AD30CA">
              <w:rPr>
                <w:rFonts w:asciiTheme="minorHAnsi" w:hAnsiTheme="minorHAnsi" w:cstheme="minorBidi"/>
                <w:sz w:val="18"/>
                <w:szCs w:val="18"/>
                <w:lang w:val="en-US"/>
              </w:rPr>
              <w:t>1 (9)</w:t>
            </w:r>
          </w:p>
        </w:tc>
        <w:tc>
          <w:tcPr>
            <w:tcW w:w="1275" w:type="dxa"/>
          </w:tcPr>
          <w:p w14:paraId="5DF4A2E5" w14:textId="77777777" w:rsidR="00FE48D0" w:rsidRPr="00AD30CA" w:rsidRDefault="00FE48D0" w:rsidP="003F39BA">
            <w:pPr>
              <w:spacing w:after="0" w:line="240" w:lineRule="auto"/>
              <w:rPr>
                <w:sz w:val="18"/>
                <w:szCs w:val="18"/>
              </w:rPr>
            </w:pPr>
            <w:r w:rsidRPr="00AD30CA">
              <w:rPr>
                <w:sz w:val="18"/>
                <w:szCs w:val="18"/>
              </w:rPr>
              <w:t>MSSA: 0 (0.0)</w:t>
            </w:r>
          </w:p>
          <w:p w14:paraId="0D1A034F" w14:textId="77777777" w:rsidR="00FE48D0" w:rsidRPr="00AD30CA" w:rsidRDefault="00FE48D0" w:rsidP="003F39BA">
            <w:pPr>
              <w:spacing w:after="0" w:line="240" w:lineRule="auto"/>
              <w:rPr>
                <w:rFonts w:asciiTheme="minorHAnsi" w:hAnsiTheme="minorHAnsi" w:cstheme="minorBidi"/>
                <w:sz w:val="18"/>
                <w:szCs w:val="18"/>
                <w:lang w:val="en-US"/>
              </w:rPr>
            </w:pPr>
            <w:r w:rsidRPr="00AD30CA">
              <w:rPr>
                <w:sz w:val="18"/>
                <w:szCs w:val="18"/>
              </w:rPr>
              <w:t>Any</w:t>
            </w:r>
            <w:r w:rsidRPr="00AD30CA">
              <w:rPr>
                <w:sz w:val="18"/>
                <w:szCs w:val="18"/>
                <w:vertAlign w:val="superscript"/>
              </w:rPr>
              <w:t>c</w:t>
            </w:r>
            <w:r w:rsidRPr="00AD30CA">
              <w:rPr>
                <w:sz w:val="18"/>
                <w:szCs w:val="18"/>
              </w:rPr>
              <w:t>: 0 (0.0)</w:t>
            </w:r>
          </w:p>
        </w:tc>
        <w:tc>
          <w:tcPr>
            <w:tcW w:w="1037" w:type="dxa"/>
          </w:tcPr>
          <w:p w14:paraId="39FDB88E" w14:textId="77777777" w:rsidR="00FE48D0" w:rsidRPr="00AD30CA" w:rsidRDefault="00FE48D0" w:rsidP="003F39BA">
            <w:pPr>
              <w:spacing w:after="0" w:line="240" w:lineRule="auto"/>
              <w:rPr>
                <w:rFonts w:asciiTheme="minorHAnsi" w:hAnsiTheme="minorHAnsi" w:cstheme="minorBidi"/>
                <w:sz w:val="18"/>
                <w:szCs w:val="18"/>
                <w:lang w:val="en-US"/>
              </w:rPr>
            </w:pPr>
            <w:r w:rsidRPr="00AD30CA">
              <w:rPr>
                <w:rFonts w:asciiTheme="minorHAnsi" w:hAnsiTheme="minorHAnsi" w:cstheme="minorBidi"/>
                <w:sz w:val="18"/>
                <w:szCs w:val="18"/>
                <w:lang w:val="en-US"/>
              </w:rPr>
              <w:t>27 (3.9)</w:t>
            </w:r>
          </w:p>
        </w:tc>
      </w:tr>
      <w:tr w:rsidR="00FE48D0" w:rsidRPr="00AD30CA" w14:paraId="40935297" w14:textId="77777777" w:rsidTr="003F39BA">
        <w:trPr>
          <w:trHeight w:val="295"/>
        </w:trPr>
        <w:tc>
          <w:tcPr>
            <w:tcW w:w="637" w:type="dxa"/>
          </w:tcPr>
          <w:p w14:paraId="255A6018"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23</w:t>
            </w:r>
          </w:p>
        </w:tc>
        <w:tc>
          <w:tcPr>
            <w:tcW w:w="1343" w:type="dxa"/>
          </w:tcPr>
          <w:p w14:paraId="172548BF"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M: Hb 115-129g/L</w:t>
            </w:r>
          </w:p>
          <w:p w14:paraId="0C647A91"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F: Hb 105 – 114g/L</w:t>
            </w:r>
          </w:p>
          <w:p w14:paraId="05BEC27A"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&amp;</w:t>
            </w:r>
          </w:p>
          <w:p w14:paraId="023785D6"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12&lt;Ferritin&lt;100 &amp; ESR&lt;50</w:t>
            </w:r>
          </w:p>
          <w:p w14:paraId="2716091B"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&amp; “normal liver function”</w:t>
            </w:r>
          </w:p>
        </w:tc>
        <w:tc>
          <w:tcPr>
            <w:tcW w:w="1701" w:type="dxa"/>
          </w:tcPr>
          <w:p w14:paraId="13682AA7"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eGFR ≥50mL/hr</w:t>
            </w:r>
          </w:p>
          <w:p w14:paraId="1E390AFB" w14:textId="4D3C9B2A"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 xml:space="preserve">Ferrous sulphate 200mg TDS for 4 weeks. Letter sent to patient. </w:t>
            </w:r>
            <w:r w:rsidR="00CE43AD" w:rsidRPr="00AD30CA">
              <w:rPr>
                <w:rFonts w:asciiTheme="minorHAnsi" w:eastAsiaTheme="minorHAnsi" w:hAnsiTheme="minorHAnsi" w:cstheme="minorBidi"/>
                <w:sz w:val="18"/>
                <w:szCs w:val="18"/>
                <w:lang w:eastAsia="en-US"/>
              </w:rPr>
              <w:t>R</w:t>
            </w:r>
            <w:r w:rsidRPr="00AD30CA">
              <w:rPr>
                <w:rFonts w:asciiTheme="minorHAnsi" w:eastAsiaTheme="minorHAnsi" w:hAnsiTheme="minorHAnsi" w:cstheme="minorBidi"/>
                <w:sz w:val="18"/>
                <w:szCs w:val="18"/>
                <w:lang w:eastAsia="en-US"/>
              </w:rPr>
              <w:t>epeat bloods after 1 month (if oral iron intolerant reduce to twice daily)</w:t>
            </w:r>
          </w:p>
        </w:tc>
        <w:tc>
          <w:tcPr>
            <w:tcW w:w="1276" w:type="dxa"/>
          </w:tcPr>
          <w:p w14:paraId="0D670F83"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eGFR &lt;50</w:t>
            </w:r>
          </w:p>
          <w:p w14:paraId="45CABD47"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p>
          <w:p w14:paraId="0DCC1879"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Patient sent a letter. Bloods rechecked at pre-op assessment clinic.</w:t>
            </w:r>
          </w:p>
          <w:p w14:paraId="69D39EF7"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p>
        </w:tc>
        <w:tc>
          <w:tcPr>
            <w:tcW w:w="1417" w:type="dxa"/>
          </w:tcPr>
          <w:p w14:paraId="76864EBB"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 xml:space="preserve">Hb &lt;115 Male </w:t>
            </w:r>
          </w:p>
          <w:p w14:paraId="19875672"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&lt;105 female</w:t>
            </w:r>
          </w:p>
        </w:tc>
        <w:tc>
          <w:tcPr>
            <w:tcW w:w="1276" w:type="dxa"/>
          </w:tcPr>
          <w:p w14:paraId="780C064A"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436</w:t>
            </w:r>
          </w:p>
        </w:tc>
        <w:tc>
          <w:tcPr>
            <w:tcW w:w="1134" w:type="dxa"/>
          </w:tcPr>
          <w:p w14:paraId="005A2B8A"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421 (96.6)</w:t>
            </w:r>
          </w:p>
        </w:tc>
        <w:tc>
          <w:tcPr>
            <w:tcW w:w="1417" w:type="dxa"/>
          </w:tcPr>
          <w:p w14:paraId="1E44FAEB"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403 (92.4)</w:t>
            </w:r>
          </w:p>
        </w:tc>
        <w:tc>
          <w:tcPr>
            <w:tcW w:w="993" w:type="dxa"/>
          </w:tcPr>
          <w:p w14:paraId="575ABC2C"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4</w:t>
            </w:r>
          </w:p>
        </w:tc>
        <w:tc>
          <w:tcPr>
            <w:tcW w:w="1134" w:type="dxa"/>
          </w:tcPr>
          <w:p w14:paraId="4EF1D20E"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4 (100)</w:t>
            </w:r>
          </w:p>
        </w:tc>
        <w:tc>
          <w:tcPr>
            <w:tcW w:w="1275" w:type="dxa"/>
          </w:tcPr>
          <w:p w14:paraId="2E143668" w14:textId="77777777" w:rsidR="00FE48D0" w:rsidRPr="00AD30CA" w:rsidRDefault="00FE48D0" w:rsidP="003F39BA">
            <w:pPr>
              <w:spacing w:after="0" w:line="240" w:lineRule="auto"/>
              <w:rPr>
                <w:sz w:val="18"/>
                <w:szCs w:val="18"/>
              </w:rPr>
            </w:pPr>
            <w:r w:rsidRPr="00AD30CA">
              <w:rPr>
                <w:sz w:val="18"/>
                <w:szCs w:val="18"/>
              </w:rPr>
              <w:t>MSSA: 2 (0.5)</w:t>
            </w:r>
          </w:p>
          <w:p w14:paraId="58780D05" w14:textId="77777777" w:rsidR="00FE48D0" w:rsidRPr="00AD30CA" w:rsidRDefault="00FE48D0" w:rsidP="003F39BA">
            <w:pPr>
              <w:spacing w:after="0" w:line="240" w:lineRule="auto"/>
              <w:rPr>
                <w:rFonts w:asciiTheme="minorHAnsi" w:hAnsiTheme="minorHAnsi" w:cstheme="minorBidi"/>
                <w:sz w:val="18"/>
                <w:szCs w:val="18"/>
              </w:rPr>
            </w:pPr>
            <w:r w:rsidRPr="00AD30CA">
              <w:rPr>
                <w:sz w:val="18"/>
                <w:szCs w:val="18"/>
              </w:rPr>
              <w:t>Any</w:t>
            </w:r>
            <w:r w:rsidRPr="00AD30CA">
              <w:rPr>
                <w:sz w:val="18"/>
                <w:szCs w:val="18"/>
                <w:vertAlign w:val="superscript"/>
              </w:rPr>
              <w:t>c</w:t>
            </w:r>
            <w:r w:rsidRPr="00AD30CA">
              <w:rPr>
                <w:sz w:val="18"/>
                <w:szCs w:val="18"/>
              </w:rPr>
              <w:t>:</w:t>
            </w:r>
            <w:r w:rsidRPr="00AD30CA">
              <w:rPr>
                <w:sz w:val="18"/>
                <w:szCs w:val="18"/>
                <w:vertAlign w:val="superscript"/>
              </w:rPr>
              <w:t xml:space="preserve"> </w:t>
            </w:r>
            <w:r w:rsidRPr="00AD30CA">
              <w:rPr>
                <w:sz w:val="18"/>
                <w:szCs w:val="18"/>
              </w:rPr>
              <w:t xml:space="preserve"> 2 (0.5)</w:t>
            </w:r>
          </w:p>
        </w:tc>
        <w:tc>
          <w:tcPr>
            <w:tcW w:w="1037" w:type="dxa"/>
          </w:tcPr>
          <w:p w14:paraId="10985F79"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49 (11.6)</w:t>
            </w:r>
          </w:p>
        </w:tc>
      </w:tr>
      <w:tr w:rsidR="00FE48D0" w:rsidRPr="00AD30CA" w14:paraId="12D88773" w14:textId="77777777" w:rsidTr="003F39BA">
        <w:trPr>
          <w:trHeight w:val="295"/>
        </w:trPr>
        <w:tc>
          <w:tcPr>
            <w:tcW w:w="637" w:type="dxa"/>
          </w:tcPr>
          <w:p w14:paraId="6ED43615"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24</w:t>
            </w:r>
          </w:p>
        </w:tc>
        <w:tc>
          <w:tcPr>
            <w:tcW w:w="5737" w:type="dxa"/>
            <w:gridSpan w:val="4"/>
            <w:vMerge w:val="restart"/>
            <w:vAlign w:val="center"/>
          </w:tcPr>
          <w:p w14:paraId="5E2BAB8E"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eastAsiaTheme="minorHAnsi" w:hAnsiTheme="minorHAnsi" w:cstheme="minorBidi"/>
                <w:sz w:val="18"/>
                <w:szCs w:val="18"/>
                <w:lang w:eastAsia="en-US"/>
              </w:rPr>
              <w:t>No pathway received</w:t>
            </w:r>
          </w:p>
        </w:tc>
        <w:tc>
          <w:tcPr>
            <w:tcW w:w="1276" w:type="dxa"/>
          </w:tcPr>
          <w:p w14:paraId="4C613E07"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397</w:t>
            </w:r>
          </w:p>
        </w:tc>
        <w:tc>
          <w:tcPr>
            <w:tcW w:w="1134" w:type="dxa"/>
          </w:tcPr>
          <w:p w14:paraId="49956B68"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81 (20.4)</w:t>
            </w:r>
          </w:p>
        </w:tc>
        <w:tc>
          <w:tcPr>
            <w:tcW w:w="1417" w:type="dxa"/>
          </w:tcPr>
          <w:p w14:paraId="04465EF5"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65 (16.4)</w:t>
            </w:r>
          </w:p>
        </w:tc>
        <w:tc>
          <w:tcPr>
            <w:tcW w:w="993" w:type="dxa"/>
          </w:tcPr>
          <w:p w14:paraId="1AB59F3E"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0</w:t>
            </w:r>
          </w:p>
        </w:tc>
        <w:tc>
          <w:tcPr>
            <w:tcW w:w="1134" w:type="dxa"/>
          </w:tcPr>
          <w:p w14:paraId="44AAD6E1"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0 (-)</w:t>
            </w:r>
          </w:p>
        </w:tc>
        <w:tc>
          <w:tcPr>
            <w:tcW w:w="1275" w:type="dxa"/>
          </w:tcPr>
          <w:p w14:paraId="690248E8" w14:textId="77777777" w:rsidR="00FE48D0" w:rsidRPr="00AD30CA" w:rsidRDefault="00FE48D0" w:rsidP="003F39BA">
            <w:pPr>
              <w:spacing w:after="0" w:line="240" w:lineRule="auto"/>
              <w:rPr>
                <w:sz w:val="18"/>
                <w:szCs w:val="18"/>
              </w:rPr>
            </w:pPr>
            <w:r w:rsidRPr="00AD30CA">
              <w:rPr>
                <w:sz w:val="18"/>
                <w:szCs w:val="18"/>
              </w:rPr>
              <w:t>MSSA: 0 (0.0)</w:t>
            </w:r>
          </w:p>
          <w:p w14:paraId="17B3DDF3" w14:textId="77777777" w:rsidR="00FE48D0" w:rsidRPr="00AD30CA" w:rsidRDefault="00FE48D0" w:rsidP="003F39BA">
            <w:pPr>
              <w:spacing w:after="0" w:line="240" w:lineRule="auto"/>
              <w:rPr>
                <w:rFonts w:asciiTheme="minorHAnsi" w:hAnsiTheme="minorHAnsi" w:cstheme="minorBidi"/>
                <w:sz w:val="18"/>
                <w:szCs w:val="18"/>
              </w:rPr>
            </w:pPr>
            <w:r w:rsidRPr="00AD30CA">
              <w:rPr>
                <w:sz w:val="18"/>
                <w:szCs w:val="18"/>
              </w:rPr>
              <w:t>Any</w:t>
            </w:r>
            <w:r w:rsidRPr="00AD30CA">
              <w:rPr>
                <w:sz w:val="18"/>
                <w:szCs w:val="18"/>
                <w:vertAlign w:val="superscript"/>
              </w:rPr>
              <w:t>c</w:t>
            </w:r>
            <w:r w:rsidRPr="00AD30CA">
              <w:rPr>
                <w:sz w:val="18"/>
                <w:szCs w:val="18"/>
              </w:rPr>
              <w:t>: 0 (0.0)</w:t>
            </w:r>
          </w:p>
        </w:tc>
        <w:tc>
          <w:tcPr>
            <w:tcW w:w="1037" w:type="dxa"/>
          </w:tcPr>
          <w:p w14:paraId="6A567BCE" w14:textId="77777777" w:rsidR="00FE48D0" w:rsidRPr="00AD30CA" w:rsidRDefault="00FE48D0" w:rsidP="003F39BA">
            <w:pPr>
              <w:spacing w:after="0" w:line="240" w:lineRule="auto"/>
              <w:rPr>
                <w:rFonts w:asciiTheme="minorHAnsi" w:hAnsiTheme="minorHAnsi" w:cstheme="minorBidi"/>
                <w:sz w:val="18"/>
                <w:szCs w:val="18"/>
              </w:rPr>
            </w:pPr>
            <w:r w:rsidRPr="00AD30CA">
              <w:rPr>
                <w:sz w:val="18"/>
                <w:szCs w:val="18"/>
              </w:rPr>
              <w:t>0 (0.0)</w:t>
            </w:r>
          </w:p>
        </w:tc>
      </w:tr>
      <w:tr w:rsidR="00FE48D0" w:rsidRPr="00AD30CA" w14:paraId="153B84F4" w14:textId="77777777" w:rsidTr="003F39BA">
        <w:trPr>
          <w:trHeight w:val="295"/>
        </w:trPr>
        <w:tc>
          <w:tcPr>
            <w:tcW w:w="637" w:type="dxa"/>
          </w:tcPr>
          <w:p w14:paraId="17D0F2B0"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25</w:t>
            </w:r>
          </w:p>
        </w:tc>
        <w:tc>
          <w:tcPr>
            <w:tcW w:w="5737" w:type="dxa"/>
            <w:gridSpan w:val="4"/>
            <w:vMerge/>
          </w:tcPr>
          <w:p w14:paraId="45FB0E59" w14:textId="77777777" w:rsidR="00FE48D0" w:rsidRPr="00AD30CA" w:rsidRDefault="00FE48D0" w:rsidP="003F39BA">
            <w:pPr>
              <w:spacing w:after="0" w:line="240" w:lineRule="auto"/>
              <w:rPr>
                <w:rFonts w:asciiTheme="minorHAnsi" w:hAnsiTheme="minorHAnsi" w:cstheme="minorBidi"/>
                <w:sz w:val="18"/>
                <w:szCs w:val="18"/>
              </w:rPr>
            </w:pPr>
          </w:p>
        </w:tc>
        <w:tc>
          <w:tcPr>
            <w:tcW w:w="1276" w:type="dxa"/>
          </w:tcPr>
          <w:p w14:paraId="4B623FF4"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503</w:t>
            </w:r>
          </w:p>
        </w:tc>
        <w:tc>
          <w:tcPr>
            <w:tcW w:w="1134" w:type="dxa"/>
          </w:tcPr>
          <w:p w14:paraId="133C4265"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386 (76.7)</w:t>
            </w:r>
          </w:p>
        </w:tc>
        <w:tc>
          <w:tcPr>
            <w:tcW w:w="1417" w:type="dxa"/>
          </w:tcPr>
          <w:p w14:paraId="09CBCC80"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360 (71.6)</w:t>
            </w:r>
          </w:p>
        </w:tc>
        <w:tc>
          <w:tcPr>
            <w:tcW w:w="993" w:type="dxa"/>
          </w:tcPr>
          <w:p w14:paraId="6A70F9A1"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5</w:t>
            </w:r>
          </w:p>
        </w:tc>
        <w:tc>
          <w:tcPr>
            <w:tcW w:w="1134" w:type="dxa"/>
          </w:tcPr>
          <w:p w14:paraId="0B2578FF"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2 (40)</w:t>
            </w:r>
          </w:p>
        </w:tc>
        <w:tc>
          <w:tcPr>
            <w:tcW w:w="1275" w:type="dxa"/>
          </w:tcPr>
          <w:p w14:paraId="379F8A81" w14:textId="77777777" w:rsidR="00FE48D0" w:rsidRPr="00AD30CA" w:rsidRDefault="00FE48D0" w:rsidP="003F39BA">
            <w:pPr>
              <w:spacing w:after="0" w:line="240" w:lineRule="auto"/>
              <w:rPr>
                <w:sz w:val="18"/>
                <w:szCs w:val="18"/>
              </w:rPr>
            </w:pPr>
            <w:r w:rsidRPr="00AD30CA">
              <w:rPr>
                <w:sz w:val="18"/>
                <w:szCs w:val="18"/>
              </w:rPr>
              <w:t>MSSA: 0 (0.0)</w:t>
            </w:r>
          </w:p>
          <w:p w14:paraId="7E9155B8" w14:textId="77777777" w:rsidR="00FE48D0" w:rsidRPr="00AD30CA" w:rsidRDefault="00FE48D0" w:rsidP="003F39BA">
            <w:pPr>
              <w:spacing w:after="0" w:line="240" w:lineRule="auto"/>
              <w:rPr>
                <w:rFonts w:asciiTheme="minorHAnsi" w:hAnsiTheme="minorHAnsi" w:cstheme="minorBidi"/>
                <w:sz w:val="18"/>
                <w:szCs w:val="18"/>
              </w:rPr>
            </w:pPr>
            <w:r w:rsidRPr="00AD30CA">
              <w:rPr>
                <w:sz w:val="18"/>
                <w:szCs w:val="18"/>
              </w:rPr>
              <w:t>Any</w:t>
            </w:r>
            <w:r w:rsidRPr="00AD30CA">
              <w:rPr>
                <w:sz w:val="18"/>
                <w:szCs w:val="18"/>
                <w:vertAlign w:val="superscript"/>
              </w:rPr>
              <w:t>c</w:t>
            </w:r>
            <w:r w:rsidRPr="00AD30CA">
              <w:rPr>
                <w:sz w:val="18"/>
                <w:szCs w:val="18"/>
              </w:rPr>
              <w:t>: 1 (0.3)</w:t>
            </w:r>
          </w:p>
        </w:tc>
        <w:tc>
          <w:tcPr>
            <w:tcW w:w="1037" w:type="dxa"/>
          </w:tcPr>
          <w:p w14:paraId="28927266"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2 (0.5)</w:t>
            </w:r>
          </w:p>
        </w:tc>
      </w:tr>
      <w:tr w:rsidR="00FE48D0" w:rsidRPr="00AD30CA" w14:paraId="08AB2C1E" w14:textId="77777777" w:rsidTr="003F39BA">
        <w:trPr>
          <w:trHeight w:val="295"/>
        </w:trPr>
        <w:tc>
          <w:tcPr>
            <w:tcW w:w="637" w:type="dxa"/>
          </w:tcPr>
          <w:p w14:paraId="27684C93"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26</w:t>
            </w:r>
          </w:p>
        </w:tc>
        <w:tc>
          <w:tcPr>
            <w:tcW w:w="5737" w:type="dxa"/>
            <w:gridSpan w:val="4"/>
            <w:vMerge/>
          </w:tcPr>
          <w:p w14:paraId="674E6543" w14:textId="77777777" w:rsidR="00FE48D0" w:rsidRPr="00AD30CA" w:rsidRDefault="00FE48D0" w:rsidP="003F39BA">
            <w:pPr>
              <w:spacing w:after="0" w:line="240" w:lineRule="auto"/>
              <w:rPr>
                <w:rFonts w:asciiTheme="minorHAnsi" w:hAnsiTheme="minorHAnsi" w:cstheme="minorBidi"/>
                <w:sz w:val="18"/>
                <w:szCs w:val="18"/>
              </w:rPr>
            </w:pPr>
          </w:p>
        </w:tc>
        <w:tc>
          <w:tcPr>
            <w:tcW w:w="1276" w:type="dxa"/>
          </w:tcPr>
          <w:p w14:paraId="458FAE94"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775</w:t>
            </w:r>
          </w:p>
        </w:tc>
        <w:tc>
          <w:tcPr>
            <w:tcW w:w="1134" w:type="dxa"/>
          </w:tcPr>
          <w:p w14:paraId="34294B8B"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775 (100.0)</w:t>
            </w:r>
          </w:p>
        </w:tc>
        <w:tc>
          <w:tcPr>
            <w:tcW w:w="1417" w:type="dxa"/>
          </w:tcPr>
          <w:p w14:paraId="2F43DCED"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760 (98.1)</w:t>
            </w:r>
          </w:p>
        </w:tc>
        <w:tc>
          <w:tcPr>
            <w:tcW w:w="993" w:type="dxa"/>
          </w:tcPr>
          <w:p w14:paraId="597F4A3C"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8</w:t>
            </w:r>
          </w:p>
        </w:tc>
        <w:tc>
          <w:tcPr>
            <w:tcW w:w="1134" w:type="dxa"/>
          </w:tcPr>
          <w:p w14:paraId="034FCD59"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6 (75)</w:t>
            </w:r>
          </w:p>
        </w:tc>
        <w:tc>
          <w:tcPr>
            <w:tcW w:w="1275" w:type="dxa"/>
          </w:tcPr>
          <w:p w14:paraId="278571E0" w14:textId="77777777" w:rsidR="00FE48D0" w:rsidRPr="00AD30CA" w:rsidRDefault="00FE48D0" w:rsidP="003F39BA">
            <w:pPr>
              <w:spacing w:after="0" w:line="240" w:lineRule="auto"/>
              <w:rPr>
                <w:sz w:val="18"/>
                <w:szCs w:val="18"/>
              </w:rPr>
            </w:pPr>
            <w:r w:rsidRPr="00AD30CA">
              <w:rPr>
                <w:sz w:val="18"/>
                <w:szCs w:val="18"/>
              </w:rPr>
              <w:t>MSSA: 1 (0.1)</w:t>
            </w:r>
          </w:p>
          <w:p w14:paraId="456E6E1A" w14:textId="77777777" w:rsidR="00FE48D0" w:rsidRPr="00AD30CA" w:rsidRDefault="00FE48D0" w:rsidP="003F39BA">
            <w:pPr>
              <w:spacing w:after="0" w:line="240" w:lineRule="auto"/>
              <w:rPr>
                <w:rFonts w:asciiTheme="minorHAnsi" w:hAnsiTheme="minorHAnsi" w:cstheme="minorBidi"/>
                <w:sz w:val="18"/>
                <w:szCs w:val="18"/>
              </w:rPr>
            </w:pPr>
            <w:r w:rsidRPr="00AD30CA">
              <w:rPr>
                <w:sz w:val="18"/>
                <w:szCs w:val="18"/>
              </w:rPr>
              <w:t>Any</w:t>
            </w:r>
            <w:r w:rsidRPr="00AD30CA">
              <w:rPr>
                <w:sz w:val="18"/>
                <w:szCs w:val="18"/>
                <w:vertAlign w:val="superscript"/>
              </w:rPr>
              <w:t>c</w:t>
            </w:r>
            <w:r w:rsidRPr="00AD30CA">
              <w:rPr>
                <w:sz w:val="18"/>
                <w:szCs w:val="18"/>
              </w:rPr>
              <w:t>: 2 (0.3)</w:t>
            </w:r>
          </w:p>
        </w:tc>
        <w:tc>
          <w:tcPr>
            <w:tcW w:w="1037" w:type="dxa"/>
          </w:tcPr>
          <w:p w14:paraId="3882B01D"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17 (2.2)</w:t>
            </w:r>
          </w:p>
        </w:tc>
      </w:tr>
      <w:tr w:rsidR="00FE48D0" w:rsidRPr="00AD30CA" w14:paraId="2E107618" w14:textId="77777777" w:rsidTr="003F39BA">
        <w:trPr>
          <w:trHeight w:val="295"/>
        </w:trPr>
        <w:tc>
          <w:tcPr>
            <w:tcW w:w="637" w:type="dxa"/>
            <w:tcBorders>
              <w:bottom w:val="single" w:sz="4" w:space="0" w:color="auto"/>
            </w:tcBorders>
          </w:tcPr>
          <w:p w14:paraId="29C83DBC" w14:textId="77777777" w:rsidR="00FE48D0" w:rsidRPr="00AD30CA" w:rsidRDefault="00FE48D0" w:rsidP="003F39BA">
            <w:pPr>
              <w:spacing w:after="0" w:line="240" w:lineRule="auto"/>
              <w:rPr>
                <w:rFonts w:asciiTheme="minorHAnsi" w:eastAsiaTheme="minorHAnsi" w:hAnsiTheme="minorHAnsi" w:cstheme="minorBidi"/>
                <w:sz w:val="18"/>
                <w:szCs w:val="18"/>
                <w:lang w:eastAsia="en-US"/>
              </w:rPr>
            </w:pPr>
            <w:r w:rsidRPr="00AD30CA">
              <w:rPr>
                <w:rFonts w:asciiTheme="minorHAnsi" w:eastAsiaTheme="minorHAnsi" w:hAnsiTheme="minorHAnsi" w:cstheme="minorBidi"/>
                <w:sz w:val="18"/>
                <w:szCs w:val="18"/>
                <w:lang w:eastAsia="en-US"/>
              </w:rPr>
              <w:t>27</w:t>
            </w:r>
          </w:p>
        </w:tc>
        <w:tc>
          <w:tcPr>
            <w:tcW w:w="5737" w:type="dxa"/>
            <w:gridSpan w:val="4"/>
            <w:vMerge/>
            <w:tcBorders>
              <w:bottom w:val="single" w:sz="4" w:space="0" w:color="auto"/>
            </w:tcBorders>
          </w:tcPr>
          <w:p w14:paraId="01F5300A" w14:textId="77777777" w:rsidR="00FE48D0" w:rsidRPr="00AD30CA" w:rsidRDefault="00FE48D0" w:rsidP="003F39BA">
            <w:pPr>
              <w:spacing w:after="0" w:line="240" w:lineRule="auto"/>
              <w:rPr>
                <w:rFonts w:asciiTheme="minorHAnsi" w:hAnsiTheme="minorHAnsi" w:cstheme="minorBidi"/>
                <w:sz w:val="18"/>
                <w:szCs w:val="18"/>
              </w:rPr>
            </w:pPr>
          </w:p>
        </w:tc>
        <w:tc>
          <w:tcPr>
            <w:tcW w:w="1276" w:type="dxa"/>
            <w:tcBorders>
              <w:bottom w:val="single" w:sz="4" w:space="0" w:color="auto"/>
            </w:tcBorders>
          </w:tcPr>
          <w:p w14:paraId="3640A1D6"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1389</w:t>
            </w:r>
          </w:p>
        </w:tc>
        <w:tc>
          <w:tcPr>
            <w:tcW w:w="1134" w:type="dxa"/>
            <w:tcBorders>
              <w:bottom w:val="single" w:sz="4" w:space="0" w:color="auto"/>
            </w:tcBorders>
          </w:tcPr>
          <w:p w14:paraId="688D5D0B"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316 (22.8)</w:t>
            </w:r>
          </w:p>
        </w:tc>
        <w:tc>
          <w:tcPr>
            <w:tcW w:w="1417" w:type="dxa"/>
            <w:tcBorders>
              <w:bottom w:val="single" w:sz="4" w:space="0" w:color="auto"/>
            </w:tcBorders>
          </w:tcPr>
          <w:p w14:paraId="123758B9"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316 (22.8)</w:t>
            </w:r>
          </w:p>
        </w:tc>
        <w:tc>
          <w:tcPr>
            <w:tcW w:w="993" w:type="dxa"/>
            <w:tcBorders>
              <w:bottom w:val="single" w:sz="4" w:space="0" w:color="auto"/>
            </w:tcBorders>
          </w:tcPr>
          <w:p w14:paraId="70536FFF"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15</w:t>
            </w:r>
          </w:p>
        </w:tc>
        <w:tc>
          <w:tcPr>
            <w:tcW w:w="1134" w:type="dxa"/>
            <w:tcBorders>
              <w:bottom w:val="single" w:sz="4" w:space="0" w:color="auto"/>
            </w:tcBorders>
          </w:tcPr>
          <w:p w14:paraId="4BFC6BB8"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5 (33)</w:t>
            </w:r>
          </w:p>
        </w:tc>
        <w:tc>
          <w:tcPr>
            <w:tcW w:w="1275" w:type="dxa"/>
            <w:tcBorders>
              <w:bottom w:val="single" w:sz="4" w:space="0" w:color="auto"/>
            </w:tcBorders>
          </w:tcPr>
          <w:p w14:paraId="2DBD42D8" w14:textId="77777777" w:rsidR="00FE48D0" w:rsidRPr="00AD30CA" w:rsidRDefault="00FE48D0" w:rsidP="003F39BA">
            <w:pPr>
              <w:spacing w:after="0" w:line="240" w:lineRule="auto"/>
              <w:rPr>
                <w:sz w:val="18"/>
                <w:szCs w:val="18"/>
              </w:rPr>
            </w:pPr>
            <w:r w:rsidRPr="00AD30CA">
              <w:rPr>
                <w:sz w:val="18"/>
                <w:szCs w:val="18"/>
              </w:rPr>
              <w:t>MSSA: 0 (0.0)</w:t>
            </w:r>
          </w:p>
          <w:p w14:paraId="50BA1981" w14:textId="77777777" w:rsidR="00FE48D0" w:rsidRPr="00AD30CA" w:rsidRDefault="00FE48D0" w:rsidP="003F39BA">
            <w:pPr>
              <w:spacing w:after="0" w:line="240" w:lineRule="auto"/>
              <w:rPr>
                <w:rFonts w:asciiTheme="minorHAnsi" w:hAnsiTheme="minorHAnsi" w:cstheme="minorBidi"/>
                <w:sz w:val="18"/>
                <w:szCs w:val="18"/>
              </w:rPr>
            </w:pPr>
            <w:r w:rsidRPr="00AD30CA">
              <w:rPr>
                <w:sz w:val="18"/>
                <w:szCs w:val="18"/>
              </w:rPr>
              <w:t>Any</w:t>
            </w:r>
            <w:r w:rsidRPr="00AD30CA">
              <w:rPr>
                <w:sz w:val="18"/>
                <w:szCs w:val="18"/>
                <w:vertAlign w:val="superscript"/>
              </w:rPr>
              <w:t>c</w:t>
            </w:r>
            <w:r w:rsidRPr="00AD30CA">
              <w:rPr>
                <w:sz w:val="18"/>
                <w:szCs w:val="18"/>
              </w:rPr>
              <w:t>: 0 (0.0)</w:t>
            </w:r>
          </w:p>
        </w:tc>
        <w:tc>
          <w:tcPr>
            <w:tcW w:w="1037" w:type="dxa"/>
            <w:tcBorders>
              <w:bottom w:val="single" w:sz="4" w:space="0" w:color="auto"/>
            </w:tcBorders>
          </w:tcPr>
          <w:p w14:paraId="0E715D2E"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7 (2.2)</w:t>
            </w:r>
          </w:p>
        </w:tc>
      </w:tr>
      <w:tr w:rsidR="00FE48D0" w:rsidRPr="00AD30CA" w14:paraId="37FF4F1E" w14:textId="77777777" w:rsidTr="003F39BA">
        <w:trPr>
          <w:trHeight w:val="295"/>
        </w:trPr>
        <w:tc>
          <w:tcPr>
            <w:tcW w:w="637" w:type="dxa"/>
            <w:tcBorders>
              <w:bottom w:val="single" w:sz="4" w:space="0" w:color="auto"/>
            </w:tcBorders>
          </w:tcPr>
          <w:p w14:paraId="488F3C07"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Total</w:t>
            </w:r>
          </w:p>
        </w:tc>
        <w:tc>
          <w:tcPr>
            <w:tcW w:w="5737" w:type="dxa"/>
            <w:gridSpan w:val="4"/>
            <w:tcBorders>
              <w:bottom w:val="single" w:sz="4" w:space="0" w:color="auto"/>
            </w:tcBorders>
          </w:tcPr>
          <w:p w14:paraId="39FEB30F" w14:textId="77777777" w:rsidR="00FE48D0" w:rsidRPr="00AD30CA" w:rsidRDefault="00FE48D0" w:rsidP="003F39BA">
            <w:pPr>
              <w:spacing w:after="0" w:line="240" w:lineRule="auto"/>
              <w:jc w:val="center"/>
              <w:rPr>
                <w:rFonts w:asciiTheme="minorHAnsi" w:hAnsiTheme="minorHAnsi" w:cstheme="minorBidi"/>
                <w:sz w:val="18"/>
                <w:szCs w:val="18"/>
              </w:rPr>
            </w:pPr>
            <w:r w:rsidRPr="00AD30CA">
              <w:rPr>
                <w:rFonts w:asciiTheme="minorHAnsi" w:hAnsiTheme="minorHAnsi" w:cstheme="minorBidi"/>
                <w:sz w:val="18"/>
                <w:szCs w:val="18"/>
              </w:rPr>
              <w:t>-</w:t>
            </w:r>
          </w:p>
        </w:tc>
        <w:tc>
          <w:tcPr>
            <w:tcW w:w="1276" w:type="dxa"/>
            <w:tcBorders>
              <w:bottom w:val="single" w:sz="4" w:space="0" w:color="auto"/>
            </w:tcBorders>
          </w:tcPr>
          <w:p w14:paraId="7B280A1B"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9860</w:t>
            </w:r>
          </w:p>
        </w:tc>
        <w:tc>
          <w:tcPr>
            <w:tcW w:w="1134" w:type="dxa"/>
            <w:tcBorders>
              <w:bottom w:val="single" w:sz="4" w:space="0" w:color="auto"/>
            </w:tcBorders>
          </w:tcPr>
          <w:p w14:paraId="4A18AED6"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6324 (64.1)</w:t>
            </w:r>
          </w:p>
        </w:tc>
        <w:tc>
          <w:tcPr>
            <w:tcW w:w="1417" w:type="dxa"/>
            <w:tcBorders>
              <w:bottom w:val="single" w:sz="4" w:space="0" w:color="auto"/>
            </w:tcBorders>
          </w:tcPr>
          <w:p w14:paraId="2FF8197E"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6025 (61.1)</w:t>
            </w:r>
          </w:p>
        </w:tc>
        <w:tc>
          <w:tcPr>
            <w:tcW w:w="993" w:type="dxa"/>
            <w:tcBorders>
              <w:bottom w:val="single" w:sz="4" w:space="0" w:color="auto"/>
            </w:tcBorders>
          </w:tcPr>
          <w:p w14:paraId="5BF6B0C4"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 xml:space="preserve">115 </w:t>
            </w:r>
          </w:p>
        </w:tc>
        <w:tc>
          <w:tcPr>
            <w:tcW w:w="1134" w:type="dxa"/>
            <w:tcBorders>
              <w:bottom w:val="single" w:sz="4" w:space="0" w:color="auto"/>
            </w:tcBorders>
          </w:tcPr>
          <w:p w14:paraId="21E83FAC"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52</w:t>
            </w:r>
          </w:p>
        </w:tc>
        <w:tc>
          <w:tcPr>
            <w:tcW w:w="1275" w:type="dxa"/>
            <w:tcBorders>
              <w:bottom w:val="single" w:sz="4" w:space="0" w:color="auto"/>
            </w:tcBorders>
          </w:tcPr>
          <w:p w14:paraId="65DF759C" w14:textId="77777777" w:rsidR="00FE48D0" w:rsidRPr="00AD30CA" w:rsidRDefault="00FE48D0" w:rsidP="003F39BA">
            <w:pPr>
              <w:spacing w:after="0" w:line="240" w:lineRule="auto"/>
              <w:rPr>
                <w:sz w:val="18"/>
                <w:szCs w:val="18"/>
              </w:rPr>
            </w:pPr>
            <w:r w:rsidRPr="00AD30CA">
              <w:rPr>
                <w:sz w:val="18"/>
                <w:szCs w:val="18"/>
              </w:rPr>
              <w:t>MSSA: 8 (0.1)</w:t>
            </w:r>
          </w:p>
          <w:p w14:paraId="48AFD07E" w14:textId="77777777" w:rsidR="00FE48D0" w:rsidRPr="00AD30CA" w:rsidRDefault="00FE48D0" w:rsidP="003F39BA">
            <w:pPr>
              <w:spacing w:after="0" w:line="240" w:lineRule="auto"/>
              <w:rPr>
                <w:sz w:val="18"/>
                <w:szCs w:val="18"/>
              </w:rPr>
            </w:pPr>
            <w:r w:rsidRPr="00AD30CA">
              <w:rPr>
                <w:sz w:val="18"/>
                <w:szCs w:val="18"/>
              </w:rPr>
              <w:t>Any</w:t>
            </w:r>
            <w:r w:rsidRPr="00AD30CA">
              <w:rPr>
                <w:sz w:val="18"/>
                <w:szCs w:val="18"/>
                <w:vertAlign w:val="superscript"/>
              </w:rPr>
              <w:t>c</w:t>
            </w:r>
            <w:r w:rsidRPr="00AD30CA">
              <w:rPr>
                <w:sz w:val="18"/>
                <w:szCs w:val="18"/>
              </w:rPr>
              <w:t>: 23 (0.4)</w:t>
            </w:r>
          </w:p>
        </w:tc>
        <w:tc>
          <w:tcPr>
            <w:tcW w:w="1037" w:type="dxa"/>
            <w:tcBorders>
              <w:bottom w:val="single" w:sz="4" w:space="0" w:color="auto"/>
            </w:tcBorders>
          </w:tcPr>
          <w:p w14:paraId="1BDE3E0E" w14:textId="77777777" w:rsidR="00FE48D0" w:rsidRPr="00AD30CA" w:rsidRDefault="00FE48D0" w:rsidP="003F39BA">
            <w:pPr>
              <w:spacing w:after="0" w:line="240" w:lineRule="auto"/>
              <w:rPr>
                <w:rFonts w:asciiTheme="minorHAnsi" w:hAnsiTheme="minorHAnsi" w:cstheme="minorBidi"/>
                <w:sz w:val="18"/>
                <w:szCs w:val="18"/>
              </w:rPr>
            </w:pPr>
            <w:r w:rsidRPr="00AD30CA">
              <w:rPr>
                <w:rFonts w:asciiTheme="minorHAnsi" w:hAnsiTheme="minorHAnsi" w:cstheme="minorBidi"/>
                <w:sz w:val="18"/>
                <w:szCs w:val="18"/>
              </w:rPr>
              <w:t>183 (2.9)</w:t>
            </w:r>
          </w:p>
        </w:tc>
      </w:tr>
      <w:tr w:rsidR="00FE48D0" w:rsidRPr="00AD30CA" w14:paraId="6609A8F7" w14:textId="77777777" w:rsidTr="003F39BA">
        <w:trPr>
          <w:trHeight w:val="295"/>
        </w:trPr>
        <w:tc>
          <w:tcPr>
            <w:tcW w:w="14640" w:type="dxa"/>
            <w:gridSpan w:val="12"/>
            <w:tcBorders>
              <w:top w:val="single" w:sz="4" w:space="0" w:color="auto"/>
              <w:left w:val="nil"/>
              <w:bottom w:val="nil"/>
              <w:right w:val="nil"/>
            </w:tcBorders>
          </w:tcPr>
          <w:p w14:paraId="588AF5EF" w14:textId="3405ABF1" w:rsidR="00FE48D0" w:rsidRPr="00AD30CA" w:rsidRDefault="00FE48D0" w:rsidP="003F39BA">
            <w:pPr>
              <w:pStyle w:val="CommentText"/>
              <w:spacing w:after="0"/>
              <w:rPr>
                <w:sz w:val="18"/>
                <w:szCs w:val="18"/>
              </w:rPr>
            </w:pPr>
            <w:r w:rsidRPr="00AD30CA">
              <w:rPr>
                <w:rFonts w:asciiTheme="minorHAnsi" w:eastAsiaTheme="minorHAnsi" w:hAnsiTheme="minorHAnsi" w:cstheme="minorBidi"/>
                <w:sz w:val="18"/>
                <w:szCs w:val="18"/>
                <w:lang w:eastAsia="en-US"/>
              </w:rPr>
              <w:t xml:space="preserve">M=Male, F=Female, Hb reported in g/L, ferritin reported in mcg/L, ESR reported in mm/hour, eGFR reported in ml/min, CRP = C-reactive protein reported in mg/L, </w:t>
            </w:r>
            <w:r w:rsidR="00CE43AD">
              <w:rPr>
                <w:rFonts w:asciiTheme="minorHAnsi" w:eastAsiaTheme="minorHAnsi" w:hAnsiTheme="minorHAnsi" w:cstheme="minorBidi"/>
                <w:sz w:val="18"/>
                <w:szCs w:val="18"/>
                <w:lang w:eastAsia="en-US"/>
              </w:rPr>
              <w:t xml:space="preserve">IV = intravenous, </w:t>
            </w:r>
            <w:r w:rsidRPr="00AD30CA">
              <w:rPr>
                <w:rFonts w:asciiTheme="minorHAnsi" w:eastAsiaTheme="minorHAnsi" w:hAnsiTheme="minorHAnsi" w:cstheme="minorBidi"/>
                <w:sz w:val="18"/>
                <w:szCs w:val="18"/>
                <w:lang w:eastAsia="en-US"/>
              </w:rPr>
              <w:t xml:space="preserve">TDS = Three times per day </w:t>
            </w:r>
            <w:r w:rsidRPr="00AD30CA">
              <w:rPr>
                <w:sz w:val="18"/>
                <w:szCs w:val="18"/>
                <w:vertAlign w:val="superscript"/>
              </w:rPr>
              <w:t xml:space="preserve">a </w:t>
            </w:r>
            <w:r w:rsidRPr="00AD30CA">
              <w:rPr>
                <w:sz w:val="18"/>
                <w:szCs w:val="18"/>
              </w:rPr>
              <w:t>during 12 month trial measurement period</w:t>
            </w:r>
            <w:r w:rsidRPr="00AD30CA">
              <w:rPr>
                <w:rFonts w:asciiTheme="minorHAnsi" w:eastAsiaTheme="minorHAnsi" w:hAnsiTheme="minorHAnsi" w:cstheme="minorBidi"/>
                <w:sz w:val="18"/>
                <w:szCs w:val="18"/>
                <w:lang w:eastAsia="en-US"/>
              </w:rPr>
              <w:t xml:space="preserve"> </w:t>
            </w:r>
            <w:r w:rsidRPr="00AD30CA">
              <w:rPr>
                <w:rFonts w:asciiTheme="minorHAnsi" w:eastAsiaTheme="minorHAnsi" w:hAnsiTheme="minorHAnsi" w:cstheme="minorBidi"/>
                <w:sz w:val="18"/>
                <w:szCs w:val="18"/>
                <w:vertAlign w:val="superscript"/>
                <w:lang w:eastAsia="en-US"/>
              </w:rPr>
              <w:t>b</w:t>
            </w:r>
            <w:r w:rsidRPr="00AD30CA">
              <w:rPr>
                <w:sz w:val="18"/>
                <w:szCs w:val="18"/>
              </w:rPr>
              <w:t xml:space="preserve">using either CDC or PHE definitions for deep or superficial SSI </w:t>
            </w:r>
            <w:r w:rsidRPr="00AD30CA">
              <w:rPr>
                <w:sz w:val="18"/>
                <w:szCs w:val="18"/>
                <w:vertAlign w:val="superscript"/>
              </w:rPr>
              <w:t xml:space="preserve">c </w:t>
            </w:r>
            <w:r w:rsidRPr="00AD30CA">
              <w:rPr>
                <w:sz w:val="18"/>
                <w:szCs w:val="18"/>
              </w:rPr>
              <w:t>including MSSA</w:t>
            </w:r>
          </w:p>
        </w:tc>
      </w:tr>
    </w:tbl>
    <w:p w14:paraId="1BBAA623" w14:textId="77777777" w:rsidR="00FE48D0" w:rsidRPr="0050087A" w:rsidRDefault="00FE48D0" w:rsidP="00F52F91"/>
    <w:sectPr w:rsidR="00FE48D0" w:rsidRPr="0050087A" w:rsidSect="00AD493B">
      <w:footerReference w:type="even" r:id="rId11"/>
      <w:footerReference w:type="default" r:id="rId12"/>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33A1B" w14:textId="77777777" w:rsidR="0077510E" w:rsidRDefault="0077510E" w:rsidP="00D517F7">
      <w:pPr>
        <w:spacing w:after="0" w:line="240" w:lineRule="auto"/>
      </w:pPr>
      <w:r>
        <w:separator/>
      </w:r>
    </w:p>
  </w:endnote>
  <w:endnote w:type="continuationSeparator" w:id="0">
    <w:p w14:paraId="4A4B66C5" w14:textId="77777777" w:rsidR="0077510E" w:rsidRDefault="0077510E" w:rsidP="00D51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29000771"/>
      <w:docPartObj>
        <w:docPartGallery w:val="Page Numbers (Bottom of Page)"/>
        <w:docPartUnique/>
      </w:docPartObj>
    </w:sdtPr>
    <w:sdtEndPr>
      <w:rPr>
        <w:rStyle w:val="PageNumber"/>
      </w:rPr>
    </w:sdtEndPr>
    <w:sdtContent>
      <w:p w14:paraId="66023D05" w14:textId="77777777" w:rsidR="0034268E" w:rsidRDefault="0034268E" w:rsidP="0041246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EBE738" w14:textId="77777777" w:rsidR="0034268E" w:rsidRDefault="00342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02696294"/>
      <w:docPartObj>
        <w:docPartGallery w:val="Page Numbers (Bottom of Page)"/>
        <w:docPartUnique/>
      </w:docPartObj>
    </w:sdtPr>
    <w:sdtEndPr>
      <w:rPr>
        <w:rStyle w:val="PageNumber"/>
      </w:rPr>
    </w:sdtEndPr>
    <w:sdtContent>
      <w:p w14:paraId="45384593" w14:textId="5E5084DB" w:rsidR="0034268E" w:rsidRDefault="0034268E" w:rsidP="0041246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D4DFE">
          <w:rPr>
            <w:rStyle w:val="PageNumber"/>
            <w:noProof/>
          </w:rPr>
          <w:t>2</w:t>
        </w:r>
        <w:r>
          <w:rPr>
            <w:rStyle w:val="PageNumber"/>
          </w:rPr>
          <w:fldChar w:fldCharType="end"/>
        </w:r>
      </w:p>
    </w:sdtContent>
  </w:sdt>
  <w:p w14:paraId="1AD1EB93" w14:textId="77777777" w:rsidR="0034268E" w:rsidRDefault="003426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58406467"/>
      <w:docPartObj>
        <w:docPartGallery w:val="Page Numbers (Bottom of Page)"/>
        <w:docPartUnique/>
      </w:docPartObj>
    </w:sdtPr>
    <w:sdtEndPr>
      <w:rPr>
        <w:rStyle w:val="PageNumber"/>
      </w:rPr>
    </w:sdtEndPr>
    <w:sdtContent>
      <w:p w14:paraId="2FB7FCD3" w14:textId="5FDF6DD3" w:rsidR="0034268E" w:rsidRDefault="0034268E" w:rsidP="0041246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490A64" w14:textId="77777777" w:rsidR="0034268E" w:rsidRDefault="003426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83615774"/>
      <w:docPartObj>
        <w:docPartGallery w:val="Page Numbers (Bottom of Page)"/>
        <w:docPartUnique/>
      </w:docPartObj>
    </w:sdtPr>
    <w:sdtEndPr>
      <w:rPr>
        <w:rStyle w:val="PageNumber"/>
      </w:rPr>
    </w:sdtEndPr>
    <w:sdtContent>
      <w:p w14:paraId="2EB818D5" w14:textId="0C966429" w:rsidR="0034268E" w:rsidRDefault="0034268E" w:rsidP="0041246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D4DFE">
          <w:rPr>
            <w:rStyle w:val="PageNumber"/>
            <w:noProof/>
          </w:rPr>
          <w:t>53</w:t>
        </w:r>
        <w:r>
          <w:rPr>
            <w:rStyle w:val="PageNumber"/>
          </w:rPr>
          <w:fldChar w:fldCharType="end"/>
        </w:r>
      </w:p>
    </w:sdtContent>
  </w:sdt>
  <w:p w14:paraId="49C277EF" w14:textId="77777777" w:rsidR="0034268E" w:rsidRDefault="00342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4F95A" w14:textId="77777777" w:rsidR="0077510E" w:rsidRDefault="0077510E" w:rsidP="00D517F7">
      <w:pPr>
        <w:spacing w:after="0" w:line="240" w:lineRule="auto"/>
      </w:pPr>
      <w:r>
        <w:separator/>
      </w:r>
    </w:p>
  </w:footnote>
  <w:footnote w:type="continuationSeparator" w:id="0">
    <w:p w14:paraId="06D171A6" w14:textId="77777777" w:rsidR="0077510E" w:rsidRDefault="0077510E" w:rsidP="00D51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F9E"/>
    <w:multiLevelType w:val="hybridMultilevel"/>
    <w:tmpl w:val="2C3C7956"/>
    <w:lvl w:ilvl="0" w:tplc="13D42404">
      <w:start w:val="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14D5C"/>
    <w:multiLevelType w:val="hybridMultilevel"/>
    <w:tmpl w:val="3E62B4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63893"/>
    <w:multiLevelType w:val="hybridMultilevel"/>
    <w:tmpl w:val="3BFA5A54"/>
    <w:lvl w:ilvl="0" w:tplc="A1FCEED6">
      <w:start w:val="4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D667D"/>
    <w:multiLevelType w:val="hybridMultilevel"/>
    <w:tmpl w:val="3ACC3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066757"/>
    <w:multiLevelType w:val="hybridMultilevel"/>
    <w:tmpl w:val="7722D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86E2E"/>
    <w:multiLevelType w:val="hybridMultilevel"/>
    <w:tmpl w:val="814E3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F92DC2"/>
    <w:multiLevelType w:val="hybridMultilevel"/>
    <w:tmpl w:val="7124D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B2E1E"/>
    <w:multiLevelType w:val="hybridMultilevel"/>
    <w:tmpl w:val="6FA45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3024E"/>
    <w:multiLevelType w:val="hybridMultilevel"/>
    <w:tmpl w:val="50FE9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926B9"/>
    <w:multiLevelType w:val="hybridMultilevel"/>
    <w:tmpl w:val="720E2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A086E"/>
    <w:multiLevelType w:val="hybridMultilevel"/>
    <w:tmpl w:val="F7960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454884"/>
    <w:multiLevelType w:val="hybridMultilevel"/>
    <w:tmpl w:val="BE401C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9F1E73"/>
    <w:multiLevelType w:val="hybridMultilevel"/>
    <w:tmpl w:val="89D65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091ECE"/>
    <w:multiLevelType w:val="hybridMultilevel"/>
    <w:tmpl w:val="048CB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BB6242"/>
    <w:multiLevelType w:val="hybridMultilevel"/>
    <w:tmpl w:val="AAD05EA8"/>
    <w:lvl w:ilvl="0" w:tplc="B9C8A3CE">
      <w:start w:val="5500"/>
      <w:numFmt w:val="bullet"/>
      <w:lvlText w:val="-"/>
      <w:lvlJc w:val="left"/>
      <w:pPr>
        <w:ind w:left="720" w:hanging="360"/>
      </w:pPr>
      <w:rPr>
        <w:rFonts w:ascii="Calibri" w:eastAsiaTheme="maj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1B515E"/>
    <w:multiLevelType w:val="hybridMultilevel"/>
    <w:tmpl w:val="99F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3313EC"/>
    <w:multiLevelType w:val="hybridMultilevel"/>
    <w:tmpl w:val="7EE81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5C54B3"/>
    <w:multiLevelType w:val="hybridMultilevel"/>
    <w:tmpl w:val="69403F94"/>
    <w:lvl w:ilvl="0" w:tplc="5774572A">
      <w:start w:val="550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723C3"/>
    <w:multiLevelType w:val="hybridMultilevel"/>
    <w:tmpl w:val="21A07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ED2C11"/>
    <w:multiLevelType w:val="hybridMultilevel"/>
    <w:tmpl w:val="6554E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3C232A"/>
    <w:multiLevelType w:val="hybridMultilevel"/>
    <w:tmpl w:val="9D74F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479FD"/>
    <w:multiLevelType w:val="hybridMultilevel"/>
    <w:tmpl w:val="EE3E4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EE7A8A"/>
    <w:multiLevelType w:val="hybridMultilevel"/>
    <w:tmpl w:val="11C0425E"/>
    <w:lvl w:ilvl="0" w:tplc="65FE3C1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E803C0"/>
    <w:multiLevelType w:val="hybridMultilevel"/>
    <w:tmpl w:val="21A07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961166"/>
    <w:multiLevelType w:val="hybridMultilevel"/>
    <w:tmpl w:val="0030A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D707C3"/>
    <w:multiLevelType w:val="hybridMultilevel"/>
    <w:tmpl w:val="EFD20D36"/>
    <w:lvl w:ilvl="0" w:tplc="65FE3C1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715C53"/>
    <w:multiLevelType w:val="hybridMultilevel"/>
    <w:tmpl w:val="31CAA0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6B6CA3A6">
      <w:start w:val="183"/>
      <w:numFmt w:val="decimal"/>
      <w:lvlText w:val="%3"/>
      <w:lvlJc w:val="left"/>
      <w:pPr>
        <w:ind w:left="2340" w:hanging="360"/>
      </w:pPr>
      <w:rPr>
        <w:rFonts w:asciiTheme="minorHAnsi" w:hAnsiTheme="minorHAnsi" w:cstheme="minorBidi" w:hint="default"/>
        <w:sz w:val="18"/>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596CD2"/>
    <w:multiLevelType w:val="hybridMultilevel"/>
    <w:tmpl w:val="FC9EDE0E"/>
    <w:lvl w:ilvl="0" w:tplc="155A6DA0">
      <w:start w:val="3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084339"/>
    <w:multiLevelType w:val="hybridMultilevel"/>
    <w:tmpl w:val="64EAC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4"/>
  </w:num>
  <w:num w:numId="3">
    <w:abstractNumId w:val="23"/>
  </w:num>
  <w:num w:numId="4">
    <w:abstractNumId w:val="13"/>
  </w:num>
  <w:num w:numId="5">
    <w:abstractNumId w:val="26"/>
  </w:num>
  <w:num w:numId="6">
    <w:abstractNumId w:val="5"/>
  </w:num>
  <w:num w:numId="7">
    <w:abstractNumId w:val="12"/>
  </w:num>
  <w:num w:numId="8">
    <w:abstractNumId w:val="3"/>
  </w:num>
  <w:num w:numId="9">
    <w:abstractNumId w:val="11"/>
  </w:num>
  <w:num w:numId="10">
    <w:abstractNumId w:val="4"/>
  </w:num>
  <w:num w:numId="11">
    <w:abstractNumId w:val="28"/>
  </w:num>
  <w:num w:numId="12">
    <w:abstractNumId w:val="19"/>
  </w:num>
  <w:num w:numId="13">
    <w:abstractNumId w:val="21"/>
  </w:num>
  <w:num w:numId="14">
    <w:abstractNumId w:val="15"/>
  </w:num>
  <w:num w:numId="15">
    <w:abstractNumId w:val="22"/>
  </w:num>
  <w:num w:numId="16">
    <w:abstractNumId w:val="24"/>
  </w:num>
  <w:num w:numId="17">
    <w:abstractNumId w:val="25"/>
  </w:num>
  <w:num w:numId="18">
    <w:abstractNumId w:val="1"/>
  </w:num>
  <w:num w:numId="19">
    <w:abstractNumId w:val="16"/>
  </w:num>
  <w:num w:numId="20">
    <w:abstractNumId w:val="7"/>
  </w:num>
  <w:num w:numId="21">
    <w:abstractNumId w:val="18"/>
  </w:num>
  <w:num w:numId="22">
    <w:abstractNumId w:val="10"/>
  </w:num>
  <w:num w:numId="23">
    <w:abstractNumId w:val="6"/>
  </w:num>
  <w:num w:numId="24">
    <w:abstractNumId w:val="9"/>
  </w:num>
  <w:num w:numId="25">
    <w:abstractNumId w:val="8"/>
  </w:num>
  <w:num w:numId="26">
    <w:abstractNumId w:val="0"/>
  </w:num>
  <w:num w:numId="27">
    <w:abstractNumId w:val="27"/>
  </w:num>
  <w:num w:numId="28">
    <w:abstractNumId w:val="2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64"/>
    <w:rsid w:val="000032F6"/>
    <w:rsid w:val="0000419A"/>
    <w:rsid w:val="00004228"/>
    <w:rsid w:val="0000787C"/>
    <w:rsid w:val="00007F82"/>
    <w:rsid w:val="00013A65"/>
    <w:rsid w:val="00015904"/>
    <w:rsid w:val="00022465"/>
    <w:rsid w:val="00022743"/>
    <w:rsid w:val="00022998"/>
    <w:rsid w:val="00024319"/>
    <w:rsid w:val="0002609A"/>
    <w:rsid w:val="00026E92"/>
    <w:rsid w:val="000273E9"/>
    <w:rsid w:val="0002740B"/>
    <w:rsid w:val="0002795F"/>
    <w:rsid w:val="00032DEB"/>
    <w:rsid w:val="00032E77"/>
    <w:rsid w:val="000334B2"/>
    <w:rsid w:val="00035759"/>
    <w:rsid w:val="000362D4"/>
    <w:rsid w:val="00041E0C"/>
    <w:rsid w:val="00041E39"/>
    <w:rsid w:val="000476CF"/>
    <w:rsid w:val="00050218"/>
    <w:rsid w:val="000537ED"/>
    <w:rsid w:val="0005496B"/>
    <w:rsid w:val="0005514F"/>
    <w:rsid w:val="000557BD"/>
    <w:rsid w:val="00055D78"/>
    <w:rsid w:val="00057257"/>
    <w:rsid w:val="00062297"/>
    <w:rsid w:val="000627C0"/>
    <w:rsid w:val="00062DAE"/>
    <w:rsid w:val="00063A25"/>
    <w:rsid w:val="00063AC8"/>
    <w:rsid w:val="00065167"/>
    <w:rsid w:val="00065B16"/>
    <w:rsid w:val="00067E9C"/>
    <w:rsid w:val="00067FB7"/>
    <w:rsid w:val="00070C56"/>
    <w:rsid w:val="000733E5"/>
    <w:rsid w:val="00073598"/>
    <w:rsid w:val="00074328"/>
    <w:rsid w:val="0007463D"/>
    <w:rsid w:val="00080243"/>
    <w:rsid w:val="0008078C"/>
    <w:rsid w:val="00081B92"/>
    <w:rsid w:val="00082B26"/>
    <w:rsid w:val="00083A85"/>
    <w:rsid w:val="00084C7E"/>
    <w:rsid w:val="0008618F"/>
    <w:rsid w:val="0008678A"/>
    <w:rsid w:val="000907DD"/>
    <w:rsid w:val="00090FC8"/>
    <w:rsid w:val="00092BC6"/>
    <w:rsid w:val="00093B16"/>
    <w:rsid w:val="00094845"/>
    <w:rsid w:val="0009530F"/>
    <w:rsid w:val="00096B28"/>
    <w:rsid w:val="000A0484"/>
    <w:rsid w:val="000A0811"/>
    <w:rsid w:val="000A416D"/>
    <w:rsid w:val="000A4453"/>
    <w:rsid w:val="000A57DA"/>
    <w:rsid w:val="000A6005"/>
    <w:rsid w:val="000B1F99"/>
    <w:rsid w:val="000B28A4"/>
    <w:rsid w:val="000B2B31"/>
    <w:rsid w:val="000B4C3D"/>
    <w:rsid w:val="000B59FC"/>
    <w:rsid w:val="000B6B37"/>
    <w:rsid w:val="000C4D31"/>
    <w:rsid w:val="000C7EDD"/>
    <w:rsid w:val="000D03E7"/>
    <w:rsid w:val="000D12DE"/>
    <w:rsid w:val="000D2A91"/>
    <w:rsid w:val="000D3480"/>
    <w:rsid w:val="000D53BB"/>
    <w:rsid w:val="000D55D9"/>
    <w:rsid w:val="000E0F53"/>
    <w:rsid w:val="000E1CE3"/>
    <w:rsid w:val="000E2E8C"/>
    <w:rsid w:val="000E368E"/>
    <w:rsid w:val="000F54F1"/>
    <w:rsid w:val="000F5744"/>
    <w:rsid w:val="000F6461"/>
    <w:rsid w:val="000F6771"/>
    <w:rsid w:val="000F6BF9"/>
    <w:rsid w:val="000F7BE4"/>
    <w:rsid w:val="00100DEB"/>
    <w:rsid w:val="001058E6"/>
    <w:rsid w:val="001076AF"/>
    <w:rsid w:val="00111360"/>
    <w:rsid w:val="00112994"/>
    <w:rsid w:val="00112D3A"/>
    <w:rsid w:val="0011303B"/>
    <w:rsid w:val="00114ED3"/>
    <w:rsid w:val="00116029"/>
    <w:rsid w:val="001170A7"/>
    <w:rsid w:val="0011710D"/>
    <w:rsid w:val="001209AB"/>
    <w:rsid w:val="001229A1"/>
    <w:rsid w:val="001230B2"/>
    <w:rsid w:val="001251A7"/>
    <w:rsid w:val="001257AB"/>
    <w:rsid w:val="001262D8"/>
    <w:rsid w:val="00126D3B"/>
    <w:rsid w:val="001275B4"/>
    <w:rsid w:val="00131098"/>
    <w:rsid w:val="001330B9"/>
    <w:rsid w:val="001349C0"/>
    <w:rsid w:val="00135D66"/>
    <w:rsid w:val="00135EA9"/>
    <w:rsid w:val="00137AEF"/>
    <w:rsid w:val="001422FE"/>
    <w:rsid w:val="00145848"/>
    <w:rsid w:val="00147A4D"/>
    <w:rsid w:val="00147C91"/>
    <w:rsid w:val="0015156A"/>
    <w:rsid w:val="001536AA"/>
    <w:rsid w:val="00156B2E"/>
    <w:rsid w:val="0015751B"/>
    <w:rsid w:val="00157B0B"/>
    <w:rsid w:val="00160952"/>
    <w:rsid w:val="00162226"/>
    <w:rsid w:val="00162899"/>
    <w:rsid w:val="00163656"/>
    <w:rsid w:val="00163A8D"/>
    <w:rsid w:val="00167581"/>
    <w:rsid w:val="00167C73"/>
    <w:rsid w:val="001729AB"/>
    <w:rsid w:val="00173094"/>
    <w:rsid w:val="001733CD"/>
    <w:rsid w:val="00173A81"/>
    <w:rsid w:val="00174F5F"/>
    <w:rsid w:val="00180BD1"/>
    <w:rsid w:val="0018185D"/>
    <w:rsid w:val="00185CB4"/>
    <w:rsid w:val="00191B93"/>
    <w:rsid w:val="00191D50"/>
    <w:rsid w:val="0019322B"/>
    <w:rsid w:val="00194ADE"/>
    <w:rsid w:val="00195FE4"/>
    <w:rsid w:val="00197719"/>
    <w:rsid w:val="001A0A15"/>
    <w:rsid w:val="001A0BF4"/>
    <w:rsid w:val="001A45E9"/>
    <w:rsid w:val="001A47A3"/>
    <w:rsid w:val="001A678F"/>
    <w:rsid w:val="001A7A6D"/>
    <w:rsid w:val="001B0B58"/>
    <w:rsid w:val="001B0C58"/>
    <w:rsid w:val="001B10A9"/>
    <w:rsid w:val="001B1D32"/>
    <w:rsid w:val="001B2D3F"/>
    <w:rsid w:val="001B7F85"/>
    <w:rsid w:val="001C2D12"/>
    <w:rsid w:val="001C2FAE"/>
    <w:rsid w:val="001C3BA6"/>
    <w:rsid w:val="001C48AA"/>
    <w:rsid w:val="001C5D1C"/>
    <w:rsid w:val="001E0A36"/>
    <w:rsid w:val="001E0D69"/>
    <w:rsid w:val="001E393B"/>
    <w:rsid w:val="001E47D9"/>
    <w:rsid w:val="001E7B23"/>
    <w:rsid w:val="001F1FB8"/>
    <w:rsid w:val="001F47FA"/>
    <w:rsid w:val="001F556D"/>
    <w:rsid w:val="00200EF2"/>
    <w:rsid w:val="002018E7"/>
    <w:rsid w:val="00205641"/>
    <w:rsid w:val="00206839"/>
    <w:rsid w:val="00206A75"/>
    <w:rsid w:val="0020742B"/>
    <w:rsid w:val="002120E3"/>
    <w:rsid w:val="00212991"/>
    <w:rsid w:val="002162BB"/>
    <w:rsid w:val="00220A64"/>
    <w:rsid w:val="002210E5"/>
    <w:rsid w:val="002219A1"/>
    <w:rsid w:val="00222242"/>
    <w:rsid w:val="00222BA5"/>
    <w:rsid w:val="00223819"/>
    <w:rsid w:val="00223EEA"/>
    <w:rsid w:val="0022733B"/>
    <w:rsid w:val="00232094"/>
    <w:rsid w:val="002339C4"/>
    <w:rsid w:val="00234865"/>
    <w:rsid w:val="00235C27"/>
    <w:rsid w:val="00237811"/>
    <w:rsid w:val="002413D7"/>
    <w:rsid w:val="00242AEE"/>
    <w:rsid w:val="0024335F"/>
    <w:rsid w:val="00243783"/>
    <w:rsid w:val="00254053"/>
    <w:rsid w:val="00254B07"/>
    <w:rsid w:val="002564F4"/>
    <w:rsid w:val="002601FD"/>
    <w:rsid w:val="00260A17"/>
    <w:rsid w:val="002650E5"/>
    <w:rsid w:val="00266316"/>
    <w:rsid w:val="00271644"/>
    <w:rsid w:val="00273069"/>
    <w:rsid w:val="00273330"/>
    <w:rsid w:val="002748D0"/>
    <w:rsid w:val="00277D01"/>
    <w:rsid w:val="00281E4F"/>
    <w:rsid w:val="00282AAD"/>
    <w:rsid w:val="00284088"/>
    <w:rsid w:val="00284934"/>
    <w:rsid w:val="00290014"/>
    <w:rsid w:val="00290B83"/>
    <w:rsid w:val="00290C43"/>
    <w:rsid w:val="0029200C"/>
    <w:rsid w:val="00295E9E"/>
    <w:rsid w:val="00296E9E"/>
    <w:rsid w:val="00297B1A"/>
    <w:rsid w:val="002A0B19"/>
    <w:rsid w:val="002A0B97"/>
    <w:rsid w:val="002A1CB2"/>
    <w:rsid w:val="002A33E7"/>
    <w:rsid w:val="002A5BF2"/>
    <w:rsid w:val="002B0A0A"/>
    <w:rsid w:val="002B2335"/>
    <w:rsid w:val="002B3BFF"/>
    <w:rsid w:val="002B484E"/>
    <w:rsid w:val="002C11B0"/>
    <w:rsid w:val="002C1AA1"/>
    <w:rsid w:val="002C5504"/>
    <w:rsid w:val="002D7A38"/>
    <w:rsid w:val="002E0181"/>
    <w:rsid w:val="002E1C63"/>
    <w:rsid w:val="002E2CB5"/>
    <w:rsid w:val="002E3223"/>
    <w:rsid w:val="002E75C4"/>
    <w:rsid w:val="002F11F8"/>
    <w:rsid w:val="002F7841"/>
    <w:rsid w:val="00300974"/>
    <w:rsid w:val="00300BFE"/>
    <w:rsid w:val="00304F08"/>
    <w:rsid w:val="00306682"/>
    <w:rsid w:val="00306A9D"/>
    <w:rsid w:val="00306DF8"/>
    <w:rsid w:val="0031181E"/>
    <w:rsid w:val="00320720"/>
    <w:rsid w:val="0032584A"/>
    <w:rsid w:val="003260E6"/>
    <w:rsid w:val="0032632D"/>
    <w:rsid w:val="00326381"/>
    <w:rsid w:val="00326CFE"/>
    <w:rsid w:val="003274FE"/>
    <w:rsid w:val="00327B6F"/>
    <w:rsid w:val="003317D4"/>
    <w:rsid w:val="0033269A"/>
    <w:rsid w:val="00332831"/>
    <w:rsid w:val="00332DBF"/>
    <w:rsid w:val="00334EB9"/>
    <w:rsid w:val="00335BD3"/>
    <w:rsid w:val="00336E78"/>
    <w:rsid w:val="00337A3B"/>
    <w:rsid w:val="0034207E"/>
    <w:rsid w:val="00342201"/>
    <w:rsid w:val="0034268E"/>
    <w:rsid w:val="00343308"/>
    <w:rsid w:val="00343525"/>
    <w:rsid w:val="003435B7"/>
    <w:rsid w:val="00343E99"/>
    <w:rsid w:val="00347206"/>
    <w:rsid w:val="003476DB"/>
    <w:rsid w:val="00356353"/>
    <w:rsid w:val="00357398"/>
    <w:rsid w:val="0036144E"/>
    <w:rsid w:val="003614DF"/>
    <w:rsid w:val="0036404A"/>
    <w:rsid w:val="003672AC"/>
    <w:rsid w:val="00367573"/>
    <w:rsid w:val="003704FA"/>
    <w:rsid w:val="00370620"/>
    <w:rsid w:val="00371128"/>
    <w:rsid w:val="0037208B"/>
    <w:rsid w:val="00374E50"/>
    <w:rsid w:val="00376FC2"/>
    <w:rsid w:val="00377258"/>
    <w:rsid w:val="003776ED"/>
    <w:rsid w:val="00383146"/>
    <w:rsid w:val="003847B6"/>
    <w:rsid w:val="003850A7"/>
    <w:rsid w:val="00391ED8"/>
    <w:rsid w:val="00394732"/>
    <w:rsid w:val="003A0169"/>
    <w:rsid w:val="003A229D"/>
    <w:rsid w:val="003B2A16"/>
    <w:rsid w:val="003B3071"/>
    <w:rsid w:val="003B4676"/>
    <w:rsid w:val="003B5F18"/>
    <w:rsid w:val="003B76FF"/>
    <w:rsid w:val="003C0275"/>
    <w:rsid w:val="003C1D1D"/>
    <w:rsid w:val="003C503B"/>
    <w:rsid w:val="003D39B7"/>
    <w:rsid w:val="003D3B05"/>
    <w:rsid w:val="003D4AFD"/>
    <w:rsid w:val="003D4D9E"/>
    <w:rsid w:val="003D4FDE"/>
    <w:rsid w:val="003E2F54"/>
    <w:rsid w:val="003F1328"/>
    <w:rsid w:val="003F1F5F"/>
    <w:rsid w:val="003F2DF6"/>
    <w:rsid w:val="003F39BA"/>
    <w:rsid w:val="003F3F91"/>
    <w:rsid w:val="003F4B9D"/>
    <w:rsid w:val="003F591C"/>
    <w:rsid w:val="003F5A1E"/>
    <w:rsid w:val="003F790D"/>
    <w:rsid w:val="004055D0"/>
    <w:rsid w:val="00406042"/>
    <w:rsid w:val="00406494"/>
    <w:rsid w:val="00406CFA"/>
    <w:rsid w:val="00407AAA"/>
    <w:rsid w:val="004104EF"/>
    <w:rsid w:val="00410D4E"/>
    <w:rsid w:val="004118CC"/>
    <w:rsid w:val="00411A23"/>
    <w:rsid w:val="00412467"/>
    <w:rsid w:val="00414F63"/>
    <w:rsid w:val="00415E77"/>
    <w:rsid w:val="00416C94"/>
    <w:rsid w:val="00417AFF"/>
    <w:rsid w:val="00417F99"/>
    <w:rsid w:val="00421241"/>
    <w:rsid w:val="004217FE"/>
    <w:rsid w:val="00421966"/>
    <w:rsid w:val="00421C30"/>
    <w:rsid w:val="00422342"/>
    <w:rsid w:val="00424197"/>
    <w:rsid w:val="00427942"/>
    <w:rsid w:val="00427B89"/>
    <w:rsid w:val="0043104E"/>
    <w:rsid w:val="004331A6"/>
    <w:rsid w:val="00437280"/>
    <w:rsid w:val="00440C54"/>
    <w:rsid w:val="00441B96"/>
    <w:rsid w:val="00441D09"/>
    <w:rsid w:val="00446B38"/>
    <w:rsid w:val="00446D77"/>
    <w:rsid w:val="00447C36"/>
    <w:rsid w:val="00450147"/>
    <w:rsid w:val="00450D10"/>
    <w:rsid w:val="004562E1"/>
    <w:rsid w:val="00461DE8"/>
    <w:rsid w:val="00463252"/>
    <w:rsid w:val="00463D25"/>
    <w:rsid w:val="004650F8"/>
    <w:rsid w:val="0046525C"/>
    <w:rsid w:val="0046706F"/>
    <w:rsid w:val="00470B6B"/>
    <w:rsid w:val="0047466F"/>
    <w:rsid w:val="004756FA"/>
    <w:rsid w:val="0047598D"/>
    <w:rsid w:val="004864EF"/>
    <w:rsid w:val="00490B3C"/>
    <w:rsid w:val="00493473"/>
    <w:rsid w:val="004968FA"/>
    <w:rsid w:val="00497871"/>
    <w:rsid w:val="004A101A"/>
    <w:rsid w:val="004A1C8B"/>
    <w:rsid w:val="004A1F16"/>
    <w:rsid w:val="004A6BA3"/>
    <w:rsid w:val="004B18BA"/>
    <w:rsid w:val="004B1926"/>
    <w:rsid w:val="004B3523"/>
    <w:rsid w:val="004B3593"/>
    <w:rsid w:val="004B5F81"/>
    <w:rsid w:val="004B64A7"/>
    <w:rsid w:val="004C1FC4"/>
    <w:rsid w:val="004C33C9"/>
    <w:rsid w:val="004C5C44"/>
    <w:rsid w:val="004C5CEB"/>
    <w:rsid w:val="004C7273"/>
    <w:rsid w:val="004C72B2"/>
    <w:rsid w:val="004D02D9"/>
    <w:rsid w:val="004D0735"/>
    <w:rsid w:val="004D26BA"/>
    <w:rsid w:val="004D2EE6"/>
    <w:rsid w:val="004D2F2B"/>
    <w:rsid w:val="004D4444"/>
    <w:rsid w:val="004D51B0"/>
    <w:rsid w:val="004D73E2"/>
    <w:rsid w:val="004E2AA1"/>
    <w:rsid w:val="004E386B"/>
    <w:rsid w:val="004E408B"/>
    <w:rsid w:val="004E55A2"/>
    <w:rsid w:val="004E6ECA"/>
    <w:rsid w:val="004F2E0D"/>
    <w:rsid w:val="004F4862"/>
    <w:rsid w:val="004F6367"/>
    <w:rsid w:val="004F7240"/>
    <w:rsid w:val="004F73C1"/>
    <w:rsid w:val="0050087A"/>
    <w:rsid w:val="0050294F"/>
    <w:rsid w:val="00505A56"/>
    <w:rsid w:val="005065E4"/>
    <w:rsid w:val="00510111"/>
    <w:rsid w:val="005106F3"/>
    <w:rsid w:val="00510C28"/>
    <w:rsid w:val="00513909"/>
    <w:rsid w:val="00514CEC"/>
    <w:rsid w:val="00524F90"/>
    <w:rsid w:val="0052514D"/>
    <w:rsid w:val="005256DE"/>
    <w:rsid w:val="00534D26"/>
    <w:rsid w:val="005358D6"/>
    <w:rsid w:val="005379DE"/>
    <w:rsid w:val="005403AD"/>
    <w:rsid w:val="005421DF"/>
    <w:rsid w:val="005431D1"/>
    <w:rsid w:val="00544248"/>
    <w:rsid w:val="00544974"/>
    <w:rsid w:val="00546AA5"/>
    <w:rsid w:val="005472E2"/>
    <w:rsid w:val="005512E2"/>
    <w:rsid w:val="00553AF1"/>
    <w:rsid w:val="005547CC"/>
    <w:rsid w:val="00555348"/>
    <w:rsid w:val="0055543F"/>
    <w:rsid w:val="00556CCC"/>
    <w:rsid w:val="005570E6"/>
    <w:rsid w:val="0056086B"/>
    <w:rsid w:val="00560BFB"/>
    <w:rsid w:val="00563276"/>
    <w:rsid w:val="00563F90"/>
    <w:rsid w:val="00573952"/>
    <w:rsid w:val="00583FC7"/>
    <w:rsid w:val="00585A07"/>
    <w:rsid w:val="0058637D"/>
    <w:rsid w:val="00587451"/>
    <w:rsid w:val="00590960"/>
    <w:rsid w:val="00590C17"/>
    <w:rsid w:val="00591145"/>
    <w:rsid w:val="005912E1"/>
    <w:rsid w:val="00592E6F"/>
    <w:rsid w:val="00594856"/>
    <w:rsid w:val="005960F8"/>
    <w:rsid w:val="00596213"/>
    <w:rsid w:val="005A1C10"/>
    <w:rsid w:val="005A3D30"/>
    <w:rsid w:val="005A3EF5"/>
    <w:rsid w:val="005A4A63"/>
    <w:rsid w:val="005A57CD"/>
    <w:rsid w:val="005A6625"/>
    <w:rsid w:val="005B0AEC"/>
    <w:rsid w:val="005B14D6"/>
    <w:rsid w:val="005B1541"/>
    <w:rsid w:val="005B1D14"/>
    <w:rsid w:val="005B3032"/>
    <w:rsid w:val="005B37FB"/>
    <w:rsid w:val="005B698C"/>
    <w:rsid w:val="005C077B"/>
    <w:rsid w:val="005C2012"/>
    <w:rsid w:val="005D1658"/>
    <w:rsid w:val="005D2914"/>
    <w:rsid w:val="005D46C1"/>
    <w:rsid w:val="005D4930"/>
    <w:rsid w:val="005D5ECA"/>
    <w:rsid w:val="005D6365"/>
    <w:rsid w:val="005D6EFC"/>
    <w:rsid w:val="005E1FEE"/>
    <w:rsid w:val="005E30D0"/>
    <w:rsid w:val="005E6A4D"/>
    <w:rsid w:val="005E77BD"/>
    <w:rsid w:val="005E7F34"/>
    <w:rsid w:val="005E7F3A"/>
    <w:rsid w:val="005E7F5E"/>
    <w:rsid w:val="005F0DB5"/>
    <w:rsid w:val="005F2045"/>
    <w:rsid w:val="005F410F"/>
    <w:rsid w:val="005F47F0"/>
    <w:rsid w:val="005F4F95"/>
    <w:rsid w:val="005F56B6"/>
    <w:rsid w:val="005F7BCC"/>
    <w:rsid w:val="005F7F89"/>
    <w:rsid w:val="006002EC"/>
    <w:rsid w:val="0060052C"/>
    <w:rsid w:val="00604D56"/>
    <w:rsid w:val="00605A84"/>
    <w:rsid w:val="0060630F"/>
    <w:rsid w:val="00610163"/>
    <w:rsid w:val="00610F23"/>
    <w:rsid w:val="006144A4"/>
    <w:rsid w:val="006155AE"/>
    <w:rsid w:val="00616630"/>
    <w:rsid w:val="00617155"/>
    <w:rsid w:val="00620810"/>
    <w:rsid w:val="00626A8B"/>
    <w:rsid w:val="00627437"/>
    <w:rsid w:val="00636AFC"/>
    <w:rsid w:val="00636EB9"/>
    <w:rsid w:val="006471EA"/>
    <w:rsid w:val="00651A94"/>
    <w:rsid w:val="0066010A"/>
    <w:rsid w:val="0066189F"/>
    <w:rsid w:val="006645EB"/>
    <w:rsid w:val="006665A0"/>
    <w:rsid w:val="00672231"/>
    <w:rsid w:val="00673ADE"/>
    <w:rsid w:val="00676847"/>
    <w:rsid w:val="00677DBD"/>
    <w:rsid w:val="00683C01"/>
    <w:rsid w:val="00686C31"/>
    <w:rsid w:val="0068753C"/>
    <w:rsid w:val="0069036D"/>
    <w:rsid w:val="00690958"/>
    <w:rsid w:val="00690A93"/>
    <w:rsid w:val="006929F8"/>
    <w:rsid w:val="00694D12"/>
    <w:rsid w:val="00697547"/>
    <w:rsid w:val="006A122A"/>
    <w:rsid w:val="006A25FF"/>
    <w:rsid w:val="006A3B3E"/>
    <w:rsid w:val="006A7958"/>
    <w:rsid w:val="006A7DFF"/>
    <w:rsid w:val="006B0532"/>
    <w:rsid w:val="006B7E9A"/>
    <w:rsid w:val="006C2278"/>
    <w:rsid w:val="006C5713"/>
    <w:rsid w:val="006C5C54"/>
    <w:rsid w:val="006C682C"/>
    <w:rsid w:val="006C774B"/>
    <w:rsid w:val="006D08FC"/>
    <w:rsid w:val="006E01AE"/>
    <w:rsid w:val="006E0B64"/>
    <w:rsid w:val="006E11A5"/>
    <w:rsid w:val="006E1FB7"/>
    <w:rsid w:val="006E39F8"/>
    <w:rsid w:val="006E5159"/>
    <w:rsid w:val="006E5C8D"/>
    <w:rsid w:val="006E6810"/>
    <w:rsid w:val="006F0C00"/>
    <w:rsid w:val="006F2420"/>
    <w:rsid w:val="006F2B21"/>
    <w:rsid w:val="006F3A97"/>
    <w:rsid w:val="006F487D"/>
    <w:rsid w:val="006F6BB2"/>
    <w:rsid w:val="00701E05"/>
    <w:rsid w:val="00704225"/>
    <w:rsid w:val="00705574"/>
    <w:rsid w:val="00711D81"/>
    <w:rsid w:val="00713C8B"/>
    <w:rsid w:val="00713DB4"/>
    <w:rsid w:val="0071429E"/>
    <w:rsid w:val="00714A50"/>
    <w:rsid w:val="00721007"/>
    <w:rsid w:val="00722AF7"/>
    <w:rsid w:val="00726AD1"/>
    <w:rsid w:val="00733703"/>
    <w:rsid w:val="007342DF"/>
    <w:rsid w:val="0074097B"/>
    <w:rsid w:val="007414B3"/>
    <w:rsid w:val="00741C84"/>
    <w:rsid w:val="00743A06"/>
    <w:rsid w:val="007452F9"/>
    <w:rsid w:val="00745662"/>
    <w:rsid w:val="00746025"/>
    <w:rsid w:val="00747C27"/>
    <w:rsid w:val="00747F26"/>
    <w:rsid w:val="0075444F"/>
    <w:rsid w:val="0075517F"/>
    <w:rsid w:val="00757A0B"/>
    <w:rsid w:val="00757BFF"/>
    <w:rsid w:val="0076078D"/>
    <w:rsid w:val="007629C2"/>
    <w:rsid w:val="00763DA5"/>
    <w:rsid w:val="0076408B"/>
    <w:rsid w:val="00766ADF"/>
    <w:rsid w:val="0077510E"/>
    <w:rsid w:val="00777615"/>
    <w:rsid w:val="007833AC"/>
    <w:rsid w:val="00784223"/>
    <w:rsid w:val="00784225"/>
    <w:rsid w:val="00784ABB"/>
    <w:rsid w:val="0079214B"/>
    <w:rsid w:val="0079256B"/>
    <w:rsid w:val="00793F55"/>
    <w:rsid w:val="007944FF"/>
    <w:rsid w:val="0079574F"/>
    <w:rsid w:val="007959A7"/>
    <w:rsid w:val="00796E2A"/>
    <w:rsid w:val="007A350D"/>
    <w:rsid w:val="007A6824"/>
    <w:rsid w:val="007B20CC"/>
    <w:rsid w:val="007B3214"/>
    <w:rsid w:val="007B5A6D"/>
    <w:rsid w:val="007B65E3"/>
    <w:rsid w:val="007B7762"/>
    <w:rsid w:val="007C5154"/>
    <w:rsid w:val="007C6DB7"/>
    <w:rsid w:val="007D1B40"/>
    <w:rsid w:val="007D2DD4"/>
    <w:rsid w:val="007D43A2"/>
    <w:rsid w:val="007D5469"/>
    <w:rsid w:val="007D61CA"/>
    <w:rsid w:val="007E077E"/>
    <w:rsid w:val="007E0D72"/>
    <w:rsid w:val="007E18D8"/>
    <w:rsid w:val="007E2477"/>
    <w:rsid w:val="007E34BE"/>
    <w:rsid w:val="007E58B8"/>
    <w:rsid w:val="007E64A6"/>
    <w:rsid w:val="007F2469"/>
    <w:rsid w:val="007F4B26"/>
    <w:rsid w:val="007F6D4A"/>
    <w:rsid w:val="008004FF"/>
    <w:rsid w:val="008005EE"/>
    <w:rsid w:val="008024D7"/>
    <w:rsid w:val="00804C30"/>
    <w:rsid w:val="0080594D"/>
    <w:rsid w:val="00805CE9"/>
    <w:rsid w:val="00810165"/>
    <w:rsid w:val="008123D5"/>
    <w:rsid w:val="00814192"/>
    <w:rsid w:val="00814387"/>
    <w:rsid w:val="00814BCF"/>
    <w:rsid w:val="0081510F"/>
    <w:rsid w:val="00823D62"/>
    <w:rsid w:val="00823E03"/>
    <w:rsid w:val="00823EF5"/>
    <w:rsid w:val="00824043"/>
    <w:rsid w:val="00825D7F"/>
    <w:rsid w:val="008265EE"/>
    <w:rsid w:val="00831D66"/>
    <w:rsid w:val="008337D9"/>
    <w:rsid w:val="00836AC0"/>
    <w:rsid w:val="00842361"/>
    <w:rsid w:val="00842649"/>
    <w:rsid w:val="00845E08"/>
    <w:rsid w:val="0084636D"/>
    <w:rsid w:val="0084759D"/>
    <w:rsid w:val="00850D3D"/>
    <w:rsid w:val="0085531C"/>
    <w:rsid w:val="00855793"/>
    <w:rsid w:val="008561A8"/>
    <w:rsid w:val="00860BC3"/>
    <w:rsid w:val="00861710"/>
    <w:rsid w:val="00862222"/>
    <w:rsid w:val="00864B9F"/>
    <w:rsid w:val="00864D73"/>
    <w:rsid w:val="00864EB1"/>
    <w:rsid w:val="0086510E"/>
    <w:rsid w:val="00865CCF"/>
    <w:rsid w:val="00865F25"/>
    <w:rsid w:val="0086687D"/>
    <w:rsid w:val="00866D49"/>
    <w:rsid w:val="0087503F"/>
    <w:rsid w:val="008756A2"/>
    <w:rsid w:val="00876416"/>
    <w:rsid w:val="0088218C"/>
    <w:rsid w:val="00883E1C"/>
    <w:rsid w:val="0088511E"/>
    <w:rsid w:val="0088620C"/>
    <w:rsid w:val="008867F2"/>
    <w:rsid w:val="00890996"/>
    <w:rsid w:val="00892849"/>
    <w:rsid w:val="0089590E"/>
    <w:rsid w:val="008961E2"/>
    <w:rsid w:val="008963CE"/>
    <w:rsid w:val="008976FD"/>
    <w:rsid w:val="008A070E"/>
    <w:rsid w:val="008A4850"/>
    <w:rsid w:val="008A67CB"/>
    <w:rsid w:val="008B1770"/>
    <w:rsid w:val="008B3691"/>
    <w:rsid w:val="008B7FDE"/>
    <w:rsid w:val="008C253A"/>
    <w:rsid w:val="008C3CBF"/>
    <w:rsid w:val="008C605B"/>
    <w:rsid w:val="008C6C0C"/>
    <w:rsid w:val="008C6CF7"/>
    <w:rsid w:val="008C7689"/>
    <w:rsid w:val="008D6365"/>
    <w:rsid w:val="008E35D8"/>
    <w:rsid w:val="008E6C84"/>
    <w:rsid w:val="008F4587"/>
    <w:rsid w:val="008F5052"/>
    <w:rsid w:val="00901FFF"/>
    <w:rsid w:val="00902666"/>
    <w:rsid w:val="00902DA2"/>
    <w:rsid w:val="009040E4"/>
    <w:rsid w:val="00905090"/>
    <w:rsid w:val="00906CF9"/>
    <w:rsid w:val="0091249B"/>
    <w:rsid w:val="00912BBB"/>
    <w:rsid w:val="0091374C"/>
    <w:rsid w:val="00917500"/>
    <w:rsid w:val="009178E4"/>
    <w:rsid w:val="00921258"/>
    <w:rsid w:val="009249B4"/>
    <w:rsid w:val="009314FB"/>
    <w:rsid w:val="009352AD"/>
    <w:rsid w:val="009408D7"/>
    <w:rsid w:val="00940B31"/>
    <w:rsid w:val="00946E6E"/>
    <w:rsid w:val="00952A54"/>
    <w:rsid w:val="00952DE3"/>
    <w:rsid w:val="00955287"/>
    <w:rsid w:val="00956377"/>
    <w:rsid w:val="009607CA"/>
    <w:rsid w:val="00962230"/>
    <w:rsid w:val="00964304"/>
    <w:rsid w:val="00965CD2"/>
    <w:rsid w:val="0097035B"/>
    <w:rsid w:val="00974274"/>
    <w:rsid w:val="00975F55"/>
    <w:rsid w:val="009763DF"/>
    <w:rsid w:val="00976FE0"/>
    <w:rsid w:val="0098077D"/>
    <w:rsid w:val="00984985"/>
    <w:rsid w:val="00986E5A"/>
    <w:rsid w:val="00990954"/>
    <w:rsid w:val="009918B0"/>
    <w:rsid w:val="00991C8A"/>
    <w:rsid w:val="00993622"/>
    <w:rsid w:val="0099635F"/>
    <w:rsid w:val="009B0600"/>
    <w:rsid w:val="009B205E"/>
    <w:rsid w:val="009B2474"/>
    <w:rsid w:val="009B269F"/>
    <w:rsid w:val="009B5C6D"/>
    <w:rsid w:val="009B6E56"/>
    <w:rsid w:val="009C372E"/>
    <w:rsid w:val="009C3F41"/>
    <w:rsid w:val="009C4B68"/>
    <w:rsid w:val="009D3706"/>
    <w:rsid w:val="009D4DFE"/>
    <w:rsid w:val="009D4E1A"/>
    <w:rsid w:val="009D5527"/>
    <w:rsid w:val="009E13BE"/>
    <w:rsid w:val="009E3A2E"/>
    <w:rsid w:val="009F19FB"/>
    <w:rsid w:val="00A001E8"/>
    <w:rsid w:val="00A02F87"/>
    <w:rsid w:val="00A032C1"/>
    <w:rsid w:val="00A04023"/>
    <w:rsid w:val="00A067BC"/>
    <w:rsid w:val="00A074CE"/>
    <w:rsid w:val="00A0775D"/>
    <w:rsid w:val="00A102CB"/>
    <w:rsid w:val="00A122DB"/>
    <w:rsid w:val="00A123AD"/>
    <w:rsid w:val="00A13FFA"/>
    <w:rsid w:val="00A16BFB"/>
    <w:rsid w:val="00A217DD"/>
    <w:rsid w:val="00A239BB"/>
    <w:rsid w:val="00A26383"/>
    <w:rsid w:val="00A27E5F"/>
    <w:rsid w:val="00A30E84"/>
    <w:rsid w:val="00A372E8"/>
    <w:rsid w:val="00A3796C"/>
    <w:rsid w:val="00A413D2"/>
    <w:rsid w:val="00A421A6"/>
    <w:rsid w:val="00A42856"/>
    <w:rsid w:val="00A4456A"/>
    <w:rsid w:val="00A45317"/>
    <w:rsid w:val="00A45D87"/>
    <w:rsid w:val="00A52DDF"/>
    <w:rsid w:val="00A5391B"/>
    <w:rsid w:val="00A54852"/>
    <w:rsid w:val="00A552F9"/>
    <w:rsid w:val="00A554EB"/>
    <w:rsid w:val="00A557BE"/>
    <w:rsid w:val="00A57AA5"/>
    <w:rsid w:val="00A6043B"/>
    <w:rsid w:val="00A61397"/>
    <w:rsid w:val="00A61796"/>
    <w:rsid w:val="00A63904"/>
    <w:rsid w:val="00A668E8"/>
    <w:rsid w:val="00A670D2"/>
    <w:rsid w:val="00A67C07"/>
    <w:rsid w:val="00A73B90"/>
    <w:rsid w:val="00A75589"/>
    <w:rsid w:val="00A7625C"/>
    <w:rsid w:val="00A76C5A"/>
    <w:rsid w:val="00A77C4D"/>
    <w:rsid w:val="00A813A3"/>
    <w:rsid w:val="00A8248C"/>
    <w:rsid w:val="00A82864"/>
    <w:rsid w:val="00A83BA7"/>
    <w:rsid w:val="00A84AE7"/>
    <w:rsid w:val="00A85258"/>
    <w:rsid w:val="00A942D6"/>
    <w:rsid w:val="00AA1517"/>
    <w:rsid w:val="00AB0579"/>
    <w:rsid w:val="00AB21C7"/>
    <w:rsid w:val="00AB2371"/>
    <w:rsid w:val="00AB6092"/>
    <w:rsid w:val="00AB730C"/>
    <w:rsid w:val="00AC41EB"/>
    <w:rsid w:val="00AC4592"/>
    <w:rsid w:val="00AC4F83"/>
    <w:rsid w:val="00AC68F2"/>
    <w:rsid w:val="00AD29B0"/>
    <w:rsid w:val="00AD493B"/>
    <w:rsid w:val="00AD4AEF"/>
    <w:rsid w:val="00AD4C26"/>
    <w:rsid w:val="00AD51E1"/>
    <w:rsid w:val="00AD7B27"/>
    <w:rsid w:val="00AE3696"/>
    <w:rsid w:val="00AE62A2"/>
    <w:rsid w:val="00AE641D"/>
    <w:rsid w:val="00AE7300"/>
    <w:rsid w:val="00AF014B"/>
    <w:rsid w:val="00AF2C95"/>
    <w:rsid w:val="00AF472C"/>
    <w:rsid w:val="00AF4C45"/>
    <w:rsid w:val="00AF4F83"/>
    <w:rsid w:val="00B006AC"/>
    <w:rsid w:val="00B0161D"/>
    <w:rsid w:val="00B01D93"/>
    <w:rsid w:val="00B025D5"/>
    <w:rsid w:val="00B058F1"/>
    <w:rsid w:val="00B10FD8"/>
    <w:rsid w:val="00B10FF3"/>
    <w:rsid w:val="00B11898"/>
    <w:rsid w:val="00B127A6"/>
    <w:rsid w:val="00B14CF3"/>
    <w:rsid w:val="00B17D07"/>
    <w:rsid w:val="00B22ED2"/>
    <w:rsid w:val="00B24652"/>
    <w:rsid w:val="00B2789F"/>
    <w:rsid w:val="00B32261"/>
    <w:rsid w:val="00B352AC"/>
    <w:rsid w:val="00B3719C"/>
    <w:rsid w:val="00B3725F"/>
    <w:rsid w:val="00B40EFC"/>
    <w:rsid w:val="00B4525E"/>
    <w:rsid w:val="00B473C6"/>
    <w:rsid w:val="00B5371E"/>
    <w:rsid w:val="00B54BAB"/>
    <w:rsid w:val="00B56336"/>
    <w:rsid w:val="00B57578"/>
    <w:rsid w:val="00B57DFF"/>
    <w:rsid w:val="00B61288"/>
    <w:rsid w:val="00B64E5C"/>
    <w:rsid w:val="00B65034"/>
    <w:rsid w:val="00B678DB"/>
    <w:rsid w:val="00B73F5B"/>
    <w:rsid w:val="00B74930"/>
    <w:rsid w:val="00B76601"/>
    <w:rsid w:val="00B844E9"/>
    <w:rsid w:val="00B9130D"/>
    <w:rsid w:val="00B9376C"/>
    <w:rsid w:val="00B96CE8"/>
    <w:rsid w:val="00BA22A5"/>
    <w:rsid w:val="00BA2EE8"/>
    <w:rsid w:val="00BA4255"/>
    <w:rsid w:val="00BA6785"/>
    <w:rsid w:val="00BB631E"/>
    <w:rsid w:val="00BC0E97"/>
    <w:rsid w:val="00BC64F9"/>
    <w:rsid w:val="00BC6593"/>
    <w:rsid w:val="00BD135D"/>
    <w:rsid w:val="00BD1C7E"/>
    <w:rsid w:val="00BD3F1A"/>
    <w:rsid w:val="00BD44F3"/>
    <w:rsid w:val="00BD6CD3"/>
    <w:rsid w:val="00BD73FB"/>
    <w:rsid w:val="00BE0C7A"/>
    <w:rsid w:val="00BE205A"/>
    <w:rsid w:val="00BE23EA"/>
    <w:rsid w:val="00BE3934"/>
    <w:rsid w:val="00BE3AAE"/>
    <w:rsid w:val="00BE44E2"/>
    <w:rsid w:val="00BE4F06"/>
    <w:rsid w:val="00BE501B"/>
    <w:rsid w:val="00BE5C89"/>
    <w:rsid w:val="00BE7806"/>
    <w:rsid w:val="00BF3A37"/>
    <w:rsid w:val="00BF5429"/>
    <w:rsid w:val="00BF580F"/>
    <w:rsid w:val="00BF79CD"/>
    <w:rsid w:val="00BF7DCC"/>
    <w:rsid w:val="00C034EF"/>
    <w:rsid w:val="00C10AF0"/>
    <w:rsid w:val="00C12C60"/>
    <w:rsid w:val="00C12F00"/>
    <w:rsid w:val="00C14064"/>
    <w:rsid w:val="00C14C9E"/>
    <w:rsid w:val="00C15E15"/>
    <w:rsid w:val="00C15F6F"/>
    <w:rsid w:val="00C16702"/>
    <w:rsid w:val="00C17060"/>
    <w:rsid w:val="00C20491"/>
    <w:rsid w:val="00C204FA"/>
    <w:rsid w:val="00C22727"/>
    <w:rsid w:val="00C23310"/>
    <w:rsid w:val="00C24102"/>
    <w:rsid w:val="00C32976"/>
    <w:rsid w:val="00C32ACD"/>
    <w:rsid w:val="00C34BAB"/>
    <w:rsid w:val="00C3575C"/>
    <w:rsid w:val="00C35F84"/>
    <w:rsid w:val="00C404FA"/>
    <w:rsid w:val="00C4079B"/>
    <w:rsid w:val="00C4454E"/>
    <w:rsid w:val="00C467A8"/>
    <w:rsid w:val="00C47031"/>
    <w:rsid w:val="00C472D9"/>
    <w:rsid w:val="00C47888"/>
    <w:rsid w:val="00C50257"/>
    <w:rsid w:val="00C517D1"/>
    <w:rsid w:val="00C518B5"/>
    <w:rsid w:val="00C51D67"/>
    <w:rsid w:val="00C51E63"/>
    <w:rsid w:val="00C52AA1"/>
    <w:rsid w:val="00C5316E"/>
    <w:rsid w:val="00C53326"/>
    <w:rsid w:val="00C56B29"/>
    <w:rsid w:val="00C64114"/>
    <w:rsid w:val="00C658AF"/>
    <w:rsid w:val="00C67432"/>
    <w:rsid w:val="00C706C8"/>
    <w:rsid w:val="00C744E7"/>
    <w:rsid w:val="00C76DCB"/>
    <w:rsid w:val="00C77042"/>
    <w:rsid w:val="00C81D2F"/>
    <w:rsid w:val="00C81D70"/>
    <w:rsid w:val="00C82579"/>
    <w:rsid w:val="00C8611F"/>
    <w:rsid w:val="00C868F6"/>
    <w:rsid w:val="00C921DE"/>
    <w:rsid w:val="00C92252"/>
    <w:rsid w:val="00C9280C"/>
    <w:rsid w:val="00C93DEA"/>
    <w:rsid w:val="00C969E3"/>
    <w:rsid w:val="00CA00A1"/>
    <w:rsid w:val="00CA294B"/>
    <w:rsid w:val="00CA372D"/>
    <w:rsid w:val="00CA7D71"/>
    <w:rsid w:val="00CB0D63"/>
    <w:rsid w:val="00CB57DF"/>
    <w:rsid w:val="00CB5DD4"/>
    <w:rsid w:val="00CC1462"/>
    <w:rsid w:val="00CC3A66"/>
    <w:rsid w:val="00CC5DDB"/>
    <w:rsid w:val="00CC65BF"/>
    <w:rsid w:val="00CC7B24"/>
    <w:rsid w:val="00CD0709"/>
    <w:rsid w:val="00CD1639"/>
    <w:rsid w:val="00CD3877"/>
    <w:rsid w:val="00CD42DE"/>
    <w:rsid w:val="00CD5818"/>
    <w:rsid w:val="00CE02C8"/>
    <w:rsid w:val="00CE1896"/>
    <w:rsid w:val="00CE1902"/>
    <w:rsid w:val="00CE2696"/>
    <w:rsid w:val="00CE2B58"/>
    <w:rsid w:val="00CE308A"/>
    <w:rsid w:val="00CE30F7"/>
    <w:rsid w:val="00CE43AD"/>
    <w:rsid w:val="00CE633C"/>
    <w:rsid w:val="00CE741D"/>
    <w:rsid w:val="00CE750F"/>
    <w:rsid w:val="00CF7AF8"/>
    <w:rsid w:val="00CF7ECE"/>
    <w:rsid w:val="00D00BDB"/>
    <w:rsid w:val="00D03D66"/>
    <w:rsid w:val="00D051FA"/>
    <w:rsid w:val="00D05EF2"/>
    <w:rsid w:val="00D10D68"/>
    <w:rsid w:val="00D15330"/>
    <w:rsid w:val="00D20D50"/>
    <w:rsid w:val="00D253CC"/>
    <w:rsid w:val="00D25999"/>
    <w:rsid w:val="00D25C81"/>
    <w:rsid w:val="00D26C04"/>
    <w:rsid w:val="00D2712F"/>
    <w:rsid w:val="00D31582"/>
    <w:rsid w:val="00D34722"/>
    <w:rsid w:val="00D41788"/>
    <w:rsid w:val="00D44F04"/>
    <w:rsid w:val="00D45142"/>
    <w:rsid w:val="00D47B3D"/>
    <w:rsid w:val="00D506ED"/>
    <w:rsid w:val="00D51507"/>
    <w:rsid w:val="00D517F7"/>
    <w:rsid w:val="00D5495B"/>
    <w:rsid w:val="00D55AF4"/>
    <w:rsid w:val="00D56EBC"/>
    <w:rsid w:val="00D60011"/>
    <w:rsid w:val="00D602DD"/>
    <w:rsid w:val="00D625BB"/>
    <w:rsid w:val="00D64B24"/>
    <w:rsid w:val="00D678F5"/>
    <w:rsid w:val="00D72189"/>
    <w:rsid w:val="00D76E63"/>
    <w:rsid w:val="00D77803"/>
    <w:rsid w:val="00D8015D"/>
    <w:rsid w:val="00D81864"/>
    <w:rsid w:val="00D841F6"/>
    <w:rsid w:val="00D8550A"/>
    <w:rsid w:val="00D87E05"/>
    <w:rsid w:val="00D9127E"/>
    <w:rsid w:val="00D917B7"/>
    <w:rsid w:val="00D949EA"/>
    <w:rsid w:val="00D963EB"/>
    <w:rsid w:val="00D96EAA"/>
    <w:rsid w:val="00DA79B8"/>
    <w:rsid w:val="00DB219E"/>
    <w:rsid w:val="00DB222C"/>
    <w:rsid w:val="00DB3816"/>
    <w:rsid w:val="00DC0207"/>
    <w:rsid w:val="00DC1A1F"/>
    <w:rsid w:val="00DC314B"/>
    <w:rsid w:val="00DC7B74"/>
    <w:rsid w:val="00DD0FA1"/>
    <w:rsid w:val="00DD450C"/>
    <w:rsid w:val="00DD47A6"/>
    <w:rsid w:val="00DD56D0"/>
    <w:rsid w:val="00DD6DDD"/>
    <w:rsid w:val="00DD6EA5"/>
    <w:rsid w:val="00DE0C2C"/>
    <w:rsid w:val="00DE17CE"/>
    <w:rsid w:val="00DE37C4"/>
    <w:rsid w:val="00DE6940"/>
    <w:rsid w:val="00DE6FB8"/>
    <w:rsid w:val="00DF17EF"/>
    <w:rsid w:val="00DF19DC"/>
    <w:rsid w:val="00E02AC1"/>
    <w:rsid w:val="00E05781"/>
    <w:rsid w:val="00E11B61"/>
    <w:rsid w:val="00E120E2"/>
    <w:rsid w:val="00E12FDB"/>
    <w:rsid w:val="00E137B0"/>
    <w:rsid w:val="00E137F7"/>
    <w:rsid w:val="00E27926"/>
    <w:rsid w:val="00E32271"/>
    <w:rsid w:val="00E36C93"/>
    <w:rsid w:val="00E41535"/>
    <w:rsid w:val="00E44A5B"/>
    <w:rsid w:val="00E47249"/>
    <w:rsid w:val="00E474A3"/>
    <w:rsid w:val="00E55AF5"/>
    <w:rsid w:val="00E5670E"/>
    <w:rsid w:val="00E66F5A"/>
    <w:rsid w:val="00E700DB"/>
    <w:rsid w:val="00E7179E"/>
    <w:rsid w:val="00E71BBE"/>
    <w:rsid w:val="00E72719"/>
    <w:rsid w:val="00E77369"/>
    <w:rsid w:val="00E8107A"/>
    <w:rsid w:val="00E8123A"/>
    <w:rsid w:val="00E8202B"/>
    <w:rsid w:val="00E82E1F"/>
    <w:rsid w:val="00E83D8C"/>
    <w:rsid w:val="00E842C1"/>
    <w:rsid w:val="00E86974"/>
    <w:rsid w:val="00E91D26"/>
    <w:rsid w:val="00E93305"/>
    <w:rsid w:val="00E967B5"/>
    <w:rsid w:val="00EA00B9"/>
    <w:rsid w:val="00EA13A1"/>
    <w:rsid w:val="00EA4060"/>
    <w:rsid w:val="00EA46AA"/>
    <w:rsid w:val="00EB2A40"/>
    <w:rsid w:val="00EB2FDC"/>
    <w:rsid w:val="00EB3ADE"/>
    <w:rsid w:val="00EB4E45"/>
    <w:rsid w:val="00EB7FF9"/>
    <w:rsid w:val="00EC0454"/>
    <w:rsid w:val="00EC3254"/>
    <w:rsid w:val="00EC7D0C"/>
    <w:rsid w:val="00ED3808"/>
    <w:rsid w:val="00ED5664"/>
    <w:rsid w:val="00EE3361"/>
    <w:rsid w:val="00EE4EFD"/>
    <w:rsid w:val="00EF0FFA"/>
    <w:rsid w:val="00EF16FA"/>
    <w:rsid w:val="00EF4F68"/>
    <w:rsid w:val="00EF50F0"/>
    <w:rsid w:val="00EF7BDC"/>
    <w:rsid w:val="00F00C62"/>
    <w:rsid w:val="00F01251"/>
    <w:rsid w:val="00F02DCB"/>
    <w:rsid w:val="00F031F8"/>
    <w:rsid w:val="00F040A7"/>
    <w:rsid w:val="00F045A7"/>
    <w:rsid w:val="00F07C6A"/>
    <w:rsid w:val="00F07ECE"/>
    <w:rsid w:val="00F10BE3"/>
    <w:rsid w:val="00F1239F"/>
    <w:rsid w:val="00F15459"/>
    <w:rsid w:val="00F236DB"/>
    <w:rsid w:val="00F2398A"/>
    <w:rsid w:val="00F255D0"/>
    <w:rsid w:val="00F26325"/>
    <w:rsid w:val="00F267FD"/>
    <w:rsid w:val="00F30AEE"/>
    <w:rsid w:val="00F3617B"/>
    <w:rsid w:val="00F37CFD"/>
    <w:rsid w:val="00F431E8"/>
    <w:rsid w:val="00F44E7E"/>
    <w:rsid w:val="00F46985"/>
    <w:rsid w:val="00F47F1A"/>
    <w:rsid w:val="00F50910"/>
    <w:rsid w:val="00F52F91"/>
    <w:rsid w:val="00F53435"/>
    <w:rsid w:val="00F53AFE"/>
    <w:rsid w:val="00F54B97"/>
    <w:rsid w:val="00F54F6F"/>
    <w:rsid w:val="00F57BA0"/>
    <w:rsid w:val="00F57E24"/>
    <w:rsid w:val="00F6122E"/>
    <w:rsid w:val="00F61310"/>
    <w:rsid w:val="00F6167A"/>
    <w:rsid w:val="00F61962"/>
    <w:rsid w:val="00F61AB0"/>
    <w:rsid w:val="00F6246E"/>
    <w:rsid w:val="00F63BE3"/>
    <w:rsid w:val="00F64B3A"/>
    <w:rsid w:val="00F6557D"/>
    <w:rsid w:val="00F66061"/>
    <w:rsid w:val="00F7004D"/>
    <w:rsid w:val="00F70777"/>
    <w:rsid w:val="00F711A5"/>
    <w:rsid w:val="00F71DA2"/>
    <w:rsid w:val="00F72998"/>
    <w:rsid w:val="00F72A32"/>
    <w:rsid w:val="00F74E65"/>
    <w:rsid w:val="00F76049"/>
    <w:rsid w:val="00F7653E"/>
    <w:rsid w:val="00F81720"/>
    <w:rsid w:val="00F836B8"/>
    <w:rsid w:val="00F83870"/>
    <w:rsid w:val="00F83CF0"/>
    <w:rsid w:val="00F8541B"/>
    <w:rsid w:val="00F91BBD"/>
    <w:rsid w:val="00F91EA9"/>
    <w:rsid w:val="00F92293"/>
    <w:rsid w:val="00F961BE"/>
    <w:rsid w:val="00FA0883"/>
    <w:rsid w:val="00FA0C4F"/>
    <w:rsid w:val="00FA2B45"/>
    <w:rsid w:val="00FA58D4"/>
    <w:rsid w:val="00FB0981"/>
    <w:rsid w:val="00FB435E"/>
    <w:rsid w:val="00FB6FF8"/>
    <w:rsid w:val="00FB7D28"/>
    <w:rsid w:val="00FC006F"/>
    <w:rsid w:val="00FC0F5B"/>
    <w:rsid w:val="00FC180D"/>
    <w:rsid w:val="00FC3790"/>
    <w:rsid w:val="00FC6231"/>
    <w:rsid w:val="00FD2CC1"/>
    <w:rsid w:val="00FD34B9"/>
    <w:rsid w:val="00FD79EA"/>
    <w:rsid w:val="00FE0D01"/>
    <w:rsid w:val="00FE2AC0"/>
    <w:rsid w:val="00FE48D0"/>
    <w:rsid w:val="00FE4999"/>
    <w:rsid w:val="00FE719F"/>
    <w:rsid w:val="00FE7359"/>
    <w:rsid w:val="00FE7E91"/>
    <w:rsid w:val="00FF098E"/>
    <w:rsid w:val="00FF1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2AC4A"/>
  <w15:chartTrackingRefBased/>
  <w15:docId w15:val="{E8A41CA4-472F-1447-B9DF-AE16E34B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064"/>
    <w:pPr>
      <w:spacing w:after="200" w:line="276" w:lineRule="auto"/>
    </w:pPr>
    <w:rPr>
      <w:rFonts w:ascii="Calibri" w:hAnsi="Calibri" w:cs="Calibri"/>
    </w:rPr>
  </w:style>
  <w:style w:type="paragraph" w:styleId="Heading1">
    <w:name w:val="heading 1"/>
    <w:basedOn w:val="Normal"/>
    <w:next w:val="Normal"/>
    <w:link w:val="Heading1Char"/>
    <w:uiPriority w:val="9"/>
    <w:qFormat/>
    <w:rsid w:val="00C14064"/>
    <w:pPr>
      <w:keepNext/>
      <w:keepLines/>
      <w:spacing w:before="480" w:after="0"/>
      <w:outlineLvl w:val="0"/>
    </w:pPr>
    <w:rPr>
      <w:rFonts w:asciiTheme="minorHAnsi" w:eastAsiaTheme="majorEastAsia" w:hAnsiTheme="minorHAnsi" w:cstheme="minorHAnsi"/>
      <w:b/>
      <w:bCs/>
      <w:sz w:val="28"/>
      <w:szCs w:val="28"/>
    </w:rPr>
  </w:style>
  <w:style w:type="paragraph" w:styleId="Heading2">
    <w:name w:val="heading 2"/>
    <w:basedOn w:val="Normal"/>
    <w:next w:val="Normal"/>
    <w:link w:val="Heading2Char"/>
    <w:uiPriority w:val="9"/>
    <w:unhideWhenUsed/>
    <w:qFormat/>
    <w:rsid w:val="007833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2201"/>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064"/>
    <w:rPr>
      <w:rFonts w:eastAsiaTheme="majorEastAsia" w:cstheme="minorHAnsi"/>
      <w:b/>
      <w:bCs/>
      <w:sz w:val="28"/>
      <w:szCs w:val="28"/>
    </w:rPr>
  </w:style>
  <w:style w:type="character" w:styleId="Hyperlink">
    <w:name w:val="Hyperlink"/>
    <w:basedOn w:val="DefaultParagraphFont"/>
    <w:uiPriority w:val="99"/>
    <w:unhideWhenUsed/>
    <w:rsid w:val="00C14064"/>
    <w:rPr>
      <w:color w:val="0563C1" w:themeColor="hyperlink"/>
      <w:u w:val="single"/>
    </w:rPr>
  </w:style>
  <w:style w:type="paragraph" w:styleId="BalloonText">
    <w:name w:val="Balloon Text"/>
    <w:basedOn w:val="Normal"/>
    <w:link w:val="BalloonTextChar"/>
    <w:uiPriority w:val="99"/>
    <w:semiHidden/>
    <w:unhideWhenUsed/>
    <w:rsid w:val="00C1406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406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02DCB"/>
    <w:rPr>
      <w:sz w:val="16"/>
      <w:szCs w:val="16"/>
    </w:rPr>
  </w:style>
  <w:style w:type="paragraph" w:styleId="CommentText">
    <w:name w:val="annotation text"/>
    <w:basedOn w:val="Normal"/>
    <w:link w:val="CommentTextChar"/>
    <w:uiPriority w:val="99"/>
    <w:unhideWhenUsed/>
    <w:rsid w:val="00F02DCB"/>
    <w:pPr>
      <w:spacing w:line="240" w:lineRule="auto"/>
    </w:pPr>
    <w:rPr>
      <w:sz w:val="20"/>
      <w:szCs w:val="20"/>
    </w:rPr>
  </w:style>
  <w:style w:type="character" w:customStyle="1" w:styleId="CommentTextChar">
    <w:name w:val="Comment Text Char"/>
    <w:basedOn w:val="DefaultParagraphFont"/>
    <w:link w:val="CommentText"/>
    <w:uiPriority w:val="99"/>
    <w:rsid w:val="00F02DC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02DCB"/>
    <w:rPr>
      <w:b/>
      <w:bCs/>
    </w:rPr>
  </w:style>
  <w:style w:type="character" w:customStyle="1" w:styleId="CommentSubjectChar">
    <w:name w:val="Comment Subject Char"/>
    <w:basedOn w:val="CommentTextChar"/>
    <w:link w:val="CommentSubject"/>
    <w:uiPriority w:val="99"/>
    <w:semiHidden/>
    <w:rsid w:val="00F02DCB"/>
    <w:rPr>
      <w:rFonts w:ascii="Calibri" w:hAnsi="Calibri" w:cs="Calibri"/>
      <w:b/>
      <w:bCs/>
      <w:sz w:val="20"/>
      <w:szCs w:val="20"/>
    </w:rPr>
  </w:style>
  <w:style w:type="character" w:customStyle="1" w:styleId="Heading2Char">
    <w:name w:val="Heading 2 Char"/>
    <w:basedOn w:val="DefaultParagraphFont"/>
    <w:link w:val="Heading2"/>
    <w:uiPriority w:val="9"/>
    <w:rsid w:val="007833A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71644"/>
    <w:rPr>
      <w:rFonts w:ascii="Cambria" w:eastAsia="Cambria" w:hAnsi="Cambria"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51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7F7"/>
    <w:rPr>
      <w:rFonts w:ascii="Calibri" w:hAnsi="Calibri" w:cs="Calibri"/>
    </w:rPr>
  </w:style>
  <w:style w:type="paragraph" w:styleId="Footer">
    <w:name w:val="footer"/>
    <w:basedOn w:val="Normal"/>
    <w:link w:val="FooterChar"/>
    <w:uiPriority w:val="99"/>
    <w:unhideWhenUsed/>
    <w:rsid w:val="00D51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7F7"/>
    <w:rPr>
      <w:rFonts w:ascii="Calibri" w:hAnsi="Calibri" w:cs="Calibri"/>
    </w:rPr>
  </w:style>
  <w:style w:type="paragraph" w:styleId="ListParagraph">
    <w:name w:val="List Paragraph"/>
    <w:basedOn w:val="Normal"/>
    <w:uiPriority w:val="34"/>
    <w:qFormat/>
    <w:rsid w:val="00D517F7"/>
    <w:pPr>
      <w:ind w:left="720"/>
      <w:contextualSpacing/>
    </w:pPr>
  </w:style>
  <w:style w:type="paragraph" w:styleId="NormalWeb">
    <w:name w:val="Normal (Web)"/>
    <w:basedOn w:val="Normal"/>
    <w:uiPriority w:val="99"/>
    <w:unhideWhenUsed/>
    <w:rsid w:val="00282AAD"/>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apple-converted-space">
    <w:name w:val="apple-converted-space"/>
    <w:basedOn w:val="DefaultParagraphFont"/>
    <w:rsid w:val="00282AAD"/>
  </w:style>
  <w:style w:type="character" w:styleId="FollowedHyperlink">
    <w:name w:val="FollowedHyperlink"/>
    <w:basedOn w:val="DefaultParagraphFont"/>
    <w:uiPriority w:val="99"/>
    <w:semiHidden/>
    <w:unhideWhenUsed/>
    <w:rsid w:val="00921258"/>
    <w:rPr>
      <w:color w:val="954F72" w:themeColor="followedHyperlink"/>
      <w:u w:val="single"/>
    </w:rPr>
  </w:style>
  <w:style w:type="paragraph" w:styleId="NoSpacing">
    <w:name w:val="No Spacing"/>
    <w:uiPriority w:val="1"/>
    <w:qFormat/>
    <w:rsid w:val="00FD34B9"/>
    <w:rPr>
      <w:rFonts w:ascii="Calibri" w:hAnsi="Calibri" w:cs="Calibri"/>
    </w:rPr>
  </w:style>
  <w:style w:type="character" w:styleId="Strong">
    <w:name w:val="Strong"/>
    <w:basedOn w:val="DefaultParagraphFont"/>
    <w:uiPriority w:val="22"/>
    <w:qFormat/>
    <w:rsid w:val="005E7F34"/>
    <w:rPr>
      <w:b/>
      <w:bCs/>
    </w:rPr>
  </w:style>
  <w:style w:type="character" w:customStyle="1" w:styleId="Heading3Char">
    <w:name w:val="Heading 3 Char"/>
    <w:basedOn w:val="DefaultParagraphFont"/>
    <w:link w:val="Heading3"/>
    <w:uiPriority w:val="9"/>
    <w:rsid w:val="00342201"/>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096B28"/>
    <w:rPr>
      <w:i/>
      <w:iCs/>
    </w:rPr>
  </w:style>
  <w:style w:type="paragraph" w:styleId="Caption">
    <w:name w:val="caption"/>
    <w:basedOn w:val="Normal"/>
    <w:next w:val="Normal"/>
    <w:uiPriority w:val="35"/>
    <w:unhideWhenUsed/>
    <w:qFormat/>
    <w:rsid w:val="007B65E3"/>
    <w:pPr>
      <w:spacing w:line="240" w:lineRule="auto"/>
    </w:pPr>
    <w:rPr>
      <w:i/>
      <w:iCs/>
      <w:color w:val="44546A" w:themeColor="text2"/>
      <w:sz w:val="18"/>
      <w:szCs w:val="18"/>
    </w:rPr>
  </w:style>
  <w:style w:type="paragraph" w:styleId="Revision">
    <w:name w:val="Revision"/>
    <w:hidden/>
    <w:uiPriority w:val="99"/>
    <w:semiHidden/>
    <w:rsid w:val="000E0F53"/>
    <w:rPr>
      <w:rFonts w:ascii="Calibri" w:hAnsi="Calibri" w:cs="Calibri"/>
    </w:rPr>
  </w:style>
  <w:style w:type="character" w:customStyle="1" w:styleId="UnresolvedMention1">
    <w:name w:val="Unresolved Mention1"/>
    <w:basedOn w:val="DefaultParagraphFont"/>
    <w:uiPriority w:val="99"/>
    <w:semiHidden/>
    <w:unhideWhenUsed/>
    <w:rsid w:val="005F47F0"/>
    <w:rPr>
      <w:color w:val="605E5C"/>
      <w:shd w:val="clear" w:color="auto" w:fill="E1DFDD"/>
    </w:rPr>
  </w:style>
  <w:style w:type="character" w:styleId="PageNumber">
    <w:name w:val="page number"/>
    <w:basedOn w:val="DefaultParagraphFont"/>
    <w:uiPriority w:val="99"/>
    <w:semiHidden/>
    <w:unhideWhenUsed/>
    <w:rsid w:val="00556CCC"/>
  </w:style>
  <w:style w:type="character" w:customStyle="1" w:styleId="UnresolvedMention2">
    <w:name w:val="Unresolved Mention2"/>
    <w:basedOn w:val="DefaultParagraphFont"/>
    <w:uiPriority w:val="99"/>
    <w:semiHidden/>
    <w:unhideWhenUsed/>
    <w:rsid w:val="001230B2"/>
    <w:rPr>
      <w:color w:val="605E5C"/>
      <w:shd w:val="clear" w:color="auto" w:fill="E1DFDD"/>
    </w:rPr>
  </w:style>
  <w:style w:type="character" w:styleId="LineNumber">
    <w:name w:val="line number"/>
    <w:basedOn w:val="DefaultParagraphFont"/>
    <w:uiPriority w:val="99"/>
    <w:semiHidden/>
    <w:unhideWhenUsed/>
    <w:rsid w:val="00F57E24"/>
  </w:style>
  <w:style w:type="character" w:customStyle="1" w:styleId="UnresolvedMention3">
    <w:name w:val="Unresolved Mention3"/>
    <w:basedOn w:val="DefaultParagraphFont"/>
    <w:uiPriority w:val="99"/>
    <w:semiHidden/>
    <w:unhideWhenUsed/>
    <w:rsid w:val="00BE4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2056">
      <w:bodyDiv w:val="1"/>
      <w:marLeft w:val="0"/>
      <w:marRight w:val="0"/>
      <w:marTop w:val="0"/>
      <w:marBottom w:val="0"/>
      <w:divBdr>
        <w:top w:val="none" w:sz="0" w:space="0" w:color="auto"/>
        <w:left w:val="none" w:sz="0" w:space="0" w:color="auto"/>
        <w:bottom w:val="none" w:sz="0" w:space="0" w:color="auto"/>
        <w:right w:val="none" w:sz="0" w:space="0" w:color="auto"/>
      </w:divBdr>
    </w:div>
    <w:div w:id="45565771">
      <w:bodyDiv w:val="1"/>
      <w:marLeft w:val="0"/>
      <w:marRight w:val="0"/>
      <w:marTop w:val="0"/>
      <w:marBottom w:val="0"/>
      <w:divBdr>
        <w:top w:val="none" w:sz="0" w:space="0" w:color="auto"/>
        <w:left w:val="none" w:sz="0" w:space="0" w:color="auto"/>
        <w:bottom w:val="none" w:sz="0" w:space="0" w:color="auto"/>
        <w:right w:val="none" w:sz="0" w:space="0" w:color="auto"/>
      </w:divBdr>
    </w:div>
    <w:div w:id="75397775">
      <w:bodyDiv w:val="1"/>
      <w:marLeft w:val="0"/>
      <w:marRight w:val="0"/>
      <w:marTop w:val="0"/>
      <w:marBottom w:val="0"/>
      <w:divBdr>
        <w:top w:val="none" w:sz="0" w:space="0" w:color="auto"/>
        <w:left w:val="none" w:sz="0" w:space="0" w:color="auto"/>
        <w:bottom w:val="none" w:sz="0" w:space="0" w:color="auto"/>
        <w:right w:val="none" w:sz="0" w:space="0" w:color="auto"/>
      </w:divBdr>
    </w:div>
    <w:div w:id="112360511">
      <w:bodyDiv w:val="1"/>
      <w:marLeft w:val="0"/>
      <w:marRight w:val="0"/>
      <w:marTop w:val="0"/>
      <w:marBottom w:val="0"/>
      <w:divBdr>
        <w:top w:val="none" w:sz="0" w:space="0" w:color="auto"/>
        <w:left w:val="none" w:sz="0" w:space="0" w:color="auto"/>
        <w:bottom w:val="none" w:sz="0" w:space="0" w:color="auto"/>
        <w:right w:val="none" w:sz="0" w:space="0" w:color="auto"/>
      </w:divBdr>
      <w:divsChild>
        <w:div w:id="1636330694">
          <w:marLeft w:val="0"/>
          <w:marRight w:val="0"/>
          <w:marTop w:val="0"/>
          <w:marBottom w:val="0"/>
          <w:divBdr>
            <w:top w:val="none" w:sz="0" w:space="0" w:color="auto"/>
            <w:left w:val="none" w:sz="0" w:space="0" w:color="auto"/>
            <w:bottom w:val="none" w:sz="0" w:space="0" w:color="auto"/>
            <w:right w:val="none" w:sz="0" w:space="0" w:color="auto"/>
          </w:divBdr>
          <w:divsChild>
            <w:div w:id="179864654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8807492">
      <w:bodyDiv w:val="1"/>
      <w:marLeft w:val="0"/>
      <w:marRight w:val="0"/>
      <w:marTop w:val="0"/>
      <w:marBottom w:val="0"/>
      <w:divBdr>
        <w:top w:val="none" w:sz="0" w:space="0" w:color="auto"/>
        <w:left w:val="none" w:sz="0" w:space="0" w:color="auto"/>
        <w:bottom w:val="none" w:sz="0" w:space="0" w:color="auto"/>
        <w:right w:val="none" w:sz="0" w:space="0" w:color="auto"/>
      </w:divBdr>
    </w:div>
    <w:div w:id="380178827">
      <w:bodyDiv w:val="1"/>
      <w:marLeft w:val="0"/>
      <w:marRight w:val="0"/>
      <w:marTop w:val="0"/>
      <w:marBottom w:val="0"/>
      <w:divBdr>
        <w:top w:val="none" w:sz="0" w:space="0" w:color="auto"/>
        <w:left w:val="none" w:sz="0" w:space="0" w:color="auto"/>
        <w:bottom w:val="none" w:sz="0" w:space="0" w:color="auto"/>
        <w:right w:val="none" w:sz="0" w:space="0" w:color="auto"/>
      </w:divBdr>
    </w:div>
    <w:div w:id="572356462">
      <w:bodyDiv w:val="1"/>
      <w:marLeft w:val="0"/>
      <w:marRight w:val="0"/>
      <w:marTop w:val="0"/>
      <w:marBottom w:val="0"/>
      <w:divBdr>
        <w:top w:val="none" w:sz="0" w:space="0" w:color="auto"/>
        <w:left w:val="none" w:sz="0" w:space="0" w:color="auto"/>
        <w:bottom w:val="none" w:sz="0" w:space="0" w:color="auto"/>
        <w:right w:val="none" w:sz="0" w:space="0" w:color="auto"/>
      </w:divBdr>
    </w:div>
    <w:div w:id="632102627">
      <w:bodyDiv w:val="1"/>
      <w:marLeft w:val="0"/>
      <w:marRight w:val="0"/>
      <w:marTop w:val="0"/>
      <w:marBottom w:val="0"/>
      <w:divBdr>
        <w:top w:val="none" w:sz="0" w:space="0" w:color="auto"/>
        <w:left w:val="none" w:sz="0" w:space="0" w:color="auto"/>
        <w:bottom w:val="none" w:sz="0" w:space="0" w:color="auto"/>
        <w:right w:val="none" w:sz="0" w:space="0" w:color="auto"/>
      </w:divBdr>
    </w:div>
    <w:div w:id="711463869">
      <w:bodyDiv w:val="1"/>
      <w:marLeft w:val="0"/>
      <w:marRight w:val="0"/>
      <w:marTop w:val="0"/>
      <w:marBottom w:val="0"/>
      <w:divBdr>
        <w:top w:val="none" w:sz="0" w:space="0" w:color="auto"/>
        <w:left w:val="none" w:sz="0" w:space="0" w:color="auto"/>
        <w:bottom w:val="none" w:sz="0" w:space="0" w:color="auto"/>
        <w:right w:val="none" w:sz="0" w:space="0" w:color="auto"/>
      </w:divBdr>
    </w:div>
    <w:div w:id="824590649">
      <w:bodyDiv w:val="1"/>
      <w:marLeft w:val="0"/>
      <w:marRight w:val="0"/>
      <w:marTop w:val="0"/>
      <w:marBottom w:val="0"/>
      <w:divBdr>
        <w:top w:val="none" w:sz="0" w:space="0" w:color="auto"/>
        <w:left w:val="none" w:sz="0" w:space="0" w:color="auto"/>
        <w:bottom w:val="none" w:sz="0" w:space="0" w:color="auto"/>
        <w:right w:val="none" w:sz="0" w:space="0" w:color="auto"/>
      </w:divBdr>
    </w:div>
    <w:div w:id="890769819">
      <w:bodyDiv w:val="1"/>
      <w:marLeft w:val="0"/>
      <w:marRight w:val="0"/>
      <w:marTop w:val="0"/>
      <w:marBottom w:val="0"/>
      <w:divBdr>
        <w:top w:val="none" w:sz="0" w:space="0" w:color="auto"/>
        <w:left w:val="none" w:sz="0" w:space="0" w:color="auto"/>
        <w:bottom w:val="none" w:sz="0" w:space="0" w:color="auto"/>
        <w:right w:val="none" w:sz="0" w:space="0" w:color="auto"/>
      </w:divBdr>
    </w:div>
    <w:div w:id="901671567">
      <w:bodyDiv w:val="1"/>
      <w:marLeft w:val="0"/>
      <w:marRight w:val="0"/>
      <w:marTop w:val="0"/>
      <w:marBottom w:val="0"/>
      <w:divBdr>
        <w:top w:val="none" w:sz="0" w:space="0" w:color="auto"/>
        <w:left w:val="none" w:sz="0" w:space="0" w:color="auto"/>
        <w:bottom w:val="none" w:sz="0" w:space="0" w:color="auto"/>
        <w:right w:val="none" w:sz="0" w:space="0" w:color="auto"/>
      </w:divBdr>
    </w:div>
    <w:div w:id="906305540">
      <w:bodyDiv w:val="1"/>
      <w:marLeft w:val="0"/>
      <w:marRight w:val="0"/>
      <w:marTop w:val="0"/>
      <w:marBottom w:val="0"/>
      <w:divBdr>
        <w:top w:val="none" w:sz="0" w:space="0" w:color="auto"/>
        <w:left w:val="none" w:sz="0" w:space="0" w:color="auto"/>
        <w:bottom w:val="none" w:sz="0" w:space="0" w:color="auto"/>
        <w:right w:val="none" w:sz="0" w:space="0" w:color="auto"/>
      </w:divBdr>
      <w:divsChild>
        <w:div w:id="401215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900869">
              <w:marLeft w:val="0"/>
              <w:marRight w:val="0"/>
              <w:marTop w:val="0"/>
              <w:marBottom w:val="0"/>
              <w:divBdr>
                <w:top w:val="none" w:sz="0" w:space="0" w:color="auto"/>
                <w:left w:val="none" w:sz="0" w:space="0" w:color="auto"/>
                <w:bottom w:val="none" w:sz="0" w:space="0" w:color="auto"/>
                <w:right w:val="none" w:sz="0" w:space="0" w:color="auto"/>
              </w:divBdr>
              <w:divsChild>
                <w:div w:id="1744647226">
                  <w:marLeft w:val="0"/>
                  <w:marRight w:val="0"/>
                  <w:marTop w:val="0"/>
                  <w:marBottom w:val="0"/>
                  <w:divBdr>
                    <w:top w:val="none" w:sz="0" w:space="0" w:color="auto"/>
                    <w:left w:val="none" w:sz="0" w:space="0" w:color="auto"/>
                    <w:bottom w:val="none" w:sz="0" w:space="0" w:color="auto"/>
                    <w:right w:val="none" w:sz="0" w:space="0" w:color="auto"/>
                  </w:divBdr>
                  <w:divsChild>
                    <w:div w:id="553977355">
                      <w:marLeft w:val="0"/>
                      <w:marRight w:val="0"/>
                      <w:marTop w:val="0"/>
                      <w:marBottom w:val="0"/>
                      <w:divBdr>
                        <w:top w:val="none" w:sz="0" w:space="0" w:color="auto"/>
                        <w:left w:val="none" w:sz="0" w:space="0" w:color="auto"/>
                        <w:bottom w:val="none" w:sz="0" w:space="0" w:color="auto"/>
                        <w:right w:val="none" w:sz="0" w:space="0" w:color="auto"/>
                      </w:divBdr>
                      <w:divsChild>
                        <w:div w:id="8793627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19171411">
                              <w:marLeft w:val="0"/>
                              <w:marRight w:val="0"/>
                              <w:marTop w:val="0"/>
                              <w:marBottom w:val="0"/>
                              <w:divBdr>
                                <w:top w:val="none" w:sz="0" w:space="0" w:color="auto"/>
                                <w:left w:val="none" w:sz="0" w:space="0" w:color="auto"/>
                                <w:bottom w:val="none" w:sz="0" w:space="0" w:color="auto"/>
                                <w:right w:val="none" w:sz="0" w:space="0" w:color="auto"/>
                              </w:divBdr>
                              <w:divsChild>
                                <w:div w:id="885872828">
                                  <w:marLeft w:val="0"/>
                                  <w:marRight w:val="0"/>
                                  <w:marTop w:val="0"/>
                                  <w:marBottom w:val="0"/>
                                  <w:divBdr>
                                    <w:top w:val="none" w:sz="0" w:space="0" w:color="auto"/>
                                    <w:left w:val="none" w:sz="0" w:space="0" w:color="auto"/>
                                    <w:bottom w:val="none" w:sz="0" w:space="0" w:color="auto"/>
                                    <w:right w:val="none" w:sz="0" w:space="0" w:color="auto"/>
                                  </w:divBdr>
                                  <w:divsChild>
                                    <w:div w:id="2338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109966">
      <w:bodyDiv w:val="1"/>
      <w:marLeft w:val="0"/>
      <w:marRight w:val="0"/>
      <w:marTop w:val="0"/>
      <w:marBottom w:val="0"/>
      <w:divBdr>
        <w:top w:val="none" w:sz="0" w:space="0" w:color="auto"/>
        <w:left w:val="none" w:sz="0" w:space="0" w:color="auto"/>
        <w:bottom w:val="none" w:sz="0" w:space="0" w:color="auto"/>
        <w:right w:val="none" w:sz="0" w:space="0" w:color="auto"/>
      </w:divBdr>
    </w:div>
    <w:div w:id="1003699351">
      <w:bodyDiv w:val="1"/>
      <w:marLeft w:val="0"/>
      <w:marRight w:val="0"/>
      <w:marTop w:val="0"/>
      <w:marBottom w:val="0"/>
      <w:divBdr>
        <w:top w:val="none" w:sz="0" w:space="0" w:color="auto"/>
        <w:left w:val="none" w:sz="0" w:space="0" w:color="auto"/>
        <w:bottom w:val="none" w:sz="0" w:space="0" w:color="auto"/>
        <w:right w:val="none" w:sz="0" w:space="0" w:color="auto"/>
      </w:divBdr>
      <w:divsChild>
        <w:div w:id="140464025">
          <w:marLeft w:val="0"/>
          <w:marRight w:val="0"/>
          <w:marTop w:val="0"/>
          <w:marBottom w:val="0"/>
          <w:divBdr>
            <w:top w:val="none" w:sz="0" w:space="0" w:color="auto"/>
            <w:left w:val="none" w:sz="0" w:space="0" w:color="auto"/>
            <w:bottom w:val="none" w:sz="0" w:space="0" w:color="auto"/>
            <w:right w:val="none" w:sz="0" w:space="0" w:color="auto"/>
          </w:divBdr>
          <w:divsChild>
            <w:div w:id="1973752743">
              <w:marLeft w:val="0"/>
              <w:marRight w:val="0"/>
              <w:marTop w:val="0"/>
              <w:marBottom w:val="0"/>
              <w:divBdr>
                <w:top w:val="none" w:sz="0" w:space="0" w:color="auto"/>
                <w:left w:val="none" w:sz="0" w:space="0" w:color="auto"/>
                <w:bottom w:val="none" w:sz="0" w:space="0" w:color="auto"/>
                <w:right w:val="none" w:sz="0" w:space="0" w:color="auto"/>
              </w:divBdr>
              <w:divsChild>
                <w:div w:id="14495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8119">
      <w:bodyDiv w:val="1"/>
      <w:marLeft w:val="0"/>
      <w:marRight w:val="0"/>
      <w:marTop w:val="0"/>
      <w:marBottom w:val="0"/>
      <w:divBdr>
        <w:top w:val="none" w:sz="0" w:space="0" w:color="auto"/>
        <w:left w:val="none" w:sz="0" w:space="0" w:color="auto"/>
        <w:bottom w:val="none" w:sz="0" w:space="0" w:color="auto"/>
        <w:right w:val="none" w:sz="0" w:space="0" w:color="auto"/>
      </w:divBdr>
    </w:div>
    <w:div w:id="1177382187">
      <w:bodyDiv w:val="1"/>
      <w:marLeft w:val="0"/>
      <w:marRight w:val="0"/>
      <w:marTop w:val="0"/>
      <w:marBottom w:val="0"/>
      <w:divBdr>
        <w:top w:val="none" w:sz="0" w:space="0" w:color="auto"/>
        <w:left w:val="none" w:sz="0" w:space="0" w:color="auto"/>
        <w:bottom w:val="none" w:sz="0" w:space="0" w:color="auto"/>
        <w:right w:val="none" w:sz="0" w:space="0" w:color="auto"/>
      </w:divBdr>
    </w:div>
    <w:div w:id="1197350949">
      <w:bodyDiv w:val="1"/>
      <w:marLeft w:val="0"/>
      <w:marRight w:val="0"/>
      <w:marTop w:val="0"/>
      <w:marBottom w:val="0"/>
      <w:divBdr>
        <w:top w:val="none" w:sz="0" w:space="0" w:color="auto"/>
        <w:left w:val="none" w:sz="0" w:space="0" w:color="auto"/>
        <w:bottom w:val="none" w:sz="0" w:space="0" w:color="auto"/>
        <w:right w:val="none" w:sz="0" w:space="0" w:color="auto"/>
      </w:divBdr>
    </w:div>
    <w:div w:id="1276980190">
      <w:bodyDiv w:val="1"/>
      <w:marLeft w:val="0"/>
      <w:marRight w:val="0"/>
      <w:marTop w:val="0"/>
      <w:marBottom w:val="0"/>
      <w:divBdr>
        <w:top w:val="none" w:sz="0" w:space="0" w:color="auto"/>
        <w:left w:val="none" w:sz="0" w:space="0" w:color="auto"/>
        <w:bottom w:val="none" w:sz="0" w:space="0" w:color="auto"/>
        <w:right w:val="none" w:sz="0" w:space="0" w:color="auto"/>
      </w:divBdr>
    </w:div>
    <w:div w:id="1330331956">
      <w:bodyDiv w:val="1"/>
      <w:marLeft w:val="0"/>
      <w:marRight w:val="0"/>
      <w:marTop w:val="0"/>
      <w:marBottom w:val="0"/>
      <w:divBdr>
        <w:top w:val="none" w:sz="0" w:space="0" w:color="auto"/>
        <w:left w:val="none" w:sz="0" w:space="0" w:color="auto"/>
        <w:bottom w:val="none" w:sz="0" w:space="0" w:color="auto"/>
        <w:right w:val="none" w:sz="0" w:space="0" w:color="auto"/>
      </w:divBdr>
    </w:div>
    <w:div w:id="1366372282">
      <w:bodyDiv w:val="1"/>
      <w:marLeft w:val="0"/>
      <w:marRight w:val="0"/>
      <w:marTop w:val="0"/>
      <w:marBottom w:val="0"/>
      <w:divBdr>
        <w:top w:val="none" w:sz="0" w:space="0" w:color="auto"/>
        <w:left w:val="none" w:sz="0" w:space="0" w:color="auto"/>
        <w:bottom w:val="none" w:sz="0" w:space="0" w:color="auto"/>
        <w:right w:val="none" w:sz="0" w:space="0" w:color="auto"/>
      </w:divBdr>
    </w:div>
    <w:div w:id="1417092599">
      <w:bodyDiv w:val="1"/>
      <w:marLeft w:val="0"/>
      <w:marRight w:val="0"/>
      <w:marTop w:val="0"/>
      <w:marBottom w:val="0"/>
      <w:divBdr>
        <w:top w:val="none" w:sz="0" w:space="0" w:color="auto"/>
        <w:left w:val="none" w:sz="0" w:space="0" w:color="auto"/>
        <w:bottom w:val="none" w:sz="0" w:space="0" w:color="auto"/>
        <w:right w:val="none" w:sz="0" w:space="0" w:color="auto"/>
      </w:divBdr>
    </w:div>
    <w:div w:id="1419978503">
      <w:bodyDiv w:val="1"/>
      <w:marLeft w:val="0"/>
      <w:marRight w:val="0"/>
      <w:marTop w:val="0"/>
      <w:marBottom w:val="0"/>
      <w:divBdr>
        <w:top w:val="none" w:sz="0" w:space="0" w:color="auto"/>
        <w:left w:val="none" w:sz="0" w:space="0" w:color="auto"/>
        <w:bottom w:val="none" w:sz="0" w:space="0" w:color="auto"/>
        <w:right w:val="none" w:sz="0" w:space="0" w:color="auto"/>
      </w:divBdr>
    </w:div>
    <w:div w:id="1478494910">
      <w:bodyDiv w:val="1"/>
      <w:marLeft w:val="0"/>
      <w:marRight w:val="0"/>
      <w:marTop w:val="0"/>
      <w:marBottom w:val="0"/>
      <w:divBdr>
        <w:top w:val="none" w:sz="0" w:space="0" w:color="auto"/>
        <w:left w:val="none" w:sz="0" w:space="0" w:color="auto"/>
        <w:bottom w:val="none" w:sz="0" w:space="0" w:color="auto"/>
        <w:right w:val="none" w:sz="0" w:space="0" w:color="auto"/>
      </w:divBdr>
    </w:div>
    <w:div w:id="1490637808">
      <w:bodyDiv w:val="1"/>
      <w:marLeft w:val="0"/>
      <w:marRight w:val="0"/>
      <w:marTop w:val="0"/>
      <w:marBottom w:val="0"/>
      <w:divBdr>
        <w:top w:val="none" w:sz="0" w:space="0" w:color="auto"/>
        <w:left w:val="none" w:sz="0" w:space="0" w:color="auto"/>
        <w:bottom w:val="none" w:sz="0" w:space="0" w:color="auto"/>
        <w:right w:val="none" w:sz="0" w:space="0" w:color="auto"/>
      </w:divBdr>
    </w:div>
    <w:div w:id="1498763959">
      <w:bodyDiv w:val="1"/>
      <w:marLeft w:val="0"/>
      <w:marRight w:val="0"/>
      <w:marTop w:val="0"/>
      <w:marBottom w:val="0"/>
      <w:divBdr>
        <w:top w:val="none" w:sz="0" w:space="0" w:color="auto"/>
        <w:left w:val="none" w:sz="0" w:space="0" w:color="auto"/>
        <w:bottom w:val="none" w:sz="0" w:space="0" w:color="auto"/>
        <w:right w:val="none" w:sz="0" w:space="0" w:color="auto"/>
      </w:divBdr>
    </w:div>
    <w:div w:id="1574119524">
      <w:bodyDiv w:val="1"/>
      <w:marLeft w:val="0"/>
      <w:marRight w:val="0"/>
      <w:marTop w:val="0"/>
      <w:marBottom w:val="0"/>
      <w:divBdr>
        <w:top w:val="none" w:sz="0" w:space="0" w:color="auto"/>
        <w:left w:val="none" w:sz="0" w:space="0" w:color="auto"/>
        <w:bottom w:val="none" w:sz="0" w:space="0" w:color="auto"/>
        <w:right w:val="none" w:sz="0" w:space="0" w:color="auto"/>
      </w:divBdr>
    </w:div>
    <w:div w:id="1580290225">
      <w:bodyDiv w:val="1"/>
      <w:marLeft w:val="0"/>
      <w:marRight w:val="0"/>
      <w:marTop w:val="0"/>
      <w:marBottom w:val="0"/>
      <w:divBdr>
        <w:top w:val="none" w:sz="0" w:space="0" w:color="auto"/>
        <w:left w:val="none" w:sz="0" w:space="0" w:color="auto"/>
        <w:bottom w:val="none" w:sz="0" w:space="0" w:color="auto"/>
        <w:right w:val="none" w:sz="0" w:space="0" w:color="auto"/>
      </w:divBdr>
    </w:div>
    <w:div w:id="1655984954">
      <w:bodyDiv w:val="1"/>
      <w:marLeft w:val="0"/>
      <w:marRight w:val="0"/>
      <w:marTop w:val="0"/>
      <w:marBottom w:val="0"/>
      <w:divBdr>
        <w:top w:val="none" w:sz="0" w:space="0" w:color="auto"/>
        <w:left w:val="none" w:sz="0" w:space="0" w:color="auto"/>
        <w:bottom w:val="none" w:sz="0" w:space="0" w:color="auto"/>
        <w:right w:val="none" w:sz="0" w:space="0" w:color="auto"/>
      </w:divBdr>
    </w:div>
    <w:div w:id="1741252994">
      <w:bodyDiv w:val="1"/>
      <w:marLeft w:val="0"/>
      <w:marRight w:val="0"/>
      <w:marTop w:val="0"/>
      <w:marBottom w:val="0"/>
      <w:divBdr>
        <w:top w:val="none" w:sz="0" w:space="0" w:color="auto"/>
        <w:left w:val="none" w:sz="0" w:space="0" w:color="auto"/>
        <w:bottom w:val="none" w:sz="0" w:space="0" w:color="auto"/>
        <w:right w:val="none" w:sz="0" w:space="0" w:color="auto"/>
      </w:divBdr>
    </w:div>
    <w:div w:id="1853297727">
      <w:bodyDiv w:val="1"/>
      <w:marLeft w:val="0"/>
      <w:marRight w:val="0"/>
      <w:marTop w:val="0"/>
      <w:marBottom w:val="0"/>
      <w:divBdr>
        <w:top w:val="none" w:sz="0" w:space="0" w:color="auto"/>
        <w:left w:val="none" w:sz="0" w:space="0" w:color="auto"/>
        <w:bottom w:val="none" w:sz="0" w:space="0" w:color="auto"/>
        <w:right w:val="none" w:sz="0" w:space="0" w:color="auto"/>
      </w:divBdr>
    </w:div>
    <w:div w:id="2015838548">
      <w:bodyDiv w:val="1"/>
      <w:marLeft w:val="0"/>
      <w:marRight w:val="0"/>
      <w:marTop w:val="0"/>
      <w:marBottom w:val="0"/>
      <w:divBdr>
        <w:top w:val="none" w:sz="0" w:space="0" w:color="auto"/>
        <w:left w:val="none" w:sz="0" w:space="0" w:color="auto"/>
        <w:bottom w:val="none" w:sz="0" w:space="0" w:color="auto"/>
        <w:right w:val="none" w:sz="0" w:space="0" w:color="auto"/>
      </w:divBdr>
    </w:div>
    <w:div w:id="20760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rctn.com/ISRCTN11085475?q=11085475&amp;filters=&amp;sort=&amp;offset=1&amp;totalResults=1&amp;page=1&amp;pageSize=10&amp;searchType=basic-sear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EDD3B-5ABD-49F7-82BD-1C9A624C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67913</Words>
  <Characters>387106</Characters>
  <Application>Microsoft Office Word</Application>
  <DocSecurity>0</DocSecurity>
  <Lines>3225</Lines>
  <Paragraphs>908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Scrimshire</dc:creator>
  <cp:keywords/>
  <dc:description/>
  <cp:lastModifiedBy>Baker, S.</cp:lastModifiedBy>
  <cp:revision>2</cp:revision>
  <dcterms:created xsi:type="dcterms:W3CDTF">2022-02-15T10:44:00Z</dcterms:created>
  <dcterms:modified xsi:type="dcterms:W3CDTF">2022-02-15T10:44:00Z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91a57381-e171-3fbe-bb8d-5e78234a9658</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http://www.zotero.org/styles/oxford-university-press-scimed-author-date</vt:lpwstr>
  </property>
  <property fmtid="{D5CDD505-2E9C-101B-9397-08002B2CF9AE}" pid="22" name="Mendeley Recent Style Name 8_1">
    <vt:lpwstr>Oxford University Press SciMed (author-date)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