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737" w:rsidRPr="00104720" w:rsidRDefault="00AA6918" w:rsidP="00B66737">
      <w:pPr>
        <w:spacing w:after="0" w:line="240" w:lineRule="auto"/>
        <w:jc w:val="center"/>
        <w:rPr>
          <w:b/>
        </w:rPr>
      </w:pPr>
      <w:r w:rsidRPr="00AA6918">
        <w:rPr>
          <w:b/>
        </w:rPr>
        <w:t xml:space="preserve">Ecila Henderson (A Protected Party, by her litigation friend, The Official Solicitor) v Dorset </w:t>
      </w:r>
      <w:r w:rsidRPr="00104720">
        <w:rPr>
          <w:b/>
        </w:rPr>
        <w:t>Healthcare University NHS Foundation Trust</w:t>
      </w:r>
    </w:p>
    <w:p w:rsidR="00B66737" w:rsidRPr="00104720" w:rsidRDefault="00B66737" w:rsidP="00B66737">
      <w:pPr>
        <w:spacing w:after="0" w:line="240" w:lineRule="auto"/>
        <w:jc w:val="center"/>
        <w:rPr>
          <w:b/>
        </w:rPr>
      </w:pPr>
    </w:p>
    <w:p w:rsidR="00B66737" w:rsidRPr="00104720" w:rsidRDefault="00B66737" w:rsidP="00B66737">
      <w:pPr>
        <w:spacing w:after="0" w:line="240" w:lineRule="auto"/>
      </w:pPr>
      <w:r w:rsidRPr="00104720">
        <w:t>Supreme Court (Lord Reed P, and Lords Hodge,</w:t>
      </w:r>
      <w:r w:rsidR="002811A4" w:rsidRPr="00104720">
        <w:t xml:space="preserve"> Lloyd-Jones, Kitchin, Hamblen</w:t>
      </w:r>
      <w:r w:rsidRPr="00104720">
        <w:t xml:space="preserve"> and Ladies Black, Arden)</w:t>
      </w:r>
    </w:p>
    <w:p w:rsidR="002811A4" w:rsidRPr="00104720" w:rsidRDefault="002811A4" w:rsidP="00B66737">
      <w:pPr>
        <w:spacing w:after="0" w:line="240" w:lineRule="auto"/>
      </w:pPr>
    </w:p>
    <w:p w:rsidR="00B66737" w:rsidRPr="00104720" w:rsidRDefault="00B66737" w:rsidP="00B66737">
      <w:pPr>
        <w:spacing w:after="0" w:line="240" w:lineRule="auto"/>
      </w:pPr>
      <w:r w:rsidRPr="00104720">
        <w:t>30 October 2020</w:t>
      </w:r>
    </w:p>
    <w:p w:rsidR="00B66737" w:rsidRPr="00104720" w:rsidRDefault="00B66737" w:rsidP="00B66737">
      <w:pPr>
        <w:spacing w:after="0" w:line="240" w:lineRule="auto"/>
      </w:pPr>
    </w:p>
    <w:p w:rsidR="00B66737" w:rsidRPr="00104720" w:rsidRDefault="002811A4" w:rsidP="00B66737">
      <w:pPr>
        <w:spacing w:after="0" w:line="240" w:lineRule="auto"/>
      </w:pPr>
      <w:r w:rsidRPr="00104720">
        <w:t xml:space="preserve">[2020] UKSC 43 </w:t>
      </w:r>
      <w:r w:rsidR="00B66737" w:rsidRPr="00104720">
        <w:t xml:space="preserve"> </w:t>
      </w:r>
    </w:p>
    <w:p w:rsidR="00B66737" w:rsidRPr="00104720" w:rsidRDefault="00B66737" w:rsidP="00B66737">
      <w:pPr>
        <w:spacing w:after="0" w:line="240" w:lineRule="auto"/>
      </w:pPr>
    </w:p>
    <w:p w:rsidR="005E5587" w:rsidRPr="00104720" w:rsidRDefault="005E5587" w:rsidP="00B66737">
      <w:pPr>
        <w:spacing w:after="0" w:line="240" w:lineRule="auto"/>
        <w:rPr>
          <w:i/>
        </w:rPr>
      </w:pPr>
      <w:r w:rsidRPr="00104720">
        <w:rPr>
          <w:i/>
        </w:rPr>
        <w:t>Paranoid schizophrenia – negligent failure to return claimant to hospital – manslaughter</w:t>
      </w:r>
      <w:r w:rsidR="00B66737" w:rsidRPr="00104720">
        <w:rPr>
          <w:i/>
        </w:rPr>
        <w:t xml:space="preserve"> – </w:t>
      </w:r>
      <w:r w:rsidRPr="00104720">
        <w:rPr>
          <w:i/>
        </w:rPr>
        <w:t>diminished responsibility</w:t>
      </w:r>
      <w:r w:rsidR="00B66737" w:rsidRPr="00104720">
        <w:rPr>
          <w:i/>
        </w:rPr>
        <w:t xml:space="preserve"> – </w:t>
      </w:r>
      <w:r w:rsidRPr="00104720">
        <w:rPr>
          <w:i/>
        </w:rPr>
        <w:t xml:space="preserve">hospital </w:t>
      </w:r>
      <w:bookmarkStart w:id="0" w:name="_Hlk58604510"/>
      <w:r w:rsidRPr="00104720">
        <w:rPr>
          <w:i/>
        </w:rPr>
        <w:t>order</w:t>
      </w:r>
      <w:r w:rsidR="00B66737" w:rsidRPr="00104720">
        <w:rPr>
          <w:i/>
        </w:rPr>
        <w:t xml:space="preserve"> – illegality    </w:t>
      </w:r>
    </w:p>
    <w:bookmarkEnd w:id="0"/>
    <w:p w:rsidR="005E5587" w:rsidRPr="00104720" w:rsidRDefault="005E5587" w:rsidP="00B66737">
      <w:pPr>
        <w:spacing w:after="0" w:line="240" w:lineRule="auto"/>
      </w:pPr>
    </w:p>
    <w:p w:rsidR="00362240" w:rsidRPr="00104720" w:rsidRDefault="00362240" w:rsidP="00B66737">
      <w:pPr>
        <w:spacing w:after="0" w:line="240" w:lineRule="auto"/>
      </w:pPr>
      <w:r w:rsidRPr="00104720">
        <w:t>Ecila Henderson (E) suffers from paranoid schizophrenia</w:t>
      </w:r>
      <w:r w:rsidR="007D0E6F" w:rsidRPr="00104720">
        <w:t xml:space="preserve"> or schizoaffective disorder.  She had been previously detained in hospital under section 3 of </w:t>
      </w:r>
      <w:r w:rsidR="00E71C9D" w:rsidRPr="00E71C9D">
        <w:t>the Mental</w:t>
      </w:r>
      <w:r w:rsidR="00E71C9D">
        <w:t xml:space="preserve"> Health Act 1983 (the 1983 Act)</w:t>
      </w:r>
      <w:r w:rsidR="007D0E6F" w:rsidRPr="00104720">
        <w:t xml:space="preserve">, but had been discharged and placed on a Community Treatment Order.  Her care plan specified that there should be a low threshold to recall </w:t>
      </w:r>
      <w:r w:rsidR="00E71C9D">
        <w:t xml:space="preserve">her </w:t>
      </w:r>
      <w:r w:rsidR="007D0E6F" w:rsidRPr="00104720">
        <w:t xml:space="preserve">to hospital.  Whilst living in supported accommodation operated and managed by the Dorset Healthcare University NHS Foundation Trust (D), E experienced a relapse in her condition.  D negligently failed to return E to hospital.  </w:t>
      </w:r>
      <w:r w:rsidRPr="00104720">
        <w:t xml:space="preserve">Whilst suffering from a serious psychotic episode </w:t>
      </w:r>
      <w:r w:rsidR="007D0E6F" w:rsidRPr="00104720">
        <w:t>E</w:t>
      </w:r>
      <w:r w:rsidRPr="00104720">
        <w:t xml:space="preserve"> stabbed her mother to death.  Had D returned E to hospital she would not have killed her mother.</w:t>
      </w:r>
    </w:p>
    <w:p w:rsidR="00362240" w:rsidRPr="00104720" w:rsidRDefault="00362240" w:rsidP="00B66737">
      <w:pPr>
        <w:spacing w:after="0" w:line="240" w:lineRule="auto"/>
      </w:pPr>
    </w:p>
    <w:p w:rsidR="00362240" w:rsidRDefault="00362240" w:rsidP="00B66737">
      <w:pPr>
        <w:spacing w:after="0" w:line="240" w:lineRule="auto"/>
      </w:pPr>
      <w:r w:rsidRPr="00104720">
        <w:t xml:space="preserve">Initially charged with murder, the prosecution agreed to E pleading to manslaughter by reason of diminished responsibility, which was accepted by the court.  She was sentenced to a hospital order pursuant to section 37 of </w:t>
      </w:r>
      <w:r w:rsidR="00E71C9D">
        <w:t>the 1983 Act</w:t>
      </w:r>
      <w:r w:rsidRPr="00104720">
        <w:t xml:space="preserve"> and an unlimited restriction order under section 41 of the 1983 Act.  E remains subject to this detention.</w:t>
      </w:r>
    </w:p>
    <w:p w:rsidR="00864EF8" w:rsidRDefault="00864EF8" w:rsidP="00B66737">
      <w:pPr>
        <w:spacing w:after="0" w:line="240" w:lineRule="auto"/>
      </w:pPr>
    </w:p>
    <w:p w:rsidR="00362240" w:rsidRDefault="00864EF8" w:rsidP="00B66737">
      <w:pPr>
        <w:spacing w:after="0" w:line="240" w:lineRule="auto"/>
      </w:pPr>
      <w:r>
        <w:t>E brought a claim against D in negligence, claiming</w:t>
      </w:r>
      <w:r w:rsidRPr="00864EF8">
        <w:t xml:space="preserve"> the following damages: general damages for personal injury and loss of amenity following her killing her mother, loss of her share in her mother’s estate (</w:t>
      </w:r>
      <w:r>
        <w:t xml:space="preserve">subsequent to </w:t>
      </w:r>
      <w:r w:rsidRPr="00864EF8">
        <w:t>the Forfeiture Act 1982), general damages for her loss of liberty,</w:t>
      </w:r>
      <w:r>
        <w:t xml:space="preserve"> and </w:t>
      </w:r>
      <w:r w:rsidR="00E71C9D">
        <w:t xml:space="preserve">also damages </w:t>
      </w:r>
      <w:r>
        <w:t xml:space="preserve">for future costs of psychotherapy and for a care manager/support worker.  </w:t>
      </w:r>
      <w:r w:rsidR="008123E1">
        <w:t>D</w:t>
      </w:r>
      <w:r w:rsidR="00362240" w:rsidRPr="00362240">
        <w:t xml:space="preserve"> admitted negligence, but denie</w:t>
      </w:r>
      <w:r w:rsidR="00362240">
        <w:t>d</w:t>
      </w:r>
      <w:r w:rsidR="00362240" w:rsidRPr="00362240">
        <w:t xml:space="preserve"> liability on the </w:t>
      </w:r>
      <w:r w:rsidR="002B2120">
        <w:t>basis of illegality</w:t>
      </w:r>
      <w:r w:rsidR="00E16998">
        <w:t xml:space="preserve"> since the damages claimed</w:t>
      </w:r>
      <w:r w:rsidR="00E71C9D">
        <w:t xml:space="preserve"> by E </w:t>
      </w:r>
      <w:r w:rsidR="00362240">
        <w:t>result</w:t>
      </w:r>
      <w:r w:rsidR="008123E1">
        <w:t>ed</w:t>
      </w:r>
      <w:r w:rsidR="00362240">
        <w:t xml:space="preserve"> from E’s criminal act, and the sentence imposed on her by the criminal court.</w:t>
      </w:r>
    </w:p>
    <w:p w:rsidR="00864EF8" w:rsidRDefault="00864EF8" w:rsidP="00B66737">
      <w:pPr>
        <w:spacing w:after="0" w:line="240" w:lineRule="auto"/>
      </w:pPr>
    </w:p>
    <w:p w:rsidR="00104720" w:rsidRDefault="00864EF8" w:rsidP="00A942B9">
      <w:pPr>
        <w:spacing w:after="0" w:line="240" w:lineRule="auto"/>
      </w:pPr>
      <w:r>
        <w:t>On trial of the preliminary issue of the recoverability of the heads of loss Jay J (</w:t>
      </w:r>
      <w:r w:rsidRPr="00864EF8">
        <w:t>[2016] EW</w:t>
      </w:r>
      <w:r>
        <w:t>HC 3275 (QB); [2017] 1 W.L.R. 2673) held that</w:t>
      </w:r>
      <w:r w:rsidR="00A942B9">
        <w:t xml:space="preserve"> the loss was irrecoverable on the grounds of illegality since he was bound by </w:t>
      </w:r>
      <w:r w:rsidR="00A942B9" w:rsidRPr="00A942B9">
        <w:rPr>
          <w:i/>
        </w:rPr>
        <w:t>Clunis v Camden and Islington Health Authority</w:t>
      </w:r>
      <w:r w:rsidR="00A942B9" w:rsidRPr="00A942B9">
        <w:t xml:space="preserve"> [1998] Q</w:t>
      </w:r>
      <w:r w:rsidR="00A942B9">
        <w:t>.</w:t>
      </w:r>
      <w:r w:rsidR="00A942B9" w:rsidRPr="00A942B9">
        <w:t>B</w:t>
      </w:r>
      <w:r w:rsidR="00A942B9">
        <w:t>.</w:t>
      </w:r>
      <w:r w:rsidR="00E71C9D">
        <w:t xml:space="preserve"> 978 (</w:t>
      </w:r>
      <w:r w:rsidR="00A942B9" w:rsidRPr="00104720">
        <w:rPr>
          <w:i/>
        </w:rPr>
        <w:t>Clunis</w:t>
      </w:r>
      <w:r w:rsidR="00A942B9" w:rsidRPr="00A942B9">
        <w:t xml:space="preserve">) and </w:t>
      </w:r>
      <w:r w:rsidR="00104720" w:rsidRPr="00104720">
        <w:rPr>
          <w:i/>
        </w:rPr>
        <w:t>Gray v Thames Trains Ltd</w:t>
      </w:r>
      <w:r w:rsidR="00104720" w:rsidRPr="00104720">
        <w:t xml:space="preserve"> [</w:t>
      </w:r>
      <w:r w:rsidR="002B2120">
        <w:t xml:space="preserve">2009] </w:t>
      </w:r>
      <w:r w:rsidR="00104720">
        <w:t>UKHL 33; [2009] A.C. 1339 (</w:t>
      </w:r>
      <w:r w:rsidR="00A942B9" w:rsidRPr="00104720">
        <w:rPr>
          <w:i/>
        </w:rPr>
        <w:t>Gray</w:t>
      </w:r>
      <w:r w:rsidR="00104720">
        <w:t>)</w:t>
      </w:r>
      <w:r w:rsidR="00A942B9">
        <w:t>, both of which had materially identical facts</w:t>
      </w:r>
      <w:r w:rsidR="00104720">
        <w:t xml:space="preserve"> to the present case</w:t>
      </w:r>
      <w:r w:rsidR="00A942B9">
        <w:t xml:space="preserve">.  The Court of Appeal </w:t>
      </w:r>
      <w:r w:rsidR="00A942B9" w:rsidRPr="00A942B9">
        <w:t>(Sir Terence Etherton MR, Ryder</w:t>
      </w:r>
      <w:r w:rsidR="00706571">
        <w:t>,</w:t>
      </w:r>
      <w:bookmarkStart w:id="1" w:name="_GoBack"/>
      <w:bookmarkEnd w:id="1"/>
      <w:r w:rsidR="00A942B9" w:rsidRPr="00A942B9">
        <w:t xml:space="preserve"> and Macur LJJ) </w:t>
      </w:r>
      <w:r w:rsidR="00A942B9">
        <w:t>(</w:t>
      </w:r>
      <w:r w:rsidR="00A942B9" w:rsidRPr="00A942B9">
        <w:t>[2018] EWCA Civ 1841; [2018] 3 W</w:t>
      </w:r>
      <w:r w:rsidR="00A942B9">
        <w:t>.</w:t>
      </w:r>
      <w:r w:rsidR="00A942B9" w:rsidRPr="00A942B9">
        <w:t>L</w:t>
      </w:r>
      <w:r w:rsidR="00A942B9">
        <w:t>.</w:t>
      </w:r>
      <w:r w:rsidR="00A942B9" w:rsidRPr="00A942B9">
        <w:t>R</w:t>
      </w:r>
      <w:r w:rsidR="00A942B9">
        <w:t>.</w:t>
      </w:r>
      <w:r w:rsidR="00A942B9" w:rsidRPr="00A942B9">
        <w:t xml:space="preserve"> 1651</w:t>
      </w:r>
      <w:r w:rsidR="00A942B9">
        <w:t xml:space="preserve">) held that they too were bound by </w:t>
      </w:r>
      <w:r w:rsidR="00A942B9" w:rsidRPr="00104720">
        <w:rPr>
          <w:i/>
        </w:rPr>
        <w:t>Clunis</w:t>
      </w:r>
      <w:r w:rsidR="00A942B9">
        <w:t xml:space="preserve"> and </w:t>
      </w:r>
      <w:r w:rsidR="00A942B9" w:rsidRPr="00104720">
        <w:rPr>
          <w:i/>
        </w:rPr>
        <w:t>Gray</w:t>
      </w:r>
      <w:r w:rsidR="00A942B9">
        <w:t xml:space="preserve">, </w:t>
      </w:r>
      <w:r w:rsidR="00A942B9" w:rsidRPr="00104720">
        <w:t xml:space="preserve">and that </w:t>
      </w:r>
      <w:r w:rsidR="002B2120">
        <w:t>E’s</w:t>
      </w:r>
      <w:r w:rsidR="00A942B9" w:rsidRPr="00104720">
        <w:t xml:space="preserve"> losses were irrecoverable.</w:t>
      </w:r>
    </w:p>
    <w:p w:rsidR="00104720" w:rsidRDefault="00104720" w:rsidP="00A942B9">
      <w:pPr>
        <w:spacing w:after="0" w:line="240" w:lineRule="auto"/>
      </w:pPr>
    </w:p>
    <w:p w:rsidR="00A942B9" w:rsidRPr="00D52C46" w:rsidRDefault="00A942B9" w:rsidP="00A942B9">
      <w:pPr>
        <w:spacing w:after="0" w:line="240" w:lineRule="auto"/>
        <w:rPr>
          <w:rFonts w:eastAsia="Times New Roman" w:cstheme="minorHAnsi"/>
          <w:color w:val="000000"/>
          <w:lang w:eastAsia="en-GB"/>
        </w:rPr>
      </w:pPr>
      <w:r w:rsidRPr="00104720">
        <w:rPr>
          <w:rFonts w:eastAsia="Times New Roman" w:cstheme="minorHAnsi"/>
          <w:color w:val="000000"/>
          <w:lang w:eastAsia="en-GB"/>
        </w:rPr>
        <w:t>E</w:t>
      </w:r>
      <w:r w:rsidRPr="00104720">
        <w:rPr>
          <w:rFonts w:eastAsia="Times New Roman" w:cstheme="minorHAnsi"/>
          <w:color w:val="000000"/>
          <w:lang w:eastAsia="en-GB"/>
        </w:rPr>
        <w:t xml:space="preserve"> appealed to </w:t>
      </w:r>
      <w:r w:rsidRPr="00104720">
        <w:rPr>
          <w:rFonts w:eastAsia="Times New Roman" w:cstheme="minorHAnsi"/>
          <w:color w:val="000000"/>
          <w:lang w:eastAsia="en-GB"/>
        </w:rPr>
        <w:t xml:space="preserve">the Supreme Court arguing that </w:t>
      </w:r>
      <w:r w:rsidRPr="00104720">
        <w:rPr>
          <w:rFonts w:eastAsia="Times New Roman" w:cstheme="minorHAnsi"/>
          <w:i/>
          <w:color w:val="000000"/>
          <w:lang w:eastAsia="en-GB"/>
        </w:rPr>
        <w:t>Gray</w:t>
      </w:r>
      <w:r w:rsidRPr="00104720">
        <w:rPr>
          <w:rFonts w:eastAsia="Times New Roman" w:cstheme="minorHAnsi"/>
          <w:color w:val="000000"/>
          <w:lang w:eastAsia="en-GB"/>
        </w:rPr>
        <w:t xml:space="preserve"> </w:t>
      </w:r>
      <w:r w:rsidR="00093E5F" w:rsidRPr="00104720">
        <w:rPr>
          <w:rFonts w:eastAsia="Times New Roman" w:cstheme="minorHAnsi"/>
          <w:color w:val="000000"/>
          <w:lang w:eastAsia="en-GB"/>
        </w:rPr>
        <w:t xml:space="preserve">was distinguishable, or </w:t>
      </w:r>
      <w:r w:rsidR="00104720" w:rsidRPr="00104720">
        <w:rPr>
          <w:rFonts w:eastAsia="Times New Roman" w:cstheme="minorHAnsi"/>
          <w:color w:val="000000"/>
          <w:lang w:eastAsia="en-GB"/>
        </w:rPr>
        <w:t xml:space="preserve">if not </w:t>
      </w:r>
      <w:r w:rsidR="00FB1CBF" w:rsidRPr="00104720">
        <w:rPr>
          <w:rFonts w:eastAsia="Times New Roman" w:cstheme="minorHAnsi"/>
          <w:color w:val="000000"/>
          <w:lang w:eastAsia="en-GB"/>
        </w:rPr>
        <w:t xml:space="preserve">that </w:t>
      </w:r>
      <w:r w:rsidR="00104720" w:rsidRPr="00104720">
        <w:rPr>
          <w:rFonts w:eastAsia="Times New Roman" w:cstheme="minorHAnsi"/>
          <w:color w:val="000000"/>
          <w:lang w:eastAsia="en-GB"/>
        </w:rPr>
        <w:t xml:space="preserve">alternatively </w:t>
      </w:r>
      <w:r w:rsidR="00FB1CBF" w:rsidRPr="00104720">
        <w:rPr>
          <w:rFonts w:eastAsia="Times New Roman" w:cstheme="minorHAnsi"/>
          <w:color w:val="000000"/>
          <w:lang w:eastAsia="en-GB"/>
        </w:rPr>
        <w:t xml:space="preserve">following </w:t>
      </w:r>
      <w:r w:rsidR="00093E5F" w:rsidRPr="00104720">
        <w:rPr>
          <w:rFonts w:eastAsia="Times New Roman" w:cstheme="minorHAnsi"/>
          <w:i/>
          <w:color w:val="000000"/>
          <w:lang w:eastAsia="en-GB"/>
        </w:rPr>
        <w:t>Patel v Mirza</w:t>
      </w:r>
      <w:r w:rsidR="00093E5F" w:rsidRPr="00104720">
        <w:rPr>
          <w:rFonts w:eastAsia="Times New Roman" w:cstheme="minorHAnsi"/>
          <w:color w:val="000000"/>
          <w:lang w:eastAsia="en-GB"/>
        </w:rPr>
        <w:t xml:space="preserve"> [2016] UKSC 42; [2017] A.C. 467</w:t>
      </w:r>
      <w:r w:rsidR="00104720" w:rsidRPr="00104720">
        <w:rPr>
          <w:rFonts w:eastAsia="Times New Roman" w:cstheme="minorHAnsi"/>
          <w:color w:val="000000"/>
          <w:lang w:eastAsia="en-GB"/>
        </w:rPr>
        <w:t xml:space="preserve"> (</w:t>
      </w:r>
      <w:r w:rsidR="00104720" w:rsidRPr="00104720">
        <w:rPr>
          <w:rFonts w:eastAsia="Times New Roman" w:cstheme="minorHAnsi"/>
          <w:i/>
          <w:color w:val="000000"/>
          <w:lang w:eastAsia="en-GB"/>
        </w:rPr>
        <w:t>Patel</w:t>
      </w:r>
      <w:r w:rsidR="00104720" w:rsidRPr="00104720">
        <w:rPr>
          <w:rFonts w:eastAsia="Times New Roman" w:cstheme="minorHAnsi"/>
          <w:color w:val="000000"/>
          <w:lang w:eastAsia="en-GB"/>
        </w:rPr>
        <w:t>)</w:t>
      </w:r>
      <w:r w:rsidR="00093E5F" w:rsidRPr="00104720">
        <w:rPr>
          <w:rFonts w:eastAsia="Times New Roman" w:cstheme="minorHAnsi"/>
          <w:color w:val="000000"/>
          <w:lang w:eastAsia="en-GB"/>
        </w:rPr>
        <w:t xml:space="preserve"> </w:t>
      </w:r>
      <w:r w:rsidR="00093E5F" w:rsidRPr="00104720">
        <w:rPr>
          <w:rFonts w:eastAsia="Times New Roman" w:cstheme="minorHAnsi"/>
          <w:i/>
          <w:color w:val="000000"/>
          <w:lang w:eastAsia="en-GB"/>
        </w:rPr>
        <w:t>Gray</w:t>
      </w:r>
      <w:r w:rsidR="00093E5F" w:rsidRPr="00104720">
        <w:rPr>
          <w:rFonts w:eastAsia="Times New Roman" w:cstheme="minorHAnsi"/>
          <w:color w:val="000000"/>
          <w:lang w:eastAsia="en-GB"/>
        </w:rPr>
        <w:t xml:space="preserve"> should be departed from </w:t>
      </w:r>
      <w:r w:rsidRPr="00104720">
        <w:rPr>
          <w:rFonts w:eastAsia="Times New Roman" w:cstheme="minorHAnsi"/>
          <w:color w:val="000000"/>
          <w:lang w:eastAsia="en-GB"/>
        </w:rPr>
        <w:t xml:space="preserve">and </w:t>
      </w:r>
      <w:r w:rsidRPr="00104720">
        <w:rPr>
          <w:rFonts w:eastAsia="Times New Roman" w:cstheme="minorHAnsi"/>
          <w:i/>
          <w:color w:val="000000"/>
          <w:lang w:eastAsia="en-GB"/>
        </w:rPr>
        <w:t>Clunis</w:t>
      </w:r>
      <w:r w:rsidRPr="00104720">
        <w:rPr>
          <w:rFonts w:eastAsia="Times New Roman" w:cstheme="minorHAnsi"/>
          <w:color w:val="000000"/>
          <w:lang w:eastAsia="en-GB"/>
        </w:rPr>
        <w:t xml:space="preserve"> overruled.</w:t>
      </w:r>
      <w:r w:rsidRPr="00D52C46">
        <w:rPr>
          <w:rFonts w:eastAsia="Times New Roman" w:cstheme="minorHAnsi"/>
          <w:color w:val="000000"/>
          <w:lang w:eastAsia="en-GB"/>
        </w:rPr>
        <w:t xml:space="preserve">  </w:t>
      </w:r>
    </w:p>
    <w:p w:rsidR="00864EF8" w:rsidRDefault="00093E5F" w:rsidP="00093E5F">
      <w:pPr>
        <w:tabs>
          <w:tab w:val="left" w:pos="8340"/>
        </w:tabs>
        <w:spacing w:after="0" w:line="240" w:lineRule="auto"/>
      </w:pPr>
      <w:r>
        <w:tab/>
      </w:r>
    </w:p>
    <w:p w:rsidR="00104720" w:rsidRDefault="00093E5F" w:rsidP="00104720">
      <w:pPr>
        <w:spacing w:after="0" w:line="240" w:lineRule="auto"/>
        <w:rPr>
          <w:rFonts w:eastAsia="Times New Roman" w:cstheme="minorHAnsi"/>
          <w:color w:val="000000"/>
          <w:lang w:eastAsia="en-GB"/>
        </w:rPr>
      </w:pPr>
      <w:r w:rsidRPr="00257E40">
        <w:rPr>
          <w:rFonts w:eastAsia="Times New Roman" w:cstheme="minorHAnsi"/>
          <w:b/>
          <w:color w:val="000000"/>
          <w:lang w:eastAsia="en-GB"/>
        </w:rPr>
        <w:t>Held:</w:t>
      </w:r>
      <w:r w:rsidRPr="00257E40">
        <w:rPr>
          <w:rFonts w:eastAsia="Times New Roman" w:cstheme="minorHAnsi"/>
          <w:color w:val="000000"/>
          <w:lang w:eastAsia="en-GB"/>
        </w:rPr>
        <w:t xml:space="preserve"> The appeal should be dismissed,</w:t>
      </w:r>
    </w:p>
    <w:p w:rsidR="00104720" w:rsidRDefault="00104720" w:rsidP="00104720">
      <w:pPr>
        <w:spacing w:after="0" w:line="240" w:lineRule="auto"/>
        <w:rPr>
          <w:rFonts w:eastAsia="Times New Roman" w:cstheme="minorHAnsi"/>
          <w:color w:val="000000"/>
          <w:lang w:eastAsia="en-GB"/>
        </w:rPr>
      </w:pPr>
    </w:p>
    <w:p w:rsidR="00FB1CBF" w:rsidRPr="00104720" w:rsidRDefault="00FB1CBF" w:rsidP="00104720">
      <w:pPr>
        <w:pStyle w:val="ListParagraph"/>
        <w:numPr>
          <w:ilvl w:val="0"/>
          <w:numId w:val="1"/>
        </w:numPr>
        <w:spacing w:after="0" w:line="240" w:lineRule="auto"/>
      </w:pPr>
      <w:r w:rsidRPr="00104720">
        <w:rPr>
          <w:rFonts w:eastAsia="Times New Roman" w:cstheme="minorHAnsi"/>
          <w:i/>
          <w:color w:val="000000"/>
          <w:lang w:eastAsia="en-GB"/>
        </w:rPr>
        <w:t>Gray</w:t>
      </w:r>
      <w:r w:rsidRPr="00104720">
        <w:rPr>
          <w:rFonts w:eastAsia="Times New Roman" w:cstheme="minorHAnsi"/>
          <w:color w:val="000000"/>
          <w:lang w:eastAsia="en-GB"/>
        </w:rPr>
        <w:t xml:space="preserve"> cannot be distinguished</w:t>
      </w:r>
      <w:r w:rsidR="00104720" w:rsidRPr="00104720">
        <w:rPr>
          <w:rFonts w:eastAsia="Times New Roman" w:cstheme="minorHAnsi"/>
          <w:color w:val="000000"/>
          <w:lang w:eastAsia="en-GB"/>
        </w:rPr>
        <w:t xml:space="preserve"> from the present case</w:t>
      </w:r>
      <w:r w:rsidRPr="00104720">
        <w:rPr>
          <w:rFonts w:eastAsia="Times New Roman" w:cstheme="minorHAnsi"/>
          <w:color w:val="000000"/>
          <w:lang w:eastAsia="en-GB"/>
        </w:rPr>
        <w:t>.  It involved the same offence and sentence.  Further</w:t>
      </w:r>
      <w:r w:rsidR="00104720">
        <w:rPr>
          <w:rFonts w:eastAsia="Times New Roman" w:cstheme="minorHAnsi"/>
          <w:color w:val="000000"/>
          <w:lang w:eastAsia="en-GB"/>
        </w:rPr>
        <w:t>,</w:t>
      </w:r>
      <w:r w:rsidR="00E71C9D">
        <w:rPr>
          <w:rFonts w:eastAsia="Times New Roman" w:cstheme="minorHAnsi"/>
          <w:color w:val="000000"/>
          <w:lang w:eastAsia="en-GB"/>
        </w:rPr>
        <w:t xml:space="preserve"> it </w:t>
      </w:r>
      <w:r w:rsidRPr="00104720">
        <w:rPr>
          <w:rFonts w:eastAsia="Times New Roman" w:cstheme="minorHAnsi"/>
          <w:color w:val="000000"/>
          <w:lang w:eastAsia="en-GB"/>
        </w:rPr>
        <w:t>applies irrespective</w:t>
      </w:r>
      <w:r w:rsidR="00E71C9D">
        <w:rPr>
          <w:rFonts w:eastAsia="Times New Roman" w:cstheme="minorHAnsi"/>
          <w:color w:val="000000"/>
          <w:lang w:eastAsia="en-GB"/>
        </w:rPr>
        <w:t>ly</w:t>
      </w:r>
      <w:r w:rsidRPr="00104720">
        <w:rPr>
          <w:rFonts w:eastAsia="Times New Roman" w:cstheme="minorHAnsi"/>
          <w:color w:val="000000"/>
          <w:lang w:eastAsia="en-GB"/>
        </w:rPr>
        <w:t xml:space="preserve"> of the degree of the claimant’s personal responsibility for offending.</w:t>
      </w:r>
      <w:r w:rsidR="00104720">
        <w:rPr>
          <w:rFonts w:eastAsia="Times New Roman" w:cstheme="minorHAnsi"/>
          <w:color w:val="000000"/>
          <w:lang w:eastAsia="en-GB"/>
        </w:rPr>
        <w:t xml:space="preserve">  T</w:t>
      </w:r>
      <w:r w:rsidR="00104720" w:rsidRPr="00104720">
        <w:rPr>
          <w:rFonts w:eastAsia="Times New Roman" w:cstheme="minorHAnsi"/>
          <w:color w:val="000000"/>
          <w:lang w:eastAsia="en-GB"/>
        </w:rPr>
        <w:t xml:space="preserve">he court should be very circumspect </w:t>
      </w:r>
      <w:r w:rsidR="00104720">
        <w:rPr>
          <w:rFonts w:eastAsia="Times New Roman" w:cstheme="minorHAnsi"/>
          <w:color w:val="000000"/>
          <w:lang w:eastAsia="en-GB"/>
        </w:rPr>
        <w:t xml:space="preserve">in </w:t>
      </w:r>
      <w:r w:rsidRPr="00104720">
        <w:rPr>
          <w:rFonts w:eastAsia="Times New Roman" w:cstheme="minorHAnsi"/>
          <w:color w:val="000000"/>
          <w:lang w:eastAsia="en-GB"/>
        </w:rPr>
        <w:t>depart</w:t>
      </w:r>
      <w:r w:rsidR="00104720">
        <w:rPr>
          <w:rFonts w:eastAsia="Times New Roman" w:cstheme="minorHAnsi"/>
          <w:color w:val="000000"/>
          <w:lang w:eastAsia="en-GB"/>
        </w:rPr>
        <w:t>ing</w:t>
      </w:r>
      <w:r w:rsidRPr="00104720">
        <w:rPr>
          <w:rFonts w:eastAsia="Times New Roman" w:cstheme="minorHAnsi"/>
          <w:color w:val="000000"/>
          <w:lang w:eastAsia="en-GB"/>
        </w:rPr>
        <w:t xml:space="preserve"> from a </w:t>
      </w:r>
      <w:r w:rsidRPr="00104720">
        <w:rPr>
          <w:rFonts w:eastAsia="Times New Roman" w:cstheme="minorHAnsi"/>
          <w:color w:val="000000"/>
          <w:lang w:eastAsia="en-GB"/>
        </w:rPr>
        <w:lastRenderedPageBreak/>
        <w:t>decision</w:t>
      </w:r>
      <w:r w:rsidR="00E71C9D">
        <w:rPr>
          <w:rFonts w:eastAsia="Times New Roman" w:cstheme="minorHAnsi"/>
          <w:color w:val="000000"/>
          <w:lang w:eastAsia="en-GB"/>
        </w:rPr>
        <w:t xml:space="preserve"> pursuant to</w:t>
      </w:r>
      <w:r w:rsidRPr="00104720">
        <w:rPr>
          <w:rFonts w:eastAsia="Times New Roman" w:cstheme="minorHAnsi"/>
          <w:color w:val="000000"/>
          <w:lang w:eastAsia="en-GB"/>
        </w:rPr>
        <w:t xml:space="preserve"> the Practice Statement (Judicial Precedent) [1966] 1 W</w:t>
      </w:r>
      <w:r w:rsidR="00104720" w:rsidRPr="00104720">
        <w:rPr>
          <w:rFonts w:eastAsia="Times New Roman" w:cstheme="minorHAnsi"/>
          <w:color w:val="000000"/>
          <w:lang w:eastAsia="en-GB"/>
        </w:rPr>
        <w:t>.</w:t>
      </w:r>
      <w:r w:rsidRPr="00104720">
        <w:rPr>
          <w:rFonts w:eastAsia="Times New Roman" w:cstheme="minorHAnsi"/>
          <w:color w:val="000000"/>
          <w:lang w:eastAsia="en-GB"/>
        </w:rPr>
        <w:t>L</w:t>
      </w:r>
      <w:r w:rsidR="00104720" w:rsidRPr="00104720">
        <w:rPr>
          <w:rFonts w:eastAsia="Times New Roman" w:cstheme="minorHAnsi"/>
          <w:color w:val="000000"/>
          <w:lang w:eastAsia="en-GB"/>
        </w:rPr>
        <w:t>.</w:t>
      </w:r>
      <w:r w:rsidRPr="00104720">
        <w:rPr>
          <w:rFonts w:eastAsia="Times New Roman" w:cstheme="minorHAnsi"/>
          <w:color w:val="000000"/>
          <w:lang w:eastAsia="en-GB"/>
        </w:rPr>
        <w:t>R</w:t>
      </w:r>
      <w:r w:rsidR="00104720" w:rsidRPr="00104720">
        <w:rPr>
          <w:rFonts w:eastAsia="Times New Roman" w:cstheme="minorHAnsi"/>
          <w:color w:val="000000"/>
          <w:lang w:eastAsia="en-GB"/>
        </w:rPr>
        <w:t>.</w:t>
      </w:r>
      <w:r w:rsidRPr="00104720">
        <w:rPr>
          <w:rFonts w:eastAsia="Times New Roman" w:cstheme="minorHAnsi"/>
          <w:color w:val="000000"/>
          <w:lang w:eastAsia="en-GB"/>
        </w:rPr>
        <w:t xml:space="preserve"> 1234 since it is important not to undermine the certainty that precedent promo</w:t>
      </w:r>
      <w:r w:rsidR="00104720" w:rsidRPr="00104720">
        <w:rPr>
          <w:rFonts w:eastAsia="Times New Roman" w:cstheme="minorHAnsi"/>
          <w:color w:val="000000"/>
          <w:lang w:eastAsia="en-GB"/>
        </w:rPr>
        <w:t xml:space="preserve">tes </w:t>
      </w:r>
      <w:r w:rsidRPr="00104720">
        <w:rPr>
          <w:rFonts w:eastAsia="Times New Roman" w:cstheme="minorHAnsi"/>
          <w:color w:val="000000"/>
          <w:lang w:eastAsia="en-GB"/>
        </w:rPr>
        <w:t>([83]-[8</w:t>
      </w:r>
      <w:r w:rsidR="00E16998">
        <w:rPr>
          <w:rFonts w:eastAsia="Times New Roman" w:cstheme="minorHAnsi"/>
          <w:color w:val="000000"/>
          <w:lang w:eastAsia="en-GB"/>
        </w:rPr>
        <w:t>8</w:t>
      </w:r>
      <w:r w:rsidRPr="00104720">
        <w:rPr>
          <w:rFonts w:eastAsia="Times New Roman" w:cstheme="minorHAnsi"/>
          <w:color w:val="000000"/>
          <w:lang w:eastAsia="en-GB"/>
        </w:rPr>
        <w:t>])</w:t>
      </w:r>
      <w:r w:rsidR="00104720" w:rsidRPr="00104720">
        <w:rPr>
          <w:rFonts w:eastAsia="Times New Roman" w:cstheme="minorHAnsi"/>
          <w:color w:val="000000"/>
          <w:lang w:eastAsia="en-GB"/>
        </w:rPr>
        <w:t>.</w:t>
      </w:r>
    </w:p>
    <w:p w:rsidR="00FB1CBF" w:rsidRPr="00B66737" w:rsidRDefault="00FB1CBF" w:rsidP="00FB1CBF">
      <w:pPr>
        <w:pStyle w:val="ListParagraph"/>
        <w:spacing w:after="0" w:line="240" w:lineRule="auto"/>
        <w:rPr>
          <w:rFonts w:eastAsia="Times New Roman" w:cstheme="minorHAnsi"/>
          <w:color w:val="000000"/>
          <w:highlight w:val="green"/>
          <w:lang w:eastAsia="en-GB"/>
        </w:rPr>
      </w:pPr>
    </w:p>
    <w:p w:rsidR="00FB1CBF" w:rsidRPr="00FB1CBF" w:rsidRDefault="00FB1CBF" w:rsidP="00FB1CBF">
      <w:pPr>
        <w:pStyle w:val="ListParagraph"/>
        <w:numPr>
          <w:ilvl w:val="0"/>
          <w:numId w:val="1"/>
        </w:numPr>
        <w:spacing w:after="0" w:line="240" w:lineRule="auto"/>
      </w:pPr>
      <w:r w:rsidRPr="00104720">
        <w:rPr>
          <w:rFonts w:eastAsia="Times New Roman" w:cstheme="minorHAnsi"/>
          <w:i/>
          <w:color w:val="000000"/>
          <w:lang w:eastAsia="en-GB"/>
        </w:rPr>
        <w:t>Patel</w:t>
      </w:r>
      <w:r w:rsidRPr="00FB1CBF">
        <w:rPr>
          <w:rFonts w:eastAsia="Times New Roman" w:cstheme="minorHAnsi"/>
          <w:color w:val="000000"/>
          <w:lang w:eastAsia="en-GB"/>
        </w:rPr>
        <w:t xml:space="preserve"> was intended to provide guidance </w:t>
      </w:r>
      <w:r w:rsidR="00104720">
        <w:rPr>
          <w:rFonts w:eastAsia="Times New Roman" w:cstheme="minorHAnsi"/>
          <w:color w:val="000000"/>
          <w:lang w:eastAsia="en-GB"/>
        </w:rPr>
        <w:t xml:space="preserve">on </w:t>
      </w:r>
      <w:r w:rsidRPr="00FB1CBF">
        <w:rPr>
          <w:rFonts w:eastAsia="Times New Roman" w:cstheme="minorHAnsi"/>
          <w:color w:val="000000"/>
          <w:lang w:eastAsia="en-GB"/>
        </w:rPr>
        <w:t>common law illegal</w:t>
      </w:r>
      <w:r w:rsidR="00104720">
        <w:rPr>
          <w:rFonts w:eastAsia="Times New Roman" w:cstheme="minorHAnsi"/>
          <w:color w:val="000000"/>
          <w:lang w:eastAsia="en-GB"/>
        </w:rPr>
        <w:t>ity across civil law claims</w:t>
      </w:r>
      <w:r w:rsidR="00FB403D">
        <w:rPr>
          <w:rFonts w:eastAsia="Times New Roman" w:cstheme="minorHAnsi"/>
          <w:color w:val="000000"/>
          <w:lang w:eastAsia="en-GB"/>
        </w:rPr>
        <w:t xml:space="preserve">, but </w:t>
      </w:r>
      <w:r w:rsidRPr="00FB1CBF">
        <w:rPr>
          <w:rFonts w:eastAsia="Times New Roman" w:cstheme="minorHAnsi"/>
          <w:color w:val="000000"/>
          <w:lang w:eastAsia="en-GB"/>
        </w:rPr>
        <w:t>does not repres</w:t>
      </w:r>
      <w:r w:rsidR="00FB403D">
        <w:rPr>
          <w:rFonts w:eastAsia="Times New Roman" w:cstheme="minorHAnsi"/>
          <w:color w:val="000000"/>
          <w:lang w:eastAsia="en-GB"/>
        </w:rPr>
        <w:t xml:space="preserve">ent “year zero” for illegality.  </w:t>
      </w:r>
      <w:r w:rsidRPr="00FB1CBF">
        <w:rPr>
          <w:rFonts w:eastAsia="Times New Roman" w:cstheme="minorHAnsi"/>
          <w:color w:val="000000"/>
          <w:lang w:eastAsia="en-GB"/>
        </w:rPr>
        <w:t xml:space="preserve">Earlier decisions remain of precedential value unless </w:t>
      </w:r>
      <w:r w:rsidR="00C05D99">
        <w:rPr>
          <w:rFonts w:eastAsia="Times New Roman" w:cstheme="minorHAnsi"/>
          <w:color w:val="000000"/>
          <w:lang w:eastAsia="en-GB"/>
        </w:rPr>
        <w:t>it</w:t>
      </w:r>
      <w:r w:rsidRPr="00FB1CBF">
        <w:rPr>
          <w:rFonts w:eastAsia="Times New Roman" w:cstheme="minorHAnsi"/>
          <w:color w:val="000000"/>
          <w:lang w:eastAsia="en-GB"/>
        </w:rPr>
        <w:t xml:space="preserve"> can be shown that they cannot stand </w:t>
      </w:r>
      <w:r w:rsidR="00FB403D">
        <w:rPr>
          <w:rFonts w:eastAsia="Times New Roman" w:cstheme="minorHAnsi"/>
          <w:color w:val="000000"/>
          <w:lang w:eastAsia="en-GB"/>
        </w:rPr>
        <w:t xml:space="preserve">or were wrongly decided </w:t>
      </w:r>
      <w:r w:rsidRPr="00FB1CBF">
        <w:rPr>
          <w:rFonts w:eastAsia="Times New Roman" w:cstheme="minorHAnsi"/>
          <w:color w:val="000000"/>
          <w:lang w:eastAsia="en-GB"/>
        </w:rPr>
        <w:t xml:space="preserve">in the light of </w:t>
      </w:r>
      <w:r w:rsidR="00C05D99">
        <w:rPr>
          <w:rFonts w:eastAsia="Times New Roman" w:cstheme="minorHAnsi"/>
          <w:color w:val="000000"/>
          <w:lang w:eastAsia="en-GB"/>
        </w:rPr>
        <w:t xml:space="preserve">the reasoning in </w:t>
      </w:r>
      <w:r w:rsidR="00C05D99" w:rsidRPr="00C05D99">
        <w:rPr>
          <w:rFonts w:eastAsia="Times New Roman" w:cstheme="minorHAnsi"/>
          <w:i/>
          <w:color w:val="000000"/>
          <w:lang w:eastAsia="en-GB"/>
        </w:rPr>
        <w:t>Patel</w:t>
      </w:r>
      <w:r w:rsidRPr="00FB1CBF">
        <w:rPr>
          <w:rFonts w:eastAsia="Times New Roman" w:cstheme="minorHAnsi"/>
          <w:color w:val="000000"/>
          <w:lang w:eastAsia="en-GB"/>
        </w:rPr>
        <w:t xml:space="preserve"> (</w:t>
      </w:r>
      <w:r w:rsidRPr="00FB403D">
        <w:rPr>
          <w:rFonts w:eastAsia="Times New Roman" w:cstheme="minorHAnsi"/>
          <w:i/>
          <w:color w:val="000000"/>
          <w:lang w:eastAsia="en-GB"/>
        </w:rPr>
        <w:t>Okedina v Chikale</w:t>
      </w:r>
      <w:r w:rsidRPr="00FB1CBF">
        <w:rPr>
          <w:rFonts w:eastAsia="Times New Roman" w:cstheme="minorHAnsi"/>
          <w:color w:val="000000"/>
          <w:lang w:eastAsia="en-GB"/>
        </w:rPr>
        <w:t xml:space="preserve"> [2019] EWCA Civ 1393; [2019] I.C.R. 16</w:t>
      </w:r>
      <w:r w:rsidR="001B50CA">
        <w:rPr>
          <w:rFonts w:eastAsia="Times New Roman" w:cstheme="minorHAnsi"/>
          <w:color w:val="000000"/>
          <w:lang w:eastAsia="en-GB"/>
        </w:rPr>
        <w:t>35</w:t>
      </w:r>
      <w:r w:rsidR="00FB403D">
        <w:rPr>
          <w:rFonts w:eastAsia="Times New Roman" w:cstheme="minorHAnsi"/>
          <w:color w:val="000000"/>
          <w:lang w:eastAsia="en-GB"/>
        </w:rPr>
        <w:t>,</w:t>
      </w:r>
      <w:r w:rsidRPr="00FB1CBF">
        <w:rPr>
          <w:rFonts w:eastAsia="Times New Roman" w:cstheme="minorHAnsi"/>
          <w:color w:val="000000"/>
          <w:lang w:eastAsia="en-GB"/>
        </w:rPr>
        <w:t xml:space="preserve"> considered) ([76]-[78])</w:t>
      </w:r>
      <w:r w:rsidR="00104720">
        <w:rPr>
          <w:rFonts w:eastAsia="Times New Roman" w:cstheme="minorHAnsi"/>
          <w:color w:val="000000"/>
          <w:lang w:eastAsia="en-GB"/>
        </w:rPr>
        <w:t>.</w:t>
      </w:r>
    </w:p>
    <w:p w:rsidR="00FB1CBF" w:rsidRDefault="00FB1CBF" w:rsidP="00FB1CBF">
      <w:pPr>
        <w:pStyle w:val="ListParagraph"/>
      </w:pPr>
    </w:p>
    <w:p w:rsidR="00FB1CBF" w:rsidRDefault="00FB403D" w:rsidP="00FB1CBF">
      <w:pPr>
        <w:pStyle w:val="ListParagraph"/>
        <w:numPr>
          <w:ilvl w:val="0"/>
          <w:numId w:val="1"/>
        </w:numPr>
        <w:spacing w:after="0" w:line="240" w:lineRule="auto"/>
      </w:pPr>
      <w:r w:rsidRPr="00FB403D">
        <w:rPr>
          <w:i/>
        </w:rPr>
        <w:t>G</w:t>
      </w:r>
      <w:r w:rsidR="00FB1CBF" w:rsidRPr="00FB403D">
        <w:rPr>
          <w:i/>
        </w:rPr>
        <w:t>ray</w:t>
      </w:r>
      <w:r>
        <w:t xml:space="preserve"> and </w:t>
      </w:r>
      <w:r w:rsidRPr="00FB403D">
        <w:rPr>
          <w:i/>
        </w:rPr>
        <w:t>P</w:t>
      </w:r>
      <w:r w:rsidR="00FB1CBF" w:rsidRPr="00FB403D">
        <w:rPr>
          <w:i/>
        </w:rPr>
        <w:t>atel</w:t>
      </w:r>
      <w:r w:rsidR="00FB1CBF">
        <w:t xml:space="preserve"> are based on the same underlying fundamental policy consideration of consistency s</w:t>
      </w:r>
      <w:r w:rsidR="001B50CA">
        <w:t>o</w:t>
      </w:r>
      <w:r w:rsidR="00FB1CBF">
        <w:t xml:space="preserve"> as to maintain the legal system’s integrity.</w:t>
      </w:r>
      <w:r w:rsidR="00FB1CBF">
        <w:t xml:space="preserve">  </w:t>
      </w:r>
      <w:r w:rsidR="00FB1CBF" w:rsidRPr="00FB403D">
        <w:rPr>
          <w:i/>
        </w:rPr>
        <w:t>Gray</w:t>
      </w:r>
      <w:r w:rsidR="00FB1CBF">
        <w:t xml:space="preserve"> is consistent</w:t>
      </w:r>
      <w:r w:rsidR="00E71C9D">
        <w:t xml:space="preserve"> with the </w:t>
      </w:r>
      <w:r w:rsidR="00FB1CBF">
        <w:t xml:space="preserve">reasoning in </w:t>
      </w:r>
      <w:r w:rsidR="00FB1CBF" w:rsidRPr="00FB403D">
        <w:rPr>
          <w:i/>
        </w:rPr>
        <w:t>Patel</w:t>
      </w:r>
      <w:r w:rsidR="00FB1CBF">
        <w:t xml:space="preserve">, was cited with </w:t>
      </w:r>
      <w:r w:rsidR="00E16998">
        <w:t xml:space="preserve">apparent </w:t>
      </w:r>
      <w:r w:rsidR="00FB1CBF">
        <w:t xml:space="preserve">approval in </w:t>
      </w:r>
      <w:r w:rsidR="00FB1CBF" w:rsidRPr="00FB403D">
        <w:rPr>
          <w:i/>
        </w:rPr>
        <w:t>Patel</w:t>
      </w:r>
      <w:r w:rsidR="00FB1CBF">
        <w:t>, a</w:t>
      </w:r>
      <w:r>
        <w:t xml:space="preserve">nd was correctly considered in </w:t>
      </w:r>
      <w:r w:rsidRPr="00FB403D">
        <w:rPr>
          <w:i/>
        </w:rPr>
        <w:t>P</w:t>
      </w:r>
      <w:r w:rsidR="00FB1CBF" w:rsidRPr="00FB403D">
        <w:rPr>
          <w:i/>
        </w:rPr>
        <w:t>atel</w:t>
      </w:r>
      <w:r w:rsidR="00FB1CBF">
        <w:t xml:space="preserve"> </w:t>
      </w:r>
      <w:r>
        <w:t>to be a</w:t>
      </w:r>
      <w:r w:rsidR="00FB1CBF">
        <w:t xml:space="preserve"> decision based on a public policy approach </w:t>
      </w:r>
      <w:r w:rsidR="001B50CA">
        <w:t xml:space="preserve">to illegality </w:t>
      </w:r>
      <w:r w:rsidR="00FB1CBF">
        <w:t xml:space="preserve">rather than a </w:t>
      </w:r>
      <w:r w:rsidR="00FB1CBF">
        <w:t>reliance based approach</w:t>
      </w:r>
      <w:r w:rsidR="00FB1CBF">
        <w:t xml:space="preserve">.  Whilst it did not expressly consider proportionality as required by </w:t>
      </w:r>
      <w:r w:rsidR="00FB1CBF" w:rsidRPr="00FB403D">
        <w:rPr>
          <w:i/>
        </w:rPr>
        <w:t>Patel</w:t>
      </w:r>
      <w:r w:rsidR="00FB1CBF">
        <w:t xml:space="preserve">, the factual circumstances of </w:t>
      </w:r>
      <w:r w:rsidR="00FB1CBF" w:rsidRPr="00FB403D">
        <w:rPr>
          <w:i/>
        </w:rPr>
        <w:t>Gray</w:t>
      </w:r>
      <w:r w:rsidR="00FB1CBF">
        <w:t xml:space="preserve"> do </w:t>
      </w:r>
      <w:r w:rsidR="00104720">
        <w:t xml:space="preserve">not give rise to this issue </w:t>
      </w:r>
      <w:r w:rsidR="00FB1CBF">
        <w:t>([90]-[91], [93]-[95])</w:t>
      </w:r>
      <w:r w:rsidR="00104720">
        <w:t>.</w:t>
      </w:r>
    </w:p>
    <w:p w:rsidR="00FB1CBF" w:rsidRDefault="00FB1CBF" w:rsidP="00FB1CBF">
      <w:pPr>
        <w:pStyle w:val="ListParagraph"/>
      </w:pPr>
    </w:p>
    <w:p w:rsidR="00FB1CBF" w:rsidRDefault="001B50CA" w:rsidP="001B50CA">
      <w:pPr>
        <w:pStyle w:val="ListParagraph"/>
        <w:numPr>
          <w:ilvl w:val="0"/>
          <w:numId w:val="1"/>
        </w:numPr>
        <w:spacing w:after="520" w:line="240" w:lineRule="auto"/>
        <w:jc w:val="both"/>
      </w:pPr>
      <w:r w:rsidRPr="001B50CA">
        <w:t>Inconsistency would arise not only if the claimant were to recover damages which result fro</w:t>
      </w:r>
      <w:r>
        <w:t xml:space="preserve">m the imposition of their </w:t>
      </w:r>
      <w:r w:rsidR="00890A0D">
        <w:t xml:space="preserve">criminal </w:t>
      </w:r>
      <w:r>
        <w:t>senten</w:t>
      </w:r>
      <w:r w:rsidRPr="001B50CA">
        <w:t>ce (the narrow rule) but also if damages resulted from their intentional criminal act for which they had been held responsible (the wider rule)</w:t>
      </w:r>
      <w:r>
        <w:t xml:space="preserve">.  </w:t>
      </w:r>
      <w:r w:rsidR="00FB1CBF">
        <w:t xml:space="preserve">A conviction of manslaughter on the grounds of diminished responsibility means that the claimant’s </w:t>
      </w:r>
      <w:r>
        <w:t xml:space="preserve">criminal </w:t>
      </w:r>
      <w:r w:rsidR="00FB1CBF">
        <w:t xml:space="preserve">responsibility is </w:t>
      </w:r>
      <w:r w:rsidR="00FB1CBF">
        <w:t>di</w:t>
      </w:r>
      <w:r w:rsidR="00FB1CBF">
        <w:t>min</w:t>
      </w:r>
      <w:r w:rsidR="00FB1CBF">
        <w:t>ished, not removed</w:t>
      </w:r>
      <w:r w:rsidR="00FB1CBF">
        <w:t xml:space="preserve">.  The conviction still involves blame, </w:t>
      </w:r>
      <w:r>
        <w:t xml:space="preserve">and is punitive.  </w:t>
      </w:r>
      <w:r w:rsidR="00FB1CBF">
        <w:t>However, t</w:t>
      </w:r>
      <w:r w:rsidR="00FB1CBF" w:rsidRPr="009352F8">
        <w:t>he fact that a sentence imposed by a criminal court has no penal e</w:t>
      </w:r>
      <w:r w:rsidR="00FB1CBF">
        <w:t>lement does not alter matters</w:t>
      </w:r>
      <w:r>
        <w:t xml:space="preserve"> </w:t>
      </w:r>
      <w:r w:rsidR="00FB1CBF">
        <w:t>([105]-[106], [109])</w:t>
      </w:r>
      <w:r w:rsidR="00104720">
        <w:t>.</w:t>
      </w:r>
    </w:p>
    <w:p w:rsidR="00FB1CBF" w:rsidRDefault="00FB1CBF" w:rsidP="00FB1CBF">
      <w:pPr>
        <w:pStyle w:val="ListParagraph"/>
      </w:pPr>
    </w:p>
    <w:p w:rsidR="00FB1CBF" w:rsidRDefault="00FB1CBF" w:rsidP="001B50CA">
      <w:pPr>
        <w:pStyle w:val="ListParagraph"/>
        <w:numPr>
          <w:ilvl w:val="0"/>
          <w:numId w:val="1"/>
        </w:numPr>
        <w:spacing w:after="520" w:line="240" w:lineRule="auto"/>
        <w:jc w:val="both"/>
      </w:pPr>
      <w:r>
        <w:t>Whilst there may be exceptional cases where criminal acts do not have sufficient turpitude to engage the illegality defence, for instance trivial or strict liability offences, manslaughter by reason of diminished responsibility is a serious offence that clearly engages the defence</w:t>
      </w:r>
      <w:r>
        <w:t xml:space="preserve"> (</w:t>
      </w:r>
      <w:r w:rsidR="001B50CA" w:rsidRPr="001B50CA">
        <w:rPr>
          <w:i/>
        </w:rPr>
        <w:t>Les Laboratoires Servier v Apotex Inc</w:t>
      </w:r>
      <w:r w:rsidR="001B50CA" w:rsidRPr="001B50CA">
        <w:t xml:space="preserve"> [2014] UKSC 55; [2015] A.C. 430</w:t>
      </w:r>
      <w:r w:rsidR="001B50CA">
        <w:t>,</w:t>
      </w:r>
      <w:r>
        <w:t xml:space="preserve"> and </w:t>
      </w:r>
      <w:r w:rsidRPr="001B50CA">
        <w:rPr>
          <w:i/>
        </w:rPr>
        <w:t>Gray</w:t>
      </w:r>
      <w:r>
        <w:t xml:space="preserve"> considered)</w:t>
      </w:r>
      <w:r w:rsidR="00104720">
        <w:t xml:space="preserve"> </w:t>
      </w:r>
      <w:r>
        <w:t>([112])</w:t>
      </w:r>
      <w:r w:rsidR="00104720">
        <w:t>.</w:t>
      </w:r>
    </w:p>
    <w:p w:rsidR="00FB1CBF" w:rsidRDefault="00FB1CBF" w:rsidP="00FB1CBF">
      <w:pPr>
        <w:pStyle w:val="ListParagraph"/>
      </w:pPr>
    </w:p>
    <w:p w:rsidR="00864EF8" w:rsidRDefault="001B50CA" w:rsidP="00B66737">
      <w:pPr>
        <w:pStyle w:val="ListParagraph"/>
        <w:numPr>
          <w:ilvl w:val="0"/>
          <w:numId w:val="1"/>
        </w:numPr>
        <w:spacing w:after="0" w:line="240" w:lineRule="auto"/>
        <w:jc w:val="both"/>
      </w:pPr>
      <w:r>
        <w:t>D</w:t>
      </w:r>
      <w:r w:rsidR="00FB1CBF">
        <w:t xml:space="preserve">enial of the claim </w:t>
      </w:r>
      <w:r>
        <w:t xml:space="preserve">in the present case </w:t>
      </w:r>
      <w:r w:rsidR="00FB1CBF">
        <w:t>is not disproportionate.  The offenc</w:t>
      </w:r>
      <w:r w:rsidR="00DB5F7A">
        <w:t>e was a culp</w:t>
      </w:r>
      <w:r w:rsidR="00FB1CBF">
        <w:t>abl</w:t>
      </w:r>
      <w:r w:rsidR="00DB5F7A">
        <w:t>e</w:t>
      </w:r>
      <w:r w:rsidR="00FB1CBF">
        <w:t xml:space="preserve"> homicide committed with murderous </w:t>
      </w:r>
      <w:r w:rsidR="00DB5F7A">
        <w:t xml:space="preserve">intent.  </w:t>
      </w:r>
      <w:r w:rsidR="00890A0D">
        <w:t>E kne</w:t>
      </w:r>
      <w:r w:rsidR="00FB1CBF">
        <w:t xml:space="preserve">w what she was doing, </w:t>
      </w:r>
      <w:r>
        <w:t xml:space="preserve">and </w:t>
      </w:r>
      <w:r w:rsidR="00FB1CBF">
        <w:t>that it was wrong</w:t>
      </w:r>
      <w:r w:rsidR="00890A0D">
        <w:t xml:space="preserve">. </w:t>
      </w:r>
      <w:r w:rsidR="00FB1CBF">
        <w:t xml:space="preserve"> </w:t>
      </w:r>
      <w:r w:rsidR="00890A0D">
        <w:t>F</w:t>
      </w:r>
      <w:r>
        <w:t xml:space="preserve">urther, </w:t>
      </w:r>
      <w:r w:rsidR="00890A0D">
        <w:t>E’s</w:t>
      </w:r>
      <w:r w:rsidR="00FB1CBF">
        <w:t xml:space="preserve"> offence </w:t>
      </w:r>
      <w:r w:rsidR="00DB5F7A">
        <w:t>was</w:t>
      </w:r>
      <w:r w:rsidR="00FB1CBF">
        <w:t xml:space="preserve"> central </w:t>
      </w:r>
      <w:r w:rsidR="00DB5F7A">
        <w:t>to the heads of losses claimed</w:t>
      </w:r>
      <w:r w:rsidR="00FB1CBF">
        <w:t>.</w:t>
      </w:r>
      <w:r>
        <w:t xml:space="preserve">  </w:t>
      </w:r>
      <w:r w:rsidR="00FB1CBF" w:rsidRPr="001B50CA">
        <w:rPr>
          <w:i/>
        </w:rPr>
        <w:t>Gray</w:t>
      </w:r>
      <w:r w:rsidR="00FB1CBF">
        <w:t xml:space="preserve"> is </w:t>
      </w:r>
      <w:r w:rsidR="00FB1CBF" w:rsidRPr="001B50CA">
        <w:rPr>
          <w:i/>
        </w:rPr>
        <w:t xml:space="preserve">Patel </w:t>
      </w:r>
      <w:r w:rsidR="00FB1CBF">
        <w:t xml:space="preserve">compliant, and represents how </w:t>
      </w:r>
      <w:r w:rsidR="00FB1CBF" w:rsidRPr="001B50CA">
        <w:rPr>
          <w:i/>
        </w:rPr>
        <w:t xml:space="preserve">Patel </w:t>
      </w:r>
      <w:r w:rsidR="00FB1CBF">
        <w:t>is applied in t</w:t>
      </w:r>
      <w:r>
        <w:t xml:space="preserve">his particular type of case.  </w:t>
      </w:r>
      <w:r w:rsidR="00FB1CBF">
        <w:t>It should be followed in comparable cases</w:t>
      </w:r>
      <w:r w:rsidR="00DB5F7A">
        <w:t xml:space="preserve"> ([139]-[143],</w:t>
      </w:r>
      <w:r w:rsidR="00FB1CBF">
        <w:t xml:space="preserve"> [145]</w:t>
      </w:r>
      <w:r w:rsidR="00DB5F7A">
        <w:t>)</w:t>
      </w:r>
      <w:r w:rsidR="00104720">
        <w:t>.</w:t>
      </w:r>
    </w:p>
    <w:p w:rsidR="007D0E6F" w:rsidRDefault="007D0E6F" w:rsidP="005E5587">
      <w:pPr>
        <w:spacing w:after="0" w:line="240" w:lineRule="auto"/>
        <w:rPr>
          <w:highlight w:val="cyan"/>
        </w:rPr>
      </w:pPr>
    </w:p>
    <w:p w:rsidR="00B66737" w:rsidRPr="00B66737" w:rsidRDefault="00B66737" w:rsidP="00B66737">
      <w:pPr>
        <w:spacing w:after="0" w:line="240" w:lineRule="auto"/>
        <w:rPr>
          <w:rFonts w:eastAsia="Times New Roman" w:cstheme="minorHAnsi"/>
          <w:color w:val="000000"/>
          <w:highlight w:val="green"/>
          <w:lang w:eastAsia="en-GB"/>
        </w:rPr>
      </w:pPr>
    </w:p>
    <w:p w:rsidR="00B66737" w:rsidRPr="001B50CA" w:rsidRDefault="00B66737" w:rsidP="00B66737">
      <w:pPr>
        <w:spacing w:line="240" w:lineRule="auto"/>
        <w:rPr>
          <w:b/>
        </w:rPr>
      </w:pPr>
      <w:r w:rsidRPr="001B50CA">
        <w:rPr>
          <w:b/>
        </w:rPr>
        <w:t>Cases referred to in the opinion:</w:t>
      </w:r>
    </w:p>
    <w:p w:rsidR="00E657BC" w:rsidRDefault="00E657BC" w:rsidP="00E657BC">
      <w:r w:rsidRPr="00FE1CA8">
        <w:rPr>
          <w:i/>
        </w:rPr>
        <w:t>M’Naghten’s case</w:t>
      </w:r>
      <w:r w:rsidRPr="002804E4">
        <w:t xml:space="preserve"> (1843) 10 Cl</w:t>
      </w:r>
      <w:r>
        <w:t>.</w:t>
      </w:r>
      <w:r w:rsidRPr="002804E4">
        <w:t xml:space="preserve"> &amp; F</w:t>
      </w:r>
      <w:r>
        <w:t>.</w:t>
      </w:r>
      <w:r w:rsidRPr="002804E4">
        <w:t xml:space="preserve"> 200, 8 E</w:t>
      </w:r>
      <w:r>
        <w:t>.</w:t>
      </w:r>
      <w:r w:rsidRPr="002804E4">
        <w:t>R</w:t>
      </w:r>
      <w:r>
        <w:t>.</w:t>
      </w:r>
      <w:r w:rsidRPr="002804E4">
        <w:t xml:space="preserve"> 718</w:t>
      </w:r>
    </w:p>
    <w:p w:rsidR="00E657BC" w:rsidRDefault="00E657BC" w:rsidP="00E657BC">
      <w:r w:rsidRPr="00FE1CA8">
        <w:rPr>
          <w:i/>
        </w:rPr>
        <w:t>R. v National Insurance Comr, Ex p Hudson</w:t>
      </w:r>
      <w:r w:rsidRPr="00507CDE">
        <w:t xml:space="preserve"> [1972] A</w:t>
      </w:r>
      <w:r>
        <w:t>.</w:t>
      </w:r>
      <w:r w:rsidRPr="00507CDE">
        <w:t>C</w:t>
      </w:r>
      <w:r>
        <w:t>.</w:t>
      </w:r>
      <w:r w:rsidRPr="00507CDE">
        <w:t xml:space="preserve"> 944</w:t>
      </w:r>
    </w:p>
    <w:p w:rsidR="00E657BC" w:rsidRDefault="00E657BC" w:rsidP="00E657BC">
      <w:r w:rsidRPr="00FE1CA8">
        <w:rPr>
          <w:i/>
        </w:rPr>
        <w:t>R. v Eaton</w:t>
      </w:r>
      <w:r w:rsidRPr="008876BB">
        <w:t xml:space="preserve"> [1976] Crim</w:t>
      </w:r>
      <w:r>
        <w:t>.</w:t>
      </w:r>
      <w:r w:rsidRPr="008876BB">
        <w:t xml:space="preserve"> L</w:t>
      </w:r>
      <w:r>
        <w:t>.</w:t>
      </w:r>
      <w:r w:rsidRPr="008876BB">
        <w:t>R</w:t>
      </w:r>
      <w:r>
        <w:t>.</w:t>
      </w:r>
      <w:r w:rsidRPr="008876BB">
        <w:t xml:space="preserve"> 390</w:t>
      </w:r>
    </w:p>
    <w:p w:rsidR="00E657BC" w:rsidRDefault="00E657BC" w:rsidP="00E657BC">
      <w:r w:rsidRPr="00FE1CA8">
        <w:rPr>
          <w:i/>
        </w:rPr>
        <w:t>R. v Secretary of State for the Home Department, Ex. p Khawaja</w:t>
      </w:r>
      <w:r w:rsidRPr="00507CDE">
        <w:t xml:space="preserve"> [1984] A</w:t>
      </w:r>
      <w:r>
        <w:t>.</w:t>
      </w:r>
      <w:r w:rsidRPr="00507CDE">
        <w:t>C</w:t>
      </w:r>
      <w:r>
        <w:t>.</w:t>
      </w:r>
      <w:r w:rsidRPr="00507CDE">
        <w:t xml:space="preserve"> 74</w:t>
      </w:r>
    </w:p>
    <w:p w:rsidR="00E657BC" w:rsidRDefault="00E657BC" w:rsidP="00E657BC">
      <w:r w:rsidRPr="00FE1CA8">
        <w:rPr>
          <w:i/>
        </w:rPr>
        <w:t>Meah v McCreamer (No 2)</w:t>
      </w:r>
      <w:r w:rsidRPr="008876BB">
        <w:t xml:space="preserve"> [1986] 1 All E</w:t>
      </w:r>
      <w:r>
        <w:t>.</w:t>
      </w:r>
      <w:r w:rsidRPr="008876BB">
        <w:t>R</w:t>
      </w:r>
      <w:r>
        <w:t>.</w:t>
      </w:r>
      <w:r w:rsidRPr="008876BB">
        <w:t xml:space="preserve"> 943</w:t>
      </w:r>
    </w:p>
    <w:p w:rsidR="00E657BC" w:rsidRDefault="00E657BC" w:rsidP="00E657BC">
      <w:r w:rsidRPr="00FE1CA8">
        <w:rPr>
          <w:i/>
        </w:rPr>
        <w:t>R v Birch (Beulah)</w:t>
      </w:r>
      <w:r w:rsidRPr="002804E4">
        <w:t xml:space="preserve"> (1989) 11 Cr</w:t>
      </w:r>
      <w:r>
        <w:t>.</w:t>
      </w:r>
      <w:r w:rsidRPr="002804E4">
        <w:t xml:space="preserve"> App</w:t>
      </w:r>
      <w:r>
        <w:t>.</w:t>
      </w:r>
      <w:r w:rsidRPr="002804E4">
        <w:t xml:space="preserve"> R</w:t>
      </w:r>
      <w:r>
        <w:t>.</w:t>
      </w:r>
      <w:r w:rsidRPr="002804E4">
        <w:t xml:space="preserve"> (S</w:t>
      </w:r>
      <w:r>
        <w:t>.</w:t>
      </w:r>
      <w:r w:rsidRPr="002804E4">
        <w:t>) 202</w:t>
      </w:r>
    </w:p>
    <w:p w:rsidR="00E657BC" w:rsidRDefault="00E657BC" w:rsidP="00E657BC">
      <w:r w:rsidRPr="00FE1CA8">
        <w:rPr>
          <w:i/>
        </w:rPr>
        <w:t>Hall v Hebert</w:t>
      </w:r>
      <w:r w:rsidRPr="008876BB">
        <w:t xml:space="preserve"> [1993] 2 S</w:t>
      </w:r>
      <w:r>
        <w:t>.</w:t>
      </w:r>
      <w:r w:rsidRPr="008876BB">
        <w:t>C</w:t>
      </w:r>
      <w:r>
        <w:t>.</w:t>
      </w:r>
      <w:r w:rsidRPr="008876BB">
        <w:t>R</w:t>
      </w:r>
      <w:r>
        <w:t>.</w:t>
      </w:r>
      <w:r w:rsidRPr="008876BB">
        <w:t xml:space="preserve"> 159</w:t>
      </w:r>
    </w:p>
    <w:p w:rsidR="00E657BC" w:rsidRDefault="00E657BC" w:rsidP="00E657BC">
      <w:r w:rsidRPr="00FE1CA8">
        <w:rPr>
          <w:i/>
        </w:rPr>
        <w:t>Tinsley v Milligan</w:t>
      </w:r>
      <w:r w:rsidRPr="008876BB">
        <w:t xml:space="preserve"> [1994] 1 A</w:t>
      </w:r>
      <w:r>
        <w:t>.</w:t>
      </w:r>
      <w:r w:rsidRPr="008876BB">
        <w:t>C</w:t>
      </w:r>
      <w:r>
        <w:t>.</w:t>
      </w:r>
      <w:r w:rsidRPr="008876BB">
        <w:t xml:space="preserve"> 340</w:t>
      </w:r>
    </w:p>
    <w:p w:rsidR="00E657BC" w:rsidRDefault="00E657BC" w:rsidP="00E657BC">
      <w:r w:rsidRPr="00FE1CA8">
        <w:rPr>
          <w:i/>
        </w:rPr>
        <w:lastRenderedPageBreak/>
        <w:t>Clunis v Camden and Islington Health Authority</w:t>
      </w:r>
      <w:r w:rsidRPr="008876BB">
        <w:t xml:space="preserve"> [1998] Q</w:t>
      </w:r>
      <w:r>
        <w:t>.</w:t>
      </w:r>
      <w:r w:rsidRPr="008876BB">
        <w:t>B</w:t>
      </w:r>
      <w:r>
        <w:t>.</w:t>
      </w:r>
      <w:r w:rsidRPr="008876BB">
        <w:t xml:space="preserve"> 978  </w:t>
      </w:r>
    </w:p>
    <w:p w:rsidR="00E657BC" w:rsidRDefault="00E657BC" w:rsidP="00E657BC">
      <w:r w:rsidRPr="00FE1CA8">
        <w:rPr>
          <w:i/>
        </w:rPr>
        <w:t>Hall v Woolston Hall Leisure Ltd</w:t>
      </w:r>
      <w:r w:rsidRPr="008876BB">
        <w:t xml:space="preserve"> [2001] 1 W</w:t>
      </w:r>
      <w:r>
        <w:t>.</w:t>
      </w:r>
      <w:r w:rsidRPr="008876BB">
        <w:t>L</w:t>
      </w:r>
      <w:r>
        <w:t>.</w:t>
      </w:r>
      <w:r w:rsidRPr="008876BB">
        <w:t>R</w:t>
      </w:r>
      <w:r>
        <w:t>.</w:t>
      </w:r>
      <w:r w:rsidRPr="008876BB">
        <w:t xml:space="preserve"> 225</w:t>
      </w:r>
    </w:p>
    <w:p w:rsidR="00E657BC" w:rsidRDefault="00E657BC" w:rsidP="00E657BC">
      <w:r w:rsidRPr="00FE1CA8">
        <w:rPr>
          <w:i/>
        </w:rPr>
        <w:t>British Columbia v Zastowny</w:t>
      </w:r>
      <w:r w:rsidRPr="008876BB">
        <w:t xml:space="preserve"> [2008] 1 S</w:t>
      </w:r>
      <w:r>
        <w:t>.</w:t>
      </w:r>
      <w:r w:rsidRPr="008876BB">
        <w:t>C</w:t>
      </w:r>
      <w:r>
        <w:t>.</w:t>
      </w:r>
      <w:r w:rsidRPr="008876BB">
        <w:t>R</w:t>
      </w:r>
      <w:r>
        <w:t>.</w:t>
      </w:r>
      <w:r w:rsidRPr="008876BB">
        <w:t xml:space="preserve"> 27</w:t>
      </w:r>
    </w:p>
    <w:p w:rsidR="00E657BC" w:rsidRDefault="00E657BC" w:rsidP="00E657BC">
      <w:r w:rsidRPr="00FE1CA8">
        <w:rPr>
          <w:i/>
        </w:rPr>
        <w:t>Gray v Thames Trains Ltd</w:t>
      </w:r>
      <w:r w:rsidRPr="002804E4">
        <w:t xml:space="preserve"> [2009] UKHL 33; [2009] A</w:t>
      </w:r>
      <w:r>
        <w:t>.</w:t>
      </w:r>
      <w:r w:rsidRPr="002804E4">
        <w:t>C</w:t>
      </w:r>
      <w:r>
        <w:t>.</w:t>
      </w:r>
      <w:r w:rsidRPr="002804E4">
        <w:t xml:space="preserve"> 1339 </w:t>
      </w:r>
    </w:p>
    <w:p w:rsidR="00E657BC" w:rsidRDefault="00E657BC" w:rsidP="00E657BC">
      <w:r w:rsidRPr="00FE1CA8">
        <w:rPr>
          <w:i/>
        </w:rPr>
        <w:t xml:space="preserve">Hounga v Allen (Anti-Slavery International intervening) </w:t>
      </w:r>
      <w:r w:rsidRPr="008876BB">
        <w:t>[2014] UKSC 47; [2014] 1 W</w:t>
      </w:r>
      <w:r>
        <w:t>.</w:t>
      </w:r>
      <w:r w:rsidRPr="008876BB">
        <w:t>L</w:t>
      </w:r>
      <w:r>
        <w:t>.</w:t>
      </w:r>
      <w:r w:rsidRPr="008876BB">
        <w:t>R</w:t>
      </w:r>
      <w:r>
        <w:t>.</w:t>
      </w:r>
      <w:r w:rsidRPr="008876BB">
        <w:t xml:space="preserve"> 2889</w:t>
      </w:r>
    </w:p>
    <w:p w:rsidR="00E657BC" w:rsidRDefault="00E657BC" w:rsidP="00E657BC">
      <w:r w:rsidRPr="00FE1CA8">
        <w:rPr>
          <w:i/>
        </w:rPr>
        <w:t>Les Laboratoires Servier v Apotex Inc</w:t>
      </w:r>
      <w:r w:rsidRPr="008876BB">
        <w:t xml:space="preserve"> [2014] UKSC 55; [2015] A</w:t>
      </w:r>
      <w:r>
        <w:t>.</w:t>
      </w:r>
      <w:r w:rsidRPr="008876BB">
        <w:t>C</w:t>
      </w:r>
      <w:r>
        <w:t>.</w:t>
      </w:r>
      <w:r w:rsidRPr="008876BB">
        <w:t xml:space="preserve"> 430</w:t>
      </w:r>
    </w:p>
    <w:p w:rsidR="00E657BC" w:rsidRDefault="00E657BC" w:rsidP="00E657BC">
      <w:r w:rsidRPr="00FE1CA8">
        <w:rPr>
          <w:i/>
        </w:rPr>
        <w:t>Knauer v Ministry of Justice</w:t>
      </w:r>
      <w:r w:rsidRPr="00507CDE">
        <w:t xml:space="preserve"> [2016] UKSC 9; [2016] A</w:t>
      </w:r>
      <w:r>
        <w:t>.</w:t>
      </w:r>
      <w:r w:rsidRPr="00507CDE">
        <w:t>C</w:t>
      </w:r>
      <w:r>
        <w:t>.</w:t>
      </w:r>
      <w:r w:rsidRPr="00507CDE">
        <w:t xml:space="preserve"> 908</w:t>
      </w:r>
    </w:p>
    <w:p w:rsidR="00E657BC" w:rsidRDefault="00E657BC" w:rsidP="00E657BC">
      <w:r w:rsidRPr="00FE1CA8">
        <w:rPr>
          <w:i/>
        </w:rPr>
        <w:t>Patel v Mirza</w:t>
      </w:r>
      <w:r w:rsidRPr="002804E4">
        <w:t xml:space="preserve"> [2016] UKSC 42; [2017] A</w:t>
      </w:r>
      <w:r>
        <w:t>.</w:t>
      </w:r>
      <w:r w:rsidRPr="002804E4">
        <w:t>C</w:t>
      </w:r>
      <w:r>
        <w:t>.</w:t>
      </w:r>
      <w:r w:rsidRPr="002804E4">
        <w:t xml:space="preserve"> 467 </w:t>
      </w:r>
    </w:p>
    <w:p w:rsidR="00E657BC" w:rsidRDefault="00E657BC" w:rsidP="00E657BC">
      <w:r w:rsidRPr="00FE1CA8">
        <w:rPr>
          <w:i/>
        </w:rPr>
        <w:t>R v Golds</w:t>
      </w:r>
      <w:r w:rsidRPr="002804E4">
        <w:t xml:space="preserve"> [2016] UKSC 61; [2016] 1 W</w:t>
      </w:r>
      <w:r>
        <w:t>.</w:t>
      </w:r>
      <w:r w:rsidRPr="002804E4">
        <w:t>L</w:t>
      </w:r>
      <w:r>
        <w:t>.</w:t>
      </w:r>
      <w:r w:rsidRPr="002804E4">
        <w:t>R</w:t>
      </w:r>
      <w:r>
        <w:t>.</w:t>
      </w:r>
      <w:r w:rsidRPr="002804E4">
        <w:t xml:space="preserve"> 5231</w:t>
      </w:r>
    </w:p>
    <w:p w:rsidR="00E657BC" w:rsidRDefault="00E657BC" w:rsidP="00E657BC">
      <w:r w:rsidRPr="00FE1CA8">
        <w:rPr>
          <w:i/>
        </w:rPr>
        <w:t>R v Edwards</w:t>
      </w:r>
      <w:r w:rsidRPr="00507CDE">
        <w:t xml:space="preserve"> </w:t>
      </w:r>
      <w:r w:rsidRPr="00C2434F">
        <w:t>[2018] EWCA Crim 595</w:t>
      </w:r>
      <w:r>
        <w:t xml:space="preserve">; </w:t>
      </w:r>
      <w:r w:rsidRPr="00507CDE">
        <w:t>[2018] 4 W</w:t>
      </w:r>
      <w:r>
        <w:t>.</w:t>
      </w:r>
      <w:r w:rsidRPr="00507CDE">
        <w:t>L</w:t>
      </w:r>
      <w:r>
        <w:t>.</w:t>
      </w:r>
      <w:r w:rsidRPr="00507CDE">
        <w:t>R</w:t>
      </w:r>
      <w:r>
        <w:t>.</w:t>
      </w:r>
      <w:r w:rsidRPr="00507CDE">
        <w:t xml:space="preserve"> 64</w:t>
      </w:r>
    </w:p>
    <w:p w:rsidR="00E657BC" w:rsidRPr="00821A70" w:rsidRDefault="00E657BC" w:rsidP="00821A70">
      <w:r w:rsidRPr="00FE1CA8">
        <w:rPr>
          <w:i/>
        </w:rPr>
        <w:t>Okedina v Chikale</w:t>
      </w:r>
      <w:r w:rsidRPr="008876BB">
        <w:t xml:space="preserve"> [2019] EWCA Civ 1393; [2019] I</w:t>
      </w:r>
      <w:r>
        <w:t>.</w:t>
      </w:r>
      <w:r w:rsidRPr="008876BB">
        <w:t>C</w:t>
      </w:r>
      <w:r>
        <w:t>.</w:t>
      </w:r>
      <w:r w:rsidRPr="008876BB">
        <w:t>R</w:t>
      </w:r>
      <w:r>
        <w:t>.</w:t>
      </w:r>
      <w:r w:rsidRPr="008876BB">
        <w:t xml:space="preserve"> 163</w:t>
      </w:r>
      <w:r w:rsidR="00821A70">
        <w:t>5</w:t>
      </w:r>
    </w:p>
    <w:p w:rsidR="00B66737" w:rsidRPr="0071110A" w:rsidRDefault="00B66737" w:rsidP="00B66737">
      <w:pPr>
        <w:spacing w:line="240" w:lineRule="auto"/>
      </w:pPr>
      <w:r w:rsidRPr="0071110A">
        <w:rPr>
          <w:b/>
        </w:rPr>
        <w:t xml:space="preserve">Appeal </w:t>
      </w:r>
      <w:r w:rsidRPr="0071110A">
        <w:t xml:space="preserve">from a decision of the Court of Appeal dated </w:t>
      </w:r>
      <w:r w:rsidR="0071110A" w:rsidRPr="0071110A">
        <w:t>August 3,</w:t>
      </w:r>
      <w:r w:rsidRPr="0071110A">
        <w:t xml:space="preserve"> 2018 (</w:t>
      </w:r>
      <w:r w:rsidR="0071110A" w:rsidRPr="0071110A">
        <w:t>[2018] EWCA Civ 1841; [2018] 3 W.L.R. 1651).</w:t>
      </w:r>
    </w:p>
    <w:p w:rsidR="00B66737" w:rsidRPr="0071110A" w:rsidRDefault="0071110A" w:rsidP="0071110A">
      <w:pPr>
        <w:spacing w:line="240" w:lineRule="auto"/>
      </w:pPr>
      <w:r w:rsidRPr="0071110A">
        <w:rPr>
          <w:i/>
        </w:rPr>
        <w:t>Nicholas Bowen QC</w:t>
      </w:r>
      <w:r w:rsidRPr="0071110A">
        <w:t xml:space="preserve">, </w:t>
      </w:r>
      <w:r w:rsidRPr="0071110A">
        <w:rPr>
          <w:i/>
        </w:rPr>
        <w:t>Katie Scott</w:t>
      </w:r>
      <w:r w:rsidRPr="0071110A">
        <w:t xml:space="preserve">, and </w:t>
      </w:r>
      <w:r w:rsidRPr="0071110A">
        <w:rPr>
          <w:i/>
        </w:rPr>
        <w:t>Duncan Fairgrieve</w:t>
      </w:r>
      <w:r w:rsidR="00B66737" w:rsidRPr="0071110A">
        <w:t xml:space="preserve"> (instructed by </w:t>
      </w:r>
      <w:r w:rsidRPr="0071110A">
        <w:t xml:space="preserve">Russell-Cooke LLP (Putney)) </w:t>
      </w:r>
      <w:r w:rsidR="00B66737" w:rsidRPr="0071110A">
        <w:t>for the Appellant</w:t>
      </w:r>
    </w:p>
    <w:p w:rsidR="00B66737" w:rsidRPr="0071110A" w:rsidRDefault="0071110A" w:rsidP="0071110A">
      <w:pPr>
        <w:spacing w:line="240" w:lineRule="auto"/>
      </w:pPr>
      <w:r w:rsidRPr="0071110A">
        <w:rPr>
          <w:i/>
        </w:rPr>
        <w:t>Angus Moon QC</w:t>
      </w:r>
      <w:r w:rsidRPr="0071110A">
        <w:t xml:space="preserve">, </w:t>
      </w:r>
      <w:r w:rsidRPr="0071110A">
        <w:rPr>
          <w:i/>
        </w:rPr>
        <w:t>Cecily White</w:t>
      </w:r>
      <w:r w:rsidRPr="0071110A">
        <w:t xml:space="preserve">, </w:t>
      </w:r>
      <w:r w:rsidRPr="0071110A">
        <w:rPr>
          <w:i/>
        </w:rPr>
        <w:t>Judith Ayling</w:t>
      </w:r>
      <w:r w:rsidRPr="0071110A">
        <w:t xml:space="preserve">, and </w:t>
      </w:r>
      <w:r w:rsidRPr="0071110A">
        <w:rPr>
          <w:i/>
        </w:rPr>
        <w:t xml:space="preserve">James Goudkamp </w:t>
      </w:r>
      <w:r w:rsidRPr="0071110A">
        <w:t xml:space="preserve">(instructed by DAC Beachcroft LLP (Bristol)) </w:t>
      </w:r>
      <w:r w:rsidR="00B66737" w:rsidRPr="0071110A">
        <w:t>for the Respondent</w:t>
      </w:r>
    </w:p>
    <w:p w:rsidR="0071110A" w:rsidRPr="0071110A" w:rsidRDefault="0071110A" w:rsidP="00B66737">
      <w:pPr>
        <w:spacing w:line="240" w:lineRule="auto"/>
      </w:pPr>
      <w:r w:rsidRPr="0071110A">
        <w:rPr>
          <w:b/>
        </w:rPr>
        <w:t>LORD HAMBLEN</w:t>
      </w:r>
      <w:r w:rsidRPr="0071110A">
        <w:t xml:space="preserve"> (with whom Lord Reed, Lord Hodge, Lady Black, Lord Lloyd-Jones, Lady Arden</w:t>
      </w:r>
      <w:r w:rsidR="00706571">
        <w:t>,</w:t>
      </w:r>
      <w:r w:rsidRPr="0071110A">
        <w:t xml:space="preserve"> and Lord Kitchin agree):</w:t>
      </w:r>
    </w:p>
    <w:p w:rsidR="00B66737" w:rsidRDefault="00B66737"/>
    <w:sectPr w:rsidR="00B66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E2610"/>
    <w:multiLevelType w:val="hybridMultilevel"/>
    <w:tmpl w:val="4DBA2F56"/>
    <w:lvl w:ilvl="0" w:tplc="1376DE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737"/>
    <w:rsid w:val="000005C2"/>
    <w:rsid w:val="00093E5F"/>
    <w:rsid w:val="00104720"/>
    <w:rsid w:val="001908A1"/>
    <w:rsid w:val="001B50CA"/>
    <w:rsid w:val="00257E40"/>
    <w:rsid w:val="002811A4"/>
    <w:rsid w:val="002B2120"/>
    <w:rsid w:val="0032440E"/>
    <w:rsid w:val="00362240"/>
    <w:rsid w:val="003F4AEF"/>
    <w:rsid w:val="00431336"/>
    <w:rsid w:val="0046196A"/>
    <w:rsid w:val="00474190"/>
    <w:rsid w:val="005E1F43"/>
    <w:rsid w:val="005E5587"/>
    <w:rsid w:val="006035EA"/>
    <w:rsid w:val="00673D89"/>
    <w:rsid w:val="00706571"/>
    <w:rsid w:val="0071110A"/>
    <w:rsid w:val="00723CE2"/>
    <w:rsid w:val="007D0E6F"/>
    <w:rsid w:val="007D588E"/>
    <w:rsid w:val="008123E1"/>
    <w:rsid w:val="00821A70"/>
    <w:rsid w:val="00864EF8"/>
    <w:rsid w:val="00884F15"/>
    <w:rsid w:val="00890A0D"/>
    <w:rsid w:val="00A15A17"/>
    <w:rsid w:val="00A942B9"/>
    <w:rsid w:val="00AA6918"/>
    <w:rsid w:val="00AD6155"/>
    <w:rsid w:val="00B66737"/>
    <w:rsid w:val="00C05D99"/>
    <w:rsid w:val="00C745A7"/>
    <w:rsid w:val="00CC72D4"/>
    <w:rsid w:val="00D52C46"/>
    <w:rsid w:val="00D539A9"/>
    <w:rsid w:val="00DB5F7A"/>
    <w:rsid w:val="00E16998"/>
    <w:rsid w:val="00E657BC"/>
    <w:rsid w:val="00E71C9D"/>
    <w:rsid w:val="00EC4648"/>
    <w:rsid w:val="00F85DAC"/>
    <w:rsid w:val="00FB1CBF"/>
    <w:rsid w:val="00FB403D"/>
    <w:rsid w:val="00FE1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66737"/>
  </w:style>
  <w:style w:type="paragraph" w:customStyle="1" w:styleId="msonormal0">
    <w:name w:val="msonormal"/>
    <w:basedOn w:val="Normal"/>
    <w:rsid w:val="00B667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66737"/>
    <w:rPr>
      <w:color w:val="0000FF"/>
      <w:u w:val="single"/>
    </w:rPr>
  </w:style>
  <w:style w:type="character" w:styleId="FollowedHyperlink">
    <w:name w:val="FollowedHyperlink"/>
    <w:basedOn w:val="DefaultParagraphFont"/>
    <w:uiPriority w:val="99"/>
    <w:semiHidden/>
    <w:unhideWhenUsed/>
    <w:rsid w:val="00B66737"/>
    <w:rPr>
      <w:color w:val="800080"/>
      <w:u w:val="single"/>
    </w:rPr>
  </w:style>
  <w:style w:type="paragraph" w:customStyle="1" w:styleId="title1">
    <w:name w:val="title1"/>
    <w:basedOn w:val="Normal"/>
    <w:rsid w:val="00B667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wspeech">
    <w:name w:val="newspeech"/>
    <w:basedOn w:val="Normal"/>
    <w:rsid w:val="00B667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heading">
    <w:name w:val="paraheading"/>
    <w:basedOn w:val="Normal"/>
    <w:rsid w:val="00B667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level1">
    <w:name w:val="paralevel1"/>
    <w:basedOn w:val="Normal"/>
    <w:rsid w:val="00B667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Quote">
    <w:name w:val="Quote"/>
    <w:basedOn w:val="Normal"/>
    <w:link w:val="QuoteChar"/>
    <w:uiPriority w:val="29"/>
    <w:qFormat/>
    <w:rsid w:val="00B667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uoteChar">
    <w:name w:val="Quote Char"/>
    <w:basedOn w:val="DefaultParagraphFont"/>
    <w:link w:val="Quote"/>
    <w:uiPriority w:val="29"/>
    <w:rsid w:val="00B66737"/>
    <w:rPr>
      <w:rFonts w:ascii="Times New Roman" w:eastAsia="Times New Roman" w:hAnsi="Times New Roman" w:cs="Times New Roman"/>
      <w:sz w:val="24"/>
      <w:szCs w:val="24"/>
      <w:lang w:eastAsia="en-GB"/>
    </w:rPr>
  </w:style>
  <w:style w:type="paragraph" w:customStyle="1" w:styleId="paranonumber">
    <w:name w:val="paranonumber"/>
    <w:basedOn w:val="Normal"/>
    <w:rsid w:val="00B667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level2">
    <w:name w:val="paralevel2"/>
    <w:basedOn w:val="Normal"/>
    <w:rsid w:val="00B667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6737"/>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66737"/>
  </w:style>
  <w:style w:type="paragraph" w:customStyle="1" w:styleId="msonormal0">
    <w:name w:val="msonormal"/>
    <w:basedOn w:val="Normal"/>
    <w:rsid w:val="00B667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66737"/>
    <w:rPr>
      <w:color w:val="0000FF"/>
      <w:u w:val="single"/>
    </w:rPr>
  </w:style>
  <w:style w:type="character" w:styleId="FollowedHyperlink">
    <w:name w:val="FollowedHyperlink"/>
    <w:basedOn w:val="DefaultParagraphFont"/>
    <w:uiPriority w:val="99"/>
    <w:semiHidden/>
    <w:unhideWhenUsed/>
    <w:rsid w:val="00B66737"/>
    <w:rPr>
      <w:color w:val="800080"/>
      <w:u w:val="single"/>
    </w:rPr>
  </w:style>
  <w:style w:type="paragraph" w:customStyle="1" w:styleId="title1">
    <w:name w:val="title1"/>
    <w:basedOn w:val="Normal"/>
    <w:rsid w:val="00B667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wspeech">
    <w:name w:val="newspeech"/>
    <w:basedOn w:val="Normal"/>
    <w:rsid w:val="00B667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heading">
    <w:name w:val="paraheading"/>
    <w:basedOn w:val="Normal"/>
    <w:rsid w:val="00B667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level1">
    <w:name w:val="paralevel1"/>
    <w:basedOn w:val="Normal"/>
    <w:rsid w:val="00B667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Quote">
    <w:name w:val="Quote"/>
    <w:basedOn w:val="Normal"/>
    <w:link w:val="QuoteChar"/>
    <w:uiPriority w:val="29"/>
    <w:qFormat/>
    <w:rsid w:val="00B667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uoteChar">
    <w:name w:val="Quote Char"/>
    <w:basedOn w:val="DefaultParagraphFont"/>
    <w:link w:val="Quote"/>
    <w:uiPriority w:val="29"/>
    <w:rsid w:val="00B66737"/>
    <w:rPr>
      <w:rFonts w:ascii="Times New Roman" w:eastAsia="Times New Roman" w:hAnsi="Times New Roman" w:cs="Times New Roman"/>
      <w:sz w:val="24"/>
      <w:szCs w:val="24"/>
      <w:lang w:eastAsia="en-GB"/>
    </w:rPr>
  </w:style>
  <w:style w:type="paragraph" w:customStyle="1" w:styleId="paranonumber">
    <w:name w:val="paranonumber"/>
    <w:basedOn w:val="Normal"/>
    <w:rsid w:val="00B667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level2">
    <w:name w:val="paralevel2"/>
    <w:basedOn w:val="Normal"/>
    <w:rsid w:val="00B667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673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4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1187</Words>
  <Characters>6078</Characters>
  <Application>Microsoft Office Word</Application>
  <DocSecurity>0</DocSecurity>
  <Lines>119</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Morgan</dc:creator>
  <cp:lastModifiedBy>Phillip</cp:lastModifiedBy>
  <cp:revision>10</cp:revision>
  <dcterms:created xsi:type="dcterms:W3CDTF">2020-12-21T17:03:00Z</dcterms:created>
  <dcterms:modified xsi:type="dcterms:W3CDTF">2020-12-22T11:28:00Z</dcterms:modified>
</cp:coreProperties>
</file>