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985F5" w14:textId="6BC9BFE1" w:rsidR="008C089E" w:rsidRDefault="008C089E" w:rsidP="008C089E">
      <w:pPr>
        <w:rPr>
          <w:b/>
          <w:sz w:val="24"/>
          <w:szCs w:val="24"/>
        </w:rPr>
      </w:pPr>
      <w:bookmarkStart w:id="0" w:name="_Hlk71801864"/>
      <w:bookmarkStart w:id="1" w:name="_GoBack"/>
      <w:bookmarkEnd w:id="1"/>
      <w:r>
        <w:rPr>
          <w:b/>
          <w:sz w:val="24"/>
          <w:szCs w:val="24"/>
        </w:rPr>
        <w:t xml:space="preserve">Does the presence of General Practitioners in Emergency Departments affect quality and safety in English NHS Hospitals? A </w:t>
      </w:r>
      <w:bookmarkEnd w:id="0"/>
      <w:r w:rsidR="00122DF7">
        <w:rPr>
          <w:b/>
          <w:sz w:val="24"/>
          <w:szCs w:val="24"/>
        </w:rPr>
        <w:t>retrospective observational study</w:t>
      </w:r>
    </w:p>
    <w:p w14:paraId="0854BE08" w14:textId="77777777" w:rsidR="008C089E" w:rsidRDefault="008C089E" w:rsidP="008C089E"/>
    <w:p w14:paraId="0599E4C7" w14:textId="3BCF920B" w:rsidR="008C089E" w:rsidRPr="000E3B68" w:rsidRDefault="00DE177D" w:rsidP="008C089E">
      <w:pPr>
        <w:rPr>
          <w:vertAlign w:val="superscript"/>
        </w:rPr>
      </w:pPr>
      <w:r>
        <w:t>James Gaughan</w:t>
      </w:r>
      <w:r>
        <w:rPr>
          <w:vertAlign w:val="superscript"/>
        </w:rPr>
        <w:t>1</w:t>
      </w:r>
      <w:r>
        <w:t>, Dan Liu</w:t>
      </w:r>
      <w:r>
        <w:rPr>
          <w:vertAlign w:val="superscript"/>
        </w:rPr>
        <w:t>1</w:t>
      </w:r>
      <w:r>
        <w:t>, Nils Gutacker</w:t>
      </w:r>
      <w:r>
        <w:rPr>
          <w:vertAlign w:val="superscript"/>
        </w:rPr>
        <w:t>1</w:t>
      </w:r>
      <w:r>
        <w:t>, Karen Bloor</w:t>
      </w:r>
      <w:r>
        <w:rPr>
          <w:vertAlign w:val="superscript"/>
        </w:rPr>
        <w:t>2</w:t>
      </w:r>
      <w:r>
        <w:t>, Tim Doran</w:t>
      </w:r>
      <w:r w:rsidR="000E3B68">
        <w:rPr>
          <w:vertAlign w:val="superscript"/>
        </w:rPr>
        <w:t>2</w:t>
      </w:r>
      <w:r>
        <w:t>, Jonathan Benger</w:t>
      </w:r>
      <w:r w:rsidR="000E3B68">
        <w:rPr>
          <w:vertAlign w:val="superscript"/>
        </w:rPr>
        <w:t>3</w:t>
      </w:r>
    </w:p>
    <w:p w14:paraId="1E3A6550" w14:textId="414D5FAA" w:rsidR="00DE177D" w:rsidRDefault="00DE177D" w:rsidP="008C089E"/>
    <w:p w14:paraId="505BE00A" w14:textId="0C4A646D" w:rsidR="00DE177D" w:rsidRDefault="00DE177D" w:rsidP="008C089E">
      <w:r w:rsidRPr="00DE177D">
        <w:rPr>
          <w:vertAlign w:val="superscript"/>
        </w:rPr>
        <w:t>1</w:t>
      </w:r>
      <w:r>
        <w:t xml:space="preserve"> </w:t>
      </w:r>
      <w:r w:rsidRPr="00DE177D">
        <w:t>Centre</w:t>
      </w:r>
      <w:r>
        <w:t xml:space="preserve"> for Health Economics, University of York, York, UK</w:t>
      </w:r>
    </w:p>
    <w:p w14:paraId="1CFB64F2" w14:textId="25227B27" w:rsidR="00DE177D" w:rsidRDefault="00DE177D" w:rsidP="008C089E">
      <w:r>
        <w:rPr>
          <w:vertAlign w:val="superscript"/>
        </w:rPr>
        <w:t>2</w:t>
      </w:r>
      <w:r>
        <w:t xml:space="preserve"> Health Sciences, University of York, York, UK</w:t>
      </w:r>
    </w:p>
    <w:p w14:paraId="36DB41C3" w14:textId="008716C0" w:rsidR="000E3B68" w:rsidRPr="000E3B68" w:rsidRDefault="000E3B68" w:rsidP="008C089E">
      <w:r>
        <w:rPr>
          <w:vertAlign w:val="superscript"/>
        </w:rPr>
        <w:t>3</w:t>
      </w:r>
      <w:r>
        <w:t xml:space="preserve"> Faculty of Health and Applied Sciences, University of the West of England, Bristol, UK</w:t>
      </w:r>
    </w:p>
    <w:p w14:paraId="63C07E3B" w14:textId="59807F8B" w:rsidR="00DE177D" w:rsidRDefault="00DE177D" w:rsidP="008C089E"/>
    <w:p w14:paraId="74FE656E" w14:textId="227AD423" w:rsidR="00275141" w:rsidRDefault="000E3B68" w:rsidP="008C089E">
      <w:r w:rsidRPr="00275141">
        <w:rPr>
          <w:b/>
        </w:rPr>
        <w:t>Corresponding Author</w:t>
      </w:r>
      <w:r>
        <w:t xml:space="preserve">: James Gaughan, Alcuin ‘A’ Block, University of York, </w:t>
      </w:r>
      <w:r w:rsidR="00AE503C">
        <w:t>Heslington</w:t>
      </w:r>
      <w:r>
        <w:t>, York, UK, YO10 5DD, tel</w:t>
      </w:r>
      <w:r w:rsidR="00275141">
        <w:t>ephone</w:t>
      </w:r>
      <w:r>
        <w:t>: 01904 321423</w:t>
      </w:r>
      <w:r w:rsidR="000E06B0">
        <w:t>, e-mail: james.gaughan@york.ac.uk</w:t>
      </w:r>
    </w:p>
    <w:p w14:paraId="5B320501" w14:textId="77777777" w:rsidR="00275141" w:rsidRDefault="00275141" w:rsidP="008C089E"/>
    <w:p w14:paraId="31A9CF64" w14:textId="3E0244C7" w:rsidR="000E3B68" w:rsidRDefault="00275141" w:rsidP="008C089E">
      <w:r>
        <w:rPr>
          <w:b/>
        </w:rPr>
        <w:t>Key words</w:t>
      </w:r>
      <w:r>
        <w:t>: Health policy; Accident and Emergency Medicine; Primary Care; Health Economics</w:t>
      </w:r>
    </w:p>
    <w:p w14:paraId="27BC349F" w14:textId="7A3B6E75" w:rsidR="00275141" w:rsidRDefault="00275141" w:rsidP="008C089E"/>
    <w:p w14:paraId="55096F45" w14:textId="74E9CF56" w:rsidR="00275141" w:rsidRPr="00275141" w:rsidRDefault="00275141" w:rsidP="008C089E">
      <w:r>
        <w:rPr>
          <w:b/>
        </w:rPr>
        <w:t xml:space="preserve">Word </w:t>
      </w:r>
      <w:r w:rsidRPr="00275141">
        <w:t>count</w:t>
      </w:r>
      <w:r>
        <w:t xml:space="preserve">: </w:t>
      </w:r>
      <w:r w:rsidR="00E02C8A">
        <w:t>3009</w:t>
      </w:r>
    </w:p>
    <w:p w14:paraId="314F64FF" w14:textId="77777777" w:rsidR="00DE177D" w:rsidRDefault="00DE177D" w:rsidP="008C089E"/>
    <w:p w14:paraId="7BEA4A1B" w14:textId="0A4AEF12" w:rsidR="008C089E" w:rsidRDefault="008C089E" w:rsidP="008C089E">
      <w:pPr>
        <w:rPr>
          <w:b/>
          <w:sz w:val="24"/>
          <w:szCs w:val="24"/>
        </w:rPr>
      </w:pPr>
      <w:r>
        <w:rPr>
          <w:b/>
          <w:sz w:val="24"/>
          <w:szCs w:val="24"/>
        </w:rPr>
        <w:t>Abstract</w:t>
      </w:r>
    </w:p>
    <w:p w14:paraId="6629E744" w14:textId="77777777" w:rsidR="008C089E" w:rsidRDefault="008C089E" w:rsidP="008C089E"/>
    <w:p w14:paraId="709A0679" w14:textId="09E8C62D" w:rsidR="008C089E" w:rsidRDefault="00FB18EB" w:rsidP="008C089E">
      <w:pPr>
        <w:rPr>
          <w:i/>
        </w:rPr>
      </w:pPr>
      <w:r>
        <w:rPr>
          <w:i/>
        </w:rPr>
        <w:t>Objectives</w:t>
      </w:r>
    </w:p>
    <w:p w14:paraId="5FF749F0" w14:textId="00C5530A" w:rsidR="008C089E" w:rsidRDefault="008C089E" w:rsidP="008C089E">
      <w:r>
        <w:t>Emergency departments (EDs) in NHS hospitals in England have faced considerable increases in demand over recent years. Most hospitals have developed General Practi</w:t>
      </w:r>
      <w:r w:rsidR="00DE177D">
        <w:t>ti</w:t>
      </w:r>
      <w:r>
        <w:t>oner services in EDs (GPEDs) to treat non-emergency patients, aiming to relieve pressure on other staff and to improve ED efficiency and patient experience. We measured the impact of GPED services on patient flows, health outcomes and ED workload.</w:t>
      </w:r>
    </w:p>
    <w:p w14:paraId="2CDC714D" w14:textId="77777777" w:rsidR="008C089E" w:rsidRDefault="008C089E" w:rsidP="008C089E"/>
    <w:p w14:paraId="1FF36D24" w14:textId="53FAAF76" w:rsidR="008C089E" w:rsidRDefault="00A9213A" w:rsidP="008C089E">
      <w:pPr>
        <w:rPr>
          <w:i/>
        </w:rPr>
      </w:pPr>
      <w:r>
        <w:rPr>
          <w:i/>
        </w:rPr>
        <w:t>Design</w:t>
      </w:r>
    </w:p>
    <w:p w14:paraId="6144201F" w14:textId="520B3154" w:rsidR="00A9213A" w:rsidRDefault="008C089E" w:rsidP="008C089E">
      <w:r>
        <w:t>R</w:t>
      </w:r>
      <w:r>
        <w:rPr>
          <w:color w:val="000000"/>
        </w:rPr>
        <w:t>etrospective observational study</w:t>
      </w:r>
      <w:r w:rsidR="00A9213A">
        <w:rPr>
          <w:color w:val="000000"/>
        </w:rPr>
        <w:t>.</w:t>
      </w:r>
      <w:r>
        <w:rPr>
          <w:color w:val="000000"/>
        </w:rPr>
        <w:t xml:space="preserve"> </w:t>
      </w:r>
      <w:r>
        <w:t xml:space="preserve">Differences in GPED service availability across EDs and time-of-day were used to identify the causal effect of GPED, as patients attending the ED at the same hour of the day are quasi-randomly assigned to treatment or control groups based on their local ED’s service availability. </w:t>
      </w:r>
    </w:p>
    <w:p w14:paraId="14460FE7" w14:textId="7A568FDF" w:rsidR="00A9213A" w:rsidRDefault="00A9213A" w:rsidP="008C089E"/>
    <w:p w14:paraId="65DA47BC" w14:textId="6BE8838A" w:rsidR="00A9213A" w:rsidRPr="00A9213A" w:rsidRDefault="00A9213A" w:rsidP="008C089E">
      <w:pPr>
        <w:rPr>
          <w:i/>
        </w:rPr>
      </w:pPr>
      <w:r>
        <w:rPr>
          <w:i/>
        </w:rPr>
        <w:t>Participants</w:t>
      </w:r>
    </w:p>
    <w:p w14:paraId="23DA77E1" w14:textId="157D6130" w:rsidR="00A9213A" w:rsidRDefault="00A9213A" w:rsidP="008C089E">
      <w:pPr>
        <w:rPr>
          <w:color w:val="000000"/>
        </w:rPr>
      </w:pPr>
      <w:r>
        <w:rPr>
          <w:color w:val="000000"/>
        </w:rPr>
        <w:t>Attendances to 40</w:t>
      </w:r>
      <w:r>
        <w:t xml:space="preserve"> EDs</w:t>
      </w:r>
      <w:r>
        <w:rPr>
          <w:color w:val="000000"/>
        </w:rPr>
        <w:t xml:space="preserve"> in English NHS hospitals</w:t>
      </w:r>
      <w:r>
        <w:t xml:space="preserve"> from</w:t>
      </w:r>
      <w:r>
        <w:rPr>
          <w:color w:val="000000"/>
        </w:rPr>
        <w:t xml:space="preserve"> April 2018 to March 2019, 4,441,349 observations.</w:t>
      </w:r>
    </w:p>
    <w:p w14:paraId="004F3951" w14:textId="77777777" w:rsidR="00A9213A" w:rsidRDefault="00A9213A" w:rsidP="008C089E"/>
    <w:p w14:paraId="5949E720" w14:textId="2D9C63F9" w:rsidR="00A9213A" w:rsidRPr="00A9213A" w:rsidRDefault="00A9213A" w:rsidP="008C089E">
      <w:pPr>
        <w:rPr>
          <w:i/>
        </w:rPr>
      </w:pPr>
      <w:r w:rsidRPr="00A9213A">
        <w:rPr>
          <w:i/>
        </w:rPr>
        <w:t>Primary and secondary outcomes measured</w:t>
      </w:r>
    </w:p>
    <w:p w14:paraId="58AED392" w14:textId="0D912506" w:rsidR="008C089E" w:rsidRDefault="008C089E" w:rsidP="008C089E">
      <w:r>
        <w:t>Outcomes measured were volume of attendances, ‘</w:t>
      </w:r>
      <w:r w:rsidR="00123C9D">
        <w:t>non-urgent</w:t>
      </w:r>
      <w:r>
        <w:t xml:space="preserve">’ attendances, waiting times over four hours, patients leaving without being </w:t>
      </w:r>
      <w:r w:rsidR="00F20DC2">
        <w:t>treated</w:t>
      </w:r>
      <w:r>
        <w:t>, unplanned re-attendances within seven days, inpatient admissions and 30-day mortality.</w:t>
      </w:r>
    </w:p>
    <w:p w14:paraId="45F76B8B" w14:textId="77777777" w:rsidR="008C089E" w:rsidRDefault="008C089E" w:rsidP="008C089E"/>
    <w:p w14:paraId="3FE595BA" w14:textId="77777777" w:rsidR="008C089E" w:rsidRDefault="008C089E" w:rsidP="008C089E">
      <w:pPr>
        <w:rPr>
          <w:i/>
        </w:rPr>
      </w:pPr>
      <w:r>
        <w:rPr>
          <w:i/>
        </w:rPr>
        <w:t>Results</w:t>
      </w:r>
    </w:p>
    <w:p w14:paraId="65ADDF6D" w14:textId="266DB50B" w:rsidR="008C089E" w:rsidRDefault="008C089E" w:rsidP="008C089E">
      <w:r>
        <w:t>We found a small, statistically significant reduction in unplanned re-attendances within seven days (OR: 0.968, 95%</w:t>
      </w:r>
      <w:r w:rsidR="00F36C39">
        <w:t xml:space="preserve"> </w:t>
      </w:r>
      <w:r>
        <w:t xml:space="preserve">CI: 0.948 to 0.989), equivalent to 302 fewer re-attendances per year for the average ED. The clinical impact of this was judged to be negligible. There was no detectable impact on any other outcome measure. </w:t>
      </w:r>
    </w:p>
    <w:p w14:paraId="5A615726" w14:textId="77777777" w:rsidR="008C089E" w:rsidRDefault="008C089E" w:rsidP="008C089E"/>
    <w:p w14:paraId="635944FD" w14:textId="77777777" w:rsidR="008C089E" w:rsidRDefault="008C089E" w:rsidP="008C089E">
      <w:pPr>
        <w:rPr>
          <w:i/>
        </w:rPr>
      </w:pPr>
      <w:r>
        <w:rPr>
          <w:i/>
        </w:rPr>
        <w:t xml:space="preserve">Conclusions </w:t>
      </w:r>
    </w:p>
    <w:p w14:paraId="72B8853C" w14:textId="44EABFE8" w:rsidR="008C089E" w:rsidRDefault="00DC4A96" w:rsidP="008C089E">
      <w:bookmarkStart w:id="2" w:name="_Hlk90893514"/>
      <w:r>
        <w:t>We found no adverse effects on patient outcomes, neither did we find any evidence of the hypothesised benefits of placing GPs in emergency settings beyond a marginal reduction in re-attendances that was not considered clinically significant.</w:t>
      </w:r>
      <w:bookmarkEnd w:id="2"/>
      <w:r>
        <w:t xml:space="preserve"> </w:t>
      </w:r>
      <w:r w:rsidR="008C089E">
        <w:t xml:space="preserve"> </w:t>
      </w:r>
    </w:p>
    <w:p w14:paraId="49807AB9" w14:textId="77777777" w:rsidR="00FB18EB" w:rsidRPr="00C05411" w:rsidRDefault="00FB18EB" w:rsidP="00FB18EB">
      <w:pPr>
        <w:pStyle w:val="Heading1"/>
        <w:rPr>
          <w:b/>
          <w:bCs/>
          <w:sz w:val="24"/>
          <w:szCs w:val="24"/>
        </w:rPr>
      </w:pPr>
      <w:r w:rsidRPr="00C05411">
        <w:rPr>
          <w:b/>
          <w:bCs/>
          <w:sz w:val="24"/>
          <w:szCs w:val="24"/>
        </w:rPr>
        <w:lastRenderedPageBreak/>
        <w:t>Strengths and limitations of this study</w:t>
      </w:r>
    </w:p>
    <w:p w14:paraId="4EB015DF" w14:textId="3340CEF7" w:rsidR="00C05411" w:rsidRPr="00C05411" w:rsidRDefault="00C05411" w:rsidP="00C05411">
      <w:pPr>
        <w:pStyle w:val="ListParagraph"/>
        <w:numPr>
          <w:ilvl w:val="0"/>
          <w:numId w:val="8"/>
        </w:numPr>
        <w:rPr>
          <w:iCs/>
        </w:rPr>
      </w:pPr>
      <w:r w:rsidRPr="00C05411">
        <w:rPr>
          <w:iCs/>
        </w:rPr>
        <w:t xml:space="preserve">Large sample size (all ED attendances </w:t>
      </w:r>
      <w:r w:rsidR="00D276D1">
        <w:rPr>
          <w:iCs/>
        </w:rPr>
        <w:t>at</w:t>
      </w:r>
      <w:r w:rsidR="00D276D1" w:rsidRPr="00C05411">
        <w:rPr>
          <w:iCs/>
        </w:rPr>
        <w:t xml:space="preserve"> </w:t>
      </w:r>
      <w:r w:rsidRPr="00C05411">
        <w:rPr>
          <w:iCs/>
        </w:rPr>
        <w:t>40 English hospitals over one year)</w:t>
      </w:r>
    </w:p>
    <w:p w14:paraId="5443FC7A" w14:textId="45B85B0F" w:rsidR="00C05411" w:rsidRPr="00C05411" w:rsidRDefault="00C05411" w:rsidP="00C05411">
      <w:pPr>
        <w:pStyle w:val="ListParagraph"/>
        <w:numPr>
          <w:ilvl w:val="0"/>
          <w:numId w:val="8"/>
        </w:numPr>
        <w:rPr>
          <w:iCs/>
        </w:rPr>
      </w:pPr>
      <w:r w:rsidRPr="00C05411">
        <w:rPr>
          <w:iCs/>
        </w:rPr>
        <w:t>Time of patient arrival used to support a causal interpretation</w:t>
      </w:r>
    </w:p>
    <w:p w14:paraId="4F39C6CF" w14:textId="6B946C6A" w:rsidR="00C05411" w:rsidRPr="00C05411" w:rsidRDefault="00C05411" w:rsidP="00C05411">
      <w:pPr>
        <w:pStyle w:val="ListParagraph"/>
        <w:numPr>
          <w:ilvl w:val="0"/>
          <w:numId w:val="8"/>
        </w:numPr>
        <w:rPr>
          <w:iCs/>
        </w:rPr>
      </w:pPr>
      <w:r w:rsidRPr="00C05411">
        <w:rPr>
          <w:iCs/>
        </w:rPr>
        <w:t>Wide range of performance measures analysed</w:t>
      </w:r>
    </w:p>
    <w:p w14:paraId="768CE204" w14:textId="5AE1DB9C" w:rsidR="00C05411" w:rsidRPr="00C05411" w:rsidRDefault="00C05411" w:rsidP="00C05411">
      <w:pPr>
        <w:pStyle w:val="ListParagraph"/>
        <w:numPr>
          <w:ilvl w:val="0"/>
          <w:numId w:val="8"/>
        </w:numPr>
        <w:rPr>
          <w:iCs/>
        </w:rPr>
      </w:pPr>
      <w:r w:rsidRPr="00C05411">
        <w:rPr>
          <w:iCs/>
        </w:rPr>
        <w:t>Inability to identify the healthcare professional seen by patients prevented direct comparison</w:t>
      </w:r>
    </w:p>
    <w:p w14:paraId="76CB50A7" w14:textId="56346068" w:rsidR="00BA0DE0" w:rsidRDefault="00C05411" w:rsidP="00C05411">
      <w:pPr>
        <w:pStyle w:val="ListParagraph"/>
        <w:numPr>
          <w:ilvl w:val="0"/>
          <w:numId w:val="8"/>
        </w:numPr>
      </w:pPr>
      <w:r w:rsidRPr="00C05411">
        <w:rPr>
          <w:iCs/>
        </w:rPr>
        <w:t>Data analysis is based on a number of assumptions</w:t>
      </w:r>
    </w:p>
    <w:p w14:paraId="3262A9D3" w14:textId="77777777" w:rsidR="00FB18EB" w:rsidRDefault="00FB18EB" w:rsidP="008C089E"/>
    <w:p w14:paraId="2A1057BB" w14:textId="4655431C" w:rsidR="00BA0DE0" w:rsidRPr="00BA0DE0" w:rsidRDefault="00BA0DE0" w:rsidP="008C089E">
      <w:r>
        <w:rPr>
          <w:b/>
        </w:rPr>
        <w:t xml:space="preserve">Funding: </w:t>
      </w:r>
      <w:r>
        <w:t xml:space="preserve">This study </w:t>
      </w:r>
      <w:r w:rsidR="00C05411">
        <w:t>wa</w:t>
      </w:r>
      <w:r>
        <w:t>s funded by the National Institute of Health Research (NIHR) Health Services and Delivery Research (HS&amp;DR) Programme, project numbers 15/145/04 and 15/145/06</w:t>
      </w:r>
      <w:r w:rsidR="00FB18EB">
        <w:t>.</w:t>
      </w:r>
      <w:r w:rsidR="00C05411">
        <w:t xml:space="preserve"> </w:t>
      </w:r>
    </w:p>
    <w:p w14:paraId="3AD5C718" w14:textId="77777777" w:rsidR="008C089E" w:rsidRDefault="008C089E" w:rsidP="008C089E"/>
    <w:p w14:paraId="3643B697" w14:textId="06A40E7F" w:rsidR="008C089E" w:rsidRPr="00FB18EB" w:rsidRDefault="00FB18EB" w:rsidP="008C089E">
      <w:r>
        <w:rPr>
          <w:b/>
        </w:rPr>
        <w:t xml:space="preserve">Competing Interests: </w:t>
      </w:r>
      <w:r>
        <w:t>The authors have no competing interests to declare.</w:t>
      </w:r>
    </w:p>
    <w:p w14:paraId="5308C454" w14:textId="77777777" w:rsidR="00FB18EB" w:rsidRDefault="00FB18EB" w:rsidP="008C089E"/>
    <w:p w14:paraId="21705F1D" w14:textId="52771519" w:rsidR="00E84060" w:rsidRDefault="00E84060" w:rsidP="00E84060">
      <w:pPr>
        <w:rPr>
          <w:iCs/>
        </w:rPr>
      </w:pPr>
      <w:proofErr w:type="spellStart"/>
      <w:r w:rsidRPr="00E84060">
        <w:rPr>
          <w:b/>
          <w:iCs/>
        </w:rPr>
        <w:t>Contributorship</w:t>
      </w:r>
      <w:proofErr w:type="spellEnd"/>
      <w:r w:rsidRPr="00E84060">
        <w:rPr>
          <w:b/>
          <w:iCs/>
        </w:rPr>
        <w:t xml:space="preserve"> statement</w:t>
      </w:r>
      <w:r w:rsidRPr="00E84060">
        <w:rPr>
          <w:iCs/>
        </w:rPr>
        <w:t xml:space="preserve">: </w:t>
      </w:r>
      <w:r w:rsidR="00C05411" w:rsidRPr="00C05411">
        <w:rPr>
          <w:iCs/>
        </w:rPr>
        <w:t>The study was conceived and designed by JB, KB, TD and NG. JG and DL prepared the dataset. JG and NG analysed the data, with additional interpretation by all other authors. JG drafted the manuscript, which was critically reviewed and revised by all other authors. All authors approved the final submission.</w:t>
      </w:r>
    </w:p>
    <w:p w14:paraId="41FCA494" w14:textId="1442929E" w:rsidR="00E84060" w:rsidRDefault="00E84060" w:rsidP="00E84060">
      <w:pPr>
        <w:rPr>
          <w:iCs/>
        </w:rPr>
      </w:pPr>
    </w:p>
    <w:p w14:paraId="58FF6A80" w14:textId="20BA7CF3" w:rsidR="00E84060" w:rsidRDefault="00E84060" w:rsidP="00E84060">
      <w:pPr>
        <w:rPr>
          <w:iCs/>
        </w:rPr>
      </w:pPr>
      <w:r>
        <w:rPr>
          <w:b/>
          <w:iCs/>
        </w:rPr>
        <w:t>Data Sharing Statement:</w:t>
      </w:r>
      <w:r>
        <w:rPr>
          <w:iCs/>
        </w:rPr>
        <w:t xml:space="preserve"> </w:t>
      </w:r>
      <w:r w:rsidR="005C2F1A">
        <w:t>The deidentified patient-level data used in this study</w:t>
      </w:r>
      <w:r w:rsidR="007D6AEB">
        <w:t>, including information on mortality,</w:t>
      </w:r>
      <w:r w:rsidR="005C2F1A">
        <w:t xml:space="preserve"> were released by the data holders (NHS Digital, Office for National Statistics) under specific data sharing agreements and only for the purpose of this study. The data sharing agreements do not permit further sharing or publication of the data. Interested parties may seek to obtain data directly from the relevant data holders. HES data are copyright 2018-2019, re-used with the permission of NHS Digital through Data Sharing Agreement NIC-84254-J2G1Q.</w:t>
      </w:r>
      <w:r w:rsidR="007D6AEB">
        <w:t xml:space="preserve"> Data collected about the hours a GPED service was collected by the authors specifically for this project and are not able to place the original data into the public domain.</w:t>
      </w:r>
    </w:p>
    <w:p w14:paraId="33A7EA7C" w14:textId="4BDB601A" w:rsidR="002176C2" w:rsidRDefault="002176C2" w:rsidP="00E84060">
      <w:pPr>
        <w:rPr>
          <w:iCs/>
        </w:rPr>
      </w:pPr>
    </w:p>
    <w:p w14:paraId="12381E99" w14:textId="15B846E9" w:rsidR="002176C2" w:rsidRDefault="002176C2" w:rsidP="002176C2">
      <w:r>
        <w:rPr>
          <w:b/>
        </w:rPr>
        <w:t xml:space="preserve">Ethics Statement: </w:t>
      </w:r>
      <w:bookmarkStart w:id="3" w:name="_Hlk77239800"/>
      <w:r>
        <w:t>This research study was approved by:</w:t>
      </w:r>
    </w:p>
    <w:p w14:paraId="585F19E4" w14:textId="77777777" w:rsidR="00C6512F" w:rsidRDefault="002176C2" w:rsidP="00C6512F">
      <w:pPr>
        <w:pStyle w:val="ListParagraph"/>
        <w:numPr>
          <w:ilvl w:val="0"/>
          <w:numId w:val="7"/>
        </w:numPr>
        <w:spacing w:before="240" w:after="240" w:line="360" w:lineRule="auto"/>
        <w:jc w:val="both"/>
      </w:pPr>
      <w:r>
        <w:t>East Midlands - Leicester South Research Ethics Committee (Ref: 17/EM/0312)</w:t>
      </w:r>
    </w:p>
    <w:p w14:paraId="178310E3" w14:textId="77777777" w:rsidR="00C6512F" w:rsidRDefault="002176C2" w:rsidP="00C6512F">
      <w:pPr>
        <w:pStyle w:val="ListParagraph"/>
        <w:numPr>
          <w:ilvl w:val="0"/>
          <w:numId w:val="7"/>
        </w:numPr>
        <w:spacing w:before="240" w:after="240" w:line="360" w:lineRule="auto"/>
        <w:jc w:val="both"/>
      </w:pPr>
      <w:r>
        <w:t>University of Newcastle Ethics Committee (Ref: 14348/2016)</w:t>
      </w:r>
    </w:p>
    <w:p w14:paraId="3A02A31B" w14:textId="4BDDD00B" w:rsidR="002176C2" w:rsidRPr="002176C2" w:rsidRDefault="002176C2" w:rsidP="00C6512F">
      <w:pPr>
        <w:pStyle w:val="ListParagraph"/>
        <w:numPr>
          <w:ilvl w:val="0"/>
          <w:numId w:val="7"/>
        </w:numPr>
        <w:spacing w:before="240" w:after="240" w:line="360" w:lineRule="auto"/>
        <w:jc w:val="both"/>
      </w:pPr>
      <w:r>
        <w:t>Health Research Authority (HRA) (IRAS: 230848 and 218038).</w:t>
      </w:r>
      <w:bookmarkEnd w:id="3"/>
    </w:p>
    <w:p w14:paraId="5EC094A6" w14:textId="7258C84A" w:rsidR="008C089E" w:rsidRDefault="008C089E" w:rsidP="008C089E">
      <w:r>
        <w:br w:type="page"/>
      </w:r>
    </w:p>
    <w:p w14:paraId="1D137D52" w14:textId="77777777" w:rsidR="008C089E" w:rsidRDefault="008C089E" w:rsidP="008C089E">
      <w:pPr>
        <w:pStyle w:val="Heading1"/>
      </w:pPr>
      <w:bookmarkStart w:id="4" w:name="_9euoj6d87rp2" w:colFirst="0" w:colLast="0"/>
      <w:bookmarkEnd w:id="4"/>
      <w:r>
        <w:lastRenderedPageBreak/>
        <w:t>Introduction</w:t>
      </w:r>
    </w:p>
    <w:p w14:paraId="5FC4573B" w14:textId="4BAF09D2" w:rsidR="003C595C" w:rsidRDefault="008C5BFF" w:rsidP="008C089E">
      <w:r>
        <w:t>Emergency department crowding has been described as a ‘worldwide public health problem’</w:t>
      </w:r>
      <w:r w:rsidR="005B3961">
        <w:fldChar w:fldCharType="begin"/>
      </w:r>
      <w:r w:rsidR="00ED66B6">
        <w:instrText xml:space="preserve"> ADDIN EN.CITE &lt;EndNote&gt;&lt;Cite&gt;&lt;Author&gt;Pines&lt;/Author&gt;&lt;Year&gt;2015&lt;/Year&gt;&lt;RecNum&gt;1&lt;/RecNum&gt;&lt;DisplayText&gt;&lt;style face="superscript"&gt;1&lt;/style&gt;&lt;/DisplayText&gt;&lt;record&gt;&lt;rec-number&gt;1&lt;/rec-number&gt;&lt;foreign-keys&gt;&lt;key app="EN" db-id="tx2rwd0f79w05yefa5xxsaadedtat0w9v5td" timestamp="1638293584"&gt;1&lt;/key&gt;&lt;/foreign-keys&gt;&lt;ref-type name="Journal Article"&gt;17&lt;/ref-type&gt;&lt;contributors&gt;&lt;authors&gt;&lt;author&gt;Pines, JM&lt;/author&gt;&lt;author&gt;Griffey, RT&lt;/author&gt;&lt;/authors&gt;&lt;/contributors&gt;&lt;titles&gt;&lt;title&gt;What we have learned from a decade of ED crowding research?&lt;/title&gt;&lt;secondary-title&gt;Acad Emerg Med&lt;/secondary-title&gt;&lt;/titles&gt;&lt;periodical&gt;&lt;full-title&gt;Acad Emerg Med&lt;/full-title&gt;&lt;/periodical&gt;&lt;pages&gt;7&lt;/pages&gt;&lt;volume&gt;22&lt;/volume&gt;&lt;number&gt;8&lt;/number&gt;&lt;section&gt;985&lt;/section&gt;&lt;dates&gt;&lt;year&gt;2015&lt;/year&gt;&lt;/dates&gt;&lt;urls&gt;&lt;/urls&gt;&lt;/record&gt;&lt;/Cite&gt;&lt;/EndNote&gt;</w:instrText>
      </w:r>
      <w:r w:rsidR="005B3961">
        <w:fldChar w:fldCharType="separate"/>
      </w:r>
      <w:r w:rsidR="00ED66B6" w:rsidRPr="00ED66B6">
        <w:rPr>
          <w:noProof/>
          <w:vertAlign w:val="superscript"/>
        </w:rPr>
        <w:t>1</w:t>
      </w:r>
      <w:r w:rsidR="005B3961">
        <w:fldChar w:fldCharType="end"/>
      </w:r>
      <w:r>
        <w:t xml:space="preserve"> and even an ‘international crisis’.</w:t>
      </w:r>
      <w:r w:rsidR="005B3961">
        <w:fldChar w:fldCharType="begin"/>
      </w:r>
      <w:r w:rsidR="00ED66B6">
        <w:instrText xml:space="preserve"> ADDIN EN.CITE &lt;EndNote&gt;&lt;Cite&gt;&lt;Author&gt;Hoot&lt;/Author&gt;&lt;Year&gt;2008&lt;/Year&gt;&lt;RecNum&gt;2&lt;/RecNum&gt;&lt;DisplayText&gt;&lt;style face="superscript"&gt;2&lt;/style&gt;&lt;/DisplayText&gt;&lt;record&gt;&lt;rec-number&gt;2&lt;/rec-number&gt;&lt;foreign-keys&gt;&lt;key app="EN" db-id="tx2rwd0f79w05yefa5xxsaadedtat0w9v5td" timestamp="1638293828"&gt;2&lt;/key&gt;&lt;/foreign-keys&gt;&lt;ref-type name="Journal Article"&gt;17&lt;/ref-type&gt;&lt;contributors&gt;&lt;authors&gt;&lt;author&gt;Hoot, NR&lt;/author&gt;&lt;author&gt;Aronsky, D.&lt;/author&gt;&lt;/authors&gt;&lt;/contributors&gt;&lt;titles&gt;&lt;title&gt;Systematic review of emergency department crowding: Causes effects and solutions&lt;/title&gt;&lt;secondary-title&gt;Ann Emerg Med&lt;/secondary-title&gt;&lt;/titles&gt;&lt;periodical&gt;&lt;full-title&gt;Ann Emerg Med&lt;/full-title&gt;&lt;/periodical&gt;&lt;pages&gt;10&lt;/pages&gt;&lt;volume&gt;52&lt;/volume&gt;&lt;number&gt;2&lt;/number&gt;&lt;section&gt;126&lt;/section&gt;&lt;dates&gt;&lt;year&gt;2008&lt;/year&gt;&lt;/dates&gt;&lt;urls&gt;&lt;/urls&gt;&lt;/record&gt;&lt;/Cite&gt;&lt;/EndNote&gt;</w:instrText>
      </w:r>
      <w:r w:rsidR="005B3961">
        <w:fldChar w:fldCharType="separate"/>
      </w:r>
      <w:r w:rsidR="00ED66B6" w:rsidRPr="00ED66B6">
        <w:rPr>
          <w:noProof/>
          <w:vertAlign w:val="superscript"/>
        </w:rPr>
        <w:t>2</w:t>
      </w:r>
      <w:r w:rsidR="005B3961">
        <w:fldChar w:fldCharType="end"/>
      </w:r>
      <w:r>
        <w:t xml:space="preserve">  </w:t>
      </w:r>
      <w:r w:rsidR="003C595C">
        <w:t>Crowding, which has been linked with various measures of quality of care,</w:t>
      </w:r>
      <w:r w:rsidR="00BC50F1">
        <w:fldChar w:fldCharType="begin"/>
      </w:r>
      <w:r w:rsidR="00ED66B6">
        <w:instrText xml:space="preserve"> ADDIN EN.CITE &lt;EndNote&gt;&lt;Cite&gt;&lt;Author&gt;Stang&lt;/Author&gt;&lt;Year&gt;2015&lt;/Year&gt;&lt;RecNum&gt;3&lt;/RecNum&gt;&lt;DisplayText&gt;&lt;style face="superscript"&gt;3&lt;/style&gt;&lt;/DisplayText&gt;&lt;record&gt;&lt;rec-number&gt;3&lt;/rec-number&gt;&lt;foreign-keys&gt;&lt;key app="EN" db-id="tx2rwd0f79w05yefa5xxsaadedtat0w9v5td" timestamp="1638294053"&gt;3&lt;/key&gt;&lt;/foreign-keys&gt;&lt;ref-type name="Journal Article"&gt;17&lt;/ref-type&gt;&lt;contributors&gt;&lt;authors&gt;&lt;author&gt;Stang, AS&lt;/author&gt;&lt;author&gt;Crotts, J.&lt;/author&gt;&lt;author&gt;Johnson, DW.&lt;/author&gt;&lt;author&gt;Hartling, L.&lt;/author&gt;&lt;author&gt;Guttmann, A.&lt;/author&gt;&lt;/authors&gt;&lt;/contributors&gt;&lt;titles&gt;&lt;title&gt;Crowding measures associated with the quality of emergency department care: A systematic review&lt;/title&gt;&lt;secondary-title&gt;Acad Emerg Med&lt;/secondary-title&gt;&lt;/titles&gt;&lt;periodical&gt;&lt;full-title&gt;Acad Emerg Med&lt;/full-title&gt;&lt;/periodical&gt;&lt;pages&gt;14&lt;/pages&gt;&lt;volume&gt;22&lt;/volume&gt;&lt;section&gt;643&lt;/section&gt;&lt;dates&gt;&lt;year&gt;2015&lt;/year&gt;&lt;/dates&gt;&lt;urls&gt;&lt;/urls&gt;&lt;/record&gt;&lt;/Cite&gt;&lt;/EndNote&gt;</w:instrText>
      </w:r>
      <w:r w:rsidR="00BC50F1">
        <w:fldChar w:fldCharType="separate"/>
      </w:r>
      <w:r w:rsidR="00ED66B6" w:rsidRPr="00ED66B6">
        <w:rPr>
          <w:noProof/>
          <w:vertAlign w:val="superscript"/>
        </w:rPr>
        <w:t>3</w:t>
      </w:r>
      <w:r w:rsidR="00BC50F1">
        <w:fldChar w:fldCharType="end"/>
      </w:r>
      <w:r w:rsidR="003C595C">
        <w:t xml:space="preserve"> can result from the volume of patients attending (input), delays in the emergency department (throughput) or blocks to patients leaving (output)</w:t>
      </w:r>
      <w:r w:rsidR="00BC50F1">
        <w:fldChar w:fldCharType="begin"/>
      </w:r>
      <w:r w:rsidR="00ED66B6">
        <w:instrText xml:space="preserve"> ADDIN EN.CITE &lt;EndNote&gt;&lt;Cite&gt;&lt;Author&gt;Morley&lt;/Author&gt;&lt;Year&gt;2018&lt;/Year&gt;&lt;RecNum&gt;4&lt;/RecNum&gt;&lt;DisplayText&gt;&lt;style face="superscript"&gt;4&lt;/style&gt;&lt;/DisplayText&gt;&lt;record&gt;&lt;rec-number&gt;4&lt;/rec-number&gt;&lt;foreign-keys&gt;&lt;key app="EN" db-id="tx2rwd0f79w05yefa5xxsaadedtat0w9v5td" timestamp="1638294278"&gt;4&lt;/key&gt;&lt;/foreign-keys&gt;&lt;ref-type name="Journal Article"&gt;17&lt;/ref-type&gt;&lt;contributors&gt;&lt;authors&gt;&lt;author&gt;Morley, C&lt;/author&gt;&lt;author&gt;Unwin, M.&lt;/author&gt;&lt;author&gt;Peterson, GM.&lt;/author&gt;&lt;author&gt;Stankovich, J.&lt;/author&gt;&lt;author&gt;Kinsman, L.&lt;/author&gt;&lt;/authors&gt;&lt;/contributors&gt;&lt;titles&gt;&lt;title&gt;Emergency department crowding: A systematic review of causes consequences and solutions&lt;/title&gt;&lt;secondary-title&gt;PLOS One&lt;/secondary-title&gt;&lt;/titles&gt;&lt;periodical&gt;&lt;full-title&gt;PLOS One&lt;/full-title&gt;&lt;/periodical&gt;&lt;volume&gt;13&lt;/volume&gt;&lt;number&gt;8&lt;/number&gt;&lt;dates&gt;&lt;year&gt;2018&lt;/year&gt;&lt;/dates&gt;&lt;urls&gt;&lt;/urls&gt;&lt;/record&gt;&lt;/Cite&gt;&lt;/EndNote&gt;</w:instrText>
      </w:r>
      <w:r w:rsidR="00BC50F1">
        <w:fldChar w:fldCharType="separate"/>
      </w:r>
      <w:r w:rsidR="00ED66B6" w:rsidRPr="00ED66B6">
        <w:rPr>
          <w:noProof/>
          <w:vertAlign w:val="superscript"/>
        </w:rPr>
        <w:t>4</w:t>
      </w:r>
      <w:r w:rsidR="00BC50F1">
        <w:fldChar w:fldCharType="end"/>
      </w:r>
      <w:r w:rsidR="003C595C">
        <w:t xml:space="preserve"> </w:t>
      </w:r>
      <w:r w:rsidR="002A375F">
        <w:t xml:space="preserve">- </w:t>
      </w:r>
      <w:r w:rsidR="003C595C">
        <w:t>for example</w:t>
      </w:r>
      <w:r w:rsidR="00C76EF8">
        <w:t>,</w:t>
      </w:r>
      <w:r w:rsidR="003C595C">
        <w:t xml:space="preserve"> problems with accessing hospital beds or social care support.  </w:t>
      </w:r>
    </w:p>
    <w:p w14:paraId="38966B9F" w14:textId="77777777" w:rsidR="003C595C" w:rsidRDefault="003C595C" w:rsidP="008C089E"/>
    <w:p w14:paraId="0FBB848A" w14:textId="112EB573" w:rsidR="008C089E" w:rsidRDefault="008C089E" w:rsidP="008C089E">
      <w:r>
        <w:t xml:space="preserve">In common with many health care systems, </w:t>
      </w:r>
      <w:r w:rsidR="003E5D6C">
        <w:t>e</w:t>
      </w:r>
      <w:r>
        <w:t xml:space="preserve">mergency </w:t>
      </w:r>
      <w:r w:rsidR="003E5D6C">
        <w:t>d</w:t>
      </w:r>
      <w:r>
        <w:t>epartments (EDs) in the English NHS have faced considerable growth in demand over recent years.</w:t>
      </w:r>
      <w:r>
        <w:fldChar w:fldCharType="begin"/>
      </w:r>
      <w:r w:rsidR="00ED66B6">
        <w:instrText xml:space="preserve"> ADDIN EN.CITE &lt;EndNote&gt;&lt;Cite&gt;&lt;Author&gt;National Audit Office&lt;/Author&gt;&lt;Year&gt;2013&lt;/Year&gt;&lt;RecNum&gt;761&lt;/RecNum&gt;&lt;DisplayText&gt;&lt;style face="superscript"&gt;5&lt;/style&gt;&lt;/DisplayText&gt;&lt;record&gt;&lt;rec-number&gt;761&lt;/rec-number&gt;&lt;foreign-keys&gt;&lt;key app="EN" db-id="52t0ewa0ezvselepftp5ze5h5x52aa5d0vr2" timestamp="1618913845"&gt;761&lt;/key&gt;&lt;/foreign-keys&gt;&lt;ref-type name="Report"&gt;27&lt;/ref-type&gt;&lt;contributors&gt;&lt;authors&gt;&lt;author&gt;National Audit Office,&lt;/author&gt;&lt;/authors&gt;&lt;/contributors&gt;&lt;titles&gt;&lt;title&gt;Emergency admissions to hospital: managing the demand&lt;/title&gt;&lt;/titles&gt;&lt;dates&gt;&lt;year&gt;2013&lt;/year&gt;&lt;/dates&gt;&lt;urls&gt;&lt;related-urls&gt;&lt;url&gt;https://www.nao.org.uk/wp-content/uploads/2013/10/10288-001-Emergency-admissions.pdf&lt;/url&gt;&lt;/related-urls&gt;&lt;/urls&gt;&lt;access-date&gt;20/04/2021&lt;/access-date&gt;&lt;/record&gt;&lt;/Cite&gt;&lt;/EndNote&gt;</w:instrText>
      </w:r>
      <w:r>
        <w:fldChar w:fldCharType="separate"/>
      </w:r>
      <w:r w:rsidR="00ED66B6" w:rsidRPr="00ED66B6">
        <w:rPr>
          <w:noProof/>
          <w:vertAlign w:val="superscript"/>
        </w:rPr>
        <w:t>5</w:t>
      </w:r>
      <w:r>
        <w:fldChar w:fldCharType="end"/>
      </w:r>
      <w:r>
        <w:t xml:space="preserve"> Efforts to reduce un</w:t>
      </w:r>
      <w:r w:rsidR="00F36C39">
        <w:t>n</w:t>
      </w:r>
      <w:r>
        <w:t>ecessary attendances to EDs</w:t>
      </w:r>
      <w:r w:rsidR="003C595C">
        <w:t xml:space="preserve"> (input)</w:t>
      </w:r>
      <w:r>
        <w:t>, such as the introduction of walk-in primary care centres and NHS telephone and online advice services, have been shown to address unmet needs but have not changed trends in ED attendance.</w:t>
      </w:r>
      <w:r>
        <w:fldChar w:fldCharType="begin"/>
      </w:r>
      <w:r w:rsidR="00ED66B6">
        <w:instrText xml:space="preserve"> ADDIN EN.CITE &lt;EndNote&gt;&lt;Cite&gt;&lt;Author&gt;Turner&lt;/Author&gt;&lt;Year&gt;2013&lt;/Year&gt;&lt;RecNum&gt;754&lt;/RecNum&gt;&lt;DisplayText&gt;&lt;style face="superscript"&gt;6&lt;/style&gt;&lt;/DisplayText&gt;&lt;record&gt;&lt;rec-number&gt;754&lt;/rec-number&gt;&lt;foreign-keys&gt;&lt;key app="EN" db-id="52t0ewa0ezvselepftp5ze5h5x52aa5d0vr2" timestamp="1618910744"&gt;754&lt;/key&gt;&lt;/foreign-keys&gt;&lt;ref-type name="Journal Article"&gt;17&lt;/ref-type&gt;&lt;contributors&gt;&lt;authors&gt;&lt;author&gt;Turner, J&lt;/author&gt;&lt;author&gt;O&amp;apos;Cathain, A&lt;/author&gt;&lt;author&gt;Knowles, E&lt;/author&gt;&lt;author&gt;Nicholl, J&lt;/author&gt;&lt;/authors&gt;&lt;/contributors&gt;&lt;titles&gt;&lt;title&gt;Impact of the urgent care telephone service NHS 111 pilot sites: a controlled before and after study&lt;/title&gt;&lt;secondary-title&gt;BMJ Open&lt;/secondary-title&gt;&lt;/titles&gt;&lt;periodical&gt;&lt;full-title&gt;BMJ Open&lt;/full-title&gt;&lt;/periodical&gt;&lt;pages&gt;e003451&lt;/pages&gt;&lt;volume&gt;3&lt;/volume&gt;&lt;number&gt;11&lt;/number&gt;&lt;dates&gt;&lt;year&gt;2013&lt;/year&gt;&lt;/dates&gt;&lt;urls&gt;&lt;related-urls&gt;&lt;url&gt;https://bmjopen.bmj.com/content/bmjopen/3/11/e003451.full.pdf&lt;/url&gt;&lt;/related-urls&gt;&lt;/urls&gt;&lt;electronic-resource-num&gt;10.1136/bmjopen-2013-003451&lt;/electronic-resource-num&gt;&lt;/record&gt;&lt;/Cite&gt;&lt;/EndNote&gt;</w:instrText>
      </w:r>
      <w:r>
        <w:fldChar w:fldCharType="separate"/>
      </w:r>
      <w:r w:rsidR="00ED66B6" w:rsidRPr="00ED66B6">
        <w:rPr>
          <w:noProof/>
          <w:vertAlign w:val="superscript"/>
        </w:rPr>
        <w:t>6</w:t>
      </w:r>
      <w:r>
        <w:fldChar w:fldCharType="end"/>
      </w:r>
      <w:r>
        <w:t xml:space="preserve"> </w:t>
      </w:r>
      <w:r w:rsidR="00436295">
        <w:t xml:space="preserve">Policy attention has consequently switched to throughput of patients inside the ED. </w:t>
      </w:r>
      <w:r w:rsidR="003C595C">
        <w:t xml:space="preserve">A substantial minority of attendances are suitable for treatment by a </w:t>
      </w:r>
      <w:r w:rsidR="00436295">
        <w:t xml:space="preserve">primary care physician – known in the UK as a </w:t>
      </w:r>
      <w:r w:rsidR="003C595C">
        <w:t>General Practitioner (GP); Mason et al</w:t>
      </w:r>
      <w:r w:rsidR="003C595C">
        <w:fldChar w:fldCharType="begin"/>
      </w:r>
      <w:r w:rsidR="00ED66B6">
        <w:instrText xml:space="preserve"> ADDIN EN.CITE &lt;EndNote&gt;&lt;Cite&gt;&lt;Author&gt;Mason&lt;/Author&gt;&lt;Year&gt;2017&lt;/Year&gt;&lt;RecNum&gt;759&lt;/RecNum&gt;&lt;DisplayText&gt;&lt;style face="superscript"&gt;7&lt;/style&gt;&lt;/DisplayText&gt;&lt;record&gt;&lt;rec-number&gt;759&lt;/rec-number&gt;&lt;foreign-keys&gt;&lt;key app="EN" db-id="52t0ewa0ezvselepftp5ze5h5x52aa5d0vr2" timestamp="1618911188"&gt;759&lt;/key&gt;&lt;/foreign-keys&gt;&lt;ref-type name="Report"&gt;27&lt;/ref-type&gt;&lt;contributors&gt;&lt;authors&gt;&lt;author&gt;Mason, Suzanne&lt;/author&gt;&lt;author&gt;O’Keeffe, Colin&lt;/author&gt;&lt;author&gt;Jacques, Richard&lt;/author&gt;&lt;author&gt;Rimmer, Melanie&lt;/author&gt;&lt;author&gt;Ablard, Suzanne&lt;/author&gt;&lt;/authors&gt;&lt;/contributors&gt;&lt;titles&gt;&lt;title&gt;Perspectives on the reasons for Emergency Department attendnaces acrss Yorkshire and the Humber - Final Report September 2017&lt;/title&gt;&lt;/titles&gt;&lt;dates&gt;&lt;year&gt;2017&lt;/year&gt;&lt;/dates&gt;&lt;pub-location&gt;The University of Sheffield&lt;/pub-location&gt;&lt;urls&gt;&lt;related-urls&gt;&lt;url&gt;https://www.sheffield.ac.uk/polopoly_fs/1.730630!/file/CLAHRC_BMA_Final_Report.pdf&lt;/url&gt;&lt;/related-urls&gt;&lt;/urls&gt;&lt;access-date&gt;20/04/2021&lt;/access-date&gt;&lt;/record&gt;&lt;/Cite&gt;&lt;/EndNote&gt;</w:instrText>
      </w:r>
      <w:r w:rsidR="003C595C">
        <w:fldChar w:fldCharType="separate"/>
      </w:r>
      <w:r w:rsidR="00ED66B6" w:rsidRPr="00ED66B6">
        <w:rPr>
          <w:noProof/>
          <w:vertAlign w:val="superscript"/>
        </w:rPr>
        <w:t>7</w:t>
      </w:r>
      <w:r w:rsidR="003C595C">
        <w:fldChar w:fldCharType="end"/>
      </w:r>
      <w:r w:rsidR="003C595C">
        <w:t xml:space="preserve"> estimated this proportion to be around 23% of adults and 31% of children attending ED</w:t>
      </w:r>
      <w:r w:rsidR="002A375F">
        <w:t>s</w:t>
      </w:r>
      <w:r w:rsidR="00436295">
        <w:t xml:space="preserve"> in England</w:t>
      </w:r>
      <w:r w:rsidR="003C595C">
        <w:t xml:space="preserve">. </w:t>
      </w:r>
      <w:r>
        <w:t>Following the recommendations of a national review of emergency services,</w:t>
      </w:r>
      <w:r>
        <w:fldChar w:fldCharType="begin"/>
      </w:r>
      <w:r w:rsidR="00ED66B6">
        <w:instrText xml:space="preserve"> ADDIN EN.CITE &lt;EndNote&gt;&lt;Cite&gt;&lt;Author&gt;NHS England&lt;/Author&gt;&lt;Year&gt;2013&lt;/Year&gt;&lt;RecNum&gt;763&lt;/RecNum&gt;&lt;DisplayText&gt;&lt;style face="superscript"&gt;8&lt;/style&gt;&lt;/DisplayText&gt;&lt;record&gt;&lt;rec-number&gt;763&lt;/rec-number&gt;&lt;foreign-keys&gt;&lt;key app="EN" db-id="52t0ewa0ezvselepftp5ze5h5x52aa5d0vr2" timestamp="1618916473"&gt;763&lt;/key&gt;&lt;/foreign-keys&gt;&lt;ref-type name="Report"&gt;27&lt;/ref-type&gt;&lt;contributors&gt;&lt;authors&gt;&lt;author&gt;NHS England,&lt;/author&gt;&lt;/authors&gt;&lt;/contributors&gt;&lt;titles&gt;&lt;title&gt;High quality care for all, now and for future generations: Transforming urgent and emergency care services in England - Urgent and Emergency Care Review End of Phase 1 Report&lt;/title&gt;&lt;/titles&gt;&lt;dates&gt;&lt;year&gt;2013&lt;/year&gt;&lt;/dates&gt;&lt;pub-location&gt;Leeds&lt;/pub-location&gt;&lt;urls&gt;&lt;/urls&gt;&lt;/record&gt;&lt;/Cite&gt;&lt;/EndNote&gt;</w:instrText>
      </w:r>
      <w:r>
        <w:fldChar w:fldCharType="separate"/>
      </w:r>
      <w:r w:rsidR="00ED66B6" w:rsidRPr="00ED66B6">
        <w:rPr>
          <w:noProof/>
          <w:vertAlign w:val="superscript"/>
        </w:rPr>
        <w:t>8</w:t>
      </w:r>
      <w:r>
        <w:fldChar w:fldCharType="end"/>
      </w:r>
      <w:r>
        <w:t xml:space="preserve"> most </w:t>
      </w:r>
      <w:r w:rsidR="00436295">
        <w:t xml:space="preserve">acute NHS </w:t>
      </w:r>
      <w:r>
        <w:t>hospital</w:t>
      </w:r>
      <w:r w:rsidR="00436295">
        <w:t>s</w:t>
      </w:r>
      <w:r>
        <w:t xml:space="preserve"> have developed GP services in EDs (GPEDs) to treat non-urgent patients, aiming to relieve pressure on other ED staff and improve ED efficiency and patient experience.</w:t>
      </w:r>
      <w:r>
        <w:fldChar w:fldCharType="begin"/>
      </w:r>
      <w:r w:rsidR="00ED66B6">
        <w:instrText xml:space="preserve"> ADDIN EN.CITE &lt;EndNote&gt;&lt;Cite&gt;&lt;Author&gt;NHS England&lt;/Author&gt;&lt;Year&gt;2017&lt;/Year&gt;&lt;RecNum&gt;760&lt;/RecNum&gt;&lt;DisplayText&gt;&lt;style face="superscript"&gt;9 10&lt;/style&gt;&lt;/DisplayText&gt;&lt;record&gt;&lt;rec-number&gt;760&lt;/rec-number&gt;&lt;foreign-keys&gt;&lt;key app="EN" db-id="52t0ewa0ezvselepftp5ze5h5x52aa5d0vr2" timestamp="1618912087"&gt;760&lt;/key&gt;&lt;/foreign-keys&gt;&lt;ref-type name="Government Document"&gt;46&lt;/ref-type&gt;&lt;contributors&gt;&lt;authors&gt;&lt;author&gt;NHS England,&lt;/author&gt;&lt;/authors&gt;&lt;/contributors&gt;&lt;titles&gt;&lt;title&gt;Next steps on the NHS Five Year Forward View&lt;/title&gt;&lt;/titles&gt;&lt;dates&gt;&lt;year&gt;2017&lt;/year&gt;&lt;/dates&gt;&lt;urls&gt;&lt;/urls&gt;&lt;/record&gt;&lt;/Cite&gt;&lt;Cite&gt;&lt;Author&gt;NHS England&lt;/Author&gt;&lt;Year&gt;2016&lt;/Year&gt;&lt;RecNum&gt;764&lt;/RecNum&gt;&lt;record&gt;&lt;rec-number&gt;764&lt;/rec-number&gt;&lt;foreign-keys&gt;&lt;key app="EN" db-id="52t0ewa0ezvselepftp5ze5h5x52aa5d0vr2" timestamp="1618919909"&gt;764&lt;/key&gt;&lt;/foreign-keys&gt;&lt;ref-type name="Report"&gt;27&lt;/ref-type&gt;&lt;contributors&gt;&lt;authors&gt;&lt;author&gt;NHS England,&lt;/author&gt;&lt;/authors&gt;&lt;/contributors&gt;&lt;titles&gt;&lt;title&gt;Transforming urgent and emergency care services in England - Safer, faster, better: good practice in delivering urgent and emergency care&lt;/title&gt;&lt;/titles&gt;&lt;dates&gt;&lt;year&gt;2016&lt;/year&gt;&lt;/dates&gt;&lt;pub-location&gt;London&lt;/pub-location&gt;&lt;urls&gt;&lt;/urls&gt;&lt;/record&gt;&lt;/Cite&gt;&lt;/EndNote&gt;</w:instrText>
      </w:r>
      <w:r>
        <w:fldChar w:fldCharType="separate"/>
      </w:r>
      <w:r w:rsidR="00ED66B6" w:rsidRPr="00ED66B6">
        <w:rPr>
          <w:noProof/>
          <w:vertAlign w:val="superscript"/>
        </w:rPr>
        <w:t>9 10</w:t>
      </w:r>
      <w:r>
        <w:fldChar w:fldCharType="end"/>
      </w:r>
      <w:r>
        <w:t xml:space="preserve"> Different models of GPs working in or alongside the ED have emerged; some are fully integrated within the ED, others ‘stream’ patients either to GPs working alongside EDs or to outside services, which may be offered on site or off site.</w:t>
      </w:r>
      <w:r>
        <w:fldChar w:fldCharType="begin"/>
      </w:r>
      <w:r w:rsidR="00ED66B6">
        <w:instrText xml:space="preserve"> ADDIN EN.CITE &lt;EndNote&gt;&lt;Cite&gt;&lt;Author&gt;Cooper&lt;/Author&gt;&lt;Year&gt;2019&lt;/Year&gt;&lt;RecNum&gt;755&lt;/RecNum&gt;&lt;DisplayText&gt;&lt;style face="superscript"&gt;11&lt;/style&gt;&lt;/DisplayText&gt;&lt;record&gt;&lt;rec-number&gt;755&lt;/rec-number&gt;&lt;foreign-keys&gt;&lt;key app="EN" db-id="52t0ewa0ezvselepftp5ze5h5x52aa5d0vr2" timestamp="1618910888"&gt;755&lt;/key&gt;&lt;/foreign-keys&gt;&lt;ref-type name="Journal Article"&gt;17&lt;/ref-type&gt;&lt;contributors&gt;&lt;authors&gt;&lt;author&gt;Cooper, Alison&lt;/author&gt;&lt;author&gt;Edwards, Michelle&lt;/author&gt;&lt;author&gt;Brandling, Janet&lt;/author&gt;&lt;author&gt;Carson-Stevens, Andrew&lt;/author&gt;&lt;author&gt;Cooke, Matthew&lt;/author&gt;&lt;author&gt;Davies, Freya&lt;/author&gt;&lt;author&gt;Hughes, Thomas&lt;/author&gt;&lt;author&gt;Morton, Katherine&lt;/author&gt;&lt;author&gt;Siriwardena, Aloysius&lt;/author&gt;&lt;author&gt;Voss, Sarah&lt;/author&gt;&lt;author&gt;Benger, Jonathan&lt;/author&gt;&lt;author&gt;Edwards, Adrian&lt;/author&gt;&lt;/authors&gt;&lt;/contributors&gt;&lt;titles&gt;&lt;title&gt;Taxonomy of the form and function of primary care services in or alongside emergency departments: concepts paper&lt;/title&gt;&lt;secondary-title&gt;Emergency Medicine Journal&lt;/secondary-title&gt;&lt;/titles&gt;&lt;periodical&gt;&lt;full-title&gt;Emergency Medicine Journal&lt;/full-title&gt;&lt;/periodical&gt;&lt;pages&gt;625-630&lt;/pages&gt;&lt;volume&gt;36&lt;/volume&gt;&lt;number&gt;10&lt;/number&gt;&lt;dates&gt;&lt;year&gt;2019&lt;/year&gt;&lt;/dates&gt;&lt;urls&gt;&lt;related-urls&gt;&lt;url&gt;https://emj.bmj.com/content/emermed/36/10/625.full.pdf&lt;/url&gt;&lt;/related-urls&gt;&lt;/urls&gt;&lt;electronic-resource-num&gt;10.1136/emermed-2018-208305&lt;/electronic-resource-num&gt;&lt;/record&gt;&lt;/Cite&gt;&lt;/EndNote&gt;</w:instrText>
      </w:r>
      <w:r>
        <w:fldChar w:fldCharType="separate"/>
      </w:r>
      <w:r w:rsidR="00ED66B6" w:rsidRPr="00ED66B6">
        <w:rPr>
          <w:noProof/>
          <w:vertAlign w:val="superscript"/>
        </w:rPr>
        <w:t>11</w:t>
      </w:r>
      <w:r>
        <w:fldChar w:fldCharType="end"/>
      </w:r>
    </w:p>
    <w:p w14:paraId="27D85C21" w14:textId="77777777" w:rsidR="008C089E" w:rsidRDefault="008C089E" w:rsidP="008C089E"/>
    <w:p w14:paraId="32532818" w14:textId="18F958F2" w:rsidR="008C089E" w:rsidRDefault="008C089E" w:rsidP="008C089E">
      <w:r>
        <w:t>Evidence of the effectiveness of GP</w:t>
      </w:r>
      <w:r w:rsidR="00436295">
        <w:t xml:space="preserve"> or other primary care</w:t>
      </w:r>
      <w:r>
        <w:t xml:space="preserve"> </w:t>
      </w:r>
      <w:r w:rsidR="00436295">
        <w:t xml:space="preserve">practitioners </w:t>
      </w:r>
      <w:r>
        <w:t xml:space="preserve">in EDs is limited to date. A 2018 Cochrane review found only four studies (one randomised trial and three non-randomised </w:t>
      </w:r>
      <w:r w:rsidR="00DC536D">
        <w:t>studies</w:t>
      </w:r>
      <w:r>
        <w:t>) that evaluated the effects of introducing GPs or emergency nurse practitioners.</w:t>
      </w:r>
      <w:r>
        <w:fldChar w:fldCharType="begin">
          <w:fldData xml:space="preserve">PEVuZE5vdGU+PENpdGU+PEF1dGhvcj5Hb27Dp2FsdmVzLUJyYWRsZXk8L0F1dGhvcj48WWVhcj4y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</w:fldData>
        </w:fldChar>
      </w:r>
      <w:r w:rsidR="00BC50F1">
        <w:instrText xml:space="preserve"> ADDIN EN.CITE </w:instrText>
      </w:r>
      <w:r w:rsidR="00BC50F1">
        <w:fldChar w:fldCharType="begin">
          <w:fldData xml:space="preserve">PEVuZE5vdGU+PENpdGU+PEF1dGhvcj5Hb27Dp2FsdmVzLUJyYWRsZXk8L0F1dGhvcj48WWVhcj4y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</w:fldData>
        </w:fldChar>
      </w:r>
      <w:r w:rsidR="00BC50F1">
        <w:instrText xml:space="preserve"> ADDIN EN.CITE.DATA </w:instrText>
      </w:r>
      <w:r w:rsidR="00BC50F1">
        <w:fldChar w:fldCharType="end"/>
      </w:r>
      <w:r>
        <w:fldChar w:fldCharType="separate"/>
      </w:r>
      <w:r w:rsidR="00BC50F1" w:rsidRPr="00BC50F1">
        <w:rPr>
          <w:noProof/>
          <w:vertAlign w:val="superscript"/>
        </w:rPr>
        <w:t>12</w:t>
      </w:r>
      <w:r>
        <w:fldChar w:fldCharType="end"/>
      </w:r>
      <w:r>
        <w:t xml:space="preserve"> These studies did not examine safety and had inconsistent results, leading reviewers to comment that the evidence was insufficient to draw conclusions for practice or policy. </w:t>
      </w:r>
      <w:r w:rsidR="00515413">
        <w:t>The Cochrane review has relatively stringent methodological inclusion criteria (randomised trials, interrupted time series and controlled before and after studies only), but m</w:t>
      </w:r>
      <w:r>
        <w:t>ore inclusive reviews have similarly found inadequate evidence on the effectiveness of this approach.</w:t>
      </w:r>
      <w:r>
        <w:fldChar w:fldCharType="begin">
          <w:fldData xml:space="preserve">PEVuZE5vdGU+PENpdGU+PEF1dGhvcj5SYW1sYWtoYW48L0F1dGhvcj48WWVhcj4yMDE2PC9ZZWFy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</w:fldData>
        </w:fldChar>
      </w:r>
      <w:r w:rsidR="00BC50F1">
        <w:instrText xml:space="preserve"> ADDIN EN.CITE </w:instrText>
      </w:r>
      <w:r w:rsidR="00BC50F1">
        <w:fldChar w:fldCharType="begin">
          <w:fldData xml:space="preserve">PEVuZE5vdGU+PENpdGU+PEF1dGhvcj5SYW1sYWtoYW48L0F1dGhvcj48WWVhcj4yMDE2PC9ZZWFy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</w:fldData>
        </w:fldChar>
      </w:r>
      <w:r w:rsidR="00BC50F1">
        <w:instrText xml:space="preserve"> ADDIN EN.CITE.DATA </w:instrText>
      </w:r>
      <w:r w:rsidR="00BC50F1">
        <w:fldChar w:fldCharType="end"/>
      </w:r>
      <w:r>
        <w:fldChar w:fldCharType="separate"/>
      </w:r>
      <w:r w:rsidR="00BC50F1" w:rsidRPr="00BC50F1">
        <w:rPr>
          <w:noProof/>
          <w:vertAlign w:val="superscript"/>
        </w:rPr>
        <w:t>13 14</w:t>
      </w:r>
      <w:r>
        <w:fldChar w:fldCharType="end"/>
      </w:r>
      <w:r w:rsidR="00515413">
        <w:t xml:space="preserve"> A narrative review including all study types</w:t>
      </w:r>
      <w:r w:rsidR="003E24E5">
        <w:t xml:space="preserve"> from seven countries (Netherlands, England, Australia, Ireland, Spain, Sweden and Switzerland)</w:t>
      </w:r>
      <w:r w:rsidR="007512A7" w:rsidRPr="007512A7">
        <w:rPr>
          <w:noProof/>
          <w:vertAlign w:val="superscript"/>
        </w:rPr>
        <w:t xml:space="preserve"> </w:t>
      </w:r>
      <w:r w:rsidR="007512A7" w:rsidRPr="00BC50F1">
        <w:rPr>
          <w:noProof/>
          <w:vertAlign w:val="superscript"/>
        </w:rPr>
        <w:t>13</w:t>
      </w:r>
      <w:r w:rsidR="003E24E5">
        <w:t xml:space="preserve"> </w:t>
      </w:r>
      <w:r w:rsidR="00515413">
        <w:t xml:space="preserve"> </w:t>
      </w:r>
      <w:r w:rsidR="003E24E5">
        <w:t>described a paradoxical increase in attendances, which the authors attributed to provider-induced demand, and they concluded that any marginal savings per patient are likely to be overshadowed by the overall cost of the new service.  A realist review including studies from the UK, six EU countries, Australia, USA, Canada, Singapore and New Zealand</w:t>
      </w:r>
      <w:r w:rsidR="007512A7">
        <w:rPr>
          <w:vertAlign w:val="superscript"/>
        </w:rPr>
        <w:t>14</w:t>
      </w:r>
      <w:r w:rsidR="003E24E5">
        <w:t xml:space="preserve"> found that GPEDs may shorten process times for non-urgent patients</w:t>
      </w:r>
      <w:r w:rsidR="00F527AF">
        <w:t>,</w:t>
      </w:r>
      <w:r w:rsidR="003E24E5">
        <w:t xml:space="preserve"> but that there is little evidence that this frees up emergency department staff time; this study also raised potential concerns about provider-induced demand. </w:t>
      </w:r>
    </w:p>
    <w:p w14:paraId="3B35ECD9" w14:textId="77777777" w:rsidR="008C089E" w:rsidRDefault="008C089E" w:rsidP="008C089E"/>
    <w:p w14:paraId="148D282A" w14:textId="79802708" w:rsidR="008C089E" w:rsidRDefault="008C089E" w:rsidP="00C05411">
      <w:r>
        <w:t xml:space="preserve">As part of a mixed methods study to explore the impacts of General Practitioners working in or alongside the </w:t>
      </w:r>
      <w:r w:rsidR="003E5D6C">
        <w:t>e</w:t>
      </w:r>
      <w:r>
        <w:t xml:space="preserve">mergency </w:t>
      </w:r>
      <w:r w:rsidR="003E5D6C">
        <w:t>d</w:t>
      </w:r>
      <w:r>
        <w:t>epartment</w:t>
      </w:r>
      <w:r w:rsidR="00276566">
        <w:t>,</w:t>
      </w:r>
      <w:r w:rsidR="00B329DB">
        <w:fldChar w:fldCharType="begin"/>
      </w:r>
      <w:r w:rsidR="00B329DB">
        <w:instrText xml:space="preserve"> ADDIN EN.CITE &lt;EndNote&gt;&lt;Cite&gt;&lt;Author&gt;Morton&lt;/Author&gt;&lt;Year&gt;2018&lt;/Year&gt;&lt;RecNum&gt;8&lt;/RecNum&gt;&lt;DisplayText&gt;&lt;style face="superscript"&gt;15&lt;/style&gt;&lt;/DisplayText&gt;&lt;record&gt;&lt;rec-number&gt;8&lt;/rec-number&gt;&lt;foreign-keys&gt;&lt;key app="EN" db-id="tx2rwd0f79w05yefa5xxsaadedtat0w9v5td" timestamp="1641817706"&gt;8&lt;/key&gt;&lt;/foreign-keys&gt;&lt;ref-type name="Journal Article"&gt;17&lt;/ref-type&gt;&lt;contributors&gt;&lt;authors&gt;&lt;author&gt;Morton, Katherine&lt;/author&gt;&lt;author&gt;Voss, Sarah&lt;/author&gt;&lt;author&gt;Adamson, Joy&lt;/author&gt;&lt;author&gt;Baxter, Helen&lt;/author&gt;&lt;author&gt;Bloor, Karen&lt;/author&gt;&lt;author&gt;Brandling, James&lt;/author&gt;&lt;author&gt;Cowlishaw Sean&lt;/author&gt;&lt;author&gt;Doran, Tim&lt;/author&gt;&lt;author&gt;Gibson, Andrew&lt;/author&gt;&lt;author&gt;Gutacker, Nils&lt;/author&gt;&lt;author&gt;Liu, Dan&lt;/author&gt;&lt;author&gt;Purdy, Sarah&lt;/author&gt;&lt;author&gt;Roy, Paul&lt;/author&gt;&lt;author&gt;Salisbury, Christopher&lt;/author&gt;&lt;author&gt;Scantlebury, Arabella&lt;/author&gt;&lt;author&gt;Vaittinen, Anu&lt;/author&gt;&lt;author&gt;Watson, Ros&lt;/author&gt;&lt;author&gt;Benger, Jonathan&lt;/author&gt;&lt;/authors&gt;&lt;/contributors&gt;&lt;titles&gt;&lt;title&gt;General practitioners and emergency departments (GPED) - efficient models of care: A mixed-methods study protocol&lt;/title&gt;&lt;secondary-title&gt;BMJ Open&lt;/secondary-title&gt;&lt;/titles&gt;&lt;periodical&gt;&lt;full-title&gt;BMJ Open&lt;/full-title&gt;&lt;/periodical&gt;&lt;pages&gt;8&lt;/pages&gt;&lt;volume&gt;8&lt;/volume&gt;&lt;section&gt;1&lt;/section&gt;&lt;dates&gt;&lt;year&gt;2018&lt;/year&gt;&lt;/dates&gt;&lt;urls&gt;&lt;/urls&gt;&lt;electronic-resource-num&gt;10.1136/bmjopen-2018-024012&lt;/electronic-resource-num&gt;&lt;/record&gt;&lt;/Cite&gt;&lt;/EndNote&gt;</w:instrText>
      </w:r>
      <w:r w:rsidR="00B329DB">
        <w:fldChar w:fldCharType="separate"/>
      </w:r>
      <w:r w:rsidR="00B329DB" w:rsidRPr="00B329DB">
        <w:rPr>
          <w:noProof/>
          <w:vertAlign w:val="superscript"/>
        </w:rPr>
        <w:t>15</w:t>
      </w:r>
      <w:r w:rsidR="00B329DB">
        <w:fldChar w:fldCharType="end"/>
      </w:r>
      <w:r>
        <w:t xml:space="preserve"> we analysed data from hospitals </w:t>
      </w:r>
      <w:r w:rsidR="003E24E5">
        <w:t xml:space="preserve">in England </w:t>
      </w:r>
      <w:r>
        <w:t xml:space="preserve">with a well-established and clearly defined GPED service during the financial year April 2018 to March 2019, using the presence of a GP service as the intervention. The study aim was to measure the impact of GPED services on patient </w:t>
      </w:r>
      <w:r w:rsidR="00B72C58">
        <w:t>throughput in the ED</w:t>
      </w:r>
      <w:r>
        <w:t xml:space="preserve"> (including waiting time, treatment in the ED and unplanned re-attendance)</w:t>
      </w:r>
      <w:r w:rsidR="00B72C58">
        <w:t>. Given the association between ED crowding and the quality and safety of patient care,</w:t>
      </w:r>
      <w:r w:rsidR="007512A7">
        <w:fldChar w:fldCharType="begin"/>
      </w:r>
      <w:r w:rsidR="00ED66B6">
        <w:instrText xml:space="preserve"> ADDIN EN.CITE &lt;EndNote&gt;&lt;Cite&gt;&lt;Author&gt;Stang&lt;/Author&gt;&lt;Year&gt;2015&lt;/Year&gt;&lt;RecNum&gt;3&lt;/RecNum&gt;&lt;DisplayText&gt;&lt;style face="superscript"&gt;3&lt;/style&gt;&lt;/DisplayText&gt;&lt;record&gt;&lt;rec-number&gt;3&lt;/rec-number&gt;&lt;foreign-keys&gt;&lt;key app="EN" db-id="tx2rwd0f79w05yefa5xxsaadedtat0w9v5td" timestamp="1638294053"&gt;3&lt;/key&gt;&lt;/foreign-keys&gt;&lt;ref-type name="Journal Article"&gt;17&lt;/ref-type&gt;&lt;contributors&gt;&lt;authors&gt;&lt;author&gt;Stang, AS&lt;/author&gt;&lt;author&gt;Crotts, J.&lt;/author&gt;&lt;author&gt;Johnson, DW.&lt;/author&gt;&lt;author&gt;Hartling, L.&lt;/author&gt;&lt;author&gt;Guttmann, A.&lt;/author&gt;&lt;/authors&gt;&lt;/contributors&gt;&lt;titles&gt;&lt;title&gt;Crowding measures associated with the quality of emergency department care: A systematic review&lt;/title&gt;&lt;secondary-title&gt;Acad Emerg Med&lt;/secondary-title&gt;&lt;/titles&gt;&lt;periodical&gt;&lt;full-title&gt;Acad Emerg Med&lt;/full-title&gt;&lt;/periodical&gt;&lt;pages&gt;14&lt;/pages&gt;&lt;volume&gt;22&lt;/volume&gt;&lt;section&gt;643&lt;/section&gt;&lt;dates&gt;&lt;year&gt;2015&lt;/year&gt;&lt;/dates&gt;&lt;urls&gt;&lt;/urls&gt;&lt;/record&gt;&lt;/Cite&gt;&lt;/EndNote&gt;</w:instrText>
      </w:r>
      <w:r w:rsidR="007512A7">
        <w:fldChar w:fldCharType="separate"/>
      </w:r>
      <w:r w:rsidR="00ED66B6" w:rsidRPr="00ED66B6">
        <w:rPr>
          <w:noProof/>
          <w:vertAlign w:val="superscript"/>
        </w:rPr>
        <w:t>3</w:t>
      </w:r>
      <w:r w:rsidR="007512A7">
        <w:fldChar w:fldCharType="end"/>
      </w:r>
      <w:r w:rsidR="00B72C58">
        <w:t xml:space="preserve"> we also investigated patient </w:t>
      </w:r>
      <w:r>
        <w:t>health outcomes</w:t>
      </w:r>
      <w:r w:rsidR="002A375F">
        <w:t xml:space="preserve">, </w:t>
      </w:r>
      <w:r>
        <w:t>including 30-day mortality.</w:t>
      </w:r>
    </w:p>
    <w:p w14:paraId="064A834A" w14:textId="77777777" w:rsidR="008C089E" w:rsidRDefault="008C089E" w:rsidP="008C089E">
      <w:pPr>
        <w:pStyle w:val="Heading1"/>
      </w:pPr>
      <w:bookmarkStart w:id="5" w:name="_xrxsvgb6a49" w:colFirst="0" w:colLast="0"/>
      <w:bookmarkEnd w:id="5"/>
      <w:r>
        <w:t>Methods</w:t>
      </w:r>
      <w:bookmarkStart w:id="6" w:name="_2kcvmc8gvnct" w:colFirst="0" w:colLast="0"/>
      <w:bookmarkEnd w:id="6"/>
    </w:p>
    <w:p w14:paraId="739B71EA" w14:textId="77777777" w:rsidR="008C089E" w:rsidRDefault="008C089E" w:rsidP="008C089E">
      <w:pPr>
        <w:pStyle w:val="Heading2"/>
      </w:pPr>
      <w:r>
        <w:t>Study design and data sources</w:t>
      </w:r>
    </w:p>
    <w:p w14:paraId="2D6E1B84" w14:textId="6F0BAE24" w:rsidR="008C089E" w:rsidRDefault="008C089E" w:rsidP="008C089E">
      <w:pPr>
        <w:autoSpaceDE w:val="0"/>
        <w:autoSpaceDN w:val="0"/>
        <w:adjustRightInd w:val="0"/>
        <w:spacing w:line="240" w:lineRule="auto"/>
        <w:rPr>
          <w:color w:val="000000"/>
        </w:rPr>
      </w:pPr>
      <w:bookmarkStart w:id="7" w:name="_n3y89la85uqy" w:colFirst="0" w:colLast="0"/>
      <w:bookmarkEnd w:id="7"/>
      <w:r>
        <w:rPr>
          <w:color w:val="000000"/>
        </w:rPr>
        <w:t xml:space="preserve">We undertook a retrospective observational study of all clinical activity in Type 1 emergency departments (i.e. EDs that are open 24 hours a day and led by a Consultant in Emergency Medicine) in English NHS hospital trusts during the period 01 April 2018 to 31 March 2019. </w:t>
      </w:r>
      <w:r w:rsidRPr="00D90457">
        <w:t xml:space="preserve">Complete data </w:t>
      </w:r>
      <w:r>
        <w:t xml:space="preserve">on availability and type of </w:t>
      </w:r>
      <w:r w:rsidRPr="0084184E">
        <w:t xml:space="preserve">GPED </w:t>
      </w:r>
      <w:r>
        <w:t>service, derived from a national mapping survey,</w:t>
      </w:r>
      <w:r w:rsidR="00817077">
        <w:fldChar w:fldCharType="begin"/>
      </w:r>
      <w:r w:rsidR="00B329DB">
        <w:instrText xml:space="preserve"> ADDIN EN.CITE &lt;EndNote&gt;&lt;Cite&gt;&lt;Author&gt;Brant&lt;/Author&gt;&lt;Year&gt;2021&lt;/Year&gt;&lt;RecNum&gt;7&lt;/RecNum&gt;&lt;DisplayText&gt;&lt;style face="superscript"&gt;16&lt;/style&gt;&lt;/DisplayText&gt;&lt;record&gt;&lt;rec-number&gt;7&lt;/rec-number&gt;&lt;foreign-keys&gt;&lt;key app="EN" db-id="tx2rwd0f79w05yefa5xxsaadedtat0w9v5td" timestamp="1641816153"&gt;7&lt;/key&gt;&lt;/foreign-keys&gt;&lt;ref-type name="Journal Article"&gt;17&lt;/ref-type&gt;&lt;contributors&gt;&lt;authors&gt;&lt;author&gt;Brant, Heather&lt;/author&gt;&lt;author&gt;Voss, Sarah&lt;/author&gt;&lt;author&gt;Morton, Katherine&lt;/author&gt;&lt;author&gt;Cooper, Alison&lt;/author&gt;&lt;author&gt;Edwards, Michelle&lt;/author&gt;&lt;author&gt;Price, Delyth&lt;/author&gt;&lt;author&gt;Gaughan, James&lt;/author&gt;&lt;author&gt;Edwards, Adrian&lt;/author&gt;&lt;author&gt;Benger, Jonathan&lt;/author&gt;&lt;/authors&gt;&lt;/contributors&gt;&lt;titles&gt;&lt;title&gt;Current provision of general practitioner services  in or alongside emergency departments in England&lt;/title&gt;&lt;secondary-title&gt;Emergency Medicine Journal&lt;/secondary-title&gt;&lt;/titles&gt;&lt;periodical&gt;&lt;full-title&gt;Emergency Medicine Journal&lt;/full-title&gt;&lt;/periodical&gt;&lt;pages&gt;4&lt;/pages&gt;&lt;volume&gt;38&lt;/volume&gt;&lt;section&gt;780&lt;/section&gt;&lt;dates&gt;&lt;year&gt;2021&lt;/year&gt;&lt;/dates&gt;&lt;work-type&gt;Short report&lt;/work-type&gt;&lt;urls&gt;&lt;/urls&gt;&lt;electronic-resource-num&gt;10.1136/emermed-2020-210539&lt;/electronic-resource-num&gt;&lt;/record&gt;&lt;/Cite&gt;&lt;/EndNote&gt;</w:instrText>
      </w:r>
      <w:r w:rsidR="00817077">
        <w:fldChar w:fldCharType="separate"/>
      </w:r>
      <w:r w:rsidR="00B329DB" w:rsidRPr="00B329DB">
        <w:rPr>
          <w:noProof/>
          <w:vertAlign w:val="superscript"/>
        </w:rPr>
        <w:t>16</w:t>
      </w:r>
      <w:r w:rsidR="00817077">
        <w:fldChar w:fldCharType="end"/>
      </w:r>
      <w:r>
        <w:t xml:space="preserve"> were </w:t>
      </w:r>
      <w:r w:rsidRPr="00D90457">
        <w:t>available for 40</w:t>
      </w:r>
      <w:r>
        <w:t xml:space="preserve"> of England’s </w:t>
      </w:r>
      <w:r w:rsidR="003503DB">
        <w:t xml:space="preserve">137 </w:t>
      </w:r>
      <w:r>
        <w:t>Type 1 emergency departments</w:t>
      </w:r>
      <w:r>
        <w:rPr>
          <w:color w:val="000000"/>
        </w:rPr>
        <w:t xml:space="preserve">. The unit of analysis was an individual ED attendance. </w:t>
      </w:r>
    </w:p>
    <w:p w14:paraId="3D65DC5A" w14:textId="768D454E" w:rsidR="00882F28" w:rsidRDefault="008C089E" w:rsidP="008C089E">
      <w:pPr>
        <w:pStyle w:val="Heading5"/>
        <w:keepNext w:val="0"/>
        <w:keepLines w:val="0"/>
        <w:spacing w:before="220" w:after="40"/>
        <w:rPr>
          <w:color w:val="000000"/>
          <w:sz w:val="20"/>
          <w:szCs w:val="20"/>
        </w:rPr>
      </w:pPr>
      <w:bookmarkStart w:id="8" w:name="_951fc253pydq" w:colFirst="0" w:colLast="0"/>
      <w:bookmarkEnd w:id="8"/>
      <w:r>
        <w:rPr>
          <w:color w:val="000000"/>
          <w:sz w:val="20"/>
          <w:szCs w:val="20"/>
        </w:rPr>
        <w:t>The primary data source was the Hospital Episode Statistics Accident &amp; Emergency (HES A&amp;E) dataset</w:t>
      </w:r>
      <w:r w:rsidR="004C0766">
        <w:rPr>
          <w:color w:val="000000"/>
          <w:sz w:val="20"/>
          <w:szCs w:val="20"/>
        </w:rPr>
        <w:t>.</w:t>
      </w:r>
      <w:r w:rsidR="007D6AEB">
        <w:rPr>
          <w:color w:val="000000"/>
          <w:sz w:val="20"/>
          <w:szCs w:val="20"/>
        </w:rPr>
        <w:fldChar w:fldCharType="begin"/>
      </w:r>
      <w:r w:rsidR="00B329DB">
        <w:rPr>
          <w:color w:val="000000"/>
          <w:sz w:val="20"/>
          <w:szCs w:val="20"/>
        </w:rPr>
        <w:instrText xml:space="preserve"> ADDIN EN.CITE &lt;EndNote&gt;&lt;Cite&gt;&lt;Author&gt;NHS Digital&lt;/Author&gt;&lt;Year&gt;2022&lt;/Year&gt;&lt;RecNum&gt;5&lt;/RecNum&gt;&lt;DisplayText&gt;&lt;style face="superscript"&gt;17&lt;/style&gt;&lt;/DisplayText&gt;&lt;record&gt;&lt;rec-number&gt;5&lt;/rec-number&gt;&lt;foreign-keys&gt;&lt;key app="EN" db-id="tx2rwd0f79w05yefa5xxsaadedtat0w9v5td" timestamp="1641813209"&gt;5&lt;/key&gt;&lt;/foreign-keys&gt;&lt;ref-type name="Web Page"&gt;12&lt;/ref-type&gt;&lt;contributors&gt;&lt;authors&gt;&lt;author&gt;NHS Digital,&lt;/author&gt;&lt;/authors&gt;&lt;/contributors&gt;&lt;titles&gt;&lt;title&gt;Hospital Episode Statistics (HES)&lt;/title&gt;&lt;/titles&gt;&lt;volume&gt;2022&lt;/volume&gt;&lt;number&gt;10.01.2022&lt;/number&gt;&lt;dates&gt;&lt;year&gt;2022&lt;/year&gt;&lt;pub-dates&gt;&lt;date&gt;05.01.2022&lt;/date&gt;&lt;/pub-dates&gt;&lt;/dates&gt;&lt;urls&gt;&lt;related-urls&gt;&lt;url&gt;https://digital.nhs.uk/data-and-information/data-tools-and-services/data-services/hospital-episode-statistics&lt;/url&gt;&lt;/related-urls&gt;&lt;/urls&gt;&lt;/record&gt;&lt;/Cite&gt;&lt;/EndNote&gt;</w:instrText>
      </w:r>
      <w:r w:rsidR="007D6AEB">
        <w:rPr>
          <w:color w:val="000000"/>
          <w:sz w:val="20"/>
          <w:szCs w:val="20"/>
        </w:rPr>
        <w:fldChar w:fldCharType="separate"/>
      </w:r>
      <w:r w:rsidR="00B329DB" w:rsidRPr="00B329DB">
        <w:rPr>
          <w:noProof/>
          <w:color w:val="000000"/>
          <w:sz w:val="20"/>
          <w:szCs w:val="20"/>
          <w:vertAlign w:val="superscript"/>
        </w:rPr>
        <w:t>17</w:t>
      </w:r>
      <w:r w:rsidR="007D6AEB">
        <w:rPr>
          <w:color w:val="000000"/>
          <w:sz w:val="20"/>
          <w:szCs w:val="20"/>
        </w:rPr>
        <w:fldChar w:fldCharType="end"/>
      </w:r>
      <w:r w:rsidR="004C0766">
        <w:rPr>
          <w:color w:val="000000"/>
          <w:sz w:val="20"/>
          <w:szCs w:val="20"/>
        </w:rPr>
        <w:t xml:space="preserve"> HES A&amp;E is</w:t>
      </w:r>
      <w:r>
        <w:rPr>
          <w:color w:val="000000"/>
          <w:sz w:val="20"/>
          <w:szCs w:val="20"/>
        </w:rPr>
        <w:t xml:space="preserve"> </w:t>
      </w:r>
      <w:r w:rsidR="00F75462">
        <w:rPr>
          <w:color w:val="000000"/>
          <w:sz w:val="20"/>
          <w:szCs w:val="20"/>
        </w:rPr>
        <w:t>an</w:t>
      </w:r>
      <w:r w:rsidR="004C0766">
        <w:rPr>
          <w:color w:val="000000"/>
          <w:sz w:val="20"/>
          <w:szCs w:val="20"/>
        </w:rPr>
        <w:t xml:space="preserve"> administrative </w:t>
      </w:r>
      <w:r w:rsidR="00F75462">
        <w:rPr>
          <w:color w:val="000000"/>
          <w:sz w:val="20"/>
          <w:szCs w:val="20"/>
        </w:rPr>
        <w:t xml:space="preserve">dataset which </w:t>
      </w:r>
      <w:r w:rsidR="004C0766">
        <w:rPr>
          <w:color w:val="000000"/>
          <w:sz w:val="20"/>
          <w:szCs w:val="20"/>
        </w:rPr>
        <w:t>reports information about all attendances to all hospital emergency departments in England</w:t>
      </w:r>
      <w:r w:rsidR="00897E57">
        <w:rPr>
          <w:color w:val="000000"/>
          <w:sz w:val="20"/>
          <w:szCs w:val="20"/>
        </w:rPr>
        <w:t xml:space="preserve"> and forms the basis for hospital reimbursement</w:t>
      </w:r>
      <w:r w:rsidR="004C0766">
        <w:rPr>
          <w:color w:val="000000"/>
          <w:sz w:val="20"/>
          <w:szCs w:val="20"/>
        </w:rPr>
        <w:t xml:space="preserve">. The dataset </w:t>
      </w:r>
      <w:r>
        <w:rPr>
          <w:color w:val="000000"/>
          <w:sz w:val="20"/>
          <w:szCs w:val="20"/>
        </w:rPr>
        <w:t>provides information on patients’ socio-demographic characteristics (age</w:t>
      </w:r>
      <w:r w:rsidR="004C0766">
        <w:rPr>
          <w:color w:val="000000"/>
          <w:sz w:val="20"/>
          <w:szCs w:val="20"/>
        </w:rPr>
        <w:t xml:space="preserve"> (in years)</w:t>
      </w:r>
      <w:r>
        <w:rPr>
          <w:color w:val="000000"/>
          <w:sz w:val="20"/>
          <w:szCs w:val="20"/>
        </w:rPr>
        <w:t>, sex, and local area deprivation profile</w:t>
      </w:r>
      <w:r w:rsidR="001A078C">
        <w:rPr>
          <w:color w:val="000000"/>
          <w:sz w:val="20"/>
          <w:szCs w:val="20"/>
        </w:rPr>
        <w:t xml:space="preserve"> based on </w:t>
      </w:r>
      <w:r w:rsidR="00882F28">
        <w:rPr>
          <w:color w:val="000000"/>
          <w:sz w:val="20"/>
          <w:szCs w:val="20"/>
        </w:rPr>
        <w:t>the Index of Multiple Deprivation 2019</w:t>
      </w:r>
      <w:r w:rsidR="00882F28">
        <w:rPr>
          <w:color w:val="000000"/>
          <w:sz w:val="20"/>
          <w:szCs w:val="20"/>
        </w:rPr>
        <w:fldChar w:fldCharType="begin"/>
      </w:r>
      <w:r w:rsidR="00B329DB">
        <w:rPr>
          <w:color w:val="000000"/>
          <w:sz w:val="20"/>
          <w:szCs w:val="20"/>
        </w:rPr>
        <w:instrText xml:space="preserve"> ADDIN EN.CITE &lt;EndNote&gt;&lt;Cite&gt;&lt;Author&gt;Noble&lt;/Author&gt;&lt;Year&gt;2019&lt;/Year&gt;&lt;RecNum&gt;73&lt;/RecNum&gt;&lt;DisplayText&gt;&lt;style face="superscript"&gt;18&lt;/style&gt;&lt;/DisplayText&gt;&lt;record&gt;&lt;rec-number&gt;73&lt;/rec-number&gt;&lt;foreign-keys&gt;&lt;key app="EN" db-id="sfr0220a8twa9beessuxv2p3sx9dprww0taa" timestamp="1632747749"&gt;73&lt;/key&gt;&lt;/foreign-keys&gt;&lt;ref-type name="Government Document"&gt;46&lt;/ref-type&gt;&lt;contributors&gt;&lt;authors&gt;&lt;author&gt;Noble, S&lt;/author&gt;&lt;author&gt;David McLennan&lt;/author&gt;&lt;author&gt;Noble, M&lt;/author&gt;&lt;author&gt;Plunkett, E&lt;/author&gt;&lt;author&gt;Gutacker, N&lt;/author&gt;&lt;author&gt;Silk, M&lt;/author&gt;&lt;author&gt;Wright, G.&lt;/author&gt;&lt;/authors&gt;&lt;secondary-authors&gt;&lt;author&gt;Ministry of Housing, Communities &amp;amp; Local Government&lt;/author&gt;&lt;/secondary-authors&gt;&lt;/contributors&gt;&lt;titles&gt;&lt;title&gt;The English Indices of Deprivation 2019&lt;/title&gt;&lt;/titles&gt;&lt;dates&gt;&lt;year&gt;2019&lt;/year&gt;&lt;/dates&gt;&lt;pub-location&gt;London&lt;/pub-location&gt;&lt;urls&gt;&lt;/urls&gt;&lt;/record&gt;&lt;/Cite&gt;&lt;/EndNote&gt;</w:instrText>
      </w:r>
      <w:r w:rsidR="00882F28">
        <w:rPr>
          <w:color w:val="000000"/>
          <w:sz w:val="20"/>
          <w:szCs w:val="20"/>
        </w:rPr>
        <w:fldChar w:fldCharType="separate"/>
      </w:r>
      <w:r w:rsidR="00B329DB" w:rsidRPr="00B329DB">
        <w:rPr>
          <w:noProof/>
          <w:color w:val="000000"/>
          <w:sz w:val="20"/>
          <w:szCs w:val="20"/>
          <w:vertAlign w:val="superscript"/>
        </w:rPr>
        <w:t>18</w:t>
      </w:r>
      <w:r w:rsidR="00882F28">
        <w:rPr>
          <w:color w:val="000000"/>
          <w:sz w:val="20"/>
          <w:szCs w:val="20"/>
        </w:rPr>
        <w:fldChar w:fldCharType="end"/>
      </w:r>
      <w:r>
        <w:rPr>
          <w:color w:val="000000"/>
          <w:sz w:val="20"/>
          <w:szCs w:val="20"/>
        </w:rPr>
        <w:t>)</w:t>
      </w:r>
      <w:r w:rsidR="004C0766">
        <w:rPr>
          <w:color w:val="000000"/>
          <w:sz w:val="20"/>
          <w:szCs w:val="20"/>
        </w:rPr>
        <w:t>.</w:t>
      </w:r>
      <w:r w:rsidR="001E6C3D">
        <w:rPr>
          <w:color w:val="000000"/>
          <w:sz w:val="20"/>
          <w:szCs w:val="20"/>
        </w:rPr>
        <w:t xml:space="preserve"> There were </w:t>
      </w:r>
      <w:r w:rsidR="00A5322B">
        <w:rPr>
          <w:color w:val="000000"/>
          <w:sz w:val="20"/>
          <w:szCs w:val="20"/>
        </w:rPr>
        <w:t xml:space="preserve">4,610,364 attendances to </w:t>
      </w:r>
      <w:r w:rsidR="001A078C">
        <w:rPr>
          <w:color w:val="000000"/>
          <w:sz w:val="20"/>
          <w:szCs w:val="20"/>
        </w:rPr>
        <w:t>the 40</w:t>
      </w:r>
      <w:r w:rsidR="00A5322B">
        <w:rPr>
          <w:color w:val="000000"/>
          <w:sz w:val="20"/>
          <w:szCs w:val="20"/>
        </w:rPr>
        <w:t xml:space="preserve"> ED</w:t>
      </w:r>
      <w:r w:rsidR="001A078C">
        <w:rPr>
          <w:color w:val="000000"/>
          <w:sz w:val="20"/>
          <w:szCs w:val="20"/>
        </w:rPr>
        <w:t>s</w:t>
      </w:r>
      <w:r w:rsidR="00A5322B">
        <w:rPr>
          <w:color w:val="000000"/>
          <w:sz w:val="20"/>
          <w:szCs w:val="20"/>
        </w:rPr>
        <w:t xml:space="preserve"> for which we observed GPED availability times. Of these, </w:t>
      </w:r>
      <w:r w:rsidR="001A078C">
        <w:rPr>
          <w:color w:val="000000"/>
          <w:sz w:val="20"/>
          <w:szCs w:val="20"/>
        </w:rPr>
        <w:t xml:space="preserve">we </w:t>
      </w:r>
      <w:r w:rsidR="00A5322B">
        <w:rPr>
          <w:color w:val="000000"/>
          <w:sz w:val="20"/>
          <w:szCs w:val="20"/>
        </w:rPr>
        <w:t>exclud</w:t>
      </w:r>
      <w:r w:rsidR="001A078C">
        <w:rPr>
          <w:color w:val="000000"/>
          <w:sz w:val="20"/>
          <w:szCs w:val="20"/>
        </w:rPr>
        <w:t>ed</w:t>
      </w:r>
      <w:r w:rsidR="00A5322B">
        <w:rPr>
          <w:color w:val="000000"/>
          <w:sz w:val="20"/>
          <w:szCs w:val="20"/>
        </w:rPr>
        <w:t xml:space="preserve"> 116,316 (2.5%) observations with missing deprivation score due to unknown patient place of residence; 333 (0.01%) observations with missing sex; and 52,366 (1.14%) observations with missing age. This left a main sample of 4,441,349 observations.</w:t>
      </w:r>
      <w:r>
        <w:rPr>
          <w:color w:val="000000"/>
          <w:sz w:val="20"/>
          <w:szCs w:val="20"/>
        </w:rPr>
        <w:t xml:space="preserve"> </w:t>
      </w:r>
      <w:r w:rsidR="004C0766">
        <w:rPr>
          <w:color w:val="000000"/>
          <w:sz w:val="20"/>
          <w:szCs w:val="20"/>
        </w:rPr>
        <w:t>T</w:t>
      </w:r>
      <w:r>
        <w:rPr>
          <w:color w:val="000000"/>
          <w:sz w:val="20"/>
          <w:szCs w:val="20"/>
        </w:rPr>
        <w:t xml:space="preserve">he timing of </w:t>
      </w:r>
      <w:r w:rsidR="006829E1">
        <w:rPr>
          <w:color w:val="000000"/>
          <w:sz w:val="20"/>
          <w:szCs w:val="20"/>
        </w:rPr>
        <w:t>patient</w:t>
      </w:r>
      <w:r>
        <w:rPr>
          <w:color w:val="000000"/>
          <w:sz w:val="20"/>
          <w:szCs w:val="20"/>
        </w:rPr>
        <w:t xml:space="preserve"> attendance and discharge from ED (recorded as date, hour and minute) and the discharge destination</w:t>
      </w:r>
      <w:r w:rsidR="004C0766">
        <w:rPr>
          <w:color w:val="000000"/>
          <w:sz w:val="20"/>
          <w:szCs w:val="20"/>
        </w:rPr>
        <w:t xml:space="preserve"> are also included within the dataset</w:t>
      </w:r>
      <w:r>
        <w:rPr>
          <w:color w:val="000000"/>
          <w:sz w:val="20"/>
          <w:szCs w:val="20"/>
        </w:rPr>
        <w:t>.</w:t>
      </w:r>
      <w:r w:rsidR="004C0766">
        <w:rPr>
          <w:color w:val="000000"/>
          <w:sz w:val="20"/>
          <w:szCs w:val="20"/>
        </w:rPr>
        <w:t xml:space="preserve"> Full technical details of variables within the HES dataset can be found at (</w:t>
      </w:r>
      <w:hyperlink r:id="rId6" w:history="1">
        <w:r w:rsidR="001E6C3D" w:rsidRPr="00C40BDC">
          <w:rPr>
            <w:rStyle w:val="Hyperlink"/>
            <w:sz w:val="20"/>
            <w:szCs w:val="20"/>
          </w:rPr>
          <w:t>https://digital.nhs.uk/data-and-information/data-tools-and-services/data-services/hospital-episode-statistics/hospital-episode-statistics-data-dictionary</w:t>
        </w:r>
      </w:hyperlink>
      <w:r w:rsidR="001E6C3D">
        <w:rPr>
          <w:color w:val="000000"/>
          <w:sz w:val="20"/>
          <w:szCs w:val="20"/>
        </w:rPr>
        <w:t>)</w:t>
      </w:r>
      <w:r w:rsidR="005E1B71">
        <w:rPr>
          <w:color w:val="000000"/>
          <w:sz w:val="20"/>
          <w:szCs w:val="20"/>
        </w:rPr>
        <w:t>.</w:t>
      </w:r>
      <w:r>
        <w:rPr>
          <w:color w:val="000000"/>
          <w:sz w:val="20"/>
          <w:szCs w:val="20"/>
        </w:rPr>
        <w:t xml:space="preserve"> </w:t>
      </w:r>
    </w:p>
    <w:p w14:paraId="74225404" w14:textId="2A3FF43D" w:rsidR="008C089E" w:rsidRDefault="008C089E" w:rsidP="008C089E">
      <w:pPr>
        <w:pStyle w:val="Heading5"/>
        <w:keepNext w:val="0"/>
        <w:keepLines w:val="0"/>
        <w:spacing w:before="220" w:after="40"/>
        <w:rPr>
          <w:color w:val="000000"/>
          <w:sz w:val="20"/>
          <w:szCs w:val="20"/>
        </w:rPr>
      </w:pPr>
      <w:r>
        <w:rPr>
          <w:color w:val="000000"/>
          <w:sz w:val="20"/>
          <w:szCs w:val="20"/>
        </w:rPr>
        <w:t>Information on the date of death for deceased patients was provided by the Office for National Statistics</w:t>
      </w:r>
      <w:r w:rsidR="007D6AEB">
        <w:rPr>
          <w:color w:val="000000"/>
          <w:sz w:val="20"/>
          <w:szCs w:val="20"/>
        </w:rPr>
        <w:t xml:space="preserve"> and linked to HES A&amp;E by NHS Digital</w:t>
      </w:r>
      <w:r>
        <w:rPr>
          <w:color w:val="000000"/>
          <w:sz w:val="20"/>
          <w:szCs w:val="20"/>
        </w:rPr>
        <w:t>.</w:t>
      </w:r>
      <w:r w:rsidR="007D6AEB">
        <w:rPr>
          <w:color w:val="000000"/>
          <w:sz w:val="20"/>
          <w:szCs w:val="20"/>
        </w:rPr>
        <w:fldChar w:fldCharType="begin"/>
      </w:r>
      <w:r w:rsidR="00B329DB">
        <w:rPr>
          <w:color w:val="000000"/>
          <w:sz w:val="20"/>
          <w:szCs w:val="20"/>
        </w:rPr>
        <w:instrText xml:space="preserve"> ADDIN EN.CITE &lt;EndNote&gt;&lt;Cite&gt;&lt;Author&gt;NHS Digital&lt;/Author&gt;&lt;Year&gt;2020&lt;/Year&gt;&lt;RecNum&gt;6&lt;/RecNum&gt;&lt;DisplayText&gt;&lt;style face="superscript"&gt;19&lt;/style&gt;&lt;/DisplayText&gt;&lt;record&gt;&lt;rec-number&gt;6&lt;/rec-number&gt;&lt;foreign-keys&gt;&lt;key app="EN" db-id="tx2rwd0f79w05yefa5xxsaadedtat0w9v5td" timestamp="1641814391"&gt;6&lt;/key&gt;&lt;/foreign-keys&gt;&lt;ref-type name="Web Page"&gt;12&lt;/ref-type&gt;&lt;contributors&gt;&lt;authors&gt;&lt;author&gt;NHS Digital,&lt;/author&gt;&lt;/authors&gt;&lt;/contributors&gt;&lt;titles&gt;&lt;title&gt;Linked HES-ONS  mortality data&lt;/title&gt;&lt;/titles&gt;&lt;volume&gt;2022&lt;/volume&gt;&lt;number&gt;10.01.2022&lt;/number&gt;&lt;dates&gt;&lt;year&gt;2020&lt;/year&gt;&lt;pub-dates&gt;&lt;date&gt;15.01.2020&lt;/date&gt;&lt;/pub-dates&gt;&lt;/dates&gt;&lt;urls&gt;&lt;related-urls&gt;&lt;url&gt;https://digital.nhs.uk/data-and-information/data-tools-and-services/data-services/linked-hes-ons-mortality-data&lt;/url&gt;&lt;/related-urls&gt;&lt;/urls&gt;&lt;/record&gt;&lt;/Cite&gt;&lt;/EndNote&gt;</w:instrText>
      </w:r>
      <w:r w:rsidR="007D6AEB">
        <w:rPr>
          <w:color w:val="000000"/>
          <w:sz w:val="20"/>
          <w:szCs w:val="20"/>
        </w:rPr>
        <w:fldChar w:fldCharType="separate"/>
      </w:r>
      <w:r w:rsidR="00B329DB" w:rsidRPr="00B329DB">
        <w:rPr>
          <w:noProof/>
          <w:color w:val="000000"/>
          <w:sz w:val="20"/>
          <w:szCs w:val="20"/>
          <w:vertAlign w:val="superscript"/>
        </w:rPr>
        <w:t>19</w:t>
      </w:r>
      <w:r w:rsidR="007D6AEB">
        <w:rPr>
          <w:color w:val="000000"/>
          <w:sz w:val="20"/>
          <w:szCs w:val="20"/>
        </w:rPr>
        <w:fldChar w:fldCharType="end"/>
      </w:r>
      <w:r>
        <w:rPr>
          <w:color w:val="000000"/>
          <w:sz w:val="20"/>
          <w:szCs w:val="20"/>
        </w:rPr>
        <w:t xml:space="preserve"> </w:t>
      </w:r>
    </w:p>
    <w:p w14:paraId="63FE1F14" w14:textId="77777777" w:rsidR="008C089E" w:rsidRDefault="008C089E" w:rsidP="008C089E"/>
    <w:p w14:paraId="26FB2566" w14:textId="1A46E934" w:rsidR="008C089E" w:rsidRDefault="008C089E" w:rsidP="008C089E">
      <w:r>
        <w:t>HES A&amp;E data do not identify the treating healthcare professional and it was therefore not possible to ascertain whether a patient was seen by a GP or another member of staff. Hospital-reported GPED opening hours were used instead to assign ED attendances to treatment and control groups based on the potential exposure to GPED services at the patient’s time of arrival to the ED. Data on opening and closing hours of GPED services for individual hospitals by day of the week were obtained via the mapping survey.</w:t>
      </w:r>
      <w:r w:rsidR="00817077">
        <w:fldChar w:fldCharType="begin"/>
      </w:r>
      <w:r w:rsidR="00B329DB">
        <w:instrText xml:space="preserve"> ADDIN EN.CITE &lt;EndNote&gt;&lt;Cite&gt;&lt;Author&gt;Brant&lt;/Author&gt;&lt;Year&gt;2021&lt;/Year&gt;&lt;RecNum&gt;7&lt;/RecNum&gt;&lt;DisplayText&gt;&lt;style face="superscript"&gt;16&lt;/style&gt;&lt;/DisplayText&gt;&lt;record&gt;&lt;rec-number&gt;7&lt;/rec-number&gt;&lt;foreign-keys&gt;&lt;key app="EN" db-id="tx2rwd0f79w05yefa5xxsaadedtat0w9v5td" timestamp="1641816153"&gt;7&lt;/key&gt;&lt;/foreign-keys&gt;&lt;ref-type name="Journal Article"&gt;17&lt;/ref-type&gt;&lt;contributors&gt;&lt;authors&gt;&lt;author&gt;Brant, Heather&lt;/author&gt;&lt;author&gt;Voss, Sarah&lt;/author&gt;&lt;author&gt;Morton, Katherine&lt;/author&gt;&lt;author&gt;Cooper, Alison&lt;/author&gt;&lt;author&gt;Edwards, Michelle&lt;/author&gt;&lt;author&gt;Price, Delyth&lt;/author&gt;&lt;author&gt;Gaughan, James&lt;/author&gt;&lt;author&gt;Edwards, Adrian&lt;/author&gt;&lt;author&gt;Benger, Jonathan&lt;/author&gt;&lt;/authors&gt;&lt;/contributors&gt;&lt;titles&gt;&lt;title&gt;Current provision of general practitioner services  in or alongside emergency departments in England&lt;/title&gt;&lt;secondary-title&gt;Emergency Medicine Journal&lt;/secondary-title&gt;&lt;/titles&gt;&lt;periodical&gt;&lt;full-title&gt;Emergency Medicine Journal&lt;/full-title&gt;&lt;/periodical&gt;&lt;pages&gt;4&lt;/pages&gt;&lt;volume&gt;38&lt;/volume&gt;&lt;section&gt;780&lt;/section&gt;&lt;dates&gt;&lt;year&gt;2021&lt;/year&gt;&lt;/dates&gt;&lt;work-type&gt;Short report&lt;/work-type&gt;&lt;urls&gt;&lt;/urls&gt;&lt;electronic-resource-num&gt;10.1136/emermed-2020-210539&lt;/electronic-resource-num&gt;&lt;/record&gt;&lt;/Cite&gt;&lt;/EndNote&gt;</w:instrText>
      </w:r>
      <w:r w:rsidR="00817077">
        <w:fldChar w:fldCharType="separate"/>
      </w:r>
      <w:r w:rsidR="00B329DB" w:rsidRPr="00B329DB">
        <w:rPr>
          <w:noProof/>
          <w:vertAlign w:val="superscript"/>
        </w:rPr>
        <w:t>16</w:t>
      </w:r>
      <w:r w:rsidR="00817077">
        <w:fldChar w:fldCharType="end"/>
      </w:r>
      <w:r>
        <w:t xml:space="preserve"> EDs were also asked to identify their local model of GPED service, which was pre-specified to be either: </w:t>
      </w:r>
      <w:proofErr w:type="spellStart"/>
      <w:r>
        <w:t>i</w:t>
      </w:r>
      <w:proofErr w:type="spellEnd"/>
      <w:r>
        <w:t>) integrated, with the GP working as part of the ED team; ii) parallel, where the GP service is separate from but located adjacent to the ED; or iii) off site, with the GP service provided at a separate site on the same hospital campus. Only hospital EDs that provided complete data as part of this national survey were included in the analyses.</w:t>
      </w:r>
    </w:p>
    <w:p w14:paraId="0BD67973" w14:textId="5BA35AF1" w:rsidR="008C089E" w:rsidRDefault="008C089E" w:rsidP="008C089E">
      <w:pPr>
        <w:pStyle w:val="Heading2"/>
        <w:keepNext w:val="0"/>
        <w:keepLines w:val="0"/>
        <w:spacing w:before="240" w:after="40"/>
      </w:pPr>
      <w:bookmarkStart w:id="9" w:name="_ycftf0gwqb8r" w:colFirst="0" w:colLast="0"/>
      <w:bookmarkEnd w:id="9"/>
      <w:r>
        <w:t>Outcome measures</w:t>
      </w:r>
    </w:p>
    <w:p w14:paraId="3DFDD784" w14:textId="088EC1D8" w:rsidR="008C089E" w:rsidRDefault="008C089E" w:rsidP="008C089E">
      <w:pPr>
        <w:spacing w:before="240" w:after="240"/>
      </w:pPr>
      <w:r>
        <w:t>We investigated the impact of GPED on a range of different measures of ED performance and patient outcomes (</w:t>
      </w:r>
      <w:r>
        <w:rPr>
          <w:i/>
        </w:rPr>
        <w:t>Table 1</w:t>
      </w:r>
      <w:r>
        <w:t>). All outcome measures were defined at individual patient level except volume of activity, which is measured at ED</w:t>
      </w:r>
      <w:r w:rsidR="006829E1">
        <w:t>-</w:t>
      </w:r>
      <w:r w:rsidR="00E52968">
        <w:t>hour-</w:t>
      </w:r>
      <w:r w:rsidR="006829E1">
        <w:t>day</w:t>
      </w:r>
      <w:r>
        <w:t xml:space="preserve"> level. Outcomes could not be calculated for all attendances due to missing information recorded in the HES dataset. For example, discharge destination was not recorded for 14% of patients so that outcomes 3 (‘Untreated’) and </w:t>
      </w:r>
      <w:r w:rsidR="00C62098">
        <w:t>5</w:t>
      </w:r>
      <w:r>
        <w:t xml:space="preserve"> (‘Admitted to ward’) could not be calculated for these patients.</w:t>
      </w:r>
      <w:r w:rsidR="00F75462">
        <w:t xml:space="preserve"> </w:t>
      </w:r>
      <w:r w:rsidR="00655295">
        <w:t>For outcomes 4 (‘Non-urgent attendance’)</w:t>
      </w:r>
      <w:r w:rsidR="00F75462">
        <w:t xml:space="preserve"> </w:t>
      </w:r>
      <w:r w:rsidR="00655295">
        <w:t xml:space="preserve">and </w:t>
      </w:r>
      <w:r w:rsidR="009B16BA">
        <w:t>6</w:t>
      </w:r>
      <w:r w:rsidR="00655295">
        <w:t xml:space="preserve"> (’30-day mortality’) missingness could not be ascertained because</w:t>
      </w:r>
      <w:r w:rsidR="009B16BA">
        <w:t xml:space="preserve"> </w:t>
      </w:r>
      <w:r w:rsidR="00F75462">
        <w:t xml:space="preserve">Information about the </w:t>
      </w:r>
      <w:r w:rsidR="00655295">
        <w:t>outcome is defined as the presence of some recorded information. If this information is absent</w:t>
      </w:r>
      <w:r w:rsidR="009B16BA">
        <w:t>,</w:t>
      </w:r>
      <w:r w:rsidR="00655295">
        <w:t xml:space="preserve"> it was assumed that the outcome had not occurred.</w:t>
      </w:r>
      <w:r w:rsidR="00C62098">
        <w:t xml:space="preserve"> Finally, attendances occurring within the final 7 (30) days of the study period were not included when analysing unplanned reattendances (30-day mortality) as re-attendance or death might have occurred within the relevant time-frame but outside the study period. </w:t>
      </w:r>
      <w:r w:rsidR="00655295">
        <w:t xml:space="preserve"> </w:t>
      </w:r>
      <w:r w:rsidR="00F75462">
        <w:t xml:space="preserve">Information about the specific </w:t>
      </w:r>
      <w:r w:rsidR="00882F28">
        <w:t>HES A&amp;E</w:t>
      </w:r>
      <w:r w:rsidR="00F75462">
        <w:t xml:space="preserve"> variables</w:t>
      </w:r>
      <w:r w:rsidR="00882F28">
        <w:t xml:space="preserve">, the </w:t>
      </w:r>
      <w:r w:rsidR="00F75462">
        <w:t>values used to identify each outcome</w:t>
      </w:r>
      <w:r w:rsidR="00882F28">
        <w:t>,</w:t>
      </w:r>
      <w:r w:rsidR="00F75462">
        <w:t xml:space="preserve"> </w:t>
      </w:r>
      <w:r w:rsidR="00882F28">
        <w:t>and</w:t>
      </w:r>
      <w:r w:rsidR="00F75462">
        <w:t xml:space="preserve"> </w:t>
      </w:r>
      <w:r w:rsidR="00882F28">
        <w:t xml:space="preserve">the </w:t>
      </w:r>
      <w:r w:rsidR="00F75462">
        <w:t>reasons for missingness in each outcome measure</w:t>
      </w:r>
      <w:r w:rsidR="009B16BA">
        <w:t>,</w:t>
      </w:r>
      <w:r w:rsidR="00F75462">
        <w:t xml:space="preserve"> are presented in Appendix A.</w:t>
      </w:r>
      <w:r>
        <w:t xml:space="preserve"> Observations with missing outcome information were only excluded from the statistical analysis of the relevant outcome. </w:t>
      </w:r>
    </w:p>
    <w:p w14:paraId="75BAB130" w14:textId="77777777" w:rsidR="00D276D1" w:rsidRDefault="00D276D1" w:rsidP="008C089E">
      <w:pPr>
        <w:spacing w:before="240" w:after="240"/>
        <w:sectPr w:rsidR="00D276D1">
          <w:pgSz w:w="11909" w:h="16834"/>
          <w:pgMar w:top="1440" w:right="1440" w:bottom="1440" w:left="1440" w:header="720" w:footer="720" w:gutter="0"/>
          <w:pgNumType w:start="1"/>
          <w:cols w:space="720"/>
        </w:sectPr>
      </w:pPr>
    </w:p>
    <w:p w14:paraId="328A8078" w14:textId="066F451A" w:rsidR="00D276D1" w:rsidRDefault="00D276D1" w:rsidP="008C089E">
      <w:pPr>
        <w:spacing w:before="240" w:after="240"/>
      </w:pPr>
    </w:p>
    <w:p w14:paraId="4E41B945" w14:textId="77777777" w:rsidR="008C089E" w:rsidRDefault="008C089E" w:rsidP="008C089E">
      <w:pPr>
        <w:spacing w:before="240" w:after="240"/>
        <w:rPr>
          <w:sz w:val="24"/>
          <w:szCs w:val="24"/>
        </w:rPr>
      </w:pPr>
      <w:r>
        <w:rPr>
          <w:sz w:val="24"/>
          <w:szCs w:val="24"/>
        </w:rPr>
        <w:t>Table 1: Outcome measures and summary statistics for all EDs in England and those included in the analysis.</w:t>
      </w:r>
    </w:p>
    <w:tbl>
      <w:tblPr>
        <w:tblStyle w:val="TableGrid"/>
        <w:tblW w:w="14454" w:type="dxa"/>
        <w:tblLayout w:type="fixed"/>
        <w:tblLook w:val="0600" w:firstRow="0" w:lastRow="0" w:firstColumn="0" w:lastColumn="0" w:noHBand="1" w:noVBand="1"/>
      </w:tblPr>
      <w:tblGrid>
        <w:gridCol w:w="422"/>
        <w:gridCol w:w="1416"/>
        <w:gridCol w:w="3969"/>
        <w:gridCol w:w="1276"/>
        <w:gridCol w:w="1559"/>
        <w:gridCol w:w="1418"/>
        <w:gridCol w:w="1559"/>
        <w:gridCol w:w="1417"/>
        <w:gridCol w:w="1418"/>
      </w:tblGrid>
      <w:tr w:rsidR="00341F8B" w14:paraId="5B3297AB" w14:textId="77777777" w:rsidTr="00C62098">
        <w:trPr>
          <w:trHeight w:val="459"/>
        </w:trPr>
        <w:tc>
          <w:tcPr>
            <w:tcW w:w="422" w:type="dxa"/>
            <w:vMerge w:val="restart"/>
          </w:tcPr>
          <w:p w14:paraId="4A6D6F7F" w14:textId="77777777" w:rsidR="00341F8B" w:rsidRDefault="00341F8B" w:rsidP="00163C04">
            <w:pPr>
              <w:jc w:val="center"/>
            </w:pPr>
            <w:r>
              <w:t>ID</w:t>
            </w:r>
          </w:p>
        </w:tc>
        <w:tc>
          <w:tcPr>
            <w:tcW w:w="1416" w:type="dxa"/>
            <w:vMerge w:val="restart"/>
          </w:tcPr>
          <w:p w14:paraId="635B3666" w14:textId="77777777" w:rsidR="00341F8B" w:rsidRDefault="00341F8B" w:rsidP="00163C04">
            <w:pPr>
              <w:jc w:val="center"/>
            </w:pPr>
            <w:r>
              <w:t>Outcome</w:t>
            </w:r>
          </w:p>
        </w:tc>
        <w:tc>
          <w:tcPr>
            <w:tcW w:w="3969" w:type="dxa"/>
            <w:vMerge w:val="restart"/>
          </w:tcPr>
          <w:p w14:paraId="3D42CA09" w14:textId="77777777" w:rsidR="00341F8B" w:rsidRDefault="00341F8B" w:rsidP="00163C04">
            <w:pPr>
              <w:jc w:val="center"/>
            </w:pPr>
            <w:r>
              <w:t>Definition</w:t>
            </w:r>
          </w:p>
        </w:tc>
        <w:tc>
          <w:tcPr>
            <w:tcW w:w="1276" w:type="dxa"/>
            <w:vMerge w:val="restart"/>
          </w:tcPr>
          <w:p w14:paraId="29108856" w14:textId="1599E13E" w:rsidR="00341F8B" w:rsidRDefault="002A3B88" w:rsidP="00163C04">
            <w:r>
              <w:t>Unit of analysis</w:t>
            </w:r>
          </w:p>
        </w:tc>
        <w:tc>
          <w:tcPr>
            <w:tcW w:w="2977" w:type="dxa"/>
            <w:gridSpan w:val="2"/>
          </w:tcPr>
          <w:p w14:paraId="581D4024" w14:textId="77777777" w:rsidR="00341F8B" w:rsidRDefault="00341F8B" w:rsidP="00163C04">
            <w:r>
              <w:t>Included EDs (n=40)</w:t>
            </w:r>
          </w:p>
          <w:p w14:paraId="7EE22EA8" w14:textId="5A7BC6F4" w:rsidR="00341F8B" w:rsidRDefault="00341F8B" w:rsidP="00163C04"/>
        </w:tc>
        <w:tc>
          <w:tcPr>
            <w:tcW w:w="2976" w:type="dxa"/>
            <w:gridSpan w:val="2"/>
          </w:tcPr>
          <w:p w14:paraId="799EDB01" w14:textId="2B4D03DC" w:rsidR="00341F8B" w:rsidRDefault="00341F8B" w:rsidP="00163C04">
            <w:pPr>
              <w:jc w:val="center"/>
            </w:pPr>
            <w:r>
              <w:t>Excluded EDs (n=97)</w:t>
            </w:r>
          </w:p>
        </w:tc>
        <w:tc>
          <w:tcPr>
            <w:tcW w:w="1418" w:type="dxa"/>
            <w:vMerge w:val="restart"/>
          </w:tcPr>
          <w:p w14:paraId="54D20AC1" w14:textId="77777777" w:rsidR="002A3B88" w:rsidRDefault="00341F8B" w:rsidP="00163C04">
            <w:pPr>
              <w:jc w:val="center"/>
            </w:pPr>
            <w:r>
              <w:t xml:space="preserve">Missing (%) (included </w:t>
            </w:r>
          </w:p>
          <w:p w14:paraId="2F368FAC" w14:textId="0A7565E0" w:rsidR="00341F8B" w:rsidRDefault="00341F8B" w:rsidP="00163C04">
            <w:pPr>
              <w:jc w:val="center"/>
            </w:pPr>
            <w:r>
              <w:t>EDs only)</w:t>
            </w:r>
          </w:p>
        </w:tc>
      </w:tr>
      <w:tr w:rsidR="006E749E" w14:paraId="3F0E83E6" w14:textId="77777777" w:rsidTr="00C62098">
        <w:trPr>
          <w:trHeight w:val="455"/>
        </w:trPr>
        <w:tc>
          <w:tcPr>
            <w:tcW w:w="422" w:type="dxa"/>
            <w:vMerge/>
          </w:tcPr>
          <w:p w14:paraId="3EF16153" w14:textId="77777777" w:rsidR="00341F8B" w:rsidRDefault="00341F8B" w:rsidP="00341F8B"/>
        </w:tc>
        <w:tc>
          <w:tcPr>
            <w:tcW w:w="1416" w:type="dxa"/>
            <w:vMerge/>
          </w:tcPr>
          <w:p w14:paraId="4D2F7DB3" w14:textId="77777777" w:rsidR="00341F8B" w:rsidRDefault="00341F8B" w:rsidP="00341F8B">
            <w:pPr>
              <w:widowControl w:val="0"/>
            </w:pPr>
          </w:p>
        </w:tc>
        <w:tc>
          <w:tcPr>
            <w:tcW w:w="3969" w:type="dxa"/>
            <w:vMerge/>
          </w:tcPr>
          <w:p w14:paraId="31F61FFC" w14:textId="77777777" w:rsidR="00341F8B" w:rsidRDefault="00341F8B" w:rsidP="00341F8B">
            <w:pPr>
              <w:widowControl w:val="0"/>
            </w:pPr>
          </w:p>
        </w:tc>
        <w:tc>
          <w:tcPr>
            <w:tcW w:w="1276" w:type="dxa"/>
            <w:vMerge/>
          </w:tcPr>
          <w:p w14:paraId="4A35C5DC" w14:textId="77777777" w:rsidR="00341F8B" w:rsidRDefault="00341F8B" w:rsidP="00341F8B"/>
        </w:tc>
        <w:tc>
          <w:tcPr>
            <w:tcW w:w="1559" w:type="dxa"/>
          </w:tcPr>
          <w:p w14:paraId="0BF4756C" w14:textId="1DB35BB1" w:rsidR="00341F8B" w:rsidRDefault="00341F8B" w:rsidP="00341F8B">
            <w:r>
              <w:t>Proportion of patients (%)</w:t>
            </w:r>
          </w:p>
        </w:tc>
        <w:tc>
          <w:tcPr>
            <w:tcW w:w="1418" w:type="dxa"/>
          </w:tcPr>
          <w:p w14:paraId="5548525F" w14:textId="67AF226E" w:rsidR="00341F8B" w:rsidRDefault="00341F8B" w:rsidP="006E749E">
            <w:r>
              <w:t>Obs</w:t>
            </w:r>
            <w:r w:rsidR="00D276D1">
              <w:t>ervations (</w:t>
            </w:r>
            <w:r>
              <w:t>millions</w:t>
            </w:r>
            <w:r w:rsidR="00D276D1">
              <w:t>)</w:t>
            </w:r>
          </w:p>
        </w:tc>
        <w:tc>
          <w:tcPr>
            <w:tcW w:w="1559" w:type="dxa"/>
          </w:tcPr>
          <w:p w14:paraId="3C49644F" w14:textId="3A1592C2" w:rsidR="00341F8B" w:rsidRDefault="00341F8B" w:rsidP="00341F8B">
            <w:r>
              <w:t>Proportion of patients (%)</w:t>
            </w:r>
          </w:p>
        </w:tc>
        <w:tc>
          <w:tcPr>
            <w:tcW w:w="1417" w:type="dxa"/>
          </w:tcPr>
          <w:p w14:paraId="0E71BC5B" w14:textId="1BF3E478" w:rsidR="00341F8B" w:rsidRDefault="00D276D1" w:rsidP="006E749E">
            <w:r>
              <w:t>Observations (m</w:t>
            </w:r>
            <w:r w:rsidR="002A3B88">
              <w:t>illions</w:t>
            </w:r>
            <w:r>
              <w:t>)</w:t>
            </w:r>
          </w:p>
        </w:tc>
        <w:tc>
          <w:tcPr>
            <w:tcW w:w="1418" w:type="dxa"/>
            <w:vMerge/>
          </w:tcPr>
          <w:p w14:paraId="669A0DC1" w14:textId="5E44BF74" w:rsidR="00341F8B" w:rsidRDefault="00341F8B" w:rsidP="00341F8B"/>
        </w:tc>
      </w:tr>
      <w:tr w:rsidR="00341F8B" w14:paraId="7623AB3C" w14:textId="77777777" w:rsidTr="00C62098">
        <w:trPr>
          <w:trHeight w:val="340"/>
        </w:trPr>
        <w:tc>
          <w:tcPr>
            <w:tcW w:w="14454" w:type="dxa"/>
            <w:gridSpan w:val="9"/>
          </w:tcPr>
          <w:p w14:paraId="2AE6DFC7" w14:textId="3C53A229" w:rsidR="00341F8B" w:rsidRDefault="00341F8B" w:rsidP="00341F8B">
            <w:pPr>
              <w:rPr>
                <w:b/>
                <w:i/>
              </w:rPr>
            </w:pPr>
            <w:r>
              <w:rPr>
                <w:b/>
                <w:i/>
              </w:rPr>
              <w:t>Patient flow and outcomes</w:t>
            </w:r>
          </w:p>
        </w:tc>
      </w:tr>
      <w:tr w:rsidR="006E749E" w14:paraId="5A604B80" w14:textId="77777777" w:rsidTr="00C62098">
        <w:trPr>
          <w:trHeight w:val="935"/>
        </w:trPr>
        <w:tc>
          <w:tcPr>
            <w:tcW w:w="422" w:type="dxa"/>
          </w:tcPr>
          <w:p w14:paraId="516D03BF" w14:textId="77777777" w:rsidR="00341F8B" w:rsidRDefault="00341F8B" w:rsidP="00341F8B">
            <w:r>
              <w:t>1</w:t>
            </w:r>
          </w:p>
        </w:tc>
        <w:tc>
          <w:tcPr>
            <w:tcW w:w="1416" w:type="dxa"/>
          </w:tcPr>
          <w:p w14:paraId="5E35A667" w14:textId="77777777" w:rsidR="00341F8B" w:rsidRDefault="00341F8B" w:rsidP="00341F8B">
            <w:r>
              <w:t>Wait over 4 hours</w:t>
            </w:r>
          </w:p>
        </w:tc>
        <w:tc>
          <w:tcPr>
            <w:tcW w:w="3969" w:type="dxa"/>
          </w:tcPr>
          <w:p w14:paraId="4B3DAC76" w14:textId="77777777" w:rsidR="00341F8B" w:rsidRDefault="00341F8B" w:rsidP="00341F8B">
            <w:pPr>
              <w:spacing w:after="120"/>
            </w:pPr>
            <w:r>
              <w:t>Time from admission to discharge was more than four hours.</w:t>
            </w:r>
          </w:p>
        </w:tc>
        <w:tc>
          <w:tcPr>
            <w:tcW w:w="1276" w:type="dxa"/>
          </w:tcPr>
          <w:p w14:paraId="180E0C0D" w14:textId="77777777" w:rsidR="00341F8B" w:rsidRDefault="00341F8B" w:rsidP="00341F8B">
            <w:r>
              <w:t>Patient</w:t>
            </w:r>
          </w:p>
        </w:tc>
        <w:tc>
          <w:tcPr>
            <w:tcW w:w="1559" w:type="dxa"/>
          </w:tcPr>
          <w:p w14:paraId="6DF118C0" w14:textId="093F4142" w:rsidR="00341F8B" w:rsidRDefault="00341F8B" w:rsidP="00341F8B">
            <w:r>
              <w:t>1</w:t>
            </w:r>
            <w:r w:rsidR="002A3B88">
              <w:t>6</w:t>
            </w:r>
            <w:r>
              <w:t>.</w:t>
            </w:r>
            <w:r w:rsidR="002A3B88">
              <w:t>49</w:t>
            </w:r>
          </w:p>
        </w:tc>
        <w:tc>
          <w:tcPr>
            <w:tcW w:w="1418" w:type="dxa"/>
          </w:tcPr>
          <w:p w14:paraId="676D6890" w14:textId="6866C4E5" w:rsidR="00341F8B" w:rsidRDefault="002A3B88" w:rsidP="00341F8B">
            <w:r>
              <w:t>4.4</w:t>
            </w:r>
          </w:p>
        </w:tc>
        <w:tc>
          <w:tcPr>
            <w:tcW w:w="1559" w:type="dxa"/>
          </w:tcPr>
          <w:p w14:paraId="554F6945" w14:textId="16752275" w:rsidR="00341F8B" w:rsidRDefault="00341F8B" w:rsidP="00341F8B">
            <w:r>
              <w:t>19.</w:t>
            </w:r>
            <w:r w:rsidR="008B582C">
              <w:t>77</w:t>
            </w:r>
            <w:r>
              <w:t xml:space="preserve"> </w:t>
            </w:r>
          </w:p>
        </w:tc>
        <w:tc>
          <w:tcPr>
            <w:tcW w:w="1417" w:type="dxa"/>
          </w:tcPr>
          <w:p w14:paraId="2D37DF43" w14:textId="24B57EAB" w:rsidR="00341F8B" w:rsidRDefault="008B582C" w:rsidP="00341F8B">
            <w:r>
              <w:t>11.6</w:t>
            </w:r>
          </w:p>
        </w:tc>
        <w:tc>
          <w:tcPr>
            <w:tcW w:w="1418" w:type="dxa"/>
          </w:tcPr>
          <w:p w14:paraId="62866F14" w14:textId="3C553DFD" w:rsidR="00341F8B" w:rsidRDefault="00341F8B" w:rsidP="00341F8B">
            <w:r>
              <w:t>0.6</w:t>
            </w:r>
          </w:p>
        </w:tc>
      </w:tr>
      <w:tr w:rsidR="006E749E" w14:paraId="642C66B1" w14:textId="77777777" w:rsidTr="00C62098">
        <w:trPr>
          <w:trHeight w:val="1055"/>
        </w:trPr>
        <w:tc>
          <w:tcPr>
            <w:tcW w:w="422" w:type="dxa"/>
          </w:tcPr>
          <w:p w14:paraId="3B3D434B" w14:textId="77777777" w:rsidR="00341F8B" w:rsidRDefault="00341F8B" w:rsidP="00341F8B">
            <w:r>
              <w:t>2</w:t>
            </w:r>
          </w:p>
        </w:tc>
        <w:tc>
          <w:tcPr>
            <w:tcW w:w="1416" w:type="dxa"/>
          </w:tcPr>
          <w:p w14:paraId="384B6D43" w14:textId="77777777" w:rsidR="00341F8B" w:rsidRDefault="00341F8B" w:rsidP="00341F8B">
            <w:r>
              <w:t>Unplanned re-attendance</w:t>
            </w:r>
          </w:p>
        </w:tc>
        <w:tc>
          <w:tcPr>
            <w:tcW w:w="3969" w:type="dxa"/>
          </w:tcPr>
          <w:p w14:paraId="40AB7516" w14:textId="3EAB3F72" w:rsidR="00341F8B" w:rsidRDefault="00341F8B" w:rsidP="00341F8B">
            <w:pPr>
              <w:spacing w:after="120"/>
            </w:pPr>
            <w:r>
              <w:t>Patient made an unplanned re-attendance to the same or different ED within 7 days of discharge.</w:t>
            </w:r>
          </w:p>
        </w:tc>
        <w:tc>
          <w:tcPr>
            <w:tcW w:w="1276" w:type="dxa"/>
          </w:tcPr>
          <w:p w14:paraId="0CB7AD5A" w14:textId="77777777" w:rsidR="00341F8B" w:rsidRDefault="00341F8B" w:rsidP="00341F8B">
            <w:r>
              <w:t>Patient</w:t>
            </w:r>
          </w:p>
        </w:tc>
        <w:tc>
          <w:tcPr>
            <w:tcW w:w="1559" w:type="dxa"/>
          </w:tcPr>
          <w:p w14:paraId="7D821FCC" w14:textId="795CFDEA" w:rsidR="00341F8B" w:rsidRDefault="002A3B88" w:rsidP="00341F8B">
            <w:r>
              <w:t>9.01</w:t>
            </w:r>
          </w:p>
        </w:tc>
        <w:tc>
          <w:tcPr>
            <w:tcW w:w="1418" w:type="dxa"/>
          </w:tcPr>
          <w:p w14:paraId="2A5A1102" w14:textId="44B28E9E" w:rsidR="00341F8B" w:rsidRDefault="002A3B88" w:rsidP="00341F8B">
            <w:r>
              <w:t>4.</w:t>
            </w:r>
            <w:r w:rsidR="00DE5C6F">
              <w:t>2</w:t>
            </w:r>
          </w:p>
        </w:tc>
        <w:tc>
          <w:tcPr>
            <w:tcW w:w="1559" w:type="dxa"/>
          </w:tcPr>
          <w:p w14:paraId="040AC79B" w14:textId="37746944" w:rsidR="00341F8B" w:rsidRDefault="00341F8B" w:rsidP="00341F8B">
            <w:r>
              <w:t>8.</w:t>
            </w:r>
            <w:r w:rsidR="008B582C">
              <w:t>6</w:t>
            </w:r>
            <w:r>
              <w:t xml:space="preserve">7 </w:t>
            </w:r>
          </w:p>
        </w:tc>
        <w:tc>
          <w:tcPr>
            <w:tcW w:w="1417" w:type="dxa"/>
          </w:tcPr>
          <w:p w14:paraId="7A44BB4D" w14:textId="43B14553" w:rsidR="00341F8B" w:rsidRDefault="008B582C" w:rsidP="00341F8B">
            <w:r>
              <w:t>11.1</w:t>
            </w:r>
          </w:p>
        </w:tc>
        <w:tc>
          <w:tcPr>
            <w:tcW w:w="1418" w:type="dxa"/>
          </w:tcPr>
          <w:p w14:paraId="2C982767" w14:textId="537CEAB3" w:rsidR="00341F8B" w:rsidRDefault="00341F8B" w:rsidP="00341F8B">
            <w:r>
              <w:t xml:space="preserve">3.5 </w:t>
            </w:r>
          </w:p>
        </w:tc>
      </w:tr>
      <w:tr w:rsidR="006E749E" w14:paraId="0DA1826B" w14:textId="77777777" w:rsidTr="00C62098">
        <w:trPr>
          <w:trHeight w:val="750"/>
        </w:trPr>
        <w:tc>
          <w:tcPr>
            <w:tcW w:w="422" w:type="dxa"/>
          </w:tcPr>
          <w:p w14:paraId="166C910F" w14:textId="77777777" w:rsidR="00341F8B" w:rsidRDefault="00341F8B" w:rsidP="00341F8B">
            <w:r>
              <w:t>3</w:t>
            </w:r>
          </w:p>
        </w:tc>
        <w:tc>
          <w:tcPr>
            <w:tcW w:w="1416" w:type="dxa"/>
          </w:tcPr>
          <w:p w14:paraId="5E05B07C" w14:textId="77777777" w:rsidR="00341F8B" w:rsidRDefault="00341F8B" w:rsidP="00341F8B">
            <w:r>
              <w:t>Untreated</w:t>
            </w:r>
          </w:p>
        </w:tc>
        <w:tc>
          <w:tcPr>
            <w:tcW w:w="3969" w:type="dxa"/>
          </w:tcPr>
          <w:p w14:paraId="1B505C31" w14:textId="77777777" w:rsidR="00341F8B" w:rsidRDefault="00341F8B" w:rsidP="00341F8B">
            <w:pPr>
              <w:spacing w:after="120"/>
            </w:pPr>
            <w:r>
              <w:t>Patient left ED without being treated.</w:t>
            </w:r>
          </w:p>
        </w:tc>
        <w:tc>
          <w:tcPr>
            <w:tcW w:w="1276" w:type="dxa"/>
          </w:tcPr>
          <w:p w14:paraId="74ED80CA" w14:textId="77777777" w:rsidR="00341F8B" w:rsidRDefault="00341F8B" w:rsidP="00341F8B">
            <w:r>
              <w:t>Patient</w:t>
            </w:r>
          </w:p>
        </w:tc>
        <w:tc>
          <w:tcPr>
            <w:tcW w:w="1559" w:type="dxa"/>
          </w:tcPr>
          <w:p w14:paraId="5672C00A" w14:textId="67EB518D" w:rsidR="00341F8B" w:rsidRDefault="00341F8B" w:rsidP="00341F8B">
            <w:r>
              <w:t>2.3</w:t>
            </w:r>
            <w:r w:rsidR="002A3B88">
              <w:t>6</w:t>
            </w:r>
          </w:p>
        </w:tc>
        <w:tc>
          <w:tcPr>
            <w:tcW w:w="1418" w:type="dxa"/>
          </w:tcPr>
          <w:p w14:paraId="4DA15813" w14:textId="49E527FB" w:rsidR="00341F8B" w:rsidRDefault="002A3B88" w:rsidP="00341F8B">
            <w:r>
              <w:t>3.</w:t>
            </w:r>
            <w:r w:rsidR="00DE5C6F">
              <w:t>8</w:t>
            </w:r>
          </w:p>
        </w:tc>
        <w:tc>
          <w:tcPr>
            <w:tcW w:w="1559" w:type="dxa"/>
          </w:tcPr>
          <w:p w14:paraId="0B3E26D0" w14:textId="5D0859E3" w:rsidR="00341F8B" w:rsidRDefault="00341F8B" w:rsidP="00341F8B">
            <w:r>
              <w:t>2.1</w:t>
            </w:r>
            <w:r w:rsidR="008B582C">
              <w:t>3</w:t>
            </w:r>
          </w:p>
        </w:tc>
        <w:tc>
          <w:tcPr>
            <w:tcW w:w="1417" w:type="dxa"/>
          </w:tcPr>
          <w:p w14:paraId="5A266907" w14:textId="6EA08D90" w:rsidR="00341F8B" w:rsidRDefault="008B582C" w:rsidP="00341F8B">
            <w:r>
              <w:t>10.8</w:t>
            </w:r>
          </w:p>
        </w:tc>
        <w:tc>
          <w:tcPr>
            <w:tcW w:w="1418" w:type="dxa"/>
          </w:tcPr>
          <w:p w14:paraId="6A63B19B" w14:textId="39D276DA" w:rsidR="00341F8B" w:rsidRDefault="00341F8B" w:rsidP="00341F8B">
            <w:r>
              <w:t>14.2</w:t>
            </w:r>
          </w:p>
        </w:tc>
      </w:tr>
      <w:tr w:rsidR="006E749E" w14:paraId="28624F57" w14:textId="77777777" w:rsidTr="00C62098">
        <w:trPr>
          <w:trHeight w:val="1040"/>
        </w:trPr>
        <w:tc>
          <w:tcPr>
            <w:tcW w:w="422" w:type="dxa"/>
            <w:vMerge w:val="restart"/>
          </w:tcPr>
          <w:p w14:paraId="0815070F" w14:textId="77777777" w:rsidR="006829E1" w:rsidRDefault="006829E1" w:rsidP="00341F8B">
            <w:r>
              <w:t>4</w:t>
            </w:r>
          </w:p>
        </w:tc>
        <w:tc>
          <w:tcPr>
            <w:tcW w:w="1416" w:type="dxa"/>
            <w:vMerge w:val="restart"/>
          </w:tcPr>
          <w:p w14:paraId="29BC892A" w14:textId="156C3405" w:rsidR="006829E1" w:rsidRDefault="006829E1" w:rsidP="00341F8B">
            <w:r>
              <w:t>Non-urgent attendance</w:t>
            </w:r>
            <w:r>
              <w:fldChar w:fldCharType="begin"/>
            </w:r>
            <w:r w:rsidR="00B329DB">
              <w:instrText xml:space="preserve"> ADDIN EN.CITE &lt;EndNote&gt;&lt;Cite&gt;&lt;Author&gt;Mason&lt;/Author&gt;&lt;Year&gt;2017&lt;/Year&gt;&lt;RecNum&gt;2&lt;/RecNum&gt;&lt;DisplayText&gt;&lt;style face="superscript"&gt;7 20&lt;/style&gt;&lt;/DisplayText&gt;&lt;record&gt;&lt;rec-number&gt;2&lt;/rec-number&gt;&lt;foreign-keys&gt;&lt;key app="EN" db-id="za2wv29xhxrxzxe2wwcpst0azp9rexpzpzs9" timestamp="1637059693"&gt;2&lt;/key&gt;&lt;/foreign-keys&gt;&lt;ref-type name="Report"&gt;27&lt;/ref-type&gt;&lt;contributors&gt;&lt;authors&gt;&lt;author&gt;Mason, Suzanne&lt;/author&gt;&lt;author&gt;O’Keeffe, Colin&lt;/author&gt;&lt;author&gt;Jacques, Richard&lt;/author&gt;&lt;author&gt;Rimmer, Melanie&lt;/author&gt;&lt;author&gt;Ablard, Suzanne&lt;/author&gt;&lt;/authors&gt;&lt;/contributors&gt;&lt;titles&gt;&lt;title&gt;Perspectives on the reasons for Emergency Department attendnaces acrss Yorkshire and the Humber - Final Report September 2017&lt;/title&gt;&lt;/titles&gt;&lt;dates&gt;&lt;year&gt;2017&lt;/year&gt;&lt;/dates&gt;&lt;pub-location&gt;The University of Sheffield&lt;/pub-location&gt;&lt;urls&gt;&lt;related-urls&gt;&lt;url&gt;https://www.sheffield.ac.uk/polopoly_fs/1.730630!/file/CLAHRC_BMA_Final_Report.pdf&lt;/url&gt;&lt;/related-urls&gt;&lt;/urls&gt;&lt;access-date&gt;20/04/2021&lt;/access-date&gt;&lt;/record&gt;&lt;/Cite&gt;&lt;Cite&gt;&lt;Author&gt;NHS Digital&lt;/Author&gt;&lt;Year&gt;2021&lt;/Year&gt;&lt;RecNum&gt;78&lt;/RecNum&gt;&lt;record&gt;&lt;rec-number&gt;78&lt;/rec-number&gt;&lt;foreign-keys&gt;&lt;key app="EN" db-id="sfr0220a8twa9beessuxv2p3sx9dprww0taa" timestamp="1637061164"&gt;78&lt;/key&gt;&lt;/foreign-keys&gt;&lt;ref-type name="Web Page"&gt;12&lt;/ref-type&gt;&lt;contributors&gt;&lt;authors&gt;&lt;author&gt;NHS Digital,&lt;/author&gt;&lt;/authors&gt;&lt;/contributors&gt;&lt;titles&gt;&lt;title&gt;Non-urgent A&amp;amp;E attendances&lt;/title&gt;&lt;/titles&gt;&lt;number&gt;16/11/2021&lt;/number&gt;&lt;dates&gt;&lt;year&gt;2021&lt;/year&gt;&lt;/dates&gt;&lt;urls&gt;&lt;related-urls&gt;&lt;url&gt;https://digital.nhs.uk/data-and-information/data-tools-and-services/data-services/innovative-uses-of-data/demand-on-healthcare/unnecessary-a-and-e-attendances&lt;/url&gt;&lt;/related-urls&gt;&lt;/urls&gt;&lt;/record&gt;&lt;/Cite&gt;&lt;/EndNote&gt;</w:instrText>
            </w:r>
            <w:r>
              <w:fldChar w:fldCharType="separate"/>
            </w:r>
            <w:r w:rsidR="00B329DB" w:rsidRPr="00B329DB">
              <w:rPr>
                <w:noProof/>
                <w:vertAlign w:val="superscript"/>
              </w:rPr>
              <w:t>7 20</w:t>
            </w:r>
            <w:r>
              <w:fldChar w:fldCharType="end"/>
            </w:r>
          </w:p>
        </w:tc>
        <w:tc>
          <w:tcPr>
            <w:tcW w:w="3969" w:type="dxa"/>
          </w:tcPr>
          <w:p w14:paraId="40E6EB5F" w14:textId="77777777" w:rsidR="006829E1" w:rsidRDefault="006829E1" w:rsidP="00341F8B">
            <w:pPr>
              <w:spacing w:after="120"/>
            </w:pPr>
            <w:r>
              <w:t xml:space="preserve">An attendance is ‘unnecessary’ or ‘non-urgent’ if </w:t>
            </w:r>
            <w:r>
              <w:rPr>
                <w:b/>
              </w:rPr>
              <w:t>all</w:t>
            </w:r>
            <w:r>
              <w:t xml:space="preserve"> of the following conditions are met: </w:t>
            </w:r>
          </w:p>
        </w:tc>
        <w:tc>
          <w:tcPr>
            <w:tcW w:w="1276" w:type="dxa"/>
            <w:vMerge w:val="restart"/>
          </w:tcPr>
          <w:p w14:paraId="75E0708D" w14:textId="77777777" w:rsidR="006829E1" w:rsidRDefault="006829E1" w:rsidP="00341F8B">
            <w:r>
              <w:t>Patient</w:t>
            </w:r>
          </w:p>
        </w:tc>
        <w:tc>
          <w:tcPr>
            <w:tcW w:w="1559" w:type="dxa"/>
            <w:vMerge w:val="restart"/>
          </w:tcPr>
          <w:p w14:paraId="3E4AD7A5" w14:textId="37EB7FBB" w:rsidR="006829E1" w:rsidRDefault="006829E1" w:rsidP="00341F8B">
            <w:r>
              <w:t>11.50</w:t>
            </w:r>
          </w:p>
        </w:tc>
        <w:tc>
          <w:tcPr>
            <w:tcW w:w="1418" w:type="dxa"/>
            <w:vMerge w:val="restart"/>
          </w:tcPr>
          <w:p w14:paraId="00C92BDA" w14:textId="234E5831" w:rsidR="006829E1" w:rsidRDefault="006829E1" w:rsidP="00341F8B">
            <w:r>
              <w:t>4.4</w:t>
            </w:r>
          </w:p>
        </w:tc>
        <w:tc>
          <w:tcPr>
            <w:tcW w:w="1559" w:type="dxa"/>
            <w:vMerge w:val="restart"/>
          </w:tcPr>
          <w:p w14:paraId="583FA9AF" w14:textId="43411939" w:rsidR="006829E1" w:rsidRDefault="006829E1" w:rsidP="00341F8B">
            <w:r>
              <w:t xml:space="preserve">10.69 </w:t>
            </w:r>
          </w:p>
        </w:tc>
        <w:tc>
          <w:tcPr>
            <w:tcW w:w="1417" w:type="dxa"/>
            <w:vMerge w:val="restart"/>
          </w:tcPr>
          <w:p w14:paraId="7BCE0B31" w14:textId="706C2219" w:rsidR="006829E1" w:rsidRDefault="006829E1" w:rsidP="00341F8B">
            <w:r>
              <w:t>11.6</w:t>
            </w:r>
          </w:p>
        </w:tc>
        <w:tc>
          <w:tcPr>
            <w:tcW w:w="1418" w:type="dxa"/>
            <w:vMerge w:val="restart"/>
          </w:tcPr>
          <w:p w14:paraId="1D5D8920" w14:textId="5A511FAC" w:rsidR="006829E1" w:rsidRDefault="006829E1" w:rsidP="00341F8B">
            <w:r>
              <w:t>unknown</w:t>
            </w:r>
          </w:p>
        </w:tc>
      </w:tr>
      <w:tr w:rsidR="006E749E" w14:paraId="0BF0D4B0" w14:textId="77777777" w:rsidTr="00C62098">
        <w:trPr>
          <w:trHeight w:val="416"/>
        </w:trPr>
        <w:tc>
          <w:tcPr>
            <w:tcW w:w="422" w:type="dxa"/>
            <w:vMerge/>
          </w:tcPr>
          <w:p w14:paraId="5E8A97B7" w14:textId="77777777" w:rsidR="006829E1" w:rsidRDefault="006829E1" w:rsidP="00341F8B">
            <w:pPr>
              <w:widowControl w:val="0"/>
            </w:pPr>
          </w:p>
        </w:tc>
        <w:tc>
          <w:tcPr>
            <w:tcW w:w="1416" w:type="dxa"/>
            <w:vMerge/>
          </w:tcPr>
          <w:p w14:paraId="05EB42E4" w14:textId="77777777" w:rsidR="006829E1" w:rsidRDefault="006829E1" w:rsidP="00341F8B">
            <w:pPr>
              <w:widowControl w:val="0"/>
            </w:pPr>
          </w:p>
        </w:tc>
        <w:tc>
          <w:tcPr>
            <w:tcW w:w="3969" w:type="dxa"/>
          </w:tcPr>
          <w:p w14:paraId="2D71DE86" w14:textId="7A48B2AC" w:rsidR="006829E1" w:rsidRDefault="006829E1" w:rsidP="00341F8B">
            <w:pPr>
              <w:numPr>
                <w:ilvl w:val="0"/>
                <w:numId w:val="4"/>
              </w:numPr>
              <w:spacing w:after="120" w:line="240" w:lineRule="auto"/>
            </w:pPr>
            <w:r>
              <w:t>No Investigations were recorded or they were limited to urinalysis, pregnancy test, or dental investigation.</w:t>
            </w:r>
          </w:p>
          <w:p w14:paraId="04728F47" w14:textId="77777777" w:rsidR="006829E1" w:rsidRDefault="006829E1" w:rsidP="00341F8B">
            <w:pPr>
              <w:spacing w:after="120"/>
            </w:pPr>
            <w:r>
              <w:t>And</w:t>
            </w:r>
          </w:p>
        </w:tc>
        <w:tc>
          <w:tcPr>
            <w:tcW w:w="1276" w:type="dxa"/>
            <w:vMerge/>
          </w:tcPr>
          <w:p w14:paraId="39EF4D0B" w14:textId="77777777" w:rsidR="006829E1" w:rsidRDefault="006829E1" w:rsidP="00341F8B"/>
        </w:tc>
        <w:tc>
          <w:tcPr>
            <w:tcW w:w="1559" w:type="dxa"/>
            <w:vMerge/>
          </w:tcPr>
          <w:p w14:paraId="2C6B65F4" w14:textId="77777777" w:rsidR="006829E1" w:rsidRDefault="006829E1" w:rsidP="00341F8B"/>
        </w:tc>
        <w:tc>
          <w:tcPr>
            <w:tcW w:w="1418" w:type="dxa"/>
            <w:vMerge/>
          </w:tcPr>
          <w:p w14:paraId="6C9294D0" w14:textId="77777777" w:rsidR="006829E1" w:rsidRDefault="006829E1" w:rsidP="00341F8B"/>
        </w:tc>
        <w:tc>
          <w:tcPr>
            <w:tcW w:w="1559" w:type="dxa"/>
            <w:vMerge/>
          </w:tcPr>
          <w:p w14:paraId="2F331C01" w14:textId="40A3F248" w:rsidR="006829E1" w:rsidRDefault="006829E1" w:rsidP="00341F8B"/>
        </w:tc>
        <w:tc>
          <w:tcPr>
            <w:tcW w:w="1417" w:type="dxa"/>
            <w:vMerge/>
          </w:tcPr>
          <w:p w14:paraId="7B671590" w14:textId="77777777" w:rsidR="006829E1" w:rsidRDefault="006829E1" w:rsidP="00341F8B">
            <w:pPr>
              <w:widowControl w:val="0"/>
            </w:pPr>
          </w:p>
        </w:tc>
        <w:tc>
          <w:tcPr>
            <w:tcW w:w="1418" w:type="dxa"/>
            <w:vMerge/>
          </w:tcPr>
          <w:p w14:paraId="56C62E73" w14:textId="2A904300" w:rsidR="006829E1" w:rsidRDefault="006829E1" w:rsidP="00341F8B">
            <w:pPr>
              <w:widowControl w:val="0"/>
            </w:pPr>
          </w:p>
        </w:tc>
      </w:tr>
      <w:tr w:rsidR="006E749E" w14:paraId="0457F072" w14:textId="77777777" w:rsidTr="00C62098">
        <w:trPr>
          <w:trHeight w:val="1775"/>
        </w:trPr>
        <w:tc>
          <w:tcPr>
            <w:tcW w:w="422" w:type="dxa"/>
            <w:vMerge/>
          </w:tcPr>
          <w:p w14:paraId="311C0E6C" w14:textId="77777777" w:rsidR="006829E1" w:rsidRDefault="006829E1" w:rsidP="00341F8B">
            <w:pPr>
              <w:widowControl w:val="0"/>
            </w:pPr>
          </w:p>
        </w:tc>
        <w:tc>
          <w:tcPr>
            <w:tcW w:w="1416" w:type="dxa"/>
            <w:vMerge/>
          </w:tcPr>
          <w:p w14:paraId="1C621EB4" w14:textId="77777777" w:rsidR="006829E1" w:rsidRDefault="006829E1" w:rsidP="00341F8B">
            <w:pPr>
              <w:widowControl w:val="0"/>
            </w:pPr>
          </w:p>
        </w:tc>
        <w:tc>
          <w:tcPr>
            <w:tcW w:w="3969" w:type="dxa"/>
          </w:tcPr>
          <w:p w14:paraId="7B408E38" w14:textId="38D7FFBA" w:rsidR="006829E1" w:rsidRDefault="006829E1" w:rsidP="00341F8B">
            <w:pPr>
              <w:numPr>
                <w:ilvl w:val="0"/>
                <w:numId w:val="1"/>
              </w:numPr>
              <w:spacing w:after="120" w:line="240" w:lineRule="auto"/>
            </w:pPr>
            <w:r>
              <w:t>No treatments were recorded or were limited to guidance, written advice, verbal advice, recording of vital signs, dental treatment, or prescription of medicines.</w:t>
            </w:r>
          </w:p>
          <w:p w14:paraId="769CE856" w14:textId="77777777" w:rsidR="006829E1" w:rsidRDefault="006829E1" w:rsidP="00341F8B">
            <w:pPr>
              <w:spacing w:after="120"/>
            </w:pPr>
            <w:r>
              <w:t>And</w:t>
            </w:r>
          </w:p>
        </w:tc>
        <w:tc>
          <w:tcPr>
            <w:tcW w:w="1276" w:type="dxa"/>
            <w:vMerge/>
          </w:tcPr>
          <w:p w14:paraId="7C8A1DF4" w14:textId="77777777" w:rsidR="006829E1" w:rsidRDefault="006829E1" w:rsidP="00341F8B"/>
        </w:tc>
        <w:tc>
          <w:tcPr>
            <w:tcW w:w="1559" w:type="dxa"/>
            <w:vMerge/>
          </w:tcPr>
          <w:p w14:paraId="59AC1D70" w14:textId="77777777" w:rsidR="006829E1" w:rsidRDefault="006829E1" w:rsidP="00341F8B"/>
        </w:tc>
        <w:tc>
          <w:tcPr>
            <w:tcW w:w="1418" w:type="dxa"/>
            <w:vMerge/>
          </w:tcPr>
          <w:p w14:paraId="68BBBD80" w14:textId="77777777" w:rsidR="006829E1" w:rsidRDefault="006829E1" w:rsidP="00341F8B"/>
        </w:tc>
        <w:tc>
          <w:tcPr>
            <w:tcW w:w="1559" w:type="dxa"/>
            <w:vMerge/>
          </w:tcPr>
          <w:p w14:paraId="3AF23F02" w14:textId="4E63E101" w:rsidR="006829E1" w:rsidRDefault="006829E1" w:rsidP="00341F8B"/>
        </w:tc>
        <w:tc>
          <w:tcPr>
            <w:tcW w:w="1417" w:type="dxa"/>
            <w:vMerge/>
          </w:tcPr>
          <w:p w14:paraId="403310A2" w14:textId="77777777" w:rsidR="006829E1" w:rsidRDefault="006829E1" w:rsidP="00341F8B">
            <w:pPr>
              <w:widowControl w:val="0"/>
            </w:pPr>
          </w:p>
        </w:tc>
        <w:tc>
          <w:tcPr>
            <w:tcW w:w="1418" w:type="dxa"/>
            <w:vMerge/>
          </w:tcPr>
          <w:p w14:paraId="7A680A16" w14:textId="3CB328DA" w:rsidR="006829E1" w:rsidRDefault="006829E1" w:rsidP="00341F8B">
            <w:pPr>
              <w:widowControl w:val="0"/>
            </w:pPr>
          </w:p>
        </w:tc>
      </w:tr>
      <w:tr w:rsidR="006E749E" w14:paraId="52402F26" w14:textId="77777777" w:rsidTr="00C62098">
        <w:trPr>
          <w:trHeight w:val="1775"/>
        </w:trPr>
        <w:tc>
          <w:tcPr>
            <w:tcW w:w="422" w:type="dxa"/>
            <w:vMerge/>
          </w:tcPr>
          <w:p w14:paraId="3CB00208" w14:textId="77777777" w:rsidR="006829E1" w:rsidRDefault="006829E1" w:rsidP="00341F8B">
            <w:pPr>
              <w:widowControl w:val="0"/>
            </w:pPr>
          </w:p>
        </w:tc>
        <w:tc>
          <w:tcPr>
            <w:tcW w:w="1416" w:type="dxa"/>
            <w:vMerge/>
          </w:tcPr>
          <w:p w14:paraId="474AC4B9" w14:textId="77777777" w:rsidR="006829E1" w:rsidRDefault="006829E1" w:rsidP="00341F8B">
            <w:pPr>
              <w:widowControl w:val="0"/>
            </w:pPr>
          </w:p>
        </w:tc>
        <w:tc>
          <w:tcPr>
            <w:tcW w:w="3969" w:type="dxa"/>
          </w:tcPr>
          <w:p w14:paraId="1A69C28E" w14:textId="77777777" w:rsidR="006829E1" w:rsidRDefault="006829E1" w:rsidP="00341F8B">
            <w:pPr>
              <w:numPr>
                <w:ilvl w:val="0"/>
                <w:numId w:val="3"/>
              </w:numPr>
              <w:spacing w:after="120" w:line="240" w:lineRule="auto"/>
            </w:pPr>
            <w:r>
              <w:t>Treatment or follow-up was limited to primary care or patient left before being treated.</w:t>
            </w:r>
          </w:p>
          <w:p w14:paraId="665970CA" w14:textId="77777777" w:rsidR="006829E1" w:rsidRDefault="006829E1" w:rsidP="00341F8B">
            <w:pPr>
              <w:spacing w:after="120"/>
            </w:pPr>
            <w:r>
              <w:t>And</w:t>
            </w:r>
          </w:p>
        </w:tc>
        <w:tc>
          <w:tcPr>
            <w:tcW w:w="1276" w:type="dxa"/>
            <w:vMerge/>
          </w:tcPr>
          <w:p w14:paraId="1048DFDC" w14:textId="77777777" w:rsidR="006829E1" w:rsidRDefault="006829E1" w:rsidP="00341F8B"/>
        </w:tc>
        <w:tc>
          <w:tcPr>
            <w:tcW w:w="1559" w:type="dxa"/>
            <w:vMerge/>
          </w:tcPr>
          <w:p w14:paraId="56C0B2AB" w14:textId="77777777" w:rsidR="006829E1" w:rsidRDefault="006829E1" w:rsidP="00341F8B"/>
        </w:tc>
        <w:tc>
          <w:tcPr>
            <w:tcW w:w="1418" w:type="dxa"/>
            <w:vMerge/>
          </w:tcPr>
          <w:p w14:paraId="12D12645" w14:textId="77777777" w:rsidR="006829E1" w:rsidRDefault="006829E1" w:rsidP="00341F8B"/>
        </w:tc>
        <w:tc>
          <w:tcPr>
            <w:tcW w:w="1559" w:type="dxa"/>
            <w:vMerge/>
          </w:tcPr>
          <w:p w14:paraId="3993295B" w14:textId="0561C50D" w:rsidR="006829E1" w:rsidRDefault="006829E1" w:rsidP="00341F8B"/>
        </w:tc>
        <w:tc>
          <w:tcPr>
            <w:tcW w:w="1417" w:type="dxa"/>
            <w:vMerge/>
          </w:tcPr>
          <w:p w14:paraId="027448B2" w14:textId="77777777" w:rsidR="006829E1" w:rsidRDefault="006829E1" w:rsidP="00341F8B">
            <w:pPr>
              <w:widowControl w:val="0"/>
            </w:pPr>
          </w:p>
        </w:tc>
        <w:tc>
          <w:tcPr>
            <w:tcW w:w="1418" w:type="dxa"/>
            <w:vMerge/>
          </w:tcPr>
          <w:p w14:paraId="5DA65CBA" w14:textId="0211DDBD" w:rsidR="006829E1" w:rsidRDefault="006829E1" w:rsidP="00341F8B">
            <w:pPr>
              <w:widowControl w:val="0"/>
            </w:pPr>
          </w:p>
        </w:tc>
      </w:tr>
      <w:tr w:rsidR="006E749E" w14:paraId="62ECE574" w14:textId="77777777" w:rsidTr="00C62098">
        <w:trPr>
          <w:trHeight w:val="815"/>
        </w:trPr>
        <w:tc>
          <w:tcPr>
            <w:tcW w:w="422" w:type="dxa"/>
            <w:vMerge/>
          </w:tcPr>
          <w:p w14:paraId="035DAE02" w14:textId="77777777" w:rsidR="006829E1" w:rsidRDefault="006829E1" w:rsidP="00341F8B">
            <w:pPr>
              <w:widowControl w:val="0"/>
            </w:pPr>
          </w:p>
        </w:tc>
        <w:tc>
          <w:tcPr>
            <w:tcW w:w="1416" w:type="dxa"/>
            <w:vMerge/>
          </w:tcPr>
          <w:p w14:paraId="3BE9371A" w14:textId="77777777" w:rsidR="006829E1" w:rsidRDefault="006829E1" w:rsidP="00341F8B">
            <w:pPr>
              <w:widowControl w:val="0"/>
            </w:pPr>
          </w:p>
        </w:tc>
        <w:tc>
          <w:tcPr>
            <w:tcW w:w="3969" w:type="dxa"/>
          </w:tcPr>
          <w:p w14:paraId="7CF3B902" w14:textId="77777777" w:rsidR="006829E1" w:rsidRDefault="006829E1" w:rsidP="00341F8B">
            <w:pPr>
              <w:numPr>
                <w:ilvl w:val="0"/>
                <w:numId w:val="2"/>
              </w:numPr>
              <w:spacing w:after="120" w:line="240" w:lineRule="auto"/>
            </w:pPr>
            <w:r>
              <w:t xml:space="preserve">Attendance was not by ambulance. </w:t>
            </w:r>
          </w:p>
        </w:tc>
        <w:tc>
          <w:tcPr>
            <w:tcW w:w="1276" w:type="dxa"/>
            <w:vMerge/>
          </w:tcPr>
          <w:p w14:paraId="2D0D7664" w14:textId="77777777" w:rsidR="006829E1" w:rsidRDefault="006829E1" w:rsidP="00341F8B"/>
        </w:tc>
        <w:tc>
          <w:tcPr>
            <w:tcW w:w="1559" w:type="dxa"/>
            <w:vMerge/>
          </w:tcPr>
          <w:p w14:paraId="7883AD1F" w14:textId="77777777" w:rsidR="006829E1" w:rsidRDefault="006829E1" w:rsidP="00341F8B"/>
        </w:tc>
        <w:tc>
          <w:tcPr>
            <w:tcW w:w="1418" w:type="dxa"/>
            <w:vMerge/>
          </w:tcPr>
          <w:p w14:paraId="65BD0FA0" w14:textId="77777777" w:rsidR="006829E1" w:rsidRDefault="006829E1" w:rsidP="00341F8B"/>
        </w:tc>
        <w:tc>
          <w:tcPr>
            <w:tcW w:w="1559" w:type="dxa"/>
            <w:vMerge/>
          </w:tcPr>
          <w:p w14:paraId="6E957372" w14:textId="7CB5CE6C" w:rsidR="006829E1" w:rsidRDefault="006829E1" w:rsidP="00341F8B"/>
        </w:tc>
        <w:tc>
          <w:tcPr>
            <w:tcW w:w="1417" w:type="dxa"/>
            <w:vMerge/>
          </w:tcPr>
          <w:p w14:paraId="50090AC1" w14:textId="77777777" w:rsidR="006829E1" w:rsidRDefault="006829E1" w:rsidP="00341F8B">
            <w:pPr>
              <w:widowControl w:val="0"/>
            </w:pPr>
          </w:p>
        </w:tc>
        <w:tc>
          <w:tcPr>
            <w:tcW w:w="1418" w:type="dxa"/>
            <w:vMerge/>
          </w:tcPr>
          <w:p w14:paraId="767ADFE9" w14:textId="42158E83" w:rsidR="006829E1" w:rsidRDefault="006829E1" w:rsidP="00341F8B">
            <w:pPr>
              <w:widowControl w:val="0"/>
            </w:pPr>
          </w:p>
        </w:tc>
      </w:tr>
      <w:tr w:rsidR="006E749E" w14:paraId="27979577" w14:textId="77777777" w:rsidTr="00C62098">
        <w:trPr>
          <w:trHeight w:val="815"/>
        </w:trPr>
        <w:tc>
          <w:tcPr>
            <w:tcW w:w="422" w:type="dxa"/>
          </w:tcPr>
          <w:p w14:paraId="352B7E10" w14:textId="77777777" w:rsidR="00341F8B" w:rsidRDefault="00341F8B" w:rsidP="00341F8B">
            <w:r>
              <w:t>5</w:t>
            </w:r>
          </w:p>
        </w:tc>
        <w:tc>
          <w:tcPr>
            <w:tcW w:w="1416" w:type="dxa"/>
          </w:tcPr>
          <w:p w14:paraId="60900D5E" w14:textId="77777777" w:rsidR="00341F8B" w:rsidRDefault="00341F8B" w:rsidP="00341F8B">
            <w:r>
              <w:t>30-day mortality</w:t>
            </w:r>
          </w:p>
        </w:tc>
        <w:tc>
          <w:tcPr>
            <w:tcW w:w="3969" w:type="dxa"/>
          </w:tcPr>
          <w:p w14:paraId="115DBC06" w14:textId="77777777" w:rsidR="00341F8B" w:rsidRDefault="00341F8B" w:rsidP="00341F8B">
            <w:pPr>
              <w:spacing w:after="120"/>
            </w:pPr>
            <w:r>
              <w:t>Date of death of the patient is within 30 days after ED attendance.</w:t>
            </w:r>
          </w:p>
        </w:tc>
        <w:tc>
          <w:tcPr>
            <w:tcW w:w="1276" w:type="dxa"/>
          </w:tcPr>
          <w:p w14:paraId="5402E2BB" w14:textId="77777777" w:rsidR="00341F8B" w:rsidRDefault="00341F8B" w:rsidP="00341F8B">
            <w:r>
              <w:t>Patient</w:t>
            </w:r>
          </w:p>
        </w:tc>
        <w:tc>
          <w:tcPr>
            <w:tcW w:w="1559" w:type="dxa"/>
          </w:tcPr>
          <w:p w14:paraId="0DC114C0" w14:textId="3CE7C089" w:rsidR="00341F8B" w:rsidRDefault="00341F8B" w:rsidP="00341F8B">
            <w:r>
              <w:t>1.5</w:t>
            </w:r>
            <w:r w:rsidR="002A3B88">
              <w:t>8</w:t>
            </w:r>
          </w:p>
        </w:tc>
        <w:tc>
          <w:tcPr>
            <w:tcW w:w="1418" w:type="dxa"/>
          </w:tcPr>
          <w:p w14:paraId="183CA2D1" w14:textId="187546FB" w:rsidR="00341F8B" w:rsidRDefault="002A3B88" w:rsidP="00341F8B">
            <w:r>
              <w:t>4.</w:t>
            </w:r>
            <w:r w:rsidR="00DE5C6F">
              <w:t>1</w:t>
            </w:r>
          </w:p>
        </w:tc>
        <w:tc>
          <w:tcPr>
            <w:tcW w:w="1559" w:type="dxa"/>
          </w:tcPr>
          <w:p w14:paraId="4345C40B" w14:textId="5BE8E17B" w:rsidR="00341F8B" w:rsidRDefault="00341F8B" w:rsidP="00341F8B">
            <w:r>
              <w:t>1.7</w:t>
            </w:r>
            <w:r w:rsidR="008B582C">
              <w:t>4</w:t>
            </w:r>
          </w:p>
        </w:tc>
        <w:tc>
          <w:tcPr>
            <w:tcW w:w="1417" w:type="dxa"/>
          </w:tcPr>
          <w:p w14:paraId="2883B161" w14:textId="6D61A731" w:rsidR="00341F8B" w:rsidRDefault="008B582C" w:rsidP="00341F8B">
            <w:r>
              <w:t>10.6</w:t>
            </w:r>
          </w:p>
        </w:tc>
        <w:tc>
          <w:tcPr>
            <w:tcW w:w="1418" w:type="dxa"/>
          </w:tcPr>
          <w:p w14:paraId="667EBFF9" w14:textId="307C33CD" w:rsidR="00341F8B" w:rsidRDefault="00655295" w:rsidP="00341F8B">
            <w:r>
              <w:t>unknown</w:t>
            </w:r>
          </w:p>
        </w:tc>
      </w:tr>
      <w:tr w:rsidR="006E749E" w14:paraId="7DF1BF66" w14:textId="77777777" w:rsidTr="00C62098">
        <w:trPr>
          <w:trHeight w:val="1055"/>
        </w:trPr>
        <w:tc>
          <w:tcPr>
            <w:tcW w:w="422" w:type="dxa"/>
          </w:tcPr>
          <w:p w14:paraId="7D4DC02E" w14:textId="77777777" w:rsidR="00341F8B" w:rsidRDefault="00341F8B" w:rsidP="00341F8B">
            <w:r>
              <w:t>6</w:t>
            </w:r>
          </w:p>
        </w:tc>
        <w:tc>
          <w:tcPr>
            <w:tcW w:w="1416" w:type="dxa"/>
          </w:tcPr>
          <w:p w14:paraId="2AD2AFA1" w14:textId="77777777" w:rsidR="00341F8B" w:rsidRDefault="00341F8B" w:rsidP="00341F8B">
            <w:r>
              <w:t>Admission to ward</w:t>
            </w:r>
          </w:p>
        </w:tc>
        <w:tc>
          <w:tcPr>
            <w:tcW w:w="3969" w:type="dxa"/>
          </w:tcPr>
          <w:p w14:paraId="6FA88455" w14:textId="77777777" w:rsidR="00341F8B" w:rsidRDefault="00341F8B" w:rsidP="00341F8B">
            <w:pPr>
              <w:spacing w:after="120"/>
            </w:pPr>
            <w:r>
              <w:t xml:space="preserve">Patient admitted as an inpatient following ED attendance. </w:t>
            </w:r>
          </w:p>
        </w:tc>
        <w:tc>
          <w:tcPr>
            <w:tcW w:w="1276" w:type="dxa"/>
          </w:tcPr>
          <w:p w14:paraId="2EE9B0B5" w14:textId="77777777" w:rsidR="00341F8B" w:rsidRDefault="00341F8B" w:rsidP="00341F8B">
            <w:r>
              <w:t>Patient</w:t>
            </w:r>
          </w:p>
        </w:tc>
        <w:tc>
          <w:tcPr>
            <w:tcW w:w="1559" w:type="dxa"/>
          </w:tcPr>
          <w:p w14:paraId="562CE519" w14:textId="5792E95D" w:rsidR="00341F8B" w:rsidRDefault="002A3B88" w:rsidP="00341F8B">
            <w:r>
              <w:t>23</w:t>
            </w:r>
            <w:r w:rsidR="00341F8B">
              <w:t>.</w:t>
            </w:r>
            <w:r>
              <w:t>65</w:t>
            </w:r>
          </w:p>
        </w:tc>
        <w:tc>
          <w:tcPr>
            <w:tcW w:w="1418" w:type="dxa"/>
          </w:tcPr>
          <w:p w14:paraId="2B948986" w14:textId="69002501" w:rsidR="00341F8B" w:rsidRDefault="002A3B88" w:rsidP="00341F8B">
            <w:r>
              <w:t>3.</w:t>
            </w:r>
            <w:r w:rsidR="00DE5C6F">
              <w:t>8</w:t>
            </w:r>
          </w:p>
        </w:tc>
        <w:tc>
          <w:tcPr>
            <w:tcW w:w="1559" w:type="dxa"/>
          </w:tcPr>
          <w:p w14:paraId="135DC5A7" w14:textId="657F1CB3" w:rsidR="00341F8B" w:rsidRDefault="00341F8B" w:rsidP="00341F8B">
            <w:r>
              <w:t>23.5</w:t>
            </w:r>
            <w:r w:rsidR="008B582C">
              <w:t>2</w:t>
            </w:r>
          </w:p>
        </w:tc>
        <w:tc>
          <w:tcPr>
            <w:tcW w:w="1417" w:type="dxa"/>
          </w:tcPr>
          <w:p w14:paraId="1B8B8F2A" w14:textId="7D63C213" w:rsidR="00341F8B" w:rsidRDefault="008B582C" w:rsidP="00341F8B">
            <w:r>
              <w:t>10.8</w:t>
            </w:r>
          </w:p>
        </w:tc>
        <w:tc>
          <w:tcPr>
            <w:tcW w:w="1418" w:type="dxa"/>
          </w:tcPr>
          <w:p w14:paraId="0F745BC8" w14:textId="5F38A7D5" w:rsidR="00341F8B" w:rsidRDefault="00341F8B" w:rsidP="00341F8B">
            <w:r>
              <w:t>14.2</w:t>
            </w:r>
          </w:p>
        </w:tc>
      </w:tr>
      <w:tr w:rsidR="008B582C" w14:paraId="05D4286A" w14:textId="77777777" w:rsidTr="00C62098">
        <w:trPr>
          <w:trHeight w:val="340"/>
        </w:trPr>
        <w:tc>
          <w:tcPr>
            <w:tcW w:w="14454" w:type="dxa"/>
            <w:gridSpan w:val="9"/>
          </w:tcPr>
          <w:p w14:paraId="3E48B1A7" w14:textId="5400109A" w:rsidR="008B582C" w:rsidRDefault="008B582C" w:rsidP="00341F8B">
            <w:r>
              <w:rPr>
                <w:b/>
                <w:i/>
              </w:rPr>
              <w:t>ED workload</w:t>
            </w:r>
          </w:p>
        </w:tc>
      </w:tr>
      <w:tr w:rsidR="00AE2862" w14:paraId="39B25922" w14:textId="77777777" w:rsidTr="00C62098">
        <w:trPr>
          <w:trHeight w:val="695"/>
        </w:trPr>
        <w:tc>
          <w:tcPr>
            <w:tcW w:w="422" w:type="dxa"/>
            <w:vMerge w:val="restart"/>
          </w:tcPr>
          <w:p w14:paraId="371F2EB2" w14:textId="77777777" w:rsidR="00AE2862" w:rsidRDefault="00AE2862" w:rsidP="00341F8B">
            <w:pPr>
              <w:jc w:val="center"/>
            </w:pPr>
            <w:r>
              <w:t>ID</w:t>
            </w:r>
          </w:p>
        </w:tc>
        <w:tc>
          <w:tcPr>
            <w:tcW w:w="1416" w:type="dxa"/>
            <w:vMerge w:val="restart"/>
          </w:tcPr>
          <w:p w14:paraId="424F2161" w14:textId="77777777" w:rsidR="00AE2862" w:rsidRDefault="00AE2862" w:rsidP="00341F8B">
            <w:pPr>
              <w:jc w:val="center"/>
            </w:pPr>
            <w:r>
              <w:t>Outcome</w:t>
            </w:r>
          </w:p>
        </w:tc>
        <w:tc>
          <w:tcPr>
            <w:tcW w:w="3969" w:type="dxa"/>
            <w:vMerge w:val="restart"/>
          </w:tcPr>
          <w:p w14:paraId="70C06159" w14:textId="77777777" w:rsidR="00AE2862" w:rsidRDefault="00AE2862" w:rsidP="00341F8B">
            <w:pPr>
              <w:jc w:val="center"/>
            </w:pPr>
            <w:r>
              <w:t>Definition</w:t>
            </w:r>
          </w:p>
        </w:tc>
        <w:tc>
          <w:tcPr>
            <w:tcW w:w="1276" w:type="dxa"/>
            <w:vMerge w:val="restart"/>
          </w:tcPr>
          <w:p w14:paraId="4967C8CB" w14:textId="48D6CA47" w:rsidR="00AE2862" w:rsidRDefault="00AE2862" w:rsidP="00341F8B">
            <w:r>
              <w:t>Unit of analysis</w:t>
            </w:r>
          </w:p>
        </w:tc>
        <w:tc>
          <w:tcPr>
            <w:tcW w:w="2977" w:type="dxa"/>
            <w:gridSpan w:val="2"/>
          </w:tcPr>
          <w:p w14:paraId="719507E8" w14:textId="77777777" w:rsidR="00AE2862" w:rsidRDefault="00AE2862" w:rsidP="00341F8B">
            <w:r>
              <w:t>Included EDs (n=40)</w:t>
            </w:r>
          </w:p>
          <w:p w14:paraId="2A1F691E" w14:textId="4D783D27" w:rsidR="00AE2862" w:rsidRDefault="00AE2862" w:rsidP="00341F8B"/>
        </w:tc>
        <w:tc>
          <w:tcPr>
            <w:tcW w:w="2976" w:type="dxa"/>
            <w:gridSpan w:val="2"/>
          </w:tcPr>
          <w:p w14:paraId="4BCCE7D0" w14:textId="4F3D4D67" w:rsidR="00AE2862" w:rsidRDefault="00AE2862" w:rsidP="00341F8B">
            <w:pPr>
              <w:jc w:val="center"/>
            </w:pPr>
            <w:r>
              <w:t>Excluded EDs (n=97)</w:t>
            </w:r>
          </w:p>
        </w:tc>
        <w:tc>
          <w:tcPr>
            <w:tcW w:w="1418" w:type="dxa"/>
            <w:vMerge w:val="restart"/>
          </w:tcPr>
          <w:p w14:paraId="5F7F8230" w14:textId="3FD79070" w:rsidR="00AE2862" w:rsidRDefault="00AE2862" w:rsidP="00341F8B">
            <w:pPr>
              <w:jc w:val="center"/>
            </w:pPr>
            <w:r>
              <w:t>Missing (%) (included EDs only)</w:t>
            </w:r>
          </w:p>
        </w:tc>
      </w:tr>
      <w:tr w:rsidR="006E749E" w14:paraId="0F15F5E0" w14:textId="77777777" w:rsidTr="00C62098">
        <w:trPr>
          <w:trHeight w:val="695"/>
        </w:trPr>
        <w:tc>
          <w:tcPr>
            <w:tcW w:w="422" w:type="dxa"/>
            <w:vMerge/>
          </w:tcPr>
          <w:p w14:paraId="0A124432" w14:textId="77777777" w:rsidR="00341F8B" w:rsidRDefault="00341F8B" w:rsidP="00341F8B"/>
        </w:tc>
        <w:tc>
          <w:tcPr>
            <w:tcW w:w="1416" w:type="dxa"/>
            <w:vMerge/>
          </w:tcPr>
          <w:p w14:paraId="79CEF9A4" w14:textId="77777777" w:rsidR="00341F8B" w:rsidRDefault="00341F8B" w:rsidP="00341F8B"/>
        </w:tc>
        <w:tc>
          <w:tcPr>
            <w:tcW w:w="3969" w:type="dxa"/>
            <w:vMerge/>
          </w:tcPr>
          <w:p w14:paraId="144C13B9" w14:textId="77777777" w:rsidR="00341F8B" w:rsidRDefault="00341F8B" w:rsidP="00341F8B"/>
        </w:tc>
        <w:tc>
          <w:tcPr>
            <w:tcW w:w="1276" w:type="dxa"/>
            <w:vMerge/>
          </w:tcPr>
          <w:p w14:paraId="459D5F85" w14:textId="77777777" w:rsidR="00341F8B" w:rsidRDefault="00341F8B" w:rsidP="00341F8B"/>
        </w:tc>
        <w:tc>
          <w:tcPr>
            <w:tcW w:w="1559" w:type="dxa"/>
          </w:tcPr>
          <w:p w14:paraId="41665DD0" w14:textId="11553A76" w:rsidR="00341F8B" w:rsidRDefault="00AE2862" w:rsidP="00341F8B">
            <w:r>
              <w:t>Mean (SD)</w:t>
            </w:r>
          </w:p>
        </w:tc>
        <w:tc>
          <w:tcPr>
            <w:tcW w:w="1418" w:type="dxa"/>
          </w:tcPr>
          <w:p w14:paraId="39D5F562" w14:textId="20CA7DAC" w:rsidR="00341F8B" w:rsidRDefault="00D276D1" w:rsidP="006E749E">
            <w:r>
              <w:t xml:space="preserve">Observations </w:t>
            </w:r>
            <w:r w:rsidR="000576D7">
              <w:t xml:space="preserve"> </w:t>
            </w:r>
            <w:r w:rsidR="008E483C">
              <w:t>(000’s)</w:t>
            </w:r>
            <w:r w:rsidR="00AE2862">
              <w:t xml:space="preserve"> </w:t>
            </w:r>
          </w:p>
        </w:tc>
        <w:tc>
          <w:tcPr>
            <w:tcW w:w="1559" w:type="dxa"/>
          </w:tcPr>
          <w:p w14:paraId="0F29CF01" w14:textId="67BB4FE4" w:rsidR="00341F8B" w:rsidRDefault="00AE2862" w:rsidP="00341F8B">
            <w:r>
              <w:t>Mean (SD)</w:t>
            </w:r>
          </w:p>
        </w:tc>
        <w:tc>
          <w:tcPr>
            <w:tcW w:w="1417" w:type="dxa"/>
          </w:tcPr>
          <w:p w14:paraId="25307D82" w14:textId="1CA1FC46" w:rsidR="00341F8B" w:rsidRDefault="00D276D1" w:rsidP="006E749E">
            <w:r>
              <w:t>Observations</w:t>
            </w:r>
            <w:r w:rsidR="008E483C">
              <w:t xml:space="preserve"> (000’s)</w:t>
            </w:r>
          </w:p>
        </w:tc>
        <w:tc>
          <w:tcPr>
            <w:tcW w:w="1418" w:type="dxa"/>
            <w:vMerge/>
          </w:tcPr>
          <w:p w14:paraId="51F7160E" w14:textId="0EE5E936" w:rsidR="00341F8B" w:rsidRDefault="00341F8B" w:rsidP="00341F8B"/>
        </w:tc>
      </w:tr>
      <w:tr w:rsidR="006E749E" w14:paraId="2B778022" w14:textId="77777777" w:rsidTr="00C62098">
        <w:trPr>
          <w:trHeight w:val="695"/>
        </w:trPr>
        <w:tc>
          <w:tcPr>
            <w:tcW w:w="422" w:type="dxa"/>
          </w:tcPr>
          <w:p w14:paraId="58863D3C" w14:textId="77777777" w:rsidR="00341F8B" w:rsidRDefault="00341F8B" w:rsidP="00341F8B">
            <w:r>
              <w:t>7</w:t>
            </w:r>
          </w:p>
        </w:tc>
        <w:tc>
          <w:tcPr>
            <w:tcW w:w="1416" w:type="dxa"/>
          </w:tcPr>
          <w:p w14:paraId="30E7FCBE" w14:textId="1473DEFD" w:rsidR="00341F8B" w:rsidRDefault="00341F8B" w:rsidP="00341F8B">
            <w:r>
              <w:t>Volume of attendances</w:t>
            </w:r>
          </w:p>
        </w:tc>
        <w:tc>
          <w:tcPr>
            <w:tcW w:w="3969" w:type="dxa"/>
          </w:tcPr>
          <w:p w14:paraId="4ED7C59C" w14:textId="77777777" w:rsidR="00341F8B" w:rsidRDefault="00341F8B" w:rsidP="00341F8B">
            <w:r>
              <w:t>Count of attendances per hour of day and day of week</w:t>
            </w:r>
          </w:p>
        </w:tc>
        <w:tc>
          <w:tcPr>
            <w:tcW w:w="1276" w:type="dxa"/>
          </w:tcPr>
          <w:p w14:paraId="5CC08C40" w14:textId="77777777" w:rsidR="002A3B88" w:rsidRDefault="00341F8B" w:rsidP="00341F8B">
            <w:r>
              <w:t>Provider-</w:t>
            </w:r>
          </w:p>
          <w:p w14:paraId="46C4E18A" w14:textId="7C8A3281" w:rsidR="00341F8B" w:rsidRDefault="00341F8B" w:rsidP="00341F8B">
            <w:r>
              <w:t>hour-day</w:t>
            </w:r>
          </w:p>
        </w:tc>
        <w:tc>
          <w:tcPr>
            <w:tcW w:w="1559" w:type="dxa"/>
          </w:tcPr>
          <w:p w14:paraId="0A0D4C3E" w14:textId="2FEE0918" w:rsidR="00341F8B" w:rsidRDefault="00341F8B" w:rsidP="00341F8B">
            <w:r>
              <w:t>1</w:t>
            </w:r>
            <w:r w:rsidR="008E483C">
              <w:t>2</w:t>
            </w:r>
            <w:r>
              <w:t>.</w:t>
            </w:r>
            <w:r w:rsidR="00EB6DC0">
              <w:t>68</w:t>
            </w:r>
            <w:r>
              <w:t xml:space="preserve"> (9.</w:t>
            </w:r>
            <w:r w:rsidR="007B5EA7">
              <w:t>13</w:t>
            </w:r>
            <w:r>
              <w:t>)</w:t>
            </w:r>
          </w:p>
        </w:tc>
        <w:tc>
          <w:tcPr>
            <w:tcW w:w="1418" w:type="dxa"/>
          </w:tcPr>
          <w:p w14:paraId="3181632F" w14:textId="103FE5BF" w:rsidR="00341F8B" w:rsidRDefault="000576D7" w:rsidP="00341F8B">
            <w:r>
              <w:t>3</w:t>
            </w:r>
            <w:r w:rsidR="007B5EA7">
              <w:t>50</w:t>
            </w:r>
          </w:p>
        </w:tc>
        <w:tc>
          <w:tcPr>
            <w:tcW w:w="1559" w:type="dxa"/>
          </w:tcPr>
          <w:p w14:paraId="3B32A996" w14:textId="17A6B18B" w:rsidR="00341F8B" w:rsidRDefault="007B5EA7" w:rsidP="00341F8B">
            <w:r>
              <w:t>13.3</w:t>
            </w:r>
            <w:r w:rsidR="008E483C">
              <w:t>7</w:t>
            </w:r>
            <w:r w:rsidR="00341F8B">
              <w:t xml:space="preserve">  (11.</w:t>
            </w:r>
            <w:r>
              <w:t>59</w:t>
            </w:r>
            <w:r w:rsidR="00341F8B">
              <w:t>)</w:t>
            </w:r>
          </w:p>
        </w:tc>
        <w:tc>
          <w:tcPr>
            <w:tcW w:w="1417" w:type="dxa"/>
          </w:tcPr>
          <w:p w14:paraId="00C25227" w14:textId="36521A64" w:rsidR="00341F8B" w:rsidRDefault="008E483C" w:rsidP="00341F8B">
            <w:r>
              <w:t>8</w:t>
            </w:r>
            <w:r w:rsidR="007B5EA7">
              <w:t>50</w:t>
            </w:r>
          </w:p>
        </w:tc>
        <w:tc>
          <w:tcPr>
            <w:tcW w:w="1418" w:type="dxa"/>
          </w:tcPr>
          <w:p w14:paraId="21A0A8C6" w14:textId="504BA33E" w:rsidR="00341F8B" w:rsidRDefault="00341F8B" w:rsidP="00341F8B">
            <w:r>
              <w:t>0.0</w:t>
            </w:r>
          </w:p>
        </w:tc>
      </w:tr>
    </w:tbl>
    <w:p w14:paraId="409952A4" w14:textId="77777777" w:rsidR="00D276D1" w:rsidRDefault="00D276D1" w:rsidP="008C089E">
      <w:pPr>
        <w:pStyle w:val="Heading2"/>
        <w:sectPr w:rsidR="00D276D1" w:rsidSect="00C62098">
          <w:pgSz w:w="16834" w:h="11909" w:orient="landscape"/>
          <w:pgMar w:top="1440" w:right="1440" w:bottom="1440" w:left="1440" w:header="720" w:footer="720" w:gutter="0"/>
          <w:pgNumType w:start="1"/>
          <w:cols w:space="720"/>
          <w:docGrid w:linePitch="272"/>
        </w:sectPr>
      </w:pPr>
      <w:bookmarkStart w:id="10" w:name="_5u1kombq9iqo" w:colFirst="0" w:colLast="0"/>
      <w:bookmarkEnd w:id="10"/>
    </w:p>
    <w:p w14:paraId="73490572" w14:textId="162C67DD" w:rsidR="008C089E" w:rsidRDefault="008C089E" w:rsidP="008C089E">
      <w:pPr>
        <w:pStyle w:val="Heading2"/>
      </w:pPr>
      <w:r>
        <w:t>Statistical analysis</w:t>
      </w:r>
    </w:p>
    <w:p w14:paraId="5362E38B" w14:textId="642CCBD9" w:rsidR="008C089E" w:rsidRDefault="008C089E" w:rsidP="008C089E">
      <w:pPr>
        <w:spacing w:before="240" w:after="240"/>
      </w:pPr>
      <w:r>
        <w:t>The statistical analysis relies on differences in GPED service availability across EDs and time-of-day to identify the causal effect of GPED on outcomes. Hospitals operate different opening hours for their GPED services and few offer 24/7 coverage. For example, a service might begin at 8am and end at 11pm in one hospital but run from 12pm to 8pm in another hospital.</w:t>
      </w:r>
      <w:r w:rsidR="003A16B3">
        <w:t xml:space="preserve"> As such</w:t>
      </w:r>
      <w:r w:rsidR="00D7621E">
        <w:t xml:space="preserve">, at a given hour, patients attending some EDs will have access to GPED services </w:t>
      </w:r>
      <w:r w:rsidR="00882F28">
        <w:t>whereas patients attending</w:t>
      </w:r>
      <w:r w:rsidR="00D7621E">
        <w:t xml:space="preserve"> </w:t>
      </w:r>
      <w:r w:rsidR="00882F28">
        <w:t>some other ED</w:t>
      </w:r>
      <w:r w:rsidR="009B16BA">
        <w:t>s</w:t>
      </w:r>
      <w:r w:rsidR="00882F28">
        <w:t xml:space="preserve"> will</w:t>
      </w:r>
      <w:r w:rsidR="00D7621E">
        <w:t xml:space="preserve"> not.</w:t>
      </w:r>
      <w:r>
        <w:t xml:space="preserve"> </w:t>
      </w:r>
      <w:r w:rsidR="00D7621E">
        <w:t xml:space="preserve">As patients are likely to attend the </w:t>
      </w:r>
      <w:r w:rsidR="00882F28">
        <w:t xml:space="preserve">ED </w:t>
      </w:r>
      <w:r w:rsidR="006E749E">
        <w:t xml:space="preserve">nearest </w:t>
      </w:r>
      <w:r w:rsidR="00D7621E">
        <w:t xml:space="preserve">to </w:t>
      </w:r>
      <w:r w:rsidR="00882F28">
        <w:t>their usual place of residence</w:t>
      </w:r>
      <w:r w:rsidR="00D7621E">
        <w:t xml:space="preserve"> and </w:t>
      </w:r>
      <w:r w:rsidR="00882F28">
        <w:t>are unlikely to</w:t>
      </w:r>
      <w:r w:rsidR="00D7621E">
        <w:t xml:space="preserve"> plan the timing of their attendance, t</w:t>
      </w:r>
      <w:r>
        <w:t xml:space="preserve">his created a natural experiment in which patients attending the ED at the same hour of the day are quasi-randomly assigned to treatment or control groups based on their local GPED service availability. </w:t>
      </w:r>
      <w:r w:rsidR="00D7621E">
        <w:t xml:space="preserve">To estimate the impact of GPED availability, we consider all </w:t>
      </w:r>
      <w:r w:rsidR="00882F28">
        <w:t xml:space="preserve">24 </w:t>
      </w:r>
      <w:r w:rsidR="00D7621E">
        <w:t xml:space="preserve">hours of the day over the full study period </w:t>
      </w:r>
      <w:r w:rsidR="00882F28">
        <w:t>from 01 April 2018 to 31 March 2019</w:t>
      </w:r>
      <w:r w:rsidR="00D7621E">
        <w:t>.</w:t>
      </w:r>
    </w:p>
    <w:p w14:paraId="13C03287" w14:textId="2FFDEBF1" w:rsidR="008C089E" w:rsidRDefault="008C089E" w:rsidP="008C089E">
      <w:pPr>
        <w:spacing w:before="240" w:after="240"/>
      </w:pPr>
      <w:r>
        <w:t xml:space="preserve">Logit and Poisson regression models were estimated to identify the effect of treatment status on outcomes at patient and provider level. Each outcome was analysed separately. All models controlled for hospital and hour-by-day of week fixed effects, month of year fixed effects, and, in the case of the attendance-level regressions, potential residual confounders in the form of patient age (coded </w:t>
      </w:r>
      <w:r w:rsidR="00956444">
        <w:t>as</w:t>
      </w:r>
      <w:r w:rsidR="00BC0705">
        <w:t xml:space="preserve"> 0,</w:t>
      </w:r>
      <w:r w:rsidR="00956444">
        <w:t xml:space="preserve"> 1, 2 ,3, 4, 5, 6-10, 11-15 … 91-95, 96+</w:t>
      </w:r>
      <w:r>
        <w:t xml:space="preserve">), sex, age-sex interactions, an indicator for arrival by ambulance, and </w:t>
      </w:r>
      <w:r w:rsidR="00685CCB">
        <w:t xml:space="preserve">area-level </w:t>
      </w:r>
      <w:r>
        <w:t>socio-economic deprivation</w:t>
      </w:r>
      <w:r w:rsidR="00673860">
        <w:t xml:space="preserve"> based on </w:t>
      </w:r>
      <w:r w:rsidR="00685CCB">
        <w:t>place of residence</w:t>
      </w:r>
      <w:r w:rsidR="00956444">
        <w:t xml:space="preserve"> (</w:t>
      </w:r>
      <w:r w:rsidR="00935EAC">
        <w:t>Index of Multiple Deprivation (</w:t>
      </w:r>
      <w:r w:rsidR="00F20C56">
        <w:t>IMD</w:t>
      </w:r>
      <w:r w:rsidR="000C3E84">
        <w:t>)</w:t>
      </w:r>
      <w:r w:rsidR="00F20C56">
        <w:t xml:space="preserve"> score </w:t>
      </w:r>
      <w:r w:rsidR="00882F28">
        <w:t xml:space="preserve">grouped </w:t>
      </w:r>
      <w:r w:rsidR="000C3E84">
        <w:t xml:space="preserve">in </w:t>
      </w:r>
      <w:r w:rsidR="00982D95">
        <w:t xml:space="preserve">equal </w:t>
      </w:r>
      <w:r w:rsidR="000C3E84">
        <w:t>quintiles.</w:t>
      </w:r>
      <w:r>
        <w:t xml:space="preserve"> The hospital fixed effects capture time-invariant differences in performance across EDs that reflect hospital-specific factors such as management quality, building infrastructure, and the quality and availability of substitute healthcare services within the local health economy.</w:t>
      </w:r>
      <w:r>
        <w:fldChar w:fldCharType="begin"/>
      </w:r>
      <w:r w:rsidR="00B329DB">
        <w:instrText xml:space="preserve"> ADDIN EN.CITE &lt;EndNote&gt;&lt;Cite&gt;&lt;Author&gt;Wooldridge&lt;/Author&gt;&lt;Year&gt;2002&lt;/Year&gt;&lt;RecNum&gt;26&lt;/RecNum&gt;&lt;DisplayText&gt;&lt;style face="superscript"&gt;21&lt;/style&gt;&lt;/DisplayText&gt;&lt;record&gt;&lt;rec-number&gt;26&lt;/rec-number&gt;&lt;foreign-keys&gt;&lt;key app="EN" db-id="t0wzw90tpz5a0werptqpf0r8tsvst20dvpfz" timestamp="1292940357"&gt;26&lt;/key&gt;&lt;/foreign-keys&gt;&lt;ref-type name="Book"&gt;6&lt;/ref-type&gt;&lt;contributors&gt;&lt;authors&gt;&lt;author&gt;Wooldridge, Jeffrey M&lt;/author&gt;&lt;/authors&gt;&lt;/contributors&gt;&lt;titles&gt;&lt;title&gt;Econometric Analysis of Cross Section and Panel Data&lt;/title&gt;&lt;/titles&gt;&lt;dates&gt;&lt;year&gt;2002&lt;/year&gt;&lt;/dates&gt;&lt;pub-location&gt;Cambridge, Massachusetts&lt;/pub-location&gt;&lt;publisher&gt;MIT Press&lt;/publisher&gt;&lt;urls&gt;&lt;/urls&gt;&lt;/record&gt;&lt;/Cite&gt;&lt;Cite&gt;&lt;Author&gt;Wooldridge&lt;/Author&gt;&lt;Year&gt;2002&lt;/Year&gt;&lt;RecNum&gt;26&lt;/RecNum&gt;&lt;record&gt;&lt;rec-number&gt;26&lt;/rec-number&gt;&lt;foreign-keys&gt;&lt;key app="EN" db-id="t0wzw90tpz5a0werptqpf0r8tsvst20dvpfz" timestamp="1292940357"&gt;26&lt;/key&gt;&lt;/foreign-keys&gt;&lt;ref-type name="Book"&gt;6&lt;/ref-type&gt;&lt;contributors&gt;&lt;authors&gt;&lt;author&gt;Wooldridge, Jeffrey M&lt;/author&gt;&lt;/authors&gt;&lt;/contributors&gt;&lt;titles&gt;&lt;title&gt;Econometric Analysis of Cross Section and Panel Data&lt;/title&gt;&lt;/titles&gt;&lt;dates&gt;&lt;year&gt;2002&lt;/year&gt;&lt;/dates&gt;&lt;pub-location&gt;Cambridge, Massachusetts&lt;/pub-location&gt;&lt;publisher&gt;MIT Press&lt;/publisher&gt;&lt;urls&gt;&lt;/urls&gt;&lt;/record&gt;&lt;/Cite&gt;&lt;/EndNote&gt;</w:instrText>
      </w:r>
      <w:r>
        <w:fldChar w:fldCharType="separate"/>
      </w:r>
      <w:r w:rsidR="00B329DB" w:rsidRPr="00B329DB">
        <w:rPr>
          <w:noProof/>
          <w:vertAlign w:val="superscript"/>
        </w:rPr>
        <w:t>21</w:t>
      </w:r>
      <w:r>
        <w:fldChar w:fldCharType="end"/>
      </w:r>
      <w:r>
        <w:t xml:space="preserve"> The hour-by-day fixed effects capture differences in service availability and patient acuity over the course of the day that follow a common pattern across all hospitals in England. Attendances in the last 7 or 30 days of the sample period were excluded from analysis for outcomes 7-day re</w:t>
      </w:r>
      <w:r w:rsidR="00982D95">
        <w:t>-</w:t>
      </w:r>
      <w:r>
        <w:t xml:space="preserve">attendance and 30-day mortality, respectively. </w:t>
      </w:r>
    </w:p>
    <w:p w14:paraId="4F5F0F27" w14:textId="77777777" w:rsidR="008C089E" w:rsidRDefault="008C089E" w:rsidP="008C089E">
      <w:pPr>
        <w:spacing w:before="240" w:after="240"/>
      </w:pPr>
      <w:r>
        <w:t>Our main analyses assumed a common effect across GPED models. Secondary analyses allowed for subgroup effects by type of GPED model.</w:t>
      </w:r>
    </w:p>
    <w:p w14:paraId="0CD52828" w14:textId="1C7986C2" w:rsidR="008C089E" w:rsidRDefault="008C089E" w:rsidP="008C089E">
      <w:r>
        <w:t xml:space="preserve">The </w:t>
      </w:r>
      <w:r w:rsidR="005A7BEB">
        <w:t xml:space="preserve">estimation </w:t>
      </w:r>
      <w:r>
        <w:t xml:space="preserve">of </w:t>
      </w:r>
      <w:r w:rsidR="005A7BEB">
        <w:t>the impact of GPED</w:t>
      </w:r>
      <w:r>
        <w:t xml:space="preserve"> was limited to time periods where there was variation in GPED service availability across hospitals.</w:t>
      </w:r>
      <w:r w:rsidR="005A7BEB">
        <w:t xml:space="preserve"> While all attendances to analysed EDs in the study period were analysed</w:t>
      </w:r>
      <w:r w:rsidR="006E749E">
        <w:t xml:space="preserve">, </w:t>
      </w:r>
      <w:r w:rsidR="005A7BEB">
        <w:t>p</w:t>
      </w:r>
      <w:r>
        <w:t>atients attending EDs during hours of the day when all/none of the EDs operated a GPED service contributed to the identification of hospital fixed effects and the effect of observed confounders but did not contribute to the statistical identification of the effect of GPED services on outcomes.</w:t>
      </w:r>
      <w:r w:rsidR="00076435">
        <w:t xml:space="preserve"> This group includes 257,532 attendances (5.8% of the full sample.</w:t>
      </w:r>
    </w:p>
    <w:p w14:paraId="687249F7" w14:textId="7F2864C0" w:rsidR="008C089E" w:rsidRDefault="008C089E" w:rsidP="008C089E">
      <w:pPr>
        <w:spacing w:before="240" w:after="240"/>
      </w:pPr>
      <w:r>
        <w:t xml:space="preserve">Estimates are reported as odds ratios (ORs) or incidence rate ratios (IRRs) with associated 95% confidence intervals (CIs). </w:t>
      </w:r>
      <w:r w:rsidR="00470B1A">
        <w:t xml:space="preserve">Figures are rounded to the third decimal due to the large number of ED attendances. </w:t>
      </w:r>
      <w:r>
        <w:t>Bonferroni-Dunn correction was applied to adjust CIs for multiple testing while ensuring an overall family-wise error rate of 5%.</w:t>
      </w:r>
      <w:r>
        <w:fldChar w:fldCharType="begin">
          <w:fldData xml:space="preserve">PEVuZE5vdGU+PENpdGU+PEF1dGhvcj5EdW5uPC9BdXRob3I+PFllYXI+MTk2MTwvWWVhcj48UmVj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==
</w:fldData>
        </w:fldChar>
      </w:r>
      <w:r w:rsidR="00B329DB">
        <w:instrText xml:space="preserve"> ADDIN EN.CITE </w:instrText>
      </w:r>
      <w:r w:rsidR="00B329DB">
        <w:fldChar w:fldCharType="begin">
          <w:fldData xml:space="preserve">PEVuZE5vdGU+PENpdGU+PEF1dGhvcj5EdW5uPC9BdXRob3I+PFllYXI+MTk2MTwvWWVhcj48UmVj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==
</w:fldData>
        </w:fldChar>
      </w:r>
      <w:r w:rsidR="00B329DB">
        <w:instrText xml:space="preserve"> ADDIN EN.CITE.DATA </w:instrText>
      </w:r>
      <w:r w:rsidR="00B329DB">
        <w:fldChar w:fldCharType="end"/>
      </w:r>
      <w:r>
        <w:fldChar w:fldCharType="separate"/>
      </w:r>
      <w:r w:rsidR="00B329DB" w:rsidRPr="00B329DB">
        <w:rPr>
          <w:noProof/>
          <w:vertAlign w:val="superscript"/>
        </w:rPr>
        <w:t>22</w:t>
      </w:r>
      <w:r>
        <w:fldChar w:fldCharType="end"/>
      </w:r>
      <w:r>
        <w:t xml:space="preserve"> Standard errors are clustered at ED level. All analyses were performed in Stata version 16 (</w:t>
      </w:r>
      <w:proofErr w:type="spellStart"/>
      <w:r>
        <w:t>StataCorp</w:t>
      </w:r>
      <w:proofErr w:type="spellEnd"/>
      <w:r>
        <w:t>, College Station, TX, USA).</w:t>
      </w:r>
    </w:p>
    <w:p w14:paraId="2B45937A" w14:textId="70A24FA9" w:rsidR="00AD3011" w:rsidRPr="00AD3011" w:rsidRDefault="00AD3011" w:rsidP="00AD3011">
      <w:pPr>
        <w:pStyle w:val="Heading2"/>
      </w:pPr>
      <w:r w:rsidRPr="00AD3011">
        <w:t xml:space="preserve">Patient and </w:t>
      </w:r>
      <w:r>
        <w:t>p</w:t>
      </w:r>
      <w:r w:rsidRPr="00AD3011">
        <w:t xml:space="preserve">ublic </w:t>
      </w:r>
      <w:r>
        <w:t>i</w:t>
      </w:r>
      <w:r w:rsidRPr="00AD3011">
        <w:t>nvolvement</w:t>
      </w:r>
    </w:p>
    <w:p w14:paraId="109E7D9C" w14:textId="79FABB4C" w:rsidR="00AD3011" w:rsidRDefault="00C05411" w:rsidP="008C089E">
      <w:pPr>
        <w:spacing w:before="240" w:after="240"/>
      </w:pPr>
      <w:r w:rsidRPr="00C05411">
        <w:rPr>
          <w:iCs/>
        </w:rPr>
        <w:t>We held meetings with a patient and public Research Advisory Group throughout the study. We discussed the study methods with this group and presented results for feedback at various stages, modifying the research and its interpretation in response to their feedback. Our final results were disseminated to the Research Advisory Group and others through a collaborative workshop. Our study was an analysis of secondary data; therefore, we did not recruit patients as research participants.</w:t>
      </w:r>
    </w:p>
    <w:p w14:paraId="038C74DB" w14:textId="77777777" w:rsidR="008C089E" w:rsidRDefault="008C089E" w:rsidP="008C089E">
      <w:pPr>
        <w:pStyle w:val="Heading1"/>
      </w:pPr>
      <w:bookmarkStart w:id="11" w:name="_8vq0qrtdlscr" w:colFirst="0" w:colLast="0"/>
      <w:bookmarkEnd w:id="11"/>
      <w:r>
        <w:t>Results</w:t>
      </w:r>
    </w:p>
    <w:p w14:paraId="43DEA8D4" w14:textId="77777777" w:rsidR="008C089E" w:rsidRDefault="008C089E" w:rsidP="008C089E">
      <w:pPr>
        <w:pStyle w:val="Heading2"/>
      </w:pPr>
      <w:bookmarkStart w:id="12" w:name="_elkz9blxgwmv" w:colFirst="0" w:colLast="0"/>
      <w:bookmarkEnd w:id="12"/>
      <w:r>
        <w:t>GPED services</w:t>
      </w:r>
    </w:p>
    <w:p w14:paraId="4FFFA9ED" w14:textId="77777777" w:rsidR="008C089E" w:rsidRDefault="008C089E" w:rsidP="008C089E"/>
    <w:p w14:paraId="1E26CBEE" w14:textId="24E3CBD3" w:rsidR="008C089E" w:rsidRDefault="008C089E" w:rsidP="008C089E">
      <w:r>
        <w:t>Data on GPED service opening hours and GPED model were available for 40 EDs, with a total of 4.6m attendances between April 2018 and March 2019. Most EDs had a GP present between 10am and 10pm on all days of the week (</w:t>
      </w:r>
      <w:r w:rsidR="00E22BEC">
        <w:t>F</w:t>
      </w:r>
      <w:r>
        <w:t>igure 1), which coincides with the time of day in which workload tends to be highest (</w:t>
      </w:r>
      <w:r w:rsidR="00E22BEC">
        <w:t>F</w:t>
      </w:r>
      <w:r>
        <w:t>igure 2). Some hospitals operate different GPED service opening hours during weekdays and weekends, with two hospitals offering no GPED services on weekends. One or more GPs were present in EDs in our sample for a median of 13 hours (IQR: 11 to 15) on weekdays and 13 hours (IQR: 9 to 15) on weekends.</w:t>
      </w:r>
    </w:p>
    <w:p w14:paraId="516A3357" w14:textId="77777777" w:rsidR="008C089E" w:rsidRDefault="008C089E" w:rsidP="008C089E"/>
    <w:p w14:paraId="47CCF8EA" w14:textId="4C1BFDF7" w:rsidR="008C089E" w:rsidRDefault="008C089E" w:rsidP="008C089E">
      <w:r>
        <w:t>Demographic characteristics of patients attending EDs where a GPED service was available and where GPED was not available were similar, on average, and followed a common pattern over the course of the day (</w:t>
      </w:r>
      <w:r>
        <w:rPr>
          <w:i/>
        </w:rPr>
        <w:t>Figure 3</w:t>
      </w:r>
      <w:r>
        <w:t xml:space="preserve">). </w:t>
      </w:r>
      <w:r w:rsidR="00470B1A">
        <w:t>The only exception is deprivation, with p</w:t>
      </w:r>
      <w:r>
        <w:t xml:space="preserve">atients attending EDs where a GPED service was available during the early hours of the day </w:t>
      </w:r>
      <w:r w:rsidR="00470B1A">
        <w:t>being</w:t>
      </w:r>
      <w:r>
        <w:t>, on average, from less deprived neighbourhoods.</w:t>
      </w:r>
    </w:p>
    <w:p w14:paraId="1D7609F8" w14:textId="77777777" w:rsidR="008C089E" w:rsidRDefault="008C089E" w:rsidP="008C089E">
      <w:pPr>
        <w:rPr>
          <w:b/>
        </w:rPr>
      </w:pPr>
      <w:r>
        <w:rPr>
          <w:b/>
        </w:rPr>
        <w:br w:type="page"/>
      </w:r>
    </w:p>
    <w:p w14:paraId="049B7918" w14:textId="3F742E2E" w:rsidR="00625953" w:rsidRPr="00625953" w:rsidRDefault="00625953" w:rsidP="00625953">
      <w:pPr>
        <w:jc w:val="center"/>
        <w:rPr>
          <w:i/>
        </w:rPr>
      </w:pPr>
      <w:r>
        <w:rPr>
          <w:i/>
        </w:rPr>
        <w:t>Figure 1 about here</w:t>
      </w:r>
    </w:p>
    <w:p w14:paraId="54692438" w14:textId="00487A12" w:rsidR="008C089E" w:rsidRDefault="008C089E" w:rsidP="00625953">
      <w:pPr>
        <w:jc w:val="center"/>
        <w:rPr>
          <w:b/>
        </w:rPr>
      </w:pPr>
    </w:p>
    <w:p w14:paraId="777FC114" w14:textId="718DCDEE" w:rsidR="00625953" w:rsidRDefault="00625953" w:rsidP="00625953">
      <w:pPr>
        <w:jc w:val="center"/>
        <w:rPr>
          <w:i/>
        </w:rPr>
      </w:pPr>
      <w:r w:rsidRPr="00625953">
        <w:rPr>
          <w:i/>
        </w:rPr>
        <w:t>Figure 2 about here</w:t>
      </w:r>
    </w:p>
    <w:p w14:paraId="68220AA3" w14:textId="7CFEEDB2" w:rsidR="00625953" w:rsidRDefault="00625953" w:rsidP="00625953">
      <w:pPr>
        <w:jc w:val="center"/>
        <w:rPr>
          <w:i/>
        </w:rPr>
      </w:pPr>
    </w:p>
    <w:p w14:paraId="5AF1C7BD" w14:textId="64AFADC1" w:rsidR="00625953" w:rsidRPr="00625953" w:rsidRDefault="00625953" w:rsidP="00625953">
      <w:pPr>
        <w:jc w:val="center"/>
        <w:rPr>
          <w:i/>
        </w:rPr>
      </w:pPr>
      <w:r>
        <w:rPr>
          <w:i/>
        </w:rPr>
        <w:t>Figure 3 about here</w:t>
      </w:r>
    </w:p>
    <w:p w14:paraId="609F49DD" w14:textId="312A0684" w:rsidR="008C089E" w:rsidRDefault="008C089E" w:rsidP="008C089E">
      <w:pPr>
        <w:rPr>
          <w:b/>
        </w:rPr>
      </w:pPr>
    </w:p>
    <w:p w14:paraId="5616F0B8" w14:textId="77777777" w:rsidR="008C089E" w:rsidRDefault="008C089E" w:rsidP="008C089E">
      <w:pPr>
        <w:pStyle w:val="Heading2"/>
      </w:pPr>
      <w:bookmarkStart w:id="13" w:name="_4j2newrcn0x5" w:colFirst="0" w:colLast="0"/>
      <w:bookmarkEnd w:id="13"/>
      <w:r>
        <w:t>Impact of GPED</w:t>
      </w:r>
    </w:p>
    <w:p w14:paraId="491DB14A" w14:textId="77777777" w:rsidR="008C089E" w:rsidRDefault="008C089E" w:rsidP="008C089E">
      <w:pPr>
        <w:spacing w:before="240" w:after="240"/>
        <w:rPr>
          <w:highlight w:val="yellow"/>
        </w:rPr>
      </w:pPr>
      <w:r>
        <w:t xml:space="preserve">The results of the main analysis are presented in table 2. There was no statistically significant effect of GPED on any of the outcome measures aside from a small, statistically significant reduction in unplanned re-attendances within seven days (OR: 0.968, 95% CI (unadjusted): 0.948 to 0.989). This effect was only detectable for integrated and parallel GPED services, and not for off-site GP services. None of these findings reach statistical significance when adjusted for multiple testing. </w:t>
      </w:r>
    </w:p>
    <w:p w14:paraId="132733AF" w14:textId="77777777" w:rsidR="008C089E" w:rsidRDefault="008C089E" w:rsidP="008C089E">
      <w:pPr>
        <w:spacing w:before="240" w:after="240"/>
      </w:pPr>
    </w:p>
    <w:p w14:paraId="61F68535" w14:textId="77777777" w:rsidR="008C089E" w:rsidRPr="00C05411" w:rsidRDefault="008C089E" w:rsidP="00C05411">
      <w:pPr>
        <w:pStyle w:val="Heading4"/>
        <w:keepNext w:val="0"/>
        <w:keepLines w:val="0"/>
        <w:spacing w:before="240" w:after="40"/>
        <w:rPr>
          <w:bCs/>
          <w:sz w:val="28"/>
          <w:szCs w:val="28"/>
        </w:rPr>
      </w:pPr>
      <w:bookmarkStart w:id="14" w:name="_bz7jlhlat8ql" w:colFirst="0" w:colLast="0"/>
      <w:bookmarkEnd w:id="14"/>
      <w:r w:rsidRPr="00C05411">
        <w:rPr>
          <w:bCs/>
          <w:color w:val="000000"/>
        </w:rPr>
        <w:t>Table 2: Impact of GPED service availability on outcomes, overall and by GPED model</w:t>
      </w:r>
    </w:p>
    <w:p w14:paraId="49612AC7" w14:textId="77777777" w:rsidR="008C089E" w:rsidRDefault="008C089E" w:rsidP="008C089E"/>
    <w:tbl>
      <w:tblPr>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65"/>
        <w:gridCol w:w="2265"/>
        <w:gridCol w:w="2265"/>
        <w:gridCol w:w="2235"/>
      </w:tblGrid>
      <w:tr w:rsidR="008C089E" w14:paraId="3B7FDC80" w14:textId="77777777" w:rsidTr="00163C04">
        <w:trPr>
          <w:trHeight w:val="500"/>
        </w:trPr>
        <w:tc>
          <w:tcPr>
            <w:tcW w:w="2265" w:type="dxa"/>
            <w:tcMar>
              <w:top w:w="100" w:type="dxa"/>
              <w:left w:w="100" w:type="dxa"/>
              <w:bottom w:w="100" w:type="dxa"/>
              <w:right w:w="100" w:type="dxa"/>
            </w:tcMar>
          </w:tcPr>
          <w:p w14:paraId="2FB2FD0B" w14:textId="77777777" w:rsidR="008C089E" w:rsidRDefault="008C089E" w:rsidP="00163C04">
            <w:pPr>
              <w:widowControl w:val="0"/>
              <w:pBdr>
                <w:top w:val="nil"/>
                <w:left w:val="nil"/>
                <w:bottom w:val="nil"/>
                <w:right w:val="nil"/>
                <w:between w:val="nil"/>
              </w:pBdr>
              <w:rPr>
                <w:b/>
              </w:rPr>
            </w:pPr>
            <w:r>
              <w:rPr>
                <w:b/>
              </w:rPr>
              <w:t>Outcome / GPED model</w:t>
            </w:r>
          </w:p>
        </w:tc>
        <w:tc>
          <w:tcPr>
            <w:tcW w:w="2265" w:type="dxa"/>
            <w:tcMar>
              <w:top w:w="100" w:type="dxa"/>
              <w:left w:w="100" w:type="dxa"/>
              <w:bottom w:w="100" w:type="dxa"/>
              <w:right w:w="100" w:type="dxa"/>
            </w:tcMar>
          </w:tcPr>
          <w:p w14:paraId="00A2664B" w14:textId="77777777" w:rsidR="008C089E" w:rsidRDefault="008C089E" w:rsidP="00163C04">
            <w:pPr>
              <w:widowControl w:val="0"/>
              <w:pBdr>
                <w:top w:val="nil"/>
                <w:left w:val="nil"/>
                <w:bottom w:val="nil"/>
                <w:right w:val="nil"/>
                <w:between w:val="nil"/>
              </w:pBdr>
              <w:rPr>
                <w:b/>
              </w:rPr>
            </w:pPr>
            <w:r>
              <w:rPr>
                <w:b/>
              </w:rPr>
              <w:t>OR / IRR</w:t>
            </w:r>
          </w:p>
        </w:tc>
        <w:tc>
          <w:tcPr>
            <w:tcW w:w="2265" w:type="dxa"/>
            <w:tcMar>
              <w:top w:w="100" w:type="dxa"/>
              <w:left w:w="100" w:type="dxa"/>
              <w:bottom w:w="100" w:type="dxa"/>
              <w:right w:w="100" w:type="dxa"/>
            </w:tcMar>
          </w:tcPr>
          <w:p w14:paraId="713AEFCF" w14:textId="77777777" w:rsidR="008C089E" w:rsidRDefault="008C089E" w:rsidP="00163C04">
            <w:pPr>
              <w:widowControl w:val="0"/>
              <w:pBdr>
                <w:top w:val="nil"/>
                <w:left w:val="nil"/>
                <w:bottom w:val="nil"/>
                <w:right w:val="nil"/>
                <w:between w:val="nil"/>
              </w:pBdr>
              <w:rPr>
                <w:b/>
              </w:rPr>
            </w:pPr>
            <w:r>
              <w:rPr>
                <w:b/>
              </w:rPr>
              <w:t>95% CI (unadjusted)</w:t>
            </w:r>
          </w:p>
        </w:tc>
        <w:tc>
          <w:tcPr>
            <w:tcW w:w="2235" w:type="dxa"/>
            <w:tcMar>
              <w:top w:w="100" w:type="dxa"/>
              <w:left w:w="100" w:type="dxa"/>
              <w:bottom w:w="100" w:type="dxa"/>
              <w:right w:w="100" w:type="dxa"/>
            </w:tcMar>
          </w:tcPr>
          <w:p w14:paraId="7D0ECA9D" w14:textId="77777777" w:rsidR="008C089E" w:rsidRDefault="008C089E" w:rsidP="00163C04">
            <w:pPr>
              <w:widowControl w:val="0"/>
              <w:pBdr>
                <w:top w:val="nil"/>
                <w:left w:val="nil"/>
                <w:bottom w:val="nil"/>
                <w:right w:val="nil"/>
                <w:between w:val="nil"/>
              </w:pBdr>
              <w:rPr>
                <w:b/>
              </w:rPr>
            </w:pPr>
            <w:r>
              <w:rPr>
                <w:b/>
              </w:rPr>
              <w:t>95% CI (adjusted for multiple testing)</w:t>
            </w:r>
          </w:p>
        </w:tc>
      </w:tr>
      <w:tr w:rsidR="00C32895" w14:paraId="5940F79F" w14:textId="77777777" w:rsidTr="00163C04">
        <w:trPr>
          <w:trHeight w:val="500"/>
        </w:trPr>
        <w:tc>
          <w:tcPr>
            <w:tcW w:w="9030" w:type="dxa"/>
            <w:gridSpan w:val="4"/>
            <w:tcMar>
              <w:top w:w="100" w:type="dxa"/>
              <w:left w:w="100" w:type="dxa"/>
              <w:bottom w:w="100" w:type="dxa"/>
              <w:right w:w="100" w:type="dxa"/>
            </w:tcMar>
          </w:tcPr>
          <w:p w14:paraId="4536900C" w14:textId="75250EF1" w:rsidR="00C32895" w:rsidRDefault="00C32895" w:rsidP="00163C04">
            <w:pPr>
              <w:widowControl w:val="0"/>
              <w:pBdr>
                <w:top w:val="nil"/>
                <w:left w:val="nil"/>
                <w:bottom w:val="nil"/>
                <w:right w:val="nil"/>
                <w:between w:val="nil"/>
              </w:pBdr>
            </w:pPr>
            <w:r>
              <w:t>Wait over 4 hours</w:t>
            </w:r>
            <w:r w:rsidR="00A5322B">
              <w:t xml:space="preserve"> (</w:t>
            </w:r>
            <w:r w:rsidR="00DE5C6F">
              <w:t>N</w:t>
            </w:r>
            <w:r w:rsidR="00A5322B">
              <w:t xml:space="preserve"> = </w:t>
            </w:r>
            <w:r w:rsidR="001C3E07">
              <w:t>4,417,155</w:t>
            </w:r>
            <w:r w:rsidR="00DE5C6F">
              <w:t xml:space="preserve"> attendances</w:t>
            </w:r>
            <w:r w:rsidR="001C3E07">
              <w:t xml:space="preserve">) </w:t>
            </w:r>
          </w:p>
        </w:tc>
      </w:tr>
      <w:tr w:rsidR="008C089E" w14:paraId="5C8E4D71" w14:textId="77777777" w:rsidTr="00163C04">
        <w:trPr>
          <w:trHeight w:val="500"/>
        </w:trPr>
        <w:tc>
          <w:tcPr>
            <w:tcW w:w="2265" w:type="dxa"/>
            <w:tcMar>
              <w:top w:w="100" w:type="dxa"/>
              <w:left w:w="100" w:type="dxa"/>
              <w:bottom w:w="100" w:type="dxa"/>
              <w:right w:w="100" w:type="dxa"/>
            </w:tcMar>
          </w:tcPr>
          <w:p w14:paraId="2C6871BE" w14:textId="77777777" w:rsidR="008C089E" w:rsidRDefault="008C089E" w:rsidP="00163C04">
            <w:pPr>
              <w:widowControl w:val="0"/>
              <w:pBdr>
                <w:top w:val="nil"/>
                <w:left w:val="nil"/>
                <w:bottom w:val="nil"/>
                <w:right w:val="nil"/>
                <w:between w:val="nil"/>
              </w:pBdr>
              <w:ind w:left="720"/>
            </w:pPr>
            <w:r>
              <w:t>Overall</w:t>
            </w:r>
          </w:p>
        </w:tc>
        <w:tc>
          <w:tcPr>
            <w:tcW w:w="2265" w:type="dxa"/>
            <w:tcMar>
              <w:top w:w="100" w:type="dxa"/>
              <w:left w:w="100" w:type="dxa"/>
              <w:bottom w:w="100" w:type="dxa"/>
              <w:right w:w="100" w:type="dxa"/>
            </w:tcMar>
          </w:tcPr>
          <w:p w14:paraId="3DE05DD7" w14:textId="77777777" w:rsidR="008C089E" w:rsidRDefault="008C089E" w:rsidP="00163C04">
            <w:pPr>
              <w:widowControl w:val="0"/>
              <w:pBdr>
                <w:top w:val="nil"/>
                <w:left w:val="nil"/>
                <w:bottom w:val="nil"/>
                <w:right w:val="nil"/>
                <w:between w:val="nil"/>
              </w:pBdr>
            </w:pPr>
            <w:r>
              <w:t>1.012</w:t>
            </w:r>
          </w:p>
        </w:tc>
        <w:tc>
          <w:tcPr>
            <w:tcW w:w="2265" w:type="dxa"/>
            <w:tcMar>
              <w:top w:w="100" w:type="dxa"/>
              <w:left w:w="100" w:type="dxa"/>
              <w:bottom w:w="100" w:type="dxa"/>
              <w:right w:w="100" w:type="dxa"/>
            </w:tcMar>
          </w:tcPr>
          <w:p w14:paraId="637CD672" w14:textId="77777777" w:rsidR="008C089E" w:rsidRDefault="008C089E" w:rsidP="00163C04">
            <w:pPr>
              <w:widowControl w:val="0"/>
              <w:pBdr>
                <w:top w:val="nil"/>
                <w:left w:val="nil"/>
                <w:bottom w:val="nil"/>
                <w:right w:val="nil"/>
                <w:between w:val="nil"/>
              </w:pBdr>
            </w:pPr>
            <w:r>
              <w:t>0.927 to 1.105</w:t>
            </w:r>
          </w:p>
        </w:tc>
        <w:tc>
          <w:tcPr>
            <w:tcW w:w="2235" w:type="dxa"/>
            <w:tcMar>
              <w:top w:w="100" w:type="dxa"/>
              <w:left w:w="100" w:type="dxa"/>
              <w:bottom w:w="100" w:type="dxa"/>
              <w:right w:w="100" w:type="dxa"/>
            </w:tcMar>
          </w:tcPr>
          <w:p w14:paraId="473BCF58" w14:textId="2FEB1533" w:rsidR="008C089E" w:rsidRDefault="008C089E" w:rsidP="00163C04">
            <w:pPr>
              <w:widowControl w:val="0"/>
            </w:pPr>
            <w:r>
              <w:t>0.87</w:t>
            </w:r>
            <w:r w:rsidR="00EB356B">
              <w:t>0</w:t>
            </w:r>
            <w:r>
              <w:t xml:space="preserve"> to 1.15</w:t>
            </w:r>
            <w:r w:rsidR="00DB4E91">
              <w:t>3</w:t>
            </w:r>
          </w:p>
        </w:tc>
      </w:tr>
      <w:tr w:rsidR="008C089E" w14:paraId="2E1249F3" w14:textId="77777777" w:rsidTr="00163C04">
        <w:trPr>
          <w:trHeight w:val="500"/>
        </w:trPr>
        <w:tc>
          <w:tcPr>
            <w:tcW w:w="2265" w:type="dxa"/>
            <w:tcMar>
              <w:top w:w="100" w:type="dxa"/>
              <w:left w:w="100" w:type="dxa"/>
              <w:bottom w:w="100" w:type="dxa"/>
              <w:right w:w="100" w:type="dxa"/>
            </w:tcMar>
          </w:tcPr>
          <w:p w14:paraId="5A3DC629" w14:textId="77777777" w:rsidR="008C089E" w:rsidRDefault="008C089E" w:rsidP="00163C04">
            <w:pPr>
              <w:widowControl w:val="0"/>
              <w:pBdr>
                <w:top w:val="nil"/>
                <w:left w:val="nil"/>
                <w:bottom w:val="nil"/>
                <w:right w:val="nil"/>
                <w:between w:val="nil"/>
              </w:pBdr>
              <w:ind w:left="720"/>
            </w:pPr>
            <w:r>
              <w:t>Integrated</w:t>
            </w:r>
          </w:p>
        </w:tc>
        <w:tc>
          <w:tcPr>
            <w:tcW w:w="2265" w:type="dxa"/>
            <w:tcMar>
              <w:top w:w="100" w:type="dxa"/>
              <w:left w:w="100" w:type="dxa"/>
              <w:bottom w:w="100" w:type="dxa"/>
              <w:right w:w="100" w:type="dxa"/>
            </w:tcMar>
          </w:tcPr>
          <w:p w14:paraId="0EE7F222" w14:textId="77777777" w:rsidR="008C089E" w:rsidRDefault="008C089E" w:rsidP="00163C04">
            <w:pPr>
              <w:widowControl w:val="0"/>
              <w:pBdr>
                <w:top w:val="nil"/>
                <w:left w:val="nil"/>
                <w:bottom w:val="nil"/>
                <w:right w:val="nil"/>
                <w:between w:val="nil"/>
              </w:pBdr>
            </w:pPr>
            <w:r>
              <w:t>0.906</w:t>
            </w:r>
          </w:p>
        </w:tc>
        <w:tc>
          <w:tcPr>
            <w:tcW w:w="2265" w:type="dxa"/>
            <w:tcMar>
              <w:top w:w="100" w:type="dxa"/>
              <w:left w:w="100" w:type="dxa"/>
              <w:bottom w:w="100" w:type="dxa"/>
              <w:right w:w="100" w:type="dxa"/>
            </w:tcMar>
          </w:tcPr>
          <w:p w14:paraId="7340B0A8" w14:textId="77777777" w:rsidR="008C089E" w:rsidRDefault="008C089E" w:rsidP="00163C04">
            <w:pPr>
              <w:widowControl w:val="0"/>
              <w:pBdr>
                <w:top w:val="nil"/>
                <w:left w:val="nil"/>
                <w:bottom w:val="nil"/>
                <w:right w:val="nil"/>
                <w:between w:val="nil"/>
              </w:pBdr>
            </w:pPr>
            <w:r>
              <w:t>0.793 to 1.034</w:t>
            </w:r>
          </w:p>
        </w:tc>
        <w:tc>
          <w:tcPr>
            <w:tcW w:w="2235" w:type="dxa"/>
            <w:tcMar>
              <w:top w:w="100" w:type="dxa"/>
              <w:left w:w="100" w:type="dxa"/>
              <w:bottom w:w="100" w:type="dxa"/>
              <w:right w:w="100" w:type="dxa"/>
            </w:tcMar>
          </w:tcPr>
          <w:p w14:paraId="13C6009D" w14:textId="3791B832" w:rsidR="008C089E" w:rsidRDefault="008C089E" w:rsidP="00163C04">
            <w:pPr>
              <w:widowControl w:val="0"/>
            </w:pPr>
            <w:r>
              <w:t>0.69</w:t>
            </w:r>
            <w:r w:rsidR="00DB4E91">
              <w:t>4</w:t>
            </w:r>
            <w:r>
              <w:t xml:space="preserve"> to 1.11</w:t>
            </w:r>
            <w:r w:rsidR="00DB4E91">
              <w:t>8</w:t>
            </w:r>
          </w:p>
        </w:tc>
      </w:tr>
      <w:tr w:rsidR="008C089E" w14:paraId="31882B16" w14:textId="77777777" w:rsidTr="00163C04">
        <w:trPr>
          <w:trHeight w:val="500"/>
        </w:trPr>
        <w:tc>
          <w:tcPr>
            <w:tcW w:w="2265" w:type="dxa"/>
            <w:tcMar>
              <w:top w:w="100" w:type="dxa"/>
              <w:left w:w="100" w:type="dxa"/>
              <w:bottom w:w="100" w:type="dxa"/>
              <w:right w:w="100" w:type="dxa"/>
            </w:tcMar>
          </w:tcPr>
          <w:p w14:paraId="0EABAAA0" w14:textId="77777777" w:rsidR="008C089E" w:rsidRDefault="008C089E" w:rsidP="00163C04">
            <w:pPr>
              <w:widowControl w:val="0"/>
              <w:pBdr>
                <w:top w:val="nil"/>
                <w:left w:val="nil"/>
                <w:bottom w:val="nil"/>
                <w:right w:val="nil"/>
                <w:between w:val="nil"/>
              </w:pBdr>
              <w:ind w:left="720"/>
            </w:pPr>
            <w:r>
              <w:t>Parallel</w:t>
            </w:r>
          </w:p>
        </w:tc>
        <w:tc>
          <w:tcPr>
            <w:tcW w:w="2265" w:type="dxa"/>
            <w:tcMar>
              <w:top w:w="100" w:type="dxa"/>
              <w:left w:w="100" w:type="dxa"/>
              <w:bottom w:w="100" w:type="dxa"/>
              <w:right w:w="100" w:type="dxa"/>
            </w:tcMar>
          </w:tcPr>
          <w:p w14:paraId="6ABD6A34" w14:textId="2A6CC6FA" w:rsidR="008C089E" w:rsidRDefault="00EB356B" w:rsidP="00163C04">
            <w:pPr>
              <w:widowControl w:val="0"/>
              <w:pBdr>
                <w:top w:val="nil"/>
                <w:left w:val="nil"/>
                <w:bottom w:val="nil"/>
                <w:right w:val="nil"/>
                <w:between w:val="nil"/>
              </w:pBdr>
            </w:pPr>
            <w:r>
              <w:t>0.997</w:t>
            </w:r>
          </w:p>
        </w:tc>
        <w:tc>
          <w:tcPr>
            <w:tcW w:w="2265" w:type="dxa"/>
            <w:tcMar>
              <w:top w:w="100" w:type="dxa"/>
              <w:left w:w="100" w:type="dxa"/>
              <w:bottom w:w="100" w:type="dxa"/>
              <w:right w:w="100" w:type="dxa"/>
            </w:tcMar>
          </w:tcPr>
          <w:p w14:paraId="7FA041ED" w14:textId="77777777" w:rsidR="008C089E" w:rsidRDefault="008C089E" w:rsidP="00163C04">
            <w:pPr>
              <w:widowControl w:val="0"/>
              <w:pBdr>
                <w:top w:val="nil"/>
                <w:left w:val="nil"/>
                <w:bottom w:val="nil"/>
                <w:right w:val="nil"/>
                <w:between w:val="nil"/>
              </w:pBdr>
            </w:pPr>
            <w:r>
              <w:t>0.863 to 1.132</w:t>
            </w:r>
          </w:p>
        </w:tc>
        <w:tc>
          <w:tcPr>
            <w:tcW w:w="2235" w:type="dxa"/>
            <w:tcMar>
              <w:top w:w="100" w:type="dxa"/>
              <w:left w:w="100" w:type="dxa"/>
              <w:bottom w:w="100" w:type="dxa"/>
              <w:right w:w="100" w:type="dxa"/>
            </w:tcMar>
          </w:tcPr>
          <w:p w14:paraId="420E16A9" w14:textId="02C9569B" w:rsidR="008C089E" w:rsidRDefault="008C089E" w:rsidP="00163C04">
            <w:pPr>
              <w:widowControl w:val="0"/>
            </w:pPr>
            <w:r>
              <w:t>0.78</w:t>
            </w:r>
            <w:r w:rsidR="00EB356B">
              <w:t>3</w:t>
            </w:r>
            <w:r>
              <w:t xml:space="preserve"> to 1.21</w:t>
            </w:r>
            <w:r w:rsidR="00EB356B">
              <w:t>1</w:t>
            </w:r>
          </w:p>
        </w:tc>
      </w:tr>
      <w:tr w:rsidR="008C089E" w14:paraId="462785BD" w14:textId="77777777" w:rsidTr="00163C04">
        <w:trPr>
          <w:trHeight w:val="500"/>
        </w:trPr>
        <w:tc>
          <w:tcPr>
            <w:tcW w:w="2265" w:type="dxa"/>
            <w:tcMar>
              <w:top w:w="100" w:type="dxa"/>
              <w:left w:w="100" w:type="dxa"/>
              <w:bottom w:w="100" w:type="dxa"/>
              <w:right w:w="100" w:type="dxa"/>
            </w:tcMar>
          </w:tcPr>
          <w:p w14:paraId="4FE9AEBA" w14:textId="77777777" w:rsidR="008C089E" w:rsidRDefault="008C089E" w:rsidP="00163C04">
            <w:pPr>
              <w:widowControl w:val="0"/>
              <w:pBdr>
                <w:top w:val="nil"/>
                <w:left w:val="nil"/>
                <w:bottom w:val="nil"/>
                <w:right w:val="nil"/>
                <w:between w:val="nil"/>
              </w:pBdr>
              <w:ind w:left="720"/>
            </w:pPr>
            <w:r>
              <w:t>Off-site</w:t>
            </w:r>
          </w:p>
        </w:tc>
        <w:tc>
          <w:tcPr>
            <w:tcW w:w="2265" w:type="dxa"/>
            <w:tcMar>
              <w:top w:w="100" w:type="dxa"/>
              <w:left w:w="100" w:type="dxa"/>
              <w:bottom w:w="100" w:type="dxa"/>
              <w:right w:w="100" w:type="dxa"/>
            </w:tcMar>
          </w:tcPr>
          <w:p w14:paraId="52E0F733" w14:textId="77777777" w:rsidR="008C089E" w:rsidRDefault="008C089E" w:rsidP="00163C04">
            <w:pPr>
              <w:widowControl w:val="0"/>
              <w:pBdr>
                <w:top w:val="nil"/>
                <w:left w:val="nil"/>
                <w:bottom w:val="nil"/>
                <w:right w:val="nil"/>
                <w:between w:val="nil"/>
              </w:pBdr>
            </w:pPr>
            <w:r>
              <w:t>1.077</w:t>
            </w:r>
          </w:p>
        </w:tc>
        <w:tc>
          <w:tcPr>
            <w:tcW w:w="2265" w:type="dxa"/>
            <w:tcMar>
              <w:top w:w="100" w:type="dxa"/>
              <w:left w:w="100" w:type="dxa"/>
              <w:bottom w:w="100" w:type="dxa"/>
              <w:right w:w="100" w:type="dxa"/>
            </w:tcMar>
          </w:tcPr>
          <w:p w14:paraId="1B78535E" w14:textId="77777777" w:rsidR="008C089E" w:rsidRDefault="008C089E" w:rsidP="00163C04">
            <w:pPr>
              <w:widowControl w:val="0"/>
              <w:pBdr>
                <w:top w:val="nil"/>
                <w:left w:val="nil"/>
                <w:bottom w:val="nil"/>
                <w:right w:val="nil"/>
                <w:between w:val="nil"/>
              </w:pBdr>
            </w:pPr>
            <w:r>
              <w:t>0.972 to 1.182</w:t>
            </w:r>
          </w:p>
        </w:tc>
        <w:tc>
          <w:tcPr>
            <w:tcW w:w="2235" w:type="dxa"/>
            <w:tcMar>
              <w:top w:w="100" w:type="dxa"/>
              <w:left w:w="100" w:type="dxa"/>
              <w:bottom w:w="100" w:type="dxa"/>
              <w:right w:w="100" w:type="dxa"/>
            </w:tcMar>
          </w:tcPr>
          <w:p w14:paraId="72230FF1" w14:textId="4BC4666F" w:rsidR="008C089E" w:rsidRDefault="008C089E" w:rsidP="00163C04">
            <w:pPr>
              <w:widowControl w:val="0"/>
            </w:pPr>
            <w:r>
              <w:t>0.91</w:t>
            </w:r>
            <w:r w:rsidR="00EB356B">
              <w:t>0</w:t>
            </w:r>
            <w:r>
              <w:t xml:space="preserve"> to 1.24</w:t>
            </w:r>
            <w:r w:rsidR="00EB356B">
              <w:t>4</w:t>
            </w:r>
          </w:p>
        </w:tc>
      </w:tr>
      <w:tr w:rsidR="00C32895" w14:paraId="0C4D1C38" w14:textId="77777777" w:rsidTr="00163C04">
        <w:trPr>
          <w:trHeight w:val="500"/>
        </w:trPr>
        <w:tc>
          <w:tcPr>
            <w:tcW w:w="9030" w:type="dxa"/>
            <w:gridSpan w:val="4"/>
            <w:tcMar>
              <w:top w:w="100" w:type="dxa"/>
              <w:left w:w="100" w:type="dxa"/>
              <w:bottom w:w="100" w:type="dxa"/>
              <w:right w:w="100" w:type="dxa"/>
            </w:tcMar>
          </w:tcPr>
          <w:p w14:paraId="142937C4" w14:textId="676DEA20" w:rsidR="00C32895" w:rsidRDefault="00C32895" w:rsidP="00163C04">
            <w:pPr>
              <w:widowControl w:val="0"/>
              <w:pBdr>
                <w:top w:val="nil"/>
                <w:left w:val="nil"/>
                <w:bottom w:val="nil"/>
                <w:right w:val="nil"/>
                <w:between w:val="nil"/>
              </w:pBdr>
            </w:pPr>
            <w:r>
              <w:t>Unplanned re-attendance</w:t>
            </w:r>
            <w:r w:rsidR="001C3E07">
              <w:t xml:space="preserve"> within 7 days (</w:t>
            </w:r>
            <w:r w:rsidR="00DE5C6F">
              <w:t>N</w:t>
            </w:r>
            <w:r w:rsidR="001C3E07">
              <w:t xml:space="preserve"> = 4,198,299</w:t>
            </w:r>
            <w:r w:rsidR="00DE5C6F">
              <w:t xml:space="preserve"> attendances)</w:t>
            </w:r>
          </w:p>
        </w:tc>
      </w:tr>
      <w:tr w:rsidR="008C089E" w14:paraId="2E801AF1" w14:textId="77777777" w:rsidTr="00163C04">
        <w:trPr>
          <w:trHeight w:val="500"/>
        </w:trPr>
        <w:tc>
          <w:tcPr>
            <w:tcW w:w="2265" w:type="dxa"/>
            <w:tcMar>
              <w:top w:w="100" w:type="dxa"/>
              <w:left w:w="100" w:type="dxa"/>
              <w:bottom w:w="100" w:type="dxa"/>
              <w:right w:w="100" w:type="dxa"/>
            </w:tcMar>
          </w:tcPr>
          <w:p w14:paraId="054044CC" w14:textId="77777777" w:rsidR="008C089E" w:rsidRDefault="008C089E" w:rsidP="00163C04">
            <w:pPr>
              <w:widowControl w:val="0"/>
              <w:pBdr>
                <w:top w:val="nil"/>
                <w:left w:val="nil"/>
                <w:bottom w:val="nil"/>
                <w:right w:val="nil"/>
                <w:between w:val="nil"/>
              </w:pBdr>
              <w:ind w:left="720"/>
            </w:pPr>
            <w:r>
              <w:t>Overall</w:t>
            </w:r>
          </w:p>
        </w:tc>
        <w:tc>
          <w:tcPr>
            <w:tcW w:w="2265" w:type="dxa"/>
            <w:tcMar>
              <w:top w:w="100" w:type="dxa"/>
              <w:left w:w="100" w:type="dxa"/>
              <w:bottom w:w="100" w:type="dxa"/>
              <w:right w:w="100" w:type="dxa"/>
            </w:tcMar>
          </w:tcPr>
          <w:p w14:paraId="0D9BFF48" w14:textId="77777777" w:rsidR="008C089E" w:rsidRDefault="008C089E" w:rsidP="00163C04">
            <w:pPr>
              <w:widowControl w:val="0"/>
              <w:pBdr>
                <w:top w:val="nil"/>
                <w:left w:val="nil"/>
                <w:bottom w:val="nil"/>
                <w:right w:val="nil"/>
                <w:between w:val="nil"/>
              </w:pBdr>
            </w:pPr>
            <w:r>
              <w:t>0.968</w:t>
            </w:r>
          </w:p>
        </w:tc>
        <w:tc>
          <w:tcPr>
            <w:tcW w:w="2265" w:type="dxa"/>
            <w:tcMar>
              <w:top w:w="100" w:type="dxa"/>
              <w:left w:w="100" w:type="dxa"/>
              <w:bottom w:w="100" w:type="dxa"/>
              <w:right w:w="100" w:type="dxa"/>
            </w:tcMar>
          </w:tcPr>
          <w:p w14:paraId="349D3756" w14:textId="77777777" w:rsidR="008C089E" w:rsidRDefault="008C089E" w:rsidP="00163C04">
            <w:pPr>
              <w:widowControl w:val="0"/>
              <w:pBdr>
                <w:top w:val="nil"/>
                <w:left w:val="nil"/>
                <w:bottom w:val="nil"/>
                <w:right w:val="nil"/>
                <w:between w:val="nil"/>
              </w:pBdr>
            </w:pPr>
            <w:r>
              <w:t>0.948 to 0.989</w:t>
            </w:r>
          </w:p>
        </w:tc>
        <w:tc>
          <w:tcPr>
            <w:tcW w:w="2235" w:type="dxa"/>
            <w:tcMar>
              <w:top w:w="100" w:type="dxa"/>
              <w:left w:w="100" w:type="dxa"/>
              <w:bottom w:w="100" w:type="dxa"/>
              <w:right w:w="100" w:type="dxa"/>
            </w:tcMar>
          </w:tcPr>
          <w:p w14:paraId="0E60B157" w14:textId="090D8AEE" w:rsidR="008C089E" w:rsidRDefault="008C089E" w:rsidP="00163C04">
            <w:pPr>
              <w:widowControl w:val="0"/>
            </w:pPr>
            <w:r>
              <w:t>0.93</w:t>
            </w:r>
            <w:r w:rsidR="00EB356B">
              <w:t>5 to 1.001</w:t>
            </w:r>
          </w:p>
        </w:tc>
      </w:tr>
      <w:tr w:rsidR="008C089E" w14:paraId="42738465" w14:textId="77777777" w:rsidTr="00163C04">
        <w:trPr>
          <w:trHeight w:val="500"/>
        </w:trPr>
        <w:tc>
          <w:tcPr>
            <w:tcW w:w="2265" w:type="dxa"/>
            <w:tcMar>
              <w:top w:w="100" w:type="dxa"/>
              <w:left w:w="100" w:type="dxa"/>
              <w:bottom w:w="100" w:type="dxa"/>
              <w:right w:w="100" w:type="dxa"/>
            </w:tcMar>
          </w:tcPr>
          <w:p w14:paraId="03965C35" w14:textId="77777777" w:rsidR="008C089E" w:rsidRDefault="008C089E" w:rsidP="00163C04">
            <w:pPr>
              <w:widowControl w:val="0"/>
              <w:pBdr>
                <w:top w:val="nil"/>
                <w:left w:val="nil"/>
                <w:bottom w:val="nil"/>
                <w:right w:val="nil"/>
                <w:between w:val="nil"/>
              </w:pBdr>
              <w:ind w:left="720"/>
            </w:pPr>
            <w:r>
              <w:t>Integrated</w:t>
            </w:r>
          </w:p>
        </w:tc>
        <w:tc>
          <w:tcPr>
            <w:tcW w:w="2265" w:type="dxa"/>
            <w:tcMar>
              <w:top w:w="100" w:type="dxa"/>
              <w:left w:w="100" w:type="dxa"/>
              <w:bottom w:w="100" w:type="dxa"/>
              <w:right w:w="100" w:type="dxa"/>
            </w:tcMar>
          </w:tcPr>
          <w:p w14:paraId="3A5C09C3" w14:textId="2C6DB041" w:rsidR="008C089E" w:rsidRDefault="008C089E" w:rsidP="00163C04">
            <w:pPr>
              <w:widowControl w:val="0"/>
              <w:pBdr>
                <w:top w:val="nil"/>
                <w:left w:val="nil"/>
                <w:bottom w:val="nil"/>
                <w:right w:val="nil"/>
                <w:between w:val="nil"/>
              </w:pBdr>
            </w:pPr>
            <w:r>
              <w:t>0.93</w:t>
            </w:r>
            <w:r w:rsidR="00DB4E91">
              <w:t>0</w:t>
            </w:r>
          </w:p>
        </w:tc>
        <w:tc>
          <w:tcPr>
            <w:tcW w:w="2265" w:type="dxa"/>
            <w:tcMar>
              <w:top w:w="100" w:type="dxa"/>
              <w:left w:w="100" w:type="dxa"/>
              <w:bottom w:w="100" w:type="dxa"/>
              <w:right w:w="100" w:type="dxa"/>
            </w:tcMar>
          </w:tcPr>
          <w:p w14:paraId="77EF53A1" w14:textId="77777777" w:rsidR="008C089E" w:rsidRDefault="008C089E" w:rsidP="00163C04">
            <w:pPr>
              <w:widowControl w:val="0"/>
              <w:pBdr>
                <w:top w:val="nil"/>
                <w:left w:val="nil"/>
                <w:bottom w:val="nil"/>
                <w:right w:val="nil"/>
                <w:between w:val="nil"/>
              </w:pBdr>
            </w:pPr>
            <w:r>
              <w:t>0.891 to 0.973</w:t>
            </w:r>
          </w:p>
        </w:tc>
        <w:tc>
          <w:tcPr>
            <w:tcW w:w="2235" w:type="dxa"/>
            <w:tcMar>
              <w:top w:w="100" w:type="dxa"/>
              <w:left w:w="100" w:type="dxa"/>
              <w:bottom w:w="100" w:type="dxa"/>
              <w:right w:w="100" w:type="dxa"/>
            </w:tcMar>
          </w:tcPr>
          <w:p w14:paraId="336846DE" w14:textId="4BE77619" w:rsidR="008C089E" w:rsidRDefault="00EB356B" w:rsidP="00EB356B">
            <w:pPr>
              <w:widowControl w:val="0"/>
            </w:pPr>
            <w:r>
              <w:t>0.860</w:t>
            </w:r>
            <w:r w:rsidR="008C089E">
              <w:t xml:space="preserve"> to </w:t>
            </w:r>
            <w:r>
              <w:t>1.000</w:t>
            </w:r>
          </w:p>
        </w:tc>
      </w:tr>
      <w:tr w:rsidR="008C089E" w14:paraId="6C5296D4" w14:textId="77777777" w:rsidTr="00163C04">
        <w:trPr>
          <w:trHeight w:val="500"/>
        </w:trPr>
        <w:tc>
          <w:tcPr>
            <w:tcW w:w="2265" w:type="dxa"/>
            <w:tcMar>
              <w:top w:w="100" w:type="dxa"/>
              <w:left w:w="100" w:type="dxa"/>
              <w:bottom w:w="100" w:type="dxa"/>
              <w:right w:w="100" w:type="dxa"/>
            </w:tcMar>
          </w:tcPr>
          <w:p w14:paraId="64AAF70C" w14:textId="77777777" w:rsidR="008C089E" w:rsidRDefault="008C089E" w:rsidP="00163C04">
            <w:pPr>
              <w:widowControl w:val="0"/>
              <w:pBdr>
                <w:top w:val="nil"/>
                <w:left w:val="nil"/>
                <w:bottom w:val="nil"/>
                <w:right w:val="nil"/>
                <w:between w:val="nil"/>
              </w:pBdr>
              <w:ind w:left="720"/>
            </w:pPr>
            <w:r>
              <w:t>Parallel</w:t>
            </w:r>
          </w:p>
        </w:tc>
        <w:tc>
          <w:tcPr>
            <w:tcW w:w="2265" w:type="dxa"/>
            <w:tcMar>
              <w:top w:w="100" w:type="dxa"/>
              <w:left w:w="100" w:type="dxa"/>
              <w:bottom w:w="100" w:type="dxa"/>
              <w:right w:w="100" w:type="dxa"/>
            </w:tcMar>
          </w:tcPr>
          <w:p w14:paraId="0DD477D5" w14:textId="77777777" w:rsidR="008C089E" w:rsidRDefault="008C089E" w:rsidP="00163C04">
            <w:pPr>
              <w:widowControl w:val="0"/>
              <w:pBdr>
                <w:top w:val="nil"/>
                <w:left w:val="nil"/>
                <w:bottom w:val="nil"/>
                <w:right w:val="nil"/>
                <w:between w:val="nil"/>
              </w:pBdr>
            </w:pPr>
            <w:r>
              <w:t>0.972</w:t>
            </w:r>
          </w:p>
        </w:tc>
        <w:tc>
          <w:tcPr>
            <w:tcW w:w="2265" w:type="dxa"/>
            <w:tcMar>
              <w:top w:w="100" w:type="dxa"/>
              <w:left w:w="100" w:type="dxa"/>
              <w:bottom w:w="100" w:type="dxa"/>
              <w:right w:w="100" w:type="dxa"/>
            </w:tcMar>
          </w:tcPr>
          <w:p w14:paraId="2B05CC25" w14:textId="77777777" w:rsidR="008C089E" w:rsidRDefault="008C089E" w:rsidP="00163C04">
            <w:pPr>
              <w:widowControl w:val="0"/>
              <w:pBdr>
                <w:top w:val="nil"/>
                <w:left w:val="nil"/>
                <w:bottom w:val="nil"/>
                <w:right w:val="nil"/>
                <w:between w:val="nil"/>
              </w:pBdr>
            </w:pPr>
            <w:r>
              <w:t>0.945 to 0.998</w:t>
            </w:r>
          </w:p>
        </w:tc>
        <w:tc>
          <w:tcPr>
            <w:tcW w:w="2235" w:type="dxa"/>
            <w:tcMar>
              <w:top w:w="100" w:type="dxa"/>
              <w:left w:w="100" w:type="dxa"/>
              <w:bottom w:w="100" w:type="dxa"/>
              <w:right w:w="100" w:type="dxa"/>
            </w:tcMar>
          </w:tcPr>
          <w:p w14:paraId="18756FE6" w14:textId="6B4382A0" w:rsidR="008C089E" w:rsidRDefault="008C089E" w:rsidP="00163C04">
            <w:pPr>
              <w:widowControl w:val="0"/>
            </w:pPr>
            <w:r>
              <w:t>0.9</w:t>
            </w:r>
            <w:r w:rsidR="00EB356B">
              <w:t>29</w:t>
            </w:r>
            <w:r>
              <w:t xml:space="preserve"> to 1.01</w:t>
            </w:r>
            <w:r w:rsidR="00EB356B">
              <w:t>4</w:t>
            </w:r>
          </w:p>
        </w:tc>
      </w:tr>
      <w:tr w:rsidR="008C089E" w14:paraId="0B3D54A6" w14:textId="77777777" w:rsidTr="00163C04">
        <w:trPr>
          <w:trHeight w:val="500"/>
        </w:trPr>
        <w:tc>
          <w:tcPr>
            <w:tcW w:w="2265" w:type="dxa"/>
            <w:tcMar>
              <w:top w:w="100" w:type="dxa"/>
              <w:left w:w="100" w:type="dxa"/>
              <w:bottom w:w="100" w:type="dxa"/>
              <w:right w:w="100" w:type="dxa"/>
            </w:tcMar>
          </w:tcPr>
          <w:p w14:paraId="37713FC6" w14:textId="77777777" w:rsidR="008C089E" w:rsidRDefault="008C089E" w:rsidP="00163C04">
            <w:pPr>
              <w:widowControl w:val="0"/>
              <w:pBdr>
                <w:top w:val="nil"/>
                <w:left w:val="nil"/>
                <w:bottom w:val="nil"/>
                <w:right w:val="nil"/>
                <w:between w:val="nil"/>
              </w:pBdr>
              <w:ind w:left="720"/>
            </w:pPr>
            <w:r>
              <w:t>Off-site</w:t>
            </w:r>
          </w:p>
        </w:tc>
        <w:tc>
          <w:tcPr>
            <w:tcW w:w="2265" w:type="dxa"/>
            <w:tcMar>
              <w:top w:w="100" w:type="dxa"/>
              <w:left w:w="100" w:type="dxa"/>
              <w:bottom w:w="100" w:type="dxa"/>
              <w:right w:w="100" w:type="dxa"/>
            </w:tcMar>
          </w:tcPr>
          <w:p w14:paraId="0EA8530B" w14:textId="77777777" w:rsidR="008C089E" w:rsidRDefault="008C089E" w:rsidP="00163C04">
            <w:pPr>
              <w:widowControl w:val="0"/>
              <w:pBdr>
                <w:top w:val="nil"/>
                <w:left w:val="nil"/>
                <w:bottom w:val="nil"/>
                <w:right w:val="nil"/>
                <w:between w:val="nil"/>
              </w:pBdr>
            </w:pPr>
            <w:r>
              <w:t>0.980</w:t>
            </w:r>
          </w:p>
        </w:tc>
        <w:tc>
          <w:tcPr>
            <w:tcW w:w="2265" w:type="dxa"/>
            <w:tcMar>
              <w:top w:w="100" w:type="dxa"/>
              <w:left w:w="100" w:type="dxa"/>
              <w:bottom w:w="100" w:type="dxa"/>
              <w:right w:w="100" w:type="dxa"/>
            </w:tcMar>
          </w:tcPr>
          <w:p w14:paraId="6A8684BE" w14:textId="77777777" w:rsidR="008C089E" w:rsidRDefault="008C089E" w:rsidP="00163C04">
            <w:pPr>
              <w:widowControl w:val="0"/>
              <w:pBdr>
                <w:top w:val="nil"/>
                <w:left w:val="nil"/>
                <w:bottom w:val="nil"/>
                <w:right w:val="nil"/>
                <w:between w:val="nil"/>
              </w:pBdr>
            </w:pPr>
            <w:r>
              <w:t>0.950 to 1.009</w:t>
            </w:r>
          </w:p>
        </w:tc>
        <w:tc>
          <w:tcPr>
            <w:tcW w:w="2235" w:type="dxa"/>
            <w:tcMar>
              <w:top w:w="100" w:type="dxa"/>
              <w:left w:w="100" w:type="dxa"/>
              <w:bottom w:w="100" w:type="dxa"/>
              <w:right w:w="100" w:type="dxa"/>
            </w:tcMar>
          </w:tcPr>
          <w:p w14:paraId="459F4C42" w14:textId="77777777" w:rsidR="008C089E" w:rsidRDefault="008C089E" w:rsidP="00163C04">
            <w:pPr>
              <w:widowControl w:val="0"/>
            </w:pPr>
            <w:r>
              <w:t>0.933 to 1.027</w:t>
            </w:r>
          </w:p>
        </w:tc>
      </w:tr>
      <w:tr w:rsidR="00C32895" w14:paraId="6C9B8F19" w14:textId="77777777" w:rsidTr="00163C04">
        <w:trPr>
          <w:trHeight w:val="500"/>
        </w:trPr>
        <w:tc>
          <w:tcPr>
            <w:tcW w:w="9030" w:type="dxa"/>
            <w:gridSpan w:val="4"/>
            <w:tcMar>
              <w:top w:w="100" w:type="dxa"/>
              <w:left w:w="100" w:type="dxa"/>
              <w:bottom w:w="100" w:type="dxa"/>
              <w:right w:w="100" w:type="dxa"/>
            </w:tcMar>
          </w:tcPr>
          <w:p w14:paraId="6DD3ACDD" w14:textId="47A5A26A" w:rsidR="00C32895" w:rsidRDefault="00C32895" w:rsidP="00163C04">
            <w:pPr>
              <w:widowControl w:val="0"/>
              <w:pBdr>
                <w:top w:val="nil"/>
                <w:left w:val="nil"/>
                <w:bottom w:val="nil"/>
                <w:right w:val="nil"/>
                <w:between w:val="nil"/>
              </w:pBdr>
            </w:pPr>
            <w:r>
              <w:t>Untreated</w:t>
            </w:r>
            <w:r w:rsidR="001C3E07">
              <w:t xml:space="preserve"> (</w:t>
            </w:r>
            <w:r w:rsidR="00DE5C6F">
              <w:t>N</w:t>
            </w:r>
            <w:r w:rsidR="001C3E07">
              <w:t xml:space="preserve"> = 3,793,246</w:t>
            </w:r>
            <w:r w:rsidR="00DE5C6F">
              <w:t xml:space="preserve"> attendances</w:t>
            </w:r>
            <w:r w:rsidR="001C3E07">
              <w:t>)</w:t>
            </w:r>
            <w:r w:rsidR="00DE5C6F" w:rsidDel="00DE5C6F">
              <w:t xml:space="preserve"> </w:t>
            </w:r>
            <w:r w:rsidR="001C3E07">
              <w:t>).</w:t>
            </w:r>
          </w:p>
        </w:tc>
      </w:tr>
      <w:tr w:rsidR="008C089E" w14:paraId="7A093484" w14:textId="77777777" w:rsidTr="00163C04">
        <w:trPr>
          <w:trHeight w:val="500"/>
        </w:trPr>
        <w:tc>
          <w:tcPr>
            <w:tcW w:w="2265" w:type="dxa"/>
            <w:tcMar>
              <w:top w:w="100" w:type="dxa"/>
              <w:left w:w="100" w:type="dxa"/>
              <w:bottom w:w="100" w:type="dxa"/>
              <w:right w:w="100" w:type="dxa"/>
            </w:tcMar>
          </w:tcPr>
          <w:p w14:paraId="26CD92D1" w14:textId="77777777" w:rsidR="008C089E" w:rsidRDefault="008C089E" w:rsidP="00163C04">
            <w:pPr>
              <w:widowControl w:val="0"/>
              <w:pBdr>
                <w:top w:val="nil"/>
                <w:left w:val="nil"/>
                <w:bottom w:val="nil"/>
                <w:right w:val="nil"/>
                <w:between w:val="nil"/>
              </w:pBdr>
              <w:ind w:left="720"/>
            </w:pPr>
            <w:r>
              <w:t>Overall</w:t>
            </w:r>
          </w:p>
        </w:tc>
        <w:tc>
          <w:tcPr>
            <w:tcW w:w="2265" w:type="dxa"/>
            <w:tcMar>
              <w:top w:w="100" w:type="dxa"/>
              <w:left w:w="100" w:type="dxa"/>
              <w:bottom w:w="100" w:type="dxa"/>
              <w:right w:w="100" w:type="dxa"/>
            </w:tcMar>
          </w:tcPr>
          <w:p w14:paraId="37862296" w14:textId="491B5BCF" w:rsidR="008C089E" w:rsidRDefault="008C089E" w:rsidP="00163C04">
            <w:pPr>
              <w:widowControl w:val="0"/>
              <w:pBdr>
                <w:top w:val="nil"/>
                <w:left w:val="nil"/>
                <w:bottom w:val="nil"/>
                <w:right w:val="nil"/>
                <w:between w:val="nil"/>
              </w:pBdr>
            </w:pPr>
            <w:r>
              <w:t>0.91</w:t>
            </w:r>
            <w:r w:rsidR="00DB4E91">
              <w:t>3</w:t>
            </w:r>
          </w:p>
        </w:tc>
        <w:tc>
          <w:tcPr>
            <w:tcW w:w="2265" w:type="dxa"/>
            <w:tcMar>
              <w:top w:w="100" w:type="dxa"/>
              <w:left w:w="100" w:type="dxa"/>
              <w:bottom w:w="100" w:type="dxa"/>
              <w:right w:w="100" w:type="dxa"/>
            </w:tcMar>
          </w:tcPr>
          <w:p w14:paraId="2FE992FC" w14:textId="4AC41ED2" w:rsidR="008C089E" w:rsidRDefault="008C089E" w:rsidP="00163C04">
            <w:pPr>
              <w:widowControl w:val="0"/>
              <w:pBdr>
                <w:top w:val="nil"/>
                <w:left w:val="nil"/>
                <w:bottom w:val="nil"/>
                <w:right w:val="nil"/>
                <w:between w:val="nil"/>
              </w:pBdr>
            </w:pPr>
            <w:r>
              <w:t>0.78</w:t>
            </w:r>
            <w:r w:rsidR="00DB4E91">
              <w:t>7</w:t>
            </w:r>
            <w:r>
              <w:t xml:space="preserve"> to 1.06</w:t>
            </w:r>
            <w:r w:rsidR="00DB4E91">
              <w:t>0</w:t>
            </w:r>
          </w:p>
        </w:tc>
        <w:tc>
          <w:tcPr>
            <w:tcW w:w="2235" w:type="dxa"/>
            <w:tcMar>
              <w:top w:w="100" w:type="dxa"/>
              <w:left w:w="100" w:type="dxa"/>
              <w:bottom w:w="100" w:type="dxa"/>
              <w:right w:w="100" w:type="dxa"/>
            </w:tcMar>
          </w:tcPr>
          <w:p w14:paraId="2EB893C2" w14:textId="0CCAAE21" w:rsidR="008C089E" w:rsidRDefault="008C089E" w:rsidP="00DB4E91">
            <w:pPr>
              <w:widowControl w:val="0"/>
            </w:pPr>
            <w:r>
              <w:t>0.69</w:t>
            </w:r>
            <w:r w:rsidR="00EB356B">
              <w:t>6</w:t>
            </w:r>
            <w:r>
              <w:t xml:space="preserve"> to 1.</w:t>
            </w:r>
            <w:r w:rsidR="00EB356B">
              <w:t>130</w:t>
            </w:r>
          </w:p>
        </w:tc>
      </w:tr>
      <w:tr w:rsidR="008C089E" w14:paraId="2A5A78A6" w14:textId="77777777" w:rsidTr="00163C04">
        <w:trPr>
          <w:trHeight w:val="500"/>
        </w:trPr>
        <w:tc>
          <w:tcPr>
            <w:tcW w:w="2265" w:type="dxa"/>
            <w:tcMar>
              <w:top w:w="100" w:type="dxa"/>
              <w:left w:w="100" w:type="dxa"/>
              <w:bottom w:w="100" w:type="dxa"/>
              <w:right w:w="100" w:type="dxa"/>
            </w:tcMar>
          </w:tcPr>
          <w:p w14:paraId="4E30B140" w14:textId="77777777" w:rsidR="008C089E" w:rsidRDefault="008C089E" w:rsidP="00163C04">
            <w:pPr>
              <w:widowControl w:val="0"/>
              <w:pBdr>
                <w:top w:val="nil"/>
                <w:left w:val="nil"/>
                <w:bottom w:val="nil"/>
                <w:right w:val="nil"/>
                <w:between w:val="nil"/>
              </w:pBdr>
              <w:ind w:left="720"/>
            </w:pPr>
            <w:r>
              <w:t>Integrated</w:t>
            </w:r>
          </w:p>
        </w:tc>
        <w:tc>
          <w:tcPr>
            <w:tcW w:w="2265" w:type="dxa"/>
            <w:tcMar>
              <w:top w:w="100" w:type="dxa"/>
              <w:left w:w="100" w:type="dxa"/>
              <w:bottom w:w="100" w:type="dxa"/>
              <w:right w:w="100" w:type="dxa"/>
            </w:tcMar>
          </w:tcPr>
          <w:p w14:paraId="3D0CC37C" w14:textId="29111C36" w:rsidR="008C089E" w:rsidRDefault="008C089E" w:rsidP="00DB4E91">
            <w:pPr>
              <w:widowControl w:val="0"/>
              <w:pBdr>
                <w:top w:val="nil"/>
                <w:left w:val="nil"/>
                <w:bottom w:val="nil"/>
                <w:right w:val="nil"/>
                <w:between w:val="nil"/>
              </w:pBdr>
            </w:pPr>
            <w:r>
              <w:t>0.</w:t>
            </w:r>
            <w:r w:rsidR="00DB4E91">
              <w:t>976</w:t>
            </w:r>
          </w:p>
        </w:tc>
        <w:tc>
          <w:tcPr>
            <w:tcW w:w="2265" w:type="dxa"/>
            <w:tcMar>
              <w:top w:w="100" w:type="dxa"/>
              <w:left w:w="100" w:type="dxa"/>
              <w:bottom w:w="100" w:type="dxa"/>
              <w:right w:w="100" w:type="dxa"/>
            </w:tcMar>
          </w:tcPr>
          <w:p w14:paraId="2DB440B8" w14:textId="77777777" w:rsidR="008C089E" w:rsidRDefault="008C089E" w:rsidP="00163C04">
            <w:pPr>
              <w:widowControl w:val="0"/>
              <w:pBdr>
                <w:top w:val="nil"/>
                <w:left w:val="nil"/>
                <w:bottom w:val="nil"/>
                <w:right w:val="nil"/>
                <w:between w:val="nil"/>
              </w:pBdr>
            </w:pPr>
            <w:r>
              <w:t>0.837 to 1.142</w:t>
            </w:r>
          </w:p>
        </w:tc>
        <w:tc>
          <w:tcPr>
            <w:tcW w:w="2235" w:type="dxa"/>
            <w:tcMar>
              <w:top w:w="100" w:type="dxa"/>
              <w:left w:w="100" w:type="dxa"/>
              <w:bottom w:w="100" w:type="dxa"/>
              <w:right w:w="100" w:type="dxa"/>
            </w:tcMar>
          </w:tcPr>
          <w:p w14:paraId="7723900F" w14:textId="067FB4FD" w:rsidR="008C089E" w:rsidRDefault="008C089E" w:rsidP="00DB4E91">
            <w:pPr>
              <w:widowControl w:val="0"/>
            </w:pPr>
            <w:r>
              <w:t>0.</w:t>
            </w:r>
            <w:r w:rsidR="00EB356B">
              <w:t>728</w:t>
            </w:r>
            <w:r w:rsidR="00DB4E91">
              <w:t xml:space="preserve"> </w:t>
            </w:r>
            <w:r>
              <w:t>to 1.22</w:t>
            </w:r>
            <w:r w:rsidR="00EB356B">
              <w:t>4</w:t>
            </w:r>
          </w:p>
        </w:tc>
      </w:tr>
      <w:tr w:rsidR="008C089E" w14:paraId="291E2E1E" w14:textId="77777777" w:rsidTr="00163C04">
        <w:trPr>
          <w:trHeight w:val="500"/>
        </w:trPr>
        <w:tc>
          <w:tcPr>
            <w:tcW w:w="2265" w:type="dxa"/>
            <w:tcMar>
              <w:top w:w="100" w:type="dxa"/>
              <w:left w:w="100" w:type="dxa"/>
              <w:bottom w:w="100" w:type="dxa"/>
              <w:right w:w="100" w:type="dxa"/>
            </w:tcMar>
          </w:tcPr>
          <w:p w14:paraId="6BD3530A" w14:textId="77777777" w:rsidR="008C089E" w:rsidRDefault="008C089E" w:rsidP="00163C04">
            <w:pPr>
              <w:widowControl w:val="0"/>
              <w:pBdr>
                <w:top w:val="nil"/>
                <w:left w:val="nil"/>
                <w:bottom w:val="nil"/>
                <w:right w:val="nil"/>
                <w:between w:val="nil"/>
              </w:pBdr>
              <w:ind w:left="720"/>
            </w:pPr>
            <w:r>
              <w:t>Parallel</w:t>
            </w:r>
          </w:p>
        </w:tc>
        <w:tc>
          <w:tcPr>
            <w:tcW w:w="2265" w:type="dxa"/>
            <w:tcMar>
              <w:top w:w="100" w:type="dxa"/>
              <w:left w:w="100" w:type="dxa"/>
              <w:bottom w:w="100" w:type="dxa"/>
              <w:right w:w="100" w:type="dxa"/>
            </w:tcMar>
          </w:tcPr>
          <w:p w14:paraId="2525A590" w14:textId="3312DEF9" w:rsidR="008C089E" w:rsidRDefault="008C089E" w:rsidP="00163C04">
            <w:pPr>
              <w:widowControl w:val="0"/>
              <w:pBdr>
                <w:top w:val="nil"/>
                <w:left w:val="nil"/>
                <w:bottom w:val="nil"/>
                <w:right w:val="nil"/>
                <w:between w:val="nil"/>
              </w:pBdr>
            </w:pPr>
            <w:r>
              <w:t>0.92</w:t>
            </w:r>
            <w:r w:rsidR="00DB4E91">
              <w:t>6</w:t>
            </w:r>
          </w:p>
        </w:tc>
        <w:tc>
          <w:tcPr>
            <w:tcW w:w="2265" w:type="dxa"/>
            <w:tcMar>
              <w:top w:w="100" w:type="dxa"/>
              <w:left w:w="100" w:type="dxa"/>
              <w:bottom w:w="100" w:type="dxa"/>
              <w:right w:w="100" w:type="dxa"/>
            </w:tcMar>
          </w:tcPr>
          <w:p w14:paraId="304D53C4" w14:textId="77777777" w:rsidR="008C089E" w:rsidRDefault="008C089E" w:rsidP="00163C04">
            <w:pPr>
              <w:widowControl w:val="0"/>
              <w:pBdr>
                <w:top w:val="nil"/>
                <w:left w:val="nil"/>
                <w:bottom w:val="nil"/>
                <w:right w:val="nil"/>
                <w:between w:val="nil"/>
              </w:pBdr>
            </w:pPr>
            <w:r>
              <w:t>0.730 to 1.124</w:t>
            </w:r>
          </w:p>
        </w:tc>
        <w:tc>
          <w:tcPr>
            <w:tcW w:w="2235" w:type="dxa"/>
            <w:tcMar>
              <w:top w:w="100" w:type="dxa"/>
              <w:left w:w="100" w:type="dxa"/>
              <w:bottom w:w="100" w:type="dxa"/>
              <w:right w:w="100" w:type="dxa"/>
            </w:tcMar>
          </w:tcPr>
          <w:p w14:paraId="21934080" w14:textId="1B09153E" w:rsidR="008C089E" w:rsidRDefault="008C089E" w:rsidP="00163C04">
            <w:pPr>
              <w:widowControl w:val="0"/>
            </w:pPr>
            <w:r>
              <w:t>0.61</w:t>
            </w:r>
            <w:r w:rsidR="00DB4E91">
              <w:t>1</w:t>
            </w:r>
            <w:r>
              <w:t xml:space="preserve"> to 1.241</w:t>
            </w:r>
          </w:p>
        </w:tc>
      </w:tr>
      <w:tr w:rsidR="008C089E" w14:paraId="71D7585E" w14:textId="77777777" w:rsidTr="00163C04">
        <w:trPr>
          <w:trHeight w:val="500"/>
        </w:trPr>
        <w:tc>
          <w:tcPr>
            <w:tcW w:w="2265" w:type="dxa"/>
            <w:tcMar>
              <w:top w:w="100" w:type="dxa"/>
              <w:left w:w="100" w:type="dxa"/>
              <w:bottom w:w="100" w:type="dxa"/>
              <w:right w:w="100" w:type="dxa"/>
            </w:tcMar>
          </w:tcPr>
          <w:p w14:paraId="05DBF08C" w14:textId="77777777" w:rsidR="008C089E" w:rsidRDefault="008C089E" w:rsidP="00163C04">
            <w:pPr>
              <w:widowControl w:val="0"/>
              <w:pBdr>
                <w:top w:val="nil"/>
                <w:left w:val="nil"/>
                <w:bottom w:val="nil"/>
                <w:right w:val="nil"/>
                <w:between w:val="nil"/>
              </w:pBdr>
              <w:ind w:left="720"/>
            </w:pPr>
            <w:r>
              <w:t>Off-site</w:t>
            </w:r>
          </w:p>
        </w:tc>
        <w:tc>
          <w:tcPr>
            <w:tcW w:w="2265" w:type="dxa"/>
            <w:tcMar>
              <w:top w:w="100" w:type="dxa"/>
              <w:left w:w="100" w:type="dxa"/>
              <w:bottom w:w="100" w:type="dxa"/>
              <w:right w:w="100" w:type="dxa"/>
            </w:tcMar>
          </w:tcPr>
          <w:p w14:paraId="61A7CE73" w14:textId="78AA7F2B" w:rsidR="008C089E" w:rsidRDefault="008C089E" w:rsidP="00163C04">
            <w:pPr>
              <w:widowControl w:val="0"/>
              <w:pBdr>
                <w:top w:val="nil"/>
                <w:left w:val="nil"/>
                <w:bottom w:val="nil"/>
                <w:right w:val="nil"/>
                <w:between w:val="nil"/>
              </w:pBdr>
            </w:pPr>
            <w:r>
              <w:t>0.78</w:t>
            </w:r>
            <w:r w:rsidR="00DB4E91">
              <w:t>7</w:t>
            </w:r>
          </w:p>
        </w:tc>
        <w:tc>
          <w:tcPr>
            <w:tcW w:w="2265" w:type="dxa"/>
            <w:tcMar>
              <w:top w:w="100" w:type="dxa"/>
              <w:left w:w="100" w:type="dxa"/>
              <w:bottom w:w="100" w:type="dxa"/>
              <w:right w:w="100" w:type="dxa"/>
            </w:tcMar>
          </w:tcPr>
          <w:p w14:paraId="7DA7F654" w14:textId="77777777" w:rsidR="008C089E" w:rsidRDefault="008C089E" w:rsidP="00163C04">
            <w:pPr>
              <w:widowControl w:val="0"/>
              <w:pBdr>
                <w:top w:val="nil"/>
                <w:left w:val="nil"/>
                <w:bottom w:val="nil"/>
                <w:right w:val="nil"/>
                <w:between w:val="nil"/>
              </w:pBdr>
            </w:pPr>
            <w:r>
              <w:t>0.620 to 0.955</w:t>
            </w:r>
          </w:p>
        </w:tc>
        <w:tc>
          <w:tcPr>
            <w:tcW w:w="2235" w:type="dxa"/>
            <w:tcMar>
              <w:top w:w="100" w:type="dxa"/>
              <w:left w:w="100" w:type="dxa"/>
              <w:bottom w:w="100" w:type="dxa"/>
              <w:right w:w="100" w:type="dxa"/>
            </w:tcMar>
          </w:tcPr>
          <w:p w14:paraId="2FA1EB94" w14:textId="675D117A" w:rsidR="008C089E" w:rsidRDefault="008C089E" w:rsidP="00DB4E91">
            <w:pPr>
              <w:widowControl w:val="0"/>
            </w:pPr>
            <w:r>
              <w:t>0.</w:t>
            </w:r>
            <w:r w:rsidR="00EB356B">
              <w:t>520</w:t>
            </w:r>
            <w:r w:rsidR="00DB4E91">
              <w:t xml:space="preserve"> </w:t>
            </w:r>
            <w:r>
              <w:t>to 1.05</w:t>
            </w:r>
            <w:r w:rsidR="00EB356B">
              <w:t>5</w:t>
            </w:r>
          </w:p>
        </w:tc>
      </w:tr>
      <w:tr w:rsidR="00C32895" w14:paraId="3BDD680A" w14:textId="77777777" w:rsidTr="00163C04">
        <w:trPr>
          <w:trHeight w:val="500"/>
        </w:trPr>
        <w:tc>
          <w:tcPr>
            <w:tcW w:w="9030" w:type="dxa"/>
            <w:gridSpan w:val="4"/>
            <w:tcMar>
              <w:top w:w="100" w:type="dxa"/>
              <w:left w:w="100" w:type="dxa"/>
              <w:bottom w:w="100" w:type="dxa"/>
              <w:right w:w="100" w:type="dxa"/>
            </w:tcMar>
          </w:tcPr>
          <w:p w14:paraId="78FA7813" w14:textId="1BCE4942" w:rsidR="00C32895" w:rsidRDefault="00DE5C6F" w:rsidP="00163C04">
            <w:pPr>
              <w:widowControl w:val="0"/>
              <w:pBdr>
                <w:top w:val="nil"/>
                <w:left w:val="nil"/>
                <w:bottom w:val="nil"/>
                <w:right w:val="nil"/>
                <w:between w:val="nil"/>
              </w:pBdr>
            </w:pPr>
            <w:r>
              <w:t xml:space="preserve">Non-urgent </w:t>
            </w:r>
            <w:r w:rsidR="00C32895">
              <w:t>attendance</w:t>
            </w:r>
            <w:r w:rsidR="005D22EE">
              <w:t xml:space="preserve"> (</w:t>
            </w:r>
            <w:r>
              <w:t>N</w:t>
            </w:r>
            <w:r w:rsidR="005D22EE">
              <w:t xml:space="preserve"> = 4,441,349</w:t>
            </w:r>
            <w:r>
              <w:t xml:space="preserve"> attendances</w:t>
            </w:r>
            <w:r w:rsidR="005D22EE">
              <w:t>)</w:t>
            </w:r>
          </w:p>
        </w:tc>
      </w:tr>
      <w:tr w:rsidR="008C089E" w14:paraId="78B38E0E" w14:textId="77777777" w:rsidTr="00163C04">
        <w:trPr>
          <w:trHeight w:val="500"/>
        </w:trPr>
        <w:tc>
          <w:tcPr>
            <w:tcW w:w="2265" w:type="dxa"/>
            <w:tcMar>
              <w:top w:w="100" w:type="dxa"/>
              <w:left w:w="100" w:type="dxa"/>
              <w:bottom w:w="100" w:type="dxa"/>
              <w:right w:w="100" w:type="dxa"/>
            </w:tcMar>
          </w:tcPr>
          <w:p w14:paraId="37ED1A48" w14:textId="77777777" w:rsidR="008C089E" w:rsidRDefault="008C089E" w:rsidP="00163C04">
            <w:pPr>
              <w:widowControl w:val="0"/>
              <w:pBdr>
                <w:top w:val="nil"/>
                <w:left w:val="nil"/>
                <w:bottom w:val="nil"/>
                <w:right w:val="nil"/>
                <w:between w:val="nil"/>
              </w:pBdr>
              <w:ind w:left="720"/>
            </w:pPr>
            <w:r>
              <w:t>Overall</w:t>
            </w:r>
          </w:p>
        </w:tc>
        <w:tc>
          <w:tcPr>
            <w:tcW w:w="2265" w:type="dxa"/>
            <w:tcMar>
              <w:top w:w="100" w:type="dxa"/>
              <w:left w:w="100" w:type="dxa"/>
              <w:bottom w:w="100" w:type="dxa"/>
              <w:right w:w="100" w:type="dxa"/>
            </w:tcMar>
          </w:tcPr>
          <w:p w14:paraId="1E15FD0C" w14:textId="77777777" w:rsidR="008C089E" w:rsidRDefault="008C089E" w:rsidP="00163C04">
            <w:pPr>
              <w:widowControl w:val="0"/>
              <w:pBdr>
                <w:top w:val="nil"/>
                <w:left w:val="nil"/>
                <w:bottom w:val="nil"/>
                <w:right w:val="nil"/>
                <w:between w:val="nil"/>
              </w:pBdr>
            </w:pPr>
            <w:r>
              <w:t>1.038</w:t>
            </w:r>
          </w:p>
        </w:tc>
        <w:tc>
          <w:tcPr>
            <w:tcW w:w="2265" w:type="dxa"/>
            <w:tcMar>
              <w:top w:w="100" w:type="dxa"/>
              <w:left w:w="100" w:type="dxa"/>
              <w:bottom w:w="100" w:type="dxa"/>
              <w:right w:w="100" w:type="dxa"/>
            </w:tcMar>
          </w:tcPr>
          <w:p w14:paraId="4C997460" w14:textId="77777777" w:rsidR="008C089E" w:rsidRDefault="008C089E" w:rsidP="00163C04">
            <w:pPr>
              <w:widowControl w:val="0"/>
              <w:pBdr>
                <w:top w:val="nil"/>
                <w:left w:val="nil"/>
                <w:bottom w:val="nil"/>
                <w:right w:val="nil"/>
                <w:between w:val="nil"/>
              </w:pBdr>
            </w:pPr>
            <w:r>
              <w:t>0.944 to 1.142</w:t>
            </w:r>
          </w:p>
        </w:tc>
        <w:tc>
          <w:tcPr>
            <w:tcW w:w="2235" w:type="dxa"/>
            <w:tcMar>
              <w:top w:w="100" w:type="dxa"/>
              <w:left w:w="100" w:type="dxa"/>
              <w:bottom w:w="100" w:type="dxa"/>
              <w:right w:w="100" w:type="dxa"/>
            </w:tcMar>
          </w:tcPr>
          <w:p w14:paraId="36125780" w14:textId="6DC82FFD" w:rsidR="008C089E" w:rsidRDefault="008C089E" w:rsidP="00163C04">
            <w:pPr>
              <w:widowControl w:val="0"/>
            </w:pPr>
            <w:r>
              <w:t>0.88</w:t>
            </w:r>
            <w:r w:rsidR="00EB356B">
              <w:t>1</w:t>
            </w:r>
            <w:r>
              <w:t xml:space="preserve"> to 1.19</w:t>
            </w:r>
            <w:r w:rsidR="00EB356B">
              <w:t>6</w:t>
            </w:r>
          </w:p>
        </w:tc>
      </w:tr>
      <w:tr w:rsidR="008C089E" w14:paraId="58EC3744" w14:textId="77777777" w:rsidTr="00163C04">
        <w:trPr>
          <w:trHeight w:val="500"/>
        </w:trPr>
        <w:tc>
          <w:tcPr>
            <w:tcW w:w="2265" w:type="dxa"/>
            <w:tcMar>
              <w:top w:w="100" w:type="dxa"/>
              <w:left w:w="100" w:type="dxa"/>
              <w:bottom w:w="100" w:type="dxa"/>
              <w:right w:w="100" w:type="dxa"/>
            </w:tcMar>
          </w:tcPr>
          <w:p w14:paraId="1B5DB702" w14:textId="77777777" w:rsidR="008C089E" w:rsidRDefault="008C089E" w:rsidP="00163C04">
            <w:pPr>
              <w:widowControl w:val="0"/>
              <w:pBdr>
                <w:top w:val="nil"/>
                <w:left w:val="nil"/>
                <w:bottom w:val="nil"/>
                <w:right w:val="nil"/>
                <w:between w:val="nil"/>
              </w:pBdr>
              <w:ind w:left="720"/>
            </w:pPr>
            <w:r>
              <w:t>Integrated</w:t>
            </w:r>
          </w:p>
        </w:tc>
        <w:tc>
          <w:tcPr>
            <w:tcW w:w="2265" w:type="dxa"/>
            <w:tcMar>
              <w:top w:w="100" w:type="dxa"/>
              <w:left w:w="100" w:type="dxa"/>
              <w:bottom w:w="100" w:type="dxa"/>
              <w:right w:w="100" w:type="dxa"/>
            </w:tcMar>
          </w:tcPr>
          <w:p w14:paraId="75428E62" w14:textId="77777777" w:rsidR="008C089E" w:rsidRDefault="008C089E" w:rsidP="00163C04">
            <w:pPr>
              <w:widowControl w:val="0"/>
              <w:pBdr>
                <w:top w:val="nil"/>
                <w:left w:val="nil"/>
                <w:bottom w:val="nil"/>
                <w:right w:val="nil"/>
                <w:between w:val="nil"/>
              </w:pBdr>
            </w:pPr>
            <w:r>
              <w:t>1.014</w:t>
            </w:r>
          </w:p>
        </w:tc>
        <w:tc>
          <w:tcPr>
            <w:tcW w:w="2265" w:type="dxa"/>
            <w:tcMar>
              <w:top w:w="100" w:type="dxa"/>
              <w:left w:w="100" w:type="dxa"/>
              <w:bottom w:w="100" w:type="dxa"/>
              <w:right w:w="100" w:type="dxa"/>
            </w:tcMar>
          </w:tcPr>
          <w:p w14:paraId="155D2A75" w14:textId="77777777" w:rsidR="008C089E" w:rsidRDefault="008C089E" w:rsidP="00163C04">
            <w:pPr>
              <w:widowControl w:val="0"/>
              <w:pBdr>
                <w:top w:val="nil"/>
                <w:left w:val="nil"/>
                <w:bottom w:val="nil"/>
                <w:right w:val="nil"/>
                <w:between w:val="nil"/>
              </w:pBdr>
            </w:pPr>
            <w:r>
              <w:t>0.844 to 1.219</w:t>
            </w:r>
          </w:p>
        </w:tc>
        <w:tc>
          <w:tcPr>
            <w:tcW w:w="2235" w:type="dxa"/>
            <w:tcMar>
              <w:top w:w="100" w:type="dxa"/>
              <w:left w:w="100" w:type="dxa"/>
              <w:bottom w:w="100" w:type="dxa"/>
              <w:right w:w="100" w:type="dxa"/>
            </w:tcMar>
          </w:tcPr>
          <w:p w14:paraId="323290DD" w14:textId="2B2361C3" w:rsidR="008C089E" w:rsidRDefault="008C089E" w:rsidP="00163C04">
            <w:pPr>
              <w:widowControl w:val="0"/>
            </w:pPr>
            <w:r>
              <w:t>0.72</w:t>
            </w:r>
            <w:r w:rsidR="00EB356B">
              <w:t>2</w:t>
            </w:r>
            <w:r>
              <w:t xml:space="preserve"> to 1.30</w:t>
            </w:r>
            <w:r w:rsidR="00EB356B">
              <w:t>6</w:t>
            </w:r>
          </w:p>
        </w:tc>
      </w:tr>
      <w:tr w:rsidR="008C089E" w14:paraId="38F16CAE" w14:textId="77777777" w:rsidTr="00163C04">
        <w:trPr>
          <w:trHeight w:val="500"/>
        </w:trPr>
        <w:tc>
          <w:tcPr>
            <w:tcW w:w="2265" w:type="dxa"/>
            <w:tcMar>
              <w:top w:w="100" w:type="dxa"/>
              <w:left w:w="100" w:type="dxa"/>
              <w:bottom w:w="100" w:type="dxa"/>
              <w:right w:w="100" w:type="dxa"/>
            </w:tcMar>
          </w:tcPr>
          <w:p w14:paraId="79110264" w14:textId="77777777" w:rsidR="008C089E" w:rsidRDefault="008C089E" w:rsidP="00163C04">
            <w:pPr>
              <w:widowControl w:val="0"/>
              <w:pBdr>
                <w:top w:val="nil"/>
                <w:left w:val="nil"/>
                <w:bottom w:val="nil"/>
                <w:right w:val="nil"/>
                <w:between w:val="nil"/>
              </w:pBdr>
              <w:ind w:left="720"/>
            </w:pPr>
            <w:r>
              <w:t>Parallel</w:t>
            </w:r>
          </w:p>
        </w:tc>
        <w:tc>
          <w:tcPr>
            <w:tcW w:w="2265" w:type="dxa"/>
            <w:tcMar>
              <w:top w:w="100" w:type="dxa"/>
              <w:left w:w="100" w:type="dxa"/>
              <w:bottom w:w="100" w:type="dxa"/>
              <w:right w:w="100" w:type="dxa"/>
            </w:tcMar>
          </w:tcPr>
          <w:p w14:paraId="1C95BC9A" w14:textId="198BF43E" w:rsidR="008C089E" w:rsidRDefault="00EB356B" w:rsidP="00163C04">
            <w:pPr>
              <w:widowControl w:val="0"/>
              <w:pBdr>
                <w:top w:val="nil"/>
                <w:left w:val="nil"/>
                <w:bottom w:val="nil"/>
                <w:right w:val="nil"/>
                <w:between w:val="nil"/>
              </w:pBdr>
            </w:pPr>
            <w:r>
              <w:t>1.092</w:t>
            </w:r>
          </w:p>
        </w:tc>
        <w:tc>
          <w:tcPr>
            <w:tcW w:w="2265" w:type="dxa"/>
            <w:tcMar>
              <w:top w:w="100" w:type="dxa"/>
              <w:left w:w="100" w:type="dxa"/>
              <w:bottom w:w="100" w:type="dxa"/>
              <w:right w:w="100" w:type="dxa"/>
            </w:tcMar>
          </w:tcPr>
          <w:p w14:paraId="3771269B" w14:textId="77777777" w:rsidR="008C089E" w:rsidRDefault="008C089E" w:rsidP="00163C04">
            <w:pPr>
              <w:widowControl w:val="0"/>
              <w:pBdr>
                <w:top w:val="nil"/>
                <w:left w:val="nil"/>
                <w:bottom w:val="nil"/>
                <w:right w:val="nil"/>
                <w:between w:val="nil"/>
              </w:pBdr>
            </w:pPr>
            <w:r>
              <w:t>0.999 to 1.187</w:t>
            </w:r>
          </w:p>
        </w:tc>
        <w:tc>
          <w:tcPr>
            <w:tcW w:w="2235" w:type="dxa"/>
            <w:tcMar>
              <w:top w:w="100" w:type="dxa"/>
              <w:left w:w="100" w:type="dxa"/>
              <w:bottom w:w="100" w:type="dxa"/>
              <w:right w:w="100" w:type="dxa"/>
            </w:tcMar>
          </w:tcPr>
          <w:p w14:paraId="0AE2C6CD" w14:textId="0AD15418" w:rsidR="008C089E" w:rsidRDefault="00EB356B" w:rsidP="00163C04">
            <w:pPr>
              <w:widowControl w:val="0"/>
            </w:pPr>
            <w:r>
              <w:t>0.942 to 1.242</w:t>
            </w:r>
          </w:p>
        </w:tc>
      </w:tr>
      <w:tr w:rsidR="008C089E" w14:paraId="5CE20594" w14:textId="77777777" w:rsidTr="00163C04">
        <w:trPr>
          <w:trHeight w:val="500"/>
        </w:trPr>
        <w:tc>
          <w:tcPr>
            <w:tcW w:w="2265" w:type="dxa"/>
            <w:tcMar>
              <w:top w:w="100" w:type="dxa"/>
              <w:left w:w="100" w:type="dxa"/>
              <w:bottom w:w="100" w:type="dxa"/>
              <w:right w:w="100" w:type="dxa"/>
            </w:tcMar>
          </w:tcPr>
          <w:p w14:paraId="20E3309F" w14:textId="77777777" w:rsidR="008C089E" w:rsidRDefault="008C089E" w:rsidP="00163C04">
            <w:pPr>
              <w:widowControl w:val="0"/>
              <w:pBdr>
                <w:top w:val="nil"/>
                <w:left w:val="nil"/>
                <w:bottom w:val="nil"/>
                <w:right w:val="nil"/>
                <w:between w:val="nil"/>
              </w:pBdr>
              <w:ind w:left="720"/>
            </w:pPr>
            <w:r>
              <w:t>Off-site</w:t>
            </w:r>
          </w:p>
        </w:tc>
        <w:tc>
          <w:tcPr>
            <w:tcW w:w="2265" w:type="dxa"/>
            <w:tcMar>
              <w:top w:w="100" w:type="dxa"/>
              <w:left w:w="100" w:type="dxa"/>
              <w:bottom w:w="100" w:type="dxa"/>
              <w:right w:w="100" w:type="dxa"/>
            </w:tcMar>
          </w:tcPr>
          <w:p w14:paraId="46CCFC55" w14:textId="77777777" w:rsidR="008C089E" w:rsidRDefault="008C089E" w:rsidP="00163C04">
            <w:pPr>
              <w:widowControl w:val="0"/>
              <w:pBdr>
                <w:top w:val="nil"/>
                <w:left w:val="nil"/>
                <w:bottom w:val="nil"/>
                <w:right w:val="nil"/>
                <w:between w:val="nil"/>
              </w:pBdr>
            </w:pPr>
            <w:r>
              <w:t>0.990</w:t>
            </w:r>
          </w:p>
        </w:tc>
        <w:tc>
          <w:tcPr>
            <w:tcW w:w="2265" w:type="dxa"/>
            <w:tcMar>
              <w:top w:w="100" w:type="dxa"/>
              <w:left w:w="100" w:type="dxa"/>
              <w:bottom w:w="100" w:type="dxa"/>
              <w:right w:w="100" w:type="dxa"/>
            </w:tcMar>
          </w:tcPr>
          <w:p w14:paraId="40F9280A" w14:textId="77777777" w:rsidR="008C089E" w:rsidRDefault="008C089E" w:rsidP="00163C04">
            <w:pPr>
              <w:widowControl w:val="0"/>
              <w:pBdr>
                <w:top w:val="nil"/>
                <w:left w:val="nil"/>
                <w:bottom w:val="nil"/>
                <w:right w:val="nil"/>
                <w:between w:val="nil"/>
              </w:pBdr>
            </w:pPr>
            <w:r>
              <w:t>0.874 to 1.106</w:t>
            </w:r>
          </w:p>
        </w:tc>
        <w:tc>
          <w:tcPr>
            <w:tcW w:w="2235" w:type="dxa"/>
            <w:tcMar>
              <w:top w:w="100" w:type="dxa"/>
              <w:left w:w="100" w:type="dxa"/>
              <w:bottom w:w="100" w:type="dxa"/>
              <w:right w:w="100" w:type="dxa"/>
            </w:tcMar>
          </w:tcPr>
          <w:p w14:paraId="3181D556" w14:textId="028F7A3D" w:rsidR="008C089E" w:rsidRDefault="008C089E" w:rsidP="00163C04">
            <w:pPr>
              <w:widowControl w:val="0"/>
            </w:pPr>
            <w:r>
              <w:t>0.80</w:t>
            </w:r>
            <w:r w:rsidR="00EB356B">
              <w:t>5</w:t>
            </w:r>
            <w:r>
              <w:t xml:space="preserve"> to 1.17</w:t>
            </w:r>
            <w:r w:rsidR="00EB356B">
              <w:t>5</w:t>
            </w:r>
          </w:p>
        </w:tc>
      </w:tr>
      <w:tr w:rsidR="00C32895" w14:paraId="356FC40A" w14:textId="77777777" w:rsidTr="00163C04">
        <w:trPr>
          <w:trHeight w:val="500"/>
        </w:trPr>
        <w:tc>
          <w:tcPr>
            <w:tcW w:w="9030" w:type="dxa"/>
            <w:gridSpan w:val="4"/>
            <w:tcMar>
              <w:top w:w="100" w:type="dxa"/>
              <w:left w:w="100" w:type="dxa"/>
              <w:bottom w:w="100" w:type="dxa"/>
              <w:right w:w="100" w:type="dxa"/>
            </w:tcMar>
          </w:tcPr>
          <w:p w14:paraId="3CB6372E" w14:textId="3393F45C" w:rsidR="00C32895" w:rsidRDefault="00C32895" w:rsidP="00163C04">
            <w:pPr>
              <w:widowControl w:val="0"/>
              <w:pBdr>
                <w:top w:val="nil"/>
                <w:left w:val="nil"/>
                <w:bottom w:val="nil"/>
                <w:right w:val="nil"/>
                <w:between w:val="nil"/>
              </w:pBdr>
            </w:pPr>
            <w:r>
              <w:t>Admission to ward</w:t>
            </w:r>
            <w:r w:rsidR="005D22EE">
              <w:t xml:space="preserve"> (</w:t>
            </w:r>
            <w:r w:rsidR="00DE5C6F">
              <w:t>N</w:t>
            </w:r>
            <w:r w:rsidR="005D22EE">
              <w:t xml:space="preserve"> = </w:t>
            </w:r>
            <w:r w:rsidR="00163C04">
              <w:t>3,793,246</w:t>
            </w:r>
            <w:r w:rsidR="00DE5C6F">
              <w:t xml:space="preserve"> attendances</w:t>
            </w:r>
            <w:r w:rsidR="005D22EE">
              <w:t>)</w:t>
            </w:r>
          </w:p>
        </w:tc>
      </w:tr>
      <w:tr w:rsidR="008C089E" w14:paraId="64D0DF71" w14:textId="77777777" w:rsidTr="00163C04">
        <w:trPr>
          <w:trHeight w:val="500"/>
        </w:trPr>
        <w:tc>
          <w:tcPr>
            <w:tcW w:w="2265" w:type="dxa"/>
            <w:tcMar>
              <w:top w:w="100" w:type="dxa"/>
              <w:left w:w="100" w:type="dxa"/>
              <w:bottom w:w="100" w:type="dxa"/>
              <w:right w:w="100" w:type="dxa"/>
            </w:tcMar>
          </w:tcPr>
          <w:p w14:paraId="1BC095CB" w14:textId="77777777" w:rsidR="008C089E" w:rsidRDefault="008C089E" w:rsidP="00163C04">
            <w:pPr>
              <w:widowControl w:val="0"/>
              <w:pBdr>
                <w:top w:val="nil"/>
                <w:left w:val="nil"/>
                <w:bottom w:val="nil"/>
                <w:right w:val="nil"/>
                <w:between w:val="nil"/>
              </w:pBdr>
              <w:ind w:left="720"/>
            </w:pPr>
            <w:r>
              <w:t>Overall</w:t>
            </w:r>
          </w:p>
        </w:tc>
        <w:tc>
          <w:tcPr>
            <w:tcW w:w="2265" w:type="dxa"/>
            <w:tcMar>
              <w:top w:w="0" w:type="dxa"/>
              <w:left w:w="40" w:type="dxa"/>
              <w:bottom w:w="0" w:type="dxa"/>
              <w:right w:w="40" w:type="dxa"/>
            </w:tcMar>
            <w:vAlign w:val="center"/>
          </w:tcPr>
          <w:p w14:paraId="463F3E46" w14:textId="77777777" w:rsidR="008C089E" w:rsidRDefault="008C089E" w:rsidP="00163C04">
            <w:pPr>
              <w:widowControl w:val="0"/>
              <w:pBdr>
                <w:top w:val="nil"/>
                <w:left w:val="nil"/>
                <w:bottom w:val="nil"/>
                <w:right w:val="nil"/>
                <w:between w:val="nil"/>
              </w:pBdr>
            </w:pPr>
            <w:r>
              <w:t>1.029</w:t>
            </w:r>
          </w:p>
        </w:tc>
        <w:tc>
          <w:tcPr>
            <w:tcW w:w="2265" w:type="dxa"/>
            <w:tcMar>
              <w:top w:w="0" w:type="dxa"/>
              <w:left w:w="40" w:type="dxa"/>
              <w:bottom w:w="0" w:type="dxa"/>
              <w:right w:w="40" w:type="dxa"/>
            </w:tcMar>
            <w:vAlign w:val="center"/>
          </w:tcPr>
          <w:p w14:paraId="0344DFBF" w14:textId="77777777" w:rsidR="008C089E" w:rsidRDefault="008C089E" w:rsidP="00163C04">
            <w:pPr>
              <w:widowControl w:val="0"/>
              <w:pBdr>
                <w:top w:val="nil"/>
                <w:left w:val="nil"/>
                <w:bottom w:val="nil"/>
                <w:right w:val="nil"/>
                <w:between w:val="nil"/>
              </w:pBdr>
            </w:pPr>
            <w:r>
              <w:t>0.957 to 1.106</w:t>
            </w:r>
          </w:p>
        </w:tc>
        <w:tc>
          <w:tcPr>
            <w:tcW w:w="2235" w:type="dxa"/>
            <w:tcMar>
              <w:top w:w="0" w:type="dxa"/>
              <w:left w:w="40" w:type="dxa"/>
              <w:bottom w:w="0" w:type="dxa"/>
              <w:right w:w="40" w:type="dxa"/>
            </w:tcMar>
            <w:vAlign w:val="center"/>
          </w:tcPr>
          <w:p w14:paraId="04484D79" w14:textId="3574CCDD" w:rsidR="008C089E" w:rsidRDefault="008C089E" w:rsidP="00163C04">
            <w:pPr>
              <w:widowControl w:val="0"/>
              <w:pBdr>
                <w:top w:val="nil"/>
                <w:left w:val="nil"/>
                <w:bottom w:val="nil"/>
                <w:right w:val="nil"/>
                <w:between w:val="nil"/>
              </w:pBdr>
            </w:pPr>
            <w:r>
              <w:t>0.910 to 1.14</w:t>
            </w:r>
            <w:r w:rsidR="000E78C9">
              <w:t>8</w:t>
            </w:r>
          </w:p>
        </w:tc>
      </w:tr>
      <w:tr w:rsidR="008C089E" w14:paraId="5C3576D0" w14:textId="77777777" w:rsidTr="00163C04">
        <w:trPr>
          <w:trHeight w:val="500"/>
        </w:trPr>
        <w:tc>
          <w:tcPr>
            <w:tcW w:w="2265" w:type="dxa"/>
            <w:tcMar>
              <w:top w:w="100" w:type="dxa"/>
              <w:left w:w="100" w:type="dxa"/>
              <w:bottom w:w="100" w:type="dxa"/>
              <w:right w:w="100" w:type="dxa"/>
            </w:tcMar>
          </w:tcPr>
          <w:p w14:paraId="3C18E3A2" w14:textId="77777777" w:rsidR="008C089E" w:rsidRDefault="008C089E" w:rsidP="00163C04">
            <w:pPr>
              <w:widowControl w:val="0"/>
              <w:pBdr>
                <w:top w:val="nil"/>
                <w:left w:val="nil"/>
                <w:bottom w:val="nil"/>
                <w:right w:val="nil"/>
                <w:between w:val="nil"/>
              </w:pBdr>
              <w:ind w:left="720"/>
            </w:pPr>
            <w:r>
              <w:t>Integrated</w:t>
            </w:r>
          </w:p>
        </w:tc>
        <w:tc>
          <w:tcPr>
            <w:tcW w:w="2265" w:type="dxa"/>
            <w:tcMar>
              <w:top w:w="0" w:type="dxa"/>
              <w:left w:w="40" w:type="dxa"/>
              <w:bottom w:w="0" w:type="dxa"/>
              <w:right w:w="40" w:type="dxa"/>
            </w:tcMar>
            <w:vAlign w:val="center"/>
          </w:tcPr>
          <w:p w14:paraId="21E1967E" w14:textId="77777777" w:rsidR="008C089E" w:rsidRDefault="008C089E" w:rsidP="00163C04">
            <w:pPr>
              <w:widowControl w:val="0"/>
              <w:pBdr>
                <w:top w:val="nil"/>
                <w:left w:val="nil"/>
                <w:bottom w:val="nil"/>
                <w:right w:val="nil"/>
                <w:between w:val="nil"/>
              </w:pBdr>
            </w:pPr>
            <w:r>
              <w:t>1.039</w:t>
            </w:r>
          </w:p>
        </w:tc>
        <w:tc>
          <w:tcPr>
            <w:tcW w:w="2265" w:type="dxa"/>
            <w:tcMar>
              <w:top w:w="0" w:type="dxa"/>
              <w:left w:w="40" w:type="dxa"/>
              <w:bottom w:w="0" w:type="dxa"/>
              <w:right w:w="40" w:type="dxa"/>
            </w:tcMar>
            <w:vAlign w:val="center"/>
          </w:tcPr>
          <w:p w14:paraId="6657350A" w14:textId="77777777" w:rsidR="008C089E" w:rsidRDefault="008C089E" w:rsidP="00163C04">
            <w:pPr>
              <w:widowControl w:val="0"/>
              <w:pBdr>
                <w:top w:val="nil"/>
                <w:left w:val="nil"/>
                <w:bottom w:val="nil"/>
                <w:right w:val="nil"/>
                <w:between w:val="nil"/>
              </w:pBdr>
            </w:pPr>
            <w:r>
              <w:t>1.016 to 1.185</w:t>
            </w:r>
          </w:p>
        </w:tc>
        <w:tc>
          <w:tcPr>
            <w:tcW w:w="2235" w:type="dxa"/>
            <w:tcMar>
              <w:top w:w="0" w:type="dxa"/>
              <w:left w:w="40" w:type="dxa"/>
              <w:bottom w:w="0" w:type="dxa"/>
              <w:right w:w="40" w:type="dxa"/>
            </w:tcMar>
            <w:vAlign w:val="center"/>
          </w:tcPr>
          <w:p w14:paraId="3A9AB599" w14:textId="3EFB3AFF" w:rsidR="008C089E" w:rsidRDefault="008C089E" w:rsidP="00163C04">
            <w:pPr>
              <w:widowControl w:val="0"/>
              <w:pBdr>
                <w:top w:val="nil"/>
                <w:left w:val="nil"/>
                <w:bottom w:val="nil"/>
                <w:right w:val="nil"/>
                <w:between w:val="nil"/>
              </w:pBdr>
            </w:pPr>
            <w:r>
              <w:t>0.91</w:t>
            </w:r>
            <w:r w:rsidR="00EB356B">
              <w:t>6</w:t>
            </w:r>
            <w:r>
              <w:t xml:space="preserve"> to 1.161</w:t>
            </w:r>
          </w:p>
        </w:tc>
      </w:tr>
      <w:tr w:rsidR="008C089E" w14:paraId="3AA605EC" w14:textId="77777777" w:rsidTr="00163C04">
        <w:trPr>
          <w:trHeight w:val="500"/>
        </w:trPr>
        <w:tc>
          <w:tcPr>
            <w:tcW w:w="2265" w:type="dxa"/>
            <w:tcMar>
              <w:top w:w="100" w:type="dxa"/>
              <w:left w:w="100" w:type="dxa"/>
              <w:bottom w:w="100" w:type="dxa"/>
              <w:right w:w="100" w:type="dxa"/>
            </w:tcMar>
          </w:tcPr>
          <w:p w14:paraId="0A1BE74D" w14:textId="77777777" w:rsidR="008C089E" w:rsidRDefault="008C089E" w:rsidP="00163C04">
            <w:pPr>
              <w:widowControl w:val="0"/>
              <w:pBdr>
                <w:top w:val="nil"/>
                <w:left w:val="nil"/>
                <w:bottom w:val="nil"/>
                <w:right w:val="nil"/>
                <w:between w:val="nil"/>
              </w:pBdr>
              <w:ind w:left="720"/>
            </w:pPr>
            <w:r>
              <w:t>Parallel</w:t>
            </w:r>
          </w:p>
        </w:tc>
        <w:tc>
          <w:tcPr>
            <w:tcW w:w="2265" w:type="dxa"/>
            <w:tcMar>
              <w:top w:w="0" w:type="dxa"/>
              <w:left w:w="40" w:type="dxa"/>
              <w:bottom w:w="0" w:type="dxa"/>
              <w:right w:w="40" w:type="dxa"/>
            </w:tcMar>
            <w:vAlign w:val="center"/>
          </w:tcPr>
          <w:p w14:paraId="6B85315D" w14:textId="77777777" w:rsidR="008C089E" w:rsidRDefault="008C089E" w:rsidP="00163C04">
            <w:pPr>
              <w:widowControl w:val="0"/>
              <w:pBdr>
                <w:top w:val="nil"/>
                <w:left w:val="nil"/>
                <w:bottom w:val="nil"/>
                <w:right w:val="nil"/>
                <w:between w:val="nil"/>
              </w:pBdr>
            </w:pPr>
            <w:r>
              <w:t>1.002</w:t>
            </w:r>
          </w:p>
        </w:tc>
        <w:tc>
          <w:tcPr>
            <w:tcW w:w="2265" w:type="dxa"/>
            <w:tcMar>
              <w:top w:w="0" w:type="dxa"/>
              <w:left w:w="40" w:type="dxa"/>
              <w:bottom w:w="0" w:type="dxa"/>
              <w:right w:w="40" w:type="dxa"/>
            </w:tcMar>
            <w:vAlign w:val="center"/>
          </w:tcPr>
          <w:p w14:paraId="6FC3A60F" w14:textId="77777777" w:rsidR="008C089E" w:rsidRDefault="008C089E" w:rsidP="00163C04">
            <w:pPr>
              <w:widowControl w:val="0"/>
              <w:pBdr>
                <w:top w:val="nil"/>
                <w:left w:val="nil"/>
                <w:bottom w:val="nil"/>
                <w:right w:val="nil"/>
                <w:between w:val="nil"/>
              </w:pBdr>
            </w:pPr>
            <w:r>
              <w:t>0.886 to 1.106</w:t>
            </w:r>
          </w:p>
        </w:tc>
        <w:tc>
          <w:tcPr>
            <w:tcW w:w="2235" w:type="dxa"/>
            <w:tcMar>
              <w:top w:w="0" w:type="dxa"/>
              <w:left w:w="40" w:type="dxa"/>
              <w:bottom w:w="0" w:type="dxa"/>
              <w:right w:w="40" w:type="dxa"/>
            </w:tcMar>
            <w:vAlign w:val="center"/>
          </w:tcPr>
          <w:p w14:paraId="3FC66F3B" w14:textId="68B6BADB" w:rsidR="008C089E" w:rsidRDefault="008C089E" w:rsidP="00163C04">
            <w:pPr>
              <w:widowControl w:val="0"/>
              <w:pBdr>
                <w:top w:val="nil"/>
                <w:left w:val="nil"/>
                <w:bottom w:val="nil"/>
                <w:right w:val="nil"/>
                <w:between w:val="nil"/>
              </w:pBdr>
            </w:pPr>
            <w:r>
              <w:t>0.80</w:t>
            </w:r>
            <w:r w:rsidR="00EB356B">
              <w:t>7</w:t>
            </w:r>
            <w:r>
              <w:t xml:space="preserve"> to 1.19</w:t>
            </w:r>
            <w:r w:rsidR="00EB356B">
              <w:t>8</w:t>
            </w:r>
          </w:p>
        </w:tc>
      </w:tr>
      <w:tr w:rsidR="008C089E" w14:paraId="7A94D17D" w14:textId="77777777" w:rsidTr="00163C04">
        <w:trPr>
          <w:trHeight w:val="500"/>
        </w:trPr>
        <w:tc>
          <w:tcPr>
            <w:tcW w:w="2265" w:type="dxa"/>
            <w:tcMar>
              <w:top w:w="100" w:type="dxa"/>
              <w:left w:w="100" w:type="dxa"/>
              <w:bottom w:w="100" w:type="dxa"/>
              <w:right w:w="100" w:type="dxa"/>
            </w:tcMar>
          </w:tcPr>
          <w:p w14:paraId="0E3E0042" w14:textId="77777777" w:rsidR="008C089E" w:rsidRDefault="008C089E" w:rsidP="00163C04">
            <w:pPr>
              <w:widowControl w:val="0"/>
              <w:pBdr>
                <w:top w:val="nil"/>
                <w:left w:val="nil"/>
                <w:bottom w:val="nil"/>
                <w:right w:val="nil"/>
                <w:between w:val="nil"/>
              </w:pBdr>
              <w:ind w:left="720"/>
            </w:pPr>
            <w:r>
              <w:t>Off-site</w:t>
            </w:r>
          </w:p>
        </w:tc>
        <w:tc>
          <w:tcPr>
            <w:tcW w:w="2265" w:type="dxa"/>
            <w:tcMar>
              <w:top w:w="0" w:type="dxa"/>
              <w:left w:w="40" w:type="dxa"/>
              <w:bottom w:w="0" w:type="dxa"/>
              <w:right w:w="40" w:type="dxa"/>
            </w:tcMar>
            <w:vAlign w:val="center"/>
          </w:tcPr>
          <w:p w14:paraId="7B9CAF6D" w14:textId="77777777" w:rsidR="008C089E" w:rsidRDefault="008C089E" w:rsidP="00163C04">
            <w:pPr>
              <w:widowControl w:val="0"/>
              <w:pBdr>
                <w:top w:val="nil"/>
                <w:left w:val="nil"/>
                <w:bottom w:val="nil"/>
                <w:right w:val="nil"/>
                <w:between w:val="nil"/>
              </w:pBdr>
            </w:pPr>
            <w:r>
              <w:t>1.047</w:t>
            </w:r>
          </w:p>
        </w:tc>
        <w:tc>
          <w:tcPr>
            <w:tcW w:w="2265" w:type="dxa"/>
            <w:tcMar>
              <w:top w:w="0" w:type="dxa"/>
              <w:left w:w="40" w:type="dxa"/>
              <w:bottom w:w="0" w:type="dxa"/>
              <w:right w:w="40" w:type="dxa"/>
            </w:tcMar>
            <w:vAlign w:val="center"/>
          </w:tcPr>
          <w:p w14:paraId="4502E56E" w14:textId="77777777" w:rsidR="008C089E" w:rsidRDefault="008C089E" w:rsidP="00163C04">
            <w:pPr>
              <w:widowControl w:val="0"/>
              <w:pBdr>
                <w:top w:val="nil"/>
                <w:left w:val="nil"/>
                <w:bottom w:val="nil"/>
                <w:right w:val="nil"/>
                <w:between w:val="nil"/>
              </w:pBdr>
            </w:pPr>
            <w:r>
              <w:t>0.957 tot 1.171</w:t>
            </w:r>
          </w:p>
        </w:tc>
        <w:tc>
          <w:tcPr>
            <w:tcW w:w="2235" w:type="dxa"/>
            <w:tcMar>
              <w:top w:w="0" w:type="dxa"/>
              <w:left w:w="40" w:type="dxa"/>
              <w:bottom w:w="0" w:type="dxa"/>
              <w:right w:w="40" w:type="dxa"/>
            </w:tcMar>
            <w:vAlign w:val="center"/>
          </w:tcPr>
          <w:p w14:paraId="1B28781E" w14:textId="7057CE4C" w:rsidR="008C089E" w:rsidRDefault="008C089E" w:rsidP="00163C04">
            <w:pPr>
              <w:widowControl w:val="0"/>
              <w:pBdr>
                <w:top w:val="nil"/>
                <w:left w:val="nil"/>
                <w:bottom w:val="nil"/>
                <w:right w:val="nil"/>
                <w:between w:val="nil"/>
              </w:pBdr>
            </w:pPr>
            <w:r>
              <w:t>0.89</w:t>
            </w:r>
            <w:r w:rsidR="00EB356B">
              <w:t>5</w:t>
            </w:r>
            <w:r>
              <w:t xml:space="preserve"> to 1.19</w:t>
            </w:r>
            <w:r w:rsidR="00EB356B">
              <w:t>9</w:t>
            </w:r>
          </w:p>
        </w:tc>
      </w:tr>
      <w:tr w:rsidR="00C32895" w14:paraId="6C38F444" w14:textId="77777777" w:rsidTr="00163C04">
        <w:trPr>
          <w:trHeight w:val="500"/>
        </w:trPr>
        <w:tc>
          <w:tcPr>
            <w:tcW w:w="9030" w:type="dxa"/>
            <w:gridSpan w:val="4"/>
            <w:tcMar>
              <w:top w:w="100" w:type="dxa"/>
              <w:left w:w="100" w:type="dxa"/>
              <w:bottom w:w="100" w:type="dxa"/>
              <w:right w:w="100" w:type="dxa"/>
            </w:tcMar>
          </w:tcPr>
          <w:p w14:paraId="71307D04" w14:textId="00EA7401" w:rsidR="00C32895" w:rsidRDefault="00C32895" w:rsidP="00163C04">
            <w:pPr>
              <w:widowControl w:val="0"/>
              <w:pBdr>
                <w:top w:val="nil"/>
                <w:left w:val="nil"/>
                <w:bottom w:val="nil"/>
                <w:right w:val="nil"/>
                <w:between w:val="nil"/>
              </w:pBdr>
            </w:pPr>
            <w:r>
              <w:t>30-day mortality</w:t>
            </w:r>
            <w:r w:rsidR="00163C04">
              <w:t xml:space="preserve"> (</w:t>
            </w:r>
            <w:r w:rsidR="00DE5C6F">
              <w:t>N</w:t>
            </w:r>
            <w:r w:rsidR="00163C04">
              <w:t xml:space="preserve"> = 4,076,605</w:t>
            </w:r>
            <w:r w:rsidR="00DE5C6F">
              <w:t xml:space="preserve"> attendances</w:t>
            </w:r>
            <w:r w:rsidR="00163C04">
              <w:t xml:space="preserve">) </w:t>
            </w:r>
          </w:p>
        </w:tc>
      </w:tr>
      <w:tr w:rsidR="008C089E" w14:paraId="1F8783D1" w14:textId="77777777" w:rsidTr="00163C04">
        <w:trPr>
          <w:trHeight w:val="500"/>
        </w:trPr>
        <w:tc>
          <w:tcPr>
            <w:tcW w:w="2265" w:type="dxa"/>
            <w:tcMar>
              <w:top w:w="100" w:type="dxa"/>
              <w:left w:w="100" w:type="dxa"/>
              <w:bottom w:w="100" w:type="dxa"/>
              <w:right w:w="100" w:type="dxa"/>
            </w:tcMar>
          </w:tcPr>
          <w:p w14:paraId="5FFFD19B" w14:textId="77777777" w:rsidR="008C089E" w:rsidRDefault="008C089E" w:rsidP="00163C04">
            <w:pPr>
              <w:widowControl w:val="0"/>
              <w:pBdr>
                <w:top w:val="nil"/>
                <w:left w:val="nil"/>
                <w:bottom w:val="nil"/>
                <w:right w:val="nil"/>
                <w:between w:val="nil"/>
              </w:pBdr>
              <w:ind w:left="720"/>
            </w:pPr>
            <w:r>
              <w:t>Overall</w:t>
            </w:r>
          </w:p>
        </w:tc>
        <w:tc>
          <w:tcPr>
            <w:tcW w:w="2265" w:type="dxa"/>
            <w:tcMar>
              <w:top w:w="100" w:type="dxa"/>
              <w:left w:w="100" w:type="dxa"/>
              <w:bottom w:w="100" w:type="dxa"/>
              <w:right w:w="100" w:type="dxa"/>
            </w:tcMar>
          </w:tcPr>
          <w:p w14:paraId="74191FB7" w14:textId="536CD473" w:rsidR="008C089E" w:rsidRDefault="008C089E" w:rsidP="00163C04">
            <w:pPr>
              <w:widowControl w:val="0"/>
              <w:pBdr>
                <w:top w:val="nil"/>
                <w:left w:val="nil"/>
                <w:bottom w:val="nil"/>
                <w:right w:val="nil"/>
                <w:between w:val="nil"/>
              </w:pBdr>
            </w:pPr>
            <w:r>
              <w:t>1.01</w:t>
            </w:r>
            <w:r w:rsidR="000E78C9">
              <w:t>4</w:t>
            </w:r>
          </w:p>
        </w:tc>
        <w:tc>
          <w:tcPr>
            <w:tcW w:w="2265" w:type="dxa"/>
            <w:tcMar>
              <w:top w:w="100" w:type="dxa"/>
              <w:left w:w="100" w:type="dxa"/>
              <w:bottom w:w="100" w:type="dxa"/>
              <w:right w:w="100" w:type="dxa"/>
            </w:tcMar>
          </w:tcPr>
          <w:p w14:paraId="02E2ABB7" w14:textId="6C3B430F" w:rsidR="008C089E" w:rsidRDefault="008C089E" w:rsidP="00163C04">
            <w:pPr>
              <w:widowControl w:val="0"/>
              <w:pBdr>
                <w:top w:val="nil"/>
                <w:left w:val="nil"/>
                <w:bottom w:val="nil"/>
                <w:right w:val="nil"/>
                <w:between w:val="nil"/>
              </w:pBdr>
            </w:pPr>
            <w:r>
              <w:t>0.990 to 1.03</w:t>
            </w:r>
            <w:r w:rsidR="000E78C9">
              <w:t>8</w:t>
            </w:r>
          </w:p>
        </w:tc>
        <w:tc>
          <w:tcPr>
            <w:tcW w:w="2235" w:type="dxa"/>
            <w:tcMar>
              <w:top w:w="100" w:type="dxa"/>
              <w:left w:w="100" w:type="dxa"/>
              <w:bottom w:w="100" w:type="dxa"/>
              <w:right w:w="100" w:type="dxa"/>
            </w:tcMar>
          </w:tcPr>
          <w:p w14:paraId="4CE24540" w14:textId="7D329F70" w:rsidR="008C089E" w:rsidRDefault="008C089E" w:rsidP="00163C04">
            <w:pPr>
              <w:widowControl w:val="0"/>
            </w:pPr>
            <w:r>
              <w:t>0.97</w:t>
            </w:r>
            <w:r w:rsidR="00EB356B">
              <w:t>5 to 1.052</w:t>
            </w:r>
          </w:p>
        </w:tc>
      </w:tr>
      <w:tr w:rsidR="008C089E" w14:paraId="480C916D" w14:textId="77777777" w:rsidTr="00163C04">
        <w:trPr>
          <w:trHeight w:val="500"/>
        </w:trPr>
        <w:tc>
          <w:tcPr>
            <w:tcW w:w="2265" w:type="dxa"/>
            <w:tcMar>
              <w:top w:w="100" w:type="dxa"/>
              <w:left w:w="100" w:type="dxa"/>
              <w:bottom w:w="100" w:type="dxa"/>
              <w:right w:w="100" w:type="dxa"/>
            </w:tcMar>
          </w:tcPr>
          <w:p w14:paraId="2CD8B20F" w14:textId="77777777" w:rsidR="008C089E" w:rsidRDefault="008C089E" w:rsidP="00163C04">
            <w:pPr>
              <w:widowControl w:val="0"/>
              <w:pBdr>
                <w:top w:val="nil"/>
                <w:left w:val="nil"/>
                <w:bottom w:val="nil"/>
                <w:right w:val="nil"/>
                <w:between w:val="nil"/>
              </w:pBdr>
              <w:ind w:left="720"/>
            </w:pPr>
            <w:r>
              <w:t>Integrated</w:t>
            </w:r>
          </w:p>
        </w:tc>
        <w:tc>
          <w:tcPr>
            <w:tcW w:w="2265" w:type="dxa"/>
            <w:tcMar>
              <w:top w:w="100" w:type="dxa"/>
              <w:left w:w="100" w:type="dxa"/>
              <w:bottom w:w="100" w:type="dxa"/>
              <w:right w:w="100" w:type="dxa"/>
            </w:tcMar>
          </w:tcPr>
          <w:p w14:paraId="1033A7B8" w14:textId="77777777" w:rsidR="008C089E" w:rsidRDefault="008C089E" w:rsidP="00163C04">
            <w:pPr>
              <w:widowControl w:val="0"/>
              <w:pBdr>
                <w:top w:val="nil"/>
                <w:left w:val="nil"/>
                <w:bottom w:val="nil"/>
                <w:right w:val="nil"/>
                <w:between w:val="nil"/>
              </w:pBdr>
            </w:pPr>
            <w:r>
              <w:t>1.041</w:t>
            </w:r>
          </w:p>
        </w:tc>
        <w:tc>
          <w:tcPr>
            <w:tcW w:w="2265" w:type="dxa"/>
            <w:tcMar>
              <w:top w:w="100" w:type="dxa"/>
              <w:left w:w="100" w:type="dxa"/>
              <w:bottom w:w="100" w:type="dxa"/>
              <w:right w:w="100" w:type="dxa"/>
            </w:tcMar>
          </w:tcPr>
          <w:p w14:paraId="28B5EF26" w14:textId="77777777" w:rsidR="008C089E" w:rsidRDefault="008C089E" w:rsidP="00163C04">
            <w:pPr>
              <w:widowControl w:val="0"/>
              <w:pBdr>
                <w:top w:val="nil"/>
                <w:left w:val="nil"/>
                <w:bottom w:val="nil"/>
                <w:right w:val="nil"/>
                <w:between w:val="nil"/>
              </w:pBdr>
            </w:pPr>
            <w:r>
              <w:t>0.968 to 1.119</w:t>
            </w:r>
          </w:p>
        </w:tc>
        <w:tc>
          <w:tcPr>
            <w:tcW w:w="2235" w:type="dxa"/>
            <w:tcMar>
              <w:top w:w="100" w:type="dxa"/>
              <w:left w:w="100" w:type="dxa"/>
              <w:bottom w:w="100" w:type="dxa"/>
              <w:right w:w="100" w:type="dxa"/>
            </w:tcMar>
          </w:tcPr>
          <w:p w14:paraId="66A44C36" w14:textId="50B4FE0B" w:rsidR="008C089E" w:rsidRDefault="00EB356B" w:rsidP="00163C04">
            <w:pPr>
              <w:widowControl w:val="0"/>
            </w:pPr>
            <w:r>
              <w:t>0.926 to 1.156</w:t>
            </w:r>
          </w:p>
        </w:tc>
      </w:tr>
      <w:tr w:rsidR="008C089E" w14:paraId="208EB05D" w14:textId="77777777" w:rsidTr="00163C04">
        <w:trPr>
          <w:trHeight w:val="500"/>
        </w:trPr>
        <w:tc>
          <w:tcPr>
            <w:tcW w:w="2265" w:type="dxa"/>
            <w:tcMar>
              <w:top w:w="100" w:type="dxa"/>
              <w:left w:w="100" w:type="dxa"/>
              <w:bottom w:w="100" w:type="dxa"/>
              <w:right w:w="100" w:type="dxa"/>
            </w:tcMar>
          </w:tcPr>
          <w:p w14:paraId="2533EC53" w14:textId="77777777" w:rsidR="008C089E" w:rsidRDefault="008C089E" w:rsidP="00163C04">
            <w:pPr>
              <w:widowControl w:val="0"/>
              <w:pBdr>
                <w:top w:val="nil"/>
                <w:left w:val="nil"/>
                <w:bottom w:val="nil"/>
                <w:right w:val="nil"/>
                <w:between w:val="nil"/>
              </w:pBdr>
              <w:ind w:left="720"/>
            </w:pPr>
            <w:r>
              <w:t>Parallel</w:t>
            </w:r>
          </w:p>
        </w:tc>
        <w:tc>
          <w:tcPr>
            <w:tcW w:w="2265" w:type="dxa"/>
            <w:tcMar>
              <w:top w:w="100" w:type="dxa"/>
              <w:left w:w="100" w:type="dxa"/>
              <w:bottom w:w="100" w:type="dxa"/>
              <w:right w:w="100" w:type="dxa"/>
            </w:tcMar>
          </w:tcPr>
          <w:p w14:paraId="53FDEAF1" w14:textId="77777777" w:rsidR="008C089E" w:rsidRDefault="008C089E" w:rsidP="00163C04">
            <w:pPr>
              <w:widowControl w:val="0"/>
              <w:pBdr>
                <w:top w:val="nil"/>
                <w:left w:val="nil"/>
                <w:bottom w:val="nil"/>
                <w:right w:val="nil"/>
                <w:between w:val="nil"/>
              </w:pBdr>
            </w:pPr>
            <w:r>
              <w:t>1.017</w:t>
            </w:r>
          </w:p>
        </w:tc>
        <w:tc>
          <w:tcPr>
            <w:tcW w:w="2265" w:type="dxa"/>
            <w:tcMar>
              <w:top w:w="100" w:type="dxa"/>
              <w:left w:w="100" w:type="dxa"/>
              <w:bottom w:w="100" w:type="dxa"/>
              <w:right w:w="100" w:type="dxa"/>
            </w:tcMar>
          </w:tcPr>
          <w:p w14:paraId="4F2B01A2" w14:textId="77777777" w:rsidR="008C089E" w:rsidRDefault="008C089E" w:rsidP="00163C04">
            <w:pPr>
              <w:widowControl w:val="0"/>
              <w:pBdr>
                <w:top w:val="nil"/>
                <w:left w:val="nil"/>
                <w:bottom w:val="nil"/>
                <w:right w:val="nil"/>
                <w:between w:val="nil"/>
              </w:pBdr>
            </w:pPr>
            <w:r>
              <w:t>0.972 to 1.061</w:t>
            </w:r>
          </w:p>
        </w:tc>
        <w:tc>
          <w:tcPr>
            <w:tcW w:w="2235" w:type="dxa"/>
            <w:tcMar>
              <w:top w:w="100" w:type="dxa"/>
              <w:left w:w="100" w:type="dxa"/>
              <w:bottom w:w="100" w:type="dxa"/>
              <w:right w:w="100" w:type="dxa"/>
            </w:tcMar>
          </w:tcPr>
          <w:p w14:paraId="3FEA74C6" w14:textId="391E7B2C" w:rsidR="008C089E" w:rsidRDefault="008C089E" w:rsidP="00163C04">
            <w:pPr>
              <w:widowControl w:val="0"/>
            </w:pPr>
            <w:r>
              <w:t>0.94</w:t>
            </w:r>
            <w:r w:rsidR="00EB356B">
              <w:t>7</w:t>
            </w:r>
            <w:r>
              <w:t xml:space="preserve"> to 1.08</w:t>
            </w:r>
            <w:r w:rsidR="00EB356B">
              <w:t>7</w:t>
            </w:r>
          </w:p>
        </w:tc>
      </w:tr>
      <w:tr w:rsidR="008C089E" w14:paraId="1228CC27" w14:textId="77777777" w:rsidTr="00163C04">
        <w:trPr>
          <w:trHeight w:val="500"/>
        </w:trPr>
        <w:tc>
          <w:tcPr>
            <w:tcW w:w="2265" w:type="dxa"/>
            <w:tcMar>
              <w:top w:w="100" w:type="dxa"/>
              <w:left w:w="100" w:type="dxa"/>
              <w:bottom w:w="100" w:type="dxa"/>
              <w:right w:w="100" w:type="dxa"/>
            </w:tcMar>
          </w:tcPr>
          <w:p w14:paraId="1D10B0DC" w14:textId="77777777" w:rsidR="008C089E" w:rsidRDefault="008C089E" w:rsidP="00163C04">
            <w:pPr>
              <w:widowControl w:val="0"/>
              <w:pBdr>
                <w:top w:val="nil"/>
                <w:left w:val="nil"/>
                <w:bottom w:val="nil"/>
                <w:right w:val="nil"/>
                <w:between w:val="nil"/>
              </w:pBdr>
              <w:ind w:left="720"/>
            </w:pPr>
            <w:r>
              <w:t>Off-site</w:t>
            </w:r>
          </w:p>
        </w:tc>
        <w:tc>
          <w:tcPr>
            <w:tcW w:w="2265" w:type="dxa"/>
            <w:tcMar>
              <w:top w:w="100" w:type="dxa"/>
              <w:left w:w="100" w:type="dxa"/>
              <w:bottom w:w="100" w:type="dxa"/>
              <w:right w:w="100" w:type="dxa"/>
            </w:tcMar>
          </w:tcPr>
          <w:p w14:paraId="245DAFEE" w14:textId="77777777" w:rsidR="008C089E" w:rsidRDefault="008C089E" w:rsidP="00163C04">
            <w:pPr>
              <w:widowControl w:val="0"/>
              <w:pBdr>
                <w:top w:val="nil"/>
                <w:left w:val="nil"/>
                <w:bottom w:val="nil"/>
                <w:right w:val="nil"/>
                <w:between w:val="nil"/>
              </w:pBdr>
            </w:pPr>
            <w:r>
              <w:t>1.000</w:t>
            </w:r>
          </w:p>
        </w:tc>
        <w:tc>
          <w:tcPr>
            <w:tcW w:w="2265" w:type="dxa"/>
            <w:tcMar>
              <w:top w:w="100" w:type="dxa"/>
              <w:left w:w="100" w:type="dxa"/>
              <w:bottom w:w="100" w:type="dxa"/>
              <w:right w:w="100" w:type="dxa"/>
            </w:tcMar>
          </w:tcPr>
          <w:p w14:paraId="3933064B" w14:textId="77777777" w:rsidR="008C089E" w:rsidRDefault="008C089E" w:rsidP="00163C04">
            <w:pPr>
              <w:widowControl w:val="0"/>
              <w:pBdr>
                <w:top w:val="nil"/>
                <w:left w:val="nil"/>
                <w:bottom w:val="nil"/>
                <w:right w:val="nil"/>
                <w:between w:val="nil"/>
              </w:pBdr>
            </w:pPr>
            <w:r>
              <w:t>0.968 to 1.032</w:t>
            </w:r>
          </w:p>
        </w:tc>
        <w:tc>
          <w:tcPr>
            <w:tcW w:w="2235" w:type="dxa"/>
            <w:tcMar>
              <w:top w:w="100" w:type="dxa"/>
              <w:left w:w="100" w:type="dxa"/>
              <w:bottom w:w="100" w:type="dxa"/>
              <w:right w:w="100" w:type="dxa"/>
            </w:tcMar>
          </w:tcPr>
          <w:p w14:paraId="75853400" w14:textId="57BA76B7" w:rsidR="008C089E" w:rsidRDefault="008C089E" w:rsidP="00163C04">
            <w:pPr>
              <w:widowControl w:val="0"/>
            </w:pPr>
            <w:r>
              <w:t>0.94</w:t>
            </w:r>
            <w:r w:rsidR="00EB356B">
              <w:t>8</w:t>
            </w:r>
            <w:r>
              <w:t xml:space="preserve"> to 1.05</w:t>
            </w:r>
            <w:r w:rsidR="000E78C9">
              <w:t>3</w:t>
            </w:r>
          </w:p>
        </w:tc>
      </w:tr>
      <w:tr w:rsidR="00894179" w14:paraId="492D32EA" w14:textId="77777777" w:rsidTr="00163C04">
        <w:trPr>
          <w:trHeight w:val="500"/>
        </w:trPr>
        <w:tc>
          <w:tcPr>
            <w:tcW w:w="9030" w:type="dxa"/>
            <w:gridSpan w:val="4"/>
            <w:tcMar>
              <w:top w:w="100" w:type="dxa"/>
              <w:left w:w="100" w:type="dxa"/>
              <w:bottom w:w="100" w:type="dxa"/>
              <w:right w:w="100" w:type="dxa"/>
            </w:tcMar>
          </w:tcPr>
          <w:p w14:paraId="1EF21C1C" w14:textId="309D7802" w:rsidR="00894179" w:rsidRDefault="00894179" w:rsidP="00163C04">
            <w:pPr>
              <w:widowControl w:val="0"/>
              <w:pBdr>
                <w:top w:val="nil"/>
                <w:left w:val="nil"/>
                <w:bottom w:val="nil"/>
                <w:right w:val="nil"/>
                <w:between w:val="nil"/>
              </w:pBdr>
            </w:pPr>
            <w:r>
              <w:t>Volume of attendances</w:t>
            </w:r>
            <w:r w:rsidR="00163C04">
              <w:t xml:space="preserve"> (</w:t>
            </w:r>
            <w:r w:rsidR="00DE5C6F">
              <w:t>N</w:t>
            </w:r>
            <w:r w:rsidR="00163C04">
              <w:t xml:space="preserve"> = 34</w:t>
            </w:r>
            <w:r w:rsidR="00B43A65">
              <w:t>2,940</w:t>
            </w:r>
            <w:r w:rsidR="00DE5C6F">
              <w:t xml:space="preserve"> hospital-hour</w:t>
            </w:r>
            <w:r w:rsidR="00470B1A">
              <w:t>-day combinations</w:t>
            </w:r>
            <w:r w:rsidR="00163C04">
              <w:t>)).</w:t>
            </w:r>
          </w:p>
        </w:tc>
      </w:tr>
      <w:tr w:rsidR="008C089E" w14:paraId="6B3B3E24" w14:textId="77777777" w:rsidTr="00163C04">
        <w:trPr>
          <w:trHeight w:val="500"/>
        </w:trPr>
        <w:tc>
          <w:tcPr>
            <w:tcW w:w="2265" w:type="dxa"/>
            <w:tcMar>
              <w:top w:w="100" w:type="dxa"/>
              <w:left w:w="100" w:type="dxa"/>
              <w:bottom w:w="100" w:type="dxa"/>
              <w:right w:w="100" w:type="dxa"/>
            </w:tcMar>
          </w:tcPr>
          <w:p w14:paraId="6607258E" w14:textId="77777777" w:rsidR="008C089E" w:rsidRDefault="008C089E" w:rsidP="00163C04">
            <w:pPr>
              <w:widowControl w:val="0"/>
              <w:pBdr>
                <w:top w:val="nil"/>
                <w:left w:val="nil"/>
                <w:bottom w:val="nil"/>
                <w:right w:val="nil"/>
                <w:between w:val="nil"/>
              </w:pBdr>
              <w:ind w:left="720"/>
            </w:pPr>
            <w:r>
              <w:t>Overall</w:t>
            </w:r>
          </w:p>
        </w:tc>
        <w:tc>
          <w:tcPr>
            <w:tcW w:w="2265" w:type="dxa"/>
            <w:tcMar>
              <w:top w:w="100" w:type="dxa"/>
              <w:left w:w="100" w:type="dxa"/>
              <w:bottom w:w="100" w:type="dxa"/>
              <w:right w:w="100" w:type="dxa"/>
            </w:tcMar>
          </w:tcPr>
          <w:p w14:paraId="3B389DAA" w14:textId="77777777" w:rsidR="008C089E" w:rsidRDefault="008C089E" w:rsidP="00163C04">
            <w:pPr>
              <w:widowControl w:val="0"/>
              <w:pBdr>
                <w:top w:val="nil"/>
                <w:left w:val="nil"/>
                <w:bottom w:val="nil"/>
                <w:right w:val="nil"/>
                <w:between w:val="nil"/>
              </w:pBdr>
            </w:pPr>
            <w:r>
              <w:t>1.000</w:t>
            </w:r>
          </w:p>
        </w:tc>
        <w:tc>
          <w:tcPr>
            <w:tcW w:w="2265" w:type="dxa"/>
            <w:tcMar>
              <w:top w:w="100" w:type="dxa"/>
              <w:left w:w="100" w:type="dxa"/>
              <w:bottom w:w="100" w:type="dxa"/>
              <w:right w:w="100" w:type="dxa"/>
            </w:tcMar>
          </w:tcPr>
          <w:p w14:paraId="06055DE0" w14:textId="77777777" w:rsidR="008C089E" w:rsidRDefault="008C089E" w:rsidP="00163C04">
            <w:pPr>
              <w:widowControl w:val="0"/>
              <w:pBdr>
                <w:top w:val="nil"/>
                <w:left w:val="nil"/>
                <w:bottom w:val="nil"/>
                <w:right w:val="nil"/>
                <w:between w:val="nil"/>
              </w:pBdr>
            </w:pPr>
            <w:r>
              <w:t>0.967 to 1.034</w:t>
            </w:r>
          </w:p>
        </w:tc>
        <w:tc>
          <w:tcPr>
            <w:tcW w:w="2235" w:type="dxa"/>
            <w:tcMar>
              <w:top w:w="100" w:type="dxa"/>
              <w:left w:w="100" w:type="dxa"/>
              <w:bottom w:w="100" w:type="dxa"/>
              <w:right w:w="100" w:type="dxa"/>
            </w:tcMar>
          </w:tcPr>
          <w:p w14:paraId="16EF090F" w14:textId="77777777" w:rsidR="008C089E" w:rsidRDefault="008C089E" w:rsidP="00163C04">
            <w:pPr>
              <w:widowControl w:val="0"/>
            </w:pPr>
            <w:r>
              <w:t>0.946 to 1.054</w:t>
            </w:r>
          </w:p>
        </w:tc>
      </w:tr>
      <w:tr w:rsidR="008C089E" w14:paraId="4CCAC8ED" w14:textId="77777777" w:rsidTr="00163C04">
        <w:trPr>
          <w:trHeight w:val="500"/>
        </w:trPr>
        <w:tc>
          <w:tcPr>
            <w:tcW w:w="2265" w:type="dxa"/>
            <w:tcMar>
              <w:top w:w="100" w:type="dxa"/>
              <w:left w:w="100" w:type="dxa"/>
              <w:bottom w:w="100" w:type="dxa"/>
              <w:right w:w="100" w:type="dxa"/>
            </w:tcMar>
          </w:tcPr>
          <w:p w14:paraId="5ACBE609" w14:textId="77777777" w:rsidR="008C089E" w:rsidRDefault="008C089E" w:rsidP="00163C04">
            <w:pPr>
              <w:widowControl w:val="0"/>
              <w:pBdr>
                <w:top w:val="nil"/>
                <w:left w:val="nil"/>
                <w:bottom w:val="nil"/>
                <w:right w:val="nil"/>
                <w:between w:val="nil"/>
              </w:pBdr>
              <w:ind w:left="720"/>
            </w:pPr>
            <w:r>
              <w:t>Integrated</w:t>
            </w:r>
          </w:p>
        </w:tc>
        <w:tc>
          <w:tcPr>
            <w:tcW w:w="2265" w:type="dxa"/>
            <w:tcMar>
              <w:top w:w="100" w:type="dxa"/>
              <w:left w:w="100" w:type="dxa"/>
              <w:bottom w:w="100" w:type="dxa"/>
              <w:right w:w="100" w:type="dxa"/>
            </w:tcMar>
          </w:tcPr>
          <w:p w14:paraId="5B44C3F4" w14:textId="77777777" w:rsidR="008C089E" w:rsidRDefault="008C089E" w:rsidP="00163C04">
            <w:pPr>
              <w:widowControl w:val="0"/>
            </w:pPr>
            <w:r>
              <w:t>0.983</w:t>
            </w:r>
          </w:p>
        </w:tc>
        <w:tc>
          <w:tcPr>
            <w:tcW w:w="2265" w:type="dxa"/>
            <w:tcMar>
              <w:top w:w="100" w:type="dxa"/>
              <w:left w:w="100" w:type="dxa"/>
              <w:bottom w:w="100" w:type="dxa"/>
              <w:right w:w="100" w:type="dxa"/>
            </w:tcMar>
          </w:tcPr>
          <w:p w14:paraId="781E5BED" w14:textId="77777777" w:rsidR="008C089E" w:rsidRDefault="008C089E" w:rsidP="00163C04">
            <w:pPr>
              <w:widowControl w:val="0"/>
            </w:pPr>
            <w:r>
              <w:t>0.914 to 1.053</w:t>
            </w:r>
          </w:p>
        </w:tc>
        <w:tc>
          <w:tcPr>
            <w:tcW w:w="2235" w:type="dxa"/>
            <w:tcMar>
              <w:top w:w="100" w:type="dxa"/>
              <w:left w:w="100" w:type="dxa"/>
              <w:bottom w:w="100" w:type="dxa"/>
              <w:right w:w="100" w:type="dxa"/>
            </w:tcMar>
          </w:tcPr>
          <w:p w14:paraId="3FB98FB4" w14:textId="77777777" w:rsidR="008C089E" w:rsidRDefault="008C089E" w:rsidP="00163C04">
            <w:pPr>
              <w:widowControl w:val="0"/>
            </w:pPr>
            <w:r>
              <w:t>0.873 to 1.094</w:t>
            </w:r>
          </w:p>
        </w:tc>
      </w:tr>
      <w:tr w:rsidR="008C089E" w14:paraId="44243642" w14:textId="77777777" w:rsidTr="00163C04">
        <w:trPr>
          <w:trHeight w:val="500"/>
        </w:trPr>
        <w:tc>
          <w:tcPr>
            <w:tcW w:w="2265" w:type="dxa"/>
            <w:tcMar>
              <w:top w:w="100" w:type="dxa"/>
              <w:left w:w="100" w:type="dxa"/>
              <w:bottom w:w="100" w:type="dxa"/>
              <w:right w:w="100" w:type="dxa"/>
            </w:tcMar>
          </w:tcPr>
          <w:p w14:paraId="1A8B1274" w14:textId="77777777" w:rsidR="008C089E" w:rsidRDefault="008C089E" w:rsidP="00163C04">
            <w:pPr>
              <w:widowControl w:val="0"/>
              <w:pBdr>
                <w:top w:val="nil"/>
                <w:left w:val="nil"/>
                <w:bottom w:val="nil"/>
                <w:right w:val="nil"/>
                <w:between w:val="nil"/>
              </w:pBdr>
              <w:ind w:left="720"/>
            </w:pPr>
            <w:r>
              <w:t>Parallel</w:t>
            </w:r>
          </w:p>
        </w:tc>
        <w:tc>
          <w:tcPr>
            <w:tcW w:w="2265" w:type="dxa"/>
            <w:tcMar>
              <w:top w:w="100" w:type="dxa"/>
              <w:left w:w="100" w:type="dxa"/>
              <w:bottom w:w="100" w:type="dxa"/>
              <w:right w:w="100" w:type="dxa"/>
            </w:tcMar>
          </w:tcPr>
          <w:p w14:paraId="644FA443" w14:textId="77777777" w:rsidR="008C089E" w:rsidRDefault="008C089E" w:rsidP="00163C04">
            <w:pPr>
              <w:widowControl w:val="0"/>
            </w:pPr>
            <w:r>
              <w:t>1.018</w:t>
            </w:r>
          </w:p>
        </w:tc>
        <w:tc>
          <w:tcPr>
            <w:tcW w:w="2265" w:type="dxa"/>
            <w:tcMar>
              <w:top w:w="100" w:type="dxa"/>
              <w:left w:w="100" w:type="dxa"/>
              <w:bottom w:w="100" w:type="dxa"/>
              <w:right w:w="100" w:type="dxa"/>
            </w:tcMar>
          </w:tcPr>
          <w:p w14:paraId="5E5D7A0D" w14:textId="77777777" w:rsidR="008C089E" w:rsidRDefault="008C089E" w:rsidP="00163C04">
            <w:pPr>
              <w:widowControl w:val="0"/>
            </w:pPr>
            <w:r>
              <w:t>0.967 to 1.069</w:t>
            </w:r>
          </w:p>
        </w:tc>
        <w:tc>
          <w:tcPr>
            <w:tcW w:w="2235" w:type="dxa"/>
            <w:tcMar>
              <w:top w:w="100" w:type="dxa"/>
              <w:left w:w="100" w:type="dxa"/>
              <w:bottom w:w="100" w:type="dxa"/>
              <w:right w:w="100" w:type="dxa"/>
            </w:tcMar>
          </w:tcPr>
          <w:p w14:paraId="43202B26" w14:textId="77777777" w:rsidR="008C089E" w:rsidRDefault="008C089E" w:rsidP="00163C04">
            <w:pPr>
              <w:widowControl w:val="0"/>
            </w:pPr>
            <w:r>
              <w:t>0.937 to 1.099</w:t>
            </w:r>
          </w:p>
        </w:tc>
      </w:tr>
      <w:tr w:rsidR="008C089E" w14:paraId="39391E42" w14:textId="77777777" w:rsidTr="00163C04">
        <w:trPr>
          <w:trHeight w:val="500"/>
        </w:trPr>
        <w:tc>
          <w:tcPr>
            <w:tcW w:w="2265" w:type="dxa"/>
            <w:tcMar>
              <w:top w:w="100" w:type="dxa"/>
              <w:left w:w="100" w:type="dxa"/>
              <w:bottom w:w="100" w:type="dxa"/>
              <w:right w:w="100" w:type="dxa"/>
            </w:tcMar>
          </w:tcPr>
          <w:p w14:paraId="3C425991" w14:textId="77777777" w:rsidR="008C089E" w:rsidRDefault="008C089E" w:rsidP="00163C04">
            <w:pPr>
              <w:widowControl w:val="0"/>
              <w:pBdr>
                <w:top w:val="nil"/>
                <w:left w:val="nil"/>
                <w:bottom w:val="nil"/>
                <w:right w:val="nil"/>
                <w:between w:val="nil"/>
              </w:pBdr>
              <w:ind w:left="720"/>
            </w:pPr>
            <w:r>
              <w:t>Off-site</w:t>
            </w:r>
          </w:p>
        </w:tc>
        <w:tc>
          <w:tcPr>
            <w:tcW w:w="2265" w:type="dxa"/>
            <w:tcMar>
              <w:top w:w="100" w:type="dxa"/>
              <w:left w:w="100" w:type="dxa"/>
              <w:bottom w:w="100" w:type="dxa"/>
              <w:right w:w="100" w:type="dxa"/>
            </w:tcMar>
          </w:tcPr>
          <w:p w14:paraId="5872F67A" w14:textId="77777777" w:rsidR="008C089E" w:rsidRDefault="008C089E" w:rsidP="00163C04">
            <w:pPr>
              <w:widowControl w:val="0"/>
            </w:pPr>
            <w:r>
              <w:t>0.986</w:t>
            </w:r>
          </w:p>
        </w:tc>
        <w:tc>
          <w:tcPr>
            <w:tcW w:w="2265" w:type="dxa"/>
            <w:tcMar>
              <w:top w:w="100" w:type="dxa"/>
              <w:left w:w="100" w:type="dxa"/>
              <w:bottom w:w="100" w:type="dxa"/>
              <w:right w:w="100" w:type="dxa"/>
            </w:tcMar>
          </w:tcPr>
          <w:p w14:paraId="4D668840" w14:textId="77777777" w:rsidR="008C089E" w:rsidRDefault="008C089E" w:rsidP="00163C04">
            <w:pPr>
              <w:widowControl w:val="0"/>
            </w:pPr>
            <w:r>
              <w:t>0.938 to 1.034</w:t>
            </w:r>
          </w:p>
        </w:tc>
        <w:tc>
          <w:tcPr>
            <w:tcW w:w="2235" w:type="dxa"/>
            <w:tcMar>
              <w:top w:w="100" w:type="dxa"/>
              <w:left w:w="100" w:type="dxa"/>
              <w:bottom w:w="100" w:type="dxa"/>
              <w:right w:w="100" w:type="dxa"/>
            </w:tcMar>
          </w:tcPr>
          <w:p w14:paraId="7185E899" w14:textId="77777777" w:rsidR="008C089E" w:rsidRDefault="008C089E" w:rsidP="00163C04">
            <w:pPr>
              <w:widowControl w:val="0"/>
            </w:pPr>
            <w:r>
              <w:t>0.910 to 1.062</w:t>
            </w:r>
          </w:p>
        </w:tc>
      </w:tr>
    </w:tbl>
    <w:p w14:paraId="5D370D5B" w14:textId="0CC9E267" w:rsidR="001C3E07" w:rsidRPr="001C3E07" w:rsidRDefault="001C3E07">
      <w:r w:rsidRPr="00363E77">
        <w:rPr>
          <w:sz w:val="18"/>
        </w:rPr>
        <w:t xml:space="preserve">Notes: All models controlled for hospital and hour-by-day of week fixed effects, month of year fixed effects, and, in the case of the attendance-level regressions, patient age (coded as </w:t>
      </w:r>
      <w:r w:rsidR="008B2C22">
        <w:rPr>
          <w:sz w:val="18"/>
        </w:rPr>
        <w:t xml:space="preserve">0, </w:t>
      </w:r>
      <w:r w:rsidRPr="00363E77">
        <w:rPr>
          <w:sz w:val="18"/>
        </w:rPr>
        <w:t>1, 2 ,3, 4, 5, 6-10, 11-15 … 91-95, 96+), sex, age-sex interactions, an indicator for arrival by ambulance, and socio-economic deprivation (IMD</w:t>
      </w:r>
      <w:r w:rsidR="00201E0B">
        <w:rPr>
          <w:sz w:val="18"/>
        </w:rPr>
        <w:t>)</w:t>
      </w:r>
      <w:r w:rsidRPr="00363E77">
        <w:rPr>
          <w:sz w:val="18"/>
        </w:rPr>
        <w:t xml:space="preserve"> </w:t>
      </w:r>
      <w:r w:rsidR="00201E0B">
        <w:rPr>
          <w:sz w:val="18"/>
        </w:rPr>
        <w:t>quintiles</w:t>
      </w:r>
      <w:r w:rsidRPr="00363E77">
        <w:rPr>
          <w:sz w:val="18"/>
        </w:rPr>
        <w:t xml:space="preserve">. </w:t>
      </w:r>
      <w:r w:rsidR="00DE5C6F">
        <w:t>O</w:t>
      </w:r>
      <w:r>
        <w:t>bservation</w:t>
      </w:r>
      <w:r w:rsidRPr="00363E77">
        <w:rPr>
          <w:sz w:val="18"/>
          <w:szCs w:val="18"/>
        </w:rPr>
        <w:t>s</w:t>
      </w:r>
      <w:r w:rsidRPr="00363E77">
        <w:rPr>
          <w:sz w:val="18"/>
        </w:rPr>
        <w:t xml:space="preserve"> are dropped if </w:t>
      </w:r>
      <w:r w:rsidR="00DE5C6F">
        <w:t xml:space="preserve">any of the </w:t>
      </w:r>
      <w:r w:rsidRPr="00BC0705">
        <w:rPr>
          <w:sz w:val="18"/>
        </w:rPr>
        <w:t xml:space="preserve">dependant </w:t>
      </w:r>
      <w:r w:rsidR="00DE5C6F">
        <w:t xml:space="preserve">or independent </w:t>
      </w:r>
      <w:r>
        <w:t>variable</w:t>
      </w:r>
      <w:r w:rsidR="00DE5C6F">
        <w:t>s</w:t>
      </w:r>
      <w:r w:rsidRPr="00BC0705">
        <w:rPr>
          <w:sz w:val="18"/>
        </w:rPr>
        <w:t xml:space="preserve"> </w:t>
      </w:r>
      <w:r w:rsidR="00DE5C6F">
        <w:t xml:space="preserve">are </w:t>
      </w:r>
      <w:r w:rsidRPr="00363E77">
        <w:rPr>
          <w:sz w:val="18"/>
        </w:rPr>
        <w:t>missing. See Appendix A for details.</w:t>
      </w:r>
    </w:p>
    <w:p w14:paraId="4C112AE4" w14:textId="77777777" w:rsidR="008C089E" w:rsidRDefault="008C089E" w:rsidP="008C089E">
      <w:pPr>
        <w:pStyle w:val="Heading1"/>
      </w:pPr>
      <w:r>
        <w:t>Discussion</w:t>
      </w:r>
    </w:p>
    <w:p w14:paraId="49A75ABF" w14:textId="77777777" w:rsidR="008C089E" w:rsidRDefault="008C089E" w:rsidP="008C089E">
      <w:pPr>
        <w:rPr>
          <w:i/>
        </w:rPr>
      </w:pPr>
      <w:r>
        <w:rPr>
          <w:i/>
        </w:rPr>
        <w:t xml:space="preserve">Statement of principal findings </w:t>
      </w:r>
    </w:p>
    <w:p w14:paraId="34513D22" w14:textId="77777777" w:rsidR="008C089E" w:rsidRDefault="008C089E" w:rsidP="008C089E">
      <w:pPr>
        <w:rPr>
          <w:i/>
        </w:rPr>
      </w:pPr>
    </w:p>
    <w:p w14:paraId="2BA322D6" w14:textId="585CD2E9" w:rsidR="008C089E" w:rsidRDefault="008C089E" w:rsidP="008C089E">
      <w:r>
        <w:t xml:space="preserve">Many hospitals in England have implemented GPED services with the aim of treating non-urgent patients more appropriately, thereby improving efficiency and patient experience. Using attendance data for 2018/19, we found no statistically significant effect of GPED services on volume of attendances or on most performance indicators, including four-hour waits, patients leaving without being </w:t>
      </w:r>
      <w:r w:rsidR="00F20DC2">
        <w:t>treated</w:t>
      </w:r>
      <w:r>
        <w:t>, or hospital admissions. We did identify a small, statistically significant reduction in unplanned re-attendances within seven days, equivalent to 302 fewer re-attendances per year for the average ED. This is less than one prevented re-attendance per day for the average ED. The finding was not statistically significant after adjusting for multiple testing, and was judged to be of negligible clinical significance.</w:t>
      </w:r>
    </w:p>
    <w:p w14:paraId="2C7C2B48" w14:textId="77777777" w:rsidR="008C089E" w:rsidRDefault="008C089E" w:rsidP="008C089E">
      <w:pPr>
        <w:spacing w:before="240" w:after="240"/>
        <w:rPr>
          <w:i/>
        </w:rPr>
      </w:pPr>
      <w:r>
        <w:rPr>
          <w:i/>
        </w:rPr>
        <w:t>Strengths and weaknesses</w:t>
      </w:r>
    </w:p>
    <w:p w14:paraId="32954432" w14:textId="7EEB14BF" w:rsidR="008C089E" w:rsidRDefault="008C089E" w:rsidP="008C089E">
      <w:pPr>
        <w:spacing w:before="240" w:after="240"/>
      </w:pPr>
      <w:r>
        <w:t>Our analysis exploited differences in the implementation of GPED services across 40 hospitals in terms of time of operation to model robustly their impact on a range of key indicators, accounting for a wide range of covariates. Using information from targeted surveys, we were also able to perform a sub-group analysis for three different GPED models, strengthening the evidence base to inform decisions about implementing GPED services.</w:t>
      </w:r>
      <w:r w:rsidR="007267B3">
        <w:t xml:space="preserve"> The use of time of day on which to base our analysis avoids a number of potential confounding factors, such as general hospital crowding or lack of community support. </w:t>
      </w:r>
    </w:p>
    <w:p w14:paraId="2366003E" w14:textId="136EB523" w:rsidR="008C089E" w:rsidRDefault="008C089E" w:rsidP="008C089E">
      <w:pPr>
        <w:spacing w:before="240" w:after="240"/>
      </w:pPr>
      <w:r>
        <w:t xml:space="preserve">Our analysis was, however, constrained in a number of ways. Most importantly, it was not possible to identify from available data which staff members assessed and treated individual patients, so we could not separate patients treated by GPs from those treated by other ED staff to directly compare GP services to traditional models of care. We relied primarily on measures of general ED performance, such as attendances, patient flow and waiting times. Our approach assumed GPs were present during the working hours reported in the survey, but there is potential for misclassifying patient episodes as GPED/not GPED as streaming activity and GP availability may not have corresponded exactly to official GPED start and finish times, particularly for patients arriving close to these times or undergoing extended waits. </w:t>
      </w:r>
      <w:r w:rsidR="007267B3">
        <w:t xml:space="preserve">The start and finish times of GPED shifts may also have coincided with the shifts of other health professionals, such as advanced clinical practitioners, which have also been introduced to some </w:t>
      </w:r>
      <w:proofErr w:type="spellStart"/>
      <w:r w:rsidR="007267B3">
        <w:t>EDs.</w:t>
      </w:r>
      <w:proofErr w:type="spellEnd"/>
      <w:r w:rsidR="007267B3">
        <w:t xml:space="preserve"> </w:t>
      </w:r>
      <w:r w:rsidR="00DC4A96">
        <w:t xml:space="preserve">Our design relies upon </w:t>
      </w:r>
      <w:r w:rsidR="00897121">
        <w:t xml:space="preserve">no other major </w:t>
      </w:r>
      <w:r w:rsidR="006E749E">
        <w:t xml:space="preserve">differences in </w:t>
      </w:r>
      <w:r w:rsidR="00897121">
        <w:t xml:space="preserve">service </w:t>
      </w:r>
      <w:r w:rsidR="006E749E">
        <w:t xml:space="preserve">provision </w:t>
      </w:r>
      <w:r w:rsidR="00897121">
        <w:t xml:space="preserve">occurring </w:t>
      </w:r>
      <w:r w:rsidR="006E749E">
        <w:t xml:space="preserve">at the same time as </w:t>
      </w:r>
      <w:r w:rsidR="00DC4A96">
        <w:t>GPED shift</w:t>
      </w:r>
      <w:r w:rsidR="006E749E">
        <w:t xml:space="preserve"> hour</w:t>
      </w:r>
      <w:r w:rsidR="00DC4A96">
        <w:t xml:space="preserve">s. </w:t>
      </w:r>
      <w:r w:rsidR="00897121">
        <w:t>Our</w:t>
      </w:r>
      <w:r>
        <w:t xml:space="preserve"> analysis</w:t>
      </w:r>
      <w:r w:rsidR="00897121">
        <w:t xml:space="preserve"> </w:t>
      </w:r>
      <w:r w:rsidR="00DC4A96">
        <w:t xml:space="preserve">also </w:t>
      </w:r>
      <w:r>
        <w:t xml:space="preserve">assumes that GPED was always operational during designated hours and therefore does not take account of physician absence. There were differences in observed outcomes between hospitals included in our analysis and those excluded from </w:t>
      </w:r>
      <w:r w:rsidR="004F5694">
        <w:t>analysis</w:t>
      </w:r>
      <w:r>
        <w:t xml:space="preserve"> (Table 1)</w:t>
      </w:r>
      <w:r w:rsidR="00470B1A">
        <w:t>. There were also substantial differences between the socioeconomic deprivation profile of patients attending hospitals with and without GPED services in the early hours of the day (Figure 3)</w:t>
      </w:r>
      <w:r>
        <w:t xml:space="preserve">. Finally, we were not able to assess the degree of ‘role substitution’, i.e. whether GPs were an addition to normal services, or whether they replaced another member of staff. </w:t>
      </w:r>
    </w:p>
    <w:p w14:paraId="1B240858" w14:textId="77777777" w:rsidR="008C089E" w:rsidRDefault="008C089E" w:rsidP="008C089E">
      <w:pPr>
        <w:spacing w:before="240" w:after="240"/>
        <w:rPr>
          <w:i/>
        </w:rPr>
      </w:pPr>
      <w:r>
        <w:rPr>
          <w:i/>
        </w:rPr>
        <w:t xml:space="preserve">Principal findings in context of other studies </w:t>
      </w:r>
    </w:p>
    <w:p w14:paraId="5060C5D3" w14:textId="2FAE04F5" w:rsidR="008C089E" w:rsidRDefault="008C089E" w:rsidP="008C089E">
      <w:pPr>
        <w:rPr>
          <w:highlight w:val="white"/>
        </w:rPr>
      </w:pPr>
      <w:r>
        <w:t xml:space="preserve">We found that patients attending emergency departments during the hours of operation of a GPED service had similar outcomes to patients attending at other times, with the possible exception of a very small reduction in unplanned re-attendances </w:t>
      </w:r>
      <w:r w:rsidR="00330A04">
        <w:t>within</w:t>
      </w:r>
      <w:r>
        <w:t xml:space="preserve"> seven days. Previous evidence on the impact of such services is extremely limited, and no previous studies have examined interventions on the same scale. A 2018 Cochrane review found no clear evidence that </w:t>
      </w:r>
      <w:r>
        <w:rPr>
          <w:highlight w:val="white"/>
        </w:rPr>
        <w:t xml:space="preserve">deploying primary care physicians in emergency departments reduced treatment times, lengths of ED stay, safety, hospital admissions, resource use, cost-effectiveness or referrals. </w:t>
      </w:r>
    </w:p>
    <w:p w14:paraId="2B920FC9" w14:textId="77777777" w:rsidR="008C089E" w:rsidRDefault="008C089E" w:rsidP="008C089E"/>
    <w:p w14:paraId="1D746D96" w14:textId="0F3A08C9" w:rsidR="008C089E" w:rsidRDefault="008C089E" w:rsidP="008C089E">
      <w:r>
        <w:t xml:space="preserve">Future research in this area could usefully explore the implementation of GPED services, using more </w:t>
      </w:r>
      <w:r w:rsidR="00DC4A96">
        <w:t xml:space="preserve">observational and </w:t>
      </w:r>
      <w:r>
        <w:t>qualitative methods, and include other important outcome measures (for example, those reflecting patient experience).</w:t>
      </w:r>
      <w:r w:rsidR="00DC4A96">
        <w:t xml:space="preserve"> </w:t>
      </w:r>
      <w:proofErr w:type="gramStart"/>
      <w:r w:rsidR="00DC4A96">
        <w:t>which</w:t>
      </w:r>
      <w:proofErr w:type="gramEnd"/>
      <w:r w:rsidR="00DC4A96">
        <w:t xml:space="preserve"> could improve data collection in EDs</w:t>
      </w:r>
      <w:r>
        <w:t xml:space="preserve"> The cost implications of these services should also be investigated further. Employing GPs in EDs has opportunity costs in terms of both alternative use of funds for urgent and emergency care (for example, employing additional nurses, physician associates or emergency physicians) and loss of GPs from primary care settings. Prior to the COVID-19 pandemic, there was a trend of increasing demand for both ED and primary care services, and general practice is an area of potential workforce shortages, with a forecasted shortfall of 7,000 GPs in the next five years.</w:t>
      </w:r>
      <w:r>
        <w:fldChar w:fldCharType="begin">
          <w:fldData xml:space="preserve">PEVuZE5vdGU+PENpdGU+PEF1dGhvcj5CZWVjaDwvQXV0aG9yPjxZZWFyPjIwMTk8L1llYXI+PFJl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</w:fldData>
        </w:fldChar>
      </w:r>
      <w:r w:rsidR="00B329DB">
        <w:instrText xml:space="preserve"> ADDIN EN.CITE </w:instrText>
      </w:r>
      <w:r w:rsidR="00B329DB">
        <w:fldChar w:fldCharType="begin">
          <w:fldData xml:space="preserve">PEVuZE5vdGU+PENpdGU+PEF1dGhvcj5CZWVjaDwvQXV0aG9yPjxZZWFyPjIwMTk8L1llYXI+PFJl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</w:fldData>
        </w:fldChar>
      </w:r>
      <w:r w:rsidR="00B329DB">
        <w:instrText xml:space="preserve"> ADDIN EN.CITE.DATA </w:instrText>
      </w:r>
      <w:r w:rsidR="00B329DB">
        <w:fldChar w:fldCharType="end"/>
      </w:r>
      <w:r>
        <w:fldChar w:fldCharType="separate"/>
      </w:r>
      <w:r w:rsidR="00B329DB" w:rsidRPr="00B329DB">
        <w:rPr>
          <w:noProof/>
          <w:vertAlign w:val="superscript"/>
        </w:rPr>
        <w:t>23</w:t>
      </w:r>
      <w:r>
        <w:fldChar w:fldCharType="end"/>
      </w:r>
      <w:r>
        <w:t xml:space="preserve"> This raises further questions about the appropriateness of recruiting GPs to work in hospital ED settings. </w:t>
      </w:r>
    </w:p>
    <w:p w14:paraId="169CC59F" w14:textId="77777777" w:rsidR="008C089E" w:rsidRDefault="008C089E" w:rsidP="008C089E">
      <w:pPr>
        <w:pStyle w:val="Heading1"/>
      </w:pPr>
      <w:r>
        <w:t>Conclusions</w:t>
      </w:r>
    </w:p>
    <w:p w14:paraId="17562C19" w14:textId="31A4622D" w:rsidR="008C089E" w:rsidRDefault="008C089E" w:rsidP="008C089E">
      <w:r>
        <w:t xml:space="preserve">We found no adverse effects on patient outcomes, neither did we find any evidence of the hypothesised benefits of placing GPs in emergency settings beyond a marginal reduction in re-attendances that was not considered clinically significant. Given that GPED services are likely to incur significant additional costs, and </w:t>
      </w:r>
      <w:r w:rsidR="00897121">
        <w:t xml:space="preserve">to </w:t>
      </w:r>
      <w:r>
        <w:t xml:space="preserve">take GPs from primary care services which are themselves </w:t>
      </w:r>
      <w:r w:rsidR="00897121">
        <w:t>under pressure</w:t>
      </w:r>
      <w:r>
        <w:t xml:space="preserve">, we found no evidence that they are a good use of scarce health care resources </w:t>
      </w:r>
      <w:r w:rsidR="00F812B0">
        <w:t>in the absence of further</w:t>
      </w:r>
      <w:r>
        <w:t xml:space="preserve"> develop</w:t>
      </w:r>
      <w:r w:rsidR="00F812B0">
        <w:t>ment of the model</w:t>
      </w:r>
      <w:r>
        <w:t xml:space="preserve"> and substantial improvements in outcomes. </w:t>
      </w:r>
    </w:p>
    <w:p w14:paraId="25B93ACC" w14:textId="37C0B141" w:rsidR="008C089E" w:rsidRDefault="008C089E" w:rsidP="008C089E"/>
    <w:p w14:paraId="4E116286" w14:textId="77777777" w:rsidR="008C089E" w:rsidRDefault="008C089E" w:rsidP="008C089E"/>
    <w:p w14:paraId="0BFD9449" w14:textId="77777777" w:rsidR="008C089E" w:rsidRDefault="008C089E" w:rsidP="008C089E">
      <w:pPr>
        <w:pStyle w:val="Heading1"/>
        <w:sectPr w:rsidR="008C089E">
          <w:pgSz w:w="11909" w:h="16834"/>
          <w:pgMar w:top="1440" w:right="1440" w:bottom="1440" w:left="1440" w:header="720" w:footer="720" w:gutter="0"/>
          <w:pgNumType w:start="1"/>
          <w:cols w:space="720"/>
        </w:sectPr>
      </w:pPr>
    </w:p>
    <w:p w14:paraId="1A2E73B0" w14:textId="77777777" w:rsidR="008C089E" w:rsidRDefault="008C089E" w:rsidP="008C089E">
      <w:pPr>
        <w:pStyle w:val="Heading1"/>
      </w:pPr>
      <w:r>
        <w:t>References</w:t>
      </w:r>
    </w:p>
    <w:p w14:paraId="40B50CA9" w14:textId="77777777" w:rsidR="00B329DB" w:rsidRPr="00B329DB" w:rsidRDefault="008C089E" w:rsidP="00B329DB">
      <w:pPr>
        <w:pStyle w:val="EndNoteBibliography"/>
        <w:ind w:left="720" w:hanging="720"/>
        <w:rPr>
          <w:noProof/>
        </w:rPr>
      </w:pPr>
      <w:r>
        <w:fldChar w:fldCharType="begin"/>
      </w:r>
      <w:r>
        <w:instrText xml:space="preserve"> ADDIN EN.REFLIST </w:instrText>
      </w:r>
      <w:r>
        <w:fldChar w:fldCharType="separate"/>
      </w:r>
      <w:r w:rsidR="00B329DB" w:rsidRPr="00B329DB">
        <w:rPr>
          <w:noProof/>
        </w:rPr>
        <w:t xml:space="preserve">1. Pines J, Griffey R. What we have learned from a decade of ED crowding research? </w:t>
      </w:r>
      <w:r w:rsidR="00B329DB" w:rsidRPr="00B329DB">
        <w:rPr>
          <w:i/>
          <w:noProof/>
        </w:rPr>
        <w:t>Acad Emerg Med</w:t>
      </w:r>
      <w:r w:rsidR="00B329DB" w:rsidRPr="00B329DB">
        <w:rPr>
          <w:noProof/>
        </w:rPr>
        <w:t xml:space="preserve"> 2015;22(8):7.</w:t>
      </w:r>
    </w:p>
    <w:p w14:paraId="0E347984" w14:textId="77777777" w:rsidR="00B329DB" w:rsidRPr="00B329DB" w:rsidRDefault="00B329DB" w:rsidP="00B329DB">
      <w:pPr>
        <w:pStyle w:val="EndNoteBibliography"/>
        <w:ind w:left="720" w:hanging="720"/>
        <w:rPr>
          <w:noProof/>
        </w:rPr>
      </w:pPr>
      <w:r w:rsidRPr="00B329DB">
        <w:rPr>
          <w:noProof/>
        </w:rPr>
        <w:t xml:space="preserve">2. Hoot N, Aronsky D. Systematic review of emergency department crowding: Causes effects and solutions. </w:t>
      </w:r>
      <w:r w:rsidRPr="00B329DB">
        <w:rPr>
          <w:i/>
          <w:noProof/>
        </w:rPr>
        <w:t>Ann Emerg Med</w:t>
      </w:r>
      <w:r w:rsidRPr="00B329DB">
        <w:rPr>
          <w:noProof/>
        </w:rPr>
        <w:t xml:space="preserve"> 2008;52(2):10.</w:t>
      </w:r>
    </w:p>
    <w:p w14:paraId="7C64172E" w14:textId="77777777" w:rsidR="00B329DB" w:rsidRPr="00B329DB" w:rsidRDefault="00B329DB" w:rsidP="00B329DB">
      <w:pPr>
        <w:pStyle w:val="EndNoteBibliography"/>
        <w:ind w:left="720" w:hanging="720"/>
        <w:rPr>
          <w:noProof/>
        </w:rPr>
      </w:pPr>
      <w:r w:rsidRPr="00B329DB">
        <w:rPr>
          <w:noProof/>
        </w:rPr>
        <w:t xml:space="preserve">3. Stang A, Crotts J, Johnson D, et al. Crowding measures associated with the quality of emergency department care: A systematic review. </w:t>
      </w:r>
      <w:r w:rsidRPr="00B329DB">
        <w:rPr>
          <w:i/>
          <w:noProof/>
        </w:rPr>
        <w:t>Acad Emerg Med</w:t>
      </w:r>
      <w:r w:rsidRPr="00B329DB">
        <w:rPr>
          <w:noProof/>
        </w:rPr>
        <w:t xml:space="preserve"> 2015;22:14.</w:t>
      </w:r>
    </w:p>
    <w:p w14:paraId="7D5027FE" w14:textId="77777777" w:rsidR="00B329DB" w:rsidRPr="00B329DB" w:rsidRDefault="00B329DB" w:rsidP="00B329DB">
      <w:pPr>
        <w:pStyle w:val="EndNoteBibliography"/>
        <w:ind w:left="720" w:hanging="720"/>
        <w:rPr>
          <w:noProof/>
        </w:rPr>
      </w:pPr>
      <w:r w:rsidRPr="00B329DB">
        <w:rPr>
          <w:noProof/>
        </w:rPr>
        <w:t xml:space="preserve">4. Morley C, Unwin M, Peterson G, et al. Emergency department crowding: A systematic review of causes consequences and solutions. </w:t>
      </w:r>
      <w:r w:rsidRPr="00B329DB">
        <w:rPr>
          <w:i/>
          <w:noProof/>
        </w:rPr>
        <w:t>PLOS One</w:t>
      </w:r>
      <w:r w:rsidRPr="00B329DB">
        <w:rPr>
          <w:noProof/>
        </w:rPr>
        <w:t xml:space="preserve"> 2018;13(8)</w:t>
      </w:r>
    </w:p>
    <w:p w14:paraId="3858A501" w14:textId="77777777" w:rsidR="00B329DB" w:rsidRPr="00B329DB" w:rsidRDefault="00B329DB" w:rsidP="00B329DB">
      <w:pPr>
        <w:pStyle w:val="EndNoteBibliography"/>
        <w:ind w:left="720" w:hanging="720"/>
        <w:rPr>
          <w:noProof/>
        </w:rPr>
      </w:pPr>
      <w:r w:rsidRPr="00B329DB">
        <w:rPr>
          <w:noProof/>
        </w:rPr>
        <w:t>5. National Audit Office. Emergency admissions to hospital: managing the demand, 2013.</w:t>
      </w:r>
    </w:p>
    <w:p w14:paraId="6A548BCC" w14:textId="77777777" w:rsidR="00B329DB" w:rsidRPr="00B329DB" w:rsidRDefault="00B329DB" w:rsidP="00B329DB">
      <w:pPr>
        <w:pStyle w:val="EndNoteBibliography"/>
        <w:ind w:left="720" w:hanging="720"/>
        <w:rPr>
          <w:noProof/>
        </w:rPr>
      </w:pPr>
      <w:r w:rsidRPr="00B329DB">
        <w:rPr>
          <w:noProof/>
        </w:rPr>
        <w:t xml:space="preserve">6. Turner J, O'Cathain A, Knowles E, et al. Impact of the urgent care telephone service NHS 111 pilot sites: a controlled before and after study. </w:t>
      </w:r>
      <w:r w:rsidRPr="00B329DB">
        <w:rPr>
          <w:i/>
          <w:noProof/>
        </w:rPr>
        <w:t>BMJ Open</w:t>
      </w:r>
      <w:r w:rsidRPr="00B329DB">
        <w:rPr>
          <w:noProof/>
        </w:rPr>
        <w:t xml:space="preserve"> 2013;3(11):e003451. doi: 10.1136/bmjopen-2013-003451</w:t>
      </w:r>
    </w:p>
    <w:p w14:paraId="43618D2E" w14:textId="77777777" w:rsidR="00B329DB" w:rsidRPr="00B329DB" w:rsidRDefault="00B329DB" w:rsidP="00B329DB">
      <w:pPr>
        <w:pStyle w:val="EndNoteBibliography"/>
        <w:ind w:left="720" w:hanging="720"/>
        <w:rPr>
          <w:noProof/>
        </w:rPr>
      </w:pPr>
      <w:r w:rsidRPr="00B329DB">
        <w:rPr>
          <w:noProof/>
        </w:rPr>
        <w:t>7. Mason S, O’Keeffe C, Jacques R, et al. Perspectives on the reasons for Emergency Department attendnaces acrss Yorkshire and the Humber - Final Report September 2017. The University of Sheffield, 2017.</w:t>
      </w:r>
    </w:p>
    <w:p w14:paraId="7C612E5A" w14:textId="77777777" w:rsidR="00B329DB" w:rsidRPr="00B329DB" w:rsidRDefault="00B329DB" w:rsidP="00B329DB">
      <w:pPr>
        <w:pStyle w:val="EndNoteBibliography"/>
        <w:ind w:left="720" w:hanging="720"/>
        <w:rPr>
          <w:noProof/>
        </w:rPr>
      </w:pPr>
      <w:r w:rsidRPr="00B329DB">
        <w:rPr>
          <w:noProof/>
        </w:rPr>
        <w:t>8. NHS England. High quality care for all, now and for future generations: Transforming urgent and emergency care services in England - Urgent and Emergency Care Review End of Phase 1 Report. Leeds, 2013.</w:t>
      </w:r>
    </w:p>
    <w:p w14:paraId="586BB9EF" w14:textId="77777777" w:rsidR="00B329DB" w:rsidRPr="00B329DB" w:rsidRDefault="00B329DB" w:rsidP="00B329DB">
      <w:pPr>
        <w:pStyle w:val="EndNoteBibliography"/>
        <w:ind w:left="720" w:hanging="720"/>
        <w:rPr>
          <w:noProof/>
        </w:rPr>
      </w:pPr>
      <w:r w:rsidRPr="00B329DB">
        <w:rPr>
          <w:noProof/>
        </w:rPr>
        <w:t>9. NHS England. Next steps on the NHS Five Year Forward View, 2017.</w:t>
      </w:r>
    </w:p>
    <w:p w14:paraId="3197FEA7" w14:textId="77777777" w:rsidR="00B329DB" w:rsidRPr="00B329DB" w:rsidRDefault="00B329DB" w:rsidP="00B329DB">
      <w:pPr>
        <w:pStyle w:val="EndNoteBibliography"/>
        <w:ind w:left="720" w:hanging="720"/>
        <w:rPr>
          <w:noProof/>
        </w:rPr>
      </w:pPr>
      <w:r w:rsidRPr="00B329DB">
        <w:rPr>
          <w:noProof/>
        </w:rPr>
        <w:t>10. NHS England. Transforming urgent and emergency care services in England - Safer, faster, better: good practice in delivering urgent and emergency care. London, 2016.</w:t>
      </w:r>
    </w:p>
    <w:p w14:paraId="6036F181" w14:textId="77777777" w:rsidR="00B329DB" w:rsidRPr="00B329DB" w:rsidRDefault="00B329DB" w:rsidP="00B329DB">
      <w:pPr>
        <w:pStyle w:val="EndNoteBibliography"/>
        <w:ind w:left="720" w:hanging="720"/>
        <w:rPr>
          <w:noProof/>
        </w:rPr>
      </w:pPr>
      <w:r w:rsidRPr="00B329DB">
        <w:rPr>
          <w:noProof/>
        </w:rPr>
        <w:t xml:space="preserve">11. Cooper A, Edwards M, Brandling J, et al. Taxonomy of the form and function of primary care services in or alongside emergency departments: concepts paper. </w:t>
      </w:r>
      <w:r w:rsidRPr="00B329DB">
        <w:rPr>
          <w:i/>
          <w:noProof/>
        </w:rPr>
        <w:t>Emergency Medicine Journal</w:t>
      </w:r>
      <w:r w:rsidRPr="00B329DB">
        <w:rPr>
          <w:noProof/>
        </w:rPr>
        <w:t xml:space="preserve"> 2019;36(10):625-30. doi: 10.1136/emermed-2018-208305</w:t>
      </w:r>
    </w:p>
    <w:p w14:paraId="3EE864F8" w14:textId="77777777" w:rsidR="00B329DB" w:rsidRPr="00B329DB" w:rsidRDefault="00B329DB" w:rsidP="00B329DB">
      <w:pPr>
        <w:pStyle w:val="EndNoteBibliography"/>
        <w:ind w:left="720" w:hanging="720"/>
        <w:rPr>
          <w:noProof/>
        </w:rPr>
      </w:pPr>
      <w:r w:rsidRPr="00B329DB">
        <w:rPr>
          <w:noProof/>
        </w:rPr>
        <w:t xml:space="preserve">12. Gonçalves-Bradley D, Khangura JK, Flodgren G, et al. Primary care professionals providing non-urgent care in hospital emergency departments. </w:t>
      </w:r>
      <w:r w:rsidRPr="00B329DB">
        <w:rPr>
          <w:i/>
          <w:noProof/>
        </w:rPr>
        <w:t>Cochrane Database Syst Rev</w:t>
      </w:r>
      <w:r w:rsidRPr="00B329DB">
        <w:rPr>
          <w:noProof/>
        </w:rPr>
        <w:t xml:space="preserve"> 2018;2(2):Cd002097. doi: 10.1002/14651858.CD002097.pub4</w:t>
      </w:r>
    </w:p>
    <w:p w14:paraId="6BBDD04F" w14:textId="77777777" w:rsidR="00B329DB" w:rsidRPr="00B329DB" w:rsidRDefault="00B329DB" w:rsidP="00B329DB">
      <w:pPr>
        <w:pStyle w:val="EndNoteBibliography"/>
        <w:ind w:left="720" w:hanging="720"/>
        <w:rPr>
          <w:noProof/>
        </w:rPr>
      </w:pPr>
      <w:r w:rsidRPr="00B329DB">
        <w:rPr>
          <w:noProof/>
        </w:rPr>
        <w:t xml:space="preserve">13. Ramlakhan S, Mason S, O'Keeffe C, et al. Primary care services located with EDs: a review of effectiveness. </w:t>
      </w:r>
      <w:r w:rsidRPr="00B329DB">
        <w:rPr>
          <w:i/>
          <w:noProof/>
        </w:rPr>
        <w:t>Emergency Medicine Journal</w:t>
      </w:r>
      <w:r w:rsidRPr="00B329DB">
        <w:rPr>
          <w:noProof/>
        </w:rPr>
        <w:t xml:space="preserve"> 2016;33(7):495-503. doi: 10.1136/emermed-2015-204900</w:t>
      </w:r>
    </w:p>
    <w:p w14:paraId="3D2824F1" w14:textId="77777777" w:rsidR="00B329DB" w:rsidRPr="00B329DB" w:rsidRDefault="00B329DB" w:rsidP="00B329DB">
      <w:pPr>
        <w:pStyle w:val="EndNoteBibliography"/>
        <w:ind w:left="720" w:hanging="720"/>
        <w:rPr>
          <w:noProof/>
        </w:rPr>
      </w:pPr>
      <w:r w:rsidRPr="00B329DB">
        <w:rPr>
          <w:noProof/>
        </w:rPr>
        <w:t xml:space="preserve">14. Cooper A, Davies F, Edwards M, et al. The impact of general practitioners working in or alongside emergency departments: a rapid realist review. </w:t>
      </w:r>
      <w:r w:rsidRPr="00B329DB">
        <w:rPr>
          <w:i/>
          <w:noProof/>
        </w:rPr>
        <w:t>BMJ Open</w:t>
      </w:r>
      <w:r w:rsidRPr="00B329DB">
        <w:rPr>
          <w:noProof/>
        </w:rPr>
        <w:t xml:space="preserve"> 2019;9(4):e024501. doi: 10.1136/bmjopen-2018-024501</w:t>
      </w:r>
    </w:p>
    <w:p w14:paraId="3B40D5EE" w14:textId="77777777" w:rsidR="00B329DB" w:rsidRPr="00B329DB" w:rsidRDefault="00B329DB" w:rsidP="00B329DB">
      <w:pPr>
        <w:pStyle w:val="EndNoteBibliography"/>
        <w:ind w:left="720" w:hanging="720"/>
        <w:rPr>
          <w:noProof/>
        </w:rPr>
      </w:pPr>
      <w:r w:rsidRPr="00B329DB">
        <w:rPr>
          <w:noProof/>
        </w:rPr>
        <w:t xml:space="preserve">15. Morton K, Voss S, Adamson J, et al. General practitioners and emergency departments (GPED) - efficient models of care: A mixed-methods study protocol. </w:t>
      </w:r>
      <w:r w:rsidRPr="00B329DB">
        <w:rPr>
          <w:i/>
          <w:noProof/>
        </w:rPr>
        <w:t>BMJ Open</w:t>
      </w:r>
      <w:r w:rsidRPr="00B329DB">
        <w:rPr>
          <w:noProof/>
        </w:rPr>
        <w:t xml:space="preserve"> 2018;8:8. doi: 10.1136/bmjopen-2018-024012</w:t>
      </w:r>
    </w:p>
    <w:p w14:paraId="7C2B1BA5" w14:textId="2C41251A" w:rsidR="00B329DB" w:rsidRPr="00B329DB" w:rsidRDefault="00B329DB" w:rsidP="00B329DB">
      <w:pPr>
        <w:pStyle w:val="EndNoteBibliography"/>
        <w:ind w:left="720" w:hanging="720"/>
        <w:rPr>
          <w:noProof/>
        </w:rPr>
      </w:pPr>
      <w:r>
        <w:rPr>
          <w:noProof/>
        </w:rPr>
        <w:t>[</w:t>
      </w:r>
      <w:r w:rsidR="003971A4">
        <w:rPr>
          <w:noProof/>
        </w:rPr>
        <w:t>dataset</w:t>
      </w:r>
      <w:r>
        <w:rPr>
          <w:noProof/>
        </w:rPr>
        <w:t xml:space="preserve">] </w:t>
      </w:r>
      <w:r w:rsidRPr="00B329DB">
        <w:rPr>
          <w:noProof/>
        </w:rPr>
        <w:t xml:space="preserve">16. Brant H, Voss S, Morton K, et al. Current provision of general practitioner services  in or alongside emergency departments in England. </w:t>
      </w:r>
      <w:r w:rsidRPr="00B329DB">
        <w:rPr>
          <w:i/>
          <w:noProof/>
        </w:rPr>
        <w:t>Emergency Medicine Journal</w:t>
      </w:r>
      <w:r w:rsidRPr="00B329DB">
        <w:rPr>
          <w:noProof/>
        </w:rPr>
        <w:t xml:space="preserve"> 2021;38:4. doi: 10.1136/emermed-2020-210539</w:t>
      </w:r>
    </w:p>
    <w:p w14:paraId="7CDDC6A0" w14:textId="38D8D3DC" w:rsidR="00B329DB" w:rsidRPr="00B329DB" w:rsidRDefault="00B329DB" w:rsidP="00B329DB">
      <w:pPr>
        <w:pStyle w:val="EndNoteBibliography"/>
        <w:ind w:left="720" w:hanging="720"/>
        <w:rPr>
          <w:noProof/>
        </w:rPr>
      </w:pPr>
      <w:r>
        <w:rPr>
          <w:noProof/>
        </w:rPr>
        <w:t>[</w:t>
      </w:r>
      <w:r w:rsidR="003971A4">
        <w:rPr>
          <w:noProof/>
        </w:rPr>
        <w:t>dataset</w:t>
      </w:r>
      <w:r>
        <w:rPr>
          <w:noProof/>
        </w:rPr>
        <w:t xml:space="preserve">] </w:t>
      </w:r>
      <w:r w:rsidRPr="00B329DB">
        <w:rPr>
          <w:noProof/>
        </w:rPr>
        <w:t xml:space="preserve">17. NHS Digital. Hospital Episode Statistics (HES) 2022 [updated 05.01.2022. Available from: </w:t>
      </w:r>
      <w:hyperlink r:id="rId7" w:history="1">
        <w:r w:rsidRPr="00B329DB">
          <w:rPr>
            <w:rStyle w:val="Hyperlink"/>
            <w:noProof/>
          </w:rPr>
          <w:t>https://digital.nhs.uk/data-and-information/data-tools-and-services/data-services/hospital-episode-statistics</w:t>
        </w:r>
      </w:hyperlink>
      <w:r w:rsidRPr="00B329DB">
        <w:rPr>
          <w:noProof/>
        </w:rPr>
        <w:t xml:space="preserve"> accessed 10.01.2022 2022.</w:t>
      </w:r>
    </w:p>
    <w:p w14:paraId="11461BE3" w14:textId="77777777" w:rsidR="00B329DB" w:rsidRPr="00B329DB" w:rsidRDefault="00B329DB" w:rsidP="00B329DB">
      <w:pPr>
        <w:pStyle w:val="EndNoteBibliography"/>
        <w:ind w:left="720" w:hanging="720"/>
        <w:rPr>
          <w:noProof/>
        </w:rPr>
      </w:pPr>
      <w:r w:rsidRPr="00B329DB">
        <w:rPr>
          <w:noProof/>
        </w:rPr>
        <w:t>18. Noble S, McLennan D, Noble M, et al. The English Indices of Deprivation 2019. In: Ministry of Housing CLG, ed. London, 2019.</w:t>
      </w:r>
    </w:p>
    <w:p w14:paraId="01AD71C9" w14:textId="2FDD06D8" w:rsidR="00B329DB" w:rsidRPr="00B329DB" w:rsidRDefault="00B329DB" w:rsidP="00B329DB">
      <w:pPr>
        <w:pStyle w:val="EndNoteBibliography"/>
        <w:ind w:left="720" w:hanging="720"/>
        <w:rPr>
          <w:noProof/>
        </w:rPr>
      </w:pPr>
      <w:r>
        <w:rPr>
          <w:noProof/>
        </w:rPr>
        <w:t>[</w:t>
      </w:r>
      <w:r w:rsidR="003971A4">
        <w:rPr>
          <w:noProof/>
        </w:rPr>
        <w:t>dataset</w:t>
      </w:r>
      <w:r>
        <w:rPr>
          <w:noProof/>
        </w:rPr>
        <w:t xml:space="preserve">] </w:t>
      </w:r>
      <w:r w:rsidRPr="00B329DB">
        <w:rPr>
          <w:noProof/>
        </w:rPr>
        <w:t xml:space="preserve">19. NHS Digital. Linked HES-ONS  mortality data 2020 [updated 15.01.2020. Available from: </w:t>
      </w:r>
      <w:hyperlink r:id="rId8" w:history="1">
        <w:r w:rsidRPr="00B329DB">
          <w:rPr>
            <w:rStyle w:val="Hyperlink"/>
            <w:noProof/>
          </w:rPr>
          <w:t>https://digital.nhs.uk/data-and-information/data-tools-and-services/data-services/linked-hes-ons-mortality-data</w:t>
        </w:r>
      </w:hyperlink>
      <w:r w:rsidRPr="00B329DB">
        <w:rPr>
          <w:noProof/>
        </w:rPr>
        <w:t xml:space="preserve"> accessed 10.01.2022 2022.</w:t>
      </w:r>
    </w:p>
    <w:p w14:paraId="6BF1A3F9" w14:textId="0B55A021" w:rsidR="00B329DB" w:rsidRPr="00B329DB" w:rsidRDefault="00B329DB" w:rsidP="00B329DB">
      <w:pPr>
        <w:pStyle w:val="EndNoteBibliography"/>
        <w:ind w:left="720" w:hanging="720"/>
        <w:rPr>
          <w:noProof/>
        </w:rPr>
      </w:pPr>
      <w:r w:rsidRPr="00B329DB">
        <w:rPr>
          <w:noProof/>
        </w:rPr>
        <w:t xml:space="preserve">20. NHS Digital. Non-urgent A&amp;E attendances 2021 [Available from: </w:t>
      </w:r>
      <w:hyperlink r:id="rId9" w:history="1">
        <w:r w:rsidRPr="00B329DB">
          <w:rPr>
            <w:rStyle w:val="Hyperlink"/>
            <w:noProof/>
          </w:rPr>
          <w:t>https://digital.nhs.uk/data-and-information/data-tools-and-services/data-services/innovative-uses-of-data/demand-on-healthcare/unnecessary-a-and-e-attendances</w:t>
        </w:r>
      </w:hyperlink>
      <w:r w:rsidRPr="00B329DB">
        <w:rPr>
          <w:noProof/>
        </w:rPr>
        <w:t xml:space="preserve"> accessed 16/11/2021.</w:t>
      </w:r>
    </w:p>
    <w:p w14:paraId="33411F7A" w14:textId="77777777" w:rsidR="00B329DB" w:rsidRPr="00B329DB" w:rsidRDefault="00B329DB" w:rsidP="00B329DB">
      <w:pPr>
        <w:pStyle w:val="EndNoteBibliography"/>
        <w:ind w:left="720" w:hanging="720"/>
        <w:rPr>
          <w:noProof/>
        </w:rPr>
      </w:pPr>
      <w:r w:rsidRPr="00B329DB">
        <w:rPr>
          <w:noProof/>
        </w:rPr>
        <w:t>21. Wooldridge JM. Econometric Analysis of Cross Section and Panel Data. Cambridge, Massachusetts: MIT Press 2002.</w:t>
      </w:r>
    </w:p>
    <w:p w14:paraId="0A3C75D3" w14:textId="77777777" w:rsidR="00B329DB" w:rsidRPr="00B329DB" w:rsidRDefault="00B329DB" w:rsidP="00B329DB">
      <w:pPr>
        <w:pStyle w:val="EndNoteBibliography"/>
        <w:ind w:left="720" w:hanging="720"/>
        <w:rPr>
          <w:noProof/>
        </w:rPr>
      </w:pPr>
      <w:r w:rsidRPr="00B329DB">
        <w:rPr>
          <w:noProof/>
        </w:rPr>
        <w:t xml:space="preserve">22. Dunn OJ. Multiple Comparisons among Means. </w:t>
      </w:r>
      <w:r w:rsidRPr="00B329DB">
        <w:rPr>
          <w:i/>
          <w:noProof/>
        </w:rPr>
        <w:t>Journal of the American Statistical Association</w:t>
      </w:r>
      <w:r w:rsidRPr="00B329DB">
        <w:rPr>
          <w:noProof/>
        </w:rPr>
        <w:t xml:space="preserve"> 1961;56(293):52-64. doi: 10.1080/01621459.1961.10482090</w:t>
      </w:r>
    </w:p>
    <w:p w14:paraId="05EE2221" w14:textId="77777777" w:rsidR="00B329DB" w:rsidRPr="00B329DB" w:rsidRDefault="00B329DB" w:rsidP="00B329DB">
      <w:pPr>
        <w:pStyle w:val="EndNoteBibliography"/>
        <w:ind w:left="720" w:hanging="720"/>
        <w:rPr>
          <w:noProof/>
        </w:rPr>
      </w:pPr>
      <w:r w:rsidRPr="00B329DB">
        <w:rPr>
          <w:noProof/>
        </w:rPr>
        <w:t>23. Beech J, Bottery S, Charlesworth A, et al. Closing the gap - Key areas for action on the health and care workforce. London: The King’s Fund, 2019.</w:t>
      </w:r>
    </w:p>
    <w:p w14:paraId="392B40B3" w14:textId="4C80D813" w:rsidR="008C089E" w:rsidRDefault="008C089E" w:rsidP="008C089E">
      <w:r>
        <w:fldChar w:fldCharType="end"/>
      </w:r>
    </w:p>
    <w:p w14:paraId="4B5DF735" w14:textId="47990CA7" w:rsidR="00625953" w:rsidRDefault="00625953">
      <w:pPr>
        <w:spacing w:after="160" w:line="259" w:lineRule="auto"/>
      </w:pPr>
      <w:r>
        <w:br w:type="page"/>
      </w:r>
    </w:p>
    <w:p w14:paraId="4783C0D1" w14:textId="22255D9F" w:rsidR="00280E8F" w:rsidRDefault="00280E8F">
      <w:pPr>
        <w:spacing w:after="160" w:line="259" w:lineRule="auto"/>
        <w:rPr>
          <w:sz w:val="40"/>
          <w:szCs w:val="40"/>
        </w:rPr>
      </w:pPr>
    </w:p>
    <w:p w14:paraId="0B93EB2C" w14:textId="53E9B2F8" w:rsidR="00625953" w:rsidRDefault="00625953" w:rsidP="00625953">
      <w:pPr>
        <w:pStyle w:val="Heading1"/>
      </w:pPr>
      <w:r>
        <w:t>Figure Legend</w:t>
      </w:r>
    </w:p>
    <w:p w14:paraId="72017EB7" w14:textId="77777777" w:rsidR="00625953" w:rsidRDefault="00625953"/>
    <w:p w14:paraId="5587437A" w14:textId="474A61BA" w:rsidR="00163C04" w:rsidRDefault="00625953">
      <w:r>
        <w:t>Fig 1: GPED service availability by hour of day</w:t>
      </w:r>
    </w:p>
    <w:p w14:paraId="24822BEC" w14:textId="055D90EF" w:rsidR="00625953" w:rsidRDefault="00625953">
      <w:r>
        <w:t>Fig 2: Volume of attendances by hour of day</w:t>
      </w:r>
    </w:p>
    <w:p w14:paraId="256CDB67" w14:textId="154C6F38" w:rsidR="00625953" w:rsidRPr="00625953" w:rsidRDefault="00625953">
      <w:r>
        <w:t xml:space="preserve">Fig 3: </w:t>
      </w:r>
      <w:r w:rsidRPr="00625953">
        <w:t>Patient characteristics by hour of day (mean, 95% CI)</w:t>
      </w:r>
    </w:p>
    <w:sectPr w:rsidR="00625953" w:rsidRPr="0062595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61979"/>
    <w:multiLevelType w:val="multilevel"/>
    <w:tmpl w:val="C1602DC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2D0B2D75"/>
    <w:multiLevelType w:val="multilevel"/>
    <w:tmpl w:val="2982E72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317B6FE7"/>
    <w:multiLevelType w:val="hybridMultilevel"/>
    <w:tmpl w:val="A582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32B4A"/>
    <w:multiLevelType w:val="hybridMultilevel"/>
    <w:tmpl w:val="DD50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2231F1"/>
    <w:multiLevelType w:val="multilevel"/>
    <w:tmpl w:val="408EE41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38F542CF"/>
    <w:multiLevelType w:val="hybridMultilevel"/>
    <w:tmpl w:val="8598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725812"/>
    <w:multiLevelType w:val="multilevel"/>
    <w:tmpl w:val="0C64B25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69482DCD"/>
    <w:multiLevelType w:val="multilevel"/>
    <w:tmpl w:val="93F45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6"/>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x2rwd0f79w05yefa5xxsaadedtat0w9v5td&quot;&gt;GPED_Library_2&lt;record-ids&gt;&lt;item&gt;1&lt;/item&gt;&lt;item&gt;2&lt;/item&gt;&lt;item&gt;3&lt;/item&gt;&lt;item&gt;4&lt;/item&gt;&lt;item&gt;5&lt;/item&gt;&lt;item&gt;6&lt;/item&gt;&lt;item&gt;7&lt;/item&gt;&lt;item&gt;8&lt;/item&gt;&lt;/record-ids&gt;&lt;/item&gt;&lt;/Libraries&gt;"/>
  </w:docVars>
  <w:rsids>
    <w:rsidRoot w:val="008C089E"/>
    <w:rsid w:val="0005606B"/>
    <w:rsid w:val="000576D7"/>
    <w:rsid w:val="00076435"/>
    <w:rsid w:val="000C3E84"/>
    <w:rsid w:val="000E06B0"/>
    <w:rsid w:val="000E3B68"/>
    <w:rsid w:val="000E78C9"/>
    <w:rsid w:val="000F6AF1"/>
    <w:rsid w:val="000F6EB9"/>
    <w:rsid w:val="00122DF7"/>
    <w:rsid w:val="00123C9D"/>
    <w:rsid w:val="00125673"/>
    <w:rsid w:val="00163C04"/>
    <w:rsid w:val="001708BC"/>
    <w:rsid w:val="00174C52"/>
    <w:rsid w:val="0017676E"/>
    <w:rsid w:val="001A078C"/>
    <w:rsid w:val="001C3E07"/>
    <w:rsid w:val="001E6C3D"/>
    <w:rsid w:val="00200F84"/>
    <w:rsid w:val="00201E0B"/>
    <w:rsid w:val="002176C2"/>
    <w:rsid w:val="00223B8F"/>
    <w:rsid w:val="00247D7E"/>
    <w:rsid w:val="00251A46"/>
    <w:rsid w:val="002742C4"/>
    <w:rsid w:val="00275141"/>
    <w:rsid w:val="00276566"/>
    <w:rsid w:val="00280E8F"/>
    <w:rsid w:val="00281FB2"/>
    <w:rsid w:val="00286E31"/>
    <w:rsid w:val="0029682D"/>
    <w:rsid w:val="002A2876"/>
    <w:rsid w:val="002A375F"/>
    <w:rsid w:val="002A3B88"/>
    <w:rsid w:val="002F1521"/>
    <w:rsid w:val="00304B09"/>
    <w:rsid w:val="00330A04"/>
    <w:rsid w:val="00341F8B"/>
    <w:rsid w:val="003503DB"/>
    <w:rsid w:val="00363E77"/>
    <w:rsid w:val="003971A4"/>
    <w:rsid w:val="003A16B3"/>
    <w:rsid w:val="003A7F8A"/>
    <w:rsid w:val="003B7262"/>
    <w:rsid w:val="003C595C"/>
    <w:rsid w:val="003E24E5"/>
    <w:rsid w:val="003E5D6C"/>
    <w:rsid w:val="00436295"/>
    <w:rsid w:val="00440F67"/>
    <w:rsid w:val="00470B1A"/>
    <w:rsid w:val="004A49D8"/>
    <w:rsid w:val="004A5A37"/>
    <w:rsid w:val="004C0766"/>
    <w:rsid w:val="004F5694"/>
    <w:rsid w:val="00515413"/>
    <w:rsid w:val="00524F87"/>
    <w:rsid w:val="005A7BEB"/>
    <w:rsid w:val="005B3961"/>
    <w:rsid w:val="005C2F1A"/>
    <w:rsid w:val="005D22EE"/>
    <w:rsid w:val="005E1B71"/>
    <w:rsid w:val="005E4FBF"/>
    <w:rsid w:val="00621F5E"/>
    <w:rsid w:val="00625953"/>
    <w:rsid w:val="00655295"/>
    <w:rsid w:val="00673860"/>
    <w:rsid w:val="006829E1"/>
    <w:rsid w:val="00685CCB"/>
    <w:rsid w:val="006951FB"/>
    <w:rsid w:val="006C5074"/>
    <w:rsid w:val="006E749E"/>
    <w:rsid w:val="0072554D"/>
    <w:rsid w:val="007267B3"/>
    <w:rsid w:val="007311FB"/>
    <w:rsid w:val="00747AAE"/>
    <w:rsid w:val="007512A7"/>
    <w:rsid w:val="007766FA"/>
    <w:rsid w:val="007958F5"/>
    <w:rsid w:val="007B5EA7"/>
    <w:rsid w:val="007C3765"/>
    <w:rsid w:val="007D3B97"/>
    <w:rsid w:val="007D6AEB"/>
    <w:rsid w:val="007E66B9"/>
    <w:rsid w:val="007F3C4D"/>
    <w:rsid w:val="00817077"/>
    <w:rsid w:val="00882F28"/>
    <w:rsid w:val="00894179"/>
    <w:rsid w:val="00897121"/>
    <w:rsid w:val="00897E57"/>
    <w:rsid w:val="008A77BE"/>
    <w:rsid w:val="008B12EA"/>
    <w:rsid w:val="008B2C22"/>
    <w:rsid w:val="008B582C"/>
    <w:rsid w:val="008C089E"/>
    <w:rsid w:val="008C5BFF"/>
    <w:rsid w:val="008D5F3A"/>
    <w:rsid w:val="008E483C"/>
    <w:rsid w:val="009073BF"/>
    <w:rsid w:val="00935EAC"/>
    <w:rsid w:val="00956444"/>
    <w:rsid w:val="00970CE7"/>
    <w:rsid w:val="00976493"/>
    <w:rsid w:val="00982D95"/>
    <w:rsid w:val="009B16BA"/>
    <w:rsid w:val="009D3FD4"/>
    <w:rsid w:val="009F626D"/>
    <w:rsid w:val="00A21268"/>
    <w:rsid w:val="00A5322B"/>
    <w:rsid w:val="00A569EC"/>
    <w:rsid w:val="00A9213A"/>
    <w:rsid w:val="00AB70CF"/>
    <w:rsid w:val="00AD3011"/>
    <w:rsid w:val="00AE2862"/>
    <w:rsid w:val="00AE503C"/>
    <w:rsid w:val="00B329DB"/>
    <w:rsid w:val="00B43A65"/>
    <w:rsid w:val="00B63C12"/>
    <w:rsid w:val="00B72C58"/>
    <w:rsid w:val="00BA0DE0"/>
    <w:rsid w:val="00BC0705"/>
    <w:rsid w:val="00BC50F1"/>
    <w:rsid w:val="00BF2695"/>
    <w:rsid w:val="00C053EE"/>
    <w:rsid w:val="00C05411"/>
    <w:rsid w:val="00C21CE8"/>
    <w:rsid w:val="00C32895"/>
    <w:rsid w:val="00C35284"/>
    <w:rsid w:val="00C43860"/>
    <w:rsid w:val="00C56CDC"/>
    <w:rsid w:val="00C62098"/>
    <w:rsid w:val="00C6512F"/>
    <w:rsid w:val="00C76EF8"/>
    <w:rsid w:val="00C83F95"/>
    <w:rsid w:val="00CD4AEE"/>
    <w:rsid w:val="00D111D3"/>
    <w:rsid w:val="00D21521"/>
    <w:rsid w:val="00D276D1"/>
    <w:rsid w:val="00D7621E"/>
    <w:rsid w:val="00D928AD"/>
    <w:rsid w:val="00DA1932"/>
    <w:rsid w:val="00DB4E91"/>
    <w:rsid w:val="00DC4A96"/>
    <w:rsid w:val="00DC536D"/>
    <w:rsid w:val="00DC5AA9"/>
    <w:rsid w:val="00DE177D"/>
    <w:rsid w:val="00DE5C6F"/>
    <w:rsid w:val="00E02C8A"/>
    <w:rsid w:val="00E22BEC"/>
    <w:rsid w:val="00E52968"/>
    <w:rsid w:val="00E52F44"/>
    <w:rsid w:val="00E567AA"/>
    <w:rsid w:val="00E84060"/>
    <w:rsid w:val="00EA30EC"/>
    <w:rsid w:val="00EB356B"/>
    <w:rsid w:val="00EB6DC0"/>
    <w:rsid w:val="00ED4048"/>
    <w:rsid w:val="00ED66B6"/>
    <w:rsid w:val="00F15DA9"/>
    <w:rsid w:val="00F17AB5"/>
    <w:rsid w:val="00F20C56"/>
    <w:rsid w:val="00F20DC2"/>
    <w:rsid w:val="00F335BE"/>
    <w:rsid w:val="00F36C39"/>
    <w:rsid w:val="00F527AF"/>
    <w:rsid w:val="00F75462"/>
    <w:rsid w:val="00F812B0"/>
    <w:rsid w:val="00FB18EB"/>
    <w:rsid w:val="00FC7E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25ED3"/>
  <w15:chartTrackingRefBased/>
  <w15:docId w15:val="{B46C6264-F3B6-48AE-B8A4-06891A94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89E"/>
    <w:pPr>
      <w:spacing w:after="0" w:line="276" w:lineRule="auto"/>
    </w:pPr>
    <w:rPr>
      <w:rFonts w:ascii="Arial" w:eastAsia="Arial" w:hAnsi="Arial" w:cs="Arial"/>
      <w:sz w:val="20"/>
      <w:szCs w:val="20"/>
      <w:lang w:eastAsia="en-GB"/>
    </w:rPr>
  </w:style>
  <w:style w:type="paragraph" w:styleId="Heading1">
    <w:name w:val="heading 1"/>
    <w:basedOn w:val="Normal"/>
    <w:next w:val="Normal"/>
    <w:link w:val="Heading1Char"/>
    <w:uiPriority w:val="9"/>
    <w:qFormat/>
    <w:rsid w:val="008C089E"/>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8C089E"/>
    <w:pPr>
      <w:keepNext/>
      <w:keepLines/>
      <w:spacing w:before="360" w:after="120"/>
      <w:outlineLvl w:val="1"/>
    </w:pPr>
    <w:rPr>
      <w:sz w:val="32"/>
      <w:szCs w:val="32"/>
    </w:rPr>
  </w:style>
  <w:style w:type="paragraph" w:styleId="Heading4">
    <w:name w:val="heading 4"/>
    <w:basedOn w:val="Normal"/>
    <w:next w:val="Normal"/>
    <w:link w:val="Heading4Char"/>
    <w:uiPriority w:val="9"/>
    <w:unhideWhenUsed/>
    <w:qFormat/>
    <w:rsid w:val="008C089E"/>
    <w:pPr>
      <w:keepNext/>
      <w:keepLines/>
      <w:spacing w:before="280" w:after="80"/>
      <w:outlineLvl w:val="3"/>
    </w:pPr>
    <w:rPr>
      <w:color w:val="666666"/>
      <w:sz w:val="24"/>
      <w:szCs w:val="24"/>
    </w:rPr>
  </w:style>
  <w:style w:type="paragraph" w:styleId="Heading5">
    <w:name w:val="heading 5"/>
    <w:basedOn w:val="Normal"/>
    <w:next w:val="Normal"/>
    <w:link w:val="Heading5Char"/>
    <w:uiPriority w:val="9"/>
    <w:unhideWhenUsed/>
    <w:qFormat/>
    <w:rsid w:val="008C089E"/>
    <w:pPr>
      <w:keepNext/>
      <w:keepLines/>
      <w:spacing w:before="240" w:after="80"/>
      <w:outlineLvl w:val="4"/>
    </w:pPr>
    <w:rPr>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89E"/>
    <w:rPr>
      <w:rFonts w:ascii="Arial" w:eastAsia="Arial" w:hAnsi="Arial" w:cs="Arial"/>
      <w:sz w:val="40"/>
      <w:szCs w:val="40"/>
      <w:lang w:eastAsia="en-GB"/>
    </w:rPr>
  </w:style>
  <w:style w:type="character" w:customStyle="1" w:styleId="Heading2Char">
    <w:name w:val="Heading 2 Char"/>
    <w:basedOn w:val="DefaultParagraphFont"/>
    <w:link w:val="Heading2"/>
    <w:uiPriority w:val="9"/>
    <w:rsid w:val="008C089E"/>
    <w:rPr>
      <w:rFonts w:ascii="Arial" w:eastAsia="Arial" w:hAnsi="Arial" w:cs="Arial"/>
      <w:sz w:val="32"/>
      <w:szCs w:val="32"/>
      <w:lang w:eastAsia="en-GB"/>
    </w:rPr>
  </w:style>
  <w:style w:type="character" w:customStyle="1" w:styleId="Heading4Char">
    <w:name w:val="Heading 4 Char"/>
    <w:basedOn w:val="DefaultParagraphFont"/>
    <w:link w:val="Heading4"/>
    <w:uiPriority w:val="9"/>
    <w:rsid w:val="008C089E"/>
    <w:rPr>
      <w:rFonts w:ascii="Arial" w:eastAsia="Arial" w:hAnsi="Arial" w:cs="Arial"/>
      <w:color w:val="666666"/>
      <w:sz w:val="24"/>
      <w:szCs w:val="24"/>
      <w:lang w:eastAsia="en-GB"/>
    </w:rPr>
  </w:style>
  <w:style w:type="character" w:customStyle="1" w:styleId="Heading5Char">
    <w:name w:val="Heading 5 Char"/>
    <w:basedOn w:val="DefaultParagraphFont"/>
    <w:link w:val="Heading5"/>
    <w:uiPriority w:val="9"/>
    <w:rsid w:val="008C089E"/>
    <w:rPr>
      <w:rFonts w:ascii="Arial" w:eastAsia="Arial" w:hAnsi="Arial" w:cs="Arial"/>
      <w:color w:val="666666"/>
      <w:lang w:eastAsia="en-GB"/>
    </w:rPr>
  </w:style>
  <w:style w:type="paragraph" w:styleId="CommentText">
    <w:name w:val="annotation text"/>
    <w:basedOn w:val="Normal"/>
    <w:link w:val="CommentTextChar"/>
    <w:uiPriority w:val="99"/>
    <w:unhideWhenUsed/>
    <w:rsid w:val="008C089E"/>
    <w:pPr>
      <w:spacing w:line="240" w:lineRule="auto"/>
    </w:pPr>
  </w:style>
  <w:style w:type="character" w:customStyle="1" w:styleId="CommentTextChar">
    <w:name w:val="Comment Text Char"/>
    <w:basedOn w:val="DefaultParagraphFont"/>
    <w:link w:val="CommentText"/>
    <w:uiPriority w:val="99"/>
    <w:rsid w:val="008C089E"/>
    <w:rPr>
      <w:rFonts w:ascii="Arial" w:eastAsia="Arial" w:hAnsi="Arial" w:cs="Arial"/>
      <w:sz w:val="20"/>
      <w:szCs w:val="20"/>
      <w:lang w:eastAsia="en-GB"/>
    </w:rPr>
  </w:style>
  <w:style w:type="character" w:styleId="CommentReference">
    <w:name w:val="annotation reference"/>
    <w:basedOn w:val="DefaultParagraphFont"/>
    <w:uiPriority w:val="99"/>
    <w:semiHidden/>
    <w:unhideWhenUsed/>
    <w:rsid w:val="008C089E"/>
    <w:rPr>
      <w:sz w:val="16"/>
      <w:szCs w:val="16"/>
    </w:rPr>
  </w:style>
  <w:style w:type="paragraph" w:customStyle="1" w:styleId="EndNoteBibliography">
    <w:name w:val="EndNote Bibliography"/>
    <w:basedOn w:val="Normal"/>
    <w:link w:val="EndNoteBibliographyChar"/>
    <w:rsid w:val="008C089E"/>
    <w:pPr>
      <w:spacing w:line="240" w:lineRule="auto"/>
    </w:pPr>
  </w:style>
  <w:style w:type="character" w:customStyle="1" w:styleId="EndNoteBibliographyChar">
    <w:name w:val="EndNote Bibliography Char"/>
    <w:basedOn w:val="DefaultParagraphFont"/>
    <w:link w:val="EndNoteBibliography"/>
    <w:rsid w:val="008C089E"/>
    <w:rPr>
      <w:rFonts w:ascii="Arial" w:eastAsia="Arial" w:hAnsi="Arial" w:cs="Arial"/>
      <w:sz w:val="20"/>
      <w:szCs w:val="20"/>
      <w:lang w:eastAsia="en-GB"/>
    </w:rPr>
  </w:style>
  <w:style w:type="table" w:styleId="TableGrid">
    <w:name w:val="Table Grid"/>
    <w:basedOn w:val="TableNormal"/>
    <w:uiPriority w:val="39"/>
    <w:rsid w:val="008C089E"/>
    <w:pPr>
      <w:spacing w:after="0" w:line="240" w:lineRule="auto"/>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089E"/>
    <w:rPr>
      <w:color w:val="0563C1" w:themeColor="hyperlink"/>
      <w:u w:val="single"/>
    </w:rPr>
  </w:style>
  <w:style w:type="paragraph" w:styleId="BalloonText">
    <w:name w:val="Balloon Text"/>
    <w:basedOn w:val="Normal"/>
    <w:link w:val="BalloonTextChar"/>
    <w:uiPriority w:val="99"/>
    <w:semiHidden/>
    <w:unhideWhenUsed/>
    <w:rsid w:val="008C089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89E"/>
    <w:rPr>
      <w:rFonts w:ascii="Segoe UI" w:eastAsia="Arial" w:hAnsi="Segoe UI" w:cs="Segoe UI"/>
      <w:sz w:val="18"/>
      <w:szCs w:val="18"/>
      <w:lang w:eastAsia="en-GB"/>
    </w:rPr>
  </w:style>
  <w:style w:type="paragraph" w:customStyle="1" w:styleId="EndNoteBibliographyTitle">
    <w:name w:val="EndNote Bibliography Title"/>
    <w:basedOn w:val="Normal"/>
    <w:link w:val="EndNoteBibliographyTitleChar"/>
    <w:rsid w:val="00EA30EC"/>
    <w:pPr>
      <w:jc w:val="center"/>
    </w:pPr>
    <w:rPr>
      <w:noProof/>
    </w:rPr>
  </w:style>
  <w:style w:type="character" w:customStyle="1" w:styleId="EndNoteBibliographyTitleChar">
    <w:name w:val="EndNote Bibliography Title Char"/>
    <w:basedOn w:val="DefaultParagraphFont"/>
    <w:link w:val="EndNoteBibliographyTitle"/>
    <w:rsid w:val="00EA30EC"/>
    <w:rPr>
      <w:rFonts w:ascii="Arial" w:eastAsia="Arial" w:hAnsi="Arial" w:cs="Arial"/>
      <w:noProof/>
      <w:sz w:val="20"/>
      <w:szCs w:val="20"/>
      <w:lang w:eastAsia="en-GB"/>
    </w:rPr>
  </w:style>
  <w:style w:type="character" w:customStyle="1" w:styleId="UnresolvedMention1">
    <w:name w:val="Unresolved Mention1"/>
    <w:basedOn w:val="DefaultParagraphFont"/>
    <w:uiPriority w:val="99"/>
    <w:semiHidden/>
    <w:unhideWhenUsed/>
    <w:rsid w:val="00EA30EC"/>
    <w:rPr>
      <w:color w:val="605E5C"/>
      <w:shd w:val="clear" w:color="auto" w:fill="E1DFDD"/>
    </w:rPr>
  </w:style>
  <w:style w:type="character" w:styleId="FollowedHyperlink">
    <w:name w:val="FollowedHyperlink"/>
    <w:basedOn w:val="DefaultParagraphFont"/>
    <w:uiPriority w:val="99"/>
    <w:semiHidden/>
    <w:unhideWhenUsed/>
    <w:rsid w:val="00276566"/>
    <w:rPr>
      <w:color w:val="954F72" w:themeColor="followedHyperlink"/>
      <w:u w:val="single"/>
    </w:rPr>
  </w:style>
  <w:style w:type="paragraph" w:styleId="ListParagraph">
    <w:name w:val="List Paragraph"/>
    <w:basedOn w:val="Normal"/>
    <w:uiPriority w:val="34"/>
    <w:qFormat/>
    <w:rsid w:val="00FB18EB"/>
    <w:pPr>
      <w:ind w:left="720"/>
      <w:contextualSpacing/>
    </w:pPr>
  </w:style>
  <w:style w:type="paragraph" w:styleId="CommentSubject">
    <w:name w:val="annotation subject"/>
    <w:basedOn w:val="CommentText"/>
    <w:next w:val="CommentText"/>
    <w:link w:val="CommentSubjectChar"/>
    <w:uiPriority w:val="99"/>
    <w:semiHidden/>
    <w:unhideWhenUsed/>
    <w:rsid w:val="004C0766"/>
    <w:rPr>
      <w:b/>
      <w:bCs/>
    </w:rPr>
  </w:style>
  <w:style w:type="character" w:customStyle="1" w:styleId="CommentSubjectChar">
    <w:name w:val="Comment Subject Char"/>
    <w:basedOn w:val="CommentTextChar"/>
    <w:link w:val="CommentSubject"/>
    <w:uiPriority w:val="99"/>
    <w:semiHidden/>
    <w:rsid w:val="004C0766"/>
    <w:rPr>
      <w:rFonts w:ascii="Arial" w:eastAsia="Arial" w:hAnsi="Arial" w:cs="Arial"/>
      <w:b/>
      <w:bCs/>
      <w:sz w:val="20"/>
      <w:szCs w:val="20"/>
      <w:lang w:eastAsia="en-GB"/>
    </w:rPr>
  </w:style>
  <w:style w:type="paragraph" w:styleId="Revision">
    <w:name w:val="Revision"/>
    <w:hidden/>
    <w:uiPriority w:val="99"/>
    <w:semiHidden/>
    <w:rsid w:val="00685CCB"/>
    <w:pPr>
      <w:spacing w:after="0" w:line="240" w:lineRule="auto"/>
    </w:pPr>
    <w:rPr>
      <w:rFonts w:ascii="Arial" w:eastAsia="Arial" w:hAnsi="Arial" w:cs="Arial"/>
      <w:sz w:val="20"/>
      <w:szCs w:val="20"/>
      <w:lang w:eastAsia="en-GB"/>
    </w:rPr>
  </w:style>
  <w:style w:type="character" w:customStyle="1" w:styleId="author">
    <w:name w:val="author"/>
    <w:basedOn w:val="DefaultParagraphFont"/>
    <w:rsid w:val="003C595C"/>
  </w:style>
  <w:style w:type="character" w:customStyle="1" w:styleId="articletitle">
    <w:name w:val="articletitle"/>
    <w:basedOn w:val="DefaultParagraphFont"/>
    <w:rsid w:val="003C595C"/>
  </w:style>
  <w:style w:type="character" w:customStyle="1" w:styleId="journaltitle">
    <w:name w:val="journaltitle"/>
    <w:basedOn w:val="DefaultParagraphFont"/>
    <w:rsid w:val="003C595C"/>
  </w:style>
  <w:style w:type="character" w:customStyle="1" w:styleId="pubyear">
    <w:name w:val="pubyear"/>
    <w:basedOn w:val="DefaultParagraphFont"/>
    <w:rsid w:val="003C595C"/>
  </w:style>
  <w:style w:type="character" w:customStyle="1" w:styleId="vol">
    <w:name w:val="vol"/>
    <w:basedOn w:val="DefaultParagraphFont"/>
    <w:rsid w:val="003C595C"/>
  </w:style>
  <w:style w:type="character" w:customStyle="1" w:styleId="pagefirst">
    <w:name w:val="pagefirst"/>
    <w:basedOn w:val="DefaultParagraphFont"/>
    <w:rsid w:val="003C595C"/>
  </w:style>
  <w:style w:type="character" w:customStyle="1" w:styleId="pagelast">
    <w:name w:val="pagelast"/>
    <w:basedOn w:val="DefaultParagraphFont"/>
    <w:rsid w:val="003C595C"/>
  </w:style>
  <w:style w:type="character" w:customStyle="1" w:styleId="UnresolvedMention2">
    <w:name w:val="Unresolved Mention2"/>
    <w:basedOn w:val="DefaultParagraphFont"/>
    <w:uiPriority w:val="99"/>
    <w:semiHidden/>
    <w:unhideWhenUsed/>
    <w:rsid w:val="00ED66B6"/>
    <w:rPr>
      <w:color w:val="605E5C"/>
      <w:shd w:val="clear" w:color="auto" w:fill="E1DFDD"/>
    </w:rPr>
  </w:style>
  <w:style w:type="character" w:customStyle="1" w:styleId="UnresolvedMention">
    <w:name w:val="Unresolved Mention"/>
    <w:basedOn w:val="DefaultParagraphFont"/>
    <w:uiPriority w:val="99"/>
    <w:semiHidden/>
    <w:unhideWhenUsed/>
    <w:rsid w:val="007D6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data-tools-and-services/data-services/linked-hes-ons-mortality-data" TargetMode="External"/><Relationship Id="rId3" Type="http://schemas.openxmlformats.org/officeDocument/2006/relationships/styles" Target="styles.xml"/><Relationship Id="rId7" Type="http://schemas.openxmlformats.org/officeDocument/2006/relationships/hyperlink" Target="https://digital.nhs.uk/data-and-information/data-tools-and-services/data-services/hospital-episode-statist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gital.nhs.uk/data-and-information/data-tools-and-services/data-services/hospital-episode-statistics/hospital-episode-statistics-data-dictionar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nhs.uk/data-and-information/data-tools-and-services/data-services/innovative-uses-of-data/demand-on-healthcare/unnecessary-a-and-e-attend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EF026-B305-4907-8CC6-CA24AAD1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7832</Words>
  <Characters>44647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Gaughan</dc:creator>
  <cp:keywords/>
  <dc:description/>
  <cp:lastModifiedBy>Newby, S.H.</cp:lastModifiedBy>
  <cp:revision>2</cp:revision>
  <cp:lastPrinted>2021-05-07T11:39:00Z</cp:lastPrinted>
  <dcterms:created xsi:type="dcterms:W3CDTF">2022-01-18T08:21:00Z</dcterms:created>
  <dcterms:modified xsi:type="dcterms:W3CDTF">2022-01-18T08:21:00Z</dcterms:modified>
</cp:coreProperties>
</file>