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A424D" w14:textId="7DF3490D" w:rsidR="008F45E8" w:rsidRPr="0024152D" w:rsidRDefault="00356BD1" w:rsidP="00E154E0">
      <w:pPr>
        <w:jc w:val="center"/>
        <w:rPr>
          <w:b/>
          <w:sz w:val="32"/>
        </w:rPr>
      </w:pPr>
      <w:bookmarkStart w:id="0" w:name="_GoBack"/>
      <w:bookmarkEnd w:id="0"/>
      <w:r w:rsidRPr="0024152D">
        <w:rPr>
          <w:b/>
          <w:sz w:val="32"/>
        </w:rPr>
        <w:t>Digital interventions for general</w:t>
      </w:r>
      <w:r w:rsidR="00F07B54" w:rsidRPr="0024152D">
        <w:rPr>
          <w:b/>
          <w:sz w:val="32"/>
        </w:rPr>
        <w:t xml:space="preserve">ised </w:t>
      </w:r>
      <w:r w:rsidRPr="0024152D">
        <w:rPr>
          <w:b/>
          <w:sz w:val="32"/>
        </w:rPr>
        <w:t>anxiety disorder</w:t>
      </w:r>
      <w:r w:rsidR="00F07B54" w:rsidRPr="0024152D">
        <w:rPr>
          <w:b/>
          <w:sz w:val="32"/>
        </w:rPr>
        <w:t xml:space="preserve"> (GAD)</w:t>
      </w:r>
      <w:r w:rsidR="008F45E8" w:rsidRPr="0024152D">
        <w:rPr>
          <w:b/>
          <w:sz w:val="32"/>
        </w:rPr>
        <w:t>:</w:t>
      </w:r>
      <w:r w:rsidR="00095CD4" w:rsidRPr="0024152D">
        <w:rPr>
          <w:b/>
          <w:sz w:val="32"/>
        </w:rPr>
        <w:t xml:space="preserve"> </w:t>
      </w:r>
      <w:r w:rsidRPr="0024152D">
        <w:rPr>
          <w:b/>
          <w:sz w:val="32"/>
        </w:rPr>
        <w:t>systematic review and network meta-analysis</w:t>
      </w:r>
    </w:p>
    <w:p w14:paraId="2ABE8DB1" w14:textId="77777777" w:rsidR="008F45E8" w:rsidRPr="0024152D" w:rsidRDefault="008F45E8" w:rsidP="00E154E0">
      <w:pPr>
        <w:rPr>
          <w:b/>
          <w:sz w:val="32"/>
        </w:rPr>
      </w:pPr>
    </w:p>
    <w:p w14:paraId="38C5387F" w14:textId="142DD648" w:rsidR="007741AB" w:rsidRPr="00284E38" w:rsidRDefault="00356BD1" w:rsidP="00E154E0">
      <w:pPr>
        <w:rPr>
          <w:b/>
        </w:rPr>
      </w:pPr>
      <w:r w:rsidRPr="00284E38">
        <w:rPr>
          <w:b/>
        </w:rPr>
        <w:t>Saramago</w:t>
      </w:r>
      <w:r w:rsidR="00E154E0" w:rsidRPr="00284E38">
        <w:rPr>
          <w:b/>
        </w:rPr>
        <w:t>*</w:t>
      </w:r>
      <w:r w:rsidR="007E74C9" w:rsidRPr="00284E38">
        <w:rPr>
          <w:b/>
        </w:rPr>
        <w:t xml:space="preserve"> P</w:t>
      </w:r>
      <w:r w:rsidR="0024152D">
        <w:rPr>
          <w:b/>
          <w:vertAlign w:val="superscript"/>
        </w:rPr>
        <w:t>1</w:t>
      </w:r>
      <w:r w:rsidRPr="00284E38">
        <w:rPr>
          <w:b/>
        </w:rPr>
        <w:t xml:space="preserve">, </w:t>
      </w:r>
      <w:r w:rsidR="00DE3376" w:rsidRPr="00284E38">
        <w:rPr>
          <w:b/>
        </w:rPr>
        <w:t>Gega</w:t>
      </w:r>
      <w:r w:rsidR="007E74C9" w:rsidRPr="00284E38">
        <w:rPr>
          <w:b/>
        </w:rPr>
        <w:t xml:space="preserve"> L</w:t>
      </w:r>
      <w:r w:rsidR="0024152D">
        <w:rPr>
          <w:b/>
          <w:vertAlign w:val="superscript"/>
        </w:rPr>
        <w:t>2</w:t>
      </w:r>
      <w:r w:rsidR="00060BB9" w:rsidRPr="00284E38">
        <w:rPr>
          <w:b/>
          <w:vertAlign w:val="superscript"/>
        </w:rPr>
        <w:t>,</w:t>
      </w:r>
      <w:r w:rsidR="0024152D">
        <w:rPr>
          <w:b/>
          <w:vertAlign w:val="superscript"/>
        </w:rPr>
        <w:t>3</w:t>
      </w:r>
      <w:r w:rsidR="00060BB9" w:rsidRPr="00284E38">
        <w:rPr>
          <w:b/>
          <w:vertAlign w:val="superscript"/>
        </w:rPr>
        <w:t>,</w:t>
      </w:r>
      <w:r w:rsidR="0024152D">
        <w:rPr>
          <w:b/>
          <w:vertAlign w:val="superscript"/>
        </w:rPr>
        <w:t>4</w:t>
      </w:r>
      <w:r w:rsidR="00DE3376" w:rsidRPr="00284E38">
        <w:rPr>
          <w:b/>
        </w:rPr>
        <w:t xml:space="preserve">, </w:t>
      </w:r>
      <w:r w:rsidR="00F34CF6" w:rsidRPr="00284E38">
        <w:rPr>
          <w:b/>
        </w:rPr>
        <w:t>Marshall</w:t>
      </w:r>
      <w:r w:rsidR="007E74C9" w:rsidRPr="00284E38">
        <w:rPr>
          <w:b/>
        </w:rPr>
        <w:t xml:space="preserve"> D</w:t>
      </w:r>
      <w:r w:rsidR="0024152D">
        <w:rPr>
          <w:b/>
          <w:vertAlign w:val="superscript"/>
        </w:rPr>
        <w:t>5</w:t>
      </w:r>
      <w:r w:rsidR="0054679A" w:rsidRPr="00284E38">
        <w:rPr>
          <w:b/>
        </w:rPr>
        <w:t xml:space="preserve">, </w:t>
      </w:r>
      <w:r w:rsidR="00072824" w:rsidRPr="00284E38">
        <w:rPr>
          <w:b/>
        </w:rPr>
        <w:t>Nikolaidis</w:t>
      </w:r>
      <w:r w:rsidR="007E74C9" w:rsidRPr="00284E38">
        <w:rPr>
          <w:b/>
        </w:rPr>
        <w:t xml:space="preserve"> </w:t>
      </w:r>
      <w:r w:rsidR="003A2AEC" w:rsidRPr="00284E38">
        <w:rPr>
          <w:b/>
        </w:rPr>
        <w:t>F</w:t>
      </w:r>
      <w:r w:rsidR="007E74C9" w:rsidRPr="00284E38">
        <w:rPr>
          <w:b/>
        </w:rPr>
        <w:t>G</w:t>
      </w:r>
      <w:r w:rsidR="0024152D">
        <w:rPr>
          <w:b/>
          <w:vertAlign w:val="superscript"/>
        </w:rPr>
        <w:t>6</w:t>
      </w:r>
      <w:r w:rsidR="00072824" w:rsidRPr="00284E38">
        <w:rPr>
          <w:b/>
        </w:rPr>
        <w:t xml:space="preserve">, </w:t>
      </w:r>
      <w:r w:rsidR="0054679A" w:rsidRPr="00284E38">
        <w:rPr>
          <w:b/>
        </w:rPr>
        <w:t>Jankovic</w:t>
      </w:r>
      <w:r w:rsidR="007E74C9" w:rsidRPr="00284E38">
        <w:rPr>
          <w:b/>
        </w:rPr>
        <w:t xml:space="preserve"> D</w:t>
      </w:r>
      <w:r w:rsidR="0024152D">
        <w:rPr>
          <w:b/>
          <w:vertAlign w:val="superscript"/>
        </w:rPr>
        <w:t>1</w:t>
      </w:r>
      <w:r w:rsidR="0054679A" w:rsidRPr="00284E38">
        <w:rPr>
          <w:b/>
        </w:rPr>
        <w:t>,</w:t>
      </w:r>
      <w:r w:rsidR="006D0BD6" w:rsidRPr="00284E38">
        <w:rPr>
          <w:b/>
        </w:rPr>
        <w:t xml:space="preserve"> </w:t>
      </w:r>
      <w:r w:rsidR="00A266C4" w:rsidRPr="00284E38">
        <w:rPr>
          <w:b/>
        </w:rPr>
        <w:t>Melton</w:t>
      </w:r>
      <w:r w:rsidR="006D0BD6" w:rsidRPr="00284E38">
        <w:rPr>
          <w:b/>
        </w:rPr>
        <w:t xml:space="preserve"> H</w:t>
      </w:r>
      <w:r w:rsidR="0024152D">
        <w:rPr>
          <w:vertAlign w:val="superscript"/>
        </w:rPr>
        <w:t>5</w:t>
      </w:r>
      <w:r w:rsidR="004622D4" w:rsidRPr="00284E38">
        <w:rPr>
          <w:b/>
        </w:rPr>
        <w:t xml:space="preserve">, </w:t>
      </w:r>
      <w:r w:rsidR="007A75BD" w:rsidRPr="00284E38">
        <w:rPr>
          <w:b/>
        </w:rPr>
        <w:t>Dawson</w:t>
      </w:r>
      <w:r w:rsidR="00060BB9" w:rsidRPr="00284E38">
        <w:rPr>
          <w:b/>
        </w:rPr>
        <w:t xml:space="preserve"> </w:t>
      </w:r>
      <w:r w:rsidR="007E74C9" w:rsidRPr="00284E38">
        <w:rPr>
          <w:b/>
        </w:rPr>
        <w:t>S</w:t>
      </w:r>
      <w:r w:rsidR="0024152D">
        <w:rPr>
          <w:b/>
          <w:vertAlign w:val="superscript"/>
        </w:rPr>
        <w:t>7</w:t>
      </w:r>
      <w:r w:rsidR="007A75BD" w:rsidRPr="00284E38">
        <w:rPr>
          <w:b/>
        </w:rPr>
        <w:t xml:space="preserve">, </w:t>
      </w:r>
      <w:r w:rsidR="00DE3376" w:rsidRPr="00284E38">
        <w:rPr>
          <w:b/>
        </w:rPr>
        <w:t>Churchill</w:t>
      </w:r>
      <w:r w:rsidR="007E74C9" w:rsidRPr="00284E38">
        <w:rPr>
          <w:b/>
        </w:rPr>
        <w:t xml:space="preserve"> R</w:t>
      </w:r>
      <w:r w:rsidR="0024152D">
        <w:rPr>
          <w:b/>
          <w:vertAlign w:val="superscript"/>
        </w:rPr>
        <w:t>5</w:t>
      </w:r>
      <w:r w:rsidR="00060BB9" w:rsidRPr="00284E38">
        <w:rPr>
          <w:b/>
          <w:vertAlign w:val="superscript"/>
        </w:rPr>
        <w:t>,</w:t>
      </w:r>
      <w:r w:rsidR="0024152D">
        <w:rPr>
          <w:b/>
          <w:vertAlign w:val="superscript"/>
        </w:rPr>
        <w:t>7</w:t>
      </w:r>
      <w:r w:rsidR="0024152D">
        <w:rPr>
          <w:b/>
        </w:rPr>
        <w:t xml:space="preserve"> and</w:t>
      </w:r>
      <w:r w:rsidR="00DE3376" w:rsidRPr="00284E38">
        <w:rPr>
          <w:b/>
        </w:rPr>
        <w:t xml:space="preserve"> </w:t>
      </w:r>
      <w:r w:rsidR="0054679A" w:rsidRPr="00284E38">
        <w:rPr>
          <w:b/>
        </w:rPr>
        <w:t>Bojke</w:t>
      </w:r>
      <w:r w:rsidR="007E74C9" w:rsidRPr="00284E38">
        <w:rPr>
          <w:b/>
        </w:rPr>
        <w:t xml:space="preserve"> L</w:t>
      </w:r>
      <w:r w:rsidR="0024152D">
        <w:rPr>
          <w:b/>
          <w:vertAlign w:val="superscript"/>
        </w:rPr>
        <w:t>1</w:t>
      </w:r>
    </w:p>
    <w:p w14:paraId="3308BCB6" w14:textId="77777777" w:rsidR="008F45E8" w:rsidRPr="00284E38" w:rsidRDefault="008F45E8" w:rsidP="00E154E0">
      <w:pPr>
        <w:rPr>
          <w:b/>
        </w:rPr>
      </w:pPr>
    </w:p>
    <w:p w14:paraId="52998486" w14:textId="15295F16" w:rsidR="000B719C" w:rsidRPr="00284E38" w:rsidRDefault="0024152D" w:rsidP="000B719C">
      <w:r>
        <w:rPr>
          <w:vertAlign w:val="superscript"/>
        </w:rPr>
        <w:t>1</w:t>
      </w:r>
      <w:r w:rsidR="000B719C" w:rsidRPr="00284E38">
        <w:rPr>
          <w:vertAlign w:val="superscript"/>
        </w:rPr>
        <w:t xml:space="preserve"> </w:t>
      </w:r>
      <w:r w:rsidR="000B719C" w:rsidRPr="00284E38">
        <w:t xml:space="preserve">Centre for Health Economics, University of York </w:t>
      </w:r>
    </w:p>
    <w:p w14:paraId="667DE9DC" w14:textId="5DA87640" w:rsidR="000B719C" w:rsidRPr="00284E38" w:rsidRDefault="0024152D" w:rsidP="000B719C">
      <w:r w:rsidRPr="0024152D">
        <w:rPr>
          <w:vertAlign w:val="superscript"/>
        </w:rPr>
        <w:t>2</w:t>
      </w:r>
      <w:r w:rsidR="000B719C" w:rsidRPr="00284E38">
        <w:t xml:space="preserve"> Department of Health Sciences, University of York</w:t>
      </w:r>
    </w:p>
    <w:p w14:paraId="07818D51" w14:textId="3AF824AA" w:rsidR="000B719C" w:rsidRPr="00284E38" w:rsidRDefault="0024152D" w:rsidP="000B719C">
      <w:r w:rsidRPr="0024152D">
        <w:rPr>
          <w:vertAlign w:val="superscript"/>
        </w:rPr>
        <w:t>3</w:t>
      </w:r>
      <w:r w:rsidR="000B719C" w:rsidRPr="00284E38">
        <w:t xml:space="preserve"> Hull York Medical School, University of York</w:t>
      </w:r>
    </w:p>
    <w:p w14:paraId="10172196" w14:textId="02433BD9" w:rsidR="000B719C" w:rsidRPr="00284E38" w:rsidRDefault="0024152D" w:rsidP="000B719C">
      <w:r w:rsidRPr="0024152D">
        <w:rPr>
          <w:vertAlign w:val="superscript"/>
        </w:rPr>
        <w:t>4</w:t>
      </w:r>
      <w:r w:rsidR="000B719C" w:rsidRPr="00284E38">
        <w:t xml:space="preserve"> Tees, Esk and Wear Valleys NHS Trust</w:t>
      </w:r>
    </w:p>
    <w:p w14:paraId="62704411" w14:textId="1CDE2E04" w:rsidR="000B719C" w:rsidRPr="00284E38" w:rsidRDefault="0024152D" w:rsidP="000B719C">
      <w:r w:rsidRPr="0024152D">
        <w:rPr>
          <w:vertAlign w:val="superscript"/>
        </w:rPr>
        <w:t>5</w:t>
      </w:r>
      <w:r w:rsidR="000B719C" w:rsidRPr="00284E38">
        <w:t xml:space="preserve"> Centre for Reviews &amp; Dissemination, University of York</w:t>
      </w:r>
    </w:p>
    <w:p w14:paraId="07F03272" w14:textId="2B591957" w:rsidR="000B719C" w:rsidRPr="00284E38" w:rsidRDefault="0024152D" w:rsidP="000B719C">
      <w:r>
        <w:rPr>
          <w:vertAlign w:val="superscript"/>
        </w:rPr>
        <w:t xml:space="preserve">6 </w:t>
      </w:r>
      <w:r>
        <w:t xml:space="preserve">IQVIA </w:t>
      </w:r>
    </w:p>
    <w:p w14:paraId="79C8C3B4" w14:textId="3CE93583" w:rsidR="0024152D" w:rsidRPr="00284E38" w:rsidRDefault="0024152D" w:rsidP="0024152D">
      <w:r>
        <w:rPr>
          <w:vertAlign w:val="superscript"/>
        </w:rPr>
        <w:t xml:space="preserve">7 </w:t>
      </w:r>
      <w:r w:rsidRPr="00284E38">
        <w:t>Common Mental Disorders Group, Cochrane Collaboration</w:t>
      </w:r>
    </w:p>
    <w:p w14:paraId="3C712364" w14:textId="77777777" w:rsidR="005E2A1D" w:rsidRPr="00284E38" w:rsidRDefault="005E2A1D" w:rsidP="00E154E0"/>
    <w:p w14:paraId="302C2A72" w14:textId="77777777" w:rsidR="005E2A1D" w:rsidRPr="00284E38" w:rsidRDefault="005E2A1D" w:rsidP="00E154E0"/>
    <w:p w14:paraId="324652DF" w14:textId="3650381B" w:rsidR="008F45E8" w:rsidRPr="00284E38" w:rsidRDefault="00E154E0" w:rsidP="00E154E0">
      <w:r w:rsidRPr="00284E38">
        <w:t>*</w:t>
      </w:r>
      <w:r w:rsidR="008F45E8" w:rsidRPr="00284E38">
        <w:t>Corresponding author:</w:t>
      </w:r>
      <w:r w:rsidRPr="00284E38">
        <w:t xml:space="preserve"> </w:t>
      </w:r>
      <w:r w:rsidR="008F45E8" w:rsidRPr="00284E38">
        <w:t xml:space="preserve">Pedro Saramago, Centre for Health Economics, </w:t>
      </w:r>
      <w:r w:rsidR="000C0824" w:rsidRPr="00284E38">
        <w:t xml:space="preserve">Alcuin A Block, </w:t>
      </w:r>
      <w:r w:rsidR="008F45E8" w:rsidRPr="00284E38">
        <w:t>University of York, Heslington, York, YO10 5DD, UK; Tel: +44 (0)1904 321401; Fax: +44 (0)1904 321402</w:t>
      </w:r>
    </w:p>
    <w:p w14:paraId="4EE609C1" w14:textId="0E172A34" w:rsidR="00FB1CB4" w:rsidRPr="00284E38" w:rsidRDefault="00FB1CB4" w:rsidP="00E154E0">
      <w:pPr>
        <w:pStyle w:val="NormalWeb"/>
        <w:shd w:val="clear" w:color="auto" w:fill="FFFFFF"/>
        <w:spacing w:before="0" w:beforeAutospacing="0" w:after="0" w:afterAutospacing="0"/>
      </w:pPr>
    </w:p>
    <w:p w14:paraId="5DDC05D0" w14:textId="61DB4179" w:rsidR="00356BD1" w:rsidRPr="00284E38" w:rsidRDefault="00356BD1" w:rsidP="00E154E0"/>
    <w:p w14:paraId="2333FE40" w14:textId="77777777" w:rsidR="00E154E0" w:rsidRPr="00284E38" w:rsidRDefault="00E154E0" w:rsidP="00E154E0">
      <w:pPr>
        <w:rPr>
          <w:b/>
          <w:bCs/>
        </w:rPr>
      </w:pPr>
    </w:p>
    <w:p w14:paraId="6333495D" w14:textId="77777777" w:rsidR="0024152D" w:rsidRPr="00284E38" w:rsidRDefault="0024152D" w:rsidP="0024152D">
      <w:pPr>
        <w:pStyle w:val="Heading1"/>
        <w:spacing w:before="0"/>
        <w:rPr>
          <w:rFonts w:eastAsia="MS Mincho"/>
          <w:sz w:val="24"/>
          <w:szCs w:val="24"/>
          <w:lang w:eastAsia="ja-JP"/>
        </w:rPr>
      </w:pPr>
      <w:r w:rsidRPr="00284E38">
        <w:rPr>
          <w:rFonts w:eastAsia="MS Mincho"/>
          <w:sz w:val="24"/>
          <w:szCs w:val="24"/>
          <w:lang w:eastAsia="ja-JP"/>
        </w:rPr>
        <w:t>Keywords</w:t>
      </w:r>
    </w:p>
    <w:p w14:paraId="41926182" w14:textId="793131DC" w:rsidR="0024152D" w:rsidRPr="00284E38" w:rsidRDefault="0024152D" w:rsidP="0024152D">
      <w:pPr>
        <w:rPr>
          <w:rFonts w:eastAsia="MS Mincho"/>
          <w:lang w:eastAsia="ja-JP"/>
        </w:rPr>
      </w:pPr>
      <w:r w:rsidRPr="00284E38">
        <w:rPr>
          <w:rFonts w:eastAsia="MS Mincho"/>
          <w:lang w:eastAsia="ja-JP"/>
        </w:rPr>
        <w:t xml:space="preserve">Worry, anxiety, cognitive behaviour therapy (CBT), mobile applications, </w:t>
      </w:r>
      <w:r w:rsidR="00645A84">
        <w:rPr>
          <w:rFonts w:eastAsia="MS Mincho"/>
          <w:lang w:eastAsia="ja-JP"/>
        </w:rPr>
        <w:t xml:space="preserve">digital, </w:t>
      </w:r>
      <w:r w:rsidRPr="00284E38">
        <w:rPr>
          <w:rFonts w:eastAsia="MS Mincho"/>
          <w:lang w:eastAsia="ja-JP"/>
        </w:rPr>
        <w:t>systematic review (SR)</w:t>
      </w:r>
      <w:r w:rsidR="008B682E">
        <w:rPr>
          <w:rFonts w:eastAsia="MS Mincho"/>
          <w:lang w:eastAsia="ja-JP"/>
        </w:rPr>
        <w:t>, meta-analysis</w:t>
      </w:r>
    </w:p>
    <w:p w14:paraId="4AE3723D" w14:textId="77777777" w:rsidR="00E154E0" w:rsidRPr="00284E38" w:rsidRDefault="00E154E0" w:rsidP="00E154E0">
      <w:pPr>
        <w:rPr>
          <w:b/>
          <w:bCs/>
        </w:rPr>
      </w:pPr>
    </w:p>
    <w:p w14:paraId="7E84B6C0" w14:textId="77777777" w:rsidR="00E154E0" w:rsidRPr="00284E38" w:rsidRDefault="00E154E0" w:rsidP="00E154E0">
      <w:pPr>
        <w:rPr>
          <w:b/>
          <w:bCs/>
        </w:rPr>
      </w:pPr>
    </w:p>
    <w:p w14:paraId="6BA74A31" w14:textId="77777777" w:rsidR="004B32B9" w:rsidRPr="0024152D" w:rsidRDefault="004B32B9" w:rsidP="00E154E0">
      <w:pPr>
        <w:rPr>
          <w:highlight w:val="yellow"/>
        </w:rPr>
      </w:pPr>
    </w:p>
    <w:p w14:paraId="29BDB75A" w14:textId="2FFA4CD5" w:rsidR="006E2562" w:rsidRPr="00EB6127" w:rsidRDefault="00EB6127" w:rsidP="00E154E0">
      <w:r>
        <w:t>#</w:t>
      </w:r>
      <w:r w:rsidR="004B32B9" w:rsidRPr="00EB6127">
        <w:t>Word</w:t>
      </w:r>
      <w:r>
        <w:t>s</w:t>
      </w:r>
      <w:r w:rsidR="004B32B9" w:rsidRPr="00EB6127">
        <w:t>:</w:t>
      </w:r>
      <w:r w:rsidR="006E2562" w:rsidRPr="00EB6127">
        <w:t xml:space="preserve"> </w:t>
      </w:r>
      <w:r w:rsidRPr="00EB6127">
        <w:t>6,300</w:t>
      </w:r>
    </w:p>
    <w:p w14:paraId="6FAE4E75" w14:textId="35E04247" w:rsidR="006E2562" w:rsidRDefault="006E2562" w:rsidP="00E154E0">
      <w:r>
        <w:t>#Figures:</w:t>
      </w:r>
      <w:r w:rsidR="00EB6127">
        <w:t xml:space="preserve"> </w:t>
      </w:r>
      <w:r w:rsidR="008E16ED">
        <w:t>2</w:t>
      </w:r>
    </w:p>
    <w:p w14:paraId="50EAAEAD" w14:textId="34C06D17" w:rsidR="005B2FF4" w:rsidRPr="00284E38" w:rsidRDefault="006E2562" w:rsidP="00E154E0">
      <w:r>
        <w:t>#Tables:</w:t>
      </w:r>
      <w:r w:rsidR="00D902D6">
        <w:t xml:space="preserve"> 3</w:t>
      </w:r>
      <w:r w:rsidR="005B2FF4" w:rsidRPr="00284E38">
        <w:br w:type="page"/>
      </w:r>
    </w:p>
    <w:p w14:paraId="2D5F0779" w14:textId="7BE13CFA" w:rsidR="007E6561" w:rsidRPr="00284E38" w:rsidRDefault="007E6561" w:rsidP="00E154E0">
      <w:pPr>
        <w:pStyle w:val="Heading1"/>
        <w:spacing w:before="0"/>
        <w:rPr>
          <w:rFonts w:eastAsia="MS Mincho"/>
          <w:sz w:val="24"/>
          <w:szCs w:val="24"/>
          <w:lang w:eastAsia="ja-JP"/>
        </w:rPr>
      </w:pPr>
      <w:r w:rsidRPr="00284E38">
        <w:rPr>
          <w:rFonts w:eastAsia="MS Mincho"/>
          <w:sz w:val="24"/>
          <w:szCs w:val="24"/>
          <w:lang w:eastAsia="ja-JP"/>
        </w:rPr>
        <w:lastRenderedPageBreak/>
        <w:t>A</w:t>
      </w:r>
      <w:r w:rsidR="00D85CC1">
        <w:rPr>
          <w:rFonts w:eastAsia="MS Mincho"/>
          <w:sz w:val="24"/>
          <w:szCs w:val="24"/>
          <w:lang w:eastAsia="ja-JP"/>
        </w:rPr>
        <w:t>BSTRACT</w:t>
      </w:r>
    </w:p>
    <w:p w14:paraId="14401BEC" w14:textId="77777777" w:rsidR="008B777D" w:rsidRPr="00284E38" w:rsidRDefault="008B777D" w:rsidP="00E154E0">
      <w:pPr>
        <w:rPr>
          <w:rFonts w:eastAsia="MS Mincho"/>
          <w:b/>
          <w:lang w:eastAsia="ja-JP"/>
        </w:rPr>
      </w:pPr>
    </w:p>
    <w:p w14:paraId="2CB8889B" w14:textId="5BC13FAD" w:rsidR="00D85CC1" w:rsidRDefault="004A1B5C" w:rsidP="00BC6CB6">
      <w:pPr>
        <w:rPr>
          <w:rFonts w:eastAsia="MS Mincho"/>
          <w:lang w:eastAsia="ja-JP"/>
        </w:rPr>
      </w:pPr>
      <w:r w:rsidRPr="00D85CC1">
        <w:rPr>
          <w:rFonts w:eastAsia="MS Mincho"/>
          <w:b/>
          <w:lang w:eastAsia="ja-JP"/>
        </w:rPr>
        <w:t>Background:</w:t>
      </w:r>
      <w:r>
        <w:rPr>
          <w:rFonts w:eastAsia="MS Mincho"/>
          <w:lang w:eastAsia="ja-JP"/>
        </w:rPr>
        <w:t xml:space="preserve"> </w:t>
      </w:r>
      <w:r w:rsidR="00886EB3" w:rsidRPr="004A1B5C">
        <w:rPr>
          <w:rFonts w:eastAsia="MS Mincho"/>
          <w:lang w:eastAsia="ja-JP"/>
        </w:rPr>
        <w:t xml:space="preserve">Generalised anxiety disorder </w:t>
      </w:r>
      <w:r w:rsidR="00AF59B0" w:rsidRPr="004A1B5C">
        <w:rPr>
          <w:rFonts w:eastAsia="MS Mincho"/>
          <w:lang w:eastAsia="ja-JP"/>
        </w:rPr>
        <w:t xml:space="preserve">is the most </w:t>
      </w:r>
      <w:r w:rsidR="00CE1AC4" w:rsidRPr="004A1B5C">
        <w:rPr>
          <w:rFonts w:eastAsia="MS Mincho"/>
          <w:lang w:eastAsia="ja-JP"/>
        </w:rPr>
        <w:t xml:space="preserve">common </w:t>
      </w:r>
      <w:r w:rsidR="00AF59B0" w:rsidRPr="004A1B5C">
        <w:rPr>
          <w:rFonts w:eastAsia="MS Mincho"/>
          <w:lang w:eastAsia="ja-JP"/>
        </w:rPr>
        <w:t xml:space="preserve">mental health </w:t>
      </w:r>
      <w:r w:rsidR="00504C46" w:rsidRPr="004A1B5C">
        <w:rPr>
          <w:rFonts w:eastAsia="MS Mincho"/>
          <w:lang w:eastAsia="ja-JP"/>
        </w:rPr>
        <w:t>condition</w:t>
      </w:r>
      <w:r w:rsidR="006E5340" w:rsidRPr="004A1B5C">
        <w:rPr>
          <w:rFonts w:eastAsia="MS Mincho"/>
          <w:lang w:eastAsia="ja-JP"/>
        </w:rPr>
        <w:t xml:space="preserve"> </w:t>
      </w:r>
      <w:r w:rsidR="00BC6CB6" w:rsidRPr="004A1B5C">
        <w:rPr>
          <w:rFonts w:eastAsia="MS Mincho"/>
          <w:lang w:eastAsia="ja-JP"/>
        </w:rPr>
        <w:t xml:space="preserve">based on </w:t>
      </w:r>
      <w:r w:rsidR="006E5340" w:rsidRPr="004A1B5C">
        <w:rPr>
          <w:rFonts w:eastAsia="MS Mincho"/>
          <w:lang w:eastAsia="ja-JP"/>
        </w:rPr>
        <w:t>weekly prevalence</w:t>
      </w:r>
      <w:r w:rsidR="00AF59B0" w:rsidRPr="004A1B5C">
        <w:rPr>
          <w:rFonts w:eastAsia="MS Mincho"/>
          <w:lang w:eastAsia="ja-JP"/>
        </w:rPr>
        <w:t xml:space="preserve">. </w:t>
      </w:r>
      <w:r w:rsidR="00A519FB" w:rsidRPr="004A1B5C">
        <w:rPr>
          <w:rFonts w:eastAsia="MS Mincho"/>
          <w:lang w:eastAsia="ja-JP"/>
        </w:rPr>
        <w:t xml:space="preserve">Digital interventions have been </w:t>
      </w:r>
      <w:r w:rsidR="001308E2" w:rsidRPr="004A1B5C">
        <w:rPr>
          <w:rFonts w:eastAsia="MS Mincho"/>
          <w:lang w:eastAsia="ja-JP"/>
        </w:rPr>
        <w:t>used</w:t>
      </w:r>
      <w:r w:rsidR="00A519FB" w:rsidRPr="004A1B5C">
        <w:rPr>
          <w:rFonts w:eastAsia="MS Mincho"/>
          <w:lang w:eastAsia="ja-JP"/>
        </w:rPr>
        <w:t xml:space="preserve"> as alternatives</w:t>
      </w:r>
      <w:r w:rsidR="003451CF" w:rsidRPr="004A1B5C">
        <w:rPr>
          <w:rFonts w:eastAsia="MS Mincho"/>
          <w:lang w:eastAsia="ja-JP"/>
        </w:rPr>
        <w:t xml:space="preserve"> or</w:t>
      </w:r>
      <w:r w:rsidR="001308E2" w:rsidRPr="004A1B5C">
        <w:rPr>
          <w:rFonts w:eastAsia="MS Mincho"/>
          <w:lang w:eastAsia="ja-JP"/>
        </w:rPr>
        <w:t xml:space="preserve"> as</w:t>
      </w:r>
      <w:r w:rsidR="003451CF" w:rsidRPr="004A1B5C">
        <w:rPr>
          <w:rFonts w:eastAsia="MS Mincho"/>
          <w:lang w:eastAsia="ja-JP"/>
        </w:rPr>
        <w:t xml:space="preserve"> </w:t>
      </w:r>
      <w:r w:rsidR="00715539">
        <w:rPr>
          <w:rFonts w:eastAsia="MS Mincho"/>
          <w:lang w:eastAsia="ja-JP"/>
        </w:rPr>
        <w:t>supplements</w:t>
      </w:r>
      <w:r w:rsidR="00A519FB" w:rsidRPr="004A1B5C">
        <w:rPr>
          <w:rFonts w:eastAsia="MS Mincho"/>
          <w:lang w:eastAsia="ja-JP"/>
        </w:rPr>
        <w:t xml:space="preserve"> to conventional therapies</w:t>
      </w:r>
      <w:r w:rsidR="001308E2" w:rsidRPr="004A1B5C">
        <w:rPr>
          <w:rFonts w:eastAsia="MS Mincho"/>
          <w:lang w:eastAsia="ja-JP"/>
        </w:rPr>
        <w:t xml:space="preserve"> to improve access</w:t>
      </w:r>
      <w:r w:rsidR="00D5629A" w:rsidRPr="004A1B5C">
        <w:rPr>
          <w:rFonts w:eastAsia="MS Mincho"/>
          <w:lang w:eastAsia="ja-JP"/>
        </w:rPr>
        <w:t xml:space="preserve">, </w:t>
      </w:r>
      <w:r w:rsidR="001308E2" w:rsidRPr="004A1B5C">
        <w:rPr>
          <w:rFonts w:eastAsia="MS Mincho"/>
          <w:lang w:eastAsia="ja-JP"/>
        </w:rPr>
        <w:t>patient choice</w:t>
      </w:r>
      <w:r w:rsidR="00D5629A" w:rsidRPr="004A1B5C">
        <w:rPr>
          <w:rFonts w:eastAsia="MS Mincho"/>
          <w:lang w:eastAsia="ja-JP"/>
        </w:rPr>
        <w:t xml:space="preserve"> and clinical outcomes</w:t>
      </w:r>
      <w:r w:rsidR="00A519FB" w:rsidRPr="00284E38">
        <w:rPr>
          <w:rFonts w:eastAsia="MS Mincho"/>
          <w:lang w:eastAsia="ja-JP"/>
        </w:rPr>
        <w:t xml:space="preserve">. </w:t>
      </w:r>
      <w:r w:rsidR="00BC6CB6" w:rsidRPr="00284E38">
        <w:rPr>
          <w:rFonts w:eastAsia="MS Mincho"/>
          <w:lang w:eastAsia="ja-JP"/>
        </w:rPr>
        <w:t xml:space="preserve">Little is known about their comparative effectiveness for </w:t>
      </w:r>
      <w:r w:rsidR="009E2CAD">
        <w:rPr>
          <w:rFonts w:eastAsia="MS Mincho"/>
          <w:lang w:eastAsia="ja-JP"/>
        </w:rPr>
        <w:t>g</w:t>
      </w:r>
      <w:r w:rsidR="009E2CAD" w:rsidRPr="004A1B5C">
        <w:rPr>
          <w:rFonts w:eastAsia="MS Mincho"/>
          <w:lang w:eastAsia="ja-JP"/>
        </w:rPr>
        <w:t>eneralised anxiety disorder</w:t>
      </w:r>
      <w:r w:rsidR="00BC6CB6" w:rsidRPr="00284E38">
        <w:rPr>
          <w:rFonts w:eastAsia="MS Mincho"/>
          <w:lang w:eastAsia="ja-JP"/>
        </w:rPr>
        <w:t xml:space="preserve">. </w:t>
      </w:r>
    </w:p>
    <w:p w14:paraId="21F5208D" w14:textId="77777777" w:rsidR="00D85CC1" w:rsidRDefault="00D85CC1" w:rsidP="00BC6CB6">
      <w:pPr>
        <w:rPr>
          <w:rFonts w:eastAsia="MS Mincho"/>
          <w:lang w:eastAsia="ja-JP"/>
        </w:rPr>
      </w:pPr>
    </w:p>
    <w:p w14:paraId="110B8873" w14:textId="3B9B3BA9" w:rsidR="00D85CC1" w:rsidRDefault="00D85CC1" w:rsidP="00BC6CB6">
      <w:pPr>
        <w:rPr>
          <w:rFonts w:eastAsia="MS Mincho"/>
          <w:lang w:eastAsia="ja-JP"/>
        </w:rPr>
      </w:pPr>
      <w:r w:rsidRPr="00D85CC1">
        <w:rPr>
          <w:rFonts w:eastAsia="MS Mincho"/>
          <w:b/>
          <w:lang w:eastAsia="ja-JP"/>
        </w:rPr>
        <w:t>Methods:</w:t>
      </w:r>
      <w:r>
        <w:rPr>
          <w:rFonts w:eastAsia="MS Mincho"/>
          <w:lang w:eastAsia="ja-JP"/>
        </w:rPr>
        <w:t xml:space="preserve"> W</w:t>
      </w:r>
      <w:r w:rsidR="00BC6CB6" w:rsidRPr="00284E38">
        <w:rPr>
          <w:rFonts w:eastAsia="MS Mincho"/>
          <w:lang w:eastAsia="ja-JP"/>
        </w:rPr>
        <w:t>e conducted a systematic review and network meta-analysis of randomised controlled trials</w:t>
      </w:r>
      <w:r w:rsidR="00A22CC5" w:rsidRPr="00284E38">
        <w:rPr>
          <w:rFonts w:eastAsia="MS Mincho"/>
          <w:lang w:eastAsia="ja-JP"/>
        </w:rPr>
        <w:t xml:space="preserve"> </w:t>
      </w:r>
      <w:r w:rsidR="00BC6CB6" w:rsidRPr="00284E38">
        <w:rPr>
          <w:rFonts w:eastAsia="MS Mincho"/>
          <w:lang w:eastAsia="ja-JP"/>
        </w:rPr>
        <w:t xml:space="preserve">comparing </w:t>
      </w:r>
      <w:r w:rsidR="009E2CAD">
        <w:rPr>
          <w:rFonts w:eastAsia="MS Mincho"/>
          <w:lang w:eastAsia="ja-JP"/>
        </w:rPr>
        <w:t>d</w:t>
      </w:r>
      <w:r w:rsidR="009E2CAD" w:rsidRPr="004A1B5C">
        <w:rPr>
          <w:rFonts w:eastAsia="MS Mincho"/>
          <w:lang w:eastAsia="ja-JP"/>
        </w:rPr>
        <w:t xml:space="preserve">igital interventions </w:t>
      </w:r>
      <w:r w:rsidR="00BC6CB6" w:rsidRPr="00284E38">
        <w:rPr>
          <w:rFonts w:eastAsia="MS Mincho"/>
          <w:lang w:eastAsia="ja-JP"/>
        </w:rPr>
        <w:t xml:space="preserve">with medication, non-digital interventions, non-therapeutic controls and no intervention. </w:t>
      </w:r>
    </w:p>
    <w:p w14:paraId="46980B3F" w14:textId="77777777" w:rsidR="00D85CC1" w:rsidRDefault="00D85CC1" w:rsidP="00BC6CB6">
      <w:pPr>
        <w:rPr>
          <w:rFonts w:eastAsia="MS Mincho"/>
          <w:lang w:eastAsia="ja-JP"/>
        </w:rPr>
      </w:pPr>
    </w:p>
    <w:p w14:paraId="4260909E" w14:textId="57F4DFEB" w:rsidR="00D85CC1" w:rsidRDefault="00D85CC1" w:rsidP="00BC6CB6">
      <w:pPr>
        <w:rPr>
          <w:rFonts w:eastAsia="MS Mincho"/>
          <w:lang w:eastAsia="ja-JP"/>
        </w:rPr>
      </w:pPr>
      <w:r w:rsidRPr="00D85CC1">
        <w:rPr>
          <w:rFonts w:eastAsia="MS Mincho"/>
          <w:b/>
          <w:lang w:eastAsia="ja-JP"/>
        </w:rPr>
        <w:t>Results:</w:t>
      </w:r>
      <w:r>
        <w:rPr>
          <w:rFonts w:eastAsia="MS Mincho"/>
          <w:lang w:eastAsia="ja-JP"/>
        </w:rPr>
        <w:t xml:space="preserve"> </w:t>
      </w:r>
      <w:r w:rsidR="00BC6CB6" w:rsidRPr="00284E38">
        <w:rPr>
          <w:rFonts w:eastAsia="MS Mincho"/>
          <w:lang w:eastAsia="ja-JP"/>
        </w:rPr>
        <w:t xml:space="preserve">We included 21 </w:t>
      </w:r>
      <w:r w:rsidR="009E2CAD">
        <w:rPr>
          <w:rFonts w:eastAsia="MS Mincho"/>
          <w:lang w:eastAsia="ja-JP"/>
        </w:rPr>
        <w:t>randomised controlled trial</w:t>
      </w:r>
      <w:r w:rsidR="00BC6CB6" w:rsidRPr="00284E38">
        <w:rPr>
          <w:rFonts w:eastAsia="MS Mincho"/>
          <w:lang w:eastAsia="ja-JP"/>
        </w:rPr>
        <w:t xml:space="preserve">s with a total of 2,350 participants from </w:t>
      </w:r>
      <w:r w:rsidR="009E2CAD">
        <w:rPr>
          <w:rFonts w:eastAsia="MS Mincho"/>
          <w:lang w:eastAsia="ja-JP"/>
        </w:rPr>
        <w:t>g</w:t>
      </w:r>
      <w:r w:rsidR="009E2CAD" w:rsidRPr="004A1B5C">
        <w:rPr>
          <w:rFonts w:eastAsia="MS Mincho"/>
          <w:lang w:eastAsia="ja-JP"/>
        </w:rPr>
        <w:t>eneralised anxiety disorder</w:t>
      </w:r>
      <w:r w:rsidR="009E2CAD" w:rsidRPr="00284E38">
        <w:rPr>
          <w:rFonts w:eastAsia="MS Mincho"/>
          <w:lang w:eastAsia="ja-JP"/>
        </w:rPr>
        <w:t xml:space="preserve"> </w:t>
      </w:r>
      <w:r w:rsidR="00BC6CB6" w:rsidRPr="00284E38">
        <w:rPr>
          <w:rFonts w:eastAsia="MS Mincho"/>
          <w:lang w:eastAsia="ja-JP"/>
        </w:rPr>
        <w:t>populations. Pooled outcome</w:t>
      </w:r>
      <w:r w:rsidR="00A22CC5" w:rsidRPr="00284E38">
        <w:rPr>
          <w:rFonts w:eastAsia="MS Mincho"/>
          <w:lang w:eastAsia="ja-JP"/>
        </w:rPr>
        <w:t xml:space="preserve">s using analysis of Covariance </w:t>
      </w:r>
      <w:r w:rsidR="00BC6CB6" w:rsidRPr="00284E38">
        <w:rPr>
          <w:rFonts w:eastAsia="MS Mincho"/>
          <w:lang w:eastAsia="ja-JP"/>
        </w:rPr>
        <w:t xml:space="preserve">and rankograms based on the surface under the cumulative ranking curves indicated that antidepressant medication and group therapy had a higher probability </w:t>
      </w:r>
      <w:r w:rsidR="00C21373" w:rsidRPr="00284E38">
        <w:rPr>
          <w:rFonts w:eastAsia="MS Mincho"/>
          <w:lang w:eastAsia="ja-JP"/>
        </w:rPr>
        <w:t xml:space="preserve">than </w:t>
      </w:r>
      <w:r w:rsidR="009E2CAD">
        <w:rPr>
          <w:rFonts w:eastAsia="MS Mincho"/>
          <w:lang w:eastAsia="ja-JP"/>
        </w:rPr>
        <w:t>d</w:t>
      </w:r>
      <w:r w:rsidR="009E2CAD" w:rsidRPr="004A1B5C">
        <w:rPr>
          <w:rFonts w:eastAsia="MS Mincho"/>
          <w:lang w:eastAsia="ja-JP"/>
        </w:rPr>
        <w:t xml:space="preserve">igital interventions </w:t>
      </w:r>
      <w:r w:rsidR="00BC6CB6" w:rsidRPr="00284E38">
        <w:rPr>
          <w:rFonts w:eastAsia="MS Mincho"/>
          <w:lang w:eastAsia="ja-JP"/>
        </w:rPr>
        <w:t xml:space="preserve">of being the ‘best’ intervention. </w:t>
      </w:r>
      <w:r w:rsidR="008B4C17" w:rsidRPr="00284E38">
        <w:rPr>
          <w:rFonts w:eastAsia="MS Mincho"/>
          <w:lang w:eastAsia="ja-JP"/>
        </w:rPr>
        <w:t xml:space="preserve">Supported </w:t>
      </w:r>
      <w:r w:rsidR="009E2CAD">
        <w:rPr>
          <w:rFonts w:eastAsia="MS Mincho"/>
          <w:lang w:eastAsia="ja-JP"/>
        </w:rPr>
        <w:t>d</w:t>
      </w:r>
      <w:r w:rsidR="009E2CAD" w:rsidRPr="004A1B5C">
        <w:rPr>
          <w:rFonts w:eastAsia="MS Mincho"/>
          <w:lang w:eastAsia="ja-JP"/>
        </w:rPr>
        <w:t xml:space="preserve">igital interventions </w:t>
      </w:r>
      <w:r w:rsidR="008B4C17" w:rsidRPr="00284E38">
        <w:rPr>
          <w:rFonts w:eastAsia="MS Mincho"/>
          <w:lang w:eastAsia="ja-JP"/>
        </w:rPr>
        <w:t>were not necessarily “better” than unsupported (pure self-help) ones.</w:t>
      </w:r>
      <w:r w:rsidR="00C22FA3" w:rsidRPr="00284E38">
        <w:rPr>
          <w:rFonts w:eastAsia="MS Mincho"/>
          <w:lang w:eastAsia="ja-JP"/>
        </w:rPr>
        <w:t xml:space="preserve"> </w:t>
      </w:r>
    </w:p>
    <w:p w14:paraId="3D211E57" w14:textId="77777777" w:rsidR="00D85CC1" w:rsidRDefault="00D85CC1" w:rsidP="00BC6CB6">
      <w:pPr>
        <w:rPr>
          <w:rFonts w:eastAsia="MS Mincho"/>
          <w:lang w:eastAsia="ja-JP"/>
        </w:rPr>
      </w:pPr>
    </w:p>
    <w:p w14:paraId="2B4DDD0F" w14:textId="60BEDAF5" w:rsidR="00BC6CB6" w:rsidRPr="00284E38" w:rsidRDefault="00D85CC1" w:rsidP="00BC6CB6">
      <w:pPr>
        <w:rPr>
          <w:rFonts w:eastAsia="MS Mincho"/>
          <w:lang w:eastAsia="ja-JP"/>
        </w:rPr>
      </w:pPr>
      <w:r w:rsidRPr="00D85CC1">
        <w:rPr>
          <w:rFonts w:eastAsia="MS Mincho"/>
          <w:b/>
          <w:lang w:eastAsia="ja-JP"/>
        </w:rPr>
        <w:t>Conclusions:</w:t>
      </w:r>
      <w:r>
        <w:rPr>
          <w:rFonts w:eastAsia="MS Mincho"/>
          <w:lang w:eastAsia="ja-JP"/>
        </w:rPr>
        <w:t xml:space="preserve"> </w:t>
      </w:r>
      <w:r w:rsidR="00BC6CB6" w:rsidRPr="00284E38">
        <w:rPr>
          <w:rFonts w:eastAsia="MS Mincho"/>
          <w:lang w:eastAsia="ja-JP"/>
        </w:rPr>
        <w:t xml:space="preserve">Due to very wide confidence intervals, </w:t>
      </w:r>
      <w:r w:rsidR="002C5DE3" w:rsidRPr="00284E38">
        <w:rPr>
          <w:rFonts w:eastAsia="MS Mincho"/>
          <w:lang w:eastAsia="ja-JP"/>
        </w:rPr>
        <w:t xml:space="preserve">network meta-analysis </w:t>
      </w:r>
      <w:r w:rsidR="00BC6CB6" w:rsidRPr="00284E38">
        <w:rPr>
          <w:rFonts w:eastAsia="MS Mincho"/>
          <w:lang w:eastAsia="ja-JP"/>
        </w:rPr>
        <w:t xml:space="preserve">results were inconclusive as to whether </w:t>
      </w:r>
      <w:r w:rsidR="009E2CAD">
        <w:rPr>
          <w:rFonts w:eastAsia="MS Mincho"/>
          <w:lang w:eastAsia="ja-JP"/>
        </w:rPr>
        <w:t>d</w:t>
      </w:r>
      <w:r w:rsidR="009E2CAD" w:rsidRPr="004A1B5C">
        <w:rPr>
          <w:rFonts w:eastAsia="MS Mincho"/>
          <w:lang w:eastAsia="ja-JP"/>
        </w:rPr>
        <w:t xml:space="preserve">igital interventions </w:t>
      </w:r>
      <w:r w:rsidR="00BC6CB6" w:rsidRPr="00284E38">
        <w:rPr>
          <w:rFonts w:eastAsia="MS Mincho"/>
          <w:lang w:eastAsia="ja-JP"/>
        </w:rPr>
        <w:t xml:space="preserve">are better than no intervention and non-therapeutic active controls, or whether they confer an additional benefit to standard therapy. Future research needs to compare </w:t>
      </w:r>
      <w:r w:rsidR="009E2CAD">
        <w:rPr>
          <w:rFonts w:eastAsia="MS Mincho"/>
          <w:lang w:eastAsia="ja-JP"/>
        </w:rPr>
        <w:t>d</w:t>
      </w:r>
      <w:r w:rsidR="009E2CAD" w:rsidRPr="004A1B5C">
        <w:rPr>
          <w:rFonts w:eastAsia="MS Mincho"/>
          <w:lang w:eastAsia="ja-JP"/>
        </w:rPr>
        <w:t xml:space="preserve">igital interventions </w:t>
      </w:r>
      <w:r w:rsidR="00BC6CB6" w:rsidRPr="00284E38">
        <w:rPr>
          <w:rFonts w:eastAsia="MS Mincho"/>
          <w:lang w:eastAsia="ja-JP"/>
        </w:rPr>
        <w:t xml:space="preserve">with </w:t>
      </w:r>
      <w:r w:rsidR="00F94464" w:rsidRPr="00284E38">
        <w:rPr>
          <w:rFonts w:eastAsia="MS Mincho"/>
          <w:lang w:eastAsia="ja-JP"/>
        </w:rPr>
        <w:t xml:space="preserve">one-to-one therapy and with </w:t>
      </w:r>
      <w:r w:rsidR="00BC6CB6" w:rsidRPr="00284E38">
        <w:rPr>
          <w:rFonts w:eastAsia="MS Mincho"/>
          <w:lang w:eastAsia="ja-JP"/>
        </w:rPr>
        <w:t xml:space="preserve">manualised non-digital self-help and </w:t>
      </w:r>
      <w:r w:rsidR="00F94464" w:rsidRPr="00284E38">
        <w:rPr>
          <w:rFonts w:eastAsia="MS Mincho"/>
          <w:lang w:eastAsia="ja-JP"/>
        </w:rPr>
        <w:t xml:space="preserve">to </w:t>
      </w:r>
      <w:r w:rsidR="00BC6CB6" w:rsidRPr="00284E38">
        <w:rPr>
          <w:rFonts w:eastAsia="MS Mincho"/>
          <w:lang w:eastAsia="ja-JP"/>
        </w:rPr>
        <w:t>include a</w:t>
      </w:r>
      <w:r w:rsidR="00D20B3C" w:rsidRPr="00284E38">
        <w:rPr>
          <w:rFonts w:eastAsia="MS Mincho"/>
          <w:lang w:eastAsia="ja-JP"/>
        </w:rPr>
        <w:t xml:space="preserve">ntidepressant medication </w:t>
      </w:r>
      <w:r w:rsidR="00BC6CB6" w:rsidRPr="00284E38">
        <w:rPr>
          <w:rFonts w:eastAsia="MS Mincho"/>
          <w:lang w:eastAsia="ja-JP"/>
        </w:rPr>
        <w:t xml:space="preserve">as a treatment comparator </w:t>
      </w:r>
      <w:r w:rsidR="000E7F38" w:rsidRPr="00284E38">
        <w:rPr>
          <w:rFonts w:eastAsia="MS Mincho"/>
          <w:lang w:eastAsia="ja-JP"/>
        </w:rPr>
        <w:t>and</w:t>
      </w:r>
      <w:r w:rsidR="00BC6CB6" w:rsidRPr="00284E38">
        <w:rPr>
          <w:rFonts w:eastAsia="MS Mincho"/>
          <w:lang w:eastAsia="ja-JP"/>
        </w:rPr>
        <w:t xml:space="preserve"> effect modifier.</w:t>
      </w:r>
    </w:p>
    <w:p w14:paraId="24C25E29" w14:textId="4FA30A95" w:rsidR="008B4C17" w:rsidRPr="00284E38" w:rsidRDefault="008B4C17" w:rsidP="00BC6CB6">
      <w:pPr>
        <w:rPr>
          <w:rFonts w:eastAsia="MS Mincho"/>
          <w:lang w:eastAsia="ja-JP"/>
        </w:rPr>
      </w:pPr>
    </w:p>
    <w:p w14:paraId="3EAD2B8E" w14:textId="77777777" w:rsidR="00E023D9" w:rsidRPr="00284E38" w:rsidRDefault="00E023D9" w:rsidP="00E154E0">
      <w:pPr>
        <w:rPr>
          <w:rFonts w:eastAsia="MS Mincho"/>
          <w:lang w:eastAsia="ja-JP"/>
        </w:rPr>
      </w:pPr>
    </w:p>
    <w:p w14:paraId="6877389F" w14:textId="77777777" w:rsidR="00616D51" w:rsidRPr="00284E38" w:rsidRDefault="00616D51" w:rsidP="00E154E0">
      <w:pPr>
        <w:rPr>
          <w:rFonts w:eastAsia="MS Mincho"/>
          <w:lang w:eastAsia="ja-JP"/>
        </w:rPr>
      </w:pPr>
    </w:p>
    <w:p w14:paraId="6A140A0D" w14:textId="6322B95F" w:rsidR="00F94464" w:rsidRPr="00284E38" w:rsidRDefault="00F94464">
      <w:pPr>
        <w:rPr>
          <w:rFonts w:eastAsia="MS Mincho"/>
          <w:lang w:eastAsia="ja-JP"/>
        </w:rPr>
      </w:pPr>
      <w:r w:rsidRPr="00284E38">
        <w:rPr>
          <w:rFonts w:eastAsia="MS Mincho"/>
          <w:lang w:eastAsia="ja-JP"/>
        </w:rPr>
        <w:br w:type="page"/>
      </w:r>
    </w:p>
    <w:p w14:paraId="74227A58" w14:textId="157D1AF1" w:rsidR="008F45E8" w:rsidRPr="00284E38" w:rsidRDefault="00DE1A9F" w:rsidP="00E154E0">
      <w:pPr>
        <w:pStyle w:val="Heading1"/>
        <w:numPr>
          <w:ilvl w:val="0"/>
          <w:numId w:val="4"/>
        </w:numPr>
        <w:spacing w:before="0"/>
        <w:ind w:left="284" w:hanging="284"/>
        <w:rPr>
          <w:rFonts w:eastAsia="MS Mincho"/>
          <w:sz w:val="24"/>
          <w:szCs w:val="24"/>
          <w:lang w:eastAsia="ja-JP"/>
        </w:rPr>
      </w:pPr>
      <w:r w:rsidRPr="00284E38">
        <w:rPr>
          <w:rFonts w:eastAsia="MS Mincho"/>
          <w:sz w:val="24"/>
          <w:szCs w:val="24"/>
          <w:lang w:eastAsia="ja-JP"/>
        </w:rPr>
        <w:lastRenderedPageBreak/>
        <w:t>INTRODUCTION</w:t>
      </w:r>
    </w:p>
    <w:p w14:paraId="0E2D93F9" w14:textId="0A7E78C9" w:rsidR="00DE3D37" w:rsidRPr="00284E38" w:rsidRDefault="00DE3D37" w:rsidP="00E154E0"/>
    <w:p w14:paraId="034E3346" w14:textId="5C5130F1" w:rsidR="003127A2" w:rsidRPr="00284E38" w:rsidRDefault="00D70356" w:rsidP="00C207A2">
      <w:pPr>
        <w:rPr>
          <w:rFonts w:eastAsia="MS Mincho"/>
          <w:lang w:eastAsia="ja-JP"/>
        </w:rPr>
      </w:pPr>
      <w:r w:rsidRPr="00284E38">
        <w:rPr>
          <w:rFonts w:eastAsia="MS Mincho"/>
          <w:lang w:eastAsia="ja-JP"/>
        </w:rPr>
        <w:t>Generalised Anxiety Disorder (</w:t>
      </w:r>
      <w:r w:rsidR="00C207A2" w:rsidRPr="00284E38">
        <w:rPr>
          <w:rFonts w:eastAsia="MS Mincho"/>
          <w:lang w:eastAsia="ja-JP"/>
        </w:rPr>
        <w:t>GAD</w:t>
      </w:r>
      <w:r w:rsidRPr="00284E38">
        <w:rPr>
          <w:rFonts w:eastAsia="MS Mincho"/>
          <w:lang w:eastAsia="ja-JP"/>
        </w:rPr>
        <w:t>)</w:t>
      </w:r>
      <w:r w:rsidR="00C207A2" w:rsidRPr="00284E38">
        <w:rPr>
          <w:rFonts w:eastAsia="MS Mincho"/>
          <w:lang w:eastAsia="ja-JP"/>
        </w:rPr>
        <w:t xml:space="preserve"> is the most common mental health condition</w:t>
      </w:r>
      <w:r w:rsidR="006E5340" w:rsidRPr="00284E38">
        <w:rPr>
          <w:rFonts w:eastAsia="MS Mincho"/>
          <w:lang w:eastAsia="ja-JP"/>
        </w:rPr>
        <w:t xml:space="preserve"> </w:t>
      </w:r>
      <w:r w:rsidR="006D5E43" w:rsidRPr="00284E38">
        <w:rPr>
          <w:rFonts w:eastAsia="MS Mincho"/>
          <w:lang w:eastAsia="ja-JP"/>
        </w:rPr>
        <w:t xml:space="preserve">with 6% point-prevalence (measured over the </w:t>
      </w:r>
      <w:r w:rsidR="009C3D0B" w:rsidRPr="00284E38">
        <w:rPr>
          <w:rFonts w:eastAsia="MS Mincho"/>
          <w:lang w:eastAsia="ja-JP"/>
        </w:rPr>
        <w:t xml:space="preserve">preceding </w:t>
      </w:r>
      <w:r w:rsidR="006D5E43" w:rsidRPr="00284E38">
        <w:rPr>
          <w:rFonts w:eastAsia="MS Mincho"/>
          <w:lang w:eastAsia="ja-JP"/>
        </w:rPr>
        <w:t>week)</w:t>
      </w:r>
      <w:r w:rsidR="00684B35" w:rsidRPr="00284E38">
        <w:rPr>
          <w:rFonts w:eastAsia="MS Mincho"/>
          <w:lang w:eastAsia="ja-JP"/>
        </w:rPr>
        <w:t xml:space="preserve"> in the UK</w:t>
      </w:r>
      <w:r w:rsidR="006D5E43" w:rsidRPr="00284E38">
        <w:rPr>
          <w:rFonts w:eastAsia="MS Mincho"/>
          <w:lang w:eastAsia="ja-JP"/>
        </w:rPr>
        <w:t>, nearly double that of depression (3.3%)</w:t>
      </w:r>
      <w:r w:rsidR="00BE25ED" w:rsidRPr="00284E38">
        <w:rPr>
          <w:rFonts w:eastAsia="MS Mincho"/>
          <w:lang w:eastAsia="ja-JP"/>
        </w:rPr>
        <w:t xml:space="preserve"> (Mental Health Foundation, 2016)</w:t>
      </w:r>
      <w:r w:rsidR="004622D4" w:rsidRPr="00284E38">
        <w:rPr>
          <w:rFonts w:eastAsia="MS Mincho"/>
          <w:lang w:eastAsia="ja-JP"/>
        </w:rPr>
        <w:t>. I</w:t>
      </w:r>
      <w:r w:rsidR="006D5E43" w:rsidRPr="00284E38">
        <w:rPr>
          <w:rFonts w:eastAsia="MS Mincho"/>
          <w:lang w:eastAsia="ja-JP"/>
        </w:rPr>
        <w:t>t</w:t>
      </w:r>
      <w:r w:rsidR="0050049A" w:rsidRPr="00284E38">
        <w:rPr>
          <w:rFonts w:eastAsia="MS Mincho"/>
          <w:lang w:eastAsia="ja-JP"/>
        </w:rPr>
        <w:t xml:space="preserve"> </w:t>
      </w:r>
      <w:r w:rsidR="00202A8C" w:rsidRPr="00284E38">
        <w:rPr>
          <w:rFonts w:eastAsia="MS Mincho"/>
          <w:lang w:eastAsia="ja-JP"/>
        </w:rPr>
        <w:t xml:space="preserve">is often confused with </w:t>
      </w:r>
      <w:r w:rsidR="00D722A0" w:rsidRPr="00284E38">
        <w:rPr>
          <w:rFonts w:eastAsia="MS Mincho"/>
          <w:lang w:eastAsia="ja-JP"/>
        </w:rPr>
        <w:t>panic</w:t>
      </w:r>
      <w:r w:rsidR="00202A8C" w:rsidRPr="00284E38">
        <w:rPr>
          <w:rFonts w:eastAsia="MS Mincho"/>
          <w:lang w:eastAsia="ja-JP"/>
        </w:rPr>
        <w:t xml:space="preserve"> </w:t>
      </w:r>
      <w:r w:rsidR="00E236B8" w:rsidRPr="00284E38">
        <w:rPr>
          <w:rFonts w:eastAsia="MS Mincho"/>
          <w:lang w:eastAsia="ja-JP"/>
        </w:rPr>
        <w:t xml:space="preserve">disorder </w:t>
      </w:r>
      <w:r w:rsidR="00202A8C" w:rsidRPr="00284E38">
        <w:rPr>
          <w:rFonts w:eastAsia="MS Mincho"/>
          <w:lang w:eastAsia="ja-JP"/>
        </w:rPr>
        <w:t>or depression</w:t>
      </w:r>
      <w:r w:rsidR="006D5E43" w:rsidRPr="00284E38">
        <w:rPr>
          <w:rFonts w:eastAsia="MS Mincho"/>
          <w:lang w:eastAsia="ja-JP"/>
        </w:rPr>
        <w:t xml:space="preserve"> when self-reported</w:t>
      </w:r>
      <w:r w:rsidR="00B0609C" w:rsidRPr="00284E38">
        <w:rPr>
          <w:rFonts w:eastAsia="MS Mincho"/>
          <w:lang w:eastAsia="ja-JP"/>
        </w:rPr>
        <w:t xml:space="preserve"> by survey participants</w:t>
      </w:r>
      <w:r w:rsidR="006D5E43" w:rsidRPr="00284E38">
        <w:rPr>
          <w:rFonts w:eastAsia="MS Mincho"/>
          <w:lang w:eastAsia="ja-JP"/>
        </w:rPr>
        <w:t xml:space="preserve"> </w:t>
      </w:r>
      <w:r w:rsidR="00D33460" w:rsidRPr="00284E38">
        <w:rPr>
          <w:rFonts w:eastAsia="MS Mincho"/>
          <w:noProof/>
          <w:lang w:eastAsia="ja-JP"/>
        </w:rPr>
        <w:t>(</w:t>
      </w:r>
      <w:hyperlink w:anchor="_ENREF_40" w:tooltip="McManus, 2016 #1004" w:history="1">
        <w:r w:rsidR="00D33460" w:rsidRPr="00284E38">
          <w:rPr>
            <w:rFonts w:eastAsia="MS Mincho"/>
            <w:noProof/>
            <w:lang w:eastAsia="ja-JP"/>
          </w:rPr>
          <w:t>McManus, Bebbington, Jenkins, &amp; Brugha, 2016</w:t>
        </w:r>
      </w:hyperlink>
      <w:r w:rsidR="00D33460" w:rsidRPr="00284E38">
        <w:rPr>
          <w:rFonts w:eastAsia="MS Mincho"/>
          <w:noProof/>
          <w:lang w:eastAsia="ja-JP"/>
        </w:rPr>
        <w:t>)</w:t>
      </w:r>
      <w:r w:rsidR="006D5E43" w:rsidRPr="00284E38">
        <w:rPr>
          <w:rFonts w:eastAsia="MS Mincho"/>
          <w:lang w:eastAsia="ja-JP"/>
        </w:rPr>
        <w:t>.</w:t>
      </w:r>
      <w:r w:rsidR="00D722A0" w:rsidRPr="00284E38">
        <w:rPr>
          <w:rFonts w:eastAsia="MS Mincho"/>
          <w:lang w:eastAsia="ja-JP"/>
        </w:rPr>
        <w:t xml:space="preserve"> </w:t>
      </w:r>
      <w:r w:rsidR="00684B35" w:rsidRPr="00284E38">
        <w:rPr>
          <w:rFonts w:eastAsia="MS Mincho"/>
          <w:lang w:eastAsia="ja-JP"/>
        </w:rPr>
        <w:t>GAD is characterised by e</w:t>
      </w:r>
      <w:r w:rsidR="0010323E" w:rsidRPr="00284E38">
        <w:rPr>
          <w:rFonts w:eastAsia="MS Mincho"/>
          <w:lang w:eastAsia="ja-JP"/>
        </w:rPr>
        <w:t>xcessive worry</w:t>
      </w:r>
      <w:r w:rsidR="00814872" w:rsidRPr="00284E38">
        <w:rPr>
          <w:rFonts w:eastAsia="MS Mincho"/>
          <w:lang w:eastAsia="ja-JP"/>
        </w:rPr>
        <w:t xml:space="preserve"> that persists for several months</w:t>
      </w:r>
      <w:r w:rsidR="00684B35" w:rsidRPr="00284E38">
        <w:rPr>
          <w:rFonts w:eastAsia="MS Mincho"/>
          <w:lang w:eastAsia="ja-JP"/>
        </w:rPr>
        <w:t xml:space="preserve"> and leads to significant distress or impairment in everyday life and functioning </w:t>
      </w:r>
      <w:r w:rsidR="00684B35" w:rsidRPr="00284E38">
        <w:rPr>
          <w:rFonts w:eastAsia="MS Mincho"/>
          <w:noProof/>
          <w:lang w:eastAsia="ja-JP"/>
        </w:rPr>
        <w:t>(</w:t>
      </w:r>
      <w:hyperlink w:anchor="_ENREF_68" w:tooltip="World Health Organization, 2018 #1005" w:history="1">
        <w:r w:rsidR="00684B35" w:rsidRPr="00284E38">
          <w:rPr>
            <w:rFonts w:eastAsia="MS Mincho"/>
            <w:noProof/>
            <w:lang w:eastAsia="ja-JP"/>
          </w:rPr>
          <w:t>World Health Organization, 2018</w:t>
        </w:r>
      </w:hyperlink>
      <w:r w:rsidR="00684B35" w:rsidRPr="00284E38">
        <w:rPr>
          <w:rFonts w:eastAsia="MS Mincho"/>
          <w:noProof/>
          <w:lang w:eastAsia="ja-JP"/>
        </w:rPr>
        <w:t>)</w:t>
      </w:r>
      <w:r w:rsidR="00684B35" w:rsidRPr="00284E38">
        <w:rPr>
          <w:rFonts w:eastAsia="MS Mincho"/>
          <w:lang w:eastAsia="ja-JP"/>
        </w:rPr>
        <w:t xml:space="preserve">. Other typical characteristics include </w:t>
      </w:r>
      <w:r w:rsidR="0010323E" w:rsidRPr="00284E38">
        <w:rPr>
          <w:rFonts w:eastAsia="MS Mincho"/>
          <w:lang w:eastAsia="ja-JP"/>
        </w:rPr>
        <w:t xml:space="preserve">free-floating anxiety and physical </w:t>
      </w:r>
      <w:r w:rsidR="00684B35" w:rsidRPr="00284E38">
        <w:rPr>
          <w:rFonts w:eastAsia="MS Mincho"/>
          <w:lang w:eastAsia="ja-JP"/>
        </w:rPr>
        <w:t>symptoms</w:t>
      </w:r>
      <w:r w:rsidR="004622D4" w:rsidRPr="00284E38">
        <w:rPr>
          <w:rFonts w:eastAsia="MS Mincho"/>
          <w:lang w:eastAsia="ja-JP"/>
        </w:rPr>
        <w:t xml:space="preserve">, </w:t>
      </w:r>
      <w:r w:rsidR="0010323E" w:rsidRPr="00284E38">
        <w:rPr>
          <w:rFonts w:eastAsia="MS Mincho"/>
          <w:lang w:eastAsia="ja-JP"/>
        </w:rPr>
        <w:t xml:space="preserve">such as muscle tension, </w:t>
      </w:r>
      <w:r w:rsidR="00814872" w:rsidRPr="00284E38">
        <w:rPr>
          <w:rFonts w:eastAsia="MS Mincho"/>
          <w:lang w:eastAsia="ja-JP"/>
        </w:rPr>
        <w:t>headaches, restlessness, difficulty concentrating, irritability, or sleep problems</w:t>
      </w:r>
      <w:r w:rsidR="00684B35" w:rsidRPr="00284E38">
        <w:rPr>
          <w:rFonts w:eastAsia="MS Mincho"/>
          <w:lang w:eastAsia="ja-JP"/>
        </w:rPr>
        <w:t xml:space="preserve">. </w:t>
      </w:r>
      <w:r w:rsidR="00870805" w:rsidRPr="00284E38">
        <w:rPr>
          <w:rFonts w:eastAsia="MS Mincho"/>
          <w:lang w:eastAsia="ja-JP"/>
        </w:rPr>
        <w:t xml:space="preserve">GAD </w:t>
      </w:r>
      <w:r w:rsidR="00E00D9F" w:rsidRPr="00284E38">
        <w:rPr>
          <w:rFonts w:eastAsia="MS Mincho"/>
          <w:lang w:eastAsia="ja-JP"/>
        </w:rPr>
        <w:t xml:space="preserve">is associated with low quality of life and </w:t>
      </w:r>
      <w:r w:rsidR="00870805" w:rsidRPr="00284E38">
        <w:rPr>
          <w:rFonts w:eastAsia="MS Mincho"/>
          <w:lang w:eastAsia="ja-JP"/>
        </w:rPr>
        <w:t xml:space="preserve">high healthcare costs </w:t>
      </w:r>
      <w:r w:rsidR="00D33460" w:rsidRPr="00284E38">
        <w:rPr>
          <w:rFonts w:eastAsia="MS Mincho"/>
          <w:noProof/>
          <w:lang w:eastAsia="ja-JP"/>
        </w:rPr>
        <w:t>(</w:t>
      </w:r>
      <w:hyperlink w:anchor="_ENREF_49" w:tooltip="Revicki, 2012 #1006" w:history="1">
        <w:r w:rsidR="00D33460" w:rsidRPr="00284E38">
          <w:rPr>
            <w:rFonts w:eastAsia="MS Mincho"/>
            <w:noProof/>
            <w:lang w:eastAsia="ja-JP"/>
          </w:rPr>
          <w:t>Revicki et al., 2012</w:t>
        </w:r>
      </w:hyperlink>
      <w:r w:rsidR="00D33460" w:rsidRPr="00284E38">
        <w:rPr>
          <w:rFonts w:eastAsia="MS Mincho"/>
          <w:noProof/>
          <w:lang w:eastAsia="ja-JP"/>
        </w:rPr>
        <w:t>)</w:t>
      </w:r>
      <w:r w:rsidR="00870805" w:rsidRPr="00284E38">
        <w:rPr>
          <w:rFonts w:eastAsia="MS Mincho"/>
          <w:lang w:eastAsia="ja-JP"/>
        </w:rPr>
        <w:t xml:space="preserve">. </w:t>
      </w:r>
    </w:p>
    <w:p w14:paraId="4589A84A" w14:textId="77777777" w:rsidR="003127A2" w:rsidRPr="00284E38" w:rsidRDefault="003127A2" w:rsidP="00C207A2">
      <w:pPr>
        <w:rPr>
          <w:rFonts w:eastAsia="MS Mincho"/>
          <w:lang w:eastAsia="ja-JP"/>
        </w:rPr>
      </w:pPr>
    </w:p>
    <w:p w14:paraId="09E83706" w14:textId="0058E25A" w:rsidR="00790284" w:rsidRDefault="0033118A" w:rsidP="00C207A2">
      <w:pPr>
        <w:rPr>
          <w:rFonts w:eastAsia="MS Mincho"/>
          <w:lang w:eastAsia="ja-JP"/>
        </w:rPr>
      </w:pPr>
      <w:r w:rsidRPr="00284E38">
        <w:rPr>
          <w:rFonts w:eastAsia="MS Mincho"/>
          <w:lang w:eastAsia="ja-JP"/>
        </w:rPr>
        <w:t xml:space="preserve">Psychological interventions </w:t>
      </w:r>
      <w:r w:rsidR="004622D4" w:rsidRPr="00284E38">
        <w:rPr>
          <w:rFonts w:eastAsia="MS Mincho"/>
          <w:lang w:eastAsia="ja-JP"/>
        </w:rPr>
        <w:t xml:space="preserve">can be </w:t>
      </w:r>
      <w:r w:rsidRPr="00284E38">
        <w:rPr>
          <w:rFonts w:eastAsia="MS Mincho"/>
          <w:lang w:eastAsia="ja-JP"/>
        </w:rPr>
        <w:t>effective</w:t>
      </w:r>
      <w:r w:rsidR="00D70356" w:rsidRPr="00284E38">
        <w:rPr>
          <w:rFonts w:eastAsia="MS Mincho"/>
          <w:lang w:eastAsia="ja-JP"/>
        </w:rPr>
        <w:t xml:space="preserve"> for GAD</w:t>
      </w:r>
      <w:r w:rsidRPr="00284E38">
        <w:rPr>
          <w:rFonts w:eastAsia="MS Mincho"/>
          <w:lang w:eastAsia="ja-JP"/>
        </w:rPr>
        <w:t xml:space="preserve">, especially cognitive behaviour therapy (CBT) </w:t>
      </w:r>
      <w:r w:rsidR="00D33460" w:rsidRPr="00284E38">
        <w:rPr>
          <w:rFonts w:eastAsia="MS Mincho"/>
          <w:noProof/>
          <w:lang w:eastAsia="ja-JP"/>
        </w:rPr>
        <w:t>(</w:t>
      </w:r>
      <w:hyperlink w:anchor="_ENREF_32" w:tooltip="Hunot, 2007 #1007" w:history="1">
        <w:r w:rsidR="00D33460" w:rsidRPr="00284E38">
          <w:rPr>
            <w:rFonts w:eastAsia="MS Mincho"/>
            <w:noProof/>
            <w:lang w:eastAsia="ja-JP"/>
          </w:rPr>
          <w:t>Hunot, Churchill, Teixeira, &amp; de Lima, 2007</w:t>
        </w:r>
      </w:hyperlink>
      <w:r w:rsidR="00D33460" w:rsidRPr="00284E38">
        <w:rPr>
          <w:rFonts w:eastAsia="MS Mincho"/>
          <w:noProof/>
          <w:lang w:eastAsia="ja-JP"/>
        </w:rPr>
        <w:t>)</w:t>
      </w:r>
      <w:r w:rsidRPr="00284E38">
        <w:rPr>
          <w:rFonts w:eastAsia="MS Mincho"/>
          <w:lang w:eastAsia="ja-JP"/>
        </w:rPr>
        <w:t xml:space="preserve"> and applied </w:t>
      </w:r>
      <w:r w:rsidR="00E446A5" w:rsidRPr="00284E38">
        <w:rPr>
          <w:rFonts w:eastAsia="MS Mincho"/>
          <w:lang w:eastAsia="ja-JP"/>
        </w:rPr>
        <w:t>relaxation</w:t>
      </w:r>
      <w:r w:rsidRPr="00284E38">
        <w:rPr>
          <w:rFonts w:eastAsia="MS Mincho"/>
          <w:lang w:eastAsia="ja-JP"/>
        </w:rPr>
        <w:t xml:space="preserve"> </w:t>
      </w:r>
      <w:r w:rsidR="00D33460" w:rsidRPr="00284E38">
        <w:rPr>
          <w:rFonts w:eastAsia="MS Mincho"/>
          <w:noProof/>
          <w:lang w:eastAsia="ja-JP"/>
        </w:rPr>
        <w:t>(</w:t>
      </w:r>
      <w:hyperlink w:anchor="_ENREF_26" w:tooltip="Hayes-Skelton, 2013 #1008" w:history="1">
        <w:r w:rsidR="00D33460" w:rsidRPr="00284E38">
          <w:rPr>
            <w:rFonts w:eastAsia="MS Mincho"/>
            <w:noProof/>
            <w:lang w:eastAsia="ja-JP"/>
          </w:rPr>
          <w:t>Hayes-Skelton, Roemer, Orsillo, &amp; Borkovec, 2013</w:t>
        </w:r>
      </w:hyperlink>
      <w:r w:rsidR="00D33460" w:rsidRPr="00284E38">
        <w:rPr>
          <w:rFonts w:eastAsia="MS Mincho"/>
          <w:noProof/>
          <w:lang w:eastAsia="ja-JP"/>
        </w:rPr>
        <w:t>)</w:t>
      </w:r>
      <w:r w:rsidRPr="00284E38">
        <w:rPr>
          <w:rFonts w:eastAsia="MS Mincho"/>
          <w:lang w:eastAsia="ja-JP"/>
        </w:rPr>
        <w:t xml:space="preserve">. </w:t>
      </w:r>
      <w:r w:rsidR="00602D59">
        <w:rPr>
          <w:rFonts w:eastAsia="MS Mincho"/>
          <w:lang w:eastAsia="ja-JP"/>
        </w:rPr>
        <w:t xml:space="preserve">CBT helps the individual challenge or tolerate worrying thoughts and confront anxiety-provoking situations rather than avoiding them. Applied relaxation counteracts the physical symptoms of GAD thought a series of tense-then-release muscle exercises that reduce muscle tension. </w:t>
      </w:r>
      <w:r w:rsidR="00C207A2" w:rsidRPr="00284E38">
        <w:rPr>
          <w:rFonts w:eastAsia="MS Mincho"/>
          <w:lang w:eastAsia="ja-JP"/>
        </w:rPr>
        <w:t xml:space="preserve">Antidepressant medication </w:t>
      </w:r>
      <w:r w:rsidR="004622D4" w:rsidRPr="00284E38">
        <w:rPr>
          <w:rFonts w:eastAsia="MS Mincho"/>
          <w:lang w:eastAsia="ja-JP"/>
        </w:rPr>
        <w:t xml:space="preserve">can </w:t>
      </w:r>
      <w:r w:rsidRPr="00284E38">
        <w:rPr>
          <w:rFonts w:eastAsia="MS Mincho"/>
          <w:lang w:eastAsia="ja-JP"/>
        </w:rPr>
        <w:t xml:space="preserve">also </w:t>
      </w:r>
      <w:r w:rsidR="004622D4" w:rsidRPr="00284E38">
        <w:rPr>
          <w:rFonts w:eastAsia="MS Mincho"/>
          <w:lang w:eastAsia="ja-JP"/>
        </w:rPr>
        <w:t xml:space="preserve">be </w:t>
      </w:r>
      <w:r w:rsidR="00C207A2" w:rsidRPr="00284E38">
        <w:rPr>
          <w:rFonts w:eastAsia="MS Mincho"/>
          <w:lang w:eastAsia="ja-JP"/>
        </w:rPr>
        <w:t xml:space="preserve">effective </w:t>
      </w:r>
      <w:r w:rsidR="00D33460" w:rsidRPr="00284E38">
        <w:rPr>
          <w:rFonts w:eastAsia="MS Mincho"/>
          <w:noProof/>
          <w:lang w:eastAsia="ja-JP"/>
        </w:rPr>
        <w:t>(</w:t>
      </w:r>
      <w:hyperlink w:anchor="_ENREF_55" w:tooltip="Slee, 2019 #1009" w:history="1">
        <w:r w:rsidR="00D33460" w:rsidRPr="00284E38">
          <w:rPr>
            <w:rFonts w:eastAsia="MS Mincho"/>
            <w:noProof/>
            <w:lang w:eastAsia="ja-JP"/>
          </w:rPr>
          <w:t>Slee et al., 2019</w:t>
        </w:r>
      </w:hyperlink>
      <w:r w:rsidR="00D33460" w:rsidRPr="00284E38">
        <w:rPr>
          <w:rFonts w:eastAsia="MS Mincho"/>
          <w:noProof/>
          <w:lang w:eastAsia="ja-JP"/>
        </w:rPr>
        <w:t>)</w:t>
      </w:r>
      <w:r w:rsidR="006441C0" w:rsidRPr="00284E38">
        <w:rPr>
          <w:rFonts w:eastAsia="MS Mincho"/>
          <w:lang w:eastAsia="ja-JP"/>
        </w:rPr>
        <w:t xml:space="preserve"> </w:t>
      </w:r>
      <w:r w:rsidR="00C207A2" w:rsidRPr="00284E38">
        <w:rPr>
          <w:rFonts w:eastAsia="MS Mincho"/>
          <w:lang w:eastAsia="ja-JP"/>
        </w:rPr>
        <w:t xml:space="preserve">and </w:t>
      </w:r>
      <w:r w:rsidR="004622D4" w:rsidRPr="00284E38">
        <w:rPr>
          <w:rFonts w:eastAsia="MS Mincho"/>
          <w:lang w:eastAsia="ja-JP"/>
        </w:rPr>
        <w:t xml:space="preserve">is </w:t>
      </w:r>
      <w:r w:rsidR="00C207A2" w:rsidRPr="00284E38">
        <w:rPr>
          <w:rFonts w:eastAsia="MS Mincho"/>
          <w:lang w:eastAsia="ja-JP"/>
        </w:rPr>
        <w:t xml:space="preserve">often the first choice for </w:t>
      </w:r>
      <w:r w:rsidR="006B11F3" w:rsidRPr="00284E38">
        <w:rPr>
          <w:rFonts w:eastAsia="MS Mincho"/>
          <w:lang w:eastAsia="ja-JP"/>
        </w:rPr>
        <w:t xml:space="preserve">treatment by </w:t>
      </w:r>
      <w:r w:rsidR="00C207A2" w:rsidRPr="00284E38">
        <w:rPr>
          <w:rFonts w:eastAsia="MS Mincho"/>
          <w:lang w:eastAsia="ja-JP"/>
        </w:rPr>
        <w:t xml:space="preserve">clinicians in view of limited </w:t>
      </w:r>
      <w:r w:rsidR="00BE570A" w:rsidRPr="00284E38">
        <w:rPr>
          <w:rFonts w:eastAsia="MS Mincho"/>
          <w:lang w:eastAsia="ja-JP"/>
        </w:rPr>
        <w:t xml:space="preserve">capacity to deliver </w:t>
      </w:r>
      <w:r w:rsidR="00C207A2" w:rsidRPr="00284E38">
        <w:rPr>
          <w:rFonts w:eastAsia="MS Mincho"/>
          <w:lang w:eastAsia="ja-JP"/>
        </w:rPr>
        <w:t xml:space="preserve">psychological interventions. </w:t>
      </w:r>
      <w:r w:rsidR="00790284">
        <w:rPr>
          <w:rFonts w:eastAsia="MS Mincho"/>
          <w:lang w:eastAsia="ja-JP"/>
        </w:rPr>
        <w:t>T</w:t>
      </w:r>
      <w:r w:rsidR="00790284" w:rsidRPr="00790284">
        <w:rPr>
          <w:rFonts w:eastAsia="MS Mincho"/>
          <w:lang w:eastAsia="ja-JP"/>
        </w:rPr>
        <w:t>o improve access</w:t>
      </w:r>
      <w:r w:rsidR="00790284">
        <w:rPr>
          <w:rFonts w:eastAsia="MS Mincho"/>
          <w:lang w:eastAsia="ja-JP"/>
        </w:rPr>
        <w:t xml:space="preserve"> to psychological therapies</w:t>
      </w:r>
      <w:r w:rsidR="00790284" w:rsidRPr="00790284">
        <w:rPr>
          <w:rFonts w:eastAsia="MS Mincho"/>
          <w:lang w:eastAsia="ja-JP"/>
        </w:rPr>
        <w:t xml:space="preserve"> and increase patient choic</w:t>
      </w:r>
      <w:r w:rsidR="00790284">
        <w:rPr>
          <w:rFonts w:eastAsia="MS Mincho"/>
          <w:lang w:eastAsia="ja-JP"/>
        </w:rPr>
        <w:t xml:space="preserve">e and therapist capacity, digital interventions </w:t>
      </w:r>
      <w:r w:rsidR="00790284" w:rsidRPr="00284E38">
        <w:rPr>
          <w:rFonts w:eastAsia="MS Mincho"/>
          <w:lang w:eastAsia="ja-JP"/>
        </w:rPr>
        <w:t xml:space="preserve">have been used as alternatives or </w:t>
      </w:r>
      <w:r w:rsidR="00790284">
        <w:rPr>
          <w:rFonts w:eastAsia="MS Mincho"/>
          <w:lang w:eastAsia="ja-JP"/>
        </w:rPr>
        <w:t xml:space="preserve">supplements </w:t>
      </w:r>
      <w:r w:rsidR="00790284" w:rsidRPr="00284E38">
        <w:rPr>
          <w:rFonts w:eastAsia="MS Mincho"/>
          <w:lang w:eastAsia="ja-JP"/>
        </w:rPr>
        <w:t xml:space="preserve">to conventional </w:t>
      </w:r>
      <w:r w:rsidR="00790284">
        <w:rPr>
          <w:rFonts w:eastAsia="MS Mincho"/>
          <w:lang w:eastAsia="ja-JP"/>
        </w:rPr>
        <w:t>face-to-face clinic-based therapy</w:t>
      </w:r>
      <w:r w:rsidR="00790284" w:rsidRPr="00284E38">
        <w:rPr>
          <w:rFonts w:eastAsia="MS Mincho"/>
          <w:lang w:eastAsia="ja-JP"/>
        </w:rPr>
        <w:t xml:space="preserve"> </w:t>
      </w:r>
      <w:r w:rsidR="00790284" w:rsidRPr="00790284">
        <w:rPr>
          <w:rFonts w:eastAsia="MS Mincho"/>
          <w:lang w:eastAsia="ja-JP"/>
        </w:rPr>
        <w:t>(Aboujaoude, Gega, Parish, &amp; Hilty, 2020; Gega &amp; Gilbody, 2015)</w:t>
      </w:r>
      <w:r w:rsidR="00790284">
        <w:rPr>
          <w:rFonts w:eastAsia="MS Mincho"/>
          <w:lang w:eastAsia="ja-JP"/>
        </w:rPr>
        <w:t>.</w:t>
      </w:r>
    </w:p>
    <w:p w14:paraId="725F5CEC" w14:textId="77777777" w:rsidR="00790284" w:rsidRDefault="00790284" w:rsidP="00C207A2">
      <w:pPr>
        <w:rPr>
          <w:rFonts w:eastAsia="MS Mincho"/>
          <w:lang w:eastAsia="ja-JP"/>
        </w:rPr>
      </w:pPr>
    </w:p>
    <w:p w14:paraId="676D6EC7" w14:textId="535A89BA" w:rsidR="00FA4544" w:rsidRDefault="00C207A2" w:rsidP="00C207A2">
      <w:pPr>
        <w:rPr>
          <w:rFonts w:eastAsia="MS Mincho"/>
          <w:lang w:eastAsia="ja-JP"/>
        </w:rPr>
      </w:pPr>
      <w:r w:rsidRPr="00284E38">
        <w:rPr>
          <w:rFonts w:eastAsia="MS Mincho"/>
          <w:lang w:eastAsia="ja-JP"/>
        </w:rPr>
        <w:t xml:space="preserve">Digital interventions </w:t>
      </w:r>
      <w:r w:rsidR="00790284">
        <w:rPr>
          <w:rFonts w:eastAsia="MS Mincho"/>
          <w:lang w:eastAsia="ja-JP"/>
        </w:rPr>
        <w:t>are</w:t>
      </w:r>
      <w:r w:rsidR="00027713">
        <w:rPr>
          <w:rFonts w:eastAsia="MS Mincho"/>
          <w:lang w:eastAsia="ja-JP"/>
        </w:rPr>
        <w:t xml:space="preserve"> </w:t>
      </w:r>
      <w:r w:rsidR="006441C0" w:rsidRPr="00284E38">
        <w:rPr>
          <w:rFonts w:eastAsia="MS Mincho"/>
          <w:lang w:eastAsia="ja-JP"/>
        </w:rPr>
        <w:t xml:space="preserve">defined as software-based </w:t>
      </w:r>
      <w:r w:rsidR="0033118A" w:rsidRPr="00284E38">
        <w:rPr>
          <w:rFonts w:eastAsia="MS Mincho"/>
          <w:lang w:eastAsia="ja-JP"/>
        </w:rPr>
        <w:t>therapeutic activities</w:t>
      </w:r>
      <w:r w:rsidR="006441C0" w:rsidRPr="00284E38">
        <w:rPr>
          <w:rFonts w:eastAsia="MS Mincho"/>
          <w:lang w:eastAsia="ja-JP"/>
        </w:rPr>
        <w:t xml:space="preserve"> </w:t>
      </w:r>
      <w:r w:rsidR="0033118A" w:rsidRPr="00284E38">
        <w:rPr>
          <w:rFonts w:eastAsia="MS Mincho"/>
          <w:lang w:eastAsia="ja-JP"/>
        </w:rPr>
        <w:t>accessed</w:t>
      </w:r>
      <w:r w:rsidR="006441C0" w:rsidRPr="00284E38">
        <w:rPr>
          <w:rFonts w:eastAsia="MS Mincho"/>
          <w:lang w:eastAsia="ja-JP"/>
        </w:rPr>
        <w:t xml:space="preserve"> via</w:t>
      </w:r>
      <w:r w:rsidR="0033118A" w:rsidRPr="00284E38">
        <w:rPr>
          <w:rFonts w:eastAsia="MS Mincho"/>
          <w:lang w:eastAsia="ja-JP"/>
        </w:rPr>
        <w:t xml:space="preserve"> </w:t>
      </w:r>
      <w:r w:rsidR="006441C0" w:rsidRPr="00284E38">
        <w:rPr>
          <w:rFonts w:eastAsia="MS Mincho"/>
          <w:lang w:eastAsia="ja-JP"/>
        </w:rPr>
        <w:t>technology platforms, such as the internet, virtual reality (VR)</w:t>
      </w:r>
      <w:r w:rsidR="00602D59">
        <w:rPr>
          <w:rFonts w:eastAsia="MS Mincho"/>
          <w:lang w:eastAsia="ja-JP"/>
        </w:rPr>
        <w:t xml:space="preserve">, </w:t>
      </w:r>
      <w:r w:rsidR="006441C0" w:rsidRPr="00284E38">
        <w:rPr>
          <w:rFonts w:eastAsia="MS Mincho"/>
          <w:lang w:eastAsia="ja-JP"/>
        </w:rPr>
        <w:t>mobile phones</w:t>
      </w:r>
      <w:r w:rsidR="00602D59">
        <w:rPr>
          <w:rFonts w:eastAsia="MS Mincho"/>
          <w:lang w:eastAsia="ja-JP"/>
        </w:rPr>
        <w:t xml:space="preserve">. </w:t>
      </w:r>
      <w:r w:rsidR="00FA4544" w:rsidRPr="009C29FE">
        <w:rPr>
          <w:rFonts w:eastAsia="MS Mincho"/>
          <w:highlight w:val="yellow"/>
          <w:lang w:eastAsia="ja-JP"/>
        </w:rPr>
        <w:t>According to the World Health Organization (WHO), the term ‘digital intervention’ represents a discrete function of using technology to achieve health sector objectives (WHO, 2019). In the context of a specific condition, such as GAD, digital intervention (DIs) fulfil the discrete function of using software and digital media to deliver therapeutic activities that aim to improve symptoms associated with the condition</w:t>
      </w:r>
      <w:r w:rsidR="00F02DAD" w:rsidRPr="009C29FE">
        <w:rPr>
          <w:rFonts w:eastAsia="MS Mincho"/>
          <w:highlight w:val="yellow"/>
          <w:lang w:eastAsia="ja-JP"/>
        </w:rPr>
        <w:t xml:space="preserve"> in populations</w:t>
      </w:r>
      <w:r w:rsidR="00FA4544" w:rsidRPr="009C29FE">
        <w:rPr>
          <w:rFonts w:eastAsia="MS Mincho"/>
          <w:highlight w:val="yellow"/>
          <w:lang w:eastAsia="ja-JP"/>
        </w:rPr>
        <w:t>.</w:t>
      </w:r>
    </w:p>
    <w:p w14:paraId="4C989AA3" w14:textId="77777777" w:rsidR="00FA4544" w:rsidRDefault="00FA4544" w:rsidP="00C207A2">
      <w:pPr>
        <w:rPr>
          <w:rFonts w:eastAsia="MS Mincho"/>
          <w:lang w:eastAsia="ja-JP"/>
        </w:rPr>
      </w:pPr>
    </w:p>
    <w:p w14:paraId="5FE7A3FE" w14:textId="09D507CB" w:rsidR="00790284" w:rsidRDefault="00790284" w:rsidP="00C207A2">
      <w:pPr>
        <w:rPr>
          <w:rFonts w:eastAsia="MS Mincho"/>
          <w:lang w:eastAsia="ja-JP"/>
        </w:rPr>
      </w:pPr>
      <w:r w:rsidRPr="00790284">
        <w:rPr>
          <w:rFonts w:eastAsia="MS Mincho"/>
          <w:lang w:eastAsia="ja-JP"/>
        </w:rPr>
        <w:t xml:space="preserve">An example of a DI for GAD is a 10-week internet-based self-help programme consisting of psychoeducation (information about worry, stress and anxiety, including its risk factors and treatments), CBT (dealing with the purpose, meaning and content of worry, as well as modifying unhelpful responses to worry), relaxation (tensing then releasing body muscle groups and refocus attention away from worry) and physical activity (Christensen 2014a). Another example is a mobile app (Pham et al 2016) that teaches diaphragmatic breathing in a series of mini-games, from sailing a boat down a river to flying balloons into the sky.  </w:t>
      </w:r>
    </w:p>
    <w:p w14:paraId="0C6A4611" w14:textId="77777777" w:rsidR="00790284" w:rsidRDefault="00790284" w:rsidP="00C207A2">
      <w:pPr>
        <w:rPr>
          <w:rFonts w:eastAsia="MS Mincho"/>
          <w:lang w:eastAsia="ja-JP"/>
        </w:rPr>
      </w:pPr>
    </w:p>
    <w:p w14:paraId="55A13BDE" w14:textId="4BDFEF7A" w:rsidR="00853CD1" w:rsidRPr="00284E38" w:rsidRDefault="00853CD1" w:rsidP="00853CD1">
      <w:bookmarkStart w:id="1" w:name="_Hlk40703194"/>
      <w:r w:rsidRPr="00284E38">
        <w:t xml:space="preserve">Previous reviews </w:t>
      </w:r>
      <w:r w:rsidR="009207AE" w:rsidRPr="00284E38">
        <w:t>of the effectiveness of</w:t>
      </w:r>
      <w:r w:rsidRPr="00284E38">
        <w:t xml:space="preserve"> DIs </w:t>
      </w:r>
      <w:r w:rsidR="00E236B8" w:rsidRPr="00284E38">
        <w:t>for GAD</w:t>
      </w:r>
      <w:r w:rsidRPr="00284E38">
        <w:t xml:space="preserve"> </w:t>
      </w:r>
      <w:r w:rsidR="00D33460" w:rsidRPr="00284E38">
        <w:rPr>
          <w:noProof/>
        </w:rPr>
        <w:t>(</w:t>
      </w:r>
      <w:hyperlink w:anchor="_ENREF_14" w:tooltip="Cuijpers, 2014 #1013" w:history="1">
        <w:r w:rsidR="00D33460" w:rsidRPr="00284E38">
          <w:rPr>
            <w:noProof/>
          </w:rPr>
          <w:t>Cuijpers et al., 2014</w:t>
        </w:r>
      </w:hyperlink>
      <w:r w:rsidR="00D33460" w:rsidRPr="00284E38">
        <w:rPr>
          <w:noProof/>
        </w:rPr>
        <w:t xml:space="preserve">; </w:t>
      </w:r>
      <w:hyperlink w:anchor="_ENREF_50" w:tooltip="Richards, 2015 #1014" w:history="1">
        <w:r w:rsidR="00D33460" w:rsidRPr="00284E38">
          <w:rPr>
            <w:noProof/>
          </w:rPr>
          <w:t>Richards, Richardson, Timulak, &amp; McElvaney, 2015</w:t>
        </w:r>
      </w:hyperlink>
      <w:r w:rsidR="00D33460" w:rsidRPr="00284E38">
        <w:rPr>
          <w:noProof/>
        </w:rPr>
        <w:t>)</w:t>
      </w:r>
      <w:r w:rsidRPr="00284E38">
        <w:t xml:space="preserve"> included mixed populations of anxiety disorders and depression </w:t>
      </w:r>
      <w:r w:rsidR="00E236B8" w:rsidRPr="00284E38">
        <w:t>without</w:t>
      </w:r>
      <w:r w:rsidRPr="00284E38">
        <w:t xml:space="preserve"> report</w:t>
      </w:r>
      <w:r w:rsidR="00E236B8" w:rsidRPr="00284E38">
        <w:t xml:space="preserve">ing </w:t>
      </w:r>
      <w:r w:rsidRPr="00284E38">
        <w:t>outcomes separately for GAD subgroups within the</w:t>
      </w:r>
      <w:r w:rsidR="001771AA" w:rsidRPr="00284E38">
        <w:t>se</w:t>
      </w:r>
      <w:r w:rsidRPr="00284E38">
        <w:t xml:space="preserve"> mixed samples. Reporting a disorder-specific outcome for mixed samples can be misleading because it implies that</w:t>
      </w:r>
      <w:r w:rsidR="001771AA" w:rsidRPr="00284E38">
        <w:t>,</w:t>
      </w:r>
      <w:r w:rsidRPr="00284E38">
        <w:t xml:space="preserve"> if an intervention works for the mixed sample, it will also work for each of its constituent populations. </w:t>
      </w:r>
      <w:r w:rsidR="00D70356" w:rsidRPr="00284E38">
        <w:t>Studies reporting findings from m</w:t>
      </w:r>
      <w:r w:rsidRPr="00284E38">
        <w:t xml:space="preserve">ixed samples do not answer the question of whether </w:t>
      </w:r>
      <w:r w:rsidR="006013A2" w:rsidRPr="00284E38">
        <w:t>DIs are</w:t>
      </w:r>
      <w:r w:rsidRPr="00284E38">
        <w:t xml:space="preserve"> effective for GAD </w:t>
      </w:r>
      <w:r w:rsidR="006013A2" w:rsidRPr="00284E38">
        <w:t xml:space="preserve">to inform </w:t>
      </w:r>
      <w:r w:rsidR="00D27725" w:rsidRPr="00284E38">
        <w:t>disorder</w:t>
      </w:r>
      <w:r w:rsidRPr="00284E38">
        <w:t xml:space="preserve">-specific clinical guidelines. To achieve this, </w:t>
      </w:r>
      <w:r w:rsidR="00964471" w:rsidRPr="00284E38">
        <w:t xml:space="preserve">and while preserving the benefits of randomisation, </w:t>
      </w:r>
      <w:r w:rsidRPr="00284E38">
        <w:t xml:space="preserve">we need to analyse </w:t>
      </w:r>
      <w:r w:rsidR="006A114A" w:rsidRPr="00284E38">
        <w:t xml:space="preserve">GAD </w:t>
      </w:r>
      <w:r w:rsidRPr="00284E38">
        <w:t xml:space="preserve">outcomes </w:t>
      </w:r>
      <w:r w:rsidR="006013A2" w:rsidRPr="00284E38">
        <w:t xml:space="preserve">reported </w:t>
      </w:r>
      <w:r w:rsidRPr="00284E38">
        <w:t>separately for GAD populations and GAD sub-</w:t>
      </w:r>
      <w:r w:rsidR="002C192D" w:rsidRPr="00284E38">
        <w:t>samples</w:t>
      </w:r>
      <w:r w:rsidRPr="00284E38">
        <w:t xml:space="preserve"> within mixed populations.</w:t>
      </w:r>
    </w:p>
    <w:bookmarkEnd w:id="1"/>
    <w:p w14:paraId="7ECED54A" w14:textId="77777777" w:rsidR="00853CD1" w:rsidRPr="00284E38" w:rsidRDefault="00853CD1" w:rsidP="00C207A2">
      <w:pPr>
        <w:rPr>
          <w:rFonts w:eastAsia="MS Mincho"/>
          <w:b/>
          <w:lang w:eastAsia="ja-JP"/>
        </w:rPr>
      </w:pPr>
    </w:p>
    <w:p w14:paraId="44C39324" w14:textId="72E33217" w:rsidR="00885D45" w:rsidRPr="00284E38" w:rsidRDefault="00885D45" w:rsidP="00E154E0"/>
    <w:p w14:paraId="01D6540F" w14:textId="2E19F04A" w:rsidR="00F22BD9" w:rsidRPr="00284E38" w:rsidRDefault="00F22BD9" w:rsidP="00E154E0"/>
    <w:p w14:paraId="2E42459D" w14:textId="6070E769" w:rsidR="000412FF" w:rsidRPr="00284E38" w:rsidRDefault="00C4044D" w:rsidP="00E154E0">
      <w:r w:rsidRPr="00284E38">
        <w:t xml:space="preserve">This </w:t>
      </w:r>
      <w:r w:rsidR="00BE570A" w:rsidRPr="00284E38">
        <w:t xml:space="preserve">paper reports </w:t>
      </w:r>
      <w:r w:rsidR="00F22BD9" w:rsidRPr="00284E38">
        <w:t>a</w:t>
      </w:r>
      <w:r w:rsidRPr="00284E38">
        <w:t xml:space="preserve"> systematic review </w:t>
      </w:r>
      <w:r w:rsidR="00762725" w:rsidRPr="00284E38">
        <w:t xml:space="preserve">and quantitative synthesis </w:t>
      </w:r>
      <w:r w:rsidRPr="00284E38">
        <w:t xml:space="preserve">of RCTs </w:t>
      </w:r>
      <w:r w:rsidR="00C634AE" w:rsidRPr="00284E38">
        <w:t>compar</w:t>
      </w:r>
      <w:r w:rsidR="00BE570A" w:rsidRPr="00284E38">
        <w:t>ing</w:t>
      </w:r>
      <w:r w:rsidR="00C634AE" w:rsidRPr="00284E38">
        <w:t xml:space="preserve"> </w:t>
      </w:r>
      <w:r w:rsidR="00487098" w:rsidRPr="00284E38">
        <w:t>DIs</w:t>
      </w:r>
      <w:r w:rsidR="004D3EA6" w:rsidRPr="00284E38">
        <w:t xml:space="preserve"> with other interventions</w:t>
      </w:r>
      <w:r w:rsidR="00D70356" w:rsidRPr="00284E38">
        <w:t>,</w:t>
      </w:r>
      <w:r w:rsidR="004D3EA6" w:rsidRPr="00284E38">
        <w:t xml:space="preserve"> </w:t>
      </w:r>
      <w:r w:rsidR="00D70356" w:rsidRPr="00284E38">
        <w:t>non-therapeutic</w:t>
      </w:r>
      <w:r w:rsidR="004D3EA6" w:rsidRPr="00284E38">
        <w:t xml:space="preserve"> control</w:t>
      </w:r>
      <w:r w:rsidR="00D70356" w:rsidRPr="00284E38">
        <w:t xml:space="preserve"> arm</w:t>
      </w:r>
      <w:r w:rsidR="004D3EA6" w:rsidRPr="00284E38">
        <w:t>s</w:t>
      </w:r>
      <w:r w:rsidR="00487098" w:rsidRPr="00284E38">
        <w:t xml:space="preserve"> </w:t>
      </w:r>
      <w:r w:rsidR="00D70356" w:rsidRPr="00284E38">
        <w:t xml:space="preserve">and no intervention </w:t>
      </w:r>
      <w:r w:rsidR="001B21C2" w:rsidRPr="00284E38">
        <w:t xml:space="preserve">for </w:t>
      </w:r>
      <w:r w:rsidR="00F413F7" w:rsidRPr="00284E38">
        <w:t xml:space="preserve">GAD </w:t>
      </w:r>
      <w:r w:rsidR="001B21C2" w:rsidRPr="00284E38">
        <w:t xml:space="preserve">populations </w:t>
      </w:r>
      <w:r w:rsidR="00D70356" w:rsidRPr="00284E38">
        <w:t xml:space="preserve">with </w:t>
      </w:r>
      <w:r w:rsidR="00F413F7" w:rsidRPr="00284E38">
        <w:t xml:space="preserve">varying </w:t>
      </w:r>
      <w:r w:rsidR="00D70356" w:rsidRPr="00284E38">
        <w:t xml:space="preserve">levels of illness </w:t>
      </w:r>
      <w:r w:rsidR="00F413F7" w:rsidRPr="00284E38">
        <w:t xml:space="preserve">severity (sub-threshold, </w:t>
      </w:r>
      <w:r w:rsidR="001B21C2" w:rsidRPr="00284E38">
        <w:t>mild</w:t>
      </w:r>
      <w:r w:rsidR="00F413F7" w:rsidRPr="00284E38">
        <w:t xml:space="preserve">, moderate, </w:t>
      </w:r>
      <w:r w:rsidR="001B21C2" w:rsidRPr="00284E38">
        <w:t>severe</w:t>
      </w:r>
      <w:r w:rsidR="00F413F7" w:rsidRPr="00284E38">
        <w:t>)</w:t>
      </w:r>
      <w:r w:rsidR="001B21C2" w:rsidRPr="00284E38">
        <w:t>.</w:t>
      </w:r>
      <w:r w:rsidRPr="00284E38">
        <w:t xml:space="preserve"> </w:t>
      </w:r>
      <w:r w:rsidR="00D70356" w:rsidRPr="00284E38">
        <w:t>The review had</w:t>
      </w:r>
      <w:r w:rsidR="00773E83" w:rsidRPr="00284E38">
        <w:t xml:space="preserve"> </w:t>
      </w:r>
      <w:r w:rsidR="001F38F2" w:rsidRPr="00284E38">
        <w:t>four</w:t>
      </w:r>
      <w:r w:rsidR="00773E83" w:rsidRPr="00284E38">
        <w:t xml:space="preserve"> objectives</w:t>
      </w:r>
      <w:r w:rsidR="000412FF" w:rsidRPr="00284E38">
        <w:t xml:space="preserve">: </w:t>
      </w:r>
    </w:p>
    <w:p w14:paraId="3FC67330" w14:textId="3105FEC3" w:rsidR="000412FF" w:rsidRPr="00284E38" w:rsidRDefault="000412FF" w:rsidP="000955C4">
      <w:pPr>
        <w:pStyle w:val="ListParagraph"/>
        <w:numPr>
          <w:ilvl w:val="0"/>
          <w:numId w:val="15"/>
        </w:numPr>
        <w:ind w:left="426" w:hanging="284"/>
      </w:pPr>
      <w:r w:rsidRPr="00284E38">
        <w:t>C</w:t>
      </w:r>
      <w:r w:rsidR="00773E83" w:rsidRPr="00284E38">
        <w:t>ategorise</w:t>
      </w:r>
      <w:r w:rsidR="00A8068E" w:rsidRPr="00284E38">
        <w:t xml:space="preserve"> </w:t>
      </w:r>
      <w:r w:rsidR="00732D1D" w:rsidRPr="00284E38">
        <w:t xml:space="preserve">the </w:t>
      </w:r>
      <w:r w:rsidR="00773E83" w:rsidRPr="00284E38">
        <w:t xml:space="preserve">DIs and </w:t>
      </w:r>
      <w:r w:rsidR="00F413F7" w:rsidRPr="00284E38">
        <w:t>comparator</w:t>
      </w:r>
      <w:r w:rsidR="00D70356" w:rsidRPr="00284E38">
        <w:t xml:space="preserve"> arm</w:t>
      </w:r>
      <w:r w:rsidR="00F413F7" w:rsidRPr="00284E38">
        <w:t>s</w:t>
      </w:r>
      <w:r w:rsidRPr="00284E38">
        <w:t xml:space="preserve"> </w:t>
      </w:r>
      <w:r w:rsidR="00773E83" w:rsidRPr="00284E38">
        <w:t>into</w:t>
      </w:r>
      <w:r w:rsidR="00F413F7" w:rsidRPr="00284E38">
        <w:t xml:space="preserve"> </w:t>
      </w:r>
      <w:r w:rsidR="00773E83" w:rsidRPr="00284E38">
        <w:t>groups</w:t>
      </w:r>
      <w:r w:rsidR="00F413F7" w:rsidRPr="00284E38">
        <w:t xml:space="preserve"> that c</w:t>
      </w:r>
      <w:r w:rsidR="00D70356" w:rsidRPr="00284E38">
        <w:t>ould</w:t>
      </w:r>
      <w:r w:rsidR="00F413F7" w:rsidRPr="00284E38">
        <w:t xml:space="preserve"> be pooled toge</w:t>
      </w:r>
      <w:r w:rsidR="004D3EA6" w:rsidRPr="00284E38">
        <w:t>ther</w:t>
      </w:r>
      <w:r w:rsidR="00773E83" w:rsidRPr="00284E38">
        <w:t xml:space="preserve">. </w:t>
      </w:r>
    </w:p>
    <w:p w14:paraId="54529365" w14:textId="220B7744" w:rsidR="000412FF" w:rsidRPr="00284E38" w:rsidRDefault="000412FF" w:rsidP="000955C4">
      <w:pPr>
        <w:pStyle w:val="ListParagraph"/>
        <w:numPr>
          <w:ilvl w:val="0"/>
          <w:numId w:val="15"/>
        </w:numPr>
        <w:ind w:left="426" w:hanging="284"/>
      </w:pPr>
      <w:r w:rsidRPr="00284E38">
        <w:t>C</w:t>
      </w:r>
      <w:r w:rsidR="0060733C" w:rsidRPr="00284E38">
        <w:t>ompare</w:t>
      </w:r>
      <w:r w:rsidR="002D0A1E" w:rsidRPr="00284E38">
        <w:t xml:space="preserve"> </w:t>
      </w:r>
      <w:r w:rsidR="0060733C" w:rsidRPr="00284E38">
        <w:t>the pooled outcomes of</w:t>
      </w:r>
      <w:r w:rsidR="00773E83" w:rsidRPr="00284E38">
        <w:t xml:space="preserve"> </w:t>
      </w:r>
      <w:r w:rsidR="002D0A1E" w:rsidRPr="00284E38">
        <w:t>DIs</w:t>
      </w:r>
      <w:r w:rsidR="00487098" w:rsidRPr="00284E38">
        <w:t xml:space="preserve"> </w:t>
      </w:r>
      <w:r w:rsidR="0060733C" w:rsidRPr="00284E38">
        <w:t xml:space="preserve">with </w:t>
      </w:r>
      <w:r w:rsidR="00781B8F" w:rsidRPr="00284E38">
        <w:t xml:space="preserve">the </w:t>
      </w:r>
      <w:r w:rsidR="0060733C" w:rsidRPr="00284E38">
        <w:t xml:space="preserve">pooled outcomes </w:t>
      </w:r>
      <w:r w:rsidR="004D3EA6" w:rsidRPr="00284E38">
        <w:t>of non-digital interventions, medication, non-therapeutic controls and no intervention</w:t>
      </w:r>
      <w:r w:rsidR="00D70356" w:rsidRPr="00284E38">
        <w:t xml:space="preserve"> for GAD symptoms</w:t>
      </w:r>
      <w:r w:rsidR="004D3EA6" w:rsidRPr="00284E38">
        <w:t>.</w:t>
      </w:r>
      <w:r w:rsidR="002F51DB" w:rsidRPr="00284E38">
        <w:t xml:space="preserve"> </w:t>
      </w:r>
    </w:p>
    <w:p w14:paraId="37C05D33" w14:textId="2CEB41CC" w:rsidR="000412FF" w:rsidRPr="00284E38" w:rsidRDefault="000412FF" w:rsidP="000955C4">
      <w:pPr>
        <w:pStyle w:val="ListParagraph"/>
        <w:numPr>
          <w:ilvl w:val="0"/>
          <w:numId w:val="15"/>
        </w:numPr>
        <w:ind w:left="426" w:hanging="284"/>
      </w:pPr>
      <w:r w:rsidRPr="00284E38">
        <w:t>C</w:t>
      </w:r>
      <w:r w:rsidR="003F2A18" w:rsidRPr="00284E38">
        <w:t xml:space="preserve">ompare the pooled outcomes of </w:t>
      </w:r>
      <w:r w:rsidR="004D3EA6" w:rsidRPr="00284E38">
        <w:t xml:space="preserve">different types of </w:t>
      </w:r>
      <w:r w:rsidR="00773E83" w:rsidRPr="00284E38">
        <w:t>DIs</w:t>
      </w:r>
      <w:r w:rsidR="003F2A18" w:rsidRPr="00284E38">
        <w:t xml:space="preserve">. </w:t>
      </w:r>
    </w:p>
    <w:p w14:paraId="4B1F5B8F" w14:textId="24F58D6C" w:rsidR="003F2A18" w:rsidRPr="00284E38" w:rsidRDefault="000412FF" w:rsidP="000955C4">
      <w:pPr>
        <w:pStyle w:val="ListParagraph"/>
        <w:numPr>
          <w:ilvl w:val="0"/>
          <w:numId w:val="15"/>
        </w:numPr>
        <w:ind w:left="426" w:hanging="284"/>
      </w:pPr>
      <w:r w:rsidRPr="00284E38">
        <w:t>I</w:t>
      </w:r>
      <w:r w:rsidR="001F38F2" w:rsidRPr="00284E38">
        <w:t xml:space="preserve">dentify </w:t>
      </w:r>
      <w:r w:rsidR="00E947FE" w:rsidRPr="00284E38">
        <w:t>limitations</w:t>
      </w:r>
      <w:r w:rsidR="00ED26BB" w:rsidRPr="00284E38">
        <w:t xml:space="preserve"> and gaps</w:t>
      </w:r>
      <w:r w:rsidR="001F38F2" w:rsidRPr="00284E38">
        <w:t xml:space="preserve"> in </w:t>
      </w:r>
      <w:r w:rsidR="00AC4ED1" w:rsidRPr="00284E38">
        <w:t>the existing</w:t>
      </w:r>
      <w:r w:rsidR="006B19A9" w:rsidRPr="00284E38">
        <w:t xml:space="preserve"> </w:t>
      </w:r>
      <w:r w:rsidR="004C037B" w:rsidRPr="00284E38">
        <w:t>research</w:t>
      </w:r>
      <w:r w:rsidR="00AC4ED1" w:rsidRPr="00284E38">
        <w:t xml:space="preserve"> </w:t>
      </w:r>
      <w:r w:rsidR="006B19A9" w:rsidRPr="00284E38">
        <w:t>on</w:t>
      </w:r>
      <w:r w:rsidR="001F38F2" w:rsidRPr="00284E38">
        <w:t xml:space="preserve"> DIs for GAD.</w:t>
      </w:r>
    </w:p>
    <w:p w14:paraId="5F13809B" w14:textId="77777777" w:rsidR="001F4CA2" w:rsidRPr="00284E38" w:rsidRDefault="001F4CA2" w:rsidP="001F4CA2"/>
    <w:p w14:paraId="14C562C0" w14:textId="3935085A" w:rsidR="003F2A18" w:rsidRPr="00284E38" w:rsidRDefault="001F4CA2" w:rsidP="001F4CA2">
      <w:r w:rsidRPr="00284E38">
        <w:t xml:space="preserve">After describing the </w:t>
      </w:r>
      <w:r w:rsidR="004E161F" w:rsidRPr="00284E38">
        <w:t xml:space="preserve">review, the classification and synthesis </w:t>
      </w:r>
      <w:r w:rsidRPr="00284E38">
        <w:t xml:space="preserve">methodology in Section 2, Section 3 </w:t>
      </w:r>
      <w:r w:rsidR="00A6208F">
        <w:t xml:space="preserve">of the paper </w:t>
      </w:r>
      <w:r w:rsidR="004E161F" w:rsidRPr="00284E38">
        <w:t xml:space="preserve">goes through the characteristics of the evidence base and synthesis results. Section 4 </w:t>
      </w:r>
      <w:r w:rsidRPr="00284E38">
        <w:t>discuss</w:t>
      </w:r>
      <w:r w:rsidR="004E161F" w:rsidRPr="00284E38">
        <w:t>es</w:t>
      </w:r>
      <w:r w:rsidRPr="00284E38">
        <w:t xml:space="preserve"> the </w:t>
      </w:r>
      <w:r w:rsidR="004E161F" w:rsidRPr="00284E38">
        <w:t>findings, followed by concluding remarks in Section 5</w:t>
      </w:r>
      <w:r w:rsidRPr="00284E38">
        <w:t>.</w:t>
      </w:r>
    </w:p>
    <w:p w14:paraId="20F2FCB9" w14:textId="77777777" w:rsidR="001F4CA2" w:rsidRPr="00284E38" w:rsidRDefault="001F4CA2" w:rsidP="001F4CA2"/>
    <w:p w14:paraId="39FC99C6" w14:textId="6260847A" w:rsidR="00F34CF6" w:rsidRPr="00284E38" w:rsidRDefault="00F34CF6" w:rsidP="00E154E0"/>
    <w:p w14:paraId="706C1113" w14:textId="15F2F523" w:rsidR="009B59AD" w:rsidRPr="00BB20B3" w:rsidRDefault="00DE1A9F" w:rsidP="009B59AD">
      <w:pPr>
        <w:pStyle w:val="Heading1"/>
        <w:numPr>
          <w:ilvl w:val="0"/>
          <w:numId w:val="4"/>
        </w:numPr>
        <w:spacing w:before="0"/>
        <w:ind w:left="284" w:hanging="284"/>
        <w:rPr>
          <w:rFonts w:eastAsia="MS Mincho"/>
        </w:rPr>
      </w:pPr>
      <w:r w:rsidRPr="00284E38">
        <w:rPr>
          <w:rFonts w:eastAsia="MS Mincho"/>
          <w:sz w:val="24"/>
          <w:szCs w:val="24"/>
          <w:lang w:eastAsia="ja-JP"/>
        </w:rPr>
        <w:t>METHODS</w:t>
      </w:r>
    </w:p>
    <w:p w14:paraId="1904A5DF" w14:textId="77777777" w:rsidR="00F22BD9" w:rsidRPr="00284E38" w:rsidRDefault="00F22BD9" w:rsidP="00E154E0">
      <w:pPr>
        <w:rPr>
          <w:b/>
          <w:i/>
        </w:rPr>
      </w:pPr>
    </w:p>
    <w:p w14:paraId="2EDDC446" w14:textId="60852D06" w:rsidR="00762725" w:rsidRPr="00284E38" w:rsidRDefault="00762725" w:rsidP="00E154E0">
      <w:pPr>
        <w:rPr>
          <w:b/>
          <w:iCs/>
        </w:rPr>
      </w:pPr>
      <w:r w:rsidRPr="00284E38">
        <w:rPr>
          <w:b/>
          <w:iCs/>
        </w:rPr>
        <w:t>2.1. Protocol</w:t>
      </w:r>
    </w:p>
    <w:p w14:paraId="4E349741" w14:textId="77777777" w:rsidR="005F413C" w:rsidRPr="00284E38" w:rsidRDefault="005F413C" w:rsidP="00792858"/>
    <w:p w14:paraId="40A6EBCA" w14:textId="378D9908" w:rsidR="00792858" w:rsidRPr="00284E38" w:rsidRDefault="00792858" w:rsidP="00792858">
      <w:r w:rsidRPr="00284E38">
        <w:t xml:space="preserve">The protocol for the review </w:t>
      </w:r>
      <w:r w:rsidR="00D70356" w:rsidRPr="00284E38">
        <w:t>was</w:t>
      </w:r>
      <w:r w:rsidRPr="00284E38">
        <w:t xml:space="preserve"> registered with PROSPERO 2018 CRD42018105837 as part of a larger piece of work that investigated the costs and outcomes of digital interventions for mental health, funded by the UK’s National Institute for Health Research (NIHR). The review </w:t>
      </w:r>
      <w:r w:rsidR="00F413F7" w:rsidRPr="00284E38">
        <w:t xml:space="preserve">has been conducted and </w:t>
      </w:r>
      <w:r w:rsidRPr="00284E38">
        <w:t xml:space="preserve">reported as recommended by the Preferred Reporting Items for Systematic Reviews and Meta-Analyses (PRISMA) extension statement for network meta-analysis </w:t>
      </w:r>
      <w:r w:rsidRPr="00284E38">
        <w:rPr>
          <w:noProof/>
        </w:rPr>
        <w:t>(</w:t>
      </w:r>
      <w:hyperlink w:anchor="_ENREF_42" w:tooltip="Moher, 2009 #1015" w:history="1">
        <w:r w:rsidRPr="00284E38">
          <w:rPr>
            <w:noProof/>
          </w:rPr>
          <w:t>Moher, Liberati, Tetzlaff, &amp; Altman, 2009</w:t>
        </w:r>
      </w:hyperlink>
      <w:r w:rsidRPr="00284E38">
        <w:rPr>
          <w:noProof/>
        </w:rPr>
        <w:t>)</w:t>
      </w:r>
      <w:r w:rsidRPr="00284E38">
        <w:t>.</w:t>
      </w:r>
    </w:p>
    <w:p w14:paraId="701D2501" w14:textId="77777777" w:rsidR="00792858" w:rsidRPr="00284E38" w:rsidRDefault="00792858" w:rsidP="00E154E0">
      <w:pPr>
        <w:rPr>
          <w:b/>
          <w:iCs/>
        </w:rPr>
      </w:pPr>
    </w:p>
    <w:p w14:paraId="7370678B" w14:textId="3290A626" w:rsidR="003F5D9D" w:rsidRPr="00284E38" w:rsidRDefault="00F22BD9" w:rsidP="00E154E0">
      <w:pPr>
        <w:rPr>
          <w:b/>
          <w:iCs/>
        </w:rPr>
      </w:pPr>
      <w:r w:rsidRPr="00284E38">
        <w:rPr>
          <w:b/>
          <w:iCs/>
        </w:rPr>
        <w:t>2.</w:t>
      </w:r>
      <w:r w:rsidR="005F413C" w:rsidRPr="00284E38">
        <w:rPr>
          <w:b/>
          <w:iCs/>
        </w:rPr>
        <w:t>2</w:t>
      </w:r>
      <w:r w:rsidRPr="00284E38">
        <w:rPr>
          <w:b/>
          <w:iCs/>
        </w:rPr>
        <w:t xml:space="preserve">. </w:t>
      </w:r>
      <w:r w:rsidR="00E9326D" w:rsidRPr="00284E38">
        <w:rPr>
          <w:b/>
          <w:iCs/>
        </w:rPr>
        <w:t>Search Strategy</w:t>
      </w:r>
    </w:p>
    <w:p w14:paraId="35030299" w14:textId="77777777" w:rsidR="00F22BD9" w:rsidRPr="00284E38" w:rsidRDefault="00F22BD9" w:rsidP="00E154E0">
      <w:pPr>
        <w:rPr>
          <w:iCs/>
        </w:rPr>
      </w:pPr>
    </w:p>
    <w:p w14:paraId="35E79E95" w14:textId="49A5ADD0" w:rsidR="00650D68" w:rsidRPr="00284E38" w:rsidRDefault="00E9326D" w:rsidP="00E154E0">
      <w:r w:rsidRPr="00284E38">
        <w:t>In December 2018, the following databases were searc</w:t>
      </w:r>
      <w:r w:rsidR="00AF0407" w:rsidRPr="00284E38">
        <w:t xml:space="preserve">hed to identify published and </w:t>
      </w:r>
      <w:r w:rsidR="009C7179" w:rsidRPr="00284E38">
        <w:t>un</w:t>
      </w:r>
      <w:r w:rsidRPr="00284E38">
        <w:t>p</w:t>
      </w:r>
      <w:r w:rsidR="00AF0407" w:rsidRPr="00284E38">
        <w:t>ublished studies</w:t>
      </w:r>
      <w:r w:rsidRPr="00284E38">
        <w:t xml:space="preserve">: MEDLINE, PsycINFO, Cochrane Central Register of Controlled Trials (CENTRAL), Cochrane Database of Systematic Reviews (CDSR), Cumulative Index to Nursing &amp; Allied Health (CINAHL Plus), Database of Abstracts of Reviews of Effects (DARE), EMBASE, Web of Science Core Collection, NHS Economic Evaluation Database (NHS EED); Database of promoting health effectiveness reviews (DoPHER) and Proquest. </w:t>
      </w:r>
    </w:p>
    <w:p w14:paraId="69631750" w14:textId="77777777" w:rsidR="00F22BD9" w:rsidRPr="00284E38" w:rsidRDefault="00F22BD9" w:rsidP="00E154E0"/>
    <w:p w14:paraId="79EAF6A1" w14:textId="6C08CFC1" w:rsidR="000C5512" w:rsidRPr="00284E38" w:rsidRDefault="00E9326D" w:rsidP="00E154E0">
      <w:r w:rsidRPr="00284E38">
        <w:t xml:space="preserve">We also searched two clinical trial registries </w:t>
      </w:r>
      <w:r w:rsidR="00D70356" w:rsidRPr="00284E38">
        <w:t xml:space="preserve">and other resources </w:t>
      </w:r>
      <w:r w:rsidRPr="00284E38">
        <w:t xml:space="preserve">for ongoing studies: ClinicalTrials.gov and the WHO International Clinical Trials Registry Platform portal, </w:t>
      </w:r>
      <w:r w:rsidR="00D70356" w:rsidRPr="00284E38">
        <w:t>as well as</w:t>
      </w:r>
      <w:r w:rsidRPr="00284E38">
        <w:t xml:space="preserve"> the NIHR portfolio</w:t>
      </w:r>
      <w:r w:rsidR="00D70356" w:rsidRPr="00284E38">
        <w:t xml:space="preserve"> of studies</w:t>
      </w:r>
      <w:r w:rsidR="00715539">
        <w:t>.</w:t>
      </w:r>
      <w:r w:rsidRPr="00284E38">
        <w:t xml:space="preserve"> </w:t>
      </w:r>
      <w:r w:rsidR="00715539">
        <w:t>W</w:t>
      </w:r>
      <w:r w:rsidRPr="00284E38">
        <w:t xml:space="preserve">eb searches </w:t>
      </w:r>
      <w:r w:rsidR="00715539">
        <w:t xml:space="preserve">were conducted </w:t>
      </w:r>
      <w:r w:rsidRPr="00284E38">
        <w:t xml:space="preserve">using Google and Google Scholar </w:t>
      </w:r>
      <w:r w:rsidR="00715539">
        <w:t>making use of</w:t>
      </w:r>
      <w:r w:rsidR="00715539" w:rsidRPr="00284E38">
        <w:t xml:space="preserve"> </w:t>
      </w:r>
      <w:r w:rsidRPr="00284E38">
        <w:t>simplified search term</w:t>
      </w:r>
      <w:r w:rsidR="00650D68" w:rsidRPr="00284E38">
        <w:t>s. After searches were complete</w:t>
      </w:r>
      <w:r w:rsidR="00D70356" w:rsidRPr="00284E38">
        <w:t>,</w:t>
      </w:r>
      <w:r w:rsidRPr="00284E38">
        <w:t xml:space="preserve"> </w:t>
      </w:r>
      <w:r w:rsidR="00650D68" w:rsidRPr="00284E38">
        <w:t>supplementary searches</w:t>
      </w:r>
      <w:r w:rsidR="007737A7" w:rsidRPr="00284E38">
        <w:t xml:space="preserve"> were conducted</w:t>
      </w:r>
      <w:r w:rsidR="00A15D65" w:rsidRPr="00284E38">
        <w:t>, including reference lists of included studies and forward citation search</w:t>
      </w:r>
      <w:r w:rsidR="00B433F7">
        <w:t>es</w:t>
      </w:r>
      <w:r w:rsidR="00A15D65" w:rsidRPr="00284E38">
        <w:t>.</w:t>
      </w:r>
      <w:r w:rsidRPr="00284E38">
        <w:t xml:space="preserve"> </w:t>
      </w:r>
      <w:r w:rsidR="007737A7" w:rsidRPr="00284E38">
        <w:t>Finally, we contacted the authors of included studies for information on any other work in the field they were aware of.</w:t>
      </w:r>
      <w:r w:rsidR="00A15D65" w:rsidRPr="00284E38">
        <w:t xml:space="preserve"> </w:t>
      </w:r>
      <w:r w:rsidR="00650D68" w:rsidRPr="00284E38">
        <w:t xml:space="preserve">The searches were </w:t>
      </w:r>
      <w:r w:rsidR="00D70356" w:rsidRPr="00284E38">
        <w:t xml:space="preserve">undertaken for studies </w:t>
      </w:r>
      <w:r w:rsidR="00650D68" w:rsidRPr="00284E38">
        <w:t xml:space="preserve">conducted </w:t>
      </w:r>
      <w:r w:rsidR="00D70356" w:rsidRPr="00284E38">
        <w:t>since</w:t>
      </w:r>
      <w:r w:rsidR="00650D68" w:rsidRPr="00284E38">
        <w:t xml:space="preserve"> 1997</w:t>
      </w:r>
      <w:r w:rsidR="00A15D65" w:rsidRPr="00284E38">
        <w:t xml:space="preserve"> and</w:t>
      </w:r>
      <w:r w:rsidR="00650D68" w:rsidRPr="00284E38">
        <w:t xml:space="preserve"> restricted to those written in English. </w:t>
      </w:r>
    </w:p>
    <w:p w14:paraId="3349B766" w14:textId="77777777" w:rsidR="000C5512" w:rsidRPr="00284E38" w:rsidRDefault="000C5512" w:rsidP="00E154E0"/>
    <w:p w14:paraId="4E7DCAE9" w14:textId="7FA047D5" w:rsidR="00E9326D" w:rsidRPr="00284E38" w:rsidRDefault="00AF0407" w:rsidP="00E154E0">
      <w:r w:rsidRPr="00284E38">
        <w:t>In June 20</w:t>
      </w:r>
      <w:r w:rsidR="003820F8" w:rsidRPr="00284E38">
        <w:t>19</w:t>
      </w:r>
      <w:r w:rsidRPr="00284E38">
        <w:t>, t</w:t>
      </w:r>
      <w:r w:rsidR="00E9326D" w:rsidRPr="00284E38">
        <w:t xml:space="preserve">he searches were updated and widened to include terms based on unspecified Anxiety Disorders. </w:t>
      </w:r>
      <w:r w:rsidR="00715539">
        <w:t>A</w:t>
      </w:r>
      <w:r w:rsidR="00E9326D" w:rsidRPr="00284E38">
        <w:t xml:space="preserve">n additional pilot search </w:t>
      </w:r>
      <w:r w:rsidR="00715539">
        <w:t xml:space="preserve">was conducted on </w:t>
      </w:r>
      <w:r w:rsidR="00715539" w:rsidRPr="00284E38">
        <w:t xml:space="preserve">Cochrane Library and PsycINFO databases </w:t>
      </w:r>
      <w:r w:rsidR="00E9326D" w:rsidRPr="00284E38">
        <w:t>using terms based on “wo</w:t>
      </w:r>
      <w:r w:rsidRPr="00284E38">
        <w:t>rry” and “anxiety prevention”</w:t>
      </w:r>
      <w:r w:rsidR="00715539">
        <w:t>.</w:t>
      </w:r>
      <w:r w:rsidR="00E9326D" w:rsidRPr="00284E38">
        <w:t xml:space="preserve"> </w:t>
      </w:r>
      <w:r w:rsidR="00715539">
        <w:t>This</w:t>
      </w:r>
      <w:r w:rsidR="00E9326D" w:rsidRPr="00284E38">
        <w:t xml:space="preserve"> ensure</w:t>
      </w:r>
      <w:r w:rsidR="00715539">
        <w:t>d that</w:t>
      </w:r>
      <w:r w:rsidR="00E9326D" w:rsidRPr="00284E38">
        <w:t xml:space="preserve"> no articles were missed. </w:t>
      </w:r>
      <w:r w:rsidR="00715539">
        <w:t>N</w:t>
      </w:r>
      <w:r w:rsidR="00E9326D" w:rsidRPr="00284E38">
        <w:t xml:space="preserve">o new included articles emerged from </w:t>
      </w:r>
      <w:r w:rsidR="00715539" w:rsidRPr="00284E38">
        <w:t>th</w:t>
      </w:r>
      <w:r w:rsidR="00715539">
        <w:t>e</w:t>
      </w:r>
      <w:r w:rsidR="00715539" w:rsidRPr="00284E38">
        <w:t xml:space="preserve"> </w:t>
      </w:r>
      <w:r w:rsidR="00E9326D" w:rsidRPr="00284E38">
        <w:t xml:space="preserve">pilot search, </w:t>
      </w:r>
      <w:r w:rsidR="00715539">
        <w:t>and</w:t>
      </w:r>
      <w:r w:rsidR="00715539" w:rsidRPr="00284E38">
        <w:t xml:space="preserve"> </w:t>
      </w:r>
      <w:r w:rsidR="00715539">
        <w:t xml:space="preserve">it </w:t>
      </w:r>
      <w:r w:rsidR="00E9326D" w:rsidRPr="00284E38">
        <w:t xml:space="preserve">was not deemed necessary to expand </w:t>
      </w:r>
      <w:r w:rsidR="00715539">
        <w:t>it</w:t>
      </w:r>
      <w:r w:rsidR="00715539" w:rsidRPr="00284E38">
        <w:t xml:space="preserve"> </w:t>
      </w:r>
      <w:r w:rsidR="00E9326D" w:rsidRPr="00284E38">
        <w:t xml:space="preserve">to all </w:t>
      </w:r>
      <w:r w:rsidR="00715539">
        <w:t>remaining</w:t>
      </w:r>
      <w:r w:rsidR="00715539" w:rsidRPr="00284E38">
        <w:t xml:space="preserve"> </w:t>
      </w:r>
      <w:r w:rsidR="00E9326D" w:rsidRPr="00284E38">
        <w:t xml:space="preserve">databases. </w:t>
      </w:r>
      <w:r w:rsidR="0033000C" w:rsidRPr="00284E38">
        <w:t>The</w:t>
      </w:r>
      <w:r w:rsidR="00A02BDF" w:rsidRPr="00284E38">
        <w:t xml:space="preserve"> full</w:t>
      </w:r>
      <w:r w:rsidR="00E9326D" w:rsidRPr="00284E38">
        <w:t xml:space="preserve"> search</w:t>
      </w:r>
      <w:r w:rsidR="0033000C" w:rsidRPr="00284E38">
        <w:t xml:space="preserve"> terms and outputs</w:t>
      </w:r>
      <w:r w:rsidR="001A7190" w:rsidRPr="00284E38">
        <w:t xml:space="preserve"> of the database searches</w:t>
      </w:r>
      <w:r w:rsidR="00E9326D" w:rsidRPr="00284E38">
        <w:t xml:space="preserve"> </w:t>
      </w:r>
      <w:r w:rsidR="0033000C" w:rsidRPr="00284E38">
        <w:t xml:space="preserve">are </w:t>
      </w:r>
      <w:r w:rsidR="00D70356" w:rsidRPr="00284E38">
        <w:t>provided</w:t>
      </w:r>
      <w:r w:rsidR="0033000C" w:rsidRPr="00284E38">
        <w:t xml:space="preserve"> in </w:t>
      </w:r>
      <w:r w:rsidR="008F5A2D" w:rsidRPr="00284E38">
        <w:t>A</w:t>
      </w:r>
      <w:r w:rsidR="0033000C" w:rsidRPr="00284E38">
        <w:t>ppendi</w:t>
      </w:r>
      <w:r w:rsidR="00FF4ECB" w:rsidRPr="00284E38">
        <w:t>ces</w:t>
      </w:r>
      <w:r w:rsidR="0033000C" w:rsidRPr="00284E38">
        <w:t xml:space="preserve"> </w:t>
      </w:r>
      <w:r w:rsidR="007D3DBD" w:rsidRPr="00284E38">
        <w:t>A</w:t>
      </w:r>
      <w:r w:rsidR="00FF4ECB" w:rsidRPr="00284E38">
        <w:t xml:space="preserve"> (December 2018 search) and B (June 2019 sea</w:t>
      </w:r>
      <w:r w:rsidR="00D46DAF" w:rsidRPr="00284E38">
        <w:t>r</w:t>
      </w:r>
      <w:r w:rsidR="00FF4ECB" w:rsidRPr="00284E38">
        <w:t>ch)</w:t>
      </w:r>
      <w:r w:rsidR="00E9326D" w:rsidRPr="00284E38">
        <w:t>.</w:t>
      </w:r>
    </w:p>
    <w:p w14:paraId="075A1F3E" w14:textId="77777777" w:rsidR="005C3FD7" w:rsidRPr="00284E38" w:rsidRDefault="005C3FD7" w:rsidP="00E154E0">
      <w:pPr>
        <w:rPr>
          <w:b/>
          <w:i/>
        </w:rPr>
      </w:pPr>
    </w:p>
    <w:p w14:paraId="05CDA018" w14:textId="05CA6CFA" w:rsidR="00F34CF6" w:rsidRPr="00284E38" w:rsidRDefault="00393317" w:rsidP="00E154E0">
      <w:pPr>
        <w:rPr>
          <w:b/>
          <w:iCs/>
        </w:rPr>
      </w:pPr>
      <w:r w:rsidRPr="00284E38">
        <w:rPr>
          <w:b/>
          <w:iCs/>
        </w:rPr>
        <w:t>2.</w:t>
      </w:r>
      <w:r w:rsidR="005F413C" w:rsidRPr="00284E38">
        <w:rPr>
          <w:b/>
          <w:iCs/>
        </w:rPr>
        <w:t>3</w:t>
      </w:r>
      <w:r w:rsidRPr="00284E38">
        <w:rPr>
          <w:b/>
          <w:iCs/>
        </w:rPr>
        <w:t xml:space="preserve">. </w:t>
      </w:r>
      <w:r w:rsidR="00D53228" w:rsidRPr="00284E38">
        <w:rPr>
          <w:b/>
          <w:iCs/>
        </w:rPr>
        <w:t xml:space="preserve">Study </w:t>
      </w:r>
      <w:r w:rsidR="002A65BA" w:rsidRPr="00284E38">
        <w:rPr>
          <w:b/>
          <w:iCs/>
        </w:rPr>
        <w:t>Identification and Selection</w:t>
      </w:r>
    </w:p>
    <w:p w14:paraId="4191D365" w14:textId="77777777" w:rsidR="00F22BD9" w:rsidRPr="00284E38" w:rsidRDefault="00F22BD9" w:rsidP="00E154E0"/>
    <w:p w14:paraId="6A82B738" w14:textId="43D480A9" w:rsidR="00BA49B1" w:rsidRPr="00284E38" w:rsidRDefault="00BA49B1" w:rsidP="00BA49B1">
      <w:bookmarkStart w:id="2" w:name="_Hlk38270870"/>
      <w:r w:rsidRPr="00284E38">
        <w:t xml:space="preserve">Two reviewers (DM, HM) independently screened all titles and abstracts of the identified studies against our inclusion/exclusion criteria. If either reviewer indicated a study could be relevant, we retrieved the full text. </w:t>
      </w:r>
      <w:bookmarkEnd w:id="2"/>
      <w:r w:rsidRPr="00284E38">
        <w:t xml:space="preserve">The same two reviewers independently assessed the full texts against our inclusion/exclusion criteria. A third reviewer (LG) resolved any disagreements through discussion </w:t>
      </w:r>
      <w:r w:rsidR="00D70356" w:rsidRPr="00284E38">
        <w:t>to agree a</w:t>
      </w:r>
      <w:r w:rsidRPr="00284E38">
        <w:t xml:space="preserve"> final list of included and excluded studies.</w:t>
      </w:r>
    </w:p>
    <w:p w14:paraId="4992CE7F" w14:textId="77777777" w:rsidR="00BA49B1" w:rsidRPr="00284E38" w:rsidRDefault="00BA49B1" w:rsidP="00BA49B1"/>
    <w:p w14:paraId="16425201" w14:textId="2AA7F549" w:rsidR="00826F9A" w:rsidRPr="00284E38" w:rsidRDefault="00E9326D" w:rsidP="00543DB1">
      <w:pPr>
        <w:rPr>
          <w:bCs/>
        </w:rPr>
      </w:pPr>
      <w:r w:rsidRPr="00284E38">
        <w:t>Eligible studies included</w:t>
      </w:r>
      <w:r w:rsidR="001341A2" w:rsidRPr="00284E38">
        <w:t>:</w:t>
      </w:r>
      <w:r w:rsidR="00715539">
        <w:t xml:space="preserve"> </w:t>
      </w:r>
      <w:r w:rsidR="00FF4133">
        <w:rPr>
          <w:bCs/>
        </w:rPr>
        <w:t>a) s</w:t>
      </w:r>
      <w:r w:rsidR="00FF4133" w:rsidRPr="00284E38">
        <w:rPr>
          <w:bCs/>
        </w:rPr>
        <w:t xml:space="preserve">tudy </w:t>
      </w:r>
      <w:r w:rsidR="00D70356" w:rsidRPr="00284E38">
        <w:rPr>
          <w:bCs/>
        </w:rPr>
        <w:t xml:space="preserve">design: </w:t>
      </w:r>
      <w:r w:rsidR="0044609D" w:rsidRPr="00284E38">
        <w:t>RCTs, to minimise risk of bias and confounding variables</w:t>
      </w:r>
      <w:r w:rsidR="00FF4133">
        <w:t>; b) p</w:t>
      </w:r>
      <w:r w:rsidR="0044609D" w:rsidRPr="00284E38">
        <w:t>articipants: p</w:t>
      </w:r>
      <w:r w:rsidRPr="00284E38">
        <w:t xml:space="preserve">articipants with symptoms or risk of </w:t>
      </w:r>
      <w:r w:rsidR="007228ED" w:rsidRPr="00284E38">
        <w:t>GAD</w:t>
      </w:r>
      <w:r w:rsidR="001A6209" w:rsidRPr="00284E38">
        <w:t xml:space="preserve"> within mental health populations or within the general population</w:t>
      </w:r>
      <w:r w:rsidR="005669AF" w:rsidRPr="00284E38">
        <w:t xml:space="preserve">; we </w:t>
      </w:r>
      <w:r w:rsidRPr="00284E38">
        <w:t xml:space="preserve">defined </w:t>
      </w:r>
      <w:r w:rsidR="005669AF" w:rsidRPr="00284E38">
        <w:t xml:space="preserve">this </w:t>
      </w:r>
      <w:r w:rsidRPr="00284E38">
        <w:t>as a certified diagnosis</w:t>
      </w:r>
      <w:r w:rsidR="00BA49B1" w:rsidRPr="00284E38">
        <w:t xml:space="preserve"> </w:t>
      </w:r>
      <w:r w:rsidR="005669AF" w:rsidRPr="00284E38">
        <w:t xml:space="preserve">using a </w:t>
      </w:r>
      <w:r w:rsidR="00BA49B1" w:rsidRPr="00284E38">
        <w:t xml:space="preserve">standardised </w:t>
      </w:r>
      <w:r w:rsidR="005669AF" w:rsidRPr="00284E38">
        <w:t xml:space="preserve">diagnostic interview </w:t>
      </w:r>
      <w:r w:rsidR="00BA49B1" w:rsidRPr="00284E38">
        <w:t>or</w:t>
      </w:r>
      <w:r w:rsidRPr="00284E38">
        <w:t xml:space="preserve"> </w:t>
      </w:r>
      <w:r w:rsidR="00BA49B1" w:rsidRPr="00284E38">
        <w:t xml:space="preserve">a score above an accepted cut-off for </w:t>
      </w:r>
      <w:r w:rsidR="00DD1E02" w:rsidRPr="00284E38">
        <w:t xml:space="preserve">diagnosable GAD </w:t>
      </w:r>
      <w:r w:rsidR="00F02BC4" w:rsidRPr="00284E38">
        <w:t>(</w:t>
      </w:r>
      <w:r w:rsidR="004E161F" w:rsidRPr="00284E38">
        <w:t xml:space="preserve">which </w:t>
      </w:r>
      <w:r w:rsidR="00F02BC4" w:rsidRPr="00284E38">
        <w:t xml:space="preserve">may include sub-threshold scores) </w:t>
      </w:r>
      <w:r w:rsidR="00DD1E02" w:rsidRPr="00284E38">
        <w:t>in</w:t>
      </w:r>
      <w:r w:rsidR="001A6209" w:rsidRPr="00284E38">
        <w:t xml:space="preserve"> </w:t>
      </w:r>
      <w:r w:rsidR="00DD1E02" w:rsidRPr="00284E38">
        <w:t>standardised questionnaires</w:t>
      </w:r>
      <w:r w:rsidR="00FF4133">
        <w:t xml:space="preserve">; </w:t>
      </w:r>
      <w:r w:rsidR="00FF4133">
        <w:rPr>
          <w:bCs/>
        </w:rPr>
        <w:t>c) i</w:t>
      </w:r>
      <w:r w:rsidR="0044609D" w:rsidRPr="00284E38">
        <w:rPr>
          <w:bCs/>
        </w:rPr>
        <w:t>nterventions: s</w:t>
      </w:r>
      <w:r w:rsidRPr="00284E38">
        <w:rPr>
          <w:bCs/>
        </w:rPr>
        <w:t xml:space="preserve">oftware-based systems </w:t>
      </w:r>
      <w:r w:rsidR="001341A2" w:rsidRPr="00284E38">
        <w:rPr>
          <w:bCs/>
        </w:rPr>
        <w:t xml:space="preserve">and technology platforms </w:t>
      </w:r>
      <w:r w:rsidRPr="00284E38">
        <w:rPr>
          <w:bCs/>
        </w:rPr>
        <w:t xml:space="preserve">designed for </w:t>
      </w:r>
      <w:r w:rsidR="00CD17AC" w:rsidRPr="00284E38">
        <w:rPr>
          <w:bCs/>
        </w:rPr>
        <w:t xml:space="preserve">patient-facing </w:t>
      </w:r>
      <w:r w:rsidRPr="00284E38">
        <w:rPr>
          <w:bCs/>
        </w:rPr>
        <w:t xml:space="preserve">delivery of </w:t>
      </w:r>
      <w:r w:rsidR="0082435A" w:rsidRPr="00284E38">
        <w:rPr>
          <w:bCs/>
        </w:rPr>
        <w:t>a</w:t>
      </w:r>
      <w:r w:rsidR="002815CB" w:rsidRPr="00284E38">
        <w:rPr>
          <w:bCs/>
        </w:rPr>
        <w:t xml:space="preserve"> mental health </w:t>
      </w:r>
      <w:r w:rsidRPr="00284E38">
        <w:rPr>
          <w:bCs/>
        </w:rPr>
        <w:t>intervention</w:t>
      </w:r>
      <w:r w:rsidR="00EF2243" w:rsidRPr="00284E38">
        <w:rPr>
          <w:bCs/>
        </w:rPr>
        <w:t xml:space="preserve"> (i.e. an intervention to improve mental health outcomes)</w:t>
      </w:r>
      <w:r w:rsidR="00FF4133">
        <w:rPr>
          <w:bCs/>
        </w:rPr>
        <w:t>; d) c</w:t>
      </w:r>
      <w:r w:rsidR="00FF4133" w:rsidRPr="00284E38">
        <w:rPr>
          <w:bCs/>
        </w:rPr>
        <w:t>omparisons</w:t>
      </w:r>
      <w:r w:rsidR="0044609D" w:rsidRPr="00284E38">
        <w:rPr>
          <w:bCs/>
        </w:rPr>
        <w:t>: a</w:t>
      </w:r>
      <w:r w:rsidR="001A6209" w:rsidRPr="00284E38">
        <w:rPr>
          <w:bCs/>
        </w:rPr>
        <w:t xml:space="preserve">ll comparisons </w:t>
      </w:r>
      <w:r w:rsidR="002815CB" w:rsidRPr="00284E38">
        <w:rPr>
          <w:bCs/>
        </w:rPr>
        <w:t>relevant to</w:t>
      </w:r>
      <w:r w:rsidR="001A6209" w:rsidRPr="00284E38">
        <w:rPr>
          <w:bCs/>
        </w:rPr>
        <w:t xml:space="preserve"> DIs, even </w:t>
      </w:r>
      <w:r w:rsidR="00EF2243" w:rsidRPr="00284E38">
        <w:rPr>
          <w:bCs/>
        </w:rPr>
        <w:t xml:space="preserve">when </w:t>
      </w:r>
      <w:r w:rsidR="001A6209" w:rsidRPr="00284E38">
        <w:rPr>
          <w:bCs/>
        </w:rPr>
        <w:t xml:space="preserve">two or more DIs </w:t>
      </w:r>
      <w:r w:rsidR="00EF2243" w:rsidRPr="00284E38">
        <w:rPr>
          <w:bCs/>
        </w:rPr>
        <w:t xml:space="preserve">were compared with each other </w:t>
      </w:r>
      <w:r w:rsidR="001A6209" w:rsidRPr="00284E38">
        <w:rPr>
          <w:bCs/>
        </w:rPr>
        <w:t>without other comparators</w:t>
      </w:r>
      <w:r w:rsidR="00FF4133">
        <w:rPr>
          <w:bCs/>
        </w:rPr>
        <w:t xml:space="preserve">; and </w:t>
      </w:r>
      <w:r w:rsidR="00FF4133">
        <w:t>e) o</w:t>
      </w:r>
      <w:r w:rsidR="00FF4133" w:rsidRPr="00284E38">
        <w:t>utcomes</w:t>
      </w:r>
      <w:r w:rsidR="0044609D" w:rsidRPr="00284E38">
        <w:t xml:space="preserve">: </w:t>
      </w:r>
      <w:r w:rsidR="001A6209" w:rsidRPr="00284E38">
        <w:t>GAD-specific measures of anxiety or worry</w:t>
      </w:r>
      <w:r w:rsidR="00E15CB5" w:rsidRPr="00284E38">
        <w:t xml:space="preserve"> (e.g. GAD-7)</w:t>
      </w:r>
      <w:r w:rsidR="001A6209" w:rsidRPr="00284E38">
        <w:t>, reported for GAD populations or GAD sub-</w:t>
      </w:r>
      <w:r w:rsidR="009E421E" w:rsidRPr="00284E38">
        <w:t xml:space="preserve">samples </w:t>
      </w:r>
      <w:r w:rsidR="001A6209" w:rsidRPr="00284E38">
        <w:t>within mixed populations.</w:t>
      </w:r>
    </w:p>
    <w:p w14:paraId="6B2B3129" w14:textId="77777777" w:rsidR="001341A2" w:rsidRPr="00284E38" w:rsidRDefault="001341A2" w:rsidP="001341A2">
      <w:pPr>
        <w:rPr>
          <w:bCs/>
        </w:rPr>
      </w:pPr>
    </w:p>
    <w:p w14:paraId="2D5D8E60" w14:textId="6315069E" w:rsidR="00343045" w:rsidRPr="00284E38" w:rsidRDefault="001341A2" w:rsidP="00543DB1">
      <w:pPr>
        <w:rPr>
          <w:bCs/>
        </w:rPr>
      </w:pPr>
      <w:r w:rsidRPr="00284E38">
        <w:rPr>
          <w:bCs/>
        </w:rPr>
        <w:t xml:space="preserve">We </w:t>
      </w:r>
      <w:r w:rsidR="00FF4133">
        <w:rPr>
          <w:bCs/>
        </w:rPr>
        <w:t xml:space="preserve">have </w:t>
      </w:r>
      <w:r w:rsidRPr="00284E38">
        <w:rPr>
          <w:bCs/>
        </w:rPr>
        <w:t>excluded:</w:t>
      </w:r>
      <w:r w:rsidR="00FF4133">
        <w:rPr>
          <w:bCs/>
        </w:rPr>
        <w:t xml:space="preserve"> i) m</w:t>
      </w:r>
      <w:r w:rsidR="002815CB" w:rsidRPr="00284E38">
        <w:rPr>
          <w:bCs/>
        </w:rPr>
        <w:t xml:space="preserve">ixed populations of GAD with other conditions, when the outcomes were not reported separately </w:t>
      </w:r>
      <w:r w:rsidR="008F5A2D" w:rsidRPr="00284E38">
        <w:rPr>
          <w:bCs/>
        </w:rPr>
        <w:t>for GAD sub</w:t>
      </w:r>
      <w:r w:rsidR="00FE7F3F" w:rsidRPr="00284E38">
        <w:rPr>
          <w:bCs/>
        </w:rPr>
        <w:t>groups</w:t>
      </w:r>
      <w:r w:rsidR="00FF4133">
        <w:rPr>
          <w:bCs/>
        </w:rPr>
        <w:t>; ii) t</w:t>
      </w:r>
      <w:r w:rsidR="00FE7F3F" w:rsidRPr="00284E38">
        <w:rPr>
          <w:bCs/>
        </w:rPr>
        <w:t>echnology used</w:t>
      </w:r>
      <w:r w:rsidR="00E9326D" w:rsidRPr="00284E38">
        <w:rPr>
          <w:bCs/>
        </w:rPr>
        <w:t xml:space="preserve"> </w:t>
      </w:r>
      <w:r w:rsidR="007737A7" w:rsidRPr="00284E38">
        <w:rPr>
          <w:bCs/>
        </w:rPr>
        <w:t xml:space="preserve">as </w:t>
      </w:r>
      <w:r w:rsidR="00E9326D" w:rsidRPr="00284E38">
        <w:rPr>
          <w:bCs/>
        </w:rPr>
        <w:t xml:space="preserve">a </w:t>
      </w:r>
      <w:r w:rsidR="00BA49B1" w:rsidRPr="00284E38">
        <w:rPr>
          <w:bCs/>
        </w:rPr>
        <w:t>means for tele</w:t>
      </w:r>
      <w:r w:rsidR="00E9326D" w:rsidRPr="00284E38">
        <w:rPr>
          <w:bCs/>
        </w:rPr>
        <w:t xml:space="preserve">communication </w:t>
      </w:r>
      <w:r w:rsidR="00FE7F3F" w:rsidRPr="00284E38">
        <w:rPr>
          <w:bCs/>
        </w:rPr>
        <w:t xml:space="preserve">(e.g. </w:t>
      </w:r>
      <w:r w:rsidR="00BA49B1" w:rsidRPr="00284E38">
        <w:rPr>
          <w:bCs/>
        </w:rPr>
        <w:t>email, phone or video</w:t>
      </w:r>
      <w:r w:rsidR="00FE7F3F" w:rsidRPr="00284E38">
        <w:rPr>
          <w:bCs/>
        </w:rPr>
        <w:t>) without any software-based processing</w:t>
      </w:r>
      <w:r w:rsidR="00FF4133">
        <w:rPr>
          <w:bCs/>
        </w:rPr>
        <w:t>; iii) s</w:t>
      </w:r>
      <w:r w:rsidR="00FF4133" w:rsidRPr="00284E38">
        <w:rPr>
          <w:bCs/>
        </w:rPr>
        <w:t>oftware</w:t>
      </w:r>
      <w:r w:rsidR="00CD17AC" w:rsidRPr="00284E38">
        <w:rPr>
          <w:bCs/>
        </w:rPr>
        <w:t>-based systems designed for training of health professionals or for administration without a</w:t>
      </w:r>
      <w:r w:rsidR="00FE7F3F" w:rsidRPr="00284E38">
        <w:rPr>
          <w:bCs/>
        </w:rPr>
        <w:t>ny</w:t>
      </w:r>
      <w:r w:rsidR="00CD17AC" w:rsidRPr="00284E38">
        <w:rPr>
          <w:bCs/>
        </w:rPr>
        <w:t xml:space="preserve"> patient-facing </w:t>
      </w:r>
      <w:r w:rsidR="00FE7F3F" w:rsidRPr="00284E38">
        <w:rPr>
          <w:bCs/>
        </w:rPr>
        <w:t>intervention components</w:t>
      </w:r>
      <w:r w:rsidR="00FF4133">
        <w:rPr>
          <w:bCs/>
        </w:rPr>
        <w:t>; and iv) s</w:t>
      </w:r>
      <w:r w:rsidR="00343045" w:rsidRPr="00284E38">
        <w:rPr>
          <w:bCs/>
        </w:rPr>
        <w:t>tud</w:t>
      </w:r>
      <w:r w:rsidR="0044609D" w:rsidRPr="00284E38">
        <w:rPr>
          <w:bCs/>
        </w:rPr>
        <w:t>ies</w:t>
      </w:r>
      <w:r w:rsidR="00343045" w:rsidRPr="00284E38">
        <w:rPr>
          <w:bCs/>
        </w:rPr>
        <w:t xml:space="preserve"> </w:t>
      </w:r>
      <w:r w:rsidR="0044609D" w:rsidRPr="00284E38">
        <w:rPr>
          <w:bCs/>
        </w:rPr>
        <w:t xml:space="preserve">that were only identified as </w:t>
      </w:r>
      <w:r w:rsidR="00343045" w:rsidRPr="00284E38">
        <w:rPr>
          <w:bCs/>
        </w:rPr>
        <w:t xml:space="preserve">protocols, abstracts </w:t>
      </w:r>
      <w:r w:rsidR="0044609D" w:rsidRPr="00284E38">
        <w:rPr>
          <w:bCs/>
        </w:rPr>
        <w:t>or</w:t>
      </w:r>
      <w:r w:rsidR="00343045" w:rsidRPr="00284E38">
        <w:rPr>
          <w:bCs/>
        </w:rPr>
        <w:t xml:space="preserve"> reviews</w:t>
      </w:r>
      <w:r w:rsidR="002815CB" w:rsidRPr="00284E38">
        <w:rPr>
          <w:bCs/>
        </w:rPr>
        <w:t xml:space="preserve">; these </w:t>
      </w:r>
      <w:r w:rsidR="00343045" w:rsidRPr="00284E38">
        <w:rPr>
          <w:bCs/>
        </w:rPr>
        <w:t>were marked so we could check for RCTs that we may have missed in the database searches.</w:t>
      </w:r>
    </w:p>
    <w:p w14:paraId="51446DA7" w14:textId="77777777" w:rsidR="006307FE" w:rsidRPr="00284E38" w:rsidRDefault="006307FE" w:rsidP="00E154E0"/>
    <w:p w14:paraId="0C17FE2E" w14:textId="7F46CE24" w:rsidR="00E9326D" w:rsidRPr="00284E38" w:rsidRDefault="00890B27" w:rsidP="00E154E0">
      <w:pPr>
        <w:rPr>
          <w:b/>
          <w:iCs/>
        </w:rPr>
      </w:pPr>
      <w:r w:rsidRPr="00284E38">
        <w:rPr>
          <w:b/>
          <w:iCs/>
        </w:rPr>
        <w:t>2.</w:t>
      </w:r>
      <w:r w:rsidR="005F413C" w:rsidRPr="00284E38">
        <w:rPr>
          <w:b/>
          <w:iCs/>
        </w:rPr>
        <w:t>4</w:t>
      </w:r>
      <w:r w:rsidRPr="00284E38">
        <w:rPr>
          <w:b/>
          <w:iCs/>
        </w:rPr>
        <w:t xml:space="preserve">. </w:t>
      </w:r>
      <w:r w:rsidR="005C4F47" w:rsidRPr="00284E38">
        <w:rPr>
          <w:b/>
          <w:iCs/>
        </w:rPr>
        <w:t>Data extraction and r</w:t>
      </w:r>
      <w:r w:rsidR="00AE69BB" w:rsidRPr="00284E38">
        <w:rPr>
          <w:b/>
          <w:iCs/>
        </w:rPr>
        <w:t>isk of bias a</w:t>
      </w:r>
      <w:r w:rsidR="00E9326D" w:rsidRPr="00284E38">
        <w:rPr>
          <w:b/>
          <w:iCs/>
        </w:rPr>
        <w:t>ssessment</w:t>
      </w:r>
    </w:p>
    <w:p w14:paraId="79A15E59" w14:textId="77777777" w:rsidR="00AE69BB" w:rsidRPr="00284E38" w:rsidRDefault="00AE69BB" w:rsidP="004E0EDA"/>
    <w:p w14:paraId="490FC7C0" w14:textId="5A8C89A0" w:rsidR="00E9326D" w:rsidRPr="00284E38" w:rsidRDefault="005C4F47" w:rsidP="004E0EDA">
      <w:r w:rsidRPr="00284E38">
        <w:t xml:space="preserve">Two researchers (DM, HM) independently extracted data from published and unpublished study reports. Data were extracted on the sample, study design, intervention and comparator characteristics, baseline characteristics, and results. Any discrepancies were resolved by a third reviewer (LG). </w:t>
      </w:r>
      <w:r w:rsidR="007C2189" w:rsidRPr="00284E38">
        <w:t>R</w:t>
      </w:r>
      <w:r w:rsidR="00E9326D" w:rsidRPr="00284E38">
        <w:t xml:space="preserve">isk of bias of each study </w:t>
      </w:r>
      <w:r w:rsidR="007C2189" w:rsidRPr="00284E38">
        <w:t xml:space="preserve">was assessed </w:t>
      </w:r>
      <w:r w:rsidR="00890B27" w:rsidRPr="00284E38">
        <w:t>using Cochrane's Risk of Bias</w:t>
      </w:r>
      <w:r w:rsidR="001A51D2" w:rsidRPr="00284E38">
        <w:t xml:space="preserve"> (RoB)</w:t>
      </w:r>
      <w:r w:rsidR="00890B27" w:rsidRPr="00284E38">
        <w:t xml:space="preserve"> 2.0 </w:t>
      </w:r>
      <w:r w:rsidR="00D33460" w:rsidRPr="00284E38">
        <w:rPr>
          <w:noProof/>
        </w:rPr>
        <w:t>(</w:t>
      </w:r>
      <w:hyperlink w:anchor="_ENREF_58" w:tooltip="Sterne, 2019 #1003" w:history="1">
        <w:r w:rsidR="00D33460" w:rsidRPr="00284E38">
          <w:rPr>
            <w:noProof/>
          </w:rPr>
          <w:t>Sterne et al., 2019</w:t>
        </w:r>
      </w:hyperlink>
      <w:r w:rsidR="00D33460" w:rsidRPr="00284E38">
        <w:rPr>
          <w:noProof/>
        </w:rPr>
        <w:t>)</w:t>
      </w:r>
      <w:r w:rsidR="00E9326D" w:rsidRPr="00284E38">
        <w:t>.</w:t>
      </w:r>
      <w:r w:rsidR="00B003F7" w:rsidRPr="00284E38">
        <w:t xml:space="preserve"> </w:t>
      </w:r>
    </w:p>
    <w:p w14:paraId="0D33059C" w14:textId="77777777" w:rsidR="00E9326D" w:rsidRPr="00284E38" w:rsidRDefault="00E9326D" w:rsidP="00E154E0"/>
    <w:p w14:paraId="12F22E3A" w14:textId="12834A21" w:rsidR="00E2579B" w:rsidRPr="00284E38" w:rsidRDefault="00890B27" w:rsidP="00E154E0">
      <w:pPr>
        <w:rPr>
          <w:b/>
          <w:iCs/>
        </w:rPr>
      </w:pPr>
      <w:r w:rsidRPr="00284E38">
        <w:rPr>
          <w:b/>
          <w:iCs/>
        </w:rPr>
        <w:t>2.</w:t>
      </w:r>
      <w:r w:rsidR="005F413C" w:rsidRPr="00284E38">
        <w:rPr>
          <w:b/>
          <w:iCs/>
        </w:rPr>
        <w:t>5</w:t>
      </w:r>
      <w:r w:rsidRPr="00284E38">
        <w:rPr>
          <w:b/>
          <w:iCs/>
        </w:rPr>
        <w:t xml:space="preserve">. </w:t>
      </w:r>
      <w:r w:rsidR="00D53228" w:rsidRPr="00284E38">
        <w:rPr>
          <w:b/>
          <w:iCs/>
        </w:rPr>
        <w:t>Classification</w:t>
      </w:r>
      <w:r w:rsidR="00E2579B" w:rsidRPr="00284E38">
        <w:rPr>
          <w:b/>
          <w:iCs/>
        </w:rPr>
        <w:t xml:space="preserve"> of </w:t>
      </w:r>
      <w:r w:rsidR="003F6412" w:rsidRPr="00284E38">
        <w:rPr>
          <w:b/>
          <w:iCs/>
        </w:rPr>
        <w:t>DIs and their alternatives</w:t>
      </w:r>
    </w:p>
    <w:p w14:paraId="3496A07F" w14:textId="77777777" w:rsidR="007228ED" w:rsidRPr="00284E38" w:rsidRDefault="007228ED" w:rsidP="007737A7">
      <w:pPr>
        <w:rPr>
          <w:bCs/>
          <w:iCs/>
        </w:rPr>
      </w:pPr>
    </w:p>
    <w:p w14:paraId="54CE1ADD" w14:textId="0176DEA9" w:rsidR="000E23B7" w:rsidRPr="00284E38" w:rsidRDefault="00F8622A" w:rsidP="004336DB">
      <w:r w:rsidRPr="00284E38">
        <w:rPr>
          <w:rFonts w:eastAsia="MS Mincho"/>
          <w:lang w:eastAsia="ja-JP"/>
        </w:rPr>
        <w:t xml:space="preserve">In order to </w:t>
      </w:r>
      <w:r w:rsidR="009642F9" w:rsidRPr="00284E38">
        <w:rPr>
          <w:rFonts w:eastAsia="MS Mincho"/>
          <w:lang w:eastAsia="ja-JP"/>
        </w:rPr>
        <w:t>conduct</w:t>
      </w:r>
      <w:r w:rsidR="00602D59">
        <w:rPr>
          <w:rFonts w:eastAsia="MS Mincho"/>
          <w:lang w:eastAsia="ja-JP"/>
        </w:rPr>
        <w:t xml:space="preserve"> an</w:t>
      </w:r>
      <w:r w:rsidR="009642F9" w:rsidRPr="00284E38">
        <w:rPr>
          <w:rFonts w:eastAsia="MS Mincho"/>
          <w:lang w:eastAsia="ja-JP"/>
        </w:rPr>
        <w:t xml:space="preserve"> evidence synthesis</w:t>
      </w:r>
      <w:r w:rsidRPr="00284E38">
        <w:rPr>
          <w:rFonts w:eastAsia="MS Mincho"/>
          <w:lang w:eastAsia="ja-JP"/>
        </w:rPr>
        <w:t xml:space="preserve">, it was necessary to classify and group the interventions from studies. </w:t>
      </w:r>
      <w:r w:rsidR="003F6412" w:rsidRPr="00284E38">
        <w:t xml:space="preserve">We developed a classification system for </w:t>
      </w:r>
      <w:r w:rsidR="00C634AE" w:rsidRPr="00284E38">
        <w:t xml:space="preserve">DIs and their comparator interventions and controls, </w:t>
      </w:r>
      <w:r w:rsidR="003F6412" w:rsidRPr="00284E38">
        <w:t xml:space="preserve">in </w:t>
      </w:r>
      <w:r w:rsidR="000E23B7" w:rsidRPr="00284E38">
        <w:t xml:space="preserve">the following </w:t>
      </w:r>
      <w:r w:rsidR="00954A0A" w:rsidRPr="00284E38">
        <w:t>four</w:t>
      </w:r>
      <w:r w:rsidR="003F6412" w:rsidRPr="00284E38">
        <w:t xml:space="preserve"> steps</w:t>
      </w:r>
      <w:r w:rsidR="00F433BF">
        <w:t>:</w:t>
      </w:r>
    </w:p>
    <w:p w14:paraId="6F95BF4B" w14:textId="5CB2816B" w:rsidR="000E23B7" w:rsidRPr="00284E38" w:rsidRDefault="000E23B7" w:rsidP="00543DB1">
      <w:pPr>
        <w:pStyle w:val="ListParagraph"/>
        <w:numPr>
          <w:ilvl w:val="0"/>
          <w:numId w:val="14"/>
        </w:numPr>
        <w:ind w:left="284" w:hanging="284"/>
      </w:pPr>
      <w:r w:rsidRPr="00284E38">
        <w:t>We</w:t>
      </w:r>
      <w:r w:rsidR="003F6412" w:rsidRPr="00284E38">
        <w:t xml:space="preserve"> conducted a detailed data extraction of </w:t>
      </w:r>
      <w:r w:rsidRPr="00284E38">
        <w:t>intervention</w:t>
      </w:r>
      <w:r w:rsidR="00C634AE" w:rsidRPr="00284E38">
        <w:t xml:space="preserve">/control </w:t>
      </w:r>
      <w:r w:rsidR="0012661E" w:rsidRPr="00284E38">
        <w:t xml:space="preserve">arm </w:t>
      </w:r>
      <w:r w:rsidRPr="00284E38">
        <w:t>characteristic</w:t>
      </w:r>
      <w:r w:rsidR="00C634AE" w:rsidRPr="00284E38">
        <w:t>s as reported within our included RCTs for GAD and their relevant linked papers</w:t>
      </w:r>
      <w:r w:rsidR="003F6412" w:rsidRPr="00284E38">
        <w:t xml:space="preserve">. </w:t>
      </w:r>
    </w:p>
    <w:p w14:paraId="0B08C6D4" w14:textId="0EA7BA04" w:rsidR="00563374" w:rsidRPr="00284E38" w:rsidRDefault="0003362F" w:rsidP="00543DB1">
      <w:pPr>
        <w:pStyle w:val="ListParagraph"/>
        <w:numPr>
          <w:ilvl w:val="0"/>
          <w:numId w:val="14"/>
        </w:numPr>
        <w:ind w:left="284" w:hanging="284"/>
      </w:pPr>
      <w:r w:rsidRPr="00284E38">
        <w:t>W</w:t>
      </w:r>
      <w:r w:rsidR="003F6412" w:rsidRPr="00284E38">
        <w:t xml:space="preserve">e identified common and differentiating features </w:t>
      </w:r>
      <w:r w:rsidR="00C634AE" w:rsidRPr="00284E38">
        <w:t>of</w:t>
      </w:r>
      <w:r w:rsidR="003F6412" w:rsidRPr="00284E38">
        <w:t xml:space="preserve"> </w:t>
      </w:r>
      <w:r w:rsidR="00C634AE" w:rsidRPr="00284E38">
        <w:t>intervention/</w:t>
      </w:r>
      <w:r w:rsidR="00563374" w:rsidRPr="00284E38">
        <w:t>control</w:t>
      </w:r>
      <w:r w:rsidR="0012661E" w:rsidRPr="00284E38">
        <w:t xml:space="preserve"> arm</w:t>
      </w:r>
      <w:r w:rsidR="00563374" w:rsidRPr="00284E38">
        <w:t>s</w:t>
      </w:r>
      <w:r w:rsidR="00C634AE" w:rsidRPr="00284E38">
        <w:t xml:space="preserve"> between RCTs</w:t>
      </w:r>
      <w:r w:rsidR="003F6412" w:rsidRPr="00284E38">
        <w:t xml:space="preserve">, </w:t>
      </w:r>
      <w:r w:rsidR="00C634AE" w:rsidRPr="00284E38">
        <w:t xml:space="preserve">but also </w:t>
      </w:r>
      <w:r w:rsidR="00A33967" w:rsidRPr="00284E38">
        <w:t xml:space="preserve">incremental </w:t>
      </w:r>
      <w:r w:rsidR="003F6412" w:rsidRPr="00284E38">
        <w:t xml:space="preserve">differences </w:t>
      </w:r>
      <w:r w:rsidR="00C634AE" w:rsidRPr="00284E38">
        <w:t xml:space="preserve">between interventions/controls </w:t>
      </w:r>
      <w:r w:rsidR="003F6412" w:rsidRPr="00284E38">
        <w:t xml:space="preserve">within the </w:t>
      </w:r>
      <w:r w:rsidR="00E8033F" w:rsidRPr="00284E38">
        <w:t xml:space="preserve">same </w:t>
      </w:r>
      <w:r w:rsidR="003F6412" w:rsidRPr="00284E38">
        <w:t xml:space="preserve">RCT. </w:t>
      </w:r>
    </w:p>
    <w:p w14:paraId="29F0918D" w14:textId="064A0B60" w:rsidR="0003362F" w:rsidRPr="00284E38" w:rsidRDefault="0003362F" w:rsidP="00543DB1">
      <w:pPr>
        <w:pStyle w:val="ListParagraph"/>
        <w:numPr>
          <w:ilvl w:val="0"/>
          <w:numId w:val="14"/>
        </w:numPr>
        <w:ind w:left="284" w:hanging="284"/>
      </w:pPr>
      <w:r w:rsidRPr="00284E38">
        <w:t>W</w:t>
      </w:r>
      <w:r w:rsidR="003F6412" w:rsidRPr="00284E38">
        <w:t>e consulted the literature and a</w:t>
      </w:r>
      <w:r w:rsidR="00E8033F" w:rsidRPr="00284E38">
        <w:t xml:space="preserve">n </w:t>
      </w:r>
      <w:r w:rsidR="003F6412" w:rsidRPr="00284E38">
        <w:t xml:space="preserve">advisory group </w:t>
      </w:r>
      <w:r w:rsidR="00E8033F" w:rsidRPr="00284E38">
        <w:t>of</w:t>
      </w:r>
      <w:r w:rsidR="003F6412" w:rsidRPr="00284E38">
        <w:t xml:space="preserve"> health services researchers and clinicians about intervention features </w:t>
      </w:r>
      <w:r w:rsidR="00E8033F" w:rsidRPr="00284E38">
        <w:t xml:space="preserve">that could be </w:t>
      </w:r>
      <w:r w:rsidR="00F7413B" w:rsidRPr="00284E38">
        <w:t>important</w:t>
      </w:r>
      <w:r w:rsidR="003F6412" w:rsidRPr="00284E38">
        <w:t xml:space="preserve"> </w:t>
      </w:r>
      <w:r w:rsidR="00E8033F" w:rsidRPr="00284E38">
        <w:t xml:space="preserve">for clinical outcomes </w:t>
      </w:r>
      <w:r w:rsidR="003F6412" w:rsidRPr="00284E38">
        <w:t xml:space="preserve">(e.g. amount of interpersonal contact, who offers support to the </w:t>
      </w:r>
      <w:r w:rsidR="007D4158" w:rsidRPr="00284E38">
        <w:t>DI</w:t>
      </w:r>
      <w:r w:rsidR="003F6412" w:rsidRPr="00284E38">
        <w:t xml:space="preserve">, whether the intervention is available publicly or via referral to specialist services, </w:t>
      </w:r>
      <w:r w:rsidR="000875B0" w:rsidRPr="00284E38">
        <w:t xml:space="preserve">types of software </w:t>
      </w:r>
      <w:r w:rsidR="0012661E" w:rsidRPr="00284E38">
        <w:t xml:space="preserve">required </w:t>
      </w:r>
      <w:r w:rsidR="000875B0" w:rsidRPr="00284E38">
        <w:t>or therapeutic approaches</w:t>
      </w:r>
      <w:r w:rsidR="0012661E" w:rsidRPr="00284E38">
        <w:t xml:space="preserve"> used</w:t>
      </w:r>
      <w:r w:rsidR="003F6412" w:rsidRPr="00284E38">
        <w:t xml:space="preserve">). </w:t>
      </w:r>
    </w:p>
    <w:p w14:paraId="06F01304" w14:textId="2737B5D4" w:rsidR="0003362F" w:rsidRDefault="0003362F" w:rsidP="00543DB1">
      <w:pPr>
        <w:pStyle w:val="ListParagraph"/>
        <w:numPr>
          <w:ilvl w:val="0"/>
          <w:numId w:val="14"/>
        </w:numPr>
        <w:ind w:left="284" w:hanging="284"/>
      </w:pPr>
      <w:r w:rsidRPr="00284E38">
        <w:t xml:space="preserve">We </w:t>
      </w:r>
      <w:r w:rsidR="00F7413B" w:rsidRPr="00284E38">
        <w:t xml:space="preserve">applied the classification criteria to </w:t>
      </w:r>
      <w:r w:rsidR="005527D8" w:rsidRPr="00284E38">
        <w:t xml:space="preserve">each </w:t>
      </w:r>
      <w:r w:rsidR="00FE71D8" w:rsidRPr="00284E38">
        <w:t>randomisation arm</w:t>
      </w:r>
      <w:r w:rsidR="00F7413B" w:rsidRPr="00284E38">
        <w:t xml:space="preserve"> </w:t>
      </w:r>
      <w:r w:rsidR="00F537C6" w:rsidRPr="00284E38">
        <w:t>in</w:t>
      </w:r>
      <w:r w:rsidR="00F7413B" w:rsidRPr="00284E38">
        <w:t xml:space="preserve"> the included RCTs </w:t>
      </w:r>
      <w:r w:rsidR="005527D8" w:rsidRPr="00284E38">
        <w:t>so that each intervention</w:t>
      </w:r>
      <w:r w:rsidR="00A33967" w:rsidRPr="00284E38">
        <w:t>/</w:t>
      </w:r>
      <w:r w:rsidR="005527D8" w:rsidRPr="00284E38">
        <w:t xml:space="preserve">control </w:t>
      </w:r>
      <w:r w:rsidR="0012661E" w:rsidRPr="00284E38">
        <w:t xml:space="preserve">arm </w:t>
      </w:r>
      <w:r w:rsidR="005527D8" w:rsidRPr="00284E38">
        <w:t xml:space="preserve">was </w:t>
      </w:r>
      <w:r w:rsidRPr="00284E38">
        <w:t xml:space="preserve">assigned </w:t>
      </w:r>
      <w:r w:rsidR="005527D8" w:rsidRPr="00284E38">
        <w:t xml:space="preserve">to a classification group. </w:t>
      </w:r>
    </w:p>
    <w:p w14:paraId="1F4753DE" w14:textId="09031083" w:rsidR="00602D59" w:rsidRDefault="00602D59" w:rsidP="00602D59"/>
    <w:p w14:paraId="525895BA" w14:textId="27FA093C" w:rsidR="00917063" w:rsidRDefault="00F537C6" w:rsidP="00917063">
      <w:r w:rsidRPr="00284E38">
        <w:t xml:space="preserve">These </w:t>
      </w:r>
      <w:r w:rsidR="00E15CB5" w:rsidRPr="00284E38">
        <w:t>4</w:t>
      </w:r>
      <w:r w:rsidRPr="00284E38">
        <w:t xml:space="preserve"> steps were iterative; we </w:t>
      </w:r>
      <w:r w:rsidR="003F6412" w:rsidRPr="00284E38">
        <w:t xml:space="preserve">resolved discrepancies by refining </w:t>
      </w:r>
      <w:r w:rsidR="00FE71D8" w:rsidRPr="00284E38">
        <w:t>our</w:t>
      </w:r>
      <w:r w:rsidR="003F6412" w:rsidRPr="00284E38">
        <w:t xml:space="preserve"> classification criteria </w:t>
      </w:r>
      <w:r w:rsidR="0003362F" w:rsidRPr="00284E38">
        <w:t>until</w:t>
      </w:r>
      <w:r w:rsidR="005527D8" w:rsidRPr="00284E38">
        <w:t xml:space="preserve"> two</w:t>
      </w:r>
      <w:r w:rsidR="003F6412" w:rsidRPr="00284E38">
        <w:t xml:space="preserve"> reviewers</w:t>
      </w:r>
      <w:r w:rsidR="005527D8" w:rsidRPr="00284E38">
        <w:t xml:space="preserve"> (DM, LG)</w:t>
      </w:r>
      <w:r w:rsidR="003F6412" w:rsidRPr="00284E38">
        <w:t xml:space="preserve"> </w:t>
      </w:r>
      <w:r w:rsidR="005527D8" w:rsidRPr="00284E38">
        <w:t xml:space="preserve">independently </w:t>
      </w:r>
      <w:r w:rsidR="00DA0A28" w:rsidRPr="00284E38">
        <w:t xml:space="preserve">reached the same </w:t>
      </w:r>
      <w:r w:rsidR="005527D8" w:rsidRPr="00284E38">
        <w:t>alloca</w:t>
      </w:r>
      <w:r w:rsidR="00DA0A28" w:rsidRPr="00284E38">
        <w:t>tion for</w:t>
      </w:r>
      <w:r w:rsidR="005527D8" w:rsidRPr="00284E38">
        <w:t xml:space="preserve"> </w:t>
      </w:r>
      <w:r w:rsidR="00DA0A28" w:rsidRPr="00284E38">
        <w:t xml:space="preserve">every </w:t>
      </w:r>
      <w:r w:rsidRPr="00284E38">
        <w:t>intervention</w:t>
      </w:r>
      <w:r w:rsidR="00A33967" w:rsidRPr="00284E38">
        <w:t>/</w:t>
      </w:r>
      <w:r w:rsidRPr="00284E38">
        <w:t>control</w:t>
      </w:r>
      <w:r w:rsidR="00DA0A28" w:rsidRPr="00284E38">
        <w:t xml:space="preserve"> they classified</w:t>
      </w:r>
      <w:r w:rsidR="005527D8" w:rsidRPr="00284E38">
        <w:t xml:space="preserve">. </w:t>
      </w:r>
      <w:r w:rsidR="00917063">
        <w:t xml:space="preserve">We grouped DIs and their alternatives according to </w:t>
      </w:r>
      <w:r w:rsidR="00F433BF">
        <w:t xml:space="preserve">the </w:t>
      </w:r>
      <w:r w:rsidR="004C0AB1">
        <w:t>three criteria</w:t>
      </w:r>
      <w:r w:rsidR="00F433BF">
        <w:t xml:space="preserve"> below</w:t>
      </w:r>
      <w:r w:rsidR="00050B9A">
        <w:t>.</w:t>
      </w:r>
    </w:p>
    <w:p w14:paraId="0CC69691" w14:textId="77777777" w:rsidR="004C0AB1" w:rsidRDefault="004C0AB1" w:rsidP="00917063"/>
    <w:p w14:paraId="2B74D457" w14:textId="3105F231" w:rsidR="00917063" w:rsidRDefault="004C0AB1" w:rsidP="00917063">
      <w:r w:rsidRPr="00A66609">
        <w:rPr>
          <w:i/>
          <w:iCs/>
        </w:rPr>
        <w:t>Criterion 1</w:t>
      </w:r>
      <w:r w:rsidR="00A66609">
        <w:rPr>
          <w:i/>
          <w:iCs/>
        </w:rPr>
        <w:t xml:space="preserve"> -</w:t>
      </w:r>
      <w:r w:rsidRPr="00A66609">
        <w:rPr>
          <w:i/>
          <w:iCs/>
        </w:rPr>
        <w:t xml:space="preserve"> I</w:t>
      </w:r>
      <w:r w:rsidR="00917063" w:rsidRPr="00A66609">
        <w:rPr>
          <w:i/>
          <w:iCs/>
        </w:rPr>
        <w:t xml:space="preserve">ntervention (I) or </w:t>
      </w:r>
      <w:r w:rsidRPr="00A66609">
        <w:rPr>
          <w:i/>
          <w:iCs/>
        </w:rPr>
        <w:t>Control</w:t>
      </w:r>
      <w:r w:rsidR="00917063" w:rsidRPr="00A66609">
        <w:rPr>
          <w:i/>
          <w:iCs/>
        </w:rPr>
        <w:t xml:space="preserve"> (C)</w:t>
      </w:r>
      <w:r w:rsidRPr="00A66609">
        <w:rPr>
          <w:i/>
          <w:iCs/>
        </w:rPr>
        <w:t>:</w:t>
      </w:r>
      <w:r>
        <w:t xml:space="preserve"> </w:t>
      </w:r>
      <w:r w:rsidR="00A66609">
        <w:t xml:space="preserve">An </w:t>
      </w:r>
      <w:r>
        <w:t>Intervention (I) w</w:t>
      </w:r>
      <w:r w:rsidR="00A66609">
        <w:t>as an</w:t>
      </w:r>
      <w:r>
        <w:t xml:space="preserve"> </w:t>
      </w:r>
      <w:r w:rsidR="00A66609">
        <w:t xml:space="preserve">action carried out </w:t>
      </w:r>
      <w:r>
        <w:t xml:space="preserve">as part of a research protocol for therapeutic purposes, i.e. </w:t>
      </w:r>
      <w:r w:rsidR="00A326F8">
        <w:t xml:space="preserve">it was expected </w:t>
      </w:r>
      <w:r>
        <w:t>to improv</w:t>
      </w:r>
      <w:r w:rsidR="00A326F8">
        <w:t xml:space="preserve">e </w:t>
      </w:r>
      <w:r>
        <w:t>clinical symptoms and functioning</w:t>
      </w:r>
      <w:r w:rsidR="00A326F8">
        <w:t xml:space="preserve"> based on</w:t>
      </w:r>
      <w:r>
        <w:t xml:space="preserve"> psychological</w:t>
      </w:r>
      <w:r w:rsidR="00A326F8">
        <w:t xml:space="preserve"> or </w:t>
      </w:r>
      <w:r>
        <w:t>behavioura</w:t>
      </w:r>
      <w:r w:rsidR="00A326F8">
        <w:t>l</w:t>
      </w:r>
      <w:r>
        <w:t xml:space="preserve"> theories</w:t>
      </w:r>
      <w:r w:rsidR="00A326F8">
        <w:t xml:space="preserve"> and preliminary evidence</w:t>
      </w:r>
      <w:r>
        <w:t xml:space="preserve">. </w:t>
      </w:r>
      <w:r w:rsidR="00A66609">
        <w:t xml:space="preserve">A Control (C) was </w:t>
      </w:r>
      <w:r w:rsidR="00A326F8">
        <w:t xml:space="preserve">a non-therapeutic activity that was </w:t>
      </w:r>
      <w:r w:rsidR="00A66609">
        <w:t>not expected to make a clinical</w:t>
      </w:r>
      <w:r w:rsidR="00A326F8">
        <w:t xml:space="preserve"> </w:t>
      </w:r>
      <w:r w:rsidR="00A66609">
        <w:t xml:space="preserve">difference </w:t>
      </w:r>
      <w:r w:rsidR="00A326F8">
        <w:t xml:space="preserve">to the condition; this could be a </w:t>
      </w:r>
      <w:r w:rsidR="00A66609">
        <w:t xml:space="preserve">psychological placebo, </w:t>
      </w:r>
      <w:r w:rsidR="00A326F8">
        <w:t>an ‘attention control’</w:t>
      </w:r>
      <w:r w:rsidR="00A66609">
        <w:t>, or a change in usual care introduced by the research team to keep participants safe and minimise attrition.</w:t>
      </w:r>
    </w:p>
    <w:p w14:paraId="7EDA9E95" w14:textId="77777777" w:rsidR="004C0AB1" w:rsidRDefault="004C0AB1" w:rsidP="00917063"/>
    <w:p w14:paraId="00F1937A" w14:textId="3346F6A1" w:rsidR="004C0AB1" w:rsidRDefault="004C0AB1" w:rsidP="00917063">
      <w:r w:rsidRPr="0094684D">
        <w:rPr>
          <w:i/>
          <w:iCs/>
        </w:rPr>
        <w:t>Criterion 2</w:t>
      </w:r>
      <w:r w:rsidR="00A66609" w:rsidRPr="0094684D">
        <w:rPr>
          <w:i/>
          <w:iCs/>
        </w:rPr>
        <w:t xml:space="preserve"> - </w:t>
      </w:r>
      <w:r w:rsidRPr="0094684D">
        <w:rPr>
          <w:i/>
          <w:iCs/>
        </w:rPr>
        <w:t>D</w:t>
      </w:r>
      <w:r w:rsidR="00917063" w:rsidRPr="0094684D">
        <w:rPr>
          <w:i/>
          <w:iCs/>
        </w:rPr>
        <w:t xml:space="preserve">igital (D) or </w:t>
      </w:r>
      <w:r w:rsidRPr="0094684D">
        <w:rPr>
          <w:i/>
          <w:iCs/>
        </w:rPr>
        <w:t>N</w:t>
      </w:r>
      <w:r w:rsidR="00917063" w:rsidRPr="0094684D">
        <w:rPr>
          <w:i/>
          <w:iCs/>
        </w:rPr>
        <w:t>on-</w:t>
      </w:r>
      <w:r w:rsidRPr="0094684D">
        <w:rPr>
          <w:i/>
          <w:iCs/>
        </w:rPr>
        <w:t>D</w:t>
      </w:r>
      <w:r w:rsidR="00917063" w:rsidRPr="0094684D">
        <w:rPr>
          <w:i/>
          <w:iCs/>
        </w:rPr>
        <w:t>igital (NoD)</w:t>
      </w:r>
      <w:r w:rsidR="00A66609">
        <w:t xml:space="preserve">: A Digital </w:t>
      </w:r>
      <w:r w:rsidR="0094684D">
        <w:t>I</w:t>
      </w:r>
      <w:r w:rsidR="00A66609">
        <w:t xml:space="preserve">ntervention (DI) or </w:t>
      </w:r>
      <w:r w:rsidR="0094684D">
        <w:t>a Digital C</w:t>
      </w:r>
      <w:r w:rsidR="00A66609">
        <w:t>ontrol (DC) included software programmes to guide patient-facing activit</w:t>
      </w:r>
      <w:r w:rsidR="00A326F8">
        <w:t>ies</w:t>
      </w:r>
      <w:r w:rsidR="00A66609">
        <w:t>.</w:t>
      </w:r>
      <w:r w:rsidR="0094684D">
        <w:t xml:space="preserve"> A Non-Digital</w:t>
      </w:r>
      <w:r w:rsidR="00A66609">
        <w:t xml:space="preserve"> Intervention</w:t>
      </w:r>
      <w:r w:rsidR="0094684D">
        <w:t xml:space="preserve"> / Non-Digital C</w:t>
      </w:r>
      <w:r w:rsidR="00A66609">
        <w:t xml:space="preserve">ontrol </w:t>
      </w:r>
      <w:r w:rsidR="0094684D">
        <w:t xml:space="preserve">(NoDI / NoDC) </w:t>
      </w:r>
      <w:r w:rsidR="00A66609">
        <w:t>d</w:t>
      </w:r>
      <w:r w:rsidR="0094684D">
        <w:t>id</w:t>
      </w:r>
      <w:r w:rsidR="00A66609">
        <w:t xml:space="preserve"> not involve any technology</w:t>
      </w:r>
      <w:r w:rsidR="0094684D">
        <w:t xml:space="preserve"> and was </w:t>
      </w:r>
      <w:r w:rsidR="00A66609">
        <w:t xml:space="preserve">delivered by printed materials or during face-to-face meetings, or </w:t>
      </w:r>
      <w:r w:rsidR="0094684D">
        <w:t xml:space="preserve">via </w:t>
      </w:r>
      <w:r w:rsidR="00A66609">
        <w:t xml:space="preserve">telecommunications technology without </w:t>
      </w:r>
      <w:r w:rsidR="0094684D">
        <w:t xml:space="preserve">automated </w:t>
      </w:r>
      <w:r w:rsidR="00A66609">
        <w:t>software</w:t>
      </w:r>
      <w:r w:rsidR="0094684D">
        <w:t xml:space="preserve"> </w:t>
      </w:r>
      <w:r w:rsidR="00A66609">
        <w:t xml:space="preserve">e.g. consultations by email, skype, or phone.  </w:t>
      </w:r>
    </w:p>
    <w:p w14:paraId="1B74B640" w14:textId="77777777" w:rsidR="0094684D" w:rsidRDefault="0094684D" w:rsidP="00917063"/>
    <w:p w14:paraId="0E1FB6C0" w14:textId="325461D5" w:rsidR="0054383C" w:rsidRDefault="004C0AB1" w:rsidP="00917063">
      <w:r w:rsidRPr="00050B9A">
        <w:rPr>
          <w:i/>
          <w:iCs/>
        </w:rPr>
        <w:t>Criterion 3</w:t>
      </w:r>
      <w:r w:rsidR="00050B9A" w:rsidRPr="00050B9A">
        <w:rPr>
          <w:i/>
          <w:iCs/>
        </w:rPr>
        <w:t xml:space="preserve"> - </w:t>
      </w:r>
      <w:r w:rsidRPr="00050B9A">
        <w:rPr>
          <w:i/>
          <w:iCs/>
        </w:rPr>
        <w:t>S</w:t>
      </w:r>
      <w:r w:rsidR="00917063" w:rsidRPr="00050B9A">
        <w:rPr>
          <w:i/>
          <w:iCs/>
        </w:rPr>
        <w:t xml:space="preserve">upported (S) or </w:t>
      </w:r>
      <w:r w:rsidRPr="00050B9A">
        <w:rPr>
          <w:i/>
          <w:iCs/>
        </w:rPr>
        <w:t>U</w:t>
      </w:r>
      <w:r w:rsidR="00917063" w:rsidRPr="00050B9A">
        <w:rPr>
          <w:i/>
          <w:iCs/>
        </w:rPr>
        <w:t>nsupported (U)</w:t>
      </w:r>
      <w:r>
        <w:t xml:space="preserve">: </w:t>
      </w:r>
      <w:r w:rsidR="00050B9A">
        <w:t>Supported interventions</w:t>
      </w:r>
      <w:r w:rsidR="00A326F8">
        <w:t>/</w:t>
      </w:r>
      <w:r w:rsidR="00050B9A">
        <w:t xml:space="preserve">controls included scheduled or regular two-way person-to-person </w:t>
      </w:r>
      <w:r w:rsidR="00A326F8">
        <w:t xml:space="preserve">contact </w:t>
      </w:r>
      <w:r w:rsidR="00050B9A">
        <w:t>(e.g. between service user and clinician or researcher, or peer-to-peer).</w:t>
      </w:r>
      <w:r w:rsidR="00917063">
        <w:t xml:space="preserve"> </w:t>
      </w:r>
      <w:r w:rsidR="0054383C">
        <w:t>Unsupported</w:t>
      </w:r>
      <w:r w:rsidR="00050B9A">
        <w:t xml:space="preserve"> i</w:t>
      </w:r>
      <w:r w:rsidR="0054383C">
        <w:t>nterventions</w:t>
      </w:r>
      <w:r w:rsidR="00A326F8">
        <w:t>/</w:t>
      </w:r>
      <w:r w:rsidR="0054383C">
        <w:t xml:space="preserve">controls either </w:t>
      </w:r>
      <w:r w:rsidR="00050B9A">
        <w:t xml:space="preserve">had </w:t>
      </w:r>
      <w:r w:rsidR="0054383C">
        <w:t xml:space="preserve">no </w:t>
      </w:r>
      <w:r w:rsidR="00A326F8">
        <w:t>interpersonal contact</w:t>
      </w:r>
      <w:r w:rsidR="0054383C">
        <w:t xml:space="preserve"> or </w:t>
      </w:r>
      <w:r w:rsidR="00050B9A">
        <w:t>included limited</w:t>
      </w:r>
      <w:r w:rsidR="0054383C">
        <w:t xml:space="preserve"> ad-hoc interaction (e.g. phoning a helpline </w:t>
      </w:r>
      <w:r w:rsidR="00A326F8">
        <w:t xml:space="preserve">with </w:t>
      </w:r>
      <w:r w:rsidR="0054383C">
        <w:t>any problems as a one-off)</w:t>
      </w:r>
      <w:r w:rsidR="00050B9A">
        <w:t>. We also classified as unsupported interventions</w:t>
      </w:r>
      <w:r w:rsidR="00A326F8">
        <w:t>/</w:t>
      </w:r>
      <w:r w:rsidR="00050B9A">
        <w:t xml:space="preserve">controls </w:t>
      </w:r>
      <w:r w:rsidR="00A326F8">
        <w:t>those in which</w:t>
      </w:r>
      <w:r w:rsidR="0054383C">
        <w:t xml:space="preserve"> communication</w:t>
      </w:r>
      <w:r w:rsidR="00A326F8">
        <w:t xml:space="preserve"> was one-way</w:t>
      </w:r>
      <w:r w:rsidR="00050B9A">
        <w:t xml:space="preserve">, </w:t>
      </w:r>
      <w:r w:rsidR="0054383C">
        <w:t xml:space="preserve">such as </w:t>
      </w:r>
      <w:r w:rsidR="00C16CB7">
        <w:t xml:space="preserve">a </w:t>
      </w:r>
      <w:r w:rsidR="0054383C">
        <w:t>reminders</w:t>
      </w:r>
      <w:r w:rsidR="00050B9A">
        <w:t xml:space="preserve"> by email,</w:t>
      </w:r>
      <w:r w:rsidR="0054383C">
        <w:t xml:space="preserve"> post or phone</w:t>
      </w:r>
      <w:r w:rsidR="00C16CB7">
        <w:t>.</w:t>
      </w:r>
    </w:p>
    <w:p w14:paraId="26AB772B" w14:textId="77777777" w:rsidR="00917063" w:rsidRDefault="00917063" w:rsidP="00917063"/>
    <w:p w14:paraId="6157D351" w14:textId="7282C005" w:rsidR="00C6001C" w:rsidRDefault="00917063" w:rsidP="004336DB">
      <w:r>
        <w:t>Base</w:t>
      </w:r>
      <w:r w:rsidR="00050B9A">
        <w:t>d</w:t>
      </w:r>
      <w:r>
        <w:t xml:space="preserve"> on these</w:t>
      </w:r>
      <w:r w:rsidR="00050B9A">
        <w:t xml:space="preserve"> three</w:t>
      </w:r>
      <w:r>
        <w:t xml:space="preserve"> criteria, we mapped DIs and </w:t>
      </w:r>
      <w:r w:rsidR="00B56AF3">
        <w:t xml:space="preserve">their </w:t>
      </w:r>
      <w:r>
        <w:t xml:space="preserve">alternatives into </w:t>
      </w:r>
      <w:r w:rsidR="00C6001C">
        <w:t>eight</w:t>
      </w:r>
      <w:r>
        <w:t xml:space="preserve"> groups</w:t>
      </w:r>
      <w:r w:rsidR="00B56AF3">
        <w:t xml:space="preserve"> </w:t>
      </w:r>
      <w:r w:rsidR="00D96E4E">
        <w:t>resulting from the combinations of (</w:t>
      </w:r>
      <w:r w:rsidR="00B56AF3">
        <w:t>I</w:t>
      </w:r>
      <w:r w:rsidR="00407634">
        <w:t xml:space="preserve"> or </w:t>
      </w:r>
      <w:r w:rsidR="00B56AF3">
        <w:t>C</w:t>
      </w:r>
      <w:r w:rsidR="00D96E4E">
        <w:t>)</w:t>
      </w:r>
      <w:r w:rsidR="00407634">
        <w:t xml:space="preserve"> x </w:t>
      </w:r>
      <w:r w:rsidR="00D96E4E">
        <w:t>(</w:t>
      </w:r>
      <w:r w:rsidR="00B56AF3">
        <w:t>D</w:t>
      </w:r>
      <w:r w:rsidR="00407634">
        <w:t xml:space="preserve"> or </w:t>
      </w:r>
      <w:r w:rsidR="00B56AF3">
        <w:t>NoD</w:t>
      </w:r>
      <w:r w:rsidR="00D96E4E">
        <w:t>)</w:t>
      </w:r>
      <w:r w:rsidR="00407634">
        <w:t xml:space="preserve"> x </w:t>
      </w:r>
      <w:r w:rsidR="00D96E4E">
        <w:t>(</w:t>
      </w:r>
      <w:r w:rsidR="00B56AF3">
        <w:t>S</w:t>
      </w:r>
      <w:r w:rsidR="00407634">
        <w:t xml:space="preserve"> or </w:t>
      </w:r>
      <w:r w:rsidR="00B56AF3">
        <w:t>U</w:t>
      </w:r>
      <w:r w:rsidR="00D96E4E">
        <w:t>)</w:t>
      </w:r>
      <w:r w:rsidR="00B56AF3">
        <w:t xml:space="preserve">. </w:t>
      </w:r>
    </w:p>
    <w:p w14:paraId="2A02117B" w14:textId="58F4A555" w:rsidR="00C6001C" w:rsidRDefault="00D96E4E" w:rsidP="00D96E4E">
      <w:r w:rsidRPr="00D96E4E">
        <w:rPr>
          <w:i/>
          <w:iCs/>
        </w:rPr>
        <w:t xml:space="preserve">Group 1: </w:t>
      </w:r>
      <w:r w:rsidR="00C6001C" w:rsidRPr="00D96E4E">
        <w:rPr>
          <w:i/>
          <w:iCs/>
        </w:rPr>
        <w:t xml:space="preserve">Supported Digital Intervention </w:t>
      </w:r>
      <w:r w:rsidR="00917063" w:rsidRPr="00D96E4E">
        <w:rPr>
          <w:i/>
          <w:iCs/>
        </w:rPr>
        <w:t>(SDI)</w:t>
      </w:r>
      <w:r>
        <w:t>,</w:t>
      </w:r>
      <w:r w:rsidR="00C6001C">
        <w:t xml:space="preserve"> e.g. c</w:t>
      </w:r>
      <w:r w:rsidR="00C6001C" w:rsidRPr="00C6001C">
        <w:t xml:space="preserve">omputerised </w:t>
      </w:r>
      <w:r w:rsidR="00C6001C">
        <w:t xml:space="preserve">cognitive behaviour therapy </w:t>
      </w:r>
      <w:r w:rsidR="00C6001C" w:rsidRPr="00C6001C">
        <w:t xml:space="preserve">with phone support; clinician-delivered therapy </w:t>
      </w:r>
      <w:r w:rsidR="00C6001C">
        <w:t>assisted by</w:t>
      </w:r>
      <w:r w:rsidR="00C6001C" w:rsidRPr="00C6001C">
        <w:t xml:space="preserve"> </w:t>
      </w:r>
      <w:r w:rsidR="00C6001C">
        <w:t>virtual reality.</w:t>
      </w:r>
    </w:p>
    <w:p w14:paraId="5F956F83" w14:textId="60B0F6ED" w:rsidR="00C6001C" w:rsidRDefault="00D96E4E" w:rsidP="00D96E4E">
      <w:r w:rsidRPr="00D96E4E">
        <w:rPr>
          <w:i/>
          <w:iCs/>
        </w:rPr>
        <w:t xml:space="preserve">Group 2: </w:t>
      </w:r>
      <w:r w:rsidR="00C6001C" w:rsidRPr="00D96E4E">
        <w:rPr>
          <w:i/>
          <w:iCs/>
        </w:rPr>
        <w:t xml:space="preserve">Unsupported Digital Intervention </w:t>
      </w:r>
      <w:r w:rsidR="00917063" w:rsidRPr="00D96E4E">
        <w:rPr>
          <w:i/>
          <w:iCs/>
        </w:rPr>
        <w:t>(UDI)</w:t>
      </w:r>
      <w:r w:rsidR="00C6001C">
        <w:t>, e.g.</w:t>
      </w:r>
      <w:r w:rsidRPr="00D96E4E">
        <w:t xml:space="preserve"> </w:t>
      </w:r>
      <w:r>
        <w:t>i</w:t>
      </w:r>
      <w:r w:rsidRPr="00D96E4E">
        <w:t>nternet self-help without any clinician contact</w:t>
      </w:r>
      <w:r>
        <w:t>,</w:t>
      </w:r>
      <w:r w:rsidRPr="00D96E4E">
        <w:t xml:space="preserve"> mobile app with automated reminders but without </w:t>
      </w:r>
      <w:r w:rsidR="00055B30">
        <w:t xml:space="preserve">personal </w:t>
      </w:r>
      <w:r w:rsidRPr="00D96E4E">
        <w:t>interaction.</w:t>
      </w:r>
    </w:p>
    <w:p w14:paraId="782FD135" w14:textId="5D082F8D" w:rsidR="00C6001C" w:rsidRDefault="00D96E4E" w:rsidP="00D96E4E">
      <w:r w:rsidRPr="00324137">
        <w:rPr>
          <w:i/>
          <w:iCs/>
        </w:rPr>
        <w:t xml:space="preserve">Group 3: </w:t>
      </w:r>
      <w:r w:rsidR="00C6001C" w:rsidRPr="00324137">
        <w:rPr>
          <w:i/>
          <w:iCs/>
        </w:rPr>
        <w:t xml:space="preserve">Supported Non-Digital Intervention </w:t>
      </w:r>
      <w:r w:rsidR="00917063" w:rsidRPr="00324137">
        <w:rPr>
          <w:i/>
          <w:iCs/>
        </w:rPr>
        <w:t>(SNoDI)</w:t>
      </w:r>
      <w:r w:rsidR="00C6001C">
        <w:t>, e.g.</w:t>
      </w:r>
      <w:r w:rsidR="00324137">
        <w:t xml:space="preserve"> i</w:t>
      </w:r>
      <w:r w:rsidR="00324137" w:rsidRPr="00324137">
        <w:t>ndividual or group therapy</w:t>
      </w:r>
      <w:r w:rsidR="00324137">
        <w:t xml:space="preserve"> in a clinic, or therapy delivered </w:t>
      </w:r>
      <w:r w:rsidR="00333088">
        <w:t xml:space="preserve">by a clinician </w:t>
      </w:r>
      <w:r w:rsidR="00324137">
        <w:t xml:space="preserve">via phone or an online platform. </w:t>
      </w:r>
    </w:p>
    <w:p w14:paraId="50D8F6F8" w14:textId="59A62EC7" w:rsidR="00C6001C" w:rsidRDefault="00D96E4E" w:rsidP="00D96E4E">
      <w:r w:rsidRPr="00324137">
        <w:rPr>
          <w:i/>
          <w:iCs/>
        </w:rPr>
        <w:t xml:space="preserve">Group 4: </w:t>
      </w:r>
      <w:r w:rsidR="00C6001C" w:rsidRPr="00324137">
        <w:rPr>
          <w:i/>
          <w:iCs/>
        </w:rPr>
        <w:t xml:space="preserve">Unsupported Non-Digital Intervention </w:t>
      </w:r>
      <w:r w:rsidR="00917063" w:rsidRPr="00324137">
        <w:rPr>
          <w:i/>
          <w:iCs/>
        </w:rPr>
        <w:t>(UNoDI)</w:t>
      </w:r>
      <w:r w:rsidR="00917063">
        <w:t xml:space="preserve">, </w:t>
      </w:r>
      <w:r w:rsidR="00324137">
        <w:t>e.g. s</w:t>
      </w:r>
      <w:r w:rsidR="00324137" w:rsidRPr="00324137">
        <w:t>elf-help using a treatment manual</w:t>
      </w:r>
      <w:r w:rsidR="00324137">
        <w:t xml:space="preserve"> or a book or a website without clinician input. </w:t>
      </w:r>
    </w:p>
    <w:p w14:paraId="372727DE" w14:textId="5B664826" w:rsidR="00C6001C" w:rsidRDefault="00D96E4E" w:rsidP="00D96E4E">
      <w:r w:rsidRPr="008E1C83">
        <w:rPr>
          <w:i/>
          <w:iCs/>
        </w:rPr>
        <w:t xml:space="preserve">Group 5: </w:t>
      </w:r>
      <w:r w:rsidR="00C6001C" w:rsidRPr="008E1C83">
        <w:rPr>
          <w:i/>
          <w:iCs/>
        </w:rPr>
        <w:t xml:space="preserve">Supported Digital Control </w:t>
      </w:r>
      <w:r w:rsidR="00917063" w:rsidRPr="008E1C83">
        <w:rPr>
          <w:i/>
          <w:iCs/>
        </w:rPr>
        <w:t>(SDC)</w:t>
      </w:r>
      <w:r w:rsidR="00917063">
        <w:t xml:space="preserve">, </w:t>
      </w:r>
      <w:r w:rsidR="00324137">
        <w:t xml:space="preserve">e.g. </w:t>
      </w:r>
      <w:r w:rsidR="008E1C83">
        <w:t>a</w:t>
      </w:r>
      <w:r w:rsidR="008E1C83" w:rsidRPr="008E1C83">
        <w:t>ccess to a general health education website with weekly check-in calls</w:t>
      </w:r>
      <w:r w:rsidR="00F433BF">
        <w:t xml:space="preserve"> </w:t>
      </w:r>
      <w:r w:rsidR="00055B30">
        <w:t>from a researcher</w:t>
      </w:r>
      <w:r w:rsidR="008E1C83" w:rsidRPr="008E1C83">
        <w:t xml:space="preserve">; </w:t>
      </w:r>
      <w:r w:rsidR="008E1C83">
        <w:t>virtual reality</w:t>
      </w:r>
      <w:r w:rsidR="008E1C83" w:rsidRPr="008E1C83">
        <w:t xml:space="preserve"> ‘</w:t>
      </w:r>
      <w:r w:rsidR="008E1C83">
        <w:t>placebo</w:t>
      </w:r>
      <w:r w:rsidR="008E1C83" w:rsidRPr="008E1C83">
        <w:t xml:space="preserve">’ </w:t>
      </w:r>
      <w:r w:rsidR="008E1C83">
        <w:t xml:space="preserve">environment </w:t>
      </w:r>
      <w:r w:rsidR="00055B30">
        <w:t xml:space="preserve">used </w:t>
      </w:r>
      <w:r w:rsidR="008E1C83">
        <w:t>in a clinic</w:t>
      </w:r>
      <w:r w:rsidR="00055B30">
        <w:t xml:space="preserve"> with a researcher present.</w:t>
      </w:r>
    </w:p>
    <w:p w14:paraId="4CF732D6" w14:textId="225240DC" w:rsidR="00C6001C" w:rsidRDefault="00D96E4E" w:rsidP="00D96E4E">
      <w:r w:rsidRPr="00F433BF">
        <w:rPr>
          <w:i/>
          <w:iCs/>
        </w:rPr>
        <w:t xml:space="preserve">Group 6: </w:t>
      </w:r>
      <w:r w:rsidR="00C6001C" w:rsidRPr="00F433BF">
        <w:rPr>
          <w:i/>
          <w:iCs/>
        </w:rPr>
        <w:t xml:space="preserve">Unsupported Digital Control </w:t>
      </w:r>
      <w:r w:rsidR="00917063" w:rsidRPr="00F433BF">
        <w:rPr>
          <w:i/>
          <w:iCs/>
        </w:rPr>
        <w:t>(UDC)</w:t>
      </w:r>
      <w:r w:rsidR="00917063">
        <w:t xml:space="preserve">, </w:t>
      </w:r>
      <w:r w:rsidR="008E1C83">
        <w:t xml:space="preserve">e.g. </w:t>
      </w:r>
      <w:r w:rsidR="00F433BF">
        <w:t>a</w:t>
      </w:r>
      <w:r w:rsidR="00F433BF" w:rsidRPr="00F433BF">
        <w:t>ccess to an educational website with</w:t>
      </w:r>
      <w:r w:rsidR="00F433BF">
        <w:t xml:space="preserve">out any support </w:t>
      </w:r>
      <w:r w:rsidR="00055B30">
        <w:t xml:space="preserve">from a person </w:t>
      </w:r>
      <w:r w:rsidR="00F433BF">
        <w:t xml:space="preserve">or with just automated </w:t>
      </w:r>
      <w:r w:rsidR="00F433BF" w:rsidRPr="00F433BF">
        <w:t>reminder emails.</w:t>
      </w:r>
    </w:p>
    <w:p w14:paraId="11D71FD2" w14:textId="5FAEAA40" w:rsidR="00C6001C" w:rsidRDefault="00D96E4E" w:rsidP="00D96E4E">
      <w:r w:rsidRPr="00F433BF">
        <w:rPr>
          <w:i/>
          <w:iCs/>
        </w:rPr>
        <w:t xml:space="preserve">Group 7: </w:t>
      </w:r>
      <w:r w:rsidR="00C6001C" w:rsidRPr="00F433BF">
        <w:rPr>
          <w:i/>
          <w:iCs/>
        </w:rPr>
        <w:t xml:space="preserve">Supported Non-Digital Control </w:t>
      </w:r>
      <w:r w:rsidR="00917063" w:rsidRPr="00F433BF">
        <w:rPr>
          <w:i/>
          <w:iCs/>
        </w:rPr>
        <w:t>(SNoDC)</w:t>
      </w:r>
      <w:r w:rsidR="00917063">
        <w:t xml:space="preserve">, </w:t>
      </w:r>
      <w:r w:rsidR="00F433BF">
        <w:t xml:space="preserve">e.g. </w:t>
      </w:r>
      <w:r w:rsidR="00F433BF" w:rsidRPr="00F433BF">
        <w:t xml:space="preserve">weekly check-in </w:t>
      </w:r>
      <w:r w:rsidR="00F433BF">
        <w:t>by phone or regular clinical</w:t>
      </w:r>
      <w:r w:rsidR="00F433BF" w:rsidRPr="00F433BF">
        <w:t xml:space="preserve"> assessment</w:t>
      </w:r>
      <w:r w:rsidR="00F433BF">
        <w:t xml:space="preserve"> face-to-face without </w:t>
      </w:r>
      <w:r w:rsidR="00055B30">
        <w:t xml:space="preserve">any </w:t>
      </w:r>
      <w:r w:rsidR="00F433BF">
        <w:t>specific therapy instructions</w:t>
      </w:r>
      <w:r w:rsidR="00F433BF" w:rsidRPr="00F433BF">
        <w:t>.</w:t>
      </w:r>
    </w:p>
    <w:p w14:paraId="334DD7BE" w14:textId="7DD20958" w:rsidR="004C0AB1" w:rsidRDefault="00D96E4E" w:rsidP="00D96E4E">
      <w:r w:rsidRPr="00F433BF">
        <w:rPr>
          <w:i/>
          <w:iCs/>
        </w:rPr>
        <w:t xml:space="preserve">Group 8: </w:t>
      </w:r>
      <w:r w:rsidR="00C6001C" w:rsidRPr="00F433BF">
        <w:rPr>
          <w:i/>
          <w:iCs/>
        </w:rPr>
        <w:t xml:space="preserve">Unsupported Non-Digital Controls </w:t>
      </w:r>
      <w:r w:rsidR="00917063" w:rsidRPr="00F433BF">
        <w:rPr>
          <w:i/>
          <w:iCs/>
        </w:rPr>
        <w:t>(UnoDC)</w:t>
      </w:r>
      <w:r w:rsidR="00F433BF">
        <w:t xml:space="preserve">, e.g. printed materials </w:t>
      </w:r>
      <w:r w:rsidR="00F433BF" w:rsidRPr="00F433BF">
        <w:t xml:space="preserve">with </w:t>
      </w:r>
      <w:r w:rsidR="00F433BF">
        <w:t>general</w:t>
      </w:r>
      <w:r w:rsidR="00EF1A33">
        <w:t xml:space="preserve"> </w:t>
      </w:r>
      <w:r w:rsidR="00F433BF" w:rsidRPr="00F433BF">
        <w:t xml:space="preserve">health advice </w:t>
      </w:r>
      <w:r w:rsidR="008A2CD1">
        <w:t xml:space="preserve">without </w:t>
      </w:r>
      <w:r w:rsidR="00055B30">
        <w:t xml:space="preserve">any </w:t>
      </w:r>
      <w:r w:rsidR="008A2CD1">
        <w:t xml:space="preserve">specific </w:t>
      </w:r>
      <w:r w:rsidR="0044390F">
        <w:t>therapy</w:t>
      </w:r>
      <w:r w:rsidR="008A2CD1">
        <w:t xml:space="preserve"> instructions</w:t>
      </w:r>
      <w:r w:rsidR="00F433BF">
        <w:t>.</w:t>
      </w:r>
    </w:p>
    <w:p w14:paraId="25BC1DC7" w14:textId="77777777" w:rsidR="004C0AB1" w:rsidRDefault="004C0AB1" w:rsidP="004336DB"/>
    <w:p w14:paraId="0E8FE780" w14:textId="0BCDBC9A" w:rsidR="00602D59" w:rsidRDefault="00917063" w:rsidP="004336DB">
      <w:r>
        <w:t xml:space="preserve">Separate </w:t>
      </w:r>
      <w:r w:rsidR="00B56AF3">
        <w:t>groups</w:t>
      </w:r>
      <w:r>
        <w:t xml:space="preserve"> were used for medication </w:t>
      </w:r>
      <w:r w:rsidR="0094684D">
        <w:t xml:space="preserve">and no intervention. </w:t>
      </w:r>
      <w:r w:rsidR="0094684D" w:rsidRPr="0094684D">
        <w:t>Medication (M</w:t>
      </w:r>
      <w:r w:rsidR="0094684D">
        <w:t>) was any</w:t>
      </w:r>
      <w:r w:rsidR="0094684D" w:rsidRPr="0094684D">
        <w:t xml:space="preserve"> pharmacological agent (pills, injections, etc) offered as part of a research protocol.</w:t>
      </w:r>
      <w:r w:rsidR="0094684D">
        <w:t xml:space="preserve"> No Intervention (NI) included</w:t>
      </w:r>
      <w:r w:rsidR="0094684D" w:rsidRPr="0094684D">
        <w:t xml:space="preserve"> waiting list</w:t>
      </w:r>
      <w:r w:rsidR="0094684D">
        <w:t>s and</w:t>
      </w:r>
      <w:r w:rsidR="0094684D" w:rsidRPr="0094684D">
        <w:t xml:space="preserve"> usual care </w:t>
      </w:r>
      <w:r w:rsidR="0094684D">
        <w:t xml:space="preserve">in which there were no additional therapeutic </w:t>
      </w:r>
      <w:r w:rsidR="0094684D" w:rsidRPr="0094684D">
        <w:t>activit</w:t>
      </w:r>
      <w:r w:rsidR="0094684D">
        <w:t>ies</w:t>
      </w:r>
      <w:r w:rsidR="0094684D" w:rsidRPr="0094684D">
        <w:t xml:space="preserve"> and no changes </w:t>
      </w:r>
      <w:r w:rsidR="0094684D">
        <w:t>in patient routine</w:t>
      </w:r>
      <w:r w:rsidR="00757CC2">
        <w:t>s</w:t>
      </w:r>
      <w:r w:rsidR="0094684D">
        <w:t>.</w:t>
      </w:r>
      <w:r w:rsidR="00757CC2">
        <w:t xml:space="preserve"> The</w:t>
      </w:r>
      <w:r w:rsidR="00050B9A">
        <w:t xml:space="preserve"> NI group may still have </w:t>
      </w:r>
      <w:r w:rsidR="0094684D">
        <w:t xml:space="preserve">received medication </w:t>
      </w:r>
      <w:r w:rsidR="00050B9A">
        <w:t xml:space="preserve">or consultations </w:t>
      </w:r>
      <w:r w:rsidR="0094684D">
        <w:t xml:space="preserve">as part of </w:t>
      </w:r>
      <w:r w:rsidR="00050B9A">
        <w:t xml:space="preserve">routine </w:t>
      </w:r>
      <w:r w:rsidR="00757CC2">
        <w:t>care</w:t>
      </w:r>
      <w:r w:rsidR="0094684D">
        <w:t xml:space="preserve">, </w:t>
      </w:r>
      <w:r w:rsidR="00050B9A">
        <w:t>but this</w:t>
      </w:r>
      <w:r w:rsidR="0094684D">
        <w:t xml:space="preserve"> w</w:t>
      </w:r>
      <w:r w:rsidR="00050B9A">
        <w:t>ould have been</w:t>
      </w:r>
      <w:r w:rsidR="0094684D">
        <w:t xml:space="preserve"> </w:t>
      </w:r>
      <w:r w:rsidR="00050B9A">
        <w:t xml:space="preserve">equally </w:t>
      </w:r>
      <w:r w:rsidR="0094684D" w:rsidRPr="0094684D">
        <w:t xml:space="preserve">accessible to all participants </w:t>
      </w:r>
      <w:r w:rsidR="00757CC2">
        <w:t xml:space="preserve">in a trial </w:t>
      </w:r>
      <w:r w:rsidR="0094684D" w:rsidRPr="0094684D">
        <w:t>irrespective of group allocation</w:t>
      </w:r>
      <w:r w:rsidR="00050B9A">
        <w:t xml:space="preserve">, so the effect would </w:t>
      </w:r>
      <w:r w:rsidR="00757CC2">
        <w:t>be</w:t>
      </w:r>
      <w:r w:rsidR="00050B9A">
        <w:t xml:space="preserve"> cancelled out across randomisation arms.</w:t>
      </w:r>
    </w:p>
    <w:p w14:paraId="4841E708" w14:textId="19DB5BE7" w:rsidR="003F6412" w:rsidRPr="00284E38" w:rsidRDefault="003F6412" w:rsidP="007737A7">
      <w:pPr>
        <w:rPr>
          <w:b/>
          <w:iCs/>
        </w:rPr>
      </w:pPr>
    </w:p>
    <w:p w14:paraId="681FE111" w14:textId="3EC1EF1D" w:rsidR="008065B8" w:rsidRPr="00284E38" w:rsidRDefault="00DE1A9F" w:rsidP="00E154E0">
      <w:pPr>
        <w:rPr>
          <w:b/>
          <w:iCs/>
        </w:rPr>
      </w:pPr>
      <w:r w:rsidRPr="00284E38">
        <w:rPr>
          <w:b/>
          <w:iCs/>
        </w:rPr>
        <w:t>2.</w:t>
      </w:r>
      <w:r w:rsidR="005F413C" w:rsidRPr="00284E38">
        <w:rPr>
          <w:b/>
          <w:iCs/>
        </w:rPr>
        <w:t>6</w:t>
      </w:r>
      <w:r w:rsidRPr="00284E38">
        <w:rPr>
          <w:b/>
          <w:iCs/>
        </w:rPr>
        <w:t xml:space="preserve">. </w:t>
      </w:r>
      <w:r w:rsidR="008065B8" w:rsidRPr="00284E38">
        <w:rPr>
          <w:b/>
          <w:iCs/>
        </w:rPr>
        <w:t>Data synthesis and statistical analysis</w:t>
      </w:r>
    </w:p>
    <w:p w14:paraId="52C92E75" w14:textId="77777777" w:rsidR="00826F9A" w:rsidRPr="00284E38" w:rsidRDefault="00826F9A" w:rsidP="00E154E0"/>
    <w:p w14:paraId="28EEBED4" w14:textId="7CDC80F2" w:rsidR="005E3799" w:rsidRDefault="005E3799" w:rsidP="00E154E0">
      <w:r w:rsidRPr="00284E38">
        <w:t xml:space="preserve">Over the last two decades, network meta-analysis (NMA) methods </w:t>
      </w:r>
      <w:r w:rsidRPr="00284E38">
        <w:rPr>
          <w:noProof/>
        </w:rPr>
        <w:t>(</w:t>
      </w:r>
      <w:hyperlink w:anchor="_ENREF_37" w:tooltip="Lumley, 2002 #274" w:history="1">
        <w:r w:rsidRPr="00284E38">
          <w:rPr>
            <w:noProof/>
          </w:rPr>
          <w:t>Lumley, 2002</w:t>
        </w:r>
      </w:hyperlink>
      <w:r w:rsidRPr="00284E38">
        <w:rPr>
          <w:noProof/>
        </w:rPr>
        <w:t>)</w:t>
      </w:r>
      <w:r w:rsidRPr="00284E38">
        <w:t xml:space="preserve"> also known as mixed treatment comparison</w:t>
      </w:r>
      <w:r w:rsidR="0044698F">
        <w:t>s</w:t>
      </w:r>
      <w:r w:rsidRPr="00284E38">
        <w:t xml:space="preserve"> </w:t>
      </w:r>
      <w:r w:rsidRPr="00284E38">
        <w:rPr>
          <w:noProof/>
        </w:rPr>
        <w:t>(</w:t>
      </w:r>
      <w:hyperlink w:anchor="_ENREF_9" w:tooltip="Caldwell, 2005 #275" w:history="1">
        <w:r w:rsidRPr="00284E38">
          <w:rPr>
            <w:noProof/>
          </w:rPr>
          <w:t>Caldwell, Ades, &amp; Higgins, 2005</w:t>
        </w:r>
      </w:hyperlink>
      <w:r w:rsidRPr="00284E38">
        <w:rPr>
          <w:noProof/>
        </w:rPr>
        <w:t xml:space="preserve">; </w:t>
      </w:r>
      <w:hyperlink w:anchor="_ENREF_36" w:tooltip="Lu, 2004 #278" w:history="1">
        <w:r w:rsidRPr="00284E38">
          <w:rPr>
            <w:noProof/>
          </w:rPr>
          <w:t>Lu &amp; Ades, 2004</w:t>
        </w:r>
      </w:hyperlink>
      <w:r w:rsidRPr="00284E38">
        <w:rPr>
          <w:noProof/>
        </w:rPr>
        <w:t>)</w:t>
      </w:r>
      <w:r w:rsidRPr="00284E38">
        <w:t xml:space="preserve"> </w:t>
      </w:r>
      <w:r w:rsidR="0044698F">
        <w:t xml:space="preserve">- </w:t>
      </w:r>
      <w:r w:rsidRPr="00284E38">
        <w:t>have been developed</w:t>
      </w:r>
      <w:r>
        <w:t xml:space="preserve"> to synthesise evidence from multiple studies</w:t>
      </w:r>
      <w:r w:rsidRPr="00284E38">
        <w:t xml:space="preserve">. </w:t>
      </w:r>
      <w:r w:rsidR="0044698F">
        <w:t>NMA is an</w:t>
      </w:r>
      <w:r w:rsidRPr="00284E38">
        <w:t xml:space="preserve"> extension to </w:t>
      </w:r>
      <w:r w:rsidR="006C4B36">
        <w:t xml:space="preserve">the </w:t>
      </w:r>
      <w:r w:rsidRPr="00284E38">
        <w:t>standard (pairwise) meta-analysis</w:t>
      </w:r>
      <w:r w:rsidR="006C4B36">
        <w:t>, which pools together the results of studies for one type of intervention compared to one type of alternative (e.g. active treatment or placebo control) An NMA enables the</w:t>
      </w:r>
      <w:r w:rsidRPr="00284E38">
        <w:t xml:space="preserve"> simultaneous comparison of </w:t>
      </w:r>
      <w:r w:rsidR="006C4B36">
        <w:t>multiple</w:t>
      </w:r>
      <w:r w:rsidRPr="00284E38">
        <w:t xml:space="preserve"> interventions and </w:t>
      </w:r>
      <w:r w:rsidR="006C4B36">
        <w:t>multiple</w:t>
      </w:r>
      <w:r w:rsidR="00027713">
        <w:t xml:space="preserve"> </w:t>
      </w:r>
      <w:r w:rsidR="006C4B36">
        <w:t>comparators</w:t>
      </w:r>
      <w:r w:rsidRPr="00284E38">
        <w:t xml:space="preserve"> within a single coherent analysis. Such an approach is routinely used in health technology assessments to inform the optimal intervention strategy for a given medical condition </w:t>
      </w:r>
      <w:r w:rsidRPr="00284E38">
        <w:rPr>
          <w:noProof/>
        </w:rPr>
        <w:t>(</w:t>
      </w:r>
      <w:hyperlink w:anchor="_ENREF_12" w:tooltip="Cooper, 2011 #282" w:history="1">
        <w:r w:rsidRPr="00284E38">
          <w:rPr>
            <w:noProof/>
          </w:rPr>
          <w:t>Cooper et al., 2011</w:t>
        </w:r>
      </w:hyperlink>
      <w:r w:rsidRPr="00284E38">
        <w:rPr>
          <w:noProof/>
        </w:rPr>
        <w:t>)</w:t>
      </w:r>
      <w:r w:rsidRPr="00284E38">
        <w:t xml:space="preserve">. NMAs are often used to inform estimates of </w:t>
      </w:r>
      <w:r w:rsidR="0044698F">
        <w:t xml:space="preserve">clinical and </w:t>
      </w:r>
      <w:r w:rsidRPr="00284E38">
        <w:t>cost-effectiveness and commissioning decisions.</w:t>
      </w:r>
    </w:p>
    <w:p w14:paraId="4F82CE51" w14:textId="77777777" w:rsidR="005E3799" w:rsidRDefault="005E3799" w:rsidP="00E154E0"/>
    <w:p w14:paraId="7E42D30A" w14:textId="433D3878" w:rsidR="00080130" w:rsidRPr="00284E38" w:rsidRDefault="003902EA" w:rsidP="00E154E0">
      <w:r>
        <w:t>In</w:t>
      </w:r>
      <w:r w:rsidR="00AF1000">
        <w:t xml:space="preserve"> the NMA, a</w:t>
      </w:r>
      <w:r w:rsidR="008E4142" w:rsidRPr="00284E38">
        <w:t xml:space="preserve">n </w:t>
      </w:r>
      <w:r w:rsidR="00094FB2" w:rsidRPr="00284E38">
        <w:t xml:space="preserve">ANalysis of COVAriance (ANCOVA) </w:t>
      </w:r>
      <w:r w:rsidR="00080130" w:rsidRPr="00284E38">
        <w:t xml:space="preserve">modelling </w:t>
      </w:r>
      <w:r w:rsidR="008E4142" w:rsidRPr="00284E38">
        <w:t xml:space="preserve">framework </w:t>
      </w:r>
      <w:r w:rsidR="001653FA" w:rsidRPr="00284E38">
        <w:t>was</w:t>
      </w:r>
      <w:r w:rsidR="00317F78" w:rsidRPr="00284E38">
        <w:t xml:space="preserve"> used, </w:t>
      </w:r>
      <w:r w:rsidR="008E4142" w:rsidRPr="00284E38">
        <w:t xml:space="preserve">where </w:t>
      </w:r>
      <w:r w:rsidR="00466343">
        <w:t>a</w:t>
      </w:r>
      <w:r w:rsidR="00466343" w:rsidRPr="00284E38">
        <w:t xml:space="preserve"> </w:t>
      </w:r>
      <w:r w:rsidR="008E4142" w:rsidRPr="00284E38">
        <w:t xml:space="preserve">final </w:t>
      </w:r>
      <w:r w:rsidR="00466343">
        <w:t xml:space="preserve">outcome </w:t>
      </w:r>
      <w:r w:rsidR="008E4142" w:rsidRPr="00284E38">
        <w:t xml:space="preserve">measurement is </w:t>
      </w:r>
      <w:r w:rsidR="00DB44CB" w:rsidRPr="00284E38">
        <w:t>synthesised</w:t>
      </w:r>
      <w:r w:rsidR="00466343">
        <w:t xml:space="preserve"> and</w:t>
      </w:r>
      <w:r w:rsidR="008E4142" w:rsidRPr="00284E38">
        <w:t xml:space="preserve"> adjust</w:t>
      </w:r>
      <w:r w:rsidR="00317F78" w:rsidRPr="00284E38">
        <w:t xml:space="preserve">ed for </w:t>
      </w:r>
      <w:r w:rsidR="008E4142" w:rsidRPr="00284E38">
        <w:t>baseline measurement</w:t>
      </w:r>
      <w:r w:rsidR="00BC0427" w:rsidRPr="00284E38">
        <w:t>s</w:t>
      </w:r>
      <w:r w:rsidR="008E4142" w:rsidRPr="00284E38">
        <w:t xml:space="preserve">. </w:t>
      </w:r>
      <w:r w:rsidR="00235814" w:rsidRPr="00284E38">
        <w:t xml:space="preserve">Compared to </w:t>
      </w:r>
      <w:r w:rsidR="0079247F" w:rsidRPr="00284E38">
        <w:t xml:space="preserve">the </w:t>
      </w:r>
      <w:r w:rsidR="001653FA" w:rsidRPr="00284E38">
        <w:t>‘</w:t>
      </w:r>
      <w:r w:rsidR="00235814" w:rsidRPr="00284E38">
        <w:t>change from baseline</w:t>
      </w:r>
      <w:r w:rsidR="001653FA" w:rsidRPr="00284E38">
        <w:t>’</w:t>
      </w:r>
      <w:r w:rsidR="00235814" w:rsidRPr="00284E38">
        <w:t xml:space="preserve"> </w:t>
      </w:r>
      <w:r w:rsidR="00621906" w:rsidRPr="00284E38">
        <w:t>approach</w:t>
      </w:r>
      <w:r w:rsidR="00235814" w:rsidRPr="00284E38">
        <w:t xml:space="preserve">, </w:t>
      </w:r>
      <w:r w:rsidR="00466343">
        <w:t xml:space="preserve">the </w:t>
      </w:r>
      <w:r w:rsidR="00235814" w:rsidRPr="00284E38">
        <w:t xml:space="preserve">ANCOVA </w:t>
      </w:r>
      <w:r w:rsidR="00466343">
        <w:t xml:space="preserve">model </w:t>
      </w:r>
      <w:r w:rsidR="00235814" w:rsidRPr="00284E38">
        <w:t xml:space="preserve">avoids </w:t>
      </w:r>
      <w:r w:rsidR="007E2ADE" w:rsidRPr="00284E38">
        <w:t>guess</w:t>
      </w:r>
      <w:r w:rsidR="00EC35BA" w:rsidRPr="00284E38">
        <w:t xml:space="preserve">ing </w:t>
      </w:r>
      <w:r w:rsidR="00235814" w:rsidRPr="00284E38">
        <w:t>within-patient correlation</w:t>
      </w:r>
      <w:r w:rsidR="00466343">
        <w:t xml:space="preserve"> across measurements</w:t>
      </w:r>
      <w:r w:rsidR="00235814" w:rsidRPr="00284E38">
        <w:t xml:space="preserve"> </w:t>
      </w:r>
      <w:r w:rsidR="00466343">
        <w:t>as typically th</w:t>
      </w:r>
      <w:r w:rsidR="00017F73">
        <w:t>is</w:t>
      </w:r>
      <w:r w:rsidR="00466343">
        <w:t xml:space="preserve"> is not reported</w:t>
      </w:r>
      <w:r w:rsidR="00017F73">
        <w:t xml:space="preserve"> in studies</w:t>
      </w:r>
      <w:r w:rsidR="00235814" w:rsidRPr="00284E38">
        <w:t>.</w:t>
      </w:r>
      <w:r w:rsidR="007D3DBD" w:rsidRPr="00284E38">
        <w:t xml:space="preserve"> </w:t>
      </w:r>
      <w:r w:rsidR="00094FB2" w:rsidRPr="00284E38">
        <w:t>Treatment</w:t>
      </w:r>
      <w:r w:rsidR="004A717B" w:rsidRPr="00284E38">
        <w:t xml:space="preserve"> </w:t>
      </w:r>
      <w:r w:rsidR="00094FB2" w:rsidRPr="00284E38">
        <w:t xml:space="preserve">effect estimates based on ANCOVA methods </w:t>
      </w:r>
      <w:r w:rsidR="004A717B" w:rsidRPr="00284E38">
        <w:t xml:space="preserve">have been shown to be </w:t>
      </w:r>
      <w:r w:rsidR="00080130" w:rsidRPr="00284E38">
        <w:t xml:space="preserve">more efficient, less biased </w:t>
      </w:r>
      <w:r w:rsidR="00094FB2" w:rsidRPr="00284E38">
        <w:t>and robu</w:t>
      </w:r>
      <w:r w:rsidR="004A717B" w:rsidRPr="00284E38">
        <w:t xml:space="preserve">st to </w:t>
      </w:r>
      <w:r w:rsidR="003A6C6D" w:rsidRPr="00284E38">
        <w:t>random</w:t>
      </w:r>
      <w:r w:rsidR="004A717B" w:rsidRPr="00284E38">
        <w:t xml:space="preserve"> baseline imbalance </w:t>
      </w:r>
      <w:r w:rsidR="00D33460" w:rsidRPr="00284E38">
        <w:rPr>
          <w:noProof/>
        </w:rPr>
        <w:t>(</w:t>
      </w:r>
      <w:hyperlink w:anchor="_ENREF_19" w:tooltip="Dias, 2013 #76" w:history="1">
        <w:r w:rsidR="00D33460" w:rsidRPr="00284E38">
          <w:rPr>
            <w:noProof/>
          </w:rPr>
          <w:t>Dias, Sutton, Ades, &amp; Welton, 2013</w:t>
        </w:r>
      </w:hyperlink>
      <w:r w:rsidR="00D33460" w:rsidRPr="00284E38">
        <w:rPr>
          <w:noProof/>
        </w:rPr>
        <w:t xml:space="preserve">; </w:t>
      </w:r>
      <w:hyperlink w:anchor="_ENREF_20" w:tooltip="Dias, 2014 #2" w:history="1">
        <w:r w:rsidR="00D33460" w:rsidRPr="00284E38">
          <w:rPr>
            <w:noProof/>
          </w:rPr>
          <w:t>Dias, Welton, Sutton, &amp; Ades, 2014</w:t>
        </w:r>
      </w:hyperlink>
      <w:r w:rsidR="00D33460" w:rsidRPr="00284E38">
        <w:rPr>
          <w:noProof/>
        </w:rPr>
        <w:t xml:space="preserve">; </w:t>
      </w:r>
      <w:hyperlink w:anchor="_ENREF_28" w:tooltip="Higgins, 2020 #133" w:history="1">
        <w:r w:rsidR="00D33460" w:rsidRPr="00284E38">
          <w:rPr>
            <w:noProof/>
          </w:rPr>
          <w:t>Higgins &amp; Cochrane Collaboration, 2020</w:t>
        </w:r>
      </w:hyperlink>
      <w:r w:rsidR="00D33460" w:rsidRPr="00284E38">
        <w:rPr>
          <w:noProof/>
        </w:rPr>
        <w:t xml:space="preserve">; </w:t>
      </w:r>
      <w:hyperlink w:anchor="_ENREF_52" w:tooltip="Riley, 2013 #138" w:history="1">
        <w:r w:rsidR="00D33460" w:rsidRPr="00284E38">
          <w:rPr>
            <w:noProof/>
          </w:rPr>
          <w:t>Riley et al., 2013</w:t>
        </w:r>
      </w:hyperlink>
      <w:r w:rsidR="00D33460" w:rsidRPr="00284E38">
        <w:rPr>
          <w:noProof/>
        </w:rPr>
        <w:t xml:space="preserve">; </w:t>
      </w:r>
      <w:hyperlink w:anchor="_ENREF_64" w:tooltip="van Breukelen, 2013 #140" w:history="1">
        <w:r w:rsidR="00D33460" w:rsidRPr="00284E38">
          <w:rPr>
            <w:noProof/>
          </w:rPr>
          <w:t>van Breukelen, 2013</w:t>
        </w:r>
      </w:hyperlink>
      <w:r w:rsidR="00D33460" w:rsidRPr="00284E38">
        <w:rPr>
          <w:noProof/>
        </w:rPr>
        <w:t xml:space="preserve">; </w:t>
      </w:r>
      <w:hyperlink w:anchor="_ENREF_67" w:tooltip="Winkens, 2007 #141" w:history="1">
        <w:r w:rsidR="00D33460" w:rsidRPr="00284E38">
          <w:rPr>
            <w:noProof/>
          </w:rPr>
          <w:t>Winkens, van Breukelen, Schouten, &amp; Berger, 2007</w:t>
        </w:r>
      </w:hyperlink>
      <w:r w:rsidR="00D33460" w:rsidRPr="00284E38">
        <w:rPr>
          <w:noProof/>
        </w:rPr>
        <w:t>)</w:t>
      </w:r>
      <w:r w:rsidR="00094FB2" w:rsidRPr="00284E38">
        <w:t>.</w:t>
      </w:r>
      <w:r w:rsidR="00080130" w:rsidRPr="00284E38">
        <w:t xml:space="preserve"> </w:t>
      </w:r>
      <w:r w:rsidR="00CC5ACF" w:rsidRPr="00284E38">
        <w:t xml:space="preserve">Hence, </w:t>
      </w:r>
      <w:r w:rsidR="00017F73">
        <w:t xml:space="preserve">the </w:t>
      </w:r>
      <w:r w:rsidR="00CC5ACF" w:rsidRPr="00284E38">
        <w:t>ANCOVA</w:t>
      </w:r>
      <w:r w:rsidR="00017F73">
        <w:t xml:space="preserve"> model</w:t>
      </w:r>
      <w:r w:rsidR="00CC5ACF" w:rsidRPr="00284E38">
        <w:t xml:space="preserve">, is the preferred method for estimating treatment effects from continuous outcomes </w:t>
      </w:r>
      <w:r w:rsidR="00D33460" w:rsidRPr="00284E38">
        <w:rPr>
          <w:noProof/>
        </w:rPr>
        <w:t>(</w:t>
      </w:r>
      <w:hyperlink w:anchor="_ENREF_18" w:tooltip="Deeks, 2008 #130" w:history="1">
        <w:r w:rsidR="00D33460" w:rsidRPr="00284E38">
          <w:rPr>
            <w:noProof/>
          </w:rPr>
          <w:t>Deeks, Higgins, &amp; Altman, 2008</w:t>
        </w:r>
      </w:hyperlink>
      <w:r w:rsidR="00D33460" w:rsidRPr="00284E38">
        <w:rPr>
          <w:noProof/>
        </w:rPr>
        <w:t xml:space="preserve">; </w:t>
      </w:r>
      <w:hyperlink w:anchor="_ENREF_23" w:tooltip="Fu, 2008 #120" w:history="1">
        <w:r w:rsidR="00D33460" w:rsidRPr="00284E38">
          <w:rPr>
            <w:noProof/>
          </w:rPr>
          <w:t>Fu et al., 2008</w:t>
        </w:r>
      </w:hyperlink>
      <w:r w:rsidR="00D33460" w:rsidRPr="00284E38">
        <w:rPr>
          <w:noProof/>
        </w:rPr>
        <w:t xml:space="preserve">; </w:t>
      </w:r>
      <w:hyperlink w:anchor="_ENREF_65" w:tooltip="Vickers, 2001 #129" w:history="1">
        <w:r w:rsidR="00D33460" w:rsidRPr="00284E38">
          <w:rPr>
            <w:noProof/>
          </w:rPr>
          <w:t>Vickers, 2001</w:t>
        </w:r>
      </w:hyperlink>
      <w:r w:rsidR="00D33460" w:rsidRPr="00284E38">
        <w:rPr>
          <w:noProof/>
        </w:rPr>
        <w:t xml:space="preserve">; </w:t>
      </w:r>
      <w:hyperlink w:anchor="_ENREF_66" w:tooltip="Vickers, 2001 #128" w:history="1">
        <w:r w:rsidR="00D33460" w:rsidRPr="00284E38">
          <w:rPr>
            <w:noProof/>
          </w:rPr>
          <w:t>Vickers &amp; Altman, 2001</w:t>
        </w:r>
      </w:hyperlink>
      <w:r w:rsidR="00D33460" w:rsidRPr="00284E38">
        <w:rPr>
          <w:noProof/>
        </w:rPr>
        <w:t>)</w:t>
      </w:r>
      <w:r w:rsidR="00CC5ACF" w:rsidRPr="00284E38">
        <w:t>.</w:t>
      </w:r>
    </w:p>
    <w:p w14:paraId="76C9647E" w14:textId="27213813" w:rsidR="004138D0" w:rsidRPr="00284E38" w:rsidRDefault="004138D0" w:rsidP="00E154E0"/>
    <w:p w14:paraId="071393ED" w14:textId="56FDFD70" w:rsidR="008E4142" w:rsidRPr="00284E38" w:rsidRDefault="0033348D" w:rsidP="004336DB">
      <w:r>
        <w:t>We adopted a</w:t>
      </w:r>
      <w:r w:rsidR="009F1E6B" w:rsidRPr="00284E38">
        <w:t xml:space="preserve"> modelling approach in line with the parameterisation </w:t>
      </w:r>
      <w:r w:rsidR="005063B8" w:rsidRPr="00284E38">
        <w:t xml:space="preserve">for continuous data with normal likelihood and identity link </w:t>
      </w:r>
      <w:r w:rsidR="009F1E6B" w:rsidRPr="00284E38">
        <w:t xml:space="preserve">used </w:t>
      </w:r>
      <w:r w:rsidR="005063B8" w:rsidRPr="00284E38">
        <w:t xml:space="preserve">by Dias et al </w:t>
      </w:r>
      <w:r w:rsidR="00D33460" w:rsidRPr="00284E38">
        <w:rPr>
          <w:noProof/>
        </w:rPr>
        <w:t>(</w:t>
      </w:r>
      <w:hyperlink w:anchor="_ENREF_19" w:tooltip="Dias, 2013 #76" w:history="1">
        <w:r w:rsidR="00D33460" w:rsidRPr="00284E38">
          <w:rPr>
            <w:noProof/>
          </w:rPr>
          <w:t>Dias, Sutton, et al., 2013</w:t>
        </w:r>
      </w:hyperlink>
      <w:r w:rsidR="00D33460" w:rsidRPr="00284E38">
        <w:rPr>
          <w:noProof/>
        </w:rPr>
        <w:t xml:space="preserve">; </w:t>
      </w:r>
      <w:hyperlink w:anchor="_ENREF_20" w:tooltip="Dias, 2014 #2" w:history="1">
        <w:r w:rsidR="00D33460" w:rsidRPr="00284E38">
          <w:rPr>
            <w:noProof/>
          </w:rPr>
          <w:t>Dias, Welton, Sutton, &amp; Ades, 2014</w:t>
        </w:r>
      </w:hyperlink>
      <w:r w:rsidR="00D33460" w:rsidRPr="00284E38">
        <w:rPr>
          <w:noProof/>
        </w:rPr>
        <w:t>)</w:t>
      </w:r>
      <w:r w:rsidR="005063B8" w:rsidRPr="00284E38">
        <w:t xml:space="preserve">. </w:t>
      </w:r>
      <w:r w:rsidR="008E4142" w:rsidRPr="00284E38">
        <w:t>Fixed-</w:t>
      </w:r>
      <w:r w:rsidR="00A742BB" w:rsidRPr="00284E38">
        <w:t>effects</w:t>
      </w:r>
      <w:r w:rsidR="008E4142" w:rsidRPr="00284E38">
        <w:t xml:space="preserve"> </w:t>
      </w:r>
      <w:r w:rsidR="00893340" w:rsidRPr="00284E38">
        <w:t xml:space="preserve">(FE) </w:t>
      </w:r>
      <w:r w:rsidR="008E4142" w:rsidRPr="00284E38">
        <w:t>and random-effects</w:t>
      </w:r>
      <w:r w:rsidR="00893340" w:rsidRPr="00284E38">
        <w:t xml:space="preserve"> (RE) </w:t>
      </w:r>
      <w:r w:rsidR="008E4142" w:rsidRPr="00284E38">
        <w:t xml:space="preserve">models </w:t>
      </w:r>
      <w:r w:rsidR="009C1586" w:rsidRPr="00284E38">
        <w:t>(</w:t>
      </w:r>
      <w:r w:rsidR="009725E8">
        <w:t xml:space="preserve">the latter </w:t>
      </w:r>
      <w:r w:rsidR="009C1586" w:rsidRPr="00284E38">
        <w:t xml:space="preserve">accounting for potential correlation within multi-arm trials) </w:t>
      </w:r>
      <w:r w:rsidR="008E4142" w:rsidRPr="00284E38">
        <w:t xml:space="preserve">were fit </w:t>
      </w:r>
      <w:r w:rsidR="005063B8" w:rsidRPr="00284E38">
        <w:t>to the data</w:t>
      </w:r>
      <w:r w:rsidR="008E4142" w:rsidRPr="00284E38">
        <w:t xml:space="preserve">. </w:t>
      </w:r>
      <w:r w:rsidR="00605A8B" w:rsidRPr="00284E38">
        <w:t>In the model</w:t>
      </w:r>
      <w:r w:rsidR="00A34DF8" w:rsidRPr="00284E38">
        <w:t>,</w:t>
      </w:r>
      <w:r w:rsidR="00605A8B" w:rsidRPr="00284E38">
        <w:t xml:space="preserve"> patients who did not receive any treatment </w:t>
      </w:r>
      <w:r w:rsidR="003902EA">
        <w:t>were assumed</w:t>
      </w:r>
      <w:r w:rsidR="00605A8B" w:rsidRPr="00284E38">
        <w:t xml:space="preserve"> to neither improve nor worsen </w:t>
      </w:r>
      <w:r w:rsidR="00373544" w:rsidRPr="00284E38">
        <w:t xml:space="preserve">over the </w:t>
      </w:r>
      <w:r w:rsidR="00605A8B" w:rsidRPr="00284E38">
        <w:t xml:space="preserve">duration (i.e. null placebo effect). </w:t>
      </w:r>
      <w:r w:rsidR="003902EA">
        <w:t>Furthermore</w:t>
      </w:r>
      <w:r w:rsidR="00605A8B" w:rsidRPr="00284E38">
        <w:t xml:space="preserve">, it was assumed that the effect of the baseline measurement is common across all treatments, implying that when two active treatments are compared in a trial, the baseline effects are offset. </w:t>
      </w:r>
    </w:p>
    <w:p w14:paraId="61F4B14A" w14:textId="03426151" w:rsidR="003A7A84" w:rsidRPr="00284E38" w:rsidRDefault="003A7A84" w:rsidP="004336DB"/>
    <w:p w14:paraId="249C1673" w14:textId="64D4F7E7" w:rsidR="003A7A84" w:rsidRPr="00284E38" w:rsidRDefault="003A7A84" w:rsidP="004336DB">
      <w:r w:rsidRPr="00284E38">
        <w:t xml:space="preserve">All analyses were </w:t>
      </w:r>
      <w:r w:rsidR="00177879" w:rsidRPr="00284E38">
        <w:t>conducted</w:t>
      </w:r>
      <w:r w:rsidRPr="00284E38">
        <w:t xml:space="preserve"> within a Bayesian Markov chain Monte Carlo (MCMC) approach</w:t>
      </w:r>
      <w:r w:rsidR="003A6C6D" w:rsidRPr="00284E38">
        <w:t>,</w:t>
      </w:r>
      <w:r w:rsidRPr="00284E38">
        <w:t xml:space="preserve"> fitted using WinBUGS software version 1.4.3 (Copyright © 2007 Medical Research Council (UK) and Imperial College (UK))</w:t>
      </w:r>
      <w:r w:rsidR="00D33460" w:rsidRPr="00284E38">
        <w:rPr>
          <w:noProof/>
        </w:rPr>
        <w:t>(</w:t>
      </w:r>
      <w:hyperlink w:anchor="_ENREF_38" w:tooltip="Lunn, 2000 #150" w:history="1">
        <w:r w:rsidR="00D33460" w:rsidRPr="00284E38">
          <w:rPr>
            <w:noProof/>
          </w:rPr>
          <w:t>Lunn, Thomas, Best, &amp; Spiegelhalter, 2000</w:t>
        </w:r>
      </w:hyperlink>
      <w:r w:rsidR="00D33460" w:rsidRPr="00284E38">
        <w:rPr>
          <w:noProof/>
        </w:rPr>
        <w:t>)</w:t>
      </w:r>
      <w:r w:rsidRPr="00284E38">
        <w:t xml:space="preserve"> and linked to the freely available software R (version </w:t>
      </w:r>
      <w:r w:rsidR="006B5DDF" w:rsidRPr="00284E38">
        <w:t>4</w:t>
      </w:r>
      <w:r w:rsidRPr="00284E38">
        <w:t>.</w:t>
      </w:r>
      <w:r w:rsidR="006B5DDF" w:rsidRPr="00284E38">
        <w:t>0</w:t>
      </w:r>
      <w:r w:rsidRPr="00284E38">
        <w:t>.</w:t>
      </w:r>
      <w:r w:rsidR="006B5DDF" w:rsidRPr="00284E38">
        <w:t>2</w:t>
      </w:r>
      <w:r w:rsidRPr="00284E38">
        <w:t>, Copyright © 20</w:t>
      </w:r>
      <w:r w:rsidR="006B5DDF" w:rsidRPr="00284E38">
        <w:t>20</w:t>
      </w:r>
      <w:r w:rsidRPr="00284E38">
        <w:t xml:space="preserve"> </w:t>
      </w:r>
      <w:r w:rsidR="00D33460" w:rsidRPr="00284E38">
        <w:rPr>
          <w:noProof/>
        </w:rPr>
        <w:t>(</w:t>
      </w:r>
      <w:hyperlink w:anchor="_ENREF_47" w:tooltip="R foundation for statistical computing, 2014 #152" w:history="1">
        <w:r w:rsidR="00D33460" w:rsidRPr="00284E38">
          <w:rPr>
            <w:noProof/>
          </w:rPr>
          <w:t>R foundation for statistical computing, 2014</w:t>
        </w:r>
      </w:hyperlink>
      <w:r w:rsidR="00D33460" w:rsidRPr="00284E38">
        <w:rPr>
          <w:noProof/>
        </w:rPr>
        <w:t>)</w:t>
      </w:r>
      <w:r w:rsidRPr="00284E38">
        <w:t xml:space="preserve">) through the package R2WinBUGS </w:t>
      </w:r>
      <w:r w:rsidR="00D33460" w:rsidRPr="00284E38">
        <w:rPr>
          <w:noProof/>
        </w:rPr>
        <w:t>(</w:t>
      </w:r>
      <w:hyperlink w:anchor="_ENREF_59" w:tooltip="Sturtz, 2005 #151" w:history="1">
        <w:r w:rsidR="00D33460" w:rsidRPr="00284E38">
          <w:rPr>
            <w:noProof/>
          </w:rPr>
          <w:t>Sturtz, Ligges, &amp; Gelman, 2005</w:t>
        </w:r>
      </w:hyperlink>
      <w:r w:rsidR="00D33460" w:rsidRPr="00284E38">
        <w:rPr>
          <w:noProof/>
        </w:rPr>
        <w:t>)</w:t>
      </w:r>
      <w:r w:rsidRPr="00284E38">
        <w:t xml:space="preserve">. In all models the MCMC Gibbs sampler was initially run for 10,000 iterations and these were discarded as ‘burn-in’. Models were run for at least further 5,000 iterations, on which inferences were based. Chain convergence was checked using autocorrelation and Brooks-Gelman-Rubin diagram diagnostics </w:t>
      </w:r>
      <w:r w:rsidR="00D33460" w:rsidRPr="00284E38">
        <w:rPr>
          <w:noProof/>
        </w:rPr>
        <w:t>(</w:t>
      </w:r>
      <w:hyperlink w:anchor="_ENREF_7" w:tooltip="Brooks, 1998 #154" w:history="1">
        <w:r w:rsidR="00D33460" w:rsidRPr="00284E38">
          <w:rPr>
            <w:noProof/>
          </w:rPr>
          <w:t>S.  Brooks &amp; Gelman, 1998a</w:t>
        </w:r>
      </w:hyperlink>
      <w:r w:rsidR="00D33460" w:rsidRPr="00284E38">
        <w:rPr>
          <w:noProof/>
        </w:rPr>
        <w:t xml:space="preserve">; </w:t>
      </w:r>
      <w:hyperlink w:anchor="_ENREF_8" w:tooltip="Brooks, 1998 #153" w:history="1">
        <w:r w:rsidR="00D33460" w:rsidRPr="00284E38">
          <w:rPr>
            <w:noProof/>
          </w:rPr>
          <w:t>S. Brooks &amp; Gelman, 1998b</w:t>
        </w:r>
      </w:hyperlink>
      <w:r w:rsidR="00D33460" w:rsidRPr="00284E38">
        <w:rPr>
          <w:noProof/>
        </w:rPr>
        <w:t xml:space="preserve">; </w:t>
      </w:r>
      <w:hyperlink w:anchor="_ENREF_25" w:tooltip="Gelman, 1992 #155" w:history="1">
        <w:r w:rsidR="00D33460" w:rsidRPr="00284E38">
          <w:rPr>
            <w:noProof/>
          </w:rPr>
          <w:t>Gelman &amp; Rubin, 1992</w:t>
        </w:r>
      </w:hyperlink>
      <w:r w:rsidR="00D33460" w:rsidRPr="00284E38">
        <w:rPr>
          <w:noProof/>
        </w:rPr>
        <w:t>)</w:t>
      </w:r>
      <w:r w:rsidRPr="00284E38">
        <w:t xml:space="preserve">. Goodness of fit </w:t>
      </w:r>
      <w:r w:rsidR="00A260CB">
        <w:t xml:space="preserve">and model complexity </w:t>
      </w:r>
      <w:r w:rsidRPr="00284E38">
        <w:t xml:space="preserve">was assessed using the </w:t>
      </w:r>
      <w:r w:rsidR="00A260CB" w:rsidRPr="00284E38">
        <w:t xml:space="preserve">deviance information criterion </w:t>
      </w:r>
      <w:r w:rsidR="00A260CB">
        <w:t>(</w:t>
      </w:r>
      <w:r w:rsidRPr="00284E38">
        <w:t>DIC</w:t>
      </w:r>
      <w:r w:rsidR="00A260CB">
        <w:t>)</w:t>
      </w:r>
      <w:r w:rsidRPr="00284E38">
        <w:t xml:space="preserve"> and posterior mean residual deviance </w:t>
      </w:r>
      <w:r w:rsidR="00D33460" w:rsidRPr="00284E38">
        <w:rPr>
          <w:noProof/>
        </w:rPr>
        <w:t>(</w:t>
      </w:r>
      <w:hyperlink w:anchor="_ENREF_56" w:tooltip="Spiegelhalter, 2002 #156" w:history="1">
        <w:r w:rsidR="00D33460" w:rsidRPr="00284E38">
          <w:rPr>
            <w:noProof/>
          </w:rPr>
          <w:t>Spiegelhalter, Best, Carlin, &amp; van der Linde, 2002</w:t>
        </w:r>
      </w:hyperlink>
      <w:r w:rsidR="00D33460" w:rsidRPr="00284E38">
        <w:rPr>
          <w:noProof/>
        </w:rPr>
        <w:t>)</w:t>
      </w:r>
      <w:r w:rsidRPr="00284E38">
        <w:t>.</w:t>
      </w:r>
    </w:p>
    <w:p w14:paraId="42194C05" w14:textId="5F86253F" w:rsidR="003A7A84" w:rsidRPr="00284E38" w:rsidRDefault="003A7A84" w:rsidP="004336DB"/>
    <w:p w14:paraId="34162DFA" w14:textId="3B636569" w:rsidR="0059413A" w:rsidRPr="00284E38" w:rsidRDefault="0059413A" w:rsidP="002220B5">
      <w:r w:rsidRPr="00284E38">
        <w:t>We presented the estimated results as relative treatment effect scores and associated 95% credib</w:t>
      </w:r>
      <w:r w:rsidR="00A260CB">
        <w:t>le</w:t>
      </w:r>
      <w:r w:rsidRPr="00284E38">
        <w:t xml:space="preserve"> intervals, CrIs. We have estimated the probability of a treatment being the ‘best’ (i.e. being the most clinically effective) (Ades, 2006), and presented rankograms for all interventions, which provide the probabilities of an intervention being ranked 1 (the </w:t>
      </w:r>
      <w:r w:rsidR="0033348D">
        <w:t>most effective</w:t>
      </w:r>
      <w:r w:rsidRPr="00284E38">
        <w:t xml:space="preserve">) to 7 (the </w:t>
      </w:r>
      <w:r w:rsidR="0033348D">
        <w:t>least effective</w:t>
      </w:r>
      <w:r w:rsidRPr="00284E38">
        <w:t xml:space="preserve">). Finally, we reported the surface under the cumulative ranking curve (SUCRA), which is a numerical presentation of the overall ranking of each intervention. SUCRA values range from 0% to 100%, </w:t>
      </w:r>
      <w:r w:rsidR="003A6C6D" w:rsidRPr="00284E38">
        <w:t>with higher SUCRA values suggesting that a treatment is likely to be better overall</w:t>
      </w:r>
      <w:r w:rsidRPr="00284E38">
        <w:t xml:space="preserve"> </w:t>
      </w:r>
      <w:r w:rsidR="001F349B" w:rsidRPr="00284E38">
        <w:t>(</w:t>
      </w:r>
      <w:r w:rsidRPr="00284E38">
        <w:t>Dias, 2014;</w:t>
      </w:r>
      <w:r w:rsidR="001F349B" w:rsidRPr="00284E38">
        <w:t xml:space="preserve"> </w:t>
      </w:r>
      <w:r w:rsidRPr="00284E38">
        <w:t xml:space="preserve">Dias, 2013). </w:t>
      </w:r>
    </w:p>
    <w:p w14:paraId="478B9CA2" w14:textId="77777777" w:rsidR="0059413A" w:rsidRPr="00284E38" w:rsidRDefault="0059413A" w:rsidP="002220B5"/>
    <w:p w14:paraId="15141C6C" w14:textId="51EE8C5D" w:rsidR="003A7A84" w:rsidRPr="00284E38" w:rsidRDefault="003A7A84" w:rsidP="002220B5">
      <w:r w:rsidRPr="00284E38">
        <w:t xml:space="preserve">Appendix </w:t>
      </w:r>
      <w:r w:rsidR="00F24CF2" w:rsidRPr="00284E38">
        <w:t xml:space="preserve">C </w:t>
      </w:r>
      <w:r w:rsidRPr="00284E38">
        <w:t>gives further details on the analysis</w:t>
      </w:r>
      <w:r w:rsidR="00E30699" w:rsidRPr="00284E38">
        <w:t xml:space="preserve"> (C1)</w:t>
      </w:r>
      <w:r w:rsidRPr="00284E38">
        <w:t>, including annotated synthesis WinBUGS code</w:t>
      </w:r>
      <w:r w:rsidR="00E30699" w:rsidRPr="00284E38">
        <w:t xml:space="preserve"> (C2)</w:t>
      </w:r>
      <w:r w:rsidRPr="00284E38">
        <w:t>, sample data and initial values for the main model used</w:t>
      </w:r>
      <w:r w:rsidR="00E30699" w:rsidRPr="00284E38">
        <w:t xml:space="preserve"> (C3)</w:t>
      </w:r>
      <w:r w:rsidRPr="00284E38">
        <w:t>.</w:t>
      </w:r>
    </w:p>
    <w:p w14:paraId="4F9EEEF6" w14:textId="77777777" w:rsidR="009772AA" w:rsidRPr="00284E38" w:rsidRDefault="009772AA" w:rsidP="00E154E0">
      <w:pPr>
        <w:jc w:val="both"/>
        <w:rPr>
          <w:b/>
        </w:rPr>
      </w:pPr>
    </w:p>
    <w:p w14:paraId="4FC5BA67" w14:textId="43051F78" w:rsidR="000D03AB" w:rsidRPr="00284E38" w:rsidRDefault="00DE1A9F" w:rsidP="00E154E0">
      <w:pPr>
        <w:jc w:val="both"/>
        <w:rPr>
          <w:b/>
        </w:rPr>
      </w:pPr>
      <w:r w:rsidRPr="00284E38">
        <w:rPr>
          <w:b/>
        </w:rPr>
        <w:t>2.</w:t>
      </w:r>
      <w:r w:rsidR="005F413C" w:rsidRPr="00284E38">
        <w:rPr>
          <w:b/>
        </w:rPr>
        <w:t>7</w:t>
      </w:r>
      <w:r w:rsidRPr="00284E38">
        <w:rPr>
          <w:b/>
        </w:rPr>
        <w:t xml:space="preserve">. </w:t>
      </w:r>
      <w:r w:rsidR="009F1E6B" w:rsidRPr="00284E38">
        <w:rPr>
          <w:b/>
        </w:rPr>
        <w:t>Assessment</w:t>
      </w:r>
      <w:r w:rsidR="000D03AB" w:rsidRPr="00284E38">
        <w:rPr>
          <w:b/>
        </w:rPr>
        <w:t xml:space="preserve"> </w:t>
      </w:r>
      <w:r w:rsidR="009F1E6B" w:rsidRPr="00284E38">
        <w:rPr>
          <w:b/>
        </w:rPr>
        <w:t>of heterogeneity</w:t>
      </w:r>
      <w:r w:rsidR="00EE1660" w:rsidRPr="00284E38">
        <w:rPr>
          <w:b/>
        </w:rPr>
        <w:t xml:space="preserve"> and consistency</w:t>
      </w:r>
    </w:p>
    <w:p w14:paraId="5B45C54D" w14:textId="77777777" w:rsidR="00393317" w:rsidRPr="00284E38" w:rsidRDefault="00393317" w:rsidP="00E154E0">
      <w:pPr>
        <w:jc w:val="both"/>
        <w:rPr>
          <w:b/>
        </w:rPr>
      </w:pPr>
    </w:p>
    <w:p w14:paraId="0CD05A11" w14:textId="059103DF" w:rsidR="00D62B8A" w:rsidRPr="00284E38" w:rsidRDefault="00857BD2" w:rsidP="0022555E">
      <w:pPr>
        <w:rPr>
          <w:rFonts w:eastAsiaTheme="minorEastAsia"/>
        </w:rPr>
      </w:pPr>
      <w:r w:rsidRPr="00027713">
        <w:t>T</w:t>
      </w:r>
      <w:r w:rsidR="00317F78" w:rsidRPr="00027713">
        <w:t xml:space="preserve">he </w:t>
      </w:r>
      <w:r w:rsidR="00D62B8A" w:rsidRPr="00027713">
        <w:t xml:space="preserve">model was </w:t>
      </w:r>
      <w:r w:rsidR="00C74699" w:rsidRPr="00027713">
        <w:t>extended to include study</w:t>
      </w:r>
      <w:r w:rsidR="00D62B8A" w:rsidRPr="00027713">
        <w:t>-level covariates as potential treatment effect modifiers</w:t>
      </w:r>
      <w:r w:rsidR="00C74699" w:rsidRPr="00027713">
        <w:t>.</w:t>
      </w:r>
      <w:r w:rsidR="00C74699" w:rsidRPr="00284E38">
        <w:t xml:space="preserve"> </w:t>
      </w:r>
      <w:r w:rsidR="00422806">
        <w:t>This meant that we looked for factors other than the treatment itself, which could have influenced outcomes within each study and may have created differences (</w:t>
      </w:r>
      <w:r w:rsidR="00D62B8A" w:rsidRPr="00284E38">
        <w:t>heterogeneity</w:t>
      </w:r>
      <w:r w:rsidR="00422806">
        <w:t>)</w:t>
      </w:r>
      <w:r w:rsidR="00D62B8A" w:rsidRPr="00284E38">
        <w:t xml:space="preserve"> </w:t>
      </w:r>
      <w:r w:rsidR="00422806">
        <w:t xml:space="preserve">across studies. These factors </w:t>
      </w:r>
      <w:r w:rsidR="00D62B8A" w:rsidRPr="00284E38">
        <w:t>include</w:t>
      </w:r>
      <w:r w:rsidR="00422806">
        <w:t>d</w:t>
      </w:r>
      <w:r w:rsidR="00F31C9D" w:rsidRPr="00284E38">
        <w:t xml:space="preserve"> </w:t>
      </w:r>
      <w:r w:rsidR="00D62B8A" w:rsidRPr="00284E38">
        <w:t>disease severity</w:t>
      </w:r>
      <w:r w:rsidR="0022555E" w:rsidRPr="00284E38">
        <w:t xml:space="preserve"> </w:t>
      </w:r>
      <w:r w:rsidR="0022555E" w:rsidRPr="00284E38">
        <w:rPr>
          <w:noProof/>
        </w:rPr>
        <w:t>(</w:t>
      </w:r>
      <w:hyperlink w:anchor="_ENREF_57" w:tooltip="Spitzer, 2006 #1" w:history="1">
        <w:r w:rsidR="0022555E" w:rsidRPr="00284E38">
          <w:rPr>
            <w:noProof/>
          </w:rPr>
          <w:t>Spitzer, Kroenke, Williams, &amp; Lowe, 2006</w:t>
        </w:r>
      </w:hyperlink>
      <w:r w:rsidR="0022555E" w:rsidRPr="00284E38">
        <w:rPr>
          <w:noProof/>
        </w:rPr>
        <w:t>)</w:t>
      </w:r>
      <w:r w:rsidR="00D62B8A" w:rsidRPr="00284E38">
        <w:t>, concomitant medication</w:t>
      </w:r>
      <w:r w:rsidR="00C74699" w:rsidRPr="00284E38">
        <w:t xml:space="preserve"> </w:t>
      </w:r>
      <w:r w:rsidR="0022555E" w:rsidRPr="00284E38">
        <w:t>(Berger, Edelsberg, et al</w:t>
      </w:r>
      <w:r w:rsidR="007A4C87" w:rsidRPr="00284E38">
        <w:t>., 2011</w:t>
      </w:r>
      <w:r w:rsidR="0022555E" w:rsidRPr="00284E38">
        <w:t xml:space="preserve">) </w:t>
      </w:r>
      <w:r w:rsidR="00C74699" w:rsidRPr="00284E38">
        <w:t xml:space="preserve">and </w:t>
      </w:r>
      <w:r w:rsidR="0012661E" w:rsidRPr="00284E38">
        <w:t xml:space="preserve">the presence of </w:t>
      </w:r>
      <w:r w:rsidR="00C74699" w:rsidRPr="00284E38">
        <w:t>comorbidities</w:t>
      </w:r>
      <w:r w:rsidR="005F413C" w:rsidRPr="00284E38">
        <w:t xml:space="preserve"> </w:t>
      </w:r>
      <w:r w:rsidR="00151A7E" w:rsidRPr="00284E38">
        <w:rPr>
          <w:rFonts w:eastAsia="MS Mincho"/>
          <w:lang w:eastAsia="ja-JP"/>
        </w:rPr>
        <w:t>(Smith et al., 2010; Pacek et al. 2013)</w:t>
      </w:r>
      <w:r w:rsidR="0022555E" w:rsidRPr="00284E38">
        <w:t xml:space="preserve">. </w:t>
      </w:r>
      <w:r w:rsidR="007631D9" w:rsidRPr="00284E38">
        <w:t xml:space="preserve">Meta-regression is the most commonly employed method to explore the influence of particular study-level covariates on the relative effect. </w:t>
      </w:r>
      <w:r w:rsidR="00052BF2" w:rsidRPr="00284E38">
        <w:t>T</w:t>
      </w:r>
      <w:r w:rsidR="00D62B8A" w:rsidRPr="00284E38">
        <w:t xml:space="preserve">o preserve all studies (and treatments), </w:t>
      </w:r>
      <w:r w:rsidR="00177879" w:rsidRPr="00284E38">
        <w:t xml:space="preserve">when a covariate was not reported by some studies, </w:t>
      </w:r>
      <w:r w:rsidR="00D62B8A" w:rsidRPr="00284E38">
        <w:t xml:space="preserve">we </w:t>
      </w:r>
      <w:r w:rsidR="00052BF2" w:rsidRPr="00284E38">
        <w:t xml:space="preserve">allowed the model to </w:t>
      </w:r>
      <w:r w:rsidR="00F04F01" w:rsidRPr="00284E38">
        <w:t>impute missing covariate information (multiple imputation procedure assuming ‘missing at random’)</w:t>
      </w:r>
      <w:r w:rsidR="00D62B8A" w:rsidRPr="00284E38">
        <w:t>.</w:t>
      </w:r>
    </w:p>
    <w:p w14:paraId="3D95E2D4" w14:textId="77777777" w:rsidR="00393317" w:rsidRPr="00284E38" w:rsidRDefault="00393317" w:rsidP="007737A7"/>
    <w:p w14:paraId="5FA5BA99" w14:textId="68A2391B" w:rsidR="00277F59" w:rsidRPr="00284E38" w:rsidRDefault="009725E8" w:rsidP="002220B5">
      <w:r>
        <w:t>We assessed inconsistency to check that all pieces of evidence (from direct and indirect sources) were in agreement</w:t>
      </w:r>
      <w:r w:rsidR="00D912E4">
        <w:t>.</w:t>
      </w:r>
      <w:r w:rsidR="00422806">
        <w:t xml:space="preserve"> </w:t>
      </w:r>
      <w:r w:rsidR="0012661E" w:rsidRPr="00284E38">
        <w:t xml:space="preserve">Following </w:t>
      </w:r>
      <w:r w:rsidR="00EE1660" w:rsidRPr="00284E38">
        <w:t xml:space="preserve">guidance </w:t>
      </w:r>
      <w:r w:rsidR="009E421E" w:rsidRPr="00284E38">
        <w:t>by</w:t>
      </w:r>
      <w:r w:rsidR="00EE1660" w:rsidRPr="00284E38">
        <w:t xml:space="preserve"> Dias </w:t>
      </w:r>
      <w:r w:rsidR="00D33460" w:rsidRPr="00284E38">
        <w:t>and colleagues</w:t>
      </w:r>
      <w:r w:rsidR="00EE1660" w:rsidRPr="00284E38">
        <w:t xml:space="preserve"> </w:t>
      </w:r>
      <w:r w:rsidR="00D33460" w:rsidRPr="00284E38">
        <w:rPr>
          <w:noProof/>
        </w:rPr>
        <w:t>(</w:t>
      </w:r>
      <w:hyperlink w:anchor="_ENREF_21" w:tooltip="Dias, 2013 #177" w:history="1">
        <w:r w:rsidR="00D33460" w:rsidRPr="00284E38">
          <w:rPr>
            <w:noProof/>
          </w:rPr>
          <w:t>Dias, Welton, et al., 2013</w:t>
        </w:r>
      </w:hyperlink>
      <w:r w:rsidR="00D33460" w:rsidRPr="00284E38">
        <w:rPr>
          <w:noProof/>
        </w:rPr>
        <w:t xml:space="preserve">; </w:t>
      </w:r>
      <w:hyperlink w:anchor="_ENREF_22" w:tooltip="Dias, 2014 #175" w:history="1">
        <w:r w:rsidR="00D33460" w:rsidRPr="00284E38">
          <w:rPr>
            <w:noProof/>
          </w:rPr>
          <w:t>Dias, Welton, Sutton, Caldwell, et al., 2014</w:t>
        </w:r>
      </w:hyperlink>
      <w:r w:rsidR="00D33460" w:rsidRPr="00284E38">
        <w:rPr>
          <w:noProof/>
        </w:rPr>
        <w:t>)</w:t>
      </w:r>
      <w:r w:rsidR="00522663" w:rsidRPr="00284E38">
        <w:t>,</w:t>
      </w:r>
      <w:r w:rsidR="00EE1660" w:rsidRPr="00284E38">
        <w:t xml:space="preserve"> </w:t>
      </w:r>
      <w:r w:rsidR="00522663" w:rsidRPr="00027713">
        <w:t>inconsistency</w:t>
      </w:r>
      <w:r w:rsidR="00522663" w:rsidRPr="00284E38">
        <w:t xml:space="preserve"> was assessed by comparing </w:t>
      </w:r>
      <w:r w:rsidR="00EE77A4">
        <w:t xml:space="preserve">the </w:t>
      </w:r>
      <w:r w:rsidR="00522663" w:rsidRPr="00284E38">
        <w:t xml:space="preserve">DIC of our primary analyses (based on NMA models that assume consistency between direct and indirect evidence) and the DICs yielded by inconsistency models (which provide effect estimates based on direct evidence only). </w:t>
      </w:r>
      <w:r w:rsidR="00CB2436" w:rsidRPr="00284E38">
        <w:t>R</w:t>
      </w:r>
      <w:r w:rsidR="00522663" w:rsidRPr="00284E38">
        <w:t xml:space="preserve">esults were assessed for coherence by </w:t>
      </w:r>
      <w:r w:rsidR="004D0D2C" w:rsidRPr="00284E38">
        <w:t xml:space="preserve">qualitatively </w:t>
      </w:r>
      <w:r w:rsidR="00522663" w:rsidRPr="00284E38">
        <w:t xml:space="preserve">comparing </w:t>
      </w:r>
      <w:r w:rsidR="004D0D2C" w:rsidRPr="00284E38">
        <w:t xml:space="preserve">estimates of </w:t>
      </w:r>
      <w:r w:rsidR="00FF04F4" w:rsidRPr="00284E38">
        <w:t>pairwise</w:t>
      </w:r>
      <w:r w:rsidR="0002605F" w:rsidRPr="00284E38">
        <w:t xml:space="preserve"> </w:t>
      </w:r>
      <w:r w:rsidR="007477FA" w:rsidRPr="00284E38">
        <w:t xml:space="preserve">ANCOVA </w:t>
      </w:r>
      <w:r w:rsidR="004D0D2C" w:rsidRPr="00284E38">
        <w:t xml:space="preserve">meta-analysis (direct) and </w:t>
      </w:r>
      <w:r w:rsidR="00893340" w:rsidRPr="00284E38">
        <w:t xml:space="preserve">ANCOVA RE </w:t>
      </w:r>
      <w:r w:rsidR="004D0D2C" w:rsidRPr="00284E38">
        <w:t>NMA (direct and indirect).</w:t>
      </w:r>
    </w:p>
    <w:p w14:paraId="4085B8A1" w14:textId="59F0CEAC" w:rsidR="00277F59" w:rsidRPr="00284E38" w:rsidRDefault="00277F59" w:rsidP="00E154E0"/>
    <w:p w14:paraId="13ED74FE" w14:textId="107E1002" w:rsidR="004D0D2C" w:rsidRPr="00284E38" w:rsidRDefault="00DE1A9F" w:rsidP="00E154E0">
      <w:pPr>
        <w:jc w:val="both"/>
        <w:rPr>
          <w:b/>
        </w:rPr>
      </w:pPr>
      <w:r w:rsidRPr="00284E38">
        <w:rPr>
          <w:b/>
        </w:rPr>
        <w:t>2.</w:t>
      </w:r>
      <w:r w:rsidR="005F413C" w:rsidRPr="00284E38">
        <w:rPr>
          <w:b/>
        </w:rPr>
        <w:t>8</w:t>
      </w:r>
      <w:r w:rsidR="00FF3046" w:rsidRPr="00284E38">
        <w:rPr>
          <w:b/>
        </w:rPr>
        <w:t>.</w:t>
      </w:r>
      <w:r w:rsidRPr="00284E38">
        <w:rPr>
          <w:b/>
        </w:rPr>
        <w:t xml:space="preserve"> </w:t>
      </w:r>
      <w:r w:rsidR="004D0D2C" w:rsidRPr="00284E38">
        <w:rPr>
          <w:b/>
        </w:rPr>
        <w:t>Sensitivity analysis</w:t>
      </w:r>
    </w:p>
    <w:p w14:paraId="36D8E3D7" w14:textId="77777777" w:rsidR="00393317" w:rsidRPr="00284E38" w:rsidRDefault="00393317" w:rsidP="00E154E0">
      <w:pPr>
        <w:jc w:val="both"/>
        <w:rPr>
          <w:b/>
        </w:rPr>
      </w:pPr>
    </w:p>
    <w:p w14:paraId="5C0BB69C" w14:textId="2A41C11E" w:rsidR="009E2CAD" w:rsidRDefault="00AA3372" w:rsidP="00E154E0">
      <w:r w:rsidRPr="00284E38">
        <w:t>We conducted two types of sensitivity analysis. First</w:t>
      </w:r>
      <w:r w:rsidR="00333FA2" w:rsidRPr="00284E38">
        <w:t>, w</w:t>
      </w:r>
      <w:r w:rsidR="00EB5F19" w:rsidRPr="00284E38">
        <w:t xml:space="preserve">e evaluated </w:t>
      </w:r>
      <w:r w:rsidR="0012661E" w:rsidRPr="00284E38">
        <w:t xml:space="preserve">the </w:t>
      </w:r>
      <w:r w:rsidR="00AD00DF" w:rsidRPr="00284E38">
        <w:t>sensitiv</w:t>
      </w:r>
      <w:r w:rsidR="0012661E" w:rsidRPr="00284E38">
        <w:t>ity of</w:t>
      </w:r>
      <w:r w:rsidR="00EB5F19" w:rsidRPr="00284E38">
        <w:t xml:space="preserve"> the network</w:t>
      </w:r>
      <w:r w:rsidR="004D6294" w:rsidRPr="00284E38">
        <w:t>s</w:t>
      </w:r>
      <w:r w:rsidR="00EB5F19" w:rsidRPr="00284E38">
        <w:t xml:space="preserve"> </w:t>
      </w:r>
      <w:r w:rsidR="0012661E" w:rsidRPr="00284E38">
        <w:t xml:space="preserve">to the influence of each </w:t>
      </w:r>
      <w:r w:rsidR="00EB5F19" w:rsidRPr="00284E38">
        <w:t>individual trial</w:t>
      </w:r>
      <w:r w:rsidR="00333FA2" w:rsidRPr="00284E38">
        <w:t xml:space="preserve">. When network links were informed by more than one trial, we removed each trial one at a time (giving </w:t>
      </w:r>
      <w:r w:rsidR="00333FA2" w:rsidRPr="00284E38">
        <w:rPr>
          <w:i/>
        </w:rPr>
        <w:t>n</w:t>
      </w:r>
      <w:r w:rsidR="00AB078A" w:rsidRPr="00602D59">
        <w:rPr>
          <w:i/>
        </w:rPr>
        <w:t>j</w:t>
      </w:r>
      <w:r w:rsidR="00333FA2" w:rsidRPr="00284E38">
        <w:rPr>
          <w:i/>
        </w:rPr>
        <w:t>−1</w:t>
      </w:r>
      <w:r w:rsidR="00333FA2" w:rsidRPr="00284E38">
        <w:t xml:space="preserve"> for each analysis</w:t>
      </w:r>
      <w:r w:rsidR="00AB078A">
        <w:t xml:space="preserve">, where </w:t>
      </w:r>
      <w:r w:rsidR="00AB078A" w:rsidRPr="00602D59">
        <w:rPr>
          <w:i/>
        </w:rPr>
        <w:t>n</w:t>
      </w:r>
      <w:r w:rsidR="00AB078A">
        <w:t xml:space="preserve"> is the total number of trials in contrast </w:t>
      </w:r>
      <w:r w:rsidR="00AB078A" w:rsidRPr="00602D59">
        <w:rPr>
          <w:i/>
        </w:rPr>
        <w:t>j</w:t>
      </w:r>
      <w:r w:rsidR="00333FA2" w:rsidRPr="00284E38">
        <w:t xml:space="preserve">) and investigated the impact on the probability of each intervention being ‘best’. Second, </w:t>
      </w:r>
      <w:r w:rsidR="004D6294" w:rsidRPr="00284E38">
        <w:t xml:space="preserve">we assessed the robustness of the synthesis results by </w:t>
      </w:r>
      <w:r w:rsidR="00333FA2" w:rsidRPr="00284E38">
        <w:t xml:space="preserve">repeating the analysis while </w:t>
      </w:r>
      <w:r w:rsidR="004D6294" w:rsidRPr="00284E38">
        <w:t xml:space="preserve">excluding </w:t>
      </w:r>
      <w:r w:rsidR="0012661E" w:rsidRPr="00284E38">
        <w:t xml:space="preserve">all </w:t>
      </w:r>
      <w:r w:rsidR="004D6294" w:rsidRPr="00284E38">
        <w:t>studies of less than 30 patients.</w:t>
      </w:r>
    </w:p>
    <w:p w14:paraId="10DF1871" w14:textId="77777777" w:rsidR="009E2CAD" w:rsidRDefault="009E2CAD" w:rsidP="00E154E0"/>
    <w:p w14:paraId="3A413C54" w14:textId="61C3803C" w:rsidR="009E0937" w:rsidRPr="00284E38" w:rsidRDefault="001B4EFB" w:rsidP="00C6001C">
      <w:pPr>
        <w:pStyle w:val="Heading1"/>
        <w:numPr>
          <w:ilvl w:val="0"/>
          <w:numId w:val="47"/>
        </w:numPr>
        <w:spacing w:before="0"/>
        <w:ind w:left="284" w:hanging="284"/>
        <w:rPr>
          <w:rFonts w:eastAsia="MS Mincho"/>
          <w:sz w:val="24"/>
          <w:szCs w:val="24"/>
          <w:lang w:eastAsia="ja-JP"/>
        </w:rPr>
      </w:pPr>
      <w:r w:rsidRPr="00284E38">
        <w:rPr>
          <w:rFonts w:eastAsia="MS Mincho"/>
          <w:sz w:val="24"/>
          <w:szCs w:val="24"/>
          <w:lang w:eastAsia="ja-JP"/>
        </w:rPr>
        <w:t>RESULTS</w:t>
      </w:r>
    </w:p>
    <w:p w14:paraId="0A080C1B" w14:textId="77777777" w:rsidR="00F22BD9" w:rsidRPr="00284E38" w:rsidRDefault="00F22BD9" w:rsidP="00E154E0">
      <w:pPr>
        <w:rPr>
          <w:b/>
          <w:iCs/>
        </w:rPr>
      </w:pPr>
    </w:p>
    <w:p w14:paraId="4615F135" w14:textId="45B2D200" w:rsidR="005F20D1" w:rsidRPr="00284E38" w:rsidRDefault="00E9652C" w:rsidP="00E154E0">
      <w:pPr>
        <w:rPr>
          <w:b/>
          <w:iCs/>
        </w:rPr>
      </w:pPr>
      <w:r w:rsidRPr="00284E38">
        <w:rPr>
          <w:b/>
          <w:iCs/>
        </w:rPr>
        <w:t xml:space="preserve">3.1. </w:t>
      </w:r>
      <w:r w:rsidR="000654CD" w:rsidRPr="00284E38">
        <w:rPr>
          <w:b/>
          <w:iCs/>
        </w:rPr>
        <w:t>I</w:t>
      </w:r>
      <w:r w:rsidR="00A66873" w:rsidRPr="00284E38">
        <w:rPr>
          <w:b/>
          <w:iCs/>
        </w:rPr>
        <w:t xml:space="preserve">ncluded </w:t>
      </w:r>
      <w:r w:rsidR="000654CD" w:rsidRPr="00284E38">
        <w:rPr>
          <w:b/>
          <w:iCs/>
        </w:rPr>
        <w:t xml:space="preserve">and excluded </w:t>
      </w:r>
      <w:r w:rsidR="00DE1A9F" w:rsidRPr="00284E38">
        <w:rPr>
          <w:b/>
          <w:iCs/>
        </w:rPr>
        <w:t>studies</w:t>
      </w:r>
    </w:p>
    <w:p w14:paraId="4EE387CA" w14:textId="77777777" w:rsidR="00E9652C" w:rsidRPr="00284E38" w:rsidRDefault="00E9652C" w:rsidP="00E154E0">
      <w:pPr>
        <w:rPr>
          <w:b/>
          <w:i/>
        </w:rPr>
      </w:pPr>
    </w:p>
    <w:p w14:paraId="385CC9C0" w14:textId="1F3DA7B0" w:rsidR="000654CD" w:rsidRPr="00284E38" w:rsidRDefault="00A34DF8" w:rsidP="000654CD">
      <w:r w:rsidRPr="00284E38">
        <w:t>Initial s</w:t>
      </w:r>
      <w:r w:rsidR="00E9326D" w:rsidRPr="00284E38">
        <w:t xml:space="preserve">ystematic searches </w:t>
      </w:r>
      <w:r w:rsidR="00994E30" w:rsidRPr="00284E38">
        <w:t xml:space="preserve">of bibliographic databases </w:t>
      </w:r>
      <w:r w:rsidR="00E9326D" w:rsidRPr="00284E38">
        <w:t>identified 16,272 records</w:t>
      </w:r>
      <w:r w:rsidR="008E14DA" w:rsidRPr="00284E38">
        <w:t>; in addition,</w:t>
      </w:r>
      <w:r w:rsidR="00E9326D" w:rsidRPr="00284E38">
        <w:t xml:space="preserve"> 32 records </w:t>
      </w:r>
      <w:r w:rsidR="008E14DA" w:rsidRPr="00284E38">
        <w:t xml:space="preserve">were </w:t>
      </w:r>
      <w:r w:rsidR="00075949" w:rsidRPr="00284E38">
        <w:t>identified</w:t>
      </w:r>
      <w:r w:rsidR="00E9326D" w:rsidRPr="00284E38">
        <w:t xml:space="preserve"> through secondary searches (e.g. citation searching of protocols and abstracts). After duplic</w:t>
      </w:r>
      <w:r w:rsidRPr="00284E38">
        <w:t>ates were removed, a total of 8,</w:t>
      </w:r>
      <w:r w:rsidR="00E9326D" w:rsidRPr="00284E38">
        <w:t>920 records were screened by title and abstract and 8,560 rec</w:t>
      </w:r>
      <w:r w:rsidRPr="00284E38">
        <w:t xml:space="preserve">ords were excluded. </w:t>
      </w:r>
      <w:r w:rsidR="00994E30" w:rsidRPr="00284E38">
        <w:t>We retrieved the full text papers for</w:t>
      </w:r>
      <w:r w:rsidR="00E9326D" w:rsidRPr="00284E38">
        <w:t xml:space="preserve"> </w:t>
      </w:r>
      <w:r w:rsidR="00994E30" w:rsidRPr="00284E38">
        <w:t xml:space="preserve">the </w:t>
      </w:r>
      <w:r w:rsidR="00E9326D" w:rsidRPr="00284E38">
        <w:t>remaining 377 records and</w:t>
      </w:r>
      <w:r w:rsidR="00047119" w:rsidRPr="00284E38">
        <w:t xml:space="preserve">, </w:t>
      </w:r>
      <w:r w:rsidR="00E9326D" w:rsidRPr="00284E38">
        <w:t xml:space="preserve">as a result of </w:t>
      </w:r>
      <w:r w:rsidR="00994E30" w:rsidRPr="00284E38">
        <w:t xml:space="preserve">further </w:t>
      </w:r>
      <w:r w:rsidR="00E9326D" w:rsidRPr="00284E38">
        <w:t>screening</w:t>
      </w:r>
      <w:r w:rsidR="00047119" w:rsidRPr="00284E38">
        <w:t>,</w:t>
      </w:r>
      <w:r w:rsidR="00E9326D" w:rsidRPr="00284E38">
        <w:t xml:space="preserve"> 352 articles were excluded</w:t>
      </w:r>
      <w:r w:rsidR="000654CD" w:rsidRPr="00284E38">
        <w:t xml:space="preserve">. In total, 21 studies (reported in 25 papers) were included in the review. </w:t>
      </w:r>
      <w:r w:rsidR="007825B2" w:rsidRPr="00284E38">
        <w:t>The PRISMA diagram (</w:t>
      </w:r>
      <w:r w:rsidR="00467466">
        <w:t>F</w:t>
      </w:r>
      <w:r w:rsidR="007825B2" w:rsidRPr="00284E38">
        <w:t>ig</w:t>
      </w:r>
      <w:r w:rsidR="00467466">
        <w:t>.</w:t>
      </w:r>
      <w:r w:rsidR="007825B2" w:rsidRPr="00284E38">
        <w:t xml:space="preserve"> 1) summarises the number of records retrieved and selected at different stages of identification and screening.</w:t>
      </w:r>
      <w:r w:rsidR="005F413C" w:rsidRPr="00284E38">
        <w:t xml:space="preserve"> Appendix D gives a full reference list of the excluded studies grouped according to reasons for exclusion.</w:t>
      </w:r>
    </w:p>
    <w:p w14:paraId="2AAFED9B" w14:textId="77777777" w:rsidR="000654CD" w:rsidRPr="00284E38" w:rsidRDefault="000654CD" w:rsidP="00294650">
      <w:pPr>
        <w:jc w:val="both"/>
      </w:pPr>
    </w:p>
    <w:p w14:paraId="14A9ECB1" w14:textId="77777777" w:rsidR="000654CD" w:rsidRPr="00284E38" w:rsidRDefault="000654CD" w:rsidP="000654CD">
      <w:pPr>
        <w:jc w:val="center"/>
        <w:rPr>
          <w:b/>
          <w:bCs/>
        </w:rPr>
      </w:pPr>
      <w:r w:rsidRPr="00284E38">
        <w:rPr>
          <w:b/>
          <w:bCs/>
        </w:rPr>
        <w:t>Fig. 1 - PRISMA diagram for the identification and selection of clinical trials relating to digital interventions for generalised anxiety disorder (GAD)</w:t>
      </w:r>
    </w:p>
    <w:p w14:paraId="55EA0DC1" w14:textId="4B88444C" w:rsidR="000654CD" w:rsidRPr="00284E38" w:rsidRDefault="000654CD" w:rsidP="000654CD">
      <w:pPr>
        <w:jc w:val="center"/>
      </w:pPr>
    </w:p>
    <w:p w14:paraId="0F1E7B95" w14:textId="2F17A6DE" w:rsidR="000654CD" w:rsidRPr="00284E38" w:rsidRDefault="000654CD" w:rsidP="000654CD">
      <w:pPr>
        <w:jc w:val="center"/>
        <w:rPr>
          <w:b/>
          <w:bCs/>
        </w:rPr>
      </w:pPr>
      <w:r w:rsidRPr="00284E38">
        <w:rPr>
          <w:b/>
          <w:bCs/>
        </w:rPr>
        <w:t>&lt;Insert Fig 1 here&gt;</w:t>
      </w:r>
    </w:p>
    <w:p w14:paraId="075D493A" w14:textId="5D1FD4F4" w:rsidR="000654CD" w:rsidRDefault="000654CD" w:rsidP="00294650">
      <w:pPr>
        <w:jc w:val="both"/>
      </w:pPr>
    </w:p>
    <w:p w14:paraId="29397107" w14:textId="77777777" w:rsidR="00361143" w:rsidRPr="00284E38" w:rsidRDefault="00361143" w:rsidP="00294650">
      <w:pPr>
        <w:jc w:val="both"/>
      </w:pPr>
    </w:p>
    <w:p w14:paraId="0574EA64" w14:textId="460FBDD4" w:rsidR="000654CD" w:rsidRPr="00284E38" w:rsidRDefault="000654CD" w:rsidP="00FB234E">
      <w:pPr>
        <w:rPr>
          <w:b/>
          <w:bCs/>
        </w:rPr>
      </w:pPr>
      <w:r w:rsidRPr="00284E38">
        <w:rPr>
          <w:b/>
          <w:bCs/>
        </w:rPr>
        <w:t>3.2. Sample characteristics in RCTs of DIs for GAD</w:t>
      </w:r>
    </w:p>
    <w:p w14:paraId="422EE193" w14:textId="77777777" w:rsidR="000654CD" w:rsidRPr="00284E38" w:rsidRDefault="000654CD" w:rsidP="00FB234E"/>
    <w:p w14:paraId="6728EDDD" w14:textId="22048882" w:rsidR="00E46097" w:rsidRPr="00284E38" w:rsidRDefault="000654CD" w:rsidP="000073B5">
      <w:r w:rsidRPr="00284E38">
        <w:t xml:space="preserve">The </w:t>
      </w:r>
      <w:r w:rsidR="000073B5" w:rsidRPr="00284E38">
        <w:t xml:space="preserve">21 </w:t>
      </w:r>
      <w:r w:rsidRPr="00284E38">
        <w:t>RCTs included in the review</w:t>
      </w:r>
      <w:r w:rsidR="000073B5" w:rsidRPr="00284E38">
        <w:t xml:space="preserve">, as </w:t>
      </w:r>
      <w:r w:rsidRPr="00284E38">
        <w:t xml:space="preserve">detailed in </w:t>
      </w:r>
      <w:r w:rsidR="006C0CCF" w:rsidRPr="00284E38">
        <w:t>T</w:t>
      </w:r>
      <w:r w:rsidRPr="00284E38">
        <w:t>able 1</w:t>
      </w:r>
      <w:r w:rsidR="000073B5" w:rsidRPr="00284E38">
        <w:t xml:space="preserve">, were conducted </w:t>
      </w:r>
      <w:r w:rsidR="0037139E" w:rsidRPr="00284E38">
        <w:t xml:space="preserve">over </w:t>
      </w:r>
      <w:r w:rsidR="003879D4" w:rsidRPr="00284E38">
        <w:t xml:space="preserve">10 </w:t>
      </w:r>
      <w:r w:rsidR="0037139E" w:rsidRPr="00284E38">
        <w:t xml:space="preserve">years </w:t>
      </w:r>
      <w:r w:rsidR="003879D4" w:rsidRPr="00284E38">
        <w:t xml:space="preserve">between 2009 and 2019 </w:t>
      </w:r>
      <w:r w:rsidR="000073B5" w:rsidRPr="00284E38">
        <w:t xml:space="preserve">in 10 countries (Sweden, Australia, USA, UK, Canada, Spain, Italy, Ireland, Taiwan, Netherlands) and involved 2,547 randomised participants. </w:t>
      </w:r>
      <w:r w:rsidR="00F9381A" w:rsidRPr="00284E38">
        <w:t xml:space="preserve">Most participants were recruited from the adult general population, except in 4 studies that recruited students/young adults and 1 study with over 60s. </w:t>
      </w:r>
      <w:r w:rsidR="00303096" w:rsidRPr="00284E38">
        <w:t xml:space="preserve">GAD populations were defined as either meeting the criteria of an established diagnostic tool, such as the Mini-International Neuropsychiatric Interview </w:t>
      </w:r>
      <w:r w:rsidR="00092363" w:rsidRPr="00284E38">
        <w:t xml:space="preserve">(MINI) </w:t>
      </w:r>
      <w:r w:rsidR="00D33460" w:rsidRPr="00284E38">
        <w:rPr>
          <w:noProof/>
        </w:rPr>
        <w:t>(</w:t>
      </w:r>
      <w:hyperlink w:anchor="_ENREF_54" w:tooltip="Sheehan, 1998 #1016" w:history="1">
        <w:r w:rsidR="00D33460" w:rsidRPr="00284E38">
          <w:rPr>
            <w:noProof/>
          </w:rPr>
          <w:t>Sheehan et al., 1998</w:t>
        </w:r>
      </w:hyperlink>
      <w:r w:rsidR="00D33460" w:rsidRPr="00284E38">
        <w:rPr>
          <w:noProof/>
        </w:rPr>
        <w:t>)</w:t>
      </w:r>
      <w:r w:rsidR="00303096" w:rsidRPr="00284E38">
        <w:t xml:space="preserve">, or </w:t>
      </w:r>
      <w:r w:rsidR="00092363" w:rsidRPr="00284E38">
        <w:t xml:space="preserve">a score above an accepted cut-off for diagnosable GAD in standardised questionnaires, such as the Generalised Anxiety Disorder-7 item questionnaire (GAD-7) </w:t>
      </w:r>
      <w:r w:rsidR="00D33460" w:rsidRPr="00284E38">
        <w:rPr>
          <w:noProof/>
        </w:rPr>
        <w:t>(</w:t>
      </w:r>
      <w:hyperlink w:anchor="_ENREF_57" w:tooltip="Spitzer, 2006 #1" w:history="1">
        <w:r w:rsidR="00D33460" w:rsidRPr="00284E38">
          <w:rPr>
            <w:noProof/>
          </w:rPr>
          <w:t>Spitzer, Kroenke, Williams, &amp; Lowe, 2006</w:t>
        </w:r>
      </w:hyperlink>
      <w:r w:rsidR="00D33460" w:rsidRPr="00284E38">
        <w:rPr>
          <w:noProof/>
        </w:rPr>
        <w:t>)</w:t>
      </w:r>
      <w:r w:rsidR="00092363" w:rsidRPr="00284E38">
        <w:t>.</w:t>
      </w:r>
    </w:p>
    <w:p w14:paraId="4FC06188" w14:textId="64823AA7" w:rsidR="007266B2" w:rsidRPr="00284E38" w:rsidRDefault="007266B2" w:rsidP="00A66873">
      <w:pPr>
        <w:rPr>
          <w:b/>
          <w:bCs/>
        </w:rPr>
      </w:pPr>
    </w:p>
    <w:p w14:paraId="19F21211" w14:textId="77777777" w:rsidR="001F70D9" w:rsidRPr="00284E38" w:rsidRDefault="001F70D9" w:rsidP="00AC0129">
      <w:pPr>
        <w:jc w:val="center"/>
        <w:rPr>
          <w:b/>
          <w:bCs/>
        </w:rPr>
      </w:pPr>
      <w:r w:rsidRPr="00284E38">
        <w:rPr>
          <w:b/>
          <w:bCs/>
        </w:rPr>
        <w:t>Table 1 – Sample characteristics and outcome measurement in RCTs of digital interventions for GAD</w:t>
      </w:r>
    </w:p>
    <w:p w14:paraId="76ABDA0F" w14:textId="77777777" w:rsidR="001F70D9" w:rsidRPr="00284E38" w:rsidRDefault="001F70D9" w:rsidP="001F70D9">
      <w:pPr>
        <w:rPr>
          <w:sz w:val="20"/>
          <w:szCs w:val="20"/>
        </w:rPr>
      </w:pPr>
    </w:p>
    <w:p w14:paraId="1B876B87" w14:textId="47BED940" w:rsidR="00AC0129" w:rsidRPr="00284E38" w:rsidRDefault="00AC0129" w:rsidP="00AC0129">
      <w:pPr>
        <w:jc w:val="center"/>
        <w:rPr>
          <w:b/>
          <w:bCs/>
        </w:rPr>
      </w:pPr>
      <w:r w:rsidRPr="00284E38">
        <w:rPr>
          <w:b/>
          <w:bCs/>
        </w:rPr>
        <w:t>&lt;Insert Table 1 here&gt;</w:t>
      </w:r>
    </w:p>
    <w:p w14:paraId="5EDCF13F" w14:textId="77777777" w:rsidR="00361143" w:rsidRPr="00284E38" w:rsidRDefault="00361143" w:rsidP="004A3603">
      <w:pPr>
        <w:jc w:val="both"/>
        <w:rPr>
          <w:bCs/>
        </w:rPr>
      </w:pPr>
    </w:p>
    <w:p w14:paraId="564DFE70" w14:textId="152DF520" w:rsidR="00B6002F" w:rsidRPr="00284E38" w:rsidRDefault="00B6002F" w:rsidP="00B6002F">
      <w:pPr>
        <w:rPr>
          <w:b/>
          <w:iCs/>
        </w:rPr>
      </w:pPr>
      <w:r w:rsidRPr="00284E38">
        <w:rPr>
          <w:b/>
          <w:iCs/>
        </w:rPr>
        <w:t>3.</w:t>
      </w:r>
      <w:r w:rsidR="00ED2DFD" w:rsidRPr="00284E38">
        <w:rPr>
          <w:b/>
          <w:iCs/>
        </w:rPr>
        <w:t>3</w:t>
      </w:r>
      <w:r w:rsidRPr="00284E38">
        <w:rPr>
          <w:b/>
          <w:iCs/>
        </w:rPr>
        <w:t xml:space="preserve">. Risk of bias </w:t>
      </w:r>
      <w:r w:rsidR="003D71E0" w:rsidRPr="00284E38">
        <w:rPr>
          <w:b/>
          <w:iCs/>
        </w:rPr>
        <w:t>assessment</w:t>
      </w:r>
    </w:p>
    <w:p w14:paraId="7E9C4317" w14:textId="77777777" w:rsidR="00630CAC" w:rsidRPr="00284E38" w:rsidRDefault="00630CAC" w:rsidP="00B6002F">
      <w:pPr>
        <w:rPr>
          <w:b/>
          <w:iCs/>
        </w:rPr>
      </w:pPr>
    </w:p>
    <w:p w14:paraId="325A2321" w14:textId="4FAB5A09" w:rsidR="00B459F7" w:rsidRPr="00284E38" w:rsidRDefault="00EF14E5" w:rsidP="00B459F7">
      <w:r w:rsidRPr="00284E38">
        <w:t xml:space="preserve">All but </w:t>
      </w:r>
      <w:r w:rsidR="006323A5" w:rsidRPr="00284E38">
        <w:t>one</w:t>
      </w:r>
      <w:r w:rsidR="001B3DB7" w:rsidRPr="00284E38">
        <w:t xml:space="preserve"> </w:t>
      </w:r>
      <w:r w:rsidR="00D33460" w:rsidRPr="00284E38">
        <w:rPr>
          <w:noProof/>
        </w:rPr>
        <w:t>(</w:t>
      </w:r>
      <w:hyperlink w:anchor="_ENREF_27" w:tooltip="Hazen, 2009 #249" w:history="1">
        <w:r w:rsidR="00D33460" w:rsidRPr="00284E38">
          <w:rPr>
            <w:noProof/>
          </w:rPr>
          <w:t>Hazen et al., 2009</w:t>
        </w:r>
      </w:hyperlink>
      <w:r w:rsidR="00D33460" w:rsidRPr="00284E38">
        <w:rPr>
          <w:noProof/>
        </w:rPr>
        <w:t>)</w:t>
      </w:r>
      <w:r w:rsidRPr="00284E38">
        <w:t xml:space="preserve"> out </w:t>
      </w:r>
      <w:r w:rsidR="00373544" w:rsidRPr="00284E38">
        <w:t xml:space="preserve">of </w:t>
      </w:r>
      <w:r w:rsidR="00B6002F" w:rsidRPr="00284E38">
        <w:t xml:space="preserve">the 21 included studies, were judged to have a high risk of bias in at least one domain </w:t>
      </w:r>
      <w:r w:rsidRPr="00284E38">
        <w:t>of assessment</w:t>
      </w:r>
      <w:r w:rsidR="00373544" w:rsidRPr="00284E38">
        <w:t>,</w:t>
      </w:r>
      <w:r w:rsidRPr="00284E38">
        <w:t xml:space="preserve"> </w:t>
      </w:r>
      <w:r w:rsidR="00B6002F" w:rsidRPr="00284E38">
        <w:t xml:space="preserve">for at least one outcome measure. </w:t>
      </w:r>
      <w:r w:rsidR="005A482B" w:rsidRPr="00284E38">
        <w:t xml:space="preserve">This </w:t>
      </w:r>
      <w:r w:rsidR="00B6002F" w:rsidRPr="00284E38">
        <w:t>was largely d</w:t>
      </w:r>
      <w:r w:rsidR="006E6331" w:rsidRPr="00284E38">
        <w:t>ue</w:t>
      </w:r>
      <w:r w:rsidR="00B6002F" w:rsidRPr="00284E38">
        <w:t xml:space="preserve"> to</w:t>
      </w:r>
      <w:r w:rsidR="000E124D" w:rsidRPr="00284E38">
        <w:t xml:space="preserve"> </w:t>
      </w:r>
      <w:r w:rsidR="0012661E" w:rsidRPr="00284E38">
        <w:t xml:space="preserve">the choice of </w:t>
      </w:r>
      <w:r w:rsidR="000E124D" w:rsidRPr="00284E38">
        <w:t>outcome</w:t>
      </w:r>
      <w:r w:rsidR="00B6002F" w:rsidRPr="00284E38">
        <w:t xml:space="preserve"> measurement</w:t>
      </w:r>
      <w:r w:rsidR="009D22C8" w:rsidRPr="00284E38">
        <w:t xml:space="preserve"> </w:t>
      </w:r>
      <w:r w:rsidR="00C75327" w:rsidRPr="00284E38">
        <w:t>as</w:t>
      </w:r>
      <w:r w:rsidR="009D22C8" w:rsidRPr="00284E38">
        <w:t xml:space="preserve"> </w:t>
      </w:r>
      <w:r w:rsidR="006E6331" w:rsidRPr="00284E38">
        <w:t xml:space="preserve">all studies </w:t>
      </w:r>
      <w:r w:rsidR="009D22C8" w:rsidRPr="00284E38">
        <w:t xml:space="preserve">used </w:t>
      </w:r>
      <w:r w:rsidR="00B6002F" w:rsidRPr="00284E38">
        <w:t>self-report</w:t>
      </w:r>
      <w:r w:rsidR="009D22C8" w:rsidRPr="00284E38">
        <w:t>ed</w:t>
      </w:r>
      <w:r w:rsidR="002F31A8" w:rsidRPr="00284E38">
        <w:t xml:space="preserve"> - </w:t>
      </w:r>
      <w:r w:rsidR="00B6002F" w:rsidRPr="00284E38">
        <w:t>albeit standardised</w:t>
      </w:r>
      <w:r w:rsidR="002F31A8" w:rsidRPr="00284E38">
        <w:t xml:space="preserve"> </w:t>
      </w:r>
      <w:r w:rsidR="00683E6F" w:rsidRPr="00284E38">
        <w:t>–</w:t>
      </w:r>
      <w:r w:rsidR="002F31A8" w:rsidRPr="00284E38">
        <w:t xml:space="preserve"> </w:t>
      </w:r>
      <w:r w:rsidR="009D22C8" w:rsidRPr="00284E38">
        <w:t>questionnaires</w:t>
      </w:r>
      <w:r w:rsidR="00683E6F" w:rsidRPr="00284E38">
        <w:t>.</w:t>
      </w:r>
      <w:r w:rsidR="009D22C8" w:rsidRPr="00284E38">
        <w:t xml:space="preserve"> </w:t>
      </w:r>
      <w:r w:rsidR="0012661E" w:rsidRPr="00284E38">
        <w:t>S</w:t>
      </w:r>
      <w:r w:rsidR="009D22C8" w:rsidRPr="00284E38">
        <w:t xml:space="preserve">elf-reported outcomes are considered to have a high risk of bias in these studies because </w:t>
      </w:r>
      <w:r w:rsidR="00B6002F" w:rsidRPr="00284E38">
        <w:t xml:space="preserve">participants </w:t>
      </w:r>
      <w:r w:rsidR="0012661E" w:rsidRPr="00284E38">
        <w:t>can rarely be</w:t>
      </w:r>
      <w:r w:rsidR="00B6002F" w:rsidRPr="00284E38">
        <w:t xml:space="preserve"> blind to the</w:t>
      </w:r>
      <w:r w:rsidR="009D22C8" w:rsidRPr="00284E38">
        <w:t>ir</w:t>
      </w:r>
      <w:r w:rsidR="00B6002F" w:rsidRPr="00284E38">
        <w:t xml:space="preserve"> </w:t>
      </w:r>
      <w:r w:rsidR="009D22C8" w:rsidRPr="00284E38">
        <w:t>allocat</w:t>
      </w:r>
      <w:r w:rsidR="003923C6" w:rsidRPr="00284E38">
        <w:t>ion</w:t>
      </w:r>
      <w:r w:rsidR="009D22C8" w:rsidRPr="00284E38">
        <w:t xml:space="preserve"> group</w:t>
      </w:r>
      <w:r w:rsidR="00B6002F" w:rsidRPr="00284E38">
        <w:t xml:space="preserve">. </w:t>
      </w:r>
      <w:r w:rsidR="003D71E0" w:rsidRPr="00284E38">
        <w:t>A visual description of the</w:t>
      </w:r>
      <w:r w:rsidR="00B459F7" w:rsidRPr="00284E38">
        <w:t xml:space="preserve"> results of the RoB assessment </w:t>
      </w:r>
      <w:r w:rsidR="002C554C" w:rsidRPr="00284E38">
        <w:t xml:space="preserve">is given in </w:t>
      </w:r>
      <w:r w:rsidR="000339D5" w:rsidRPr="00284E38">
        <w:t>A</w:t>
      </w:r>
      <w:r w:rsidR="002C554C" w:rsidRPr="00284E38">
        <w:t xml:space="preserve">ppendix </w:t>
      </w:r>
      <w:r w:rsidR="00017582" w:rsidRPr="00284E38">
        <w:t>E</w:t>
      </w:r>
      <w:r w:rsidR="002C554C" w:rsidRPr="00284E38">
        <w:t>, both for each RoB domain across all studies (</w:t>
      </w:r>
      <w:r w:rsidR="000339D5" w:rsidRPr="00284E38">
        <w:t>A</w:t>
      </w:r>
      <w:r w:rsidR="002C554C" w:rsidRPr="00284E38">
        <w:t xml:space="preserve">ppendix </w:t>
      </w:r>
      <w:r w:rsidR="00017582" w:rsidRPr="00284E38">
        <w:t>E</w:t>
      </w:r>
      <w:r w:rsidR="002C554C" w:rsidRPr="00284E38">
        <w:t xml:space="preserve">1) and </w:t>
      </w:r>
      <w:r w:rsidR="00CB3020" w:rsidRPr="00284E38">
        <w:t>for each study under each RoB domain</w:t>
      </w:r>
      <w:r w:rsidR="002C554C" w:rsidRPr="00284E38">
        <w:t xml:space="preserve"> (</w:t>
      </w:r>
      <w:r w:rsidR="000339D5" w:rsidRPr="00284E38">
        <w:t>A</w:t>
      </w:r>
      <w:r w:rsidR="002C554C" w:rsidRPr="00284E38">
        <w:t xml:space="preserve">ppendix </w:t>
      </w:r>
      <w:r w:rsidR="00017582" w:rsidRPr="00284E38">
        <w:t>E</w:t>
      </w:r>
      <w:r w:rsidR="002C554C" w:rsidRPr="00284E38">
        <w:t>2)</w:t>
      </w:r>
      <w:r w:rsidR="00B459F7" w:rsidRPr="00284E38">
        <w:t xml:space="preserve">. </w:t>
      </w:r>
    </w:p>
    <w:p w14:paraId="5A036AD0" w14:textId="50259749" w:rsidR="00ED2DFD" w:rsidRPr="00284E38" w:rsidRDefault="00ED2DFD" w:rsidP="00B459F7"/>
    <w:p w14:paraId="7537610C" w14:textId="20043C20" w:rsidR="00760F8F" w:rsidRPr="00284E38" w:rsidRDefault="00AE1F1A" w:rsidP="00E154E0">
      <w:pPr>
        <w:rPr>
          <w:b/>
          <w:iCs/>
        </w:rPr>
      </w:pPr>
      <w:r w:rsidRPr="00284E38">
        <w:rPr>
          <w:b/>
          <w:iCs/>
        </w:rPr>
        <w:t>3.</w:t>
      </w:r>
      <w:r w:rsidR="00017582" w:rsidRPr="00284E38">
        <w:rPr>
          <w:b/>
          <w:iCs/>
        </w:rPr>
        <w:t>4</w:t>
      </w:r>
      <w:r w:rsidRPr="00284E38">
        <w:rPr>
          <w:b/>
          <w:iCs/>
        </w:rPr>
        <w:t>.</w:t>
      </w:r>
      <w:r w:rsidR="009F77C5" w:rsidRPr="00284E38">
        <w:rPr>
          <w:b/>
          <w:iCs/>
        </w:rPr>
        <w:t xml:space="preserve"> Classification </w:t>
      </w:r>
      <w:r w:rsidR="004B2BDD" w:rsidRPr="00284E38">
        <w:rPr>
          <w:b/>
          <w:iCs/>
        </w:rPr>
        <w:t>of</w:t>
      </w:r>
      <w:r w:rsidR="009F77C5" w:rsidRPr="00284E38">
        <w:rPr>
          <w:b/>
          <w:iCs/>
        </w:rPr>
        <w:t xml:space="preserve"> Digital Interventions and Comparators</w:t>
      </w:r>
    </w:p>
    <w:p w14:paraId="3ACC306A" w14:textId="73C8C682" w:rsidR="007903A6" w:rsidRPr="00284E38" w:rsidRDefault="007903A6" w:rsidP="00E154E0">
      <w:pPr>
        <w:rPr>
          <w:rFonts w:eastAsia="MS Mincho"/>
          <w:lang w:eastAsia="ja-JP"/>
        </w:rPr>
      </w:pPr>
    </w:p>
    <w:p w14:paraId="6C402A53" w14:textId="13E380E6" w:rsidR="00CF5797" w:rsidRPr="00284E38" w:rsidRDefault="00B52303" w:rsidP="00CF5797">
      <w:pPr>
        <w:rPr>
          <w:rFonts w:eastAsia="MS Mincho"/>
          <w:lang w:eastAsia="ja-JP"/>
        </w:rPr>
      </w:pPr>
      <w:r w:rsidRPr="00284E38">
        <w:rPr>
          <w:rFonts w:eastAsia="MS Mincho"/>
          <w:lang w:eastAsia="ja-JP"/>
        </w:rPr>
        <w:t xml:space="preserve">A classification exercise took place to enable consistency across digital interventions and comparators. </w:t>
      </w:r>
      <w:r w:rsidR="00373544" w:rsidRPr="00284E38">
        <w:rPr>
          <w:rFonts w:eastAsia="MS Mincho"/>
          <w:lang w:eastAsia="ja-JP"/>
        </w:rPr>
        <w:t>W</w:t>
      </w:r>
      <w:r w:rsidR="00CF5797" w:rsidRPr="00284E38">
        <w:rPr>
          <w:rFonts w:eastAsia="MS Mincho"/>
          <w:lang w:eastAsia="ja-JP"/>
        </w:rPr>
        <w:t xml:space="preserve">e classified DIs and their alternatives according to three criteria: a) whether they were a psychological/behavioural intervention (I) or a non-therapeutic psychological/behavioural control (C); b) whether they were digital (D) or non-digital (NoD); c) whether they were supported (S) or unsupported (U). Waiting lists and usual care were classified under no intervention (NI) unless an active component (e.g. monitoring, sham activity) was introduced, in which case the waiting list/usual care was classified as non-therapeutic psychological/behavioural control. An additional classification group was included for pharmacological interventions, called medication (M). </w:t>
      </w:r>
    </w:p>
    <w:p w14:paraId="486055DE" w14:textId="77777777" w:rsidR="00CF5797" w:rsidRPr="00284E38" w:rsidRDefault="00CF5797" w:rsidP="00CF5797">
      <w:pPr>
        <w:rPr>
          <w:rFonts w:eastAsia="MS Mincho"/>
          <w:lang w:eastAsia="ja-JP"/>
        </w:rPr>
      </w:pPr>
    </w:p>
    <w:p w14:paraId="2AEFCFFA" w14:textId="197BEFE8" w:rsidR="00D03115" w:rsidRPr="00284E38" w:rsidRDefault="00D03115" w:rsidP="00E654EF">
      <w:pPr>
        <w:rPr>
          <w:rFonts w:eastAsia="MS Mincho"/>
          <w:lang w:eastAsia="ja-JP"/>
        </w:rPr>
      </w:pPr>
      <w:r w:rsidRPr="00284E38">
        <w:rPr>
          <w:rFonts w:eastAsia="MS Mincho"/>
          <w:lang w:eastAsia="ja-JP"/>
        </w:rPr>
        <w:t>The interventions and controls of the 2</w:t>
      </w:r>
      <w:r w:rsidR="006C0CCF" w:rsidRPr="00284E38">
        <w:rPr>
          <w:rFonts w:eastAsia="MS Mincho"/>
          <w:lang w:eastAsia="ja-JP"/>
        </w:rPr>
        <w:t>0</w:t>
      </w:r>
      <w:r w:rsidRPr="00284E38">
        <w:rPr>
          <w:rFonts w:eastAsia="MS Mincho"/>
          <w:lang w:eastAsia="ja-JP"/>
        </w:rPr>
        <w:t xml:space="preserve"> RCTs were allocated to one of the following 8 classification groups: </w:t>
      </w:r>
      <w:r w:rsidR="009926F6" w:rsidRPr="00284E38">
        <w:rPr>
          <w:rFonts w:eastAsia="MS Mincho"/>
          <w:lang w:eastAsia="ja-JP"/>
        </w:rPr>
        <w:t>medication (M)</w:t>
      </w:r>
      <w:r w:rsidR="003E785B" w:rsidRPr="00284E38">
        <w:rPr>
          <w:rFonts w:eastAsia="MS Mincho"/>
          <w:lang w:eastAsia="ja-JP"/>
        </w:rPr>
        <w:t xml:space="preserve">; </w:t>
      </w:r>
      <w:r w:rsidR="009926F6" w:rsidRPr="00284E38">
        <w:rPr>
          <w:rFonts w:eastAsia="MS Mincho"/>
          <w:lang w:eastAsia="ja-JP"/>
        </w:rPr>
        <w:t>no intervention (NI)</w:t>
      </w:r>
      <w:r w:rsidR="003E785B" w:rsidRPr="00284E38">
        <w:rPr>
          <w:rFonts w:eastAsia="MS Mincho"/>
          <w:lang w:eastAsia="ja-JP"/>
        </w:rPr>
        <w:t xml:space="preserve">; </w:t>
      </w:r>
      <w:r w:rsidR="009926F6" w:rsidRPr="00284E38">
        <w:rPr>
          <w:rFonts w:eastAsia="MS Mincho"/>
          <w:lang w:eastAsia="ja-JP"/>
        </w:rPr>
        <w:t>supported digital control (SDC)</w:t>
      </w:r>
      <w:r w:rsidR="003E785B" w:rsidRPr="00284E38">
        <w:rPr>
          <w:rFonts w:eastAsia="MS Mincho"/>
          <w:lang w:eastAsia="ja-JP"/>
        </w:rPr>
        <w:t xml:space="preserve">; </w:t>
      </w:r>
      <w:r w:rsidR="009926F6" w:rsidRPr="00284E38">
        <w:rPr>
          <w:rFonts w:eastAsia="MS Mincho"/>
          <w:lang w:eastAsia="ja-JP"/>
        </w:rPr>
        <w:t>supported digital intervention (SDI)</w:t>
      </w:r>
      <w:r w:rsidR="003E785B" w:rsidRPr="00284E38">
        <w:rPr>
          <w:rFonts w:eastAsia="MS Mincho"/>
          <w:lang w:eastAsia="ja-JP"/>
        </w:rPr>
        <w:t xml:space="preserve">; </w:t>
      </w:r>
      <w:r w:rsidR="009926F6" w:rsidRPr="00284E38">
        <w:rPr>
          <w:rFonts w:eastAsia="MS Mincho"/>
          <w:lang w:eastAsia="ja-JP"/>
        </w:rPr>
        <w:t>supported non-digital control (SNoDC)</w:t>
      </w:r>
      <w:r w:rsidR="003E785B" w:rsidRPr="00284E38">
        <w:rPr>
          <w:rFonts w:eastAsia="MS Mincho"/>
          <w:lang w:eastAsia="ja-JP"/>
        </w:rPr>
        <w:t xml:space="preserve">; </w:t>
      </w:r>
      <w:r w:rsidR="009926F6" w:rsidRPr="00284E38">
        <w:rPr>
          <w:rFonts w:eastAsia="MS Mincho"/>
          <w:lang w:eastAsia="ja-JP"/>
        </w:rPr>
        <w:t>supported non-digital intervention (SNoDI)</w:t>
      </w:r>
      <w:r w:rsidR="003E785B" w:rsidRPr="00284E38">
        <w:rPr>
          <w:rFonts w:eastAsia="MS Mincho"/>
          <w:lang w:eastAsia="ja-JP"/>
        </w:rPr>
        <w:t xml:space="preserve">; </w:t>
      </w:r>
      <w:r w:rsidR="009926F6" w:rsidRPr="00284E38">
        <w:rPr>
          <w:rFonts w:eastAsia="MS Mincho"/>
          <w:lang w:eastAsia="ja-JP"/>
        </w:rPr>
        <w:t>unsupported digital control (UDC)</w:t>
      </w:r>
      <w:r w:rsidR="003E785B" w:rsidRPr="00284E38">
        <w:rPr>
          <w:rFonts w:eastAsia="MS Mincho"/>
          <w:lang w:eastAsia="ja-JP"/>
        </w:rPr>
        <w:t xml:space="preserve">; </w:t>
      </w:r>
      <w:r w:rsidR="009926F6" w:rsidRPr="00284E38">
        <w:rPr>
          <w:rFonts w:eastAsia="MS Mincho"/>
          <w:lang w:eastAsia="ja-JP"/>
        </w:rPr>
        <w:t>unsupported digital intervention (UDI)</w:t>
      </w:r>
      <w:r w:rsidR="003E785B" w:rsidRPr="00284E38">
        <w:rPr>
          <w:rFonts w:eastAsia="MS Mincho"/>
          <w:lang w:eastAsia="ja-JP"/>
        </w:rPr>
        <w:t xml:space="preserve">. </w:t>
      </w:r>
      <w:r w:rsidR="00CF5797" w:rsidRPr="00284E38">
        <w:rPr>
          <w:rFonts w:eastAsia="MS Mincho"/>
          <w:lang w:eastAsia="ja-JP"/>
        </w:rPr>
        <w:t>There were no available clinical studies that included unsupported non-digital interventions (UNoDI) or unsupported non-digital controls (UNoDC).</w:t>
      </w:r>
      <w:r w:rsidR="00B52303" w:rsidRPr="00284E38">
        <w:rPr>
          <w:rFonts w:eastAsia="MS Mincho"/>
          <w:lang w:eastAsia="ja-JP"/>
        </w:rPr>
        <w:t xml:space="preserve"> </w:t>
      </w:r>
      <w:r w:rsidR="00E654EF" w:rsidRPr="00284E38">
        <w:rPr>
          <w:rFonts w:eastAsia="MS Mincho"/>
          <w:lang w:eastAsia="ja-JP"/>
        </w:rPr>
        <w:t>T</w:t>
      </w:r>
      <w:r w:rsidRPr="00284E38">
        <w:rPr>
          <w:rFonts w:eastAsia="MS Mincho"/>
          <w:lang w:eastAsia="ja-JP"/>
        </w:rPr>
        <w:t xml:space="preserve">able 2 describes all the interventions and controls included in each classification group for each study. </w:t>
      </w:r>
    </w:p>
    <w:p w14:paraId="15D93900" w14:textId="496C676D" w:rsidR="006F7B26" w:rsidRPr="00284E38" w:rsidRDefault="006F7B26" w:rsidP="00E651CD">
      <w:pPr>
        <w:rPr>
          <w:rFonts w:eastAsia="MS Mincho"/>
          <w:lang w:eastAsia="ja-JP"/>
        </w:rPr>
      </w:pPr>
    </w:p>
    <w:p w14:paraId="44CD71A9" w14:textId="361639AB" w:rsidR="001F70D9" w:rsidRPr="00284E38" w:rsidRDefault="001F70D9" w:rsidP="00B52303">
      <w:pPr>
        <w:jc w:val="center"/>
        <w:rPr>
          <w:b/>
          <w:bCs/>
        </w:rPr>
      </w:pPr>
      <w:r w:rsidRPr="00284E38">
        <w:rPr>
          <w:b/>
          <w:bCs/>
        </w:rPr>
        <w:t>Table 2 – Characteristics and classifications of interventions and controls in RCTs of digital interventions for GAD</w:t>
      </w:r>
    </w:p>
    <w:p w14:paraId="0DAF1D35" w14:textId="120023B1" w:rsidR="00B52303" w:rsidRPr="00284E38" w:rsidRDefault="00B52303" w:rsidP="001F70D9">
      <w:pPr>
        <w:rPr>
          <w:b/>
          <w:bCs/>
          <w:sz w:val="22"/>
        </w:rPr>
      </w:pPr>
    </w:p>
    <w:p w14:paraId="2665165A" w14:textId="685C1F0C" w:rsidR="00B52303" w:rsidRPr="00284E38" w:rsidRDefault="00B52303" w:rsidP="00B52303">
      <w:pPr>
        <w:jc w:val="center"/>
        <w:rPr>
          <w:b/>
          <w:bCs/>
        </w:rPr>
      </w:pPr>
      <w:r w:rsidRPr="00284E38">
        <w:rPr>
          <w:b/>
          <w:bCs/>
        </w:rPr>
        <w:t>&lt;Insert Table 2 here&gt;</w:t>
      </w:r>
    </w:p>
    <w:p w14:paraId="149C2ABC" w14:textId="77777777" w:rsidR="00361143" w:rsidRPr="00284E38" w:rsidRDefault="00361143" w:rsidP="001F70D9">
      <w:pPr>
        <w:rPr>
          <w:b/>
          <w:bCs/>
          <w:sz w:val="22"/>
        </w:rPr>
      </w:pPr>
    </w:p>
    <w:p w14:paraId="2842EA6A" w14:textId="381F621B" w:rsidR="003E785B" w:rsidRDefault="002932E7" w:rsidP="006526BF">
      <w:pPr>
        <w:rPr>
          <w:bCs/>
          <w:iCs/>
        </w:rPr>
      </w:pPr>
      <w:r w:rsidRPr="00284E38">
        <w:rPr>
          <w:rFonts w:eastAsia="MS Mincho"/>
          <w:lang w:eastAsia="ja-JP"/>
        </w:rPr>
        <w:t xml:space="preserve">Based on the 8-group classification </w:t>
      </w:r>
      <w:r w:rsidR="00373544" w:rsidRPr="00284E38">
        <w:rPr>
          <w:rFonts w:eastAsia="MS Mincho"/>
          <w:lang w:eastAsia="ja-JP"/>
        </w:rPr>
        <w:t>for GAD RCTs</w:t>
      </w:r>
      <w:r w:rsidRPr="00284E38">
        <w:rPr>
          <w:rFonts w:eastAsia="MS Mincho"/>
          <w:lang w:eastAsia="ja-JP"/>
        </w:rPr>
        <w:t xml:space="preserve">, the majority of DIs </w:t>
      </w:r>
      <w:r w:rsidR="00800AA0" w:rsidRPr="00284E38">
        <w:rPr>
          <w:rFonts w:eastAsia="MS Mincho"/>
          <w:lang w:eastAsia="ja-JP"/>
        </w:rPr>
        <w:t xml:space="preserve">studied </w:t>
      </w:r>
      <w:r w:rsidRPr="00284E38">
        <w:rPr>
          <w:rFonts w:eastAsia="MS Mincho"/>
          <w:lang w:eastAsia="ja-JP"/>
        </w:rPr>
        <w:t xml:space="preserve">were supported </w:t>
      </w:r>
      <w:r w:rsidR="00555153" w:rsidRPr="00284E38">
        <w:rPr>
          <w:rFonts w:eastAsia="MS Mincho"/>
          <w:lang w:eastAsia="ja-JP"/>
        </w:rPr>
        <w:t>(</w:t>
      </w:r>
      <w:r w:rsidR="00800AA0" w:rsidRPr="00284E38">
        <w:rPr>
          <w:rFonts w:eastAsia="MS Mincho"/>
          <w:lang w:eastAsia="ja-JP"/>
        </w:rPr>
        <w:t>SDI -</w:t>
      </w:r>
      <w:r w:rsidR="00555153" w:rsidRPr="00284E38">
        <w:rPr>
          <w:rFonts w:eastAsia="MS Mincho"/>
          <w:lang w:eastAsia="ja-JP"/>
        </w:rPr>
        <w:t xml:space="preserve"> 18 RCTs) </w:t>
      </w:r>
      <w:r w:rsidRPr="00284E38">
        <w:rPr>
          <w:rFonts w:eastAsia="MS Mincho"/>
          <w:lang w:eastAsia="ja-JP"/>
        </w:rPr>
        <w:t>and were compared against no intervention</w:t>
      </w:r>
      <w:r w:rsidR="00555153" w:rsidRPr="00284E38">
        <w:rPr>
          <w:rFonts w:eastAsia="MS Mincho"/>
          <w:lang w:eastAsia="ja-JP"/>
        </w:rPr>
        <w:t xml:space="preserve"> (</w:t>
      </w:r>
      <w:r w:rsidR="00800AA0" w:rsidRPr="00284E38">
        <w:rPr>
          <w:rFonts w:eastAsia="MS Mincho"/>
          <w:lang w:eastAsia="ja-JP"/>
        </w:rPr>
        <w:t>NI -</w:t>
      </w:r>
      <w:r w:rsidR="00555153" w:rsidRPr="00284E38">
        <w:rPr>
          <w:rFonts w:eastAsia="MS Mincho"/>
          <w:lang w:eastAsia="ja-JP"/>
        </w:rPr>
        <w:t xml:space="preserve"> 12 RCTs)</w:t>
      </w:r>
      <w:r w:rsidRPr="00284E38">
        <w:rPr>
          <w:rFonts w:eastAsia="MS Mincho"/>
          <w:lang w:eastAsia="ja-JP"/>
        </w:rPr>
        <w:t xml:space="preserve">. </w:t>
      </w:r>
      <w:r w:rsidR="006526BF" w:rsidRPr="00284E38">
        <w:rPr>
          <w:rFonts w:eastAsia="MS Mincho"/>
          <w:lang w:eastAsia="ja-JP"/>
        </w:rPr>
        <w:t xml:space="preserve">Only 3 RCTs </w:t>
      </w:r>
      <w:r w:rsidR="00800AA0" w:rsidRPr="00284E38">
        <w:rPr>
          <w:rFonts w:eastAsia="MS Mincho"/>
          <w:lang w:eastAsia="ja-JP"/>
        </w:rPr>
        <w:t>evaluated</w:t>
      </w:r>
      <w:r w:rsidR="006526BF" w:rsidRPr="00284E38">
        <w:rPr>
          <w:rFonts w:eastAsia="MS Mincho"/>
          <w:lang w:eastAsia="ja-JP"/>
        </w:rPr>
        <w:t xml:space="preserve"> unsupported DIs</w:t>
      </w:r>
      <w:r w:rsidR="00800AA0" w:rsidRPr="00284E38">
        <w:rPr>
          <w:rFonts w:eastAsia="MS Mincho"/>
          <w:lang w:eastAsia="ja-JP"/>
        </w:rPr>
        <w:t xml:space="preserve"> (UDI)</w:t>
      </w:r>
      <w:r w:rsidR="006526BF" w:rsidRPr="00284E38">
        <w:rPr>
          <w:rFonts w:eastAsia="MS Mincho"/>
          <w:lang w:eastAsia="ja-JP"/>
        </w:rPr>
        <w:t xml:space="preserve">; </w:t>
      </w:r>
      <w:r w:rsidR="00B05CBF" w:rsidRPr="00284E38">
        <w:rPr>
          <w:rFonts w:eastAsia="MS Mincho"/>
          <w:lang w:eastAsia="ja-JP"/>
        </w:rPr>
        <w:t>two</w:t>
      </w:r>
      <w:r w:rsidR="006526BF" w:rsidRPr="00284E38">
        <w:rPr>
          <w:rFonts w:eastAsia="MS Mincho"/>
          <w:lang w:eastAsia="ja-JP"/>
        </w:rPr>
        <w:t xml:space="preserve"> were web-based CBT</w:t>
      </w:r>
      <w:r w:rsidR="006E6331" w:rsidRPr="00284E38">
        <w:rPr>
          <w:rFonts w:eastAsia="MS Mincho"/>
          <w:lang w:eastAsia="ja-JP"/>
        </w:rPr>
        <w:t xml:space="preserve"> </w:t>
      </w:r>
      <w:r w:rsidR="00D33460" w:rsidRPr="00284E38">
        <w:rPr>
          <w:rFonts w:eastAsia="MS Mincho"/>
          <w:noProof/>
          <w:lang w:eastAsia="ja-JP"/>
        </w:rPr>
        <w:t>(</w:t>
      </w:r>
      <w:hyperlink w:anchor="_ENREF_10" w:tooltip="Christensen, 2014 #233" w:history="1">
        <w:r w:rsidR="00D33460" w:rsidRPr="00284E38">
          <w:rPr>
            <w:rFonts w:eastAsia="MS Mincho"/>
            <w:noProof/>
            <w:lang w:eastAsia="ja-JP"/>
          </w:rPr>
          <w:t>Christensen, Batterham, et al., 2014</w:t>
        </w:r>
      </w:hyperlink>
      <w:r w:rsidR="00D33460" w:rsidRPr="00284E38">
        <w:rPr>
          <w:rFonts w:eastAsia="MS Mincho"/>
          <w:noProof/>
          <w:lang w:eastAsia="ja-JP"/>
        </w:rPr>
        <w:t xml:space="preserve">; </w:t>
      </w:r>
      <w:hyperlink w:anchor="_ENREF_16" w:tooltip="Dear, 2015 #456" w:history="1">
        <w:r w:rsidR="00D33460" w:rsidRPr="00284E38">
          <w:rPr>
            <w:rFonts w:eastAsia="MS Mincho"/>
            <w:noProof/>
            <w:lang w:eastAsia="ja-JP"/>
          </w:rPr>
          <w:t>Dear et al., 2015</w:t>
        </w:r>
      </w:hyperlink>
      <w:r w:rsidR="00D33460" w:rsidRPr="00284E38">
        <w:rPr>
          <w:rFonts w:eastAsia="MS Mincho"/>
          <w:noProof/>
          <w:lang w:eastAsia="ja-JP"/>
        </w:rPr>
        <w:t>)</w:t>
      </w:r>
      <w:r w:rsidR="00D33460" w:rsidRPr="00284E38">
        <w:rPr>
          <w:rFonts w:eastAsia="MS Mincho"/>
          <w:lang w:eastAsia="ja-JP"/>
        </w:rPr>
        <w:t xml:space="preserve"> and one </w:t>
      </w:r>
      <w:r w:rsidR="00D33460" w:rsidRPr="00284E38">
        <w:rPr>
          <w:rFonts w:eastAsia="MS Mincho"/>
          <w:noProof/>
          <w:lang w:eastAsia="ja-JP"/>
        </w:rPr>
        <w:t>(</w:t>
      </w:r>
      <w:hyperlink w:anchor="_ENREF_46" w:tooltip="Pham, 2016 #854" w:history="1">
        <w:r w:rsidR="00D33460" w:rsidRPr="00284E38">
          <w:rPr>
            <w:rFonts w:eastAsia="MS Mincho"/>
            <w:noProof/>
            <w:lang w:eastAsia="ja-JP"/>
          </w:rPr>
          <w:t>Pham et al.</w:t>
        </w:r>
      </w:hyperlink>
      <w:r w:rsidR="00D33460" w:rsidRPr="00284E38">
        <w:rPr>
          <w:rFonts w:eastAsia="MS Mincho"/>
          <w:noProof/>
          <w:lang w:eastAsia="ja-JP"/>
        </w:rPr>
        <w:t>)</w:t>
      </w:r>
      <w:r w:rsidR="006526BF" w:rsidRPr="00284E38">
        <w:rPr>
          <w:rFonts w:eastAsia="MS Mincho"/>
          <w:lang w:eastAsia="ja-JP"/>
        </w:rPr>
        <w:t xml:space="preserve"> </w:t>
      </w:r>
      <w:r w:rsidR="00861AE4" w:rsidRPr="00284E38">
        <w:rPr>
          <w:rFonts w:eastAsia="MS Mincho"/>
          <w:lang w:eastAsia="ja-JP"/>
        </w:rPr>
        <w:t>a</w:t>
      </w:r>
      <w:r w:rsidR="006526BF" w:rsidRPr="00284E38">
        <w:rPr>
          <w:rFonts w:eastAsia="MS Mincho"/>
          <w:lang w:eastAsia="ja-JP"/>
        </w:rPr>
        <w:t xml:space="preserve"> mobile game </w:t>
      </w:r>
      <w:r w:rsidR="00555153" w:rsidRPr="00284E38">
        <w:rPr>
          <w:rFonts w:eastAsia="MS Mincho"/>
          <w:lang w:eastAsia="ja-JP"/>
        </w:rPr>
        <w:t xml:space="preserve">to practise </w:t>
      </w:r>
      <w:r w:rsidR="006526BF" w:rsidRPr="00284E38">
        <w:rPr>
          <w:rFonts w:eastAsia="MS Mincho"/>
          <w:lang w:eastAsia="ja-JP"/>
        </w:rPr>
        <w:t>breathing re-trainin</w:t>
      </w:r>
      <w:r w:rsidR="00555153" w:rsidRPr="00284E38">
        <w:rPr>
          <w:rFonts w:eastAsia="MS Mincho"/>
          <w:lang w:eastAsia="ja-JP"/>
        </w:rPr>
        <w:t xml:space="preserve">g. </w:t>
      </w:r>
      <w:r w:rsidR="00045676" w:rsidRPr="00284E38">
        <w:rPr>
          <w:rFonts w:eastAsia="MS Mincho"/>
          <w:lang w:eastAsia="ja-JP"/>
        </w:rPr>
        <w:t xml:space="preserve">The only non-digital intervention (NoDI) represented in </w:t>
      </w:r>
      <w:r w:rsidR="00B05CBF" w:rsidRPr="00284E38">
        <w:rPr>
          <w:rFonts w:eastAsia="MS Mincho"/>
          <w:lang w:eastAsia="ja-JP"/>
        </w:rPr>
        <w:t>two</w:t>
      </w:r>
      <w:r w:rsidR="00045676" w:rsidRPr="00284E38">
        <w:rPr>
          <w:rFonts w:eastAsia="MS Mincho"/>
          <w:lang w:eastAsia="ja-JP"/>
        </w:rPr>
        <w:t xml:space="preserve"> RCTs </w:t>
      </w:r>
      <w:r w:rsidR="00D33460" w:rsidRPr="00284E38">
        <w:rPr>
          <w:rFonts w:eastAsia="MS Mincho"/>
          <w:noProof/>
          <w:lang w:eastAsia="ja-JP"/>
        </w:rPr>
        <w:t>(</w:t>
      </w:r>
      <w:hyperlink w:anchor="_ENREF_44" w:tooltip="Navarro-Haro, 2019 #735" w:history="1">
        <w:r w:rsidR="00D33460" w:rsidRPr="00284E38">
          <w:rPr>
            <w:rFonts w:eastAsia="MS Mincho"/>
            <w:noProof/>
            <w:lang w:eastAsia="ja-JP"/>
          </w:rPr>
          <w:t>Navarro-Haro et al., 2019</w:t>
        </w:r>
      </w:hyperlink>
      <w:r w:rsidR="00D33460" w:rsidRPr="00284E38">
        <w:rPr>
          <w:rFonts w:eastAsia="MS Mincho"/>
          <w:noProof/>
          <w:lang w:eastAsia="ja-JP"/>
        </w:rPr>
        <w:t xml:space="preserve">; </w:t>
      </w:r>
      <w:hyperlink w:anchor="_ENREF_63" w:tooltip="Topper, 2017 #248" w:history="1">
        <w:r w:rsidR="00D33460" w:rsidRPr="00284E38">
          <w:rPr>
            <w:rFonts w:eastAsia="MS Mincho"/>
            <w:noProof/>
            <w:lang w:eastAsia="ja-JP"/>
          </w:rPr>
          <w:t>Topper et al., 2017</w:t>
        </w:r>
      </w:hyperlink>
      <w:r w:rsidR="00D33460" w:rsidRPr="00284E38">
        <w:rPr>
          <w:rFonts w:eastAsia="MS Mincho"/>
          <w:noProof/>
          <w:lang w:eastAsia="ja-JP"/>
        </w:rPr>
        <w:t>)</w:t>
      </w:r>
      <w:r w:rsidR="00045676" w:rsidRPr="00284E38">
        <w:rPr>
          <w:rFonts w:eastAsia="MS Mincho"/>
          <w:lang w:eastAsia="ja-JP"/>
        </w:rPr>
        <w:t xml:space="preserve"> was group therapy (one CBT and one mindfulness-based intervention) and the</w:t>
      </w:r>
      <w:r w:rsidR="00B70203" w:rsidRPr="00284E38">
        <w:rPr>
          <w:rFonts w:eastAsia="MS Mincho"/>
          <w:lang w:eastAsia="ja-JP"/>
        </w:rPr>
        <w:t>re was only</w:t>
      </w:r>
      <w:r w:rsidR="00045676" w:rsidRPr="00284E38">
        <w:rPr>
          <w:rFonts w:eastAsia="MS Mincho"/>
          <w:lang w:eastAsia="ja-JP"/>
        </w:rPr>
        <w:t xml:space="preserve"> </w:t>
      </w:r>
      <w:r w:rsidR="00B05CBF" w:rsidRPr="00284E38">
        <w:rPr>
          <w:rFonts w:eastAsia="MS Mincho"/>
          <w:lang w:eastAsia="ja-JP"/>
        </w:rPr>
        <w:t xml:space="preserve">one </w:t>
      </w:r>
      <w:r w:rsidR="00045676" w:rsidRPr="00284E38">
        <w:rPr>
          <w:rFonts w:eastAsia="MS Mincho"/>
          <w:lang w:eastAsia="ja-JP"/>
        </w:rPr>
        <w:t xml:space="preserve">RCT </w:t>
      </w:r>
      <w:r w:rsidR="006526BF" w:rsidRPr="00284E38">
        <w:rPr>
          <w:rFonts w:eastAsia="MS Mincho"/>
          <w:lang w:eastAsia="ja-JP"/>
        </w:rPr>
        <w:t>that included</w:t>
      </w:r>
      <w:r w:rsidR="00045676" w:rsidRPr="00284E38">
        <w:rPr>
          <w:rFonts w:eastAsia="MS Mincho"/>
          <w:lang w:eastAsia="ja-JP"/>
        </w:rPr>
        <w:t xml:space="preserve"> </w:t>
      </w:r>
      <w:r w:rsidRPr="00284E38">
        <w:rPr>
          <w:rFonts w:eastAsia="MS Mincho"/>
          <w:lang w:eastAsia="ja-JP"/>
        </w:rPr>
        <w:t>an antidepressant</w:t>
      </w:r>
      <w:r w:rsidR="00800AA0" w:rsidRPr="00284E38">
        <w:rPr>
          <w:rFonts w:eastAsia="MS Mincho"/>
          <w:lang w:eastAsia="ja-JP"/>
        </w:rPr>
        <w:t xml:space="preserve"> medication</w:t>
      </w:r>
      <w:r w:rsidRPr="00284E38">
        <w:rPr>
          <w:rFonts w:eastAsia="MS Mincho"/>
          <w:lang w:eastAsia="ja-JP"/>
        </w:rPr>
        <w:t>, Sertraline</w:t>
      </w:r>
      <w:r w:rsidR="006526BF" w:rsidRPr="00284E38">
        <w:rPr>
          <w:rFonts w:eastAsia="MS Mincho"/>
          <w:lang w:eastAsia="ja-JP"/>
        </w:rPr>
        <w:t xml:space="preserve"> </w:t>
      </w:r>
      <w:r w:rsidR="00D33460" w:rsidRPr="00284E38">
        <w:rPr>
          <w:rFonts w:eastAsia="MS Mincho"/>
          <w:noProof/>
          <w:lang w:eastAsia="ja-JP"/>
        </w:rPr>
        <w:t>(</w:t>
      </w:r>
      <w:hyperlink w:anchor="_ENREF_11" w:tooltip="Christensen, 2014 #227" w:history="1">
        <w:r w:rsidR="00D33460" w:rsidRPr="00284E38">
          <w:rPr>
            <w:rFonts w:eastAsia="MS Mincho"/>
            <w:noProof/>
            <w:lang w:eastAsia="ja-JP"/>
          </w:rPr>
          <w:t>Christensen, Mackinnon, et al., 2014</w:t>
        </w:r>
      </w:hyperlink>
      <w:r w:rsidR="00D33460" w:rsidRPr="00284E38">
        <w:rPr>
          <w:rFonts w:eastAsia="MS Mincho"/>
          <w:noProof/>
          <w:lang w:eastAsia="ja-JP"/>
        </w:rPr>
        <w:t>)</w:t>
      </w:r>
      <w:r w:rsidR="006526BF" w:rsidRPr="00284E38">
        <w:rPr>
          <w:rFonts w:eastAsia="MS Mincho"/>
          <w:lang w:eastAsia="ja-JP"/>
        </w:rPr>
        <w:t xml:space="preserve">. </w:t>
      </w:r>
      <w:r w:rsidR="00975CC1" w:rsidRPr="00284E38">
        <w:rPr>
          <w:rFonts w:eastAsia="MS Mincho"/>
          <w:lang w:eastAsia="ja-JP"/>
        </w:rPr>
        <w:t>With regards to</w:t>
      </w:r>
      <w:r w:rsidR="006526BF" w:rsidRPr="00284E38">
        <w:rPr>
          <w:rFonts w:eastAsia="MS Mincho"/>
          <w:lang w:eastAsia="ja-JP"/>
        </w:rPr>
        <w:t xml:space="preserve"> </w:t>
      </w:r>
      <w:r w:rsidR="00555153" w:rsidRPr="00284E38">
        <w:rPr>
          <w:rFonts w:eastAsia="MS Mincho"/>
          <w:lang w:eastAsia="ja-JP"/>
        </w:rPr>
        <w:t xml:space="preserve">non-therapeutic </w:t>
      </w:r>
      <w:r w:rsidR="00975CC1" w:rsidRPr="00284E38">
        <w:rPr>
          <w:rFonts w:eastAsia="MS Mincho"/>
          <w:lang w:eastAsia="ja-JP"/>
        </w:rPr>
        <w:t xml:space="preserve">active </w:t>
      </w:r>
      <w:r w:rsidR="00555153" w:rsidRPr="00284E38">
        <w:rPr>
          <w:rFonts w:eastAsia="MS Mincho"/>
          <w:lang w:eastAsia="ja-JP"/>
        </w:rPr>
        <w:t>controls</w:t>
      </w:r>
      <w:r w:rsidR="00975CC1" w:rsidRPr="00284E38">
        <w:rPr>
          <w:rFonts w:eastAsia="MS Mincho"/>
          <w:lang w:eastAsia="ja-JP"/>
        </w:rPr>
        <w:t xml:space="preserve"> reported in 8 RCTs</w:t>
      </w:r>
      <w:r w:rsidR="00555153" w:rsidRPr="00284E38">
        <w:rPr>
          <w:rFonts w:eastAsia="MS Mincho"/>
          <w:lang w:eastAsia="ja-JP"/>
        </w:rPr>
        <w:t xml:space="preserve">, </w:t>
      </w:r>
      <w:r w:rsidR="00975CC1" w:rsidRPr="00284E38">
        <w:rPr>
          <w:rFonts w:eastAsia="MS Mincho"/>
          <w:lang w:eastAsia="ja-JP"/>
        </w:rPr>
        <w:t xml:space="preserve">most included a digital element whereas only </w:t>
      </w:r>
      <w:r w:rsidR="00B05CBF" w:rsidRPr="00284E38">
        <w:rPr>
          <w:rFonts w:eastAsia="MS Mincho"/>
          <w:lang w:eastAsia="ja-JP"/>
        </w:rPr>
        <w:t xml:space="preserve">one </w:t>
      </w:r>
      <w:r w:rsidR="00975CC1" w:rsidRPr="00284E38">
        <w:rPr>
          <w:rFonts w:eastAsia="MS Mincho"/>
          <w:lang w:eastAsia="ja-JP"/>
        </w:rPr>
        <w:t xml:space="preserve">RCT </w:t>
      </w:r>
      <w:r w:rsidR="00D33460" w:rsidRPr="00284E38">
        <w:rPr>
          <w:rFonts w:eastAsia="MS Mincho"/>
          <w:noProof/>
          <w:lang w:eastAsia="ja-JP"/>
        </w:rPr>
        <w:t>(</w:t>
      </w:r>
      <w:hyperlink w:anchor="_ENREF_60" w:tooltip="Teng, 2019 #708" w:history="1">
        <w:r w:rsidR="00D33460" w:rsidRPr="00284E38">
          <w:rPr>
            <w:rFonts w:eastAsia="MS Mincho"/>
            <w:noProof/>
            <w:lang w:eastAsia="ja-JP"/>
          </w:rPr>
          <w:t>Teng et al., 2019</w:t>
        </w:r>
      </w:hyperlink>
      <w:r w:rsidR="00D33460" w:rsidRPr="00284E38">
        <w:rPr>
          <w:rFonts w:eastAsia="MS Mincho"/>
          <w:noProof/>
          <w:lang w:eastAsia="ja-JP"/>
        </w:rPr>
        <w:t>)</w:t>
      </w:r>
      <w:r w:rsidR="006526BF" w:rsidRPr="00284E38">
        <w:rPr>
          <w:bCs/>
          <w:iCs/>
        </w:rPr>
        <w:t xml:space="preserve"> </w:t>
      </w:r>
      <w:r w:rsidR="00975CC1" w:rsidRPr="00284E38">
        <w:rPr>
          <w:bCs/>
          <w:iCs/>
        </w:rPr>
        <w:t>had a non-digital control in the form of a</w:t>
      </w:r>
      <w:r w:rsidR="006526BF" w:rsidRPr="00284E38">
        <w:rPr>
          <w:bCs/>
          <w:iCs/>
        </w:rPr>
        <w:t xml:space="preserve"> weekly face-to-face assessment with </w:t>
      </w:r>
      <w:r w:rsidR="00975CC1" w:rsidRPr="00284E38">
        <w:rPr>
          <w:bCs/>
          <w:iCs/>
        </w:rPr>
        <w:t xml:space="preserve">a </w:t>
      </w:r>
      <w:r w:rsidR="006526BF" w:rsidRPr="00284E38">
        <w:rPr>
          <w:bCs/>
          <w:iCs/>
        </w:rPr>
        <w:t>research assistant</w:t>
      </w:r>
      <w:r w:rsidR="00975CC1" w:rsidRPr="00284E38">
        <w:rPr>
          <w:bCs/>
          <w:iCs/>
        </w:rPr>
        <w:t xml:space="preserve"> in a lab</w:t>
      </w:r>
      <w:r w:rsidR="00151A7E" w:rsidRPr="00284E38">
        <w:rPr>
          <w:bCs/>
          <w:iCs/>
        </w:rPr>
        <w:t xml:space="preserve"> (SDC)</w:t>
      </w:r>
      <w:r w:rsidR="00975CC1" w:rsidRPr="00284E38">
        <w:rPr>
          <w:bCs/>
          <w:iCs/>
        </w:rPr>
        <w:t xml:space="preserve">. </w:t>
      </w:r>
    </w:p>
    <w:p w14:paraId="270378FB" w14:textId="18D886F5" w:rsidR="004E06BE" w:rsidRDefault="004E06BE" w:rsidP="006526BF">
      <w:pPr>
        <w:rPr>
          <w:bCs/>
          <w:iCs/>
        </w:rPr>
      </w:pPr>
    </w:p>
    <w:p w14:paraId="5E2A9B06" w14:textId="4C6DF3D2" w:rsidR="006529D2" w:rsidRPr="009C29FE" w:rsidRDefault="006529D2" w:rsidP="006529D2">
      <w:pPr>
        <w:rPr>
          <w:rFonts w:eastAsia="MS Mincho"/>
          <w:highlight w:val="yellow"/>
          <w:lang w:eastAsia="ja-JP"/>
        </w:rPr>
      </w:pPr>
      <w:r w:rsidRPr="009C29FE">
        <w:rPr>
          <w:rFonts w:eastAsia="MS Mincho"/>
          <w:highlight w:val="yellow"/>
          <w:lang w:eastAsia="ja-JP"/>
        </w:rPr>
        <w:t>Just over half of the included RCTs (12/21) evaluated CBT. Therapeutic approaches other than CBT included: psychodynamic therapy (Andersson 2012), extinction therapy (Andersson 2016), acceptance and commitment therapy (Dahlin 2016), cognitive or attentional bias modification (Hazen 2009, Hirsch 2018, Teng 2019), mindfulness (Dahlin 2016, Navarro-Haro 2019), relaxation (Repetto 2013) and diaphragmatic breathing (Pham 2016). The most common technology platform use was a web-interface (n=17). Two studies used VR platforms (Navarro-Haro 2019, Repetto 2013), and two used smartphone apps (Pham 2016, Teng 2019). The study by Repetto et al (2013) also used a mobile interface to enable users to access the VR scenarios at home but has also included a biofeedback system in one of the study arms.</w:t>
      </w:r>
    </w:p>
    <w:p w14:paraId="238A0CB3" w14:textId="77777777" w:rsidR="006529D2" w:rsidRPr="009C29FE" w:rsidRDefault="006529D2" w:rsidP="006529D2">
      <w:pPr>
        <w:rPr>
          <w:rFonts w:eastAsia="MS Mincho"/>
          <w:highlight w:val="yellow"/>
          <w:lang w:eastAsia="ja-JP"/>
        </w:rPr>
      </w:pPr>
    </w:p>
    <w:p w14:paraId="45BE28BD" w14:textId="0215E880" w:rsidR="004E06BE" w:rsidRPr="00284E38" w:rsidRDefault="006529D2" w:rsidP="006529D2">
      <w:pPr>
        <w:rPr>
          <w:rFonts w:eastAsia="MS Mincho"/>
          <w:lang w:eastAsia="ja-JP"/>
        </w:rPr>
      </w:pPr>
      <w:r w:rsidRPr="009C29FE">
        <w:rPr>
          <w:rFonts w:eastAsia="MS Mincho"/>
          <w:highlight w:val="yellow"/>
          <w:lang w:eastAsia="ja-JP"/>
        </w:rPr>
        <w:t>DIs differed not only in technology platform and therapy type, but also in whether additional interpersonal support was offered as an adjunct to the digital element and, if so, its type. Most DIs included some interpersonal contact by phone or face-to-face with professionals (GPs, therapists, psychologists both students and qualified), non-clinical researchers, or lay people. Only two studies included DIs that were pure self-help without any contact (Christensen et al 2014a, Pham 2016). Some DIs were supplemented by standardised emails without regular communication with another person (Christensen 2014a, Dear 2015, Howell 2018).</w:t>
      </w:r>
    </w:p>
    <w:p w14:paraId="460B36F9" w14:textId="77777777" w:rsidR="006526BF" w:rsidRPr="00284E38" w:rsidRDefault="006526BF" w:rsidP="008E38C6">
      <w:pPr>
        <w:jc w:val="both"/>
        <w:rPr>
          <w:b/>
          <w:iCs/>
        </w:rPr>
      </w:pPr>
    </w:p>
    <w:p w14:paraId="34EE28C5" w14:textId="152C24D9" w:rsidR="00017582" w:rsidRPr="00284E38" w:rsidRDefault="00017582" w:rsidP="00017582">
      <w:pPr>
        <w:rPr>
          <w:b/>
          <w:iCs/>
        </w:rPr>
      </w:pPr>
      <w:r w:rsidRPr="00284E38">
        <w:rPr>
          <w:b/>
          <w:iCs/>
        </w:rPr>
        <w:t>3.5. Selection of studies and outcome for the NMA</w:t>
      </w:r>
    </w:p>
    <w:p w14:paraId="2F9EE203" w14:textId="77777777" w:rsidR="00017582" w:rsidRPr="00284E38" w:rsidRDefault="00017582" w:rsidP="00017582"/>
    <w:p w14:paraId="7D515BC3" w14:textId="77777777" w:rsidR="00017582" w:rsidRPr="00284E38" w:rsidRDefault="00017582" w:rsidP="00017582">
      <w:r w:rsidRPr="00284E38">
        <w:t xml:space="preserve">A total of 45 different outcome measures were reported in the included RCTs, as shown in Appendix F. GAD-7 was used in 14 out of the 21 RCTs to measure symptoms at baseline and outcomes at follow-up. </w:t>
      </w:r>
      <w:bookmarkStart w:id="3" w:name="_Hlk70084323"/>
      <w:r w:rsidRPr="00284E38">
        <w:t xml:space="preserve">Penn State Worry Questionnaire </w:t>
      </w:r>
      <w:bookmarkEnd w:id="3"/>
      <w:r w:rsidRPr="00284E38">
        <w:t xml:space="preserve">(PSWQ) (Meyer, Miller, Metzger, &amp; Borkovec, 1990) was also reported in 14 studies. Apart from GAD-7 and PSWQ, the two other most frequently reported outcomes were for depression: the Patient Health Questionnaire – 9 item (PHQ-9) </w:t>
      </w:r>
      <w:r w:rsidRPr="00284E38">
        <w:rPr>
          <w:noProof/>
        </w:rPr>
        <w:t>(</w:t>
      </w:r>
      <w:hyperlink w:anchor="_ENREF_35" w:tooltip="Kroenke, 2002 #1017" w:history="1">
        <w:r w:rsidRPr="00284E38">
          <w:rPr>
            <w:noProof/>
          </w:rPr>
          <w:t>Kroenke &amp; Spitzer, 2002</w:t>
        </w:r>
      </w:hyperlink>
      <w:r w:rsidRPr="00284E38">
        <w:rPr>
          <w:noProof/>
        </w:rPr>
        <w:t>)</w:t>
      </w:r>
      <w:r w:rsidRPr="00284E38">
        <w:t xml:space="preserve"> and the Beck Depression Inventory – version II (BDI-II) </w:t>
      </w:r>
      <w:r w:rsidRPr="00284E38">
        <w:rPr>
          <w:noProof/>
        </w:rPr>
        <w:t>(</w:t>
      </w:r>
      <w:hyperlink w:anchor="_ENREF_6" w:tooltip="Beck, 1996 #1018" w:history="1">
        <w:r w:rsidRPr="00284E38">
          <w:rPr>
            <w:noProof/>
          </w:rPr>
          <w:t>Beck, Steer, &amp; Brown, 1996</w:t>
        </w:r>
      </w:hyperlink>
      <w:r w:rsidRPr="00284E38">
        <w:rPr>
          <w:noProof/>
        </w:rPr>
        <w:t>)</w:t>
      </w:r>
      <w:r w:rsidRPr="00284E38">
        <w:t xml:space="preserve">, reported in 8 and 6 RCTs respectively (Appendix F1). The Hamilton Anxiety Scale (HAM-A) </w:t>
      </w:r>
      <w:r w:rsidRPr="00284E38">
        <w:rPr>
          <w:noProof/>
        </w:rPr>
        <w:t>(</w:t>
      </w:r>
      <w:hyperlink w:anchor="_ENREF_39" w:tooltip="Maier, 1988 #1019" w:history="1">
        <w:r w:rsidRPr="00284E38">
          <w:rPr>
            <w:noProof/>
          </w:rPr>
          <w:t>Maier, Buller, Philipp, &amp; Heuser, 1988</w:t>
        </w:r>
      </w:hyperlink>
      <w:r w:rsidRPr="00284E38">
        <w:rPr>
          <w:noProof/>
        </w:rPr>
        <w:t>)</w:t>
      </w:r>
      <w:r w:rsidRPr="00284E38">
        <w:t xml:space="preserve"> used in a recent NMA on medication for GAD </w:t>
      </w:r>
      <w:r w:rsidRPr="00284E38">
        <w:rPr>
          <w:noProof/>
        </w:rPr>
        <w:t>(</w:t>
      </w:r>
      <w:hyperlink w:anchor="_ENREF_55" w:tooltip="Slee, 2019 #1009" w:history="1">
        <w:r w:rsidRPr="00284E38">
          <w:rPr>
            <w:noProof/>
          </w:rPr>
          <w:t>Slee et al., 2019</w:t>
        </w:r>
      </w:hyperlink>
      <w:r w:rsidRPr="00284E38">
        <w:rPr>
          <w:noProof/>
        </w:rPr>
        <w:t>)</w:t>
      </w:r>
      <w:r w:rsidRPr="00284E38">
        <w:t xml:space="preserve">, only appeared once in the included RCTs (Appendix F2). </w:t>
      </w:r>
    </w:p>
    <w:p w14:paraId="353A3D67" w14:textId="77777777" w:rsidR="00017582" w:rsidRPr="00284E38" w:rsidRDefault="00017582" w:rsidP="00017582"/>
    <w:p w14:paraId="1652721C" w14:textId="77777777" w:rsidR="00017582" w:rsidRPr="00284E38" w:rsidRDefault="00017582" w:rsidP="00017582">
      <w:r w:rsidRPr="00284E38">
        <w:t xml:space="preserve">We focused on GAD-7 as our outcome of choice for the NMA. GAD-7 is a 7-item anxiety scale described in the literature as a valid and efficient tool to screen for GAD and assess symptom severity in clinical practice and research </w:t>
      </w:r>
      <w:r w:rsidRPr="00284E38">
        <w:rPr>
          <w:noProof/>
        </w:rPr>
        <w:t>(</w:t>
      </w:r>
      <w:hyperlink w:anchor="_ENREF_57" w:tooltip="Spitzer, 2006 #1" w:history="1">
        <w:r w:rsidRPr="00284E38">
          <w:rPr>
            <w:noProof/>
          </w:rPr>
          <w:t>Spitzer et al., 2006</w:t>
        </w:r>
      </w:hyperlink>
      <w:r w:rsidRPr="00284E38">
        <w:rPr>
          <w:noProof/>
        </w:rPr>
        <w:t>)</w:t>
      </w:r>
      <w:r w:rsidRPr="00284E38">
        <w:t xml:space="preserve">. </w:t>
      </w:r>
    </w:p>
    <w:p w14:paraId="73F05FE7" w14:textId="77777777" w:rsidR="00017582" w:rsidRPr="00284E38" w:rsidRDefault="00017582" w:rsidP="00017582">
      <w:r w:rsidRPr="00284E38">
        <w:t xml:space="preserve">Our NMA for GAD-7 included 13 studies (Table 1). One study </w:t>
      </w:r>
      <w:r w:rsidRPr="00284E38">
        <w:rPr>
          <w:noProof/>
        </w:rPr>
        <w:t>(</w:t>
      </w:r>
      <w:hyperlink w:anchor="_ENREF_31" w:tooltip="Howell, 2018 #572" w:history="1">
        <w:r w:rsidRPr="00284E38">
          <w:rPr>
            <w:noProof/>
          </w:rPr>
          <w:t>Howell, Rheingold, Uhde, &amp; Guille, 2018</w:t>
        </w:r>
      </w:hyperlink>
      <w:r w:rsidRPr="00284E38">
        <w:rPr>
          <w:noProof/>
        </w:rPr>
        <w:t>)</w:t>
      </w:r>
      <w:r w:rsidRPr="00284E38">
        <w:t xml:space="preserve"> used GAD-7 but it was not included in the meta-analysis because it only reported categorical outcomes (i.e. mild, moderate, severe) rather than continuous scores. The measurement period across studies ranged from 3 to 12 weeks, with longer follow-ups only available for very few studies.</w:t>
      </w:r>
    </w:p>
    <w:p w14:paraId="679C28E9" w14:textId="77777777" w:rsidR="00017582" w:rsidRPr="00284E38" w:rsidRDefault="00017582" w:rsidP="00017582"/>
    <w:p w14:paraId="6CDA668E" w14:textId="771CB7E6" w:rsidR="00017582" w:rsidRPr="00284E38" w:rsidRDefault="00017582" w:rsidP="00017582">
      <w:r w:rsidRPr="00284E38">
        <w:t xml:space="preserve">Given the </w:t>
      </w:r>
      <w:r w:rsidR="003D033A">
        <w:t xml:space="preserve">high </w:t>
      </w:r>
      <w:r w:rsidRPr="00284E38">
        <w:t>level of reporting of PSWQ, data for this outcome was also quantitatively synthesised (</w:t>
      </w:r>
      <w:bookmarkStart w:id="4" w:name="_Hlk70085099"/>
      <w:r w:rsidR="003D033A">
        <w:t xml:space="preserve">see </w:t>
      </w:r>
      <w:r w:rsidRPr="009E2CAD">
        <w:t>Appendix J</w:t>
      </w:r>
      <w:bookmarkEnd w:id="4"/>
      <w:r w:rsidRPr="00284E38">
        <w:t>).</w:t>
      </w:r>
    </w:p>
    <w:p w14:paraId="5BEE1855" w14:textId="77777777" w:rsidR="00017582" w:rsidRPr="00284E38" w:rsidRDefault="00017582" w:rsidP="008E38C6">
      <w:pPr>
        <w:jc w:val="both"/>
        <w:rPr>
          <w:b/>
          <w:iCs/>
        </w:rPr>
      </w:pPr>
    </w:p>
    <w:p w14:paraId="4CA9192F" w14:textId="119D55B7" w:rsidR="008E38C6" w:rsidRPr="00284E38" w:rsidRDefault="008E38C6" w:rsidP="008E38C6">
      <w:pPr>
        <w:jc w:val="both"/>
        <w:rPr>
          <w:b/>
        </w:rPr>
      </w:pPr>
      <w:r w:rsidRPr="00284E38">
        <w:rPr>
          <w:b/>
          <w:iCs/>
        </w:rPr>
        <w:t>3.</w:t>
      </w:r>
      <w:r w:rsidR="00FF3046" w:rsidRPr="00284E38">
        <w:rPr>
          <w:b/>
          <w:iCs/>
        </w:rPr>
        <w:t>6</w:t>
      </w:r>
      <w:r w:rsidRPr="00284E38">
        <w:rPr>
          <w:b/>
          <w:iCs/>
        </w:rPr>
        <w:t xml:space="preserve">. </w:t>
      </w:r>
      <w:r w:rsidR="00075949" w:rsidRPr="00284E38">
        <w:rPr>
          <w:b/>
          <w:iCs/>
        </w:rPr>
        <w:t>NMA results</w:t>
      </w:r>
      <w:r w:rsidR="006C0CCF" w:rsidRPr="00284E38">
        <w:rPr>
          <w:b/>
          <w:iCs/>
        </w:rPr>
        <w:t xml:space="preserve"> for</w:t>
      </w:r>
      <w:r w:rsidR="00075949" w:rsidRPr="00284E38">
        <w:rPr>
          <w:b/>
          <w:iCs/>
        </w:rPr>
        <w:t xml:space="preserve"> </w:t>
      </w:r>
      <w:r w:rsidRPr="00284E38">
        <w:rPr>
          <w:b/>
        </w:rPr>
        <w:t>GAD-7</w:t>
      </w:r>
      <w:r w:rsidR="00075949" w:rsidRPr="00284E38">
        <w:rPr>
          <w:b/>
          <w:iCs/>
        </w:rPr>
        <w:t xml:space="preserve"> </w:t>
      </w:r>
      <w:r w:rsidR="00A16DB6" w:rsidRPr="00284E38">
        <w:rPr>
          <w:b/>
          <w:iCs/>
        </w:rPr>
        <w:t>s</w:t>
      </w:r>
      <w:r w:rsidR="00075949" w:rsidRPr="00284E38">
        <w:rPr>
          <w:b/>
          <w:iCs/>
        </w:rPr>
        <w:t xml:space="preserve">cores </w:t>
      </w:r>
      <w:r w:rsidR="00A16DB6" w:rsidRPr="00284E38">
        <w:rPr>
          <w:b/>
          <w:iCs/>
        </w:rPr>
        <w:t>at follow-up</w:t>
      </w:r>
    </w:p>
    <w:p w14:paraId="0E447B41" w14:textId="3489A2BC" w:rsidR="007903A6" w:rsidRPr="00284E38" w:rsidRDefault="007903A6" w:rsidP="00E154E0">
      <w:pPr>
        <w:rPr>
          <w:b/>
          <w:iCs/>
        </w:rPr>
      </w:pPr>
    </w:p>
    <w:p w14:paraId="4957BEB8" w14:textId="185A482F" w:rsidR="00482C2A" w:rsidRPr="00284E38" w:rsidRDefault="009C1586" w:rsidP="00E154E0">
      <w:pPr>
        <w:rPr>
          <w:rFonts w:eastAsia="MS Mincho"/>
          <w:lang w:eastAsia="ja-JP"/>
        </w:rPr>
      </w:pPr>
      <w:r w:rsidRPr="00284E38">
        <w:rPr>
          <w:rFonts w:eastAsia="MS Mincho"/>
          <w:lang w:eastAsia="ja-JP"/>
        </w:rPr>
        <w:t>Ten</w:t>
      </w:r>
      <w:r w:rsidR="00075949" w:rsidRPr="00284E38">
        <w:rPr>
          <w:rFonts w:eastAsia="MS Mincho"/>
          <w:lang w:eastAsia="ja-JP"/>
        </w:rPr>
        <w:t xml:space="preserve"> </w:t>
      </w:r>
      <w:r w:rsidRPr="00284E38">
        <w:rPr>
          <w:rFonts w:eastAsia="MS Mincho"/>
          <w:lang w:eastAsia="ja-JP"/>
        </w:rPr>
        <w:t>direct treatment comparisons were made in the 13 trials</w:t>
      </w:r>
      <w:r w:rsidR="00BF2E83" w:rsidRPr="00284E38">
        <w:rPr>
          <w:rFonts w:eastAsia="MS Mincho"/>
          <w:lang w:eastAsia="ja-JP"/>
        </w:rPr>
        <w:t xml:space="preserve"> included in the </w:t>
      </w:r>
      <w:r w:rsidR="00396393" w:rsidRPr="00284E38">
        <w:rPr>
          <w:rFonts w:eastAsia="MS Mincho"/>
          <w:lang w:eastAsia="ja-JP"/>
        </w:rPr>
        <w:t>GAD</w:t>
      </w:r>
      <w:r w:rsidR="00D33460" w:rsidRPr="00284E38">
        <w:rPr>
          <w:rFonts w:eastAsia="MS Mincho"/>
          <w:lang w:eastAsia="ja-JP"/>
        </w:rPr>
        <w:t>-</w:t>
      </w:r>
      <w:r w:rsidR="00396393" w:rsidRPr="00284E38">
        <w:rPr>
          <w:rFonts w:eastAsia="MS Mincho"/>
          <w:lang w:eastAsia="ja-JP"/>
        </w:rPr>
        <w:t xml:space="preserve">7-based </w:t>
      </w:r>
      <w:r w:rsidR="00BF2E83" w:rsidRPr="00284E38">
        <w:rPr>
          <w:rFonts w:eastAsia="MS Mincho"/>
          <w:lang w:eastAsia="ja-JP"/>
        </w:rPr>
        <w:t>NMA</w:t>
      </w:r>
      <w:r w:rsidRPr="00284E38">
        <w:rPr>
          <w:rFonts w:eastAsia="MS Mincho"/>
          <w:lang w:eastAsia="ja-JP"/>
        </w:rPr>
        <w:t xml:space="preserve">; </w:t>
      </w:r>
      <w:r w:rsidR="00056515" w:rsidRPr="00284E38">
        <w:rPr>
          <w:rFonts w:eastAsia="MS Mincho"/>
          <w:lang w:eastAsia="ja-JP"/>
        </w:rPr>
        <w:t>4</w:t>
      </w:r>
      <w:r w:rsidR="00185C6A" w:rsidRPr="00284E38">
        <w:rPr>
          <w:rFonts w:eastAsia="MS Mincho"/>
          <w:lang w:eastAsia="ja-JP"/>
        </w:rPr>
        <w:t xml:space="preserve"> of the 13 trials were multi-arm trials (three 3-arm trials </w:t>
      </w:r>
      <w:r w:rsidR="00D33460" w:rsidRPr="00284E38">
        <w:rPr>
          <w:rFonts w:eastAsia="MS Mincho"/>
          <w:noProof/>
          <w:lang w:eastAsia="ja-JP"/>
        </w:rPr>
        <w:t>(</w:t>
      </w:r>
      <w:hyperlink w:anchor="_ENREF_11" w:tooltip="Christensen, 2014 #227" w:history="1">
        <w:r w:rsidR="00D33460" w:rsidRPr="00284E38">
          <w:rPr>
            <w:rFonts w:eastAsia="MS Mincho"/>
            <w:noProof/>
            <w:lang w:eastAsia="ja-JP"/>
          </w:rPr>
          <w:t>Christensen, Mackinnon, et al., 2014</w:t>
        </w:r>
      </w:hyperlink>
      <w:r w:rsidR="00D33460" w:rsidRPr="00284E38">
        <w:rPr>
          <w:rFonts w:eastAsia="MS Mincho"/>
          <w:noProof/>
          <w:lang w:eastAsia="ja-JP"/>
        </w:rPr>
        <w:t xml:space="preserve">; </w:t>
      </w:r>
      <w:hyperlink w:anchor="_ENREF_48" w:tooltip="Repetto, 2013 #228" w:history="1">
        <w:r w:rsidR="00D33460" w:rsidRPr="00284E38">
          <w:rPr>
            <w:rFonts w:eastAsia="MS Mincho"/>
            <w:noProof/>
            <w:lang w:eastAsia="ja-JP"/>
          </w:rPr>
          <w:t>Repetto et al., 2013</w:t>
        </w:r>
      </w:hyperlink>
      <w:r w:rsidR="00D33460" w:rsidRPr="00284E38">
        <w:rPr>
          <w:rFonts w:eastAsia="MS Mincho"/>
          <w:noProof/>
          <w:lang w:eastAsia="ja-JP"/>
        </w:rPr>
        <w:t xml:space="preserve">; </w:t>
      </w:r>
      <w:hyperlink w:anchor="_ENREF_53" w:tooltip="Robinson, 2010 #231" w:history="1">
        <w:r w:rsidR="00D33460" w:rsidRPr="00284E38">
          <w:rPr>
            <w:rFonts w:eastAsia="MS Mincho"/>
            <w:noProof/>
            <w:lang w:eastAsia="ja-JP"/>
          </w:rPr>
          <w:t>Robinson et al., 2010</w:t>
        </w:r>
      </w:hyperlink>
      <w:r w:rsidR="00D33460" w:rsidRPr="00284E38">
        <w:rPr>
          <w:rFonts w:eastAsia="MS Mincho"/>
          <w:noProof/>
          <w:lang w:eastAsia="ja-JP"/>
        </w:rPr>
        <w:t>)</w:t>
      </w:r>
      <w:r w:rsidR="00E11DE8" w:rsidRPr="00284E38">
        <w:rPr>
          <w:rFonts w:eastAsia="MS Mincho"/>
          <w:lang w:eastAsia="ja-JP"/>
        </w:rPr>
        <w:t xml:space="preserve"> </w:t>
      </w:r>
      <w:r w:rsidR="00185C6A" w:rsidRPr="00284E38">
        <w:rPr>
          <w:rFonts w:eastAsia="MS Mincho"/>
          <w:lang w:eastAsia="ja-JP"/>
        </w:rPr>
        <w:t>and one 5-arm trial</w:t>
      </w:r>
      <w:r w:rsidR="00E11DE8" w:rsidRPr="00284E38">
        <w:rPr>
          <w:rFonts w:eastAsia="MS Mincho"/>
          <w:lang w:eastAsia="ja-JP"/>
        </w:rPr>
        <w:t xml:space="preserve"> </w:t>
      </w:r>
      <w:r w:rsidR="00D33460" w:rsidRPr="00284E38">
        <w:rPr>
          <w:rFonts w:eastAsia="MS Mincho"/>
          <w:noProof/>
          <w:lang w:eastAsia="ja-JP"/>
        </w:rPr>
        <w:t>(</w:t>
      </w:r>
      <w:hyperlink w:anchor="_ENREF_10" w:tooltip="Christensen, 2014 #233" w:history="1">
        <w:r w:rsidR="00D33460" w:rsidRPr="00284E38">
          <w:rPr>
            <w:rFonts w:eastAsia="MS Mincho"/>
            <w:noProof/>
            <w:lang w:eastAsia="ja-JP"/>
          </w:rPr>
          <w:t>Christensen, Batterham, et al., 2014</w:t>
        </w:r>
      </w:hyperlink>
      <w:r w:rsidR="00D33460" w:rsidRPr="00284E38">
        <w:rPr>
          <w:rFonts w:eastAsia="MS Mincho"/>
          <w:noProof/>
          <w:lang w:eastAsia="ja-JP"/>
        </w:rPr>
        <w:t>)</w:t>
      </w:r>
      <w:r w:rsidR="00185C6A" w:rsidRPr="00284E38">
        <w:rPr>
          <w:rFonts w:eastAsia="MS Mincho"/>
          <w:lang w:eastAsia="ja-JP"/>
        </w:rPr>
        <w:t xml:space="preserve">); </w:t>
      </w:r>
      <w:r w:rsidR="00075949" w:rsidRPr="00284E38">
        <w:rPr>
          <w:rFonts w:eastAsia="MS Mincho"/>
          <w:lang w:eastAsia="ja-JP"/>
        </w:rPr>
        <w:t xml:space="preserve">5 </w:t>
      </w:r>
      <w:r w:rsidRPr="00284E38">
        <w:rPr>
          <w:rFonts w:eastAsia="MS Mincho"/>
          <w:lang w:eastAsia="ja-JP"/>
        </w:rPr>
        <w:t xml:space="preserve">comparisons were informed by more than one trial where </w:t>
      </w:r>
      <w:r w:rsidR="00893340" w:rsidRPr="00284E38">
        <w:rPr>
          <w:rFonts w:eastAsia="MS Mincho"/>
          <w:lang w:eastAsia="ja-JP"/>
        </w:rPr>
        <w:t xml:space="preserve">pair-wise </w:t>
      </w:r>
      <w:r w:rsidR="007477FA" w:rsidRPr="00284E38">
        <w:rPr>
          <w:rFonts w:eastAsia="MS Mincho"/>
          <w:lang w:eastAsia="ja-JP"/>
        </w:rPr>
        <w:t xml:space="preserve">ANCOVA </w:t>
      </w:r>
      <w:r w:rsidRPr="00284E38">
        <w:rPr>
          <w:rFonts w:eastAsia="MS Mincho"/>
          <w:lang w:eastAsia="ja-JP"/>
        </w:rPr>
        <w:t xml:space="preserve">meta-analysis </w:t>
      </w:r>
      <w:r w:rsidR="00185C6A" w:rsidRPr="00284E38">
        <w:rPr>
          <w:rFonts w:eastAsia="MS Mincho"/>
          <w:lang w:eastAsia="ja-JP"/>
        </w:rPr>
        <w:t>was</w:t>
      </w:r>
      <w:r w:rsidRPr="00284E38">
        <w:rPr>
          <w:rFonts w:eastAsia="MS Mincho"/>
          <w:lang w:eastAsia="ja-JP"/>
        </w:rPr>
        <w:t xml:space="preserve"> conducted (</w:t>
      </w:r>
      <w:r w:rsidR="00893340" w:rsidRPr="00284E38">
        <w:rPr>
          <w:rFonts w:eastAsia="MS Mincho"/>
          <w:lang w:eastAsia="ja-JP"/>
        </w:rPr>
        <w:t>ANCOVA FE</w:t>
      </w:r>
      <w:r w:rsidR="0002605F" w:rsidRPr="00284E38">
        <w:rPr>
          <w:rFonts w:eastAsia="MS Mincho"/>
          <w:lang w:eastAsia="ja-JP"/>
        </w:rPr>
        <w:t xml:space="preserve"> models and </w:t>
      </w:r>
      <w:r w:rsidR="00893340" w:rsidRPr="00284E38">
        <w:rPr>
          <w:rFonts w:eastAsia="MS Mincho"/>
          <w:lang w:eastAsia="ja-JP"/>
        </w:rPr>
        <w:t>ANCOVA RE</w:t>
      </w:r>
      <w:r w:rsidR="0002605F" w:rsidRPr="00284E38">
        <w:rPr>
          <w:rFonts w:eastAsia="MS Mincho"/>
          <w:lang w:eastAsia="ja-JP"/>
        </w:rPr>
        <w:t xml:space="preserve"> </w:t>
      </w:r>
      <w:r w:rsidR="00BF2E83" w:rsidRPr="00284E38">
        <w:rPr>
          <w:rFonts w:eastAsia="MS Mincho"/>
          <w:lang w:eastAsia="ja-JP"/>
        </w:rPr>
        <w:t xml:space="preserve">for </w:t>
      </w:r>
      <w:r w:rsidR="0002605F" w:rsidRPr="00284E38">
        <w:rPr>
          <w:rFonts w:eastAsia="MS Mincho"/>
          <w:lang w:eastAsia="ja-JP"/>
        </w:rPr>
        <w:t>when n&gt;3</w:t>
      </w:r>
      <w:r w:rsidRPr="00284E38">
        <w:rPr>
          <w:rFonts w:eastAsia="MS Mincho"/>
          <w:lang w:eastAsia="ja-JP"/>
        </w:rPr>
        <w:t>).</w:t>
      </w:r>
      <w:r w:rsidR="00204DCF" w:rsidRPr="00284E38">
        <w:rPr>
          <w:rFonts w:eastAsia="MS Mincho"/>
          <w:lang w:eastAsia="ja-JP"/>
        </w:rPr>
        <w:t xml:space="preserve"> </w:t>
      </w:r>
    </w:p>
    <w:p w14:paraId="1B21D18E" w14:textId="77777777" w:rsidR="00482C2A" w:rsidRPr="00284E38" w:rsidRDefault="00482C2A" w:rsidP="00E154E0">
      <w:pPr>
        <w:rPr>
          <w:rFonts w:eastAsia="MS Mincho"/>
          <w:lang w:eastAsia="ja-JP"/>
        </w:rPr>
      </w:pPr>
    </w:p>
    <w:p w14:paraId="3C5C01CA" w14:textId="2ADE4670" w:rsidR="009C1586" w:rsidRPr="00284E38" w:rsidRDefault="00FF3046" w:rsidP="00E154E0">
      <w:pPr>
        <w:rPr>
          <w:rFonts w:eastAsia="MS Mincho"/>
          <w:lang w:eastAsia="ja-JP"/>
        </w:rPr>
      </w:pPr>
      <w:r w:rsidRPr="00284E38">
        <w:rPr>
          <w:rFonts w:eastAsia="MS Mincho"/>
          <w:lang w:eastAsia="ja-JP"/>
        </w:rPr>
        <w:t xml:space="preserve">We constructed </w:t>
      </w:r>
      <w:r w:rsidR="00705B60" w:rsidRPr="00284E38">
        <w:rPr>
          <w:rFonts w:eastAsia="MS Mincho"/>
          <w:lang w:eastAsia="ja-JP"/>
        </w:rPr>
        <w:t xml:space="preserve">a </w:t>
      </w:r>
      <w:r w:rsidRPr="00284E38">
        <w:rPr>
          <w:rFonts w:eastAsia="MS Mincho"/>
          <w:lang w:eastAsia="ja-JP"/>
        </w:rPr>
        <w:t>network plot to illustrate which interventions ha</w:t>
      </w:r>
      <w:r w:rsidR="00800AA0" w:rsidRPr="00284E38">
        <w:rPr>
          <w:rFonts w:eastAsia="MS Mincho"/>
          <w:lang w:eastAsia="ja-JP"/>
        </w:rPr>
        <w:t>d</w:t>
      </w:r>
      <w:r w:rsidRPr="00284E38">
        <w:rPr>
          <w:rFonts w:eastAsia="MS Mincho"/>
          <w:lang w:eastAsia="ja-JP"/>
        </w:rPr>
        <w:t xml:space="preserve"> been compared head-to-head </w:t>
      </w:r>
      <w:r w:rsidR="00705B60" w:rsidRPr="00284E38">
        <w:rPr>
          <w:rFonts w:eastAsia="MS Mincho"/>
          <w:lang w:eastAsia="ja-JP"/>
        </w:rPr>
        <w:t xml:space="preserve">(direct pairwise comparisons) for GAD-7 </w:t>
      </w:r>
      <w:r w:rsidRPr="00284E38">
        <w:rPr>
          <w:rFonts w:eastAsia="MS Mincho"/>
          <w:lang w:eastAsia="ja-JP"/>
        </w:rPr>
        <w:t xml:space="preserve">within </w:t>
      </w:r>
      <w:r w:rsidR="00451D7A" w:rsidRPr="00284E38">
        <w:rPr>
          <w:rFonts w:eastAsia="MS Mincho"/>
          <w:lang w:eastAsia="ja-JP"/>
        </w:rPr>
        <w:t>the 13 included</w:t>
      </w:r>
      <w:r w:rsidR="00705B60" w:rsidRPr="00284E38">
        <w:rPr>
          <w:rFonts w:eastAsia="MS Mincho"/>
          <w:lang w:eastAsia="ja-JP"/>
        </w:rPr>
        <w:t xml:space="preserve"> </w:t>
      </w:r>
      <w:r w:rsidRPr="00284E38">
        <w:rPr>
          <w:rFonts w:eastAsia="MS Mincho"/>
          <w:lang w:eastAsia="ja-JP"/>
        </w:rPr>
        <w:t>RCTs</w:t>
      </w:r>
      <w:r w:rsidR="00705B60" w:rsidRPr="00284E38">
        <w:rPr>
          <w:rFonts w:eastAsia="MS Mincho"/>
          <w:lang w:eastAsia="ja-JP"/>
        </w:rPr>
        <w:t xml:space="preserve">. </w:t>
      </w:r>
      <w:r w:rsidR="00CB1B5C" w:rsidRPr="00284E38">
        <w:rPr>
          <w:rFonts w:eastAsia="MS Mincho"/>
          <w:lang w:eastAsia="ja-JP"/>
        </w:rPr>
        <w:t xml:space="preserve">An overview of these pairwise comparisons </w:t>
      </w:r>
      <w:r w:rsidR="00FD72D9">
        <w:rPr>
          <w:rFonts w:eastAsia="MS Mincho"/>
          <w:lang w:eastAsia="ja-JP"/>
        </w:rPr>
        <w:t>and synthesised data are</w:t>
      </w:r>
      <w:r w:rsidR="00CB1B5C" w:rsidRPr="00284E38">
        <w:rPr>
          <w:rFonts w:eastAsia="MS Mincho"/>
          <w:lang w:eastAsia="ja-JP"/>
        </w:rPr>
        <w:t xml:space="preserve"> shown in </w:t>
      </w:r>
      <w:r w:rsidR="00800AA0" w:rsidRPr="00284E38">
        <w:rPr>
          <w:rFonts w:eastAsia="MS Mincho"/>
          <w:lang w:eastAsia="ja-JP"/>
        </w:rPr>
        <w:t>A</w:t>
      </w:r>
      <w:r w:rsidR="00CB1B5C" w:rsidRPr="00284E38">
        <w:rPr>
          <w:rFonts w:eastAsia="MS Mincho"/>
          <w:lang w:eastAsia="ja-JP"/>
        </w:rPr>
        <w:t xml:space="preserve">ppendix </w:t>
      </w:r>
      <w:r w:rsidR="00B215E1" w:rsidRPr="00284E38">
        <w:rPr>
          <w:rFonts w:eastAsia="MS Mincho"/>
          <w:lang w:eastAsia="ja-JP"/>
        </w:rPr>
        <w:t>G</w:t>
      </w:r>
      <w:r w:rsidR="00CB1B5C" w:rsidRPr="00284E38">
        <w:rPr>
          <w:rFonts w:eastAsia="MS Mincho"/>
          <w:lang w:eastAsia="ja-JP"/>
        </w:rPr>
        <w:t xml:space="preserve">. </w:t>
      </w:r>
      <w:r w:rsidR="00E2638D" w:rsidRPr="00284E38">
        <w:rPr>
          <w:rFonts w:eastAsia="MS Mincho"/>
          <w:lang w:eastAsia="ja-JP"/>
        </w:rPr>
        <w:t xml:space="preserve">The structure of the network for </w:t>
      </w:r>
      <w:r w:rsidR="00CB1B5C" w:rsidRPr="00284E38">
        <w:rPr>
          <w:rFonts w:eastAsia="MS Mincho"/>
          <w:lang w:eastAsia="ja-JP"/>
        </w:rPr>
        <w:t>GAD-7</w:t>
      </w:r>
      <w:r w:rsidR="00E2638D" w:rsidRPr="00284E38">
        <w:rPr>
          <w:rFonts w:eastAsia="MS Mincho"/>
          <w:lang w:eastAsia="ja-JP"/>
        </w:rPr>
        <w:t xml:space="preserve"> is shown in </w:t>
      </w:r>
      <w:r w:rsidR="00B05CBF" w:rsidRPr="00284E38">
        <w:rPr>
          <w:rFonts w:eastAsia="MS Mincho"/>
          <w:lang w:eastAsia="ja-JP"/>
        </w:rPr>
        <w:t xml:space="preserve">Figure </w:t>
      </w:r>
      <w:r w:rsidR="00E2638D" w:rsidRPr="00284E38">
        <w:rPr>
          <w:rFonts w:eastAsia="MS Mincho"/>
          <w:lang w:eastAsia="ja-JP"/>
        </w:rPr>
        <w:t>2.</w:t>
      </w:r>
    </w:p>
    <w:p w14:paraId="416540BD" w14:textId="175A0E89" w:rsidR="00E2638D" w:rsidRPr="00284E38" w:rsidRDefault="00E2638D" w:rsidP="00E154E0">
      <w:pPr>
        <w:jc w:val="center"/>
        <w:rPr>
          <w:rFonts w:eastAsia="MS Mincho"/>
          <w:lang w:eastAsia="ja-JP"/>
        </w:rPr>
      </w:pPr>
    </w:p>
    <w:p w14:paraId="74EC4AE0" w14:textId="23566A64" w:rsidR="00600165" w:rsidRPr="00284E38" w:rsidRDefault="00795AB4" w:rsidP="00E154E0">
      <w:pPr>
        <w:jc w:val="center"/>
        <w:rPr>
          <w:rFonts w:eastAsia="MS Mincho"/>
          <w:b/>
          <w:bCs/>
          <w:lang w:eastAsia="ja-JP"/>
        </w:rPr>
      </w:pPr>
      <w:r w:rsidRPr="00284E38">
        <w:rPr>
          <w:rFonts w:eastAsia="MS Mincho"/>
          <w:b/>
          <w:bCs/>
          <w:lang w:eastAsia="ja-JP"/>
        </w:rPr>
        <w:t>Fig. 2 - Network plot for comparisons between all interventions and controls for GAD populations in RCTs with GAD-7 scores</w:t>
      </w:r>
    </w:p>
    <w:p w14:paraId="56FBB1B5" w14:textId="77777777" w:rsidR="00600165" w:rsidRPr="00284E38" w:rsidRDefault="00600165" w:rsidP="00E154E0">
      <w:pPr>
        <w:jc w:val="center"/>
        <w:rPr>
          <w:rFonts w:eastAsia="MS Mincho"/>
          <w:b/>
          <w:bCs/>
          <w:lang w:eastAsia="ja-JP"/>
        </w:rPr>
      </w:pPr>
    </w:p>
    <w:p w14:paraId="3EA5F13C" w14:textId="6DD65DBF" w:rsidR="00AE617B" w:rsidRPr="00284E38" w:rsidRDefault="000020D0" w:rsidP="00E154E0">
      <w:pPr>
        <w:jc w:val="center"/>
        <w:rPr>
          <w:rFonts w:eastAsia="MS Mincho"/>
          <w:b/>
          <w:bCs/>
          <w:lang w:eastAsia="ja-JP"/>
        </w:rPr>
      </w:pPr>
      <w:r w:rsidRPr="00284E38">
        <w:rPr>
          <w:rFonts w:eastAsia="MS Mincho"/>
          <w:b/>
          <w:bCs/>
          <w:lang w:eastAsia="ja-JP"/>
        </w:rPr>
        <w:t>&lt; Insert Figure 2 here &gt;</w:t>
      </w:r>
    </w:p>
    <w:p w14:paraId="41C5F696" w14:textId="462022E6" w:rsidR="00AE617B" w:rsidRDefault="00AE617B" w:rsidP="00E154E0">
      <w:pPr>
        <w:rPr>
          <w:rFonts w:eastAsia="MS Mincho"/>
          <w:lang w:eastAsia="ja-JP"/>
        </w:rPr>
      </w:pPr>
    </w:p>
    <w:p w14:paraId="59E798A9" w14:textId="77777777" w:rsidR="00361143" w:rsidRPr="00284E38" w:rsidRDefault="00361143" w:rsidP="00E154E0">
      <w:pPr>
        <w:rPr>
          <w:rFonts w:eastAsia="MS Mincho"/>
          <w:lang w:eastAsia="ja-JP"/>
        </w:rPr>
      </w:pPr>
    </w:p>
    <w:p w14:paraId="4E14A6FE" w14:textId="48B8588B" w:rsidR="008754A0" w:rsidRPr="00284E38" w:rsidRDefault="009C1586" w:rsidP="008754A0">
      <w:pPr>
        <w:rPr>
          <w:rFonts w:eastAsia="MS Mincho"/>
          <w:lang w:eastAsia="ja-JP"/>
        </w:rPr>
      </w:pPr>
      <w:r w:rsidRPr="00284E38">
        <w:rPr>
          <w:rFonts w:eastAsia="MS Mincho"/>
          <w:lang w:eastAsia="ja-JP"/>
        </w:rPr>
        <w:t xml:space="preserve">Fixed- and random-effects models were employed with minimal difference in mean residual deviances and DIC </w:t>
      </w:r>
      <w:r w:rsidR="003D1F2C" w:rsidRPr="00284E38">
        <w:rPr>
          <w:rFonts w:eastAsia="MS Mincho"/>
          <w:lang w:eastAsia="ja-JP"/>
        </w:rPr>
        <w:t xml:space="preserve">identified </w:t>
      </w:r>
      <w:r w:rsidRPr="00284E38">
        <w:rPr>
          <w:rFonts w:eastAsia="MS Mincho"/>
          <w:lang w:eastAsia="ja-JP"/>
        </w:rPr>
        <w:t xml:space="preserve">between the models tested. However, posterior estimates of between-study </w:t>
      </w:r>
      <w:r w:rsidR="00CD30C0" w:rsidRPr="00284E38">
        <w:rPr>
          <w:rFonts w:eastAsia="MS Mincho"/>
          <w:lang w:eastAsia="ja-JP"/>
        </w:rPr>
        <w:t>heterogeneity</w:t>
      </w:r>
      <w:r w:rsidRPr="00284E38">
        <w:rPr>
          <w:rFonts w:eastAsia="MS Mincho"/>
          <w:lang w:eastAsia="ja-JP"/>
        </w:rPr>
        <w:t xml:space="preserve">, </w:t>
      </w:r>
      <m:oMath>
        <m:sSup>
          <m:sSupPr>
            <m:ctrlPr>
              <w:rPr>
                <w:rFonts w:ascii="Cambria Math" w:hAnsi="Cambria Math"/>
                <w:i/>
              </w:rPr>
            </m:ctrlPr>
          </m:sSupPr>
          <m:e>
            <m:r>
              <w:rPr>
                <w:rFonts w:ascii="Cambria Math" w:hAnsi="Cambria Math"/>
              </w:rPr>
              <m:t>τ</m:t>
            </m:r>
          </m:e>
          <m:sup>
            <m:r>
              <w:rPr>
                <w:rFonts w:ascii="Cambria Math" w:hAnsi="Cambria Math"/>
              </w:rPr>
              <m:t>2</m:t>
            </m:r>
          </m:sup>
        </m:sSup>
      </m:oMath>
      <w:r w:rsidRPr="00284E38">
        <w:rPr>
          <w:rFonts w:eastAsia="MS Mincho"/>
          <w:lang w:eastAsia="ja-JP"/>
        </w:rPr>
        <w:t>, suggest</w:t>
      </w:r>
      <w:r w:rsidR="00185C6A" w:rsidRPr="00284E38">
        <w:rPr>
          <w:rFonts w:eastAsia="MS Mincho"/>
          <w:lang w:eastAsia="ja-JP"/>
        </w:rPr>
        <w:t>ed</w:t>
      </w:r>
      <w:r w:rsidRPr="00284E38">
        <w:rPr>
          <w:rFonts w:eastAsia="MS Mincho"/>
          <w:lang w:eastAsia="ja-JP"/>
        </w:rPr>
        <w:t xml:space="preserve"> considerable </w:t>
      </w:r>
      <w:r w:rsidR="00CD30C0" w:rsidRPr="00284E38">
        <w:rPr>
          <w:rFonts w:eastAsia="MS Mincho"/>
          <w:lang w:eastAsia="ja-JP"/>
        </w:rPr>
        <w:t>variability across studies,</w:t>
      </w:r>
      <w:r w:rsidRPr="00284E38">
        <w:rPr>
          <w:rFonts w:eastAsia="MS Mincho"/>
          <w:lang w:eastAsia="ja-JP"/>
        </w:rPr>
        <w:t xml:space="preserve"> </w:t>
      </w:r>
      <w:r w:rsidR="00CD30C0" w:rsidRPr="00284E38">
        <w:rPr>
          <w:rFonts w:eastAsia="MS Mincho"/>
          <w:lang w:eastAsia="ja-JP"/>
        </w:rPr>
        <w:t xml:space="preserve">which </w:t>
      </w:r>
      <w:r w:rsidR="00185C6A" w:rsidRPr="00284E38">
        <w:rPr>
          <w:rFonts w:eastAsia="MS Mincho"/>
          <w:lang w:eastAsia="ja-JP"/>
        </w:rPr>
        <w:t xml:space="preserve">was </w:t>
      </w:r>
      <w:r w:rsidRPr="00284E38">
        <w:rPr>
          <w:rFonts w:eastAsia="MS Mincho"/>
          <w:lang w:eastAsia="ja-JP"/>
        </w:rPr>
        <w:t xml:space="preserve">in line with the </w:t>
      </w:r>
      <w:r w:rsidR="003C25AA" w:rsidRPr="00284E38">
        <w:rPr>
          <w:rFonts w:eastAsia="MS Mincho"/>
          <w:lang w:eastAsia="ja-JP"/>
        </w:rPr>
        <w:t xml:space="preserve">narrative </w:t>
      </w:r>
      <w:r w:rsidR="00CD30C0" w:rsidRPr="00284E38">
        <w:rPr>
          <w:rFonts w:eastAsia="MS Mincho"/>
          <w:lang w:eastAsia="ja-JP"/>
        </w:rPr>
        <w:t xml:space="preserve">assessment of </w:t>
      </w:r>
      <w:r w:rsidR="00A23335" w:rsidRPr="00284E38">
        <w:rPr>
          <w:rFonts w:eastAsia="MS Mincho"/>
          <w:lang w:eastAsia="ja-JP"/>
        </w:rPr>
        <w:t xml:space="preserve">the </w:t>
      </w:r>
      <w:r w:rsidR="00BF2E83" w:rsidRPr="00284E38">
        <w:rPr>
          <w:rFonts w:eastAsia="MS Mincho"/>
          <w:lang w:eastAsia="ja-JP"/>
        </w:rPr>
        <w:t>stud</w:t>
      </w:r>
      <w:r w:rsidR="00A23335" w:rsidRPr="00284E38">
        <w:rPr>
          <w:rFonts w:eastAsia="MS Mincho"/>
          <w:lang w:eastAsia="ja-JP"/>
        </w:rPr>
        <w:t>ies</w:t>
      </w:r>
      <w:r w:rsidRPr="00284E38">
        <w:rPr>
          <w:rFonts w:eastAsia="MS Mincho"/>
          <w:lang w:eastAsia="ja-JP"/>
        </w:rPr>
        <w:t xml:space="preserve">. Hence, </w:t>
      </w:r>
      <w:r w:rsidR="00CD30C0" w:rsidRPr="00284E38">
        <w:rPr>
          <w:rFonts w:eastAsia="MS Mincho"/>
          <w:lang w:eastAsia="ja-JP"/>
        </w:rPr>
        <w:t xml:space="preserve">a </w:t>
      </w:r>
      <w:r w:rsidRPr="00284E38">
        <w:rPr>
          <w:rFonts w:eastAsia="MS Mincho"/>
          <w:lang w:eastAsia="ja-JP"/>
        </w:rPr>
        <w:t xml:space="preserve">random-effects </w:t>
      </w:r>
      <w:r w:rsidR="00CD30C0" w:rsidRPr="00284E38">
        <w:rPr>
          <w:rFonts w:eastAsia="MS Mincho"/>
          <w:lang w:eastAsia="ja-JP"/>
        </w:rPr>
        <w:t xml:space="preserve">approach </w:t>
      </w:r>
      <w:r w:rsidRPr="00284E38">
        <w:rPr>
          <w:rFonts w:eastAsia="MS Mincho"/>
          <w:lang w:eastAsia="ja-JP"/>
        </w:rPr>
        <w:t>w</w:t>
      </w:r>
      <w:r w:rsidR="00CD30C0" w:rsidRPr="00284E38">
        <w:rPr>
          <w:rFonts w:eastAsia="MS Mincho"/>
          <w:lang w:eastAsia="ja-JP"/>
        </w:rPr>
        <w:t>as</w:t>
      </w:r>
      <w:r w:rsidRPr="00284E38">
        <w:rPr>
          <w:rFonts w:eastAsia="MS Mincho"/>
          <w:lang w:eastAsia="ja-JP"/>
        </w:rPr>
        <w:t xml:space="preserve"> preferred.</w:t>
      </w:r>
      <w:r w:rsidR="00CD30C0" w:rsidRPr="00284E38">
        <w:rPr>
          <w:rFonts w:eastAsia="MS Mincho"/>
          <w:lang w:eastAsia="ja-JP"/>
        </w:rPr>
        <w:t xml:space="preserve"> </w:t>
      </w:r>
      <w:r w:rsidR="008754A0" w:rsidRPr="00284E38">
        <w:rPr>
          <w:rFonts w:eastAsia="MS Mincho"/>
          <w:lang w:eastAsia="ja-JP"/>
        </w:rPr>
        <w:t>There was a high degree of uncertainty in the network</w:t>
      </w:r>
      <w:r w:rsidR="0071557F">
        <w:rPr>
          <w:rFonts w:eastAsia="MS Mincho"/>
          <w:lang w:eastAsia="ja-JP"/>
        </w:rPr>
        <w:t xml:space="preserve"> results</w:t>
      </w:r>
      <w:r w:rsidR="008754A0" w:rsidRPr="00284E38">
        <w:rPr>
          <w:rFonts w:eastAsia="MS Mincho"/>
          <w:lang w:eastAsia="ja-JP"/>
        </w:rPr>
        <w:t xml:space="preserve">, especially </w:t>
      </w:r>
      <w:r w:rsidR="0059568F">
        <w:rPr>
          <w:rFonts w:eastAsia="MS Mincho"/>
          <w:lang w:eastAsia="ja-JP"/>
        </w:rPr>
        <w:t xml:space="preserve">in </w:t>
      </w:r>
      <w:r w:rsidR="008754A0" w:rsidRPr="00284E38">
        <w:rPr>
          <w:rFonts w:eastAsia="MS Mincho"/>
          <w:lang w:eastAsia="ja-JP"/>
        </w:rPr>
        <w:t>links not informed by direct</w:t>
      </w:r>
      <w:r w:rsidR="0071557F">
        <w:rPr>
          <w:rFonts w:eastAsia="MS Mincho"/>
          <w:lang w:eastAsia="ja-JP"/>
        </w:rPr>
        <w:t xml:space="preserve"> evidence</w:t>
      </w:r>
      <w:r w:rsidR="008754A0" w:rsidRPr="00284E38">
        <w:rPr>
          <w:rFonts w:eastAsia="MS Mincho"/>
          <w:lang w:eastAsia="ja-JP"/>
        </w:rPr>
        <w:t xml:space="preserve">. </w:t>
      </w:r>
      <w:r w:rsidR="00E60A62" w:rsidRPr="00284E38">
        <w:rPr>
          <w:rFonts w:eastAsia="MS Mincho"/>
          <w:lang w:eastAsia="ja-JP"/>
        </w:rPr>
        <w:t>Table 3 presents the full results of the NMA based on GAD-7 scores</w:t>
      </w:r>
      <w:r w:rsidR="006B0FF2" w:rsidRPr="00284E38">
        <w:rPr>
          <w:rFonts w:eastAsia="MS Mincho"/>
          <w:lang w:eastAsia="ja-JP"/>
        </w:rPr>
        <w:t>.</w:t>
      </w:r>
    </w:p>
    <w:p w14:paraId="39496820" w14:textId="7CB0B9E7" w:rsidR="00F2365C" w:rsidRPr="00284E38" w:rsidRDefault="00F2365C" w:rsidP="00E154E0">
      <w:pPr>
        <w:rPr>
          <w:b/>
          <w:bCs/>
        </w:rPr>
      </w:pPr>
    </w:p>
    <w:p w14:paraId="53FBA377" w14:textId="450DA278" w:rsidR="001F70D9" w:rsidRPr="00284E38" w:rsidRDefault="001F70D9" w:rsidP="00B7100D">
      <w:pPr>
        <w:jc w:val="center"/>
        <w:rPr>
          <w:b/>
          <w:bCs/>
        </w:rPr>
      </w:pPr>
      <w:r w:rsidRPr="00284E38">
        <w:rPr>
          <w:b/>
          <w:bCs/>
        </w:rPr>
        <w:t xml:space="preserve">Table 3 - Full </w:t>
      </w:r>
      <w:r w:rsidR="00B7100D" w:rsidRPr="00284E38">
        <w:rPr>
          <w:b/>
          <w:bCs/>
        </w:rPr>
        <w:t>m</w:t>
      </w:r>
      <w:r w:rsidRPr="00284E38">
        <w:rPr>
          <w:b/>
          <w:bCs/>
        </w:rPr>
        <w:t>eta-</w:t>
      </w:r>
      <w:r w:rsidR="00B7100D" w:rsidRPr="00284E38">
        <w:rPr>
          <w:b/>
          <w:bCs/>
        </w:rPr>
        <w:t>a</w:t>
      </w:r>
      <w:r w:rsidRPr="00284E38">
        <w:rPr>
          <w:b/>
          <w:bCs/>
        </w:rPr>
        <w:t xml:space="preserve">nalysis </w:t>
      </w:r>
      <w:r w:rsidR="00B7100D" w:rsidRPr="00284E38">
        <w:rPr>
          <w:b/>
          <w:bCs/>
        </w:rPr>
        <w:t>r</w:t>
      </w:r>
      <w:r w:rsidRPr="00284E38">
        <w:rPr>
          <w:b/>
          <w:bCs/>
        </w:rPr>
        <w:t xml:space="preserve">esults: </w:t>
      </w:r>
      <w:r w:rsidR="00B7100D" w:rsidRPr="00284E38">
        <w:rPr>
          <w:b/>
          <w:bCs/>
        </w:rPr>
        <w:t>n</w:t>
      </w:r>
      <w:r w:rsidRPr="00284E38">
        <w:rPr>
          <w:b/>
          <w:bCs/>
        </w:rPr>
        <w:t xml:space="preserve">etwork and </w:t>
      </w:r>
      <w:r w:rsidR="00B7100D" w:rsidRPr="00284E38">
        <w:rPr>
          <w:b/>
          <w:bCs/>
        </w:rPr>
        <w:t>d</w:t>
      </w:r>
      <w:r w:rsidRPr="00284E38">
        <w:rPr>
          <w:b/>
          <w:bCs/>
        </w:rPr>
        <w:t xml:space="preserve">irect </w:t>
      </w:r>
      <w:r w:rsidR="00B7100D" w:rsidRPr="00284E38">
        <w:rPr>
          <w:b/>
          <w:bCs/>
        </w:rPr>
        <w:t>p</w:t>
      </w:r>
      <w:r w:rsidRPr="00284E38">
        <w:rPr>
          <w:b/>
          <w:bCs/>
        </w:rPr>
        <w:t xml:space="preserve">airwise </w:t>
      </w:r>
      <w:r w:rsidR="00B7100D" w:rsidRPr="00284E38">
        <w:rPr>
          <w:b/>
          <w:bCs/>
        </w:rPr>
        <w:t>c</w:t>
      </w:r>
      <w:r w:rsidRPr="00284E38">
        <w:rPr>
          <w:b/>
          <w:bCs/>
        </w:rPr>
        <w:t xml:space="preserve">omparisons between </w:t>
      </w:r>
      <w:r w:rsidR="00B7100D" w:rsidRPr="00284E38">
        <w:rPr>
          <w:b/>
          <w:bCs/>
        </w:rPr>
        <w:t>a</w:t>
      </w:r>
      <w:r w:rsidRPr="00284E38">
        <w:rPr>
          <w:b/>
          <w:bCs/>
        </w:rPr>
        <w:t xml:space="preserve">ll </w:t>
      </w:r>
      <w:r w:rsidR="00B7100D" w:rsidRPr="00284E38">
        <w:rPr>
          <w:b/>
          <w:bCs/>
        </w:rPr>
        <w:t>i</w:t>
      </w:r>
      <w:r w:rsidRPr="00284E38">
        <w:rPr>
          <w:b/>
          <w:bCs/>
        </w:rPr>
        <w:t xml:space="preserve">nterventions and </w:t>
      </w:r>
      <w:r w:rsidR="00B7100D" w:rsidRPr="00284E38">
        <w:rPr>
          <w:b/>
          <w:bCs/>
        </w:rPr>
        <w:t>c</w:t>
      </w:r>
      <w:r w:rsidRPr="00284E38">
        <w:rPr>
          <w:b/>
          <w:bCs/>
        </w:rPr>
        <w:t xml:space="preserve">ontrols for </w:t>
      </w:r>
      <w:r w:rsidR="00B7100D" w:rsidRPr="00284E38">
        <w:rPr>
          <w:b/>
          <w:bCs/>
        </w:rPr>
        <w:t>p</w:t>
      </w:r>
      <w:r w:rsidRPr="00284E38">
        <w:rPr>
          <w:b/>
          <w:bCs/>
        </w:rPr>
        <w:t>ost-</w:t>
      </w:r>
      <w:r w:rsidR="00B7100D" w:rsidRPr="00284E38">
        <w:rPr>
          <w:b/>
          <w:bCs/>
        </w:rPr>
        <w:t>t</w:t>
      </w:r>
      <w:r w:rsidRPr="00284E38">
        <w:rPr>
          <w:b/>
          <w:bCs/>
        </w:rPr>
        <w:t xml:space="preserve">reatment (12 weeks) GAD-7 </w:t>
      </w:r>
      <w:r w:rsidR="00B7100D" w:rsidRPr="00284E38">
        <w:rPr>
          <w:b/>
          <w:bCs/>
        </w:rPr>
        <w:t>s</w:t>
      </w:r>
      <w:r w:rsidRPr="00284E38">
        <w:rPr>
          <w:b/>
          <w:bCs/>
        </w:rPr>
        <w:t xml:space="preserve">cores </w:t>
      </w:r>
      <w:r w:rsidR="00B7100D" w:rsidRPr="00284E38">
        <w:rPr>
          <w:b/>
          <w:bCs/>
        </w:rPr>
        <w:t>a</w:t>
      </w:r>
      <w:r w:rsidRPr="00284E38">
        <w:rPr>
          <w:b/>
          <w:bCs/>
        </w:rPr>
        <w:t xml:space="preserve">djusted for </w:t>
      </w:r>
      <w:r w:rsidR="00B7100D" w:rsidRPr="00284E38">
        <w:rPr>
          <w:b/>
          <w:bCs/>
        </w:rPr>
        <w:t>b</w:t>
      </w:r>
      <w:r w:rsidRPr="00284E38">
        <w:rPr>
          <w:b/>
          <w:bCs/>
        </w:rPr>
        <w:t>aseline</w:t>
      </w:r>
    </w:p>
    <w:p w14:paraId="7545D4AE" w14:textId="77777777" w:rsidR="001F70D9" w:rsidRPr="00284E38" w:rsidRDefault="001F70D9" w:rsidP="00E154E0">
      <w:pPr>
        <w:rPr>
          <w:rFonts w:eastAsia="MS Mincho"/>
          <w:lang w:eastAsia="ja-JP"/>
        </w:rPr>
      </w:pPr>
    </w:p>
    <w:p w14:paraId="0ECA24CB" w14:textId="0FD6025D" w:rsidR="00B7100D" w:rsidRPr="00284E38" w:rsidRDefault="00B7100D" w:rsidP="00B7100D">
      <w:pPr>
        <w:jc w:val="center"/>
        <w:rPr>
          <w:b/>
          <w:bCs/>
        </w:rPr>
      </w:pPr>
      <w:r w:rsidRPr="00284E38">
        <w:rPr>
          <w:b/>
          <w:bCs/>
        </w:rPr>
        <w:t>&lt;Insert Table 3 here&gt;</w:t>
      </w:r>
    </w:p>
    <w:p w14:paraId="1960B673" w14:textId="24D873B2" w:rsidR="00482C2A" w:rsidRDefault="00482C2A" w:rsidP="00E154E0">
      <w:pPr>
        <w:rPr>
          <w:rFonts w:eastAsia="MS Mincho"/>
          <w:lang w:eastAsia="ja-JP"/>
        </w:rPr>
      </w:pPr>
    </w:p>
    <w:p w14:paraId="1EDB4783" w14:textId="77777777" w:rsidR="00361143" w:rsidRPr="00284E38" w:rsidRDefault="00361143" w:rsidP="00E154E0">
      <w:pPr>
        <w:rPr>
          <w:rFonts w:eastAsia="MS Mincho"/>
          <w:lang w:eastAsia="ja-JP"/>
        </w:rPr>
      </w:pPr>
    </w:p>
    <w:p w14:paraId="1665F78A" w14:textId="3DF2D489" w:rsidR="00CB405E" w:rsidRPr="00284E38" w:rsidRDefault="00482C2A" w:rsidP="00E154E0">
      <w:pPr>
        <w:rPr>
          <w:rFonts w:eastAsia="MS Mincho"/>
          <w:lang w:eastAsia="ja-JP"/>
        </w:rPr>
      </w:pPr>
      <w:r w:rsidRPr="00284E38">
        <w:rPr>
          <w:rFonts w:eastAsia="MS Mincho"/>
          <w:lang w:eastAsia="ja-JP"/>
        </w:rPr>
        <w:t>M</w:t>
      </w:r>
      <w:r w:rsidR="00256E22" w:rsidRPr="00284E38">
        <w:rPr>
          <w:rFonts w:eastAsia="MS Mincho"/>
          <w:lang w:eastAsia="ja-JP"/>
        </w:rPr>
        <w:t>edication</w:t>
      </w:r>
      <w:r w:rsidR="00C926CA" w:rsidRPr="00284E38">
        <w:rPr>
          <w:rFonts w:eastAsia="MS Mincho"/>
          <w:lang w:eastAsia="ja-JP"/>
        </w:rPr>
        <w:t xml:space="preserve"> (M)</w:t>
      </w:r>
      <w:r w:rsidR="00256E22" w:rsidRPr="00284E38">
        <w:rPr>
          <w:rFonts w:eastAsia="MS Mincho"/>
          <w:lang w:eastAsia="ja-JP"/>
        </w:rPr>
        <w:t xml:space="preserve"> </w:t>
      </w:r>
      <w:r w:rsidRPr="00284E38">
        <w:rPr>
          <w:rFonts w:eastAsia="MS Mincho"/>
          <w:lang w:eastAsia="ja-JP"/>
        </w:rPr>
        <w:t>was</w:t>
      </w:r>
      <w:r w:rsidR="00256E22" w:rsidRPr="00284E38">
        <w:rPr>
          <w:rFonts w:eastAsia="MS Mincho"/>
          <w:lang w:eastAsia="ja-JP"/>
        </w:rPr>
        <w:t xml:space="preserve"> associated with </w:t>
      </w:r>
      <w:r w:rsidRPr="00284E38">
        <w:rPr>
          <w:rFonts w:eastAsia="MS Mincho"/>
          <w:lang w:eastAsia="ja-JP"/>
        </w:rPr>
        <w:t>the</w:t>
      </w:r>
      <w:r w:rsidR="00452333" w:rsidRPr="00284E38">
        <w:rPr>
          <w:rFonts w:eastAsia="MS Mincho"/>
          <w:lang w:eastAsia="ja-JP"/>
        </w:rPr>
        <w:t xml:space="preserve"> </w:t>
      </w:r>
      <w:r w:rsidR="00E261D1" w:rsidRPr="00284E38">
        <w:rPr>
          <w:rFonts w:eastAsia="MS Mincho"/>
          <w:lang w:eastAsia="ja-JP"/>
        </w:rPr>
        <w:t>large</w:t>
      </w:r>
      <w:r w:rsidRPr="00284E38">
        <w:rPr>
          <w:rFonts w:eastAsia="MS Mincho"/>
          <w:lang w:eastAsia="ja-JP"/>
        </w:rPr>
        <w:t xml:space="preserve">st </w:t>
      </w:r>
      <w:r w:rsidR="003B5CA5" w:rsidRPr="00284E38">
        <w:rPr>
          <w:rFonts w:eastAsia="MS Mincho"/>
          <w:lang w:eastAsia="ja-JP"/>
        </w:rPr>
        <w:t xml:space="preserve">decrease in </w:t>
      </w:r>
      <w:r w:rsidR="00256E22" w:rsidRPr="00284E38">
        <w:rPr>
          <w:rFonts w:eastAsia="MS Mincho"/>
          <w:lang w:eastAsia="ja-JP"/>
        </w:rPr>
        <w:t xml:space="preserve">GAD-7 </w:t>
      </w:r>
      <w:r w:rsidR="003B5CA5" w:rsidRPr="00284E38">
        <w:rPr>
          <w:rFonts w:eastAsia="MS Mincho"/>
          <w:lang w:eastAsia="ja-JP"/>
        </w:rPr>
        <w:t xml:space="preserve">median </w:t>
      </w:r>
      <w:r w:rsidR="00256E22" w:rsidRPr="00284E38">
        <w:rPr>
          <w:rFonts w:eastAsia="MS Mincho"/>
          <w:lang w:eastAsia="ja-JP"/>
        </w:rPr>
        <w:t>score</w:t>
      </w:r>
      <w:r w:rsidRPr="00284E38">
        <w:rPr>
          <w:rFonts w:eastAsia="MS Mincho"/>
          <w:lang w:eastAsia="ja-JP"/>
        </w:rPr>
        <w:t>s</w:t>
      </w:r>
      <w:r w:rsidR="003B5CA5" w:rsidRPr="00284E38">
        <w:rPr>
          <w:rFonts w:eastAsia="MS Mincho"/>
          <w:lang w:eastAsia="ja-JP"/>
        </w:rPr>
        <w:t xml:space="preserve"> </w:t>
      </w:r>
      <w:r w:rsidR="00E32CEA" w:rsidRPr="00284E38">
        <w:rPr>
          <w:rFonts w:eastAsia="MS Mincho"/>
          <w:lang w:eastAsia="ja-JP"/>
        </w:rPr>
        <w:t>compared to</w:t>
      </w:r>
      <w:r w:rsidR="00256E22" w:rsidRPr="00284E38">
        <w:rPr>
          <w:rFonts w:eastAsia="MS Mincho"/>
          <w:lang w:eastAsia="ja-JP"/>
        </w:rPr>
        <w:t xml:space="preserve"> the other interventions</w:t>
      </w:r>
      <w:r w:rsidR="00E32CEA" w:rsidRPr="00284E38">
        <w:rPr>
          <w:rFonts w:eastAsia="MS Mincho"/>
          <w:lang w:eastAsia="ja-JP"/>
        </w:rPr>
        <w:t>,</w:t>
      </w:r>
      <w:r w:rsidR="003B5CA5" w:rsidRPr="00284E38">
        <w:rPr>
          <w:rFonts w:eastAsia="MS Mincho"/>
          <w:lang w:eastAsia="ja-JP"/>
        </w:rPr>
        <w:t xml:space="preserve"> </w:t>
      </w:r>
      <w:r w:rsidR="00256E22" w:rsidRPr="00284E38">
        <w:rPr>
          <w:rFonts w:eastAsia="MS Mincho"/>
          <w:lang w:eastAsia="ja-JP"/>
        </w:rPr>
        <w:t>although uncertainty was high</w:t>
      </w:r>
      <w:r w:rsidR="006616D1" w:rsidRPr="00284E38">
        <w:rPr>
          <w:rFonts w:eastAsia="MS Mincho"/>
          <w:lang w:eastAsia="ja-JP"/>
        </w:rPr>
        <w:t xml:space="preserve"> in the NMA estimates,</w:t>
      </w:r>
      <w:r w:rsidR="00256E22" w:rsidRPr="00284E38">
        <w:rPr>
          <w:rFonts w:eastAsia="MS Mincho"/>
          <w:lang w:eastAsia="ja-JP"/>
        </w:rPr>
        <w:t xml:space="preserve"> with all 95% credible intervals including </w:t>
      </w:r>
      <w:r w:rsidR="00800AA0" w:rsidRPr="00284E38">
        <w:rPr>
          <w:rFonts w:eastAsia="MS Mincho"/>
          <w:lang w:eastAsia="ja-JP"/>
        </w:rPr>
        <w:t>zero</w:t>
      </w:r>
      <w:r w:rsidR="00256E22" w:rsidRPr="00284E38">
        <w:rPr>
          <w:rFonts w:eastAsia="MS Mincho"/>
          <w:lang w:eastAsia="ja-JP"/>
        </w:rPr>
        <w:t xml:space="preserve">. </w:t>
      </w:r>
      <w:r w:rsidR="00C926CA" w:rsidRPr="00284E38">
        <w:rPr>
          <w:rFonts w:eastAsia="MS Mincho"/>
          <w:lang w:eastAsia="ja-JP"/>
        </w:rPr>
        <w:t>These results</w:t>
      </w:r>
      <w:r w:rsidR="004138D0" w:rsidRPr="00284E38">
        <w:rPr>
          <w:rFonts w:eastAsia="MS Mincho"/>
          <w:lang w:eastAsia="ja-JP"/>
        </w:rPr>
        <w:t xml:space="preserve"> </w:t>
      </w:r>
      <w:r w:rsidR="00C926CA" w:rsidRPr="00284E38">
        <w:rPr>
          <w:rFonts w:eastAsia="MS Mincho"/>
          <w:lang w:eastAsia="ja-JP"/>
        </w:rPr>
        <w:t xml:space="preserve">are </w:t>
      </w:r>
      <w:r w:rsidR="00E32CEA" w:rsidRPr="00284E38">
        <w:rPr>
          <w:rFonts w:eastAsia="MS Mincho"/>
          <w:lang w:eastAsia="ja-JP"/>
        </w:rPr>
        <w:t xml:space="preserve">driven by </w:t>
      </w:r>
      <w:r w:rsidR="004138D0" w:rsidRPr="00284E38">
        <w:rPr>
          <w:rFonts w:eastAsia="MS Mincho"/>
          <w:lang w:eastAsia="ja-JP"/>
        </w:rPr>
        <w:t xml:space="preserve">the outcomes of </w:t>
      </w:r>
      <w:r w:rsidR="00C926CA" w:rsidRPr="00284E38">
        <w:rPr>
          <w:rFonts w:eastAsia="MS Mincho"/>
          <w:lang w:eastAsia="ja-JP"/>
        </w:rPr>
        <w:t>a small</w:t>
      </w:r>
      <w:r w:rsidR="00BF2E83" w:rsidRPr="00284E38">
        <w:rPr>
          <w:rFonts w:eastAsia="MS Mincho"/>
          <w:lang w:eastAsia="ja-JP"/>
        </w:rPr>
        <w:t xml:space="preserve"> (n=21)</w:t>
      </w:r>
      <w:r w:rsidR="00C926CA" w:rsidRPr="00284E38">
        <w:rPr>
          <w:rFonts w:eastAsia="MS Mincho"/>
          <w:lang w:eastAsia="ja-JP"/>
        </w:rPr>
        <w:t xml:space="preserve">, three-arm, trial </w:t>
      </w:r>
      <w:r w:rsidR="00D33460" w:rsidRPr="00284E38">
        <w:rPr>
          <w:rFonts w:eastAsia="MS Mincho"/>
          <w:noProof/>
          <w:lang w:eastAsia="ja-JP"/>
        </w:rPr>
        <w:t>(</w:t>
      </w:r>
      <w:hyperlink w:anchor="_ENREF_11" w:tooltip="Christensen, 2014 #227" w:history="1">
        <w:r w:rsidR="00D33460" w:rsidRPr="00284E38">
          <w:rPr>
            <w:rFonts w:eastAsia="MS Mincho"/>
            <w:noProof/>
            <w:lang w:eastAsia="ja-JP"/>
          </w:rPr>
          <w:t>Christensen, Mackinnon, et al., 2014</w:t>
        </w:r>
      </w:hyperlink>
      <w:r w:rsidR="00D33460" w:rsidRPr="00284E38">
        <w:rPr>
          <w:rFonts w:eastAsia="MS Mincho"/>
          <w:noProof/>
          <w:lang w:eastAsia="ja-JP"/>
        </w:rPr>
        <w:t>)</w:t>
      </w:r>
      <w:r w:rsidR="00C926CA" w:rsidRPr="00284E38">
        <w:rPr>
          <w:rFonts w:eastAsia="MS Mincho"/>
          <w:lang w:eastAsia="ja-JP"/>
        </w:rPr>
        <w:t xml:space="preserve"> that compared medication </w:t>
      </w:r>
      <w:r w:rsidRPr="00284E38">
        <w:rPr>
          <w:rFonts w:eastAsia="MS Mincho"/>
          <w:lang w:eastAsia="ja-JP"/>
        </w:rPr>
        <w:t xml:space="preserve">supplemented </w:t>
      </w:r>
      <w:r w:rsidR="004138D0" w:rsidRPr="00284E38">
        <w:rPr>
          <w:rFonts w:eastAsia="MS Mincho"/>
          <w:lang w:eastAsia="ja-JP"/>
        </w:rPr>
        <w:t>with</w:t>
      </w:r>
      <w:r w:rsidRPr="00284E38">
        <w:rPr>
          <w:rFonts w:eastAsia="MS Mincho"/>
          <w:lang w:eastAsia="ja-JP"/>
        </w:rPr>
        <w:t xml:space="preserve"> scheduled face-to-face meetings with psychologists and GPs, against </w:t>
      </w:r>
      <w:r w:rsidR="00C926CA" w:rsidRPr="00284E38">
        <w:rPr>
          <w:rFonts w:eastAsia="MS Mincho"/>
          <w:lang w:eastAsia="ja-JP"/>
        </w:rPr>
        <w:t>SDC</w:t>
      </w:r>
      <w:r w:rsidRPr="00284E38">
        <w:rPr>
          <w:rFonts w:eastAsia="MS Mincho"/>
          <w:lang w:eastAsia="ja-JP"/>
        </w:rPr>
        <w:t xml:space="preserve"> </w:t>
      </w:r>
      <w:r w:rsidR="004138D0" w:rsidRPr="00284E38">
        <w:rPr>
          <w:rFonts w:eastAsia="MS Mincho"/>
          <w:lang w:eastAsia="ja-JP"/>
        </w:rPr>
        <w:t>(</w:t>
      </w:r>
      <w:r w:rsidR="003778BE" w:rsidRPr="00284E38">
        <w:rPr>
          <w:rFonts w:eastAsia="MS Mincho"/>
          <w:lang w:eastAsia="ja-JP"/>
        </w:rPr>
        <w:t xml:space="preserve">a general health </w:t>
      </w:r>
      <w:r w:rsidR="004138D0" w:rsidRPr="00284E38">
        <w:rPr>
          <w:rFonts w:eastAsia="MS Mincho"/>
          <w:lang w:eastAsia="ja-JP"/>
        </w:rPr>
        <w:t xml:space="preserve">website </w:t>
      </w:r>
      <w:r w:rsidR="003778BE" w:rsidRPr="00284E38">
        <w:rPr>
          <w:rFonts w:eastAsia="MS Mincho"/>
          <w:lang w:eastAsia="ja-JP"/>
        </w:rPr>
        <w:t>with</w:t>
      </w:r>
      <w:r w:rsidR="004138D0" w:rsidRPr="00284E38">
        <w:rPr>
          <w:rFonts w:eastAsia="MS Mincho"/>
          <w:lang w:eastAsia="ja-JP"/>
        </w:rPr>
        <w:t xml:space="preserve"> scheduled meetings with psychologists &amp; GPs) </w:t>
      </w:r>
      <w:r w:rsidR="00C926CA" w:rsidRPr="00284E38">
        <w:rPr>
          <w:rFonts w:eastAsia="MS Mincho"/>
          <w:lang w:eastAsia="ja-JP"/>
        </w:rPr>
        <w:t>and SDI</w:t>
      </w:r>
      <w:r w:rsidR="004138D0" w:rsidRPr="00284E38">
        <w:rPr>
          <w:rFonts w:eastAsia="MS Mincho"/>
          <w:lang w:eastAsia="ja-JP"/>
        </w:rPr>
        <w:t xml:space="preserve"> (</w:t>
      </w:r>
      <w:r w:rsidR="003778BE" w:rsidRPr="00284E38">
        <w:rPr>
          <w:rFonts w:eastAsia="MS Mincho"/>
          <w:lang w:eastAsia="ja-JP"/>
        </w:rPr>
        <w:t>a web-based CBT self-help programme with</w:t>
      </w:r>
      <w:r w:rsidR="004138D0" w:rsidRPr="00284E38">
        <w:rPr>
          <w:rFonts w:eastAsia="MS Mincho"/>
          <w:lang w:eastAsia="ja-JP"/>
        </w:rPr>
        <w:t xml:space="preserve"> scheduled meetings with psychologists &amp; GPs)</w:t>
      </w:r>
      <w:r w:rsidRPr="00284E38">
        <w:rPr>
          <w:rFonts w:eastAsia="MS Mincho"/>
          <w:lang w:eastAsia="ja-JP"/>
        </w:rPr>
        <w:t xml:space="preserve">. </w:t>
      </w:r>
      <w:r w:rsidR="00F07529" w:rsidRPr="00284E38">
        <w:rPr>
          <w:rFonts w:eastAsia="MS Mincho"/>
          <w:lang w:eastAsia="ja-JP"/>
        </w:rPr>
        <w:t xml:space="preserve">The adjustment for baseline scores indicated that the baseline effect on the final outcome is small with a 95% credible interval including </w:t>
      </w:r>
      <w:r w:rsidR="00800AA0" w:rsidRPr="00284E38">
        <w:rPr>
          <w:rFonts w:eastAsia="MS Mincho"/>
          <w:lang w:eastAsia="ja-JP"/>
        </w:rPr>
        <w:t>zero</w:t>
      </w:r>
      <w:r w:rsidR="00F07529" w:rsidRPr="00284E38">
        <w:rPr>
          <w:rFonts w:eastAsia="MS Mincho"/>
          <w:lang w:eastAsia="ja-JP"/>
        </w:rPr>
        <w:t xml:space="preserve"> (</w:t>
      </w:r>
      <w:r w:rsidR="00266C6C" w:rsidRPr="00284E38">
        <w:rPr>
          <w:rFonts w:eastAsia="MS Mincho"/>
          <w:lang w:eastAsia="ja-JP"/>
        </w:rPr>
        <w:t xml:space="preserve">change in GAD score: </w:t>
      </w:r>
      <w:r w:rsidR="00F07529" w:rsidRPr="00284E38">
        <w:rPr>
          <w:rFonts w:eastAsia="MS Mincho"/>
          <w:lang w:eastAsia="ja-JP"/>
        </w:rPr>
        <w:t xml:space="preserve">-0.14 </w:t>
      </w:r>
      <w:r w:rsidR="00F07529" w:rsidRPr="00284E38">
        <w:t>[95% CrI -1.10 to 0.82]</w:t>
      </w:r>
      <w:r w:rsidR="00F07529" w:rsidRPr="00284E38">
        <w:rPr>
          <w:rFonts w:eastAsia="MS Mincho"/>
          <w:lang w:eastAsia="ja-JP"/>
        </w:rPr>
        <w:t>).</w:t>
      </w:r>
    </w:p>
    <w:p w14:paraId="14A3955A" w14:textId="77777777" w:rsidR="00CB405E" w:rsidRPr="00284E38" w:rsidRDefault="00CB405E" w:rsidP="00E154E0">
      <w:pPr>
        <w:rPr>
          <w:rFonts w:eastAsia="MS Mincho"/>
          <w:lang w:eastAsia="ja-JP"/>
        </w:rPr>
      </w:pPr>
    </w:p>
    <w:p w14:paraId="7F736CF2" w14:textId="29D21314" w:rsidR="00C926CA" w:rsidRPr="00284E38" w:rsidRDefault="006616D1" w:rsidP="00E154E0">
      <w:pPr>
        <w:rPr>
          <w:rFonts w:eastAsia="MS Mincho"/>
          <w:lang w:eastAsia="ja-JP"/>
        </w:rPr>
      </w:pPr>
      <w:r w:rsidRPr="00284E38">
        <w:rPr>
          <w:rFonts w:eastAsia="MS Mincho"/>
          <w:lang w:eastAsia="ja-JP"/>
        </w:rPr>
        <w:t>Results of independently pooling direct evidence for each contrast (</w:t>
      </w:r>
      <w:r w:rsidR="00CB1B5C" w:rsidRPr="00284E38">
        <w:rPr>
          <w:rFonts w:eastAsia="MS Mincho"/>
          <w:lang w:eastAsia="ja-JP"/>
        </w:rPr>
        <w:t>but</w:t>
      </w:r>
      <w:r w:rsidR="003A6C6D" w:rsidRPr="00284E38">
        <w:rPr>
          <w:rFonts w:eastAsia="MS Mincho"/>
          <w:lang w:eastAsia="ja-JP"/>
        </w:rPr>
        <w:t xml:space="preserve"> not pooling when n=1)</w:t>
      </w:r>
      <w:r w:rsidRPr="00284E38">
        <w:rPr>
          <w:rFonts w:eastAsia="MS Mincho"/>
          <w:lang w:eastAsia="ja-JP"/>
        </w:rPr>
        <w:t xml:space="preserve"> </w:t>
      </w:r>
      <w:r w:rsidR="00BF2E83" w:rsidRPr="00284E38">
        <w:rPr>
          <w:rFonts w:eastAsia="MS Mincho"/>
          <w:lang w:eastAsia="ja-JP"/>
        </w:rPr>
        <w:t xml:space="preserve">were found to be </w:t>
      </w:r>
      <w:r w:rsidRPr="00284E38">
        <w:rPr>
          <w:rFonts w:eastAsia="MS Mincho"/>
          <w:lang w:eastAsia="ja-JP"/>
        </w:rPr>
        <w:t>generally consistent with the NMA results</w:t>
      </w:r>
      <w:r w:rsidR="00800AA0" w:rsidRPr="00284E38">
        <w:rPr>
          <w:rFonts w:eastAsia="MS Mincho"/>
          <w:lang w:eastAsia="ja-JP"/>
        </w:rPr>
        <w:t>,</w:t>
      </w:r>
      <w:r w:rsidRPr="00284E38">
        <w:rPr>
          <w:rFonts w:eastAsia="MS Mincho"/>
          <w:lang w:eastAsia="ja-JP"/>
        </w:rPr>
        <w:t xml:space="preserve"> both in terms of </w:t>
      </w:r>
      <w:r w:rsidR="0012584E" w:rsidRPr="00284E38">
        <w:rPr>
          <w:rFonts w:eastAsia="MS Mincho"/>
          <w:lang w:eastAsia="ja-JP"/>
        </w:rPr>
        <w:t>direction</w:t>
      </w:r>
      <w:r w:rsidRPr="00284E38">
        <w:rPr>
          <w:rFonts w:eastAsia="MS Mincho"/>
          <w:lang w:eastAsia="ja-JP"/>
        </w:rPr>
        <w:t xml:space="preserve"> and magnitude of the estimates</w:t>
      </w:r>
      <w:r w:rsidR="00BF2E83" w:rsidRPr="00284E38">
        <w:rPr>
          <w:rFonts w:eastAsia="MS Mincho"/>
          <w:lang w:eastAsia="ja-JP"/>
        </w:rPr>
        <w:t xml:space="preserve"> (Table </w:t>
      </w:r>
      <w:r w:rsidR="0012584E" w:rsidRPr="00284E38">
        <w:rPr>
          <w:rFonts w:eastAsia="MS Mincho"/>
          <w:lang w:eastAsia="ja-JP"/>
        </w:rPr>
        <w:t>3,</w:t>
      </w:r>
      <w:r w:rsidR="00BF2E83" w:rsidRPr="00284E38">
        <w:rPr>
          <w:rFonts w:eastAsia="MS Mincho"/>
          <w:lang w:eastAsia="ja-JP"/>
        </w:rPr>
        <w:t xml:space="preserve"> upper</w:t>
      </w:r>
      <w:r w:rsidR="0012584E" w:rsidRPr="00284E38">
        <w:rPr>
          <w:rFonts w:eastAsia="MS Mincho"/>
          <w:lang w:eastAsia="ja-JP"/>
        </w:rPr>
        <w:t>-right</w:t>
      </w:r>
      <w:r w:rsidR="00BF2E83" w:rsidRPr="00284E38">
        <w:rPr>
          <w:rFonts w:eastAsia="MS Mincho"/>
          <w:lang w:eastAsia="ja-JP"/>
        </w:rPr>
        <w:t xml:space="preserve"> triangle</w:t>
      </w:r>
      <w:r w:rsidR="0012584E" w:rsidRPr="00284E38">
        <w:rPr>
          <w:rFonts w:eastAsia="MS Mincho"/>
          <w:lang w:eastAsia="ja-JP"/>
        </w:rPr>
        <w:t>, shaded</w:t>
      </w:r>
      <w:r w:rsidR="00BF2E83" w:rsidRPr="00284E38">
        <w:rPr>
          <w:rFonts w:eastAsia="MS Mincho"/>
          <w:lang w:eastAsia="ja-JP"/>
        </w:rPr>
        <w:t>)</w:t>
      </w:r>
      <w:r w:rsidRPr="00284E38">
        <w:rPr>
          <w:rFonts w:eastAsia="MS Mincho"/>
          <w:lang w:eastAsia="ja-JP"/>
        </w:rPr>
        <w:t xml:space="preserve">. </w:t>
      </w:r>
      <w:r w:rsidR="00CB1B5C" w:rsidRPr="00284E38">
        <w:rPr>
          <w:rFonts w:eastAsia="MS Mincho"/>
          <w:lang w:eastAsia="ja-JP"/>
        </w:rPr>
        <w:t xml:space="preserve">Of </w:t>
      </w:r>
      <w:r w:rsidR="000036D7" w:rsidRPr="00284E38">
        <w:rPr>
          <w:rFonts w:eastAsia="MS Mincho"/>
          <w:lang w:eastAsia="ja-JP"/>
        </w:rPr>
        <w:t xml:space="preserve">note </w:t>
      </w:r>
      <w:r w:rsidR="00BF2E83" w:rsidRPr="00284E38">
        <w:rPr>
          <w:rFonts w:eastAsia="MS Mincho"/>
          <w:lang w:eastAsia="ja-JP"/>
        </w:rPr>
        <w:t>are</w:t>
      </w:r>
      <w:r w:rsidR="000036D7" w:rsidRPr="00284E38">
        <w:rPr>
          <w:rFonts w:eastAsia="MS Mincho"/>
          <w:lang w:eastAsia="ja-JP"/>
        </w:rPr>
        <w:t xml:space="preserve"> the differences </w:t>
      </w:r>
      <w:r w:rsidR="00BF2E83" w:rsidRPr="00284E38">
        <w:rPr>
          <w:rFonts w:eastAsia="MS Mincho"/>
          <w:lang w:eastAsia="ja-JP"/>
        </w:rPr>
        <w:t xml:space="preserve">in the estimates </w:t>
      </w:r>
      <w:r w:rsidR="000036D7" w:rsidRPr="00284E38">
        <w:rPr>
          <w:rFonts w:eastAsia="MS Mincho"/>
          <w:lang w:eastAsia="ja-JP"/>
        </w:rPr>
        <w:t xml:space="preserve">found when applying fixed- and random-effects ANCOVA </w:t>
      </w:r>
      <w:r w:rsidR="00E261D1" w:rsidRPr="00284E38">
        <w:rPr>
          <w:rFonts w:eastAsia="MS Mincho"/>
          <w:lang w:eastAsia="ja-JP"/>
        </w:rPr>
        <w:t xml:space="preserve">meta-analysis </w:t>
      </w:r>
      <w:r w:rsidR="000036D7" w:rsidRPr="00284E38">
        <w:rPr>
          <w:rFonts w:eastAsia="MS Mincho"/>
          <w:lang w:eastAsia="ja-JP"/>
        </w:rPr>
        <w:t>model on direct evidence for the comparisons of SDI</w:t>
      </w:r>
      <w:r w:rsidR="001111F4" w:rsidRPr="00284E38">
        <w:rPr>
          <w:rFonts w:eastAsia="MS Mincho"/>
          <w:lang w:eastAsia="ja-JP"/>
        </w:rPr>
        <w:t>s</w:t>
      </w:r>
      <w:r w:rsidR="000036D7" w:rsidRPr="00284E38">
        <w:rPr>
          <w:rFonts w:eastAsia="MS Mincho"/>
          <w:lang w:eastAsia="ja-JP"/>
        </w:rPr>
        <w:t xml:space="preserve"> </w:t>
      </w:r>
      <w:r w:rsidR="000036D7" w:rsidRPr="00284E38">
        <w:rPr>
          <w:rFonts w:eastAsia="MS Mincho"/>
          <w:i/>
          <w:lang w:eastAsia="ja-JP"/>
        </w:rPr>
        <w:t>vs</w:t>
      </w:r>
      <w:r w:rsidR="000036D7" w:rsidRPr="00284E38">
        <w:rPr>
          <w:rFonts w:eastAsia="MS Mincho"/>
          <w:lang w:eastAsia="ja-JP"/>
        </w:rPr>
        <w:t xml:space="preserve"> </w:t>
      </w:r>
      <w:r w:rsidR="001111F4" w:rsidRPr="00284E38">
        <w:rPr>
          <w:rFonts w:eastAsia="MS Mincho"/>
          <w:lang w:eastAsia="ja-JP"/>
        </w:rPr>
        <w:t>S</w:t>
      </w:r>
      <w:r w:rsidR="000036D7" w:rsidRPr="00284E38">
        <w:rPr>
          <w:rFonts w:eastAsia="MS Mincho"/>
          <w:lang w:eastAsia="ja-JP"/>
        </w:rPr>
        <w:t>DC</w:t>
      </w:r>
      <w:r w:rsidR="001111F4" w:rsidRPr="00284E38">
        <w:rPr>
          <w:rFonts w:eastAsia="MS Mincho"/>
          <w:lang w:eastAsia="ja-JP"/>
        </w:rPr>
        <w:t>s</w:t>
      </w:r>
      <w:r w:rsidR="000036D7" w:rsidRPr="00284E38">
        <w:rPr>
          <w:rFonts w:eastAsia="MS Mincho"/>
          <w:lang w:eastAsia="ja-JP"/>
        </w:rPr>
        <w:t xml:space="preserve"> (n=</w:t>
      </w:r>
      <w:r w:rsidR="00E91BAA" w:rsidRPr="00284E38">
        <w:rPr>
          <w:rFonts w:eastAsia="MS Mincho"/>
          <w:lang w:eastAsia="ja-JP"/>
        </w:rPr>
        <w:t>4</w:t>
      </w:r>
      <w:r w:rsidR="000036D7" w:rsidRPr="00284E38">
        <w:rPr>
          <w:rFonts w:eastAsia="MS Mincho"/>
          <w:lang w:eastAsia="ja-JP"/>
        </w:rPr>
        <w:t>) and SDI</w:t>
      </w:r>
      <w:r w:rsidR="001111F4" w:rsidRPr="00284E38">
        <w:rPr>
          <w:rFonts w:eastAsia="MS Mincho"/>
          <w:lang w:eastAsia="ja-JP"/>
        </w:rPr>
        <w:t>s</w:t>
      </w:r>
      <w:r w:rsidR="000036D7" w:rsidRPr="00284E38">
        <w:rPr>
          <w:rFonts w:eastAsia="MS Mincho"/>
          <w:i/>
          <w:lang w:eastAsia="ja-JP"/>
        </w:rPr>
        <w:t xml:space="preserve"> vs</w:t>
      </w:r>
      <w:r w:rsidR="000036D7" w:rsidRPr="00284E38">
        <w:rPr>
          <w:rFonts w:eastAsia="MS Mincho"/>
          <w:lang w:eastAsia="ja-JP"/>
        </w:rPr>
        <w:t xml:space="preserve"> NI</w:t>
      </w:r>
      <w:r w:rsidR="00E91BAA" w:rsidRPr="00284E38">
        <w:rPr>
          <w:rFonts w:eastAsia="MS Mincho"/>
          <w:lang w:eastAsia="ja-JP"/>
        </w:rPr>
        <w:t xml:space="preserve"> (n=8)</w:t>
      </w:r>
      <w:r w:rsidR="000036D7" w:rsidRPr="00284E38">
        <w:rPr>
          <w:rFonts w:eastAsia="MS Mincho"/>
          <w:lang w:eastAsia="ja-JP"/>
        </w:rPr>
        <w:t xml:space="preserve">, evidencing non-negligible </w:t>
      </w:r>
      <w:r w:rsidR="00E91BAA" w:rsidRPr="00284E38">
        <w:rPr>
          <w:rFonts w:eastAsia="MS Mincho"/>
          <w:lang w:eastAsia="ja-JP"/>
        </w:rPr>
        <w:t>variability</w:t>
      </w:r>
      <w:r w:rsidR="000036D7" w:rsidRPr="00284E38">
        <w:rPr>
          <w:rFonts w:eastAsia="MS Mincho"/>
          <w:lang w:eastAsia="ja-JP"/>
        </w:rPr>
        <w:t xml:space="preserve"> across </w:t>
      </w:r>
      <w:r w:rsidR="00E91BAA" w:rsidRPr="00284E38">
        <w:rPr>
          <w:rFonts w:eastAsia="MS Mincho"/>
          <w:lang w:eastAsia="ja-JP"/>
        </w:rPr>
        <w:t xml:space="preserve">studies and the </w:t>
      </w:r>
      <w:r w:rsidR="000036D7" w:rsidRPr="00284E38">
        <w:rPr>
          <w:rFonts w:eastAsia="MS Mincho"/>
          <w:lang w:eastAsia="ja-JP"/>
        </w:rPr>
        <w:t xml:space="preserve">importance of accounting </w:t>
      </w:r>
      <w:r w:rsidR="00E91BAA" w:rsidRPr="00284E38">
        <w:rPr>
          <w:rFonts w:eastAsia="MS Mincho"/>
          <w:lang w:eastAsia="ja-JP"/>
        </w:rPr>
        <w:t>for between-study heterogeneity.</w:t>
      </w:r>
    </w:p>
    <w:p w14:paraId="633B9C8F" w14:textId="77777777" w:rsidR="00F07529" w:rsidRPr="00284E38" w:rsidRDefault="00F07529" w:rsidP="00F07529">
      <w:pPr>
        <w:rPr>
          <w:rFonts w:eastAsia="MS Mincho"/>
          <w:lang w:eastAsia="ja-JP"/>
        </w:rPr>
      </w:pPr>
    </w:p>
    <w:p w14:paraId="7D91F39C" w14:textId="24D340D8" w:rsidR="00F07529" w:rsidRPr="00284E38" w:rsidRDefault="00F07529" w:rsidP="00F07529">
      <w:pPr>
        <w:rPr>
          <w:rFonts w:eastAsia="MS Mincho"/>
          <w:lang w:eastAsia="ja-JP"/>
        </w:rPr>
      </w:pPr>
      <w:r w:rsidRPr="00284E38">
        <w:rPr>
          <w:rFonts w:eastAsia="MS Mincho"/>
          <w:lang w:eastAsia="ja-JP"/>
        </w:rPr>
        <w:t xml:space="preserve">Based on SUCRA </w:t>
      </w:r>
      <w:r w:rsidR="003A6C6D" w:rsidRPr="00284E38">
        <w:rPr>
          <w:rFonts w:eastAsia="MS Mincho"/>
          <w:lang w:eastAsia="ja-JP"/>
        </w:rPr>
        <w:t>values</w:t>
      </w:r>
      <w:r w:rsidRPr="00284E38">
        <w:rPr>
          <w:rFonts w:eastAsia="MS Mincho"/>
          <w:lang w:eastAsia="ja-JP"/>
        </w:rPr>
        <w:t xml:space="preserve"> and rankograms for each intervention, as detailed in </w:t>
      </w:r>
      <w:r w:rsidR="008F5A2D" w:rsidRPr="00284E38">
        <w:rPr>
          <w:rFonts w:eastAsia="MS Mincho"/>
          <w:lang w:eastAsia="ja-JP"/>
        </w:rPr>
        <w:t>A</w:t>
      </w:r>
      <w:r w:rsidRPr="00284E38">
        <w:rPr>
          <w:rFonts w:eastAsia="MS Mincho"/>
          <w:lang w:eastAsia="ja-JP"/>
        </w:rPr>
        <w:t xml:space="preserve">ppendices H1 and H2 respectively, SDIs were estimated to be more effective (i.e. ranked higher) than UDIs, which included unsupported web-based CBT </w:t>
      </w:r>
      <w:r w:rsidRPr="00284E38">
        <w:rPr>
          <w:rFonts w:eastAsia="MS Mincho"/>
          <w:noProof/>
          <w:lang w:eastAsia="ja-JP"/>
        </w:rPr>
        <w:t>(</w:t>
      </w:r>
      <w:hyperlink w:anchor="_ENREF_10" w:tooltip="Christensen, 2014 #233" w:history="1">
        <w:r w:rsidRPr="00284E38">
          <w:rPr>
            <w:rFonts w:eastAsia="MS Mincho"/>
            <w:noProof/>
            <w:lang w:eastAsia="ja-JP"/>
          </w:rPr>
          <w:t>Christensen, Batterham, et al., 2014</w:t>
        </w:r>
      </w:hyperlink>
      <w:r w:rsidRPr="00284E38">
        <w:rPr>
          <w:rFonts w:eastAsia="MS Mincho"/>
          <w:noProof/>
          <w:lang w:eastAsia="ja-JP"/>
        </w:rPr>
        <w:t xml:space="preserve">; </w:t>
      </w:r>
      <w:hyperlink w:anchor="_ENREF_16" w:tooltip="Dear, 2015 #456" w:history="1">
        <w:r w:rsidRPr="00284E38">
          <w:rPr>
            <w:rFonts w:eastAsia="MS Mincho"/>
            <w:noProof/>
            <w:lang w:eastAsia="ja-JP"/>
          </w:rPr>
          <w:t>Dear et al., 2015</w:t>
        </w:r>
      </w:hyperlink>
      <w:r w:rsidRPr="00284E38">
        <w:rPr>
          <w:rFonts w:eastAsia="MS Mincho"/>
          <w:noProof/>
          <w:lang w:eastAsia="ja-JP"/>
        </w:rPr>
        <w:t>)</w:t>
      </w:r>
      <w:r w:rsidRPr="00284E38">
        <w:rPr>
          <w:rFonts w:eastAsia="MS Mincho"/>
          <w:lang w:eastAsia="ja-JP"/>
        </w:rPr>
        <w:t xml:space="preserve"> and an unsupported mobile breathing retraining game </w:t>
      </w:r>
      <w:r w:rsidRPr="00284E38">
        <w:rPr>
          <w:rFonts w:eastAsia="MS Mincho"/>
          <w:noProof/>
          <w:lang w:eastAsia="ja-JP"/>
        </w:rPr>
        <w:t>(</w:t>
      </w:r>
      <w:hyperlink w:anchor="_ENREF_46" w:tooltip="Pham, 2016 #854" w:history="1">
        <w:r w:rsidRPr="00284E38">
          <w:rPr>
            <w:rFonts w:eastAsia="MS Mincho"/>
            <w:noProof/>
            <w:lang w:eastAsia="ja-JP"/>
          </w:rPr>
          <w:t>Pham et al., 2016</w:t>
        </w:r>
      </w:hyperlink>
      <w:r w:rsidRPr="00284E38">
        <w:rPr>
          <w:rFonts w:eastAsia="MS Mincho"/>
          <w:noProof/>
          <w:lang w:eastAsia="ja-JP"/>
        </w:rPr>
        <w:t>)</w:t>
      </w:r>
      <w:r w:rsidRPr="00284E38">
        <w:rPr>
          <w:rFonts w:eastAsia="MS Mincho"/>
          <w:lang w:eastAsia="ja-JP"/>
        </w:rPr>
        <w:t xml:space="preserve">; however SDIs were less effective than SNoDI, a weekly group mindfulness-based intervention with a therapist </w:t>
      </w:r>
      <w:r w:rsidRPr="00284E38">
        <w:rPr>
          <w:rFonts w:eastAsia="MS Mincho"/>
          <w:noProof/>
          <w:lang w:eastAsia="ja-JP"/>
        </w:rPr>
        <w:t>(</w:t>
      </w:r>
      <w:hyperlink w:anchor="_ENREF_44" w:tooltip="Navarro-Haro, 2019 #735" w:history="1">
        <w:r w:rsidRPr="00284E38">
          <w:rPr>
            <w:rFonts w:eastAsia="MS Mincho"/>
            <w:noProof/>
            <w:lang w:eastAsia="ja-JP"/>
          </w:rPr>
          <w:t>Navarro-Haro et al., 2019</w:t>
        </w:r>
      </w:hyperlink>
      <w:r w:rsidRPr="00284E38">
        <w:rPr>
          <w:rFonts w:eastAsia="MS Mincho"/>
          <w:noProof/>
          <w:lang w:eastAsia="ja-JP"/>
        </w:rPr>
        <w:t>)</w:t>
      </w:r>
      <w:r w:rsidRPr="00284E38">
        <w:rPr>
          <w:rFonts w:eastAsia="MS Mincho"/>
          <w:lang w:eastAsia="ja-JP"/>
        </w:rPr>
        <w:t xml:space="preserve">. </w:t>
      </w:r>
    </w:p>
    <w:p w14:paraId="611D3CC4" w14:textId="77777777" w:rsidR="00B10ADA" w:rsidRPr="00284E38" w:rsidRDefault="00B10ADA" w:rsidP="00E154E0">
      <w:pPr>
        <w:jc w:val="both"/>
        <w:rPr>
          <w:b/>
        </w:rPr>
      </w:pPr>
    </w:p>
    <w:p w14:paraId="0F71968F" w14:textId="17DCE649" w:rsidR="00233798" w:rsidRPr="00284E38" w:rsidRDefault="00505781" w:rsidP="00E154E0">
      <w:pPr>
        <w:rPr>
          <w:rFonts w:eastAsia="MS Mincho"/>
          <w:lang w:eastAsia="ja-JP"/>
        </w:rPr>
      </w:pPr>
      <w:r w:rsidRPr="00284E38">
        <w:rPr>
          <w:rFonts w:eastAsia="MS Mincho"/>
          <w:lang w:eastAsia="ja-JP"/>
        </w:rPr>
        <w:t xml:space="preserve">Similar analysis was performed on the PSWQ outcome. Results are shown in Appendix J. </w:t>
      </w:r>
    </w:p>
    <w:p w14:paraId="1350D56B" w14:textId="77777777" w:rsidR="00451D7A" w:rsidRPr="00284E38" w:rsidRDefault="00451D7A" w:rsidP="00451D7A">
      <w:pPr>
        <w:jc w:val="center"/>
        <w:rPr>
          <w:rFonts w:eastAsia="MS Mincho"/>
          <w:lang w:eastAsia="ja-JP"/>
        </w:rPr>
      </w:pPr>
    </w:p>
    <w:p w14:paraId="0ED694DB" w14:textId="299B0627" w:rsidR="00CE3EBD" w:rsidRPr="00284E38" w:rsidRDefault="008E38C6" w:rsidP="00E154E0">
      <w:pPr>
        <w:rPr>
          <w:b/>
          <w:iCs/>
        </w:rPr>
      </w:pPr>
      <w:r w:rsidRPr="00284E38">
        <w:rPr>
          <w:b/>
          <w:iCs/>
        </w:rPr>
        <w:t>3.</w:t>
      </w:r>
      <w:r w:rsidR="00CB1B5C" w:rsidRPr="00284E38">
        <w:rPr>
          <w:b/>
          <w:iCs/>
        </w:rPr>
        <w:t>8</w:t>
      </w:r>
      <w:r w:rsidRPr="00284E38">
        <w:rPr>
          <w:b/>
          <w:iCs/>
        </w:rPr>
        <w:t xml:space="preserve">. </w:t>
      </w:r>
      <w:r w:rsidR="00B6002F" w:rsidRPr="00284E38">
        <w:rPr>
          <w:b/>
          <w:iCs/>
        </w:rPr>
        <w:t xml:space="preserve">Results </w:t>
      </w:r>
      <w:r w:rsidR="00A658A0" w:rsidRPr="00284E38">
        <w:rPr>
          <w:b/>
          <w:iCs/>
        </w:rPr>
        <w:t>of between-study h</w:t>
      </w:r>
      <w:r w:rsidR="00D877C9" w:rsidRPr="00284E38">
        <w:rPr>
          <w:b/>
          <w:iCs/>
        </w:rPr>
        <w:t>eterogeneity and inconsistency assessments</w:t>
      </w:r>
    </w:p>
    <w:p w14:paraId="6C6F5B38" w14:textId="77777777" w:rsidR="00233798" w:rsidRPr="00284E38" w:rsidRDefault="00233798" w:rsidP="00E154E0">
      <w:pPr>
        <w:rPr>
          <w:rFonts w:eastAsia="MS Mincho"/>
          <w:lang w:eastAsia="ja-JP"/>
        </w:rPr>
      </w:pPr>
    </w:p>
    <w:p w14:paraId="5F1E2E75" w14:textId="381D0A6A" w:rsidR="00EF3391" w:rsidRPr="00284E38" w:rsidRDefault="00146739" w:rsidP="00E154E0">
      <w:r w:rsidRPr="00284E38">
        <w:rPr>
          <w:rFonts w:eastAsia="MS Mincho"/>
          <w:lang w:eastAsia="ja-JP"/>
        </w:rPr>
        <w:t xml:space="preserve">Three sources of heterogeneity were considered relevant: disease severity, concomitant medication and comorbidities. Using data relating to disease severity and comorbidities was not feasible – see Appendix </w:t>
      </w:r>
      <w:r w:rsidR="00D85ACA" w:rsidRPr="00284E38">
        <w:rPr>
          <w:rFonts w:eastAsia="MS Mincho"/>
          <w:lang w:eastAsia="ja-JP"/>
        </w:rPr>
        <w:t>I</w:t>
      </w:r>
      <w:r w:rsidRPr="00284E38">
        <w:rPr>
          <w:rFonts w:eastAsia="MS Mincho"/>
          <w:lang w:eastAsia="ja-JP"/>
        </w:rPr>
        <w:t xml:space="preserve"> for further details – thus only data on concomitant medication was included as a covariate in the synthesis modelling. </w:t>
      </w:r>
      <w:r w:rsidR="00857BD2" w:rsidRPr="00284E38">
        <w:t>W</w:t>
      </w:r>
      <w:r w:rsidR="00EF3391" w:rsidRPr="00284E38">
        <w:t xml:space="preserve">hen this covariate is included, the between-study heterogeneity parameter, </w:t>
      </w:r>
      <m:oMath>
        <m:sSup>
          <m:sSupPr>
            <m:ctrlPr>
              <w:rPr>
                <w:rFonts w:ascii="Cambria Math" w:hAnsi="Cambria Math"/>
                <w:i/>
              </w:rPr>
            </m:ctrlPr>
          </m:sSupPr>
          <m:e>
            <m:r>
              <w:rPr>
                <w:rFonts w:ascii="Cambria Math" w:hAnsi="Cambria Math"/>
              </w:rPr>
              <m:t>τ</m:t>
            </m:r>
          </m:e>
          <m:sup>
            <m:r>
              <w:rPr>
                <w:rFonts w:ascii="Cambria Math" w:hAnsi="Cambria Math"/>
              </w:rPr>
              <m:t>2</m:t>
            </m:r>
          </m:sup>
        </m:sSup>
      </m:oMath>
      <w:r w:rsidR="005C4589" w:rsidRPr="00284E38">
        <w:rPr>
          <w:rFonts w:eastAsia="MS Mincho"/>
          <w:lang w:eastAsia="ja-JP"/>
        </w:rPr>
        <w:t xml:space="preserve">, </w:t>
      </w:r>
      <w:r w:rsidR="004336DB" w:rsidRPr="00284E38">
        <w:t xml:space="preserve"> </w:t>
      </w:r>
      <w:r w:rsidR="00EF3391" w:rsidRPr="00284E38">
        <w:t xml:space="preserve">is not reduced, suggesting that heterogeneity is not explained by this covariate. Crucially, even if the proportion receiving concomitant medication </w:t>
      </w:r>
      <w:r w:rsidR="00537394" w:rsidRPr="00284E38">
        <w:t>wa</w:t>
      </w:r>
      <w:r w:rsidR="00EF3391" w:rsidRPr="00284E38">
        <w:t xml:space="preserve">s </w:t>
      </w:r>
      <w:r w:rsidR="003A6C6D" w:rsidRPr="00284E38">
        <w:t>identified as</w:t>
      </w:r>
      <w:r w:rsidR="00EF3391" w:rsidRPr="00284E38">
        <w:t xml:space="preserve"> an important effect modifier, the meta-regression model is not necessarily suited to detect this intervention-covariate interaction as patients were receiving medication before trial entry. Therefore, medication may have already exerted an effect on patients, being captured by the ANCOVA baseline adjustment component.</w:t>
      </w:r>
    </w:p>
    <w:p w14:paraId="593E25C7" w14:textId="02576462" w:rsidR="008B019F" w:rsidRPr="00284E38" w:rsidRDefault="008B019F" w:rsidP="00E154E0"/>
    <w:p w14:paraId="1109C3DF" w14:textId="611DCD04" w:rsidR="00806FAE" w:rsidRPr="00284E38" w:rsidRDefault="00B01C1C" w:rsidP="00E154E0">
      <w:pPr>
        <w:rPr>
          <w:rFonts w:eastAsia="MS Mincho"/>
          <w:lang w:eastAsia="ja-JP"/>
        </w:rPr>
      </w:pPr>
      <w:r w:rsidRPr="00284E38">
        <w:rPr>
          <w:rFonts w:eastAsia="MS Mincho"/>
          <w:lang w:eastAsia="ja-JP"/>
        </w:rPr>
        <w:t xml:space="preserve">Several </w:t>
      </w:r>
      <w:r w:rsidR="00806FAE" w:rsidRPr="00284E38">
        <w:rPr>
          <w:rFonts w:eastAsia="MS Mincho"/>
          <w:lang w:eastAsia="ja-JP"/>
        </w:rPr>
        <w:t>data loop</w:t>
      </w:r>
      <w:r w:rsidRPr="00284E38">
        <w:rPr>
          <w:rFonts w:eastAsia="MS Mincho"/>
          <w:lang w:eastAsia="ja-JP"/>
        </w:rPr>
        <w:t>s</w:t>
      </w:r>
      <w:r w:rsidR="000739D3" w:rsidRPr="00284E38">
        <w:rPr>
          <w:rFonts w:eastAsia="MS Mincho"/>
          <w:lang w:eastAsia="ja-JP"/>
        </w:rPr>
        <w:t xml:space="preserve"> existed in the network</w:t>
      </w:r>
      <w:r w:rsidRPr="00284E38">
        <w:rPr>
          <w:rFonts w:eastAsia="MS Mincho"/>
          <w:lang w:eastAsia="ja-JP"/>
        </w:rPr>
        <w:t>,</w:t>
      </w:r>
      <w:r w:rsidR="00806FAE" w:rsidRPr="00284E38">
        <w:rPr>
          <w:rFonts w:eastAsia="MS Mincho"/>
          <w:lang w:eastAsia="ja-JP"/>
        </w:rPr>
        <w:t xml:space="preserve"> where both direct and indirect data</w:t>
      </w:r>
      <w:r w:rsidRPr="00284E38">
        <w:rPr>
          <w:rFonts w:eastAsia="MS Mincho"/>
          <w:lang w:eastAsia="ja-JP"/>
        </w:rPr>
        <w:t xml:space="preserve"> </w:t>
      </w:r>
      <w:r w:rsidR="00806FAE" w:rsidRPr="00284E38">
        <w:rPr>
          <w:rFonts w:eastAsia="MS Mincho"/>
          <w:lang w:eastAsia="ja-JP"/>
        </w:rPr>
        <w:t xml:space="preserve">informed </w:t>
      </w:r>
      <w:r w:rsidRPr="00284E38">
        <w:rPr>
          <w:rFonts w:eastAsia="MS Mincho"/>
          <w:lang w:eastAsia="ja-JP"/>
        </w:rPr>
        <w:t xml:space="preserve">intervention </w:t>
      </w:r>
      <w:r w:rsidR="00806FAE" w:rsidRPr="00284E38">
        <w:rPr>
          <w:rFonts w:eastAsia="MS Mincho"/>
          <w:lang w:eastAsia="ja-JP"/>
        </w:rPr>
        <w:t>effectiveness estimates; the possibility</w:t>
      </w:r>
      <w:r w:rsidRPr="00284E38">
        <w:rPr>
          <w:rFonts w:eastAsia="MS Mincho"/>
          <w:lang w:eastAsia="ja-JP"/>
        </w:rPr>
        <w:t xml:space="preserve"> </w:t>
      </w:r>
      <w:r w:rsidR="00806FAE" w:rsidRPr="00284E38">
        <w:rPr>
          <w:rFonts w:eastAsia="MS Mincho"/>
          <w:lang w:eastAsia="ja-JP"/>
        </w:rPr>
        <w:t>of inconsistenc</w:t>
      </w:r>
      <w:r w:rsidR="00E873BF" w:rsidRPr="00284E38">
        <w:rPr>
          <w:rFonts w:eastAsia="MS Mincho"/>
          <w:lang w:eastAsia="ja-JP"/>
        </w:rPr>
        <w:t>ies</w:t>
      </w:r>
      <w:r w:rsidR="00806FAE" w:rsidRPr="00284E38">
        <w:rPr>
          <w:rFonts w:eastAsia="MS Mincho"/>
          <w:lang w:eastAsia="ja-JP"/>
        </w:rPr>
        <w:t xml:space="preserve"> was investigated.</w:t>
      </w:r>
      <w:r w:rsidRPr="00284E38">
        <w:rPr>
          <w:rFonts w:eastAsia="MS Mincho"/>
          <w:lang w:eastAsia="ja-JP"/>
        </w:rPr>
        <w:t xml:space="preserve"> Table</w:t>
      </w:r>
      <w:r w:rsidR="00730D8E" w:rsidRPr="00284E38">
        <w:rPr>
          <w:rFonts w:eastAsia="MS Mincho"/>
          <w:lang w:eastAsia="ja-JP"/>
        </w:rPr>
        <w:t xml:space="preserve"> 3 </w:t>
      </w:r>
      <w:r w:rsidRPr="00284E38">
        <w:rPr>
          <w:rFonts w:eastAsia="MS Mincho"/>
          <w:lang w:eastAsia="ja-JP"/>
        </w:rPr>
        <w:t>showed n</w:t>
      </w:r>
      <w:r w:rsidR="00806FAE" w:rsidRPr="00284E38">
        <w:rPr>
          <w:rFonts w:eastAsia="MS Mincho"/>
          <w:lang w:eastAsia="ja-JP"/>
        </w:rPr>
        <w:t xml:space="preserve">o evidence of </w:t>
      </w:r>
      <w:r w:rsidRPr="00284E38">
        <w:rPr>
          <w:rFonts w:eastAsia="MS Mincho"/>
          <w:lang w:eastAsia="ja-JP"/>
        </w:rPr>
        <w:t>substantial</w:t>
      </w:r>
      <w:r w:rsidR="00806FAE" w:rsidRPr="00284E38">
        <w:rPr>
          <w:rFonts w:eastAsia="MS Mincho"/>
          <w:lang w:eastAsia="ja-JP"/>
        </w:rPr>
        <w:t xml:space="preserve"> discrepancies</w:t>
      </w:r>
      <w:r w:rsidRPr="00284E38">
        <w:rPr>
          <w:rFonts w:eastAsia="MS Mincho"/>
          <w:lang w:eastAsia="ja-JP"/>
        </w:rPr>
        <w:t xml:space="preserve"> </w:t>
      </w:r>
      <w:r w:rsidR="00806FAE" w:rsidRPr="00284E38">
        <w:rPr>
          <w:rFonts w:eastAsia="MS Mincho"/>
          <w:lang w:eastAsia="ja-JP"/>
        </w:rPr>
        <w:t xml:space="preserve">between the direct and </w:t>
      </w:r>
      <w:r w:rsidR="00E873BF" w:rsidRPr="00284E38">
        <w:rPr>
          <w:rFonts w:eastAsia="MS Mincho"/>
          <w:lang w:eastAsia="ja-JP"/>
        </w:rPr>
        <w:t>the NMA</w:t>
      </w:r>
      <w:r w:rsidR="00806FAE" w:rsidRPr="00284E38">
        <w:rPr>
          <w:rFonts w:eastAsia="MS Mincho"/>
          <w:lang w:eastAsia="ja-JP"/>
        </w:rPr>
        <w:t xml:space="preserve"> </w:t>
      </w:r>
      <w:r w:rsidR="00E873BF" w:rsidRPr="00284E38">
        <w:rPr>
          <w:rFonts w:eastAsia="MS Mincho"/>
          <w:lang w:eastAsia="ja-JP"/>
        </w:rPr>
        <w:t>results;</w:t>
      </w:r>
      <w:r w:rsidR="00806FAE" w:rsidRPr="00284E38">
        <w:rPr>
          <w:rFonts w:eastAsia="MS Mincho"/>
          <w:lang w:eastAsia="ja-JP"/>
        </w:rPr>
        <w:t xml:space="preserve"> given</w:t>
      </w:r>
      <w:r w:rsidRPr="00284E38">
        <w:rPr>
          <w:rFonts w:eastAsia="MS Mincho"/>
          <w:lang w:eastAsia="ja-JP"/>
        </w:rPr>
        <w:t xml:space="preserve"> </w:t>
      </w:r>
      <w:r w:rsidR="00806FAE" w:rsidRPr="00284E38">
        <w:rPr>
          <w:rFonts w:eastAsia="MS Mincho"/>
          <w:lang w:eastAsia="ja-JP"/>
        </w:rPr>
        <w:t>the uncertainty in the data</w:t>
      </w:r>
      <w:r w:rsidR="00CB6957" w:rsidRPr="00284E38">
        <w:rPr>
          <w:rFonts w:eastAsia="MS Mincho"/>
          <w:lang w:eastAsia="ja-JP"/>
        </w:rPr>
        <w:t>,</w:t>
      </w:r>
      <w:r w:rsidR="00806FAE" w:rsidRPr="00284E38">
        <w:rPr>
          <w:rFonts w:eastAsia="MS Mincho"/>
          <w:lang w:eastAsia="ja-JP"/>
        </w:rPr>
        <w:t xml:space="preserve"> only very large differences were</w:t>
      </w:r>
      <w:r w:rsidRPr="00284E38">
        <w:rPr>
          <w:rFonts w:eastAsia="MS Mincho"/>
          <w:lang w:eastAsia="ja-JP"/>
        </w:rPr>
        <w:t xml:space="preserve"> </w:t>
      </w:r>
      <w:r w:rsidR="00806FAE" w:rsidRPr="00284E38">
        <w:rPr>
          <w:rFonts w:eastAsia="MS Mincho"/>
          <w:lang w:eastAsia="ja-JP"/>
        </w:rPr>
        <w:t xml:space="preserve">likely to result in statistical significance. </w:t>
      </w:r>
      <w:r w:rsidR="00C81EBE" w:rsidRPr="00284E38">
        <w:rPr>
          <w:rFonts w:eastAsia="MS Mincho"/>
          <w:lang w:eastAsia="ja-JP"/>
        </w:rPr>
        <w:t>R</w:t>
      </w:r>
      <w:r w:rsidR="00806FAE" w:rsidRPr="00284E38">
        <w:rPr>
          <w:rFonts w:eastAsia="MS Mincho"/>
          <w:lang w:eastAsia="ja-JP"/>
        </w:rPr>
        <w:t xml:space="preserve">esults of the consistency and inconsistency models </w:t>
      </w:r>
      <w:r w:rsidR="00EF3391" w:rsidRPr="00284E38">
        <w:rPr>
          <w:rFonts w:eastAsia="MS Mincho"/>
          <w:lang w:eastAsia="ja-JP"/>
        </w:rPr>
        <w:t>indicated the existence of overall model consistency</w:t>
      </w:r>
      <w:r w:rsidR="00846F41" w:rsidRPr="00284E38">
        <w:rPr>
          <w:rFonts w:eastAsia="MS Mincho"/>
          <w:lang w:eastAsia="ja-JP"/>
        </w:rPr>
        <w:t>, as detailed in</w:t>
      </w:r>
      <w:r w:rsidR="00C66A1D" w:rsidRPr="00284E38">
        <w:rPr>
          <w:rFonts w:eastAsia="MS Mincho"/>
          <w:lang w:eastAsia="ja-JP"/>
        </w:rPr>
        <w:t xml:space="preserve"> </w:t>
      </w:r>
      <w:r w:rsidR="00800AA0" w:rsidRPr="00284E38">
        <w:rPr>
          <w:rFonts w:eastAsia="MS Mincho"/>
          <w:lang w:eastAsia="ja-JP"/>
        </w:rPr>
        <w:t>A</w:t>
      </w:r>
      <w:r w:rsidR="00C66A1D" w:rsidRPr="00284E38">
        <w:rPr>
          <w:rFonts w:eastAsia="MS Mincho"/>
          <w:lang w:eastAsia="ja-JP"/>
        </w:rPr>
        <w:t xml:space="preserve">ppendix </w:t>
      </w:r>
      <w:r w:rsidR="00D85ACA" w:rsidRPr="00284E38">
        <w:rPr>
          <w:rFonts w:eastAsia="MS Mincho"/>
          <w:lang w:eastAsia="ja-JP"/>
        </w:rPr>
        <w:t>I</w:t>
      </w:r>
      <w:r w:rsidR="00846F41" w:rsidRPr="00284E38">
        <w:rPr>
          <w:rFonts w:eastAsia="MS Mincho"/>
          <w:lang w:eastAsia="ja-JP"/>
        </w:rPr>
        <w:t>.</w:t>
      </w:r>
    </w:p>
    <w:p w14:paraId="35053FD6" w14:textId="77777777" w:rsidR="00857BD2" w:rsidRPr="00284E38" w:rsidRDefault="00857BD2" w:rsidP="00857BD2">
      <w:pPr>
        <w:rPr>
          <w:rFonts w:eastAsia="MS Mincho"/>
          <w:lang w:eastAsia="ja-JP"/>
        </w:rPr>
      </w:pPr>
    </w:p>
    <w:p w14:paraId="00D1BB99" w14:textId="107B372B" w:rsidR="00857BD2" w:rsidRPr="00284E38" w:rsidRDefault="00857BD2" w:rsidP="00857BD2">
      <w:pPr>
        <w:rPr>
          <w:rFonts w:eastAsia="MS Mincho"/>
          <w:lang w:eastAsia="ja-JP"/>
        </w:rPr>
      </w:pPr>
      <w:r w:rsidRPr="00284E38">
        <w:rPr>
          <w:rFonts w:eastAsia="MS Mincho"/>
          <w:lang w:eastAsia="ja-JP"/>
        </w:rPr>
        <w:t xml:space="preserve">Similar analysis was performed on the PSWQ outcome. Results are shown in Appendix J. </w:t>
      </w:r>
    </w:p>
    <w:p w14:paraId="5FDB26C5" w14:textId="77777777" w:rsidR="00857BD2" w:rsidRPr="00284E38" w:rsidRDefault="00857BD2" w:rsidP="00E154E0">
      <w:pPr>
        <w:rPr>
          <w:rFonts w:eastAsia="MS Mincho"/>
          <w:lang w:eastAsia="ja-JP"/>
        </w:rPr>
      </w:pPr>
    </w:p>
    <w:p w14:paraId="661D4F72" w14:textId="06A002A3" w:rsidR="00E873BF" w:rsidRPr="00284E38" w:rsidRDefault="008E38C6" w:rsidP="00E154E0">
      <w:pPr>
        <w:rPr>
          <w:b/>
          <w:iCs/>
        </w:rPr>
      </w:pPr>
      <w:r w:rsidRPr="00284E38">
        <w:rPr>
          <w:b/>
          <w:iCs/>
        </w:rPr>
        <w:t>3.</w:t>
      </w:r>
      <w:r w:rsidR="00CB1B5C" w:rsidRPr="00284E38">
        <w:rPr>
          <w:b/>
          <w:iCs/>
        </w:rPr>
        <w:t>9</w:t>
      </w:r>
      <w:r w:rsidRPr="00284E38">
        <w:rPr>
          <w:b/>
          <w:iCs/>
        </w:rPr>
        <w:t xml:space="preserve">. </w:t>
      </w:r>
      <w:r w:rsidR="00E873BF" w:rsidRPr="00284E38">
        <w:rPr>
          <w:b/>
          <w:iCs/>
        </w:rPr>
        <w:t>Sensitivity analysis results</w:t>
      </w:r>
    </w:p>
    <w:p w14:paraId="6BCEAD53" w14:textId="77777777" w:rsidR="00B10ADA" w:rsidRPr="00284E38" w:rsidRDefault="00B10ADA" w:rsidP="00E154E0">
      <w:pPr>
        <w:rPr>
          <w:rFonts w:eastAsia="MS Mincho"/>
          <w:lang w:eastAsia="ja-JP"/>
        </w:rPr>
      </w:pPr>
    </w:p>
    <w:p w14:paraId="5DE89E2C" w14:textId="2AC8C2F1" w:rsidR="00291D7A" w:rsidRPr="00284E38" w:rsidRDefault="005836E7" w:rsidP="00E154E0">
      <w:pPr>
        <w:rPr>
          <w:rFonts w:eastAsia="MS Mincho"/>
          <w:lang w:eastAsia="ja-JP"/>
        </w:rPr>
      </w:pPr>
      <w:r w:rsidRPr="00284E38">
        <w:rPr>
          <w:rFonts w:eastAsia="MS Mincho"/>
          <w:lang w:eastAsia="ja-JP"/>
        </w:rPr>
        <w:t xml:space="preserve">The sensitivity of </w:t>
      </w:r>
      <w:r w:rsidR="007E7140" w:rsidRPr="00284E38">
        <w:rPr>
          <w:rFonts w:eastAsia="MS Mincho"/>
          <w:lang w:eastAsia="ja-JP"/>
        </w:rPr>
        <w:t xml:space="preserve">the </w:t>
      </w:r>
      <w:r w:rsidRPr="00284E38">
        <w:rPr>
          <w:rFonts w:eastAsia="MS Mincho"/>
          <w:lang w:eastAsia="ja-JP"/>
        </w:rPr>
        <w:t>network to specific studies was investigated. In total, 1</w:t>
      </w:r>
      <w:r w:rsidR="00291D7A" w:rsidRPr="00284E38">
        <w:rPr>
          <w:rFonts w:eastAsia="MS Mincho"/>
          <w:lang w:eastAsia="ja-JP"/>
        </w:rPr>
        <w:t>0</w:t>
      </w:r>
      <w:r w:rsidRPr="00284E38">
        <w:rPr>
          <w:rFonts w:eastAsia="MS Mincho"/>
          <w:lang w:eastAsia="ja-JP"/>
        </w:rPr>
        <w:t xml:space="preserve"> analyses with 1</w:t>
      </w:r>
      <w:r w:rsidR="00291D7A" w:rsidRPr="00284E38">
        <w:rPr>
          <w:rFonts w:eastAsia="MS Mincho"/>
          <w:lang w:eastAsia="ja-JP"/>
        </w:rPr>
        <w:t>2</w:t>
      </w:r>
      <w:r w:rsidRPr="00284E38">
        <w:rPr>
          <w:rFonts w:eastAsia="MS Mincho"/>
          <w:lang w:eastAsia="ja-JP"/>
        </w:rPr>
        <w:t xml:space="preserve"> (rather than the total 1</w:t>
      </w:r>
      <w:r w:rsidR="00291D7A" w:rsidRPr="00284E38">
        <w:rPr>
          <w:rFonts w:eastAsia="MS Mincho"/>
          <w:lang w:eastAsia="ja-JP"/>
        </w:rPr>
        <w:t>3</w:t>
      </w:r>
      <w:r w:rsidRPr="00284E38">
        <w:rPr>
          <w:rFonts w:eastAsia="MS Mincho"/>
          <w:lang w:eastAsia="ja-JP"/>
        </w:rPr>
        <w:t>) included studies</w:t>
      </w:r>
      <w:r w:rsidR="00291D7A" w:rsidRPr="00284E38">
        <w:rPr>
          <w:rFonts w:eastAsia="MS Mincho"/>
          <w:lang w:eastAsia="ja-JP"/>
        </w:rPr>
        <w:t xml:space="preserve"> for GAD-7 </w:t>
      </w:r>
      <w:r w:rsidRPr="00284E38">
        <w:rPr>
          <w:rFonts w:eastAsia="MS Mincho"/>
          <w:lang w:eastAsia="ja-JP"/>
        </w:rPr>
        <w:t>were performed</w:t>
      </w:r>
      <w:r w:rsidR="00291D7A" w:rsidRPr="00284E38">
        <w:rPr>
          <w:rFonts w:eastAsia="MS Mincho"/>
          <w:lang w:eastAsia="ja-JP"/>
        </w:rPr>
        <w:t>,</w:t>
      </w:r>
      <w:r w:rsidRPr="00284E38">
        <w:rPr>
          <w:rFonts w:eastAsia="MS Mincho"/>
          <w:lang w:eastAsia="ja-JP"/>
        </w:rPr>
        <w:t xml:space="preserve"> and the probability of each </w:t>
      </w:r>
      <w:r w:rsidR="00291D7A" w:rsidRPr="00284E38">
        <w:rPr>
          <w:rFonts w:eastAsia="MS Mincho"/>
          <w:lang w:eastAsia="ja-JP"/>
        </w:rPr>
        <w:t>intervention</w:t>
      </w:r>
      <w:r w:rsidRPr="00284E38">
        <w:rPr>
          <w:rFonts w:eastAsia="MS Mincho"/>
          <w:lang w:eastAsia="ja-JP"/>
        </w:rPr>
        <w:t xml:space="preserve"> being the best was assessed. </w:t>
      </w:r>
      <w:r w:rsidR="007E7140" w:rsidRPr="00284E38">
        <w:rPr>
          <w:rFonts w:eastAsia="MS Mincho"/>
          <w:lang w:eastAsia="ja-JP"/>
        </w:rPr>
        <w:t>T</w:t>
      </w:r>
      <w:r w:rsidR="00EA08F4" w:rsidRPr="00284E38">
        <w:rPr>
          <w:rFonts w:eastAsia="MS Mincho"/>
          <w:lang w:eastAsia="ja-JP"/>
        </w:rPr>
        <w:t>he SSRI</w:t>
      </w:r>
      <w:r w:rsidR="00221E5D" w:rsidRPr="00284E38">
        <w:rPr>
          <w:rFonts w:eastAsia="MS Mincho"/>
          <w:lang w:eastAsia="ja-JP"/>
        </w:rPr>
        <w:t xml:space="preserve"> </w:t>
      </w:r>
      <w:r w:rsidR="00291D7A" w:rsidRPr="00284E38">
        <w:rPr>
          <w:rFonts w:eastAsia="MS Mincho"/>
          <w:lang w:eastAsia="ja-JP"/>
        </w:rPr>
        <w:t xml:space="preserve">and </w:t>
      </w:r>
      <w:r w:rsidR="00EA08F4" w:rsidRPr="00284E38">
        <w:rPr>
          <w:rFonts w:eastAsia="MS Mincho"/>
          <w:lang w:eastAsia="ja-JP"/>
        </w:rPr>
        <w:t>group</w:t>
      </w:r>
      <w:r w:rsidR="009B7BE5" w:rsidRPr="00284E38">
        <w:rPr>
          <w:rFonts w:eastAsia="MS Mincho"/>
          <w:lang w:eastAsia="ja-JP"/>
        </w:rPr>
        <w:t xml:space="preserve"> </w:t>
      </w:r>
      <w:r w:rsidR="00EA08F4" w:rsidRPr="00284E38">
        <w:rPr>
          <w:rFonts w:eastAsia="MS Mincho"/>
          <w:lang w:eastAsia="ja-JP"/>
        </w:rPr>
        <w:t>CBT</w:t>
      </w:r>
      <w:r w:rsidR="00291D7A" w:rsidRPr="00284E38">
        <w:rPr>
          <w:rFonts w:eastAsia="MS Mincho"/>
          <w:lang w:eastAsia="ja-JP"/>
        </w:rPr>
        <w:t xml:space="preserve"> continued to have the highest chances of being ‘best’, with probabilities of around 43% and 30%, respectively.</w:t>
      </w:r>
    </w:p>
    <w:p w14:paraId="4BF9F0D5" w14:textId="77777777" w:rsidR="00C94BEE" w:rsidRPr="00284E38" w:rsidRDefault="00C94BEE" w:rsidP="00E154E0">
      <w:pPr>
        <w:rPr>
          <w:rFonts w:eastAsia="MS Mincho"/>
          <w:lang w:eastAsia="ja-JP"/>
        </w:rPr>
      </w:pPr>
    </w:p>
    <w:p w14:paraId="1601FDE2" w14:textId="77777777" w:rsidR="007E7140" w:rsidRPr="00284E38" w:rsidRDefault="005836E7" w:rsidP="00E154E0">
      <w:pPr>
        <w:rPr>
          <w:rFonts w:eastAsia="MS Mincho"/>
          <w:lang w:eastAsia="ja-JP"/>
        </w:rPr>
      </w:pPr>
      <w:r w:rsidRPr="00284E38">
        <w:rPr>
          <w:rFonts w:eastAsia="MS Mincho"/>
          <w:lang w:eastAsia="ja-JP"/>
        </w:rPr>
        <w:t xml:space="preserve">Two studies </w:t>
      </w:r>
      <w:r w:rsidR="00D33460" w:rsidRPr="00284E38">
        <w:rPr>
          <w:rFonts w:eastAsia="MS Mincho"/>
          <w:noProof/>
          <w:lang w:eastAsia="ja-JP"/>
        </w:rPr>
        <w:t>(</w:t>
      </w:r>
      <w:hyperlink w:anchor="_ENREF_11" w:tooltip="Christensen, 2014 #227" w:history="1">
        <w:r w:rsidR="00D33460" w:rsidRPr="00284E38">
          <w:rPr>
            <w:rFonts w:eastAsia="MS Mincho"/>
            <w:noProof/>
            <w:lang w:eastAsia="ja-JP"/>
          </w:rPr>
          <w:t>Christensen, Mackinnon, et al., 2014</w:t>
        </w:r>
      </w:hyperlink>
      <w:r w:rsidR="00D33460" w:rsidRPr="00284E38">
        <w:rPr>
          <w:rFonts w:eastAsia="MS Mincho"/>
          <w:noProof/>
          <w:lang w:eastAsia="ja-JP"/>
        </w:rPr>
        <w:t xml:space="preserve">; </w:t>
      </w:r>
      <w:hyperlink w:anchor="_ENREF_48" w:tooltip="Repetto, 2013 #228" w:history="1">
        <w:r w:rsidR="00D33460" w:rsidRPr="00284E38">
          <w:rPr>
            <w:rFonts w:eastAsia="MS Mincho"/>
            <w:noProof/>
            <w:lang w:eastAsia="ja-JP"/>
          </w:rPr>
          <w:t>Repetto et al., 2013</w:t>
        </w:r>
      </w:hyperlink>
      <w:r w:rsidR="00D33460" w:rsidRPr="00284E38">
        <w:rPr>
          <w:rFonts w:eastAsia="MS Mincho"/>
          <w:noProof/>
          <w:lang w:eastAsia="ja-JP"/>
        </w:rPr>
        <w:t>)</w:t>
      </w:r>
      <w:r w:rsidRPr="00284E38">
        <w:rPr>
          <w:rFonts w:eastAsia="MS Mincho"/>
          <w:lang w:eastAsia="ja-JP"/>
        </w:rPr>
        <w:t xml:space="preserve"> had less than 30 patients. </w:t>
      </w:r>
      <w:r w:rsidR="00800AA0" w:rsidRPr="00284E38">
        <w:rPr>
          <w:rFonts w:eastAsia="MS Mincho"/>
          <w:lang w:eastAsia="ja-JP"/>
        </w:rPr>
        <w:t xml:space="preserve">Excluding these studies </w:t>
      </w:r>
      <w:r w:rsidRPr="00284E38">
        <w:rPr>
          <w:rFonts w:eastAsia="MS Mincho"/>
          <w:lang w:eastAsia="ja-JP"/>
        </w:rPr>
        <w:t xml:space="preserve">from the network </w:t>
      </w:r>
      <w:r w:rsidR="00800AA0" w:rsidRPr="00284E38">
        <w:rPr>
          <w:rFonts w:eastAsia="MS Mincho"/>
          <w:lang w:eastAsia="ja-JP"/>
        </w:rPr>
        <w:t>also removed</w:t>
      </w:r>
      <w:r w:rsidRPr="00284E38">
        <w:rPr>
          <w:rFonts w:eastAsia="MS Mincho"/>
          <w:lang w:eastAsia="ja-JP"/>
        </w:rPr>
        <w:t xml:space="preserve"> medication (M) from the comparator set, altering the network structure. </w:t>
      </w:r>
      <w:r w:rsidR="00ED7956" w:rsidRPr="00284E38">
        <w:rPr>
          <w:rFonts w:eastAsia="MS Mincho"/>
          <w:lang w:eastAsia="ja-JP"/>
        </w:rPr>
        <w:t xml:space="preserve">As expected, with the reduction in the number of studies informing the network, the uncertainty in the posterior effect distributions increased further. </w:t>
      </w:r>
      <w:r w:rsidR="00264125" w:rsidRPr="00284E38">
        <w:rPr>
          <w:rFonts w:eastAsia="MS Mincho"/>
          <w:lang w:eastAsia="ja-JP"/>
        </w:rPr>
        <w:t>However, no significant changes were observed compared to the main model results</w:t>
      </w:r>
      <w:r w:rsidR="00221E5D" w:rsidRPr="00284E38">
        <w:rPr>
          <w:rFonts w:eastAsia="MS Mincho"/>
          <w:lang w:eastAsia="ja-JP"/>
        </w:rPr>
        <w:t>.</w:t>
      </w:r>
      <w:r w:rsidR="00C94BEE" w:rsidRPr="00284E38">
        <w:rPr>
          <w:rFonts w:eastAsia="MS Mincho"/>
          <w:lang w:eastAsia="ja-JP"/>
        </w:rPr>
        <w:t xml:space="preserve"> </w:t>
      </w:r>
    </w:p>
    <w:p w14:paraId="42B621E5" w14:textId="77777777" w:rsidR="007E7140" w:rsidRPr="00284E38" w:rsidRDefault="007E7140" w:rsidP="00E154E0">
      <w:pPr>
        <w:rPr>
          <w:rFonts w:eastAsia="MS Mincho"/>
          <w:lang w:eastAsia="ja-JP"/>
        </w:rPr>
      </w:pPr>
    </w:p>
    <w:p w14:paraId="4A0A8BD7" w14:textId="0102DAB2" w:rsidR="007E7140" w:rsidRPr="00284E38" w:rsidRDefault="007E7140" w:rsidP="007E7140">
      <w:pPr>
        <w:rPr>
          <w:rFonts w:eastAsia="MS Mincho"/>
          <w:lang w:eastAsia="ja-JP"/>
        </w:rPr>
      </w:pPr>
      <w:r w:rsidRPr="00284E38">
        <w:rPr>
          <w:rFonts w:eastAsia="MS Mincho"/>
          <w:lang w:eastAsia="ja-JP"/>
        </w:rPr>
        <w:t xml:space="preserve">Similar analysis was performed on the PSWQ outcome. </w:t>
      </w:r>
      <w:r w:rsidR="0051764E" w:rsidRPr="00284E38">
        <w:rPr>
          <w:rFonts w:eastAsia="MS Mincho"/>
          <w:lang w:eastAsia="ja-JP"/>
        </w:rPr>
        <w:t xml:space="preserve">The ranking of active interventions in terms of median PSWQ score decrease vs no intervention (NI) was unaltered, although higher score decreases were estimated. </w:t>
      </w:r>
      <w:r w:rsidRPr="00284E38">
        <w:rPr>
          <w:rFonts w:eastAsia="MS Mincho"/>
          <w:lang w:eastAsia="ja-JP"/>
        </w:rPr>
        <w:t xml:space="preserve">Comparing the direction and magnitude of differences in median scores at follow-up between GAD-7 and PSWQ results (where available for both), we make three observations (Appendix </w:t>
      </w:r>
      <w:r w:rsidR="00CD6A5B" w:rsidRPr="00284E38">
        <w:rPr>
          <w:rFonts w:eastAsia="MS Mincho"/>
          <w:lang w:eastAsia="ja-JP"/>
        </w:rPr>
        <w:t>K</w:t>
      </w:r>
      <w:r w:rsidRPr="00284E38">
        <w:rPr>
          <w:rFonts w:eastAsia="MS Mincho"/>
          <w:lang w:eastAsia="ja-JP"/>
        </w:rPr>
        <w:t xml:space="preserve">). First, the difference in GAD-7 median scores at follow-up between medication and DIs is the largest across all comparators and favours medication. Second, there were no data available for comparisons between DIs and individual therapy, either face-to-face or by telephone, or between DIs and manualised guided self-help (which is the non-digital counterpart of most DIs). Third, the direction of effect favoured SDIs for GAD-7 and UDIs for PSWQ. </w:t>
      </w:r>
    </w:p>
    <w:p w14:paraId="464FEA6F" w14:textId="03589F66" w:rsidR="007E7140" w:rsidRPr="00284E38" w:rsidRDefault="007E7140" w:rsidP="007E7140">
      <w:pPr>
        <w:rPr>
          <w:rFonts w:eastAsia="MS Mincho"/>
          <w:lang w:eastAsia="ja-JP"/>
        </w:rPr>
      </w:pPr>
    </w:p>
    <w:p w14:paraId="54681B6A" w14:textId="77777777" w:rsidR="007E7140" w:rsidRPr="00284E38" w:rsidRDefault="007E7140" w:rsidP="007E7140">
      <w:pPr>
        <w:rPr>
          <w:rFonts w:eastAsia="MS Mincho"/>
          <w:lang w:eastAsia="ja-JP"/>
        </w:rPr>
      </w:pPr>
    </w:p>
    <w:p w14:paraId="02079A5D" w14:textId="09985B97" w:rsidR="009E0937" w:rsidRPr="00284E38" w:rsidRDefault="008E38C6" w:rsidP="00C6001C">
      <w:pPr>
        <w:pStyle w:val="Heading1"/>
        <w:numPr>
          <w:ilvl w:val="0"/>
          <w:numId w:val="47"/>
        </w:numPr>
        <w:spacing w:before="0"/>
        <w:ind w:left="284" w:hanging="284"/>
        <w:rPr>
          <w:rFonts w:eastAsia="MS Mincho"/>
          <w:sz w:val="24"/>
          <w:szCs w:val="24"/>
          <w:lang w:eastAsia="ja-JP"/>
        </w:rPr>
      </w:pPr>
      <w:r w:rsidRPr="00284E38">
        <w:rPr>
          <w:rFonts w:eastAsia="MS Mincho"/>
          <w:sz w:val="24"/>
          <w:szCs w:val="24"/>
          <w:lang w:eastAsia="ja-JP"/>
        </w:rPr>
        <w:t>DISCUSSION</w:t>
      </w:r>
    </w:p>
    <w:p w14:paraId="20AB093B" w14:textId="77777777" w:rsidR="008E38C6" w:rsidRPr="00284E38" w:rsidRDefault="008E38C6" w:rsidP="00E154E0"/>
    <w:p w14:paraId="6ADE0F4E" w14:textId="5CE22FF3" w:rsidR="008361D8" w:rsidRPr="00284E38" w:rsidRDefault="008361D8" w:rsidP="003F1C8D">
      <w:pPr>
        <w:rPr>
          <w:b/>
          <w:bCs/>
        </w:rPr>
      </w:pPr>
      <w:r w:rsidRPr="00284E38">
        <w:rPr>
          <w:b/>
          <w:bCs/>
        </w:rPr>
        <w:t>4.</w:t>
      </w:r>
      <w:r w:rsidR="00D56899" w:rsidRPr="00284E38">
        <w:rPr>
          <w:b/>
          <w:bCs/>
        </w:rPr>
        <w:t>1.</w:t>
      </w:r>
      <w:r w:rsidRPr="00284E38">
        <w:rPr>
          <w:b/>
          <w:bCs/>
        </w:rPr>
        <w:t xml:space="preserve"> Summary and interpretation</w:t>
      </w:r>
    </w:p>
    <w:p w14:paraId="315FC994" w14:textId="77777777" w:rsidR="008361D8" w:rsidRPr="00284E38" w:rsidRDefault="008361D8" w:rsidP="003F1C8D"/>
    <w:p w14:paraId="65E3A0EF" w14:textId="68484CBB" w:rsidR="00B10ADA" w:rsidRPr="00284E38" w:rsidRDefault="006A100C" w:rsidP="00E154E0">
      <w:r w:rsidRPr="00284E38">
        <w:t>Our</w:t>
      </w:r>
      <w:r w:rsidR="002D2B2B" w:rsidRPr="00284E38">
        <w:t xml:space="preserve"> </w:t>
      </w:r>
      <w:r w:rsidR="008324BA" w:rsidRPr="00284E38">
        <w:t xml:space="preserve">systematic review retrieved 21 </w:t>
      </w:r>
      <w:r w:rsidR="004F30BC" w:rsidRPr="00284E38">
        <w:t xml:space="preserve">RCTs </w:t>
      </w:r>
      <w:r w:rsidR="003C25AA" w:rsidRPr="00284E38">
        <w:t>of</w:t>
      </w:r>
      <w:r w:rsidR="002D2B2B" w:rsidRPr="00284E38">
        <w:t xml:space="preserve"> </w:t>
      </w:r>
      <w:r w:rsidR="001D40AA" w:rsidRPr="00284E38">
        <w:t>DIs or alternative pathway</w:t>
      </w:r>
      <w:r w:rsidR="004F30BC" w:rsidRPr="00284E38">
        <w:t>s</w:t>
      </w:r>
      <w:r w:rsidR="001D40AA" w:rsidRPr="00284E38">
        <w:t xml:space="preserve"> of care</w:t>
      </w:r>
      <w:r w:rsidR="00E63024" w:rsidRPr="00284E38">
        <w:t>, including no intervention</w:t>
      </w:r>
      <w:r w:rsidR="003C25AA" w:rsidRPr="00284E38">
        <w:t>, for GAD</w:t>
      </w:r>
      <w:r w:rsidR="002D2B2B" w:rsidRPr="00284E38">
        <w:t xml:space="preserve">. </w:t>
      </w:r>
      <w:r w:rsidR="00E63024" w:rsidRPr="00284E38">
        <w:t>Compar</w:t>
      </w:r>
      <w:r w:rsidR="003C25AA" w:rsidRPr="00284E38">
        <w:t xml:space="preserve">ators included in </w:t>
      </w:r>
      <w:r w:rsidR="004F30BC" w:rsidRPr="00284E38">
        <w:t xml:space="preserve">the studies </w:t>
      </w:r>
      <w:r w:rsidR="003F1C8D" w:rsidRPr="00284E38">
        <w:t>varied</w:t>
      </w:r>
      <w:r w:rsidR="003C25AA" w:rsidRPr="00284E38">
        <w:t xml:space="preserve">. Specifically, </w:t>
      </w:r>
      <w:r w:rsidR="00B603DB" w:rsidRPr="00284E38">
        <w:t>intervention</w:t>
      </w:r>
      <w:r w:rsidR="003C25AA" w:rsidRPr="00284E38">
        <w:t>s</w:t>
      </w:r>
      <w:r w:rsidR="00E63024" w:rsidRPr="00284E38">
        <w:t xml:space="preserve"> or </w:t>
      </w:r>
      <w:r w:rsidR="00B603DB" w:rsidRPr="00284E38">
        <w:t>control</w:t>
      </w:r>
      <w:r w:rsidR="003C25AA" w:rsidRPr="00284E38">
        <w:t xml:space="preserve">s could be </w:t>
      </w:r>
      <w:r w:rsidR="00B603DB" w:rsidRPr="00284E38">
        <w:t>digital</w:t>
      </w:r>
      <w:r w:rsidR="00E63024" w:rsidRPr="00284E38">
        <w:t xml:space="preserve"> or </w:t>
      </w:r>
      <w:r w:rsidR="00B603DB" w:rsidRPr="00284E38">
        <w:t>non-digital and supported</w:t>
      </w:r>
      <w:r w:rsidR="00E63024" w:rsidRPr="00284E38">
        <w:t xml:space="preserve"> or </w:t>
      </w:r>
      <w:r w:rsidR="00B603DB" w:rsidRPr="00284E38">
        <w:t>unsupported</w:t>
      </w:r>
      <w:r w:rsidR="00E202EF" w:rsidRPr="00284E38">
        <w:t xml:space="preserve"> by </w:t>
      </w:r>
      <w:r w:rsidR="004C6CE8" w:rsidRPr="00284E38">
        <w:t>clinicians or lay people</w:t>
      </w:r>
      <w:r w:rsidR="003C25AA" w:rsidRPr="00284E38">
        <w:t>. T</w:t>
      </w:r>
      <w:r w:rsidR="002F6C96" w:rsidRPr="00284E38">
        <w:t xml:space="preserve">he majority of comparisons were between supported </w:t>
      </w:r>
      <w:r w:rsidR="00850868" w:rsidRPr="00284E38">
        <w:t>digital interventions</w:t>
      </w:r>
      <w:r w:rsidR="002F6C96" w:rsidRPr="00284E38">
        <w:t xml:space="preserve"> and no intervention</w:t>
      </w:r>
      <w:r w:rsidR="003F1C8D" w:rsidRPr="00284E38">
        <w:t>.</w:t>
      </w:r>
      <w:r w:rsidR="00B603DB" w:rsidRPr="00284E38">
        <w:t xml:space="preserve"> </w:t>
      </w:r>
      <w:r w:rsidR="004C6CE8" w:rsidRPr="00284E38">
        <w:t xml:space="preserve">Using an ANCOVA framework, our </w:t>
      </w:r>
      <w:r w:rsidR="004F30BC" w:rsidRPr="00284E38">
        <w:t xml:space="preserve">main </w:t>
      </w:r>
      <w:r w:rsidR="004C6CE8" w:rsidRPr="00284E38">
        <w:t xml:space="preserve">NMA </w:t>
      </w:r>
      <w:r w:rsidR="004F30BC" w:rsidRPr="00284E38">
        <w:t xml:space="preserve">on GAD-7 </w:t>
      </w:r>
      <w:r w:rsidR="004C6CE8" w:rsidRPr="00284E38">
        <w:t>pooled together post-treatment scores - adjusted for baseline. In addition, the existence of treatment effect modifiers was assessed, several sensitivity analyses were carried out and network consistency evaluated.</w:t>
      </w:r>
      <w:r w:rsidR="004F30BC" w:rsidRPr="00284E38">
        <w:t xml:space="preserve"> NMA on the PSWQ outcome was also performed.</w:t>
      </w:r>
    </w:p>
    <w:p w14:paraId="36BBEC95" w14:textId="77777777" w:rsidR="004C6CE8" w:rsidRPr="00284E38" w:rsidRDefault="004C6CE8" w:rsidP="00E154E0"/>
    <w:p w14:paraId="798AF2DC" w14:textId="23C7E6C5" w:rsidR="002F6C96" w:rsidRPr="00284E38" w:rsidRDefault="00510127" w:rsidP="002F6C96">
      <w:r w:rsidRPr="00284E38">
        <w:t>Our NMA results suggest</w:t>
      </w:r>
      <w:r w:rsidR="00192AA6" w:rsidRPr="00284E38">
        <w:t xml:space="preserve"> that m</w:t>
      </w:r>
      <w:r w:rsidR="001B27D0" w:rsidRPr="00284E38">
        <w:t xml:space="preserve">edication </w:t>
      </w:r>
      <w:r w:rsidRPr="00284E38">
        <w:t>is associated with lower anxiety scores at follow-up</w:t>
      </w:r>
      <w:r w:rsidR="00192AA6" w:rsidRPr="00284E38">
        <w:t xml:space="preserve"> relative to all </w:t>
      </w:r>
      <w:r w:rsidRPr="00284E38">
        <w:t xml:space="preserve">other </w:t>
      </w:r>
      <w:r w:rsidR="00192AA6" w:rsidRPr="00284E38">
        <w:t>interventions and controls</w:t>
      </w:r>
      <w:r w:rsidRPr="00284E38">
        <w:t xml:space="preserve">. </w:t>
      </w:r>
      <w:r w:rsidR="004C6CE8" w:rsidRPr="00284E38">
        <w:t xml:space="preserve">Medication also ranks first in terms of its likelihood of being most effective, which considers the uncertainty in relative effect estimates. Medication results are </w:t>
      </w:r>
      <w:r w:rsidR="00B50A24" w:rsidRPr="00284E38">
        <w:t>based</w:t>
      </w:r>
      <w:r w:rsidR="004C6CE8" w:rsidRPr="00284E38">
        <w:t xml:space="preserve"> </w:t>
      </w:r>
      <w:r w:rsidR="00920F37" w:rsidRPr="00284E38">
        <w:t>on</w:t>
      </w:r>
      <w:r w:rsidR="003C25AA" w:rsidRPr="00284E38">
        <w:t xml:space="preserve"> </w:t>
      </w:r>
      <w:r w:rsidR="004C6CE8" w:rsidRPr="00284E38">
        <w:t xml:space="preserve">data from one study. </w:t>
      </w:r>
      <w:r w:rsidR="002F6C96" w:rsidRPr="00284E38">
        <w:t xml:space="preserve">Antidepressant medication as a treatment for GAD is supported by clinical guidelines </w:t>
      </w:r>
      <w:r w:rsidR="002F6C96" w:rsidRPr="00284E38">
        <w:rPr>
          <w:rFonts w:eastAsia="MS Mincho"/>
          <w:noProof/>
          <w:lang w:eastAsia="ja-JP"/>
        </w:rPr>
        <w:t>(</w:t>
      </w:r>
      <w:hyperlink w:anchor="_ENREF_43" w:tooltip="National Institute for Health and Clinical Excellence, 2011 #1012" w:history="1">
        <w:r w:rsidR="002F6C96" w:rsidRPr="00284E38">
          <w:rPr>
            <w:rFonts w:eastAsia="MS Mincho"/>
            <w:noProof/>
            <w:lang w:eastAsia="ja-JP"/>
          </w:rPr>
          <w:t>National Institute for Health and Clinical Excellence, 2011</w:t>
        </w:r>
      </w:hyperlink>
      <w:r w:rsidR="002F6C96" w:rsidRPr="00284E38">
        <w:rPr>
          <w:rFonts w:eastAsia="MS Mincho"/>
          <w:noProof/>
          <w:lang w:eastAsia="ja-JP"/>
        </w:rPr>
        <w:t>)</w:t>
      </w:r>
      <w:r w:rsidR="002F6C96" w:rsidRPr="00284E38">
        <w:rPr>
          <w:rFonts w:eastAsia="MS Mincho"/>
          <w:lang w:eastAsia="ja-JP"/>
        </w:rPr>
        <w:t xml:space="preserve"> </w:t>
      </w:r>
      <w:r w:rsidR="002F6C96" w:rsidRPr="00284E38">
        <w:t xml:space="preserve">and previous evidence syntheses. A large NMA </w:t>
      </w:r>
      <w:r w:rsidR="002F6C96" w:rsidRPr="00284E38">
        <w:rPr>
          <w:noProof/>
        </w:rPr>
        <w:t>(</w:t>
      </w:r>
      <w:hyperlink w:anchor="_ENREF_55" w:tooltip="Slee, 2019 #1009" w:history="1">
        <w:r w:rsidR="002F6C96" w:rsidRPr="00284E38">
          <w:rPr>
            <w:noProof/>
          </w:rPr>
          <w:t>Slee et al., 2019</w:t>
        </w:r>
      </w:hyperlink>
      <w:r w:rsidR="002F6C96" w:rsidRPr="00284E38">
        <w:rPr>
          <w:noProof/>
        </w:rPr>
        <w:t>)</w:t>
      </w:r>
      <w:r w:rsidR="002F6C96" w:rsidRPr="00284E38">
        <w:t xml:space="preserve"> of medication against placebo for GAD found that Sertaline (the same antidepressant used in the study by Christensen and colleagues included in our NMA) improved HAM-A scores by a mean difference of –2·88 (CrI –4·17 to –1·59) from baseline compared to a placebo based on 6 trials. Another meta-analysis </w:t>
      </w:r>
      <w:r w:rsidR="00800AA0" w:rsidRPr="00284E38">
        <w:t xml:space="preserve">involving a mixed population </w:t>
      </w:r>
      <w:r w:rsidR="002F6C96" w:rsidRPr="00284E38">
        <w:rPr>
          <w:noProof/>
        </w:rPr>
        <w:t>(</w:t>
      </w:r>
      <w:hyperlink w:anchor="_ENREF_14" w:tooltip="Cuijpers, 2014 #1013" w:history="1">
        <w:r w:rsidR="002F6C96" w:rsidRPr="00284E38">
          <w:rPr>
            <w:noProof/>
          </w:rPr>
          <w:t>Cuijpers et al., 2014</w:t>
        </w:r>
      </w:hyperlink>
      <w:r w:rsidR="002F6C96" w:rsidRPr="00284E38">
        <w:rPr>
          <w:noProof/>
        </w:rPr>
        <w:t>)</w:t>
      </w:r>
      <w:r w:rsidR="002F6C96" w:rsidRPr="00284E38">
        <w:t xml:space="preserve"> favoured a combined treatment of psychological therapy and medication for all </w:t>
      </w:r>
      <w:r w:rsidR="00800AA0" w:rsidRPr="00284E38">
        <w:t xml:space="preserve">depressive and </w:t>
      </w:r>
      <w:r w:rsidR="002F6C96" w:rsidRPr="00284E38">
        <w:t xml:space="preserve">anxiety disorders, except GAD, where the direction of effect favoured antidepressant medication (Venlafaxine) alone. </w:t>
      </w:r>
    </w:p>
    <w:p w14:paraId="4188DD9F" w14:textId="77777777" w:rsidR="002F6C96" w:rsidRPr="00284E38" w:rsidRDefault="002F6C96" w:rsidP="00483665"/>
    <w:p w14:paraId="324AFDCE" w14:textId="464AC570" w:rsidR="00F95069" w:rsidRPr="00284E38" w:rsidRDefault="00F95069" w:rsidP="00F95069">
      <w:r w:rsidRPr="00284E38">
        <w:t xml:space="preserve">Previous reviews of DIs </w:t>
      </w:r>
      <w:r w:rsidR="00850868" w:rsidRPr="00284E38">
        <w:t xml:space="preserve">that </w:t>
      </w:r>
      <w:r w:rsidRPr="00284E38">
        <w:t xml:space="preserve">reported GAD-related outcomes </w:t>
      </w:r>
      <w:r w:rsidRPr="00284E38">
        <w:rPr>
          <w:noProof/>
        </w:rPr>
        <w:t>(</w:t>
      </w:r>
      <w:hyperlink w:anchor="_ENREF_14" w:tooltip="Cuijpers, 2014 #1013" w:history="1">
        <w:r w:rsidRPr="00284E38">
          <w:rPr>
            <w:noProof/>
          </w:rPr>
          <w:t>Cuijpers et al., 2014</w:t>
        </w:r>
      </w:hyperlink>
      <w:r w:rsidRPr="00284E38">
        <w:rPr>
          <w:noProof/>
        </w:rPr>
        <w:t xml:space="preserve">; </w:t>
      </w:r>
      <w:hyperlink w:anchor="_ENREF_50" w:tooltip="Richards, 2015 #1014" w:history="1">
        <w:r w:rsidRPr="00284E38">
          <w:rPr>
            <w:noProof/>
          </w:rPr>
          <w:t>Richards, Richardson, Timulak, &amp; McElvaney, 2015</w:t>
        </w:r>
      </w:hyperlink>
      <w:r w:rsidRPr="00284E38">
        <w:rPr>
          <w:noProof/>
        </w:rPr>
        <w:t>)</w:t>
      </w:r>
      <w:r w:rsidR="00850868" w:rsidRPr="00284E38">
        <w:t xml:space="preserve"> </w:t>
      </w:r>
      <w:r w:rsidRPr="00284E38">
        <w:t>used mixed samples of anxiety disorders and depression, without reportin</w:t>
      </w:r>
      <w:r w:rsidR="008F5A2D" w:rsidRPr="00284E38">
        <w:t>g outcomes separate for GAD sub</w:t>
      </w:r>
      <w:r w:rsidRPr="00284E38">
        <w:t>groups. There are no RCTs with GAD populations comparing DIs with non-digital self-help</w:t>
      </w:r>
      <w:r w:rsidR="00FF531E" w:rsidRPr="00284E38">
        <w:t xml:space="preserve"> interventions</w:t>
      </w:r>
      <w:r w:rsidRPr="00284E38">
        <w:t xml:space="preserve"> based on a manual rather tha</w:t>
      </w:r>
      <w:r w:rsidR="005574C8" w:rsidRPr="00284E38">
        <w:t>n</w:t>
      </w:r>
      <w:r w:rsidRPr="00284E38">
        <w:t xml:space="preserve"> a web-based program. Also, no RCTs compare DIs </w:t>
      </w:r>
      <w:r w:rsidR="00A534C1" w:rsidRPr="00284E38">
        <w:t>with</w:t>
      </w:r>
      <w:r w:rsidRPr="00284E38">
        <w:t xml:space="preserve"> individual therapy</w:t>
      </w:r>
      <w:r w:rsidR="005574C8" w:rsidRPr="00284E38">
        <w:t xml:space="preserve"> for GAD</w:t>
      </w:r>
      <w:r w:rsidRPr="00284E38">
        <w:t>, either face-to-face or by telephone</w:t>
      </w:r>
      <w:r w:rsidR="005574C8" w:rsidRPr="00284E38">
        <w:t>;</w:t>
      </w:r>
      <w:r w:rsidR="0005114B" w:rsidRPr="00284E38">
        <w:t xml:space="preserve"> the only available comparisons in the literature </w:t>
      </w:r>
      <w:r w:rsidR="00386044" w:rsidRPr="00284E38">
        <w:t>are</w:t>
      </w:r>
      <w:r w:rsidR="0005114B" w:rsidRPr="00284E38">
        <w:t xml:space="preserve"> between DIs and group </w:t>
      </w:r>
      <w:r w:rsidR="00386044" w:rsidRPr="00284E38">
        <w:t>therapy</w:t>
      </w:r>
      <w:r w:rsidRPr="00284E38">
        <w:t xml:space="preserve">. </w:t>
      </w:r>
    </w:p>
    <w:p w14:paraId="0D02BA3A" w14:textId="5E8AD26A" w:rsidR="00F95069" w:rsidRPr="00284E38" w:rsidRDefault="00F95069" w:rsidP="00F95069"/>
    <w:p w14:paraId="5BF883E9" w14:textId="3CC86BAA" w:rsidR="002F6C96" w:rsidRPr="00284E38" w:rsidRDefault="00E202EF" w:rsidP="00483665">
      <w:r w:rsidRPr="00284E38">
        <w:t xml:space="preserve">Due to very wide confidence intervals, </w:t>
      </w:r>
      <w:r w:rsidR="000B5D0F" w:rsidRPr="00284E38">
        <w:t xml:space="preserve">our </w:t>
      </w:r>
      <w:r w:rsidRPr="00284E38">
        <w:t>NMA results were inconclusive as to whether DIs</w:t>
      </w:r>
      <w:r w:rsidR="00F95069" w:rsidRPr="00284E38">
        <w:t xml:space="preserve"> for GAD</w:t>
      </w:r>
      <w:r w:rsidRPr="00284E38">
        <w:t xml:space="preserve"> </w:t>
      </w:r>
      <w:r w:rsidR="005574C8" w:rsidRPr="00284E38">
        <w:t>were</w:t>
      </w:r>
      <w:r w:rsidRPr="00284E38">
        <w:t xml:space="preserve"> better than no intervention </w:t>
      </w:r>
      <w:r w:rsidR="005574C8" w:rsidRPr="00284E38">
        <w:t>or</w:t>
      </w:r>
      <w:r w:rsidRPr="00284E38">
        <w:t xml:space="preserve"> non-therapeutic active controls, or whether they confer an additional benefit to standard therapy. </w:t>
      </w:r>
      <w:r w:rsidR="00F95069" w:rsidRPr="00284E38">
        <w:t xml:space="preserve">Previous meta-analyses </w:t>
      </w:r>
      <w:r w:rsidR="005574C8" w:rsidRPr="00284E38">
        <w:t xml:space="preserve">have </w:t>
      </w:r>
      <w:r w:rsidR="00F95069" w:rsidRPr="00284E38">
        <w:t>suggested that supported DIs could be as good as face-to-face therapy across depression</w:t>
      </w:r>
      <w:r w:rsidR="00E77656" w:rsidRPr="00284E38">
        <w:t xml:space="preserve">, </w:t>
      </w:r>
      <w:r w:rsidR="00F95069" w:rsidRPr="00284E38">
        <w:t xml:space="preserve">anxiety </w:t>
      </w:r>
      <w:r w:rsidR="00E77656" w:rsidRPr="00284E38">
        <w:t>and somatic disorders</w:t>
      </w:r>
      <w:r w:rsidR="00F95069" w:rsidRPr="00284E38">
        <w:t xml:space="preserve"> </w:t>
      </w:r>
      <w:r w:rsidR="00F95069" w:rsidRPr="00284E38">
        <w:rPr>
          <w:noProof/>
        </w:rPr>
        <w:t>(</w:t>
      </w:r>
      <w:hyperlink w:anchor="_ENREF_13" w:tooltip="Cuijpers, 2010 #253" w:history="1">
        <w:r w:rsidR="00F95069" w:rsidRPr="00284E38">
          <w:rPr>
            <w:noProof/>
          </w:rPr>
          <w:t>Cuijpers, Donker, van Straten, Li, &amp; Andersson, 2010</w:t>
        </w:r>
      </w:hyperlink>
      <w:r w:rsidR="00E77656" w:rsidRPr="00284E38">
        <w:rPr>
          <w:noProof/>
        </w:rPr>
        <w:t>; Carlbring et al 2018</w:t>
      </w:r>
      <w:r w:rsidR="00F95069" w:rsidRPr="00284E38">
        <w:rPr>
          <w:noProof/>
        </w:rPr>
        <w:t>)</w:t>
      </w:r>
      <w:r w:rsidR="00F95069" w:rsidRPr="00284E38">
        <w:t>.</w:t>
      </w:r>
      <w:r w:rsidR="0005114B" w:rsidRPr="00284E38">
        <w:t xml:space="preserve"> </w:t>
      </w:r>
      <w:r w:rsidR="005574C8" w:rsidRPr="00284E38">
        <w:t>However</w:t>
      </w:r>
      <w:r w:rsidR="0005114B" w:rsidRPr="00284E38">
        <w:t xml:space="preserve">, the mixed samples in these meta-analyses without separate </w:t>
      </w:r>
      <w:r w:rsidR="006D2562" w:rsidRPr="00284E38">
        <w:t>analysis or reporting for</w:t>
      </w:r>
      <w:r w:rsidR="0005114B" w:rsidRPr="00284E38">
        <w:t xml:space="preserve"> GAD sub-samples </w:t>
      </w:r>
      <w:r w:rsidR="006D2562" w:rsidRPr="00284E38">
        <w:t>does not allow any conclusions</w:t>
      </w:r>
      <w:r w:rsidR="0005114B" w:rsidRPr="00284E38">
        <w:t xml:space="preserve"> about </w:t>
      </w:r>
      <w:r w:rsidR="00386044" w:rsidRPr="00284E38">
        <w:t xml:space="preserve">the relative efficacy of </w:t>
      </w:r>
      <w:r w:rsidR="0005114B" w:rsidRPr="00284E38">
        <w:t xml:space="preserve">DIs </w:t>
      </w:r>
      <w:r w:rsidR="006D2562" w:rsidRPr="00284E38">
        <w:t>specific to the treatment and prevention of</w:t>
      </w:r>
      <w:r w:rsidR="0005114B" w:rsidRPr="00284E38">
        <w:t xml:space="preserve"> GAD.</w:t>
      </w:r>
    </w:p>
    <w:p w14:paraId="7E0899FC" w14:textId="77777777" w:rsidR="002F6C96" w:rsidRPr="00284E38" w:rsidRDefault="002F6C96" w:rsidP="00483665"/>
    <w:p w14:paraId="1D37D9E7" w14:textId="4A181DD0" w:rsidR="00B82C58" w:rsidRPr="00284E38" w:rsidRDefault="003C25AA" w:rsidP="00483665">
      <w:r w:rsidRPr="00284E38">
        <w:t xml:space="preserve">The </w:t>
      </w:r>
      <w:r w:rsidR="002F6C96" w:rsidRPr="00284E38">
        <w:t>r</w:t>
      </w:r>
      <w:r w:rsidR="00E202EF" w:rsidRPr="00284E38">
        <w:t xml:space="preserve">esults </w:t>
      </w:r>
      <w:r w:rsidRPr="00284E38">
        <w:t>for</w:t>
      </w:r>
      <w:r w:rsidR="00E202EF" w:rsidRPr="00284E38">
        <w:t xml:space="preserve"> supported vs unsupported DIs for GAD were </w:t>
      </w:r>
      <w:r w:rsidR="00803BF5" w:rsidRPr="00284E38">
        <w:t>counterintuitive</w:t>
      </w:r>
      <w:r w:rsidRPr="00284E38">
        <w:t>,</w:t>
      </w:r>
      <w:r w:rsidR="00803BF5" w:rsidRPr="00284E38">
        <w:t xml:space="preserve"> as we would expect supported DIs to rank higher in terms of </w:t>
      </w:r>
      <w:r w:rsidRPr="00284E38">
        <w:t xml:space="preserve">the </w:t>
      </w:r>
      <w:r w:rsidR="00803BF5" w:rsidRPr="00284E38">
        <w:t>likelihood of being ‘best’, based on a previous meta-analysis in which supported DIs were found</w:t>
      </w:r>
      <w:r w:rsidR="00D979BF" w:rsidRPr="00284E38">
        <w:t xml:space="preserve"> to be</w:t>
      </w:r>
      <w:r w:rsidR="00803BF5" w:rsidRPr="00284E38">
        <w:t xml:space="preserve"> four times </w:t>
      </w:r>
      <w:r w:rsidRPr="00284E38">
        <w:t xml:space="preserve">more likely </w:t>
      </w:r>
      <w:r w:rsidR="00803BF5" w:rsidRPr="00284E38">
        <w:t>to be effective compared to those without any therapist contact (Spek et al., 2007)</w:t>
      </w:r>
      <w:r w:rsidR="00E202EF" w:rsidRPr="00284E38">
        <w:t xml:space="preserve">. </w:t>
      </w:r>
      <w:r w:rsidR="009C0997" w:rsidRPr="00284E38">
        <w:t>We found that unsupported DIs rank higher tha</w:t>
      </w:r>
      <w:r w:rsidRPr="00284E38">
        <w:t>n</w:t>
      </w:r>
      <w:r w:rsidR="009C0997" w:rsidRPr="00284E38">
        <w:t xml:space="preserve"> supported DIs in terms of </w:t>
      </w:r>
      <w:r w:rsidR="00151A7E" w:rsidRPr="00284E38">
        <w:t xml:space="preserve">the probability of </w:t>
      </w:r>
      <w:r w:rsidR="009C0997" w:rsidRPr="00284E38">
        <w:t xml:space="preserve">being best, but vice versa </w:t>
      </w:r>
      <w:r w:rsidR="00151A7E" w:rsidRPr="00284E38">
        <w:t>when considering</w:t>
      </w:r>
      <w:r w:rsidR="009C0997" w:rsidRPr="00284E38">
        <w:t xml:space="preserve"> all rankings (SUCRAs). </w:t>
      </w:r>
      <w:r w:rsidR="00803BF5" w:rsidRPr="00284E38">
        <w:t>This is consistent with a recent review (Shim et al 2017) that reported mixed findings regarding guided versus unguided DIs and human versus automated support for DIs.</w:t>
      </w:r>
      <w:r w:rsidR="00D9461F" w:rsidRPr="00284E38">
        <w:t xml:space="preserve"> This suggests that the design, content, technology platform or type of reinforcement offered in lieu of personal support in unsupported DIs may be</w:t>
      </w:r>
      <w:r w:rsidR="00D979BF" w:rsidRPr="00284E38">
        <w:t xml:space="preserve"> important </w:t>
      </w:r>
      <w:r w:rsidR="00D9461F" w:rsidRPr="00284E38">
        <w:t xml:space="preserve">and account for </w:t>
      </w:r>
      <w:r w:rsidR="00D979BF" w:rsidRPr="00284E38">
        <w:t xml:space="preserve">some of the </w:t>
      </w:r>
      <w:r w:rsidR="00D9461F" w:rsidRPr="00284E38">
        <w:t>variability in outcomes.</w:t>
      </w:r>
    </w:p>
    <w:p w14:paraId="478DC5B3" w14:textId="77777777" w:rsidR="003D795D" w:rsidRPr="00284E38" w:rsidRDefault="003D795D" w:rsidP="00E154E0"/>
    <w:p w14:paraId="1404F62D" w14:textId="3D8521FE" w:rsidR="008361D8" w:rsidRPr="00284E38" w:rsidRDefault="008361D8" w:rsidP="00E154E0">
      <w:pPr>
        <w:rPr>
          <w:b/>
          <w:bCs/>
        </w:rPr>
      </w:pPr>
      <w:r w:rsidRPr="00284E38">
        <w:rPr>
          <w:b/>
          <w:bCs/>
        </w:rPr>
        <w:t>4.</w:t>
      </w:r>
      <w:r w:rsidR="00A16920" w:rsidRPr="00284E38">
        <w:rPr>
          <w:b/>
          <w:bCs/>
        </w:rPr>
        <w:t>2</w:t>
      </w:r>
      <w:r w:rsidRPr="00284E38">
        <w:rPr>
          <w:b/>
          <w:bCs/>
        </w:rPr>
        <w:t xml:space="preserve">. </w:t>
      </w:r>
      <w:r w:rsidR="004C56D0">
        <w:rPr>
          <w:b/>
          <w:bCs/>
        </w:rPr>
        <w:t>Strengths and l</w:t>
      </w:r>
      <w:r w:rsidR="004C56D0" w:rsidRPr="00284E38">
        <w:rPr>
          <w:b/>
          <w:bCs/>
        </w:rPr>
        <w:t>imitations</w:t>
      </w:r>
    </w:p>
    <w:p w14:paraId="70C107BC" w14:textId="77777777" w:rsidR="008361D8" w:rsidRPr="00284E38" w:rsidRDefault="008361D8" w:rsidP="00E154E0">
      <w:pPr>
        <w:rPr>
          <w:b/>
          <w:bCs/>
        </w:rPr>
      </w:pPr>
    </w:p>
    <w:p w14:paraId="79830ED4" w14:textId="0F9AD2EC" w:rsidR="004C56D0" w:rsidRDefault="00B32645" w:rsidP="0025172F">
      <w:r>
        <w:t xml:space="preserve">To our knowledge this is the first ANCOVA NMA model to synthesise evidence </w:t>
      </w:r>
      <w:r w:rsidR="00715539">
        <w:t xml:space="preserve">on two widely used outcomes </w:t>
      </w:r>
      <w:r>
        <w:t xml:space="preserve">for GAD. </w:t>
      </w:r>
      <w:r w:rsidR="004C56D0" w:rsidRPr="00284E38">
        <w:t>Our NMA makes best use of all currently available RCT-based evidence on DIs for GAD. Despite the sparse and low-quality data, a statistical synthesis can still be useful for decision-makers in mental health (including healthcare professionals, providers and policy-makers, patients and their families, and the research community) who may be considering the use of DIs for GAD, so that they are properly informed about the current status of the evidence base, know which DIs have been shown to be more effective in reducing GAD and prioritise future research.</w:t>
      </w:r>
    </w:p>
    <w:p w14:paraId="5A6F9338" w14:textId="77777777" w:rsidR="004C56D0" w:rsidRPr="00543DB1" w:rsidRDefault="004C56D0" w:rsidP="0025172F"/>
    <w:p w14:paraId="6E60A0BE" w14:textId="309B8CA6" w:rsidR="0025172F" w:rsidRPr="00284E38" w:rsidRDefault="0025172F" w:rsidP="0025172F">
      <w:r w:rsidRPr="00284E38">
        <w:t>There was substantial uncertainty around effect estimates of DIs against alternatives for GAD-7. This is driven by the small number of studies informing most comparisons, the small sample</w:t>
      </w:r>
      <w:r w:rsidR="00D979BF" w:rsidRPr="00284E38">
        <w:t xml:space="preserve"> sizes</w:t>
      </w:r>
      <w:r w:rsidRPr="00284E38">
        <w:t xml:space="preserve"> </w:t>
      </w:r>
      <w:r w:rsidR="00D979BF" w:rsidRPr="00284E38">
        <w:t xml:space="preserve">used </w:t>
      </w:r>
      <w:r w:rsidRPr="00284E38">
        <w:t>in some of these studies and their high risk of bias</w:t>
      </w:r>
      <w:r w:rsidR="00D979BF" w:rsidRPr="00284E38">
        <w:t xml:space="preserve"> across the evidence base</w:t>
      </w:r>
      <w:r w:rsidRPr="00284E38">
        <w:t xml:space="preserve">, </w:t>
      </w:r>
      <w:r w:rsidR="00D979BF" w:rsidRPr="00284E38">
        <w:t xml:space="preserve">all </w:t>
      </w:r>
      <w:r w:rsidRPr="00284E38">
        <w:t>limiting our confidence in any observed differences in anxi</w:t>
      </w:r>
      <w:r w:rsidR="00D979BF" w:rsidRPr="00284E38">
        <w:t>ety scores between intervention, comparators</w:t>
      </w:r>
      <w:r w:rsidRPr="00284E38">
        <w:t xml:space="preserve"> and control</w:t>
      </w:r>
      <w:r w:rsidR="00D979BF" w:rsidRPr="00284E38">
        <w:t xml:space="preserve"> arm</w:t>
      </w:r>
      <w:r w:rsidRPr="00284E38">
        <w:t xml:space="preserve">s. These observed differences may simply be due to chance; </w:t>
      </w:r>
      <w:r w:rsidR="00D979BF" w:rsidRPr="00284E38">
        <w:t xml:space="preserve">but in view of the current evidence base </w:t>
      </w:r>
      <w:r w:rsidRPr="00284E38">
        <w:t xml:space="preserve">we cannot make clear recommendations about the relative </w:t>
      </w:r>
      <w:r w:rsidR="00985991" w:rsidRPr="00284E38">
        <w:t xml:space="preserve">effectiveness </w:t>
      </w:r>
      <w:r w:rsidRPr="00284E38">
        <w:t>of DIs against their comparators</w:t>
      </w:r>
      <w:r w:rsidR="00D979BF" w:rsidRPr="00284E38">
        <w:t>.</w:t>
      </w:r>
    </w:p>
    <w:p w14:paraId="3503D073" w14:textId="77777777" w:rsidR="0025172F" w:rsidRPr="00284E38" w:rsidRDefault="0025172F" w:rsidP="00E154E0"/>
    <w:p w14:paraId="2EFF2410" w14:textId="618EEF24" w:rsidR="00A22EC5" w:rsidRPr="00284E38" w:rsidRDefault="002F648E" w:rsidP="00E154E0">
      <w:r w:rsidRPr="00284E38">
        <w:t xml:space="preserve">We have to </w:t>
      </w:r>
      <w:r w:rsidR="00D31716" w:rsidRPr="00284E38">
        <w:t xml:space="preserve">use </w:t>
      </w:r>
      <w:r w:rsidRPr="00284E38">
        <w:t xml:space="preserve">caution when interpreting the results of </w:t>
      </w:r>
      <w:r w:rsidR="00386959" w:rsidRPr="00284E38">
        <w:t xml:space="preserve">our NMA </w:t>
      </w:r>
      <w:r w:rsidR="00DA07F8" w:rsidRPr="00284E38">
        <w:t>across all different interventions for GAD. Our review</w:t>
      </w:r>
      <w:r w:rsidR="00386959" w:rsidRPr="00284E38">
        <w:t xml:space="preserve"> has been completed in the context of DIs</w:t>
      </w:r>
      <w:r w:rsidR="00D31716" w:rsidRPr="00284E38">
        <w:t>;</w:t>
      </w:r>
      <w:r w:rsidR="00386959" w:rsidRPr="00284E38">
        <w:t xml:space="preserve"> </w:t>
      </w:r>
      <w:r w:rsidRPr="00284E38">
        <w:t>it</w:t>
      </w:r>
      <w:r w:rsidR="001548CE" w:rsidRPr="00284E38">
        <w:t xml:space="preserve"> only included </w:t>
      </w:r>
      <w:r w:rsidR="00862220" w:rsidRPr="00284E38">
        <w:t>RCT</w:t>
      </w:r>
      <w:r w:rsidR="00752CB4" w:rsidRPr="00284E38">
        <w:t xml:space="preserve">s </w:t>
      </w:r>
      <w:r w:rsidR="00862220" w:rsidRPr="00284E38">
        <w:t>in which at least one of the randomisation arm</w:t>
      </w:r>
      <w:r w:rsidR="004B32B9">
        <w:t>s</w:t>
      </w:r>
      <w:r w:rsidR="00862220" w:rsidRPr="00284E38">
        <w:t xml:space="preserve"> was a DI.</w:t>
      </w:r>
      <w:r w:rsidR="00200E70" w:rsidRPr="00284E38">
        <w:t xml:space="preserve"> </w:t>
      </w:r>
      <w:r w:rsidR="00D31716" w:rsidRPr="00284E38">
        <w:t>Therefore,</w:t>
      </w:r>
      <w:r w:rsidR="00862220" w:rsidRPr="00284E38">
        <w:t xml:space="preserve"> we cannot draw any conclusions about the comparative merit of </w:t>
      </w:r>
      <w:r w:rsidRPr="00284E38">
        <w:t xml:space="preserve">non-digital </w:t>
      </w:r>
      <w:r w:rsidR="00862220" w:rsidRPr="00284E38">
        <w:t xml:space="preserve">interventions </w:t>
      </w:r>
      <w:r w:rsidR="00FF61F3" w:rsidRPr="00284E38">
        <w:t xml:space="preserve">(psychological or pharmacological) </w:t>
      </w:r>
      <w:r w:rsidRPr="00284E38">
        <w:t xml:space="preserve">for GAD </w:t>
      </w:r>
      <w:r w:rsidR="005D1AC6" w:rsidRPr="00284E38">
        <w:t xml:space="preserve">when these are considered separately to DIs </w:t>
      </w:r>
      <w:r w:rsidR="00862220" w:rsidRPr="00284E38">
        <w:t>(for example group CBT vs. medication)</w:t>
      </w:r>
      <w:r w:rsidR="005D1AC6" w:rsidRPr="00284E38">
        <w:t>.</w:t>
      </w:r>
      <w:r w:rsidR="00752CB4" w:rsidRPr="00284E38">
        <w:t xml:space="preserve"> </w:t>
      </w:r>
      <w:r w:rsidR="00200E70" w:rsidRPr="00284E38">
        <w:t>T</w:t>
      </w:r>
      <w:r w:rsidRPr="00284E38">
        <w:t>o be able to do this, we</w:t>
      </w:r>
      <w:r w:rsidR="00200E70" w:rsidRPr="00284E38">
        <w:t xml:space="preserve"> </w:t>
      </w:r>
      <w:r w:rsidR="00E65884" w:rsidRPr="00284E38">
        <w:t xml:space="preserve">would </w:t>
      </w:r>
      <w:r w:rsidRPr="00284E38">
        <w:t>need to</w:t>
      </w:r>
      <w:r w:rsidR="00E65884" w:rsidRPr="00284E38">
        <w:t xml:space="preserve"> include</w:t>
      </w:r>
      <w:r w:rsidR="004E1B7C" w:rsidRPr="00284E38">
        <w:t xml:space="preserve"> </w:t>
      </w:r>
      <w:r w:rsidR="00E65884" w:rsidRPr="00284E38">
        <w:t>RCTs in</w:t>
      </w:r>
      <w:r w:rsidR="004E1B7C" w:rsidRPr="00284E38">
        <w:t xml:space="preserve"> </w:t>
      </w:r>
      <w:r w:rsidR="00386959" w:rsidRPr="00284E38">
        <w:t>an</w:t>
      </w:r>
      <w:r w:rsidR="004E1B7C" w:rsidRPr="00284E38">
        <w:t xml:space="preserve"> NMA </w:t>
      </w:r>
      <w:r w:rsidR="00E65884" w:rsidRPr="00284E38">
        <w:t xml:space="preserve">that would enable </w:t>
      </w:r>
      <w:r w:rsidR="004E1B7C" w:rsidRPr="00284E38">
        <w:t>2</w:t>
      </w:r>
      <w:r w:rsidR="004E1B7C" w:rsidRPr="00284E38">
        <w:rPr>
          <w:vertAlign w:val="superscript"/>
        </w:rPr>
        <w:t>nd</w:t>
      </w:r>
      <w:r w:rsidR="004E1B7C" w:rsidRPr="00284E38">
        <w:t xml:space="preserve"> or 3</w:t>
      </w:r>
      <w:r w:rsidR="004E1B7C" w:rsidRPr="00284E38">
        <w:rPr>
          <w:vertAlign w:val="superscript"/>
        </w:rPr>
        <w:t>rd</w:t>
      </w:r>
      <w:r w:rsidR="004E1B7C" w:rsidRPr="00284E38">
        <w:t xml:space="preserve"> order </w:t>
      </w:r>
      <w:r w:rsidR="006A100C" w:rsidRPr="00284E38">
        <w:t xml:space="preserve">contrasts </w:t>
      </w:r>
      <w:r w:rsidR="004E1B7C" w:rsidRPr="00284E38">
        <w:t xml:space="preserve">(e.g. </w:t>
      </w:r>
      <w:r w:rsidR="00E65884" w:rsidRPr="00284E38">
        <w:t xml:space="preserve">RCTs </w:t>
      </w:r>
      <w:r w:rsidR="004E1B7C" w:rsidRPr="00284E38">
        <w:t>comparing no intervention and medication)</w:t>
      </w:r>
      <w:r w:rsidR="00E65884" w:rsidRPr="00284E38">
        <w:t>, which was beyond the scope of this review</w:t>
      </w:r>
      <w:r w:rsidR="004E1B7C" w:rsidRPr="00284E38">
        <w:t xml:space="preserve">. </w:t>
      </w:r>
      <w:r w:rsidR="008440E7" w:rsidRPr="00284E38">
        <w:t>Also, ranking based on likelihood of being best and on SUCRA</w:t>
      </w:r>
      <w:r w:rsidR="00FA6C87" w:rsidRPr="00284E38">
        <w:t>s</w:t>
      </w:r>
      <w:r w:rsidR="008440E7" w:rsidRPr="00284E38">
        <w:t xml:space="preserve"> does not reflect differences in effectiveness estimates between interventions and controls and credible intervals, </w:t>
      </w:r>
      <w:r w:rsidR="00D979BF" w:rsidRPr="00284E38">
        <w:t>that is</w:t>
      </w:r>
      <w:r w:rsidR="00284E38" w:rsidRPr="00284E38">
        <w:t>,</w:t>
      </w:r>
      <w:r w:rsidR="008440E7" w:rsidRPr="00284E38">
        <w:t xml:space="preserve"> we cannot tell whether the differences between ranking position (e.g. between 1st, 2nd, 3rd, 4th, etc) are clinically meaningful.</w:t>
      </w:r>
    </w:p>
    <w:p w14:paraId="50BD98B0" w14:textId="77777777" w:rsidR="00A22EC5" w:rsidRPr="00284E38" w:rsidRDefault="00A22EC5" w:rsidP="00E154E0"/>
    <w:p w14:paraId="6F89D462" w14:textId="4B740D13" w:rsidR="00C702A4" w:rsidRPr="00284E38" w:rsidRDefault="00BF0FE7" w:rsidP="00E154E0">
      <w:r w:rsidRPr="00284E38">
        <w:t>Another po</w:t>
      </w:r>
      <w:r w:rsidR="00386959" w:rsidRPr="00284E38">
        <w:t>int of caution, as with all evidence synthesis</w:t>
      </w:r>
      <w:r w:rsidR="00284E38" w:rsidRPr="00284E38">
        <w:t xml:space="preserve"> of complex interventions</w:t>
      </w:r>
      <w:r w:rsidR="00386959" w:rsidRPr="00284E38">
        <w:t xml:space="preserve">, is </w:t>
      </w:r>
      <w:r w:rsidR="00D979BF" w:rsidRPr="00284E38">
        <w:t xml:space="preserve">the </w:t>
      </w:r>
      <w:r w:rsidR="001F58D1" w:rsidRPr="00284E38">
        <w:t>pooling</w:t>
      </w:r>
      <w:r w:rsidR="00386959" w:rsidRPr="00284E38">
        <w:t xml:space="preserve"> </w:t>
      </w:r>
      <w:r w:rsidR="004464E5" w:rsidRPr="00284E38">
        <w:t>DIs</w:t>
      </w:r>
      <w:r w:rsidR="00386959" w:rsidRPr="00284E38">
        <w:t xml:space="preserve"> and their alternatives into groups for analysis</w:t>
      </w:r>
      <w:r w:rsidR="001F58D1" w:rsidRPr="00284E38">
        <w:t xml:space="preserve"> based on our classification criteria</w:t>
      </w:r>
      <w:r w:rsidRPr="00284E38">
        <w:t xml:space="preserve">. Any </w:t>
      </w:r>
      <w:r w:rsidR="00BF630C" w:rsidRPr="00284E38">
        <w:t>c</w:t>
      </w:r>
      <w:r w:rsidR="00386959" w:rsidRPr="00284E38">
        <w:t xml:space="preserve">lassification </w:t>
      </w:r>
      <w:r w:rsidRPr="00284E38">
        <w:t xml:space="preserve">implies interpretation and judgement which is conditional </w:t>
      </w:r>
      <w:r w:rsidR="00D979BF" w:rsidRPr="00284E38">
        <w:t xml:space="preserve">upon the </w:t>
      </w:r>
      <w:r w:rsidRPr="00284E38">
        <w:t>information</w:t>
      </w:r>
      <w:r w:rsidR="006A100C" w:rsidRPr="00284E38">
        <w:t xml:space="preserve"> </w:t>
      </w:r>
      <w:r w:rsidR="00D979BF" w:rsidRPr="00284E38">
        <w:t xml:space="preserve">available </w:t>
      </w:r>
      <w:r w:rsidR="006A100C" w:rsidRPr="00284E38">
        <w:t xml:space="preserve">from </w:t>
      </w:r>
      <w:r w:rsidR="00D979BF" w:rsidRPr="00284E38">
        <w:t xml:space="preserve">included </w:t>
      </w:r>
      <w:r w:rsidR="006A100C" w:rsidRPr="00284E38">
        <w:t>studies</w:t>
      </w:r>
      <w:r w:rsidRPr="00284E38">
        <w:t xml:space="preserve">. </w:t>
      </w:r>
      <w:r w:rsidR="002E3764" w:rsidRPr="00284E38">
        <w:t>W</w:t>
      </w:r>
      <w:r w:rsidR="002F777C" w:rsidRPr="00284E38">
        <w:t>e note the</w:t>
      </w:r>
      <w:r w:rsidRPr="00284E38">
        <w:t xml:space="preserve"> </w:t>
      </w:r>
      <w:r w:rsidR="001F58D1" w:rsidRPr="00284E38">
        <w:t xml:space="preserve">insufficient </w:t>
      </w:r>
      <w:r w:rsidRPr="00284E38">
        <w:t>reporting</w:t>
      </w:r>
      <w:r w:rsidR="001F58D1" w:rsidRPr="00284E38">
        <w:t xml:space="preserve"> of </w:t>
      </w:r>
      <w:r w:rsidR="00F67362" w:rsidRPr="00284E38">
        <w:t xml:space="preserve">details about </w:t>
      </w:r>
      <w:r w:rsidR="002F777C" w:rsidRPr="00284E38">
        <w:t xml:space="preserve">‘non-therapeutic </w:t>
      </w:r>
      <w:r w:rsidR="001F58D1" w:rsidRPr="00284E38">
        <w:t>controls</w:t>
      </w:r>
      <w:r w:rsidR="002F777C" w:rsidRPr="00284E38">
        <w:t>’</w:t>
      </w:r>
      <w:r w:rsidR="001F58D1" w:rsidRPr="00284E38">
        <w:t xml:space="preserve"> and </w:t>
      </w:r>
      <w:r w:rsidR="002F777C" w:rsidRPr="00284E38">
        <w:t>waiting list</w:t>
      </w:r>
      <w:r w:rsidR="00F67362" w:rsidRPr="00284E38">
        <w:t xml:space="preserve"> in some studies</w:t>
      </w:r>
      <w:r w:rsidR="006A100C" w:rsidRPr="00284E38">
        <w:t>. Furthermore</w:t>
      </w:r>
      <w:r w:rsidR="00B536C5" w:rsidRPr="00284E38">
        <w:t xml:space="preserve">, </w:t>
      </w:r>
      <w:r w:rsidR="001F58D1" w:rsidRPr="00284E38">
        <w:t xml:space="preserve">we could have split DIs </w:t>
      </w:r>
      <w:r w:rsidR="00D979BF" w:rsidRPr="00284E38">
        <w:t>in</w:t>
      </w:r>
      <w:r w:rsidR="001F58D1" w:rsidRPr="00284E38">
        <w:t>to further categories</w:t>
      </w:r>
      <w:r w:rsidR="004464E5" w:rsidRPr="00284E38">
        <w:t xml:space="preserve"> </w:t>
      </w:r>
      <w:r w:rsidR="001F58D1" w:rsidRPr="00284E38">
        <w:t>according to the technology used (e.g. V</w:t>
      </w:r>
      <w:r w:rsidR="005C3C9E" w:rsidRPr="00284E38">
        <w:t>R,</w:t>
      </w:r>
      <w:r w:rsidR="001F58D1" w:rsidRPr="00284E38">
        <w:t xml:space="preserve"> internet</w:t>
      </w:r>
      <w:r w:rsidR="005C3C9E" w:rsidRPr="00284E38">
        <w:t xml:space="preserve">, </w:t>
      </w:r>
      <w:r w:rsidR="001F58D1" w:rsidRPr="00284E38">
        <w:t>mobile app)</w:t>
      </w:r>
      <w:r w:rsidR="002F777C" w:rsidRPr="00284E38">
        <w:t>,</w:t>
      </w:r>
      <w:r w:rsidR="001F58D1" w:rsidRPr="00284E38">
        <w:t xml:space="preserve"> or the function of the technology (e.g. </w:t>
      </w:r>
      <w:r w:rsidR="005C3C9E" w:rsidRPr="00284E38">
        <w:t>adjunct to</w:t>
      </w:r>
      <w:r w:rsidR="001F58D1" w:rsidRPr="00284E38">
        <w:t xml:space="preserve"> clinician-delivered </w:t>
      </w:r>
      <w:r w:rsidR="004464E5" w:rsidRPr="00284E38">
        <w:t>therapy</w:t>
      </w:r>
      <w:r w:rsidR="005C3C9E" w:rsidRPr="00284E38">
        <w:t xml:space="preserve"> vs. </w:t>
      </w:r>
      <w:r w:rsidR="004464E5" w:rsidRPr="00284E38">
        <w:t xml:space="preserve">patient </w:t>
      </w:r>
      <w:r w:rsidR="001F58D1" w:rsidRPr="00284E38">
        <w:t>self-help)</w:t>
      </w:r>
      <w:r w:rsidR="002F777C" w:rsidRPr="00284E38">
        <w:t xml:space="preserve">, </w:t>
      </w:r>
      <w:r w:rsidR="001F58D1" w:rsidRPr="00284E38">
        <w:t xml:space="preserve">or </w:t>
      </w:r>
      <w:r w:rsidR="006A100C" w:rsidRPr="00284E38">
        <w:t xml:space="preserve">the </w:t>
      </w:r>
      <w:r w:rsidR="004464E5" w:rsidRPr="00284E38">
        <w:t>type</w:t>
      </w:r>
      <w:r w:rsidR="006A100C" w:rsidRPr="00284E38">
        <w:t xml:space="preserve"> of </w:t>
      </w:r>
      <w:r w:rsidR="00BF630C" w:rsidRPr="00284E38">
        <w:t>support</w:t>
      </w:r>
      <w:r w:rsidR="00F67362" w:rsidRPr="00284E38">
        <w:t xml:space="preserve"> </w:t>
      </w:r>
      <w:r w:rsidR="006A100C" w:rsidRPr="00284E38">
        <w:t>(</w:t>
      </w:r>
      <w:r w:rsidR="004464E5" w:rsidRPr="00284E38">
        <w:t>e.g.</w:t>
      </w:r>
      <w:r w:rsidR="006A100C" w:rsidRPr="00284E38">
        <w:t xml:space="preserve"> </w:t>
      </w:r>
      <w:r w:rsidR="004464E5" w:rsidRPr="00284E38">
        <w:t>phone calls</w:t>
      </w:r>
      <w:r w:rsidR="005C3C9E" w:rsidRPr="00284E38">
        <w:t xml:space="preserve"> vs </w:t>
      </w:r>
      <w:r w:rsidR="009743B4" w:rsidRPr="00284E38">
        <w:t>meetings</w:t>
      </w:r>
      <w:r w:rsidR="00B10ADA" w:rsidRPr="00284E38">
        <w:t>).</w:t>
      </w:r>
      <w:r w:rsidR="00A0385E" w:rsidRPr="00284E38">
        <w:t xml:space="preserve"> This would have created more “nodes” in the NMA models</w:t>
      </w:r>
      <w:r w:rsidR="00D979BF" w:rsidRPr="00284E38">
        <w:t>,</w:t>
      </w:r>
      <w:r w:rsidR="00A0385E" w:rsidRPr="00284E38">
        <w:t xml:space="preserve"> but also more uncertainty because comparisons between DIs and their alternatives within each s</w:t>
      </w:r>
      <w:r w:rsidR="008F5A2D" w:rsidRPr="00284E38">
        <w:t>ub</w:t>
      </w:r>
      <w:r w:rsidR="00A0385E" w:rsidRPr="00284E38">
        <w:t>group would have been informed by fewer studies.</w:t>
      </w:r>
    </w:p>
    <w:p w14:paraId="515B9476" w14:textId="77777777" w:rsidR="001F58D1" w:rsidRPr="00284E38" w:rsidRDefault="001F58D1" w:rsidP="00E154E0"/>
    <w:p w14:paraId="0EE0B584" w14:textId="68D2C322" w:rsidR="00432133" w:rsidRPr="00284E38" w:rsidRDefault="0005114B" w:rsidP="00E154E0">
      <w:r w:rsidRPr="00284E38">
        <w:t xml:space="preserve">Many of </w:t>
      </w:r>
      <w:r w:rsidR="00985991" w:rsidRPr="00284E38">
        <w:t xml:space="preserve">the </w:t>
      </w:r>
      <w:r w:rsidRPr="00284E38">
        <w:t xml:space="preserve">included RCTs </w:t>
      </w:r>
      <w:r w:rsidR="00D979BF" w:rsidRPr="00284E38">
        <w:t>recruited</w:t>
      </w:r>
      <w:r w:rsidRPr="00284E38">
        <w:t xml:space="preserve"> small samples and </w:t>
      </w:r>
      <w:r w:rsidR="00D979BF" w:rsidRPr="00284E38">
        <w:t xml:space="preserve">involved </w:t>
      </w:r>
      <w:r w:rsidRPr="00284E38">
        <w:t xml:space="preserve">multiple arms, </w:t>
      </w:r>
      <w:r w:rsidR="00D979BF" w:rsidRPr="00284E38">
        <w:t xml:space="preserve">often </w:t>
      </w:r>
      <w:r w:rsidRPr="00284E38">
        <w:t xml:space="preserve">comparing different versions of the same intervention, thereby reducing the power of the study. </w:t>
      </w:r>
      <w:r w:rsidR="0025172F" w:rsidRPr="00284E38">
        <w:t xml:space="preserve">Our evidence synthesis also shows that the majority of RCTs have </w:t>
      </w:r>
      <w:r w:rsidR="00A16920" w:rsidRPr="00284E38">
        <w:t xml:space="preserve">either </w:t>
      </w:r>
      <w:r w:rsidR="0025172F" w:rsidRPr="00284E38">
        <w:t>a short timeframe for follow-up</w:t>
      </w:r>
      <w:r w:rsidR="00333937" w:rsidRPr="00284E38">
        <w:t xml:space="preserve"> (up to 12 weeks)</w:t>
      </w:r>
      <w:r w:rsidR="00A16920" w:rsidRPr="00284E38">
        <w:t xml:space="preserve">, or the control group </w:t>
      </w:r>
      <w:r w:rsidR="00333937" w:rsidRPr="00284E38">
        <w:t xml:space="preserve">has already </w:t>
      </w:r>
      <w:r w:rsidR="00A16920" w:rsidRPr="00284E38">
        <w:t>crosse</w:t>
      </w:r>
      <w:r w:rsidR="00333937" w:rsidRPr="00284E38">
        <w:t xml:space="preserve">d </w:t>
      </w:r>
      <w:r w:rsidR="00A16920" w:rsidRPr="00284E38">
        <w:t>to the intervention</w:t>
      </w:r>
      <w:r w:rsidR="00333937" w:rsidRPr="00284E38">
        <w:t xml:space="preserve"> at the point of</w:t>
      </w:r>
      <w:r w:rsidR="00A16920" w:rsidRPr="00284E38">
        <w:t xml:space="preserve"> </w:t>
      </w:r>
      <w:r w:rsidR="00333937" w:rsidRPr="00284E38">
        <w:t xml:space="preserve">a </w:t>
      </w:r>
      <w:r w:rsidR="00A16920" w:rsidRPr="00284E38">
        <w:t>longer follow-up</w:t>
      </w:r>
      <w:r w:rsidR="00333937" w:rsidRPr="00284E38">
        <w:t xml:space="preserve"> (up to 2 years), which </w:t>
      </w:r>
      <w:r w:rsidR="00D979BF" w:rsidRPr="00284E38">
        <w:t xml:space="preserve">undermines </w:t>
      </w:r>
      <w:r w:rsidR="00333937" w:rsidRPr="00284E38">
        <w:t xml:space="preserve">the </w:t>
      </w:r>
      <w:r w:rsidR="00D979BF" w:rsidRPr="00284E38">
        <w:t xml:space="preserve">original </w:t>
      </w:r>
      <w:r w:rsidR="00333937" w:rsidRPr="00284E38">
        <w:t>randomis</w:t>
      </w:r>
      <w:r w:rsidR="00D979BF" w:rsidRPr="00284E38">
        <w:t>ation</w:t>
      </w:r>
      <w:r w:rsidR="00333937" w:rsidRPr="00284E38">
        <w:t xml:space="preserve">. </w:t>
      </w:r>
      <w:r w:rsidR="00DA07F8" w:rsidRPr="00284E38">
        <w:t xml:space="preserve">Consequently, we did not include observations for further follow-up time points, where these were available, nor did we account for </w:t>
      </w:r>
      <w:r w:rsidR="003728A5" w:rsidRPr="00284E38">
        <w:t xml:space="preserve">time </w:t>
      </w:r>
      <w:r w:rsidR="00DA07F8" w:rsidRPr="00284E38">
        <w:t xml:space="preserve">differences in the short-term </w:t>
      </w:r>
      <w:r w:rsidR="00D979BF" w:rsidRPr="00284E38">
        <w:t xml:space="preserve">outcome </w:t>
      </w:r>
      <w:r w:rsidR="00DA07F8" w:rsidRPr="00284E38">
        <w:t xml:space="preserve">reporting (post- treatment assessments varied from 3 to 12 weeks). </w:t>
      </w:r>
      <w:r w:rsidR="00333937" w:rsidRPr="00284E38">
        <w:t>Our NMA</w:t>
      </w:r>
      <w:r w:rsidR="005C213C" w:rsidRPr="00284E38">
        <w:t xml:space="preserve"> results reflect the</w:t>
      </w:r>
      <w:r w:rsidR="00984E5F" w:rsidRPr="00284E38">
        <w:t xml:space="preserve"> </w:t>
      </w:r>
      <w:r w:rsidR="005F3468" w:rsidRPr="00284E38">
        <w:t xml:space="preserve">short-term impact of </w:t>
      </w:r>
      <w:r w:rsidR="00A0385E" w:rsidRPr="00284E38">
        <w:t>DIs</w:t>
      </w:r>
      <w:r w:rsidR="005F3468" w:rsidRPr="00284E38">
        <w:t xml:space="preserve"> </w:t>
      </w:r>
      <w:r w:rsidR="00D979BF" w:rsidRPr="00284E38">
        <w:t>over an initial treatment period, but</w:t>
      </w:r>
      <w:r w:rsidR="005F3468" w:rsidRPr="00284E38">
        <w:t xml:space="preserve"> </w:t>
      </w:r>
      <w:r w:rsidR="005C213C" w:rsidRPr="00284E38">
        <w:t xml:space="preserve">there is </w:t>
      </w:r>
      <w:r w:rsidR="005F3468" w:rsidRPr="00284E38">
        <w:t xml:space="preserve">scant evidence </w:t>
      </w:r>
      <w:r w:rsidR="00333937" w:rsidRPr="00284E38">
        <w:t xml:space="preserve">to inform </w:t>
      </w:r>
      <w:r w:rsidR="00DA07F8" w:rsidRPr="00284E38">
        <w:t xml:space="preserve">randomised </w:t>
      </w:r>
      <w:r w:rsidR="00333937" w:rsidRPr="00284E38">
        <w:t>comparisons about</w:t>
      </w:r>
      <w:r w:rsidR="005F3468" w:rsidRPr="00284E38">
        <w:t xml:space="preserve"> effect</w:t>
      </w:r>
      <w:r w:rsidR="00985991" w:rsidRPr="00284E38">
        <w:t>iveness</w:t>
      </w:r>
      <w:r w:rsidR="00984E5F" w:rsidRPr="00284E38">
        <w:t xml:space="preserve"> </w:t>
      </w:r>
      <w:r w:rsidR="005C213C" w:rsidRPr="00284E38">
        <w:t>beyond 12 weeks</w:t>
      </w:r>
      <w:r w:rsidR="00984E5F" w:rsidRPr="00284E38">
        <w:t xml:space="preserve">. </w:t>
      </w:r>
    </w:p>
    <w:p w14:paraId="789CD09F" w14:textId="32FC6E15" w:rsidR="00BA795F" w:rsidRPr="00284E38" w:rsidRDefault="00BA795F" w:rsidP="00E154E0"/>
    <w:p w14:paraId="0878B032" w14:textId="7D99F102" w:rsidR="00BE1EB3" w:rsidRPr="00284E38" w:rsidRDefault="00BE1EB3" w:rsidP="00E154E0">
      <w:pPr>
        <w:rPr>
          <w:b/>
          <w:bCs/>
        </w:rPr>
      </w:pPr>
      <w:r w:rsidRPr="00284E38">
        <w:rPr>
          <w:b/>
          <w:bCs/>
        </w:rPr>
        <w:t>4.3. Recommendations</w:t>
      </w:r>
    </w:p>
    <w:p w14:paraId="5151680B" w14:textId="77777777" w:rsidR="00A16920" w:rsidRPr="00284E38" w:rsidRDefault="00A16920" w:rsidP="00A16920">
      <w:pPr>
        <w:rPr>
          <w:rFonts w:eastAsia="MS Mincho"/>
          <w:lang w:eastAsia="ja-JP"/>
        </w:rPr>
      </w:pPr>
    </w:p>
    <w:p w14:paraId="37EE3222" w14:textId="2279783B" w:rsidR="008A5CC7" w:rsidRPr="00284E38" w:rsidRDefault="008A5CC7" w:rsidP="008A5CC7">
      <w:r w:rsidRPr="00284E38">
        <w:t xml:space="preserve">As GAD is the most prevalent and least studied condition among other common mental health problems, future evidence syntheses will be helpful to focus on GAD populations and </w:t>
      </w:r>
      <w:r w:rsidR="00D979BF" w:rsidRPr="00284E38">
        <w:t xml:space="preserve">stratified </w:t>
      </w:r>
      <w:r w:rsidR="008F5A2D" w:rsidRPr="00284E38">
        <w:t>GAD sub</w:t>
      </w:r>
      <w:r w:rsidRPr="00284E38">
        <w:t xml:space="preserve">groups </w:t>
      </w:r>
      <w:r w:rsidR="00D979BF" w:rsidRPr="00284E38">
        <w:t xml:space="preserve">where these are randomised </w:t>
      </w:r>
      <w:r w:rsidRPr="00284E38">
        <w:t xml:space="preserve">within mixed populations, as means of informing GAD-specific future research and clinical guidelines </w:t>
      </w:r>
      <w:r w:rsidRPr="00284E38">
        <w:rPr>
          <w:noProof/>
        </w:rPr>
        <w:t>(</w:t>
      </w:r>
      <w:hyperlink w:anchor="_ENREF_43" w:tooltip="National Institute for Health and Clinical Excellence, 2011 #1012" w:history="1">
        <w:r w:rsidRPr="00284E38">
          <w:rPr>
            <w:noProof/>
          </w:rPr>
          <w:t>National Institute for Health and Clinical Excellence, 2011</w:t>
        </w:r>
      </w:hyperlink>
      <w:r w:rsidRPr="00284E38">
        <w:rPr>
          <w:noProof/>
        </w:rPr>
        <w:t>)</w:t>
      </w:r>
      <w:r w:rsidRPr="00284E38">
        <w:t>. Feasibility and pilot studies, as well as user involvement in the development of the intervention and delivery protocols, could ensure that the final RCT tests the best possible intervention</w:t>
      </w:r>
      <w:r w:rsidR="00967EB8" w:rsidRPr="00284E38">
        <w:t xml:space="preserve"> for GAD</w:t>
      </w:r>
      <w:r w:rsidRPr="00284E38">
        <w:t>. Adaptive designs</w:t>
      </w:r>
      <w:r w:rsidR="00967EB8" w:rsidRPr="00284E38">
        <w:t xml:space="preserve"> with improved intervention features and </w:t>
      </w:r>
      <w:r w:rsidRPr="00284E38">
        <w:t xml:space="preserve">boosted recruitment numbers to a fully powered RCT </w:t>
      </w:r>
      <w:r w:rsidR="00D979BF" w:rsidRPr="00284E38">
        <w:t>are</w:t>
      </w:r>
      <w:r w:rsidRPr="00284E38">
        <w:t xml:space="preserve"> preferable to </w:t>
      </w:r>
      <w:r w:rsidR="00D979BF" w:rsidRPr="00284E38">
        <w:t xml:space="preserve">the </w:t>
      </w:r>
      <w:r w:rsidRPr="00284E38">
        <w:t xml:space="preserve">underpowered studies with multiple arms testing increments of the same </w:t>
      </w:r>
      <w:r w:rsidR="000C5512" w:rsidRPr="00284E38">
        <w:t>DI</w:t>
      </w:r>
      <w:r w:rsidR="00D979BF" w:rsidRPr="00284E38">
        <w:t xml:space="preserve"> that we have identified</w:t>
      </w:r>
      <w:r w:rsidRPr="00284E38">
        <w:t>.</w:t>
      </w:r>
    </w:p>
    <w:p w14:paraId="2A01DD2D" w14:textId="77777777" w:rsidR="008A5CC7" w:rsidRPr="00284E38" w:rsidRDefault="008A5CC7" w:rsidP="00A16920">
      <w:pPr>
        <w:rPr>
          <w:rFonts w:eastAsia="MS Mincho"/>
          <w:lang w:eastAsia="ja-JP"/>
        </w:rPr>
      </w:pPr>
    </w:p>
    <w:p w14:paraId="2E25E2D0" w14:textId="50E3A854" w:rsidR="00A16920" w:rsidRPr="00284E38" w:rsidRDefault="00A16920" w:rsidP="00A16920">
      <w:pPr>
        <w:rPr>
          <w:rFonts w:eastAsia="MS Mincho"/>
          <w:lang w:eastAsia="ja-JP"/>
        </w:rPr>
      </w:pPr>
      <w:r w:rsidRPr="00284E38">
        <w:rPr>
          <w:rFonts w:eastAsia="MS Mincho"/>
          <w:lang w:eastAsia="ja-JP"/>
        </w:rPr>
        <w:t xml:space="preserve">Our NMAs and previous literature </w:t>
      </w:r>
      <w:r w:rsidRPr="00284E38">
        <w:t xml:space="preserve">suggest that antidepressants are an important factor to consider in future studies on DIs for GAD. </w:t>
      </w:r>
      <w:r w:rsidRPr="00284E38">
        <w:rPr>
          <w:rFonts w:eastAsia="MS Mincho"/>
          <w:lang w:eastAsia="ja-JP"/>
        </w:rPr>
        <w:t xml:space="preserve">Psychological interventions – whether digital or non-digital – include participants who are taking medication as part of routine care. It is difficult to disentangle the effects of medication and psychological support for GAD, and future RCTs need to report </w:t>
      </w:r>
      <w:r w:rsidR="00905AD6" w:rsidRPr="00284E38">
        <w:rPr>
          <w:rFonts w:eastAsia="MS Mincho"/>
          <w:lang w:eastAsia="ja-JP"/>
        </w:rPr>
        <w:t xml:space="preserve">medication </w:t>
      </w:r>
      <w:r w:rsidRPr="00284E38">
        <w:rPr>
          <w:rFonts w:eastAsia="MS Mincho"/>
          <w:lang w:eastAsia="ja-JP"/>
        </w:rPr>
        <w:t xml:space="preserve">details (name, dose and duration) and include it as a covariate in their analysis to establish how outcomes with DIs </w:t>
      </w:r>
      <w:r w:rsidR="00DF2075" w:rsidRPr="00284E38">
        <w:rPr>
          <w:rFonts w:eastAsia="MS Mincho"/>
          <w:lang w:eastAsia="ja-JP"/>
        </w:rPr>
        <w:t xml:space="preserve">and controls </w:t>
      </w:r>
      <w:r w:rsidRPr="00284E38">
        <w:rPr>
          <w:rFonts w:eastAsia="MS Mincho"/>
          <w:lang w:eastAsia="ja-JP"/>
        </w:rPr>
        <w:t>are influenced by concurrent medication use</w:t>
      </w:r>
      <w:r w:rsidR="00DF2075" w:rsidRPr="00284E38">
        <w:rPr>
          <w:rFonts w:eastAsia="MS Mincho"/>
          <w:lang w:eastAsia="ja-JP"/>
        </w:rPr>
        <w:t>.</w:t>
      </w:r>
    </w:p>
    <w:p w14:paraId="7DCFD171" w14:textId="28A2CC72" w:rsidR="00333937" w:rsidRPr="00284E38" w:rsidRDefault="00333937" w:rsidP="00A16920">
      <w:pPr>
        <w:rPr>
          <w:rFonts w:eastAsia="MS Mincho"/>
          <w:lang w:eastAsia="ja-JP"/>
        </w:rPr>
      </w:pPr>
    </w:p>
    <w:p w14:paraId="65154E7E" w14:textId="632D5C1F" w:rsidR="008A5CC7" w:rsidRPr="00284E38" w:rsidRDefault="000459E4" w:rsidP="008A5CC7">
      <w:r w:rsidRPr="00284E38">
        <w:t xml:space="preserve">The evidence base available in this setting is complex. In particular, the sheer volume of anxiety metrics (45 in total) being reported across the available studies, suggests a lack of consensus on which measures to use in evaluating GAD outcomes.  </w:t>
      </w:r>
      <w:r w:rsidR="008A5CC7" w:rsidRPr="00284E38">
        <w:t xml:space="preserve">Having a consensus about </w:t>
      </w:r>
      <w:r w:rsidR="00C0694E" w:rsidRPr="00284E38">
        <w:t>GAD-specific</w:t>
      </w:r>
      <w:r w:rsidR="008A5CC7" w:rsidRPr="00284E38">
        <w:t xml:space="preserve"> outcome measures </w:t>
      </w:r>
      <w:r w:rsidR="00C0694E" w:rsidRPr="00284E38">
        <w:t xml:space="preserve">can </w:t>
      </w:r>
      <w:r w:rsidR="008A5CC7" w:rsidRPr="00284E38">
        <w:t xml:space="preserve">prevent participant fatigue </w:t>
      </w:r>
      <w:r w:rsidR="00C0694E" w:rsidRPr="00284E38">
        <w:t xml:space="preserve">from completing batteries of different questionnaires </w:t>
      </w:r>
      <w:r w:rsidR="008A5CC7" w:rsidRPr="00284E38">
        <w:t xml:space="preserve">and </w:t>
      </w:r>
      <w:r w:rsidR="00C0694E" w:rsidRPr="00284E38">
        <w:t xml:space="preserve">enable comparisons </w:t>
      </w:r>
      <w:r w:rsidR="008A5CC7" w:rsidRPr="00284E38">
        <w:t>across studies and data synthesis.</w:t>
      </w:r>
      <w:r w:rsidR="00C0694E" w:rsidRPr="00284E38">
        <w:t xml:space="preserve"> </w:t>
      </w:r>
      <w:r w:rsidR="008A5CC7" w:rsidRPr="00284E38">
        <w:t xml:space="preserve">GAD-7 is more sensitive to changes associated with treatment and therefore may be more suitable for longitudinal clinical research (Dear et al., 2011). Reporting continuous data on the GAD-7 as a common measure in RCTs with GAD populations will make more studies available for a future </w:t>
      </w:r>
      <w:r w:rsidR="00C0694E" w:rsidRPr="00284E38">
        <w:t xml:space="preserve">statistical </w:t>
      </w:r>
      <w:r w:rsidR="008A5CC7" w:rsidRPr="00284E38">
        <w:t xml:space="preserve">synthesis. </w:t>
      </w:r>
      <w:r w:rsidR="00C0694E" w:rsidRPr="00284E38">
        <w:t xml:space="preserve">Including </w:t>
      </w:r>
      <w:r w:rsidR="008A5CC7" w:rsidRPr="00284E38">
        <w:t xml:space="preserve">HAM-A in studies of psychological therapies </w:t>
      </w:r>
      <w:r w:rsidR="00C0694E" w:rsidRPr="00284E38">
        <w:t>will</w:t>
      </w:r>
      <w:r w:rsidR="008A5CC7" w:rsidRPr="00284E38">
        <w:t xml:space="preserve"> enable us to compare results with pharmacological studies.</w:t>
      </w:r>
      <w:r w:rsidR="00031561" w:rsidRPr="00284E38">
        <w:t xml:space="preserve"> Future analyses using m</w:t>
      </w:r>
      <w:r w:rsidR="00E33303" w:rsidRPr="00284E38">
        <w:t>ulti</w:t>
      </w:r>
      <w:r w:rsidR="00031561" w:rsidRPr="00284E38">
        <w:t xml:space="preserve">variate models may be </w:t>
      </w:r>
      <w:r w:rsidR="00D979BF" w:rsidRPr="00284E38">
        <w:t xml:space="preserve">able </w:t>
      </w:r>
      <w:r w:rsidR="00031561" w:rsidRPr="00284E38">
        <w:t xml:space="preserve">to make better use of the available evidence by borrowing strength across </w:t>
      </w:r>
      <w:r w:rsidR="00EB0E83" w:rsidRPr="00284E38">
        <w:t xml:space="preserve">different </w:t>
      </w:r>
      <w:r w:rsidR="00031561" w:rsidRPr="00284E38">
        <w:t>outcomes.</w:t>
      </w:r>
    </w:p>
    <w:p w14:paraId="7935BDBE" w14:textId="77777777" w:rsidR="008A5CC7" w:rsidRPr="00284E38" w:rsidRDefault="008A5CC7" w:rsidP="008A5CC7"/>
    <w:p w14:paraId="15BFCD92" w14:textId="1454CD05" w:rsidR="00BE1EB3" w:rsidRPr="00284E38" w:rsidRDefault="008A5CC7" w:rsidP="00E154E0">
      <w:r w:rsidRPr="00284E38">
        <w:t xml:space="preserve">Many studies </w:t>
      </w:r>
      <w:r w:rsidR="00985991" w:rsidRPr="00284E38">
        <w:t xml:space="preserve">that </w:t>
      </w:r>
      <w:r w:rsidR="00333937" w:rsidRPr="00284E38">
        <w:t xml:space="preserve">follow up participants </w:t>
      </w:r>
      <w:r w:rsidR="00985991" w:rsidRPr="00284E38">
        <w:t xml:space="preserve">over the </w:t>
      </w:r>
      <w:r w:rsidR="00333937" w:rsidRPr="00284E38">
        <w:t>long</w:t>
      </w:r>
      <w:r w:rsidR="00985991" w:rsidRPr="00284E38">
        <w:t>er</w:t>
      </w:r>
      <w:r w:rsidR="00333937" w:rsidRPr="00284E38">
        <w:t xml:space="preserve">-term </w:t>
      </w:r>
      <w:r w:rsidRPr="00284E38">
        <w:t xml:space="preserve">offer the intervention to those randomised to the control group at a crossover point. Participants </w:t>
      </w:r>
      <w:r w:rsidR="00333937" w:rsidRPr="00284E38">
        <w:t xml:space="preserve">are </w:t>
      </w:r>
      <w:r w:rsidRPr="00284E38">
        <w:t xml:space="preserve">also </w:t>
      </w:r>
      <w:r w:rsidR="00333937" w:rsidRPr="00284E38">
        <w:t>likely to receive some treatment as part of usual care</w:t>
      </w:r>
      <w:r w:rsidR="002B68BB" w:rsidRPr="00284E38">
        <w:t xml:space="preserve"> the longer they remain on waiting lists or non-therapeutic controls</w:t>
      </w:r>
      <w:r w:rsidRPr="00284E38">
        <w:t>, so studies can</w:t>
      </w:r>
      <w:r w:rsidR="00333937" w:rsidRPr="00284E38">
        <w:t xml:space="preserve">not withhold interventions to enable long-term follow-up. </w:t>
      </w:r>
      <w:r w:rsidR="002B68BB" w:rsidRPr="00284E38">
        <w:t>A</w:t>
      </w:r>
      <w:r w:rsidR="00333937" w:rsidRPr="00284E38">
        <w:t xml:space="preserve">s the typical duration of </w:t>
      </w:r>
      <w:r w:rsidR="002B68BB" w:rsidRPr="00284E38">
        <w:t>DIs</w:t>
      </w:r>
      <w:r w:rsidR="00333937" w:rsidRPr="00284E38">
        <w:t xml:space="preserve"> is </w:t>
      </w:r>
      <w:r w:rsidR="00D979BF" w:rsidRPr="00284E38">
        <w:t xml:space="preserve">between </w:t>
      </w:r>
      <w:r w:rsidR="00333937" w:rsidRPr="00284E38">
        <w:t>3-</w:t>
      </w:r>
      <w:r w:rsidR="00E33303" w:rsidRPr="00284E38">
        <w:t>to-1</w:t>
      </w:r>
      <w:r w:rsidR="00333937" w:rsidRPr="00284E38">
        <w:t xml:space="preserve">2 weeks, the follow-up period of future RCTs needs to be longer, for example 6 months, to </w:t>
      </w:r>
      <w:r w:rsidR="00D979BF" w:rsidRPr="00284E38">
        <w:t xml:space="preserve">help us better understand </w:t>
      </w:r>
      <w:r w:rsidR="00333937" w:rsidRPr="00284E38">
        <w:t xml:space="preserve">the “stickiness” </w:t>
      </w:r>
      <w:r w:rsidR="00416C96" w:rsidRPr="00284E38">
        <w:t>longer t</w:t>
      </w:r>
      <w:r w:rsidR="00964471" w:rsidRPr="00284E38">
        <w:t xml:space="preserve">erm effects </w:t>
      </w:r>
      <w:r w:rsidR="00333937" w:rsidRPr="00284E38">
        <w:t xml:space="preserve">of </w:t>
      </w:r>
      <w:r w:rsidR="00E77EC3" w:rsidRPr="00284E38">
        <w:t>DIs</w:t>
      </w:r>
      <w:r w:rsidR="00333937" w:rsidRPr="00284E38">
        <w:t xml:space="preserve"> beyond their </w:t>
      </w:r>
      <w:r w:rsidR="00964471" w:rsidRPr="00284E38">
        <w:t xml:space="preserve">initial </w:t>
      </w:r>
      <w:r w:rsidR="00333937" w:rsidRPr="00284E38">
        <w:t>delivery period.</w:t>
      </w:r>
      <w:r w:rsidRPr="00284E38">
        <w:t xml:space="preserve"> Usual care and waiting lists are poorly reported </w:t>
      </w:r>
      <w:r w:rsidR="00E77EC3" w:rsidRPr="00284E38">
        <w:t>in RCTs and do not include data on</w:t>
      </w:r>
      <w:r w:rsidRPr="00284E38">
        <w:t xml:space="preserve"> concurrent interventions</w:t>
      </w:r>
      <w:r w:rsidR="00564989" w:rsidRPr="00284E38">
        <w:t xml:space="preserve"> accessed </w:t>
      </w:r>
      <w:r w:rsidR="00E77EC3" w:rsidRPr="00284E38">
        <w:t xml:space="preserve">by </w:t>
      </w:r>
      <w:r w:rsidR="00564989" w:rsidRPr="00284E38">
        <w:t>participants</w:t>
      </w:r>
      <w:r w:rsidRPr="00284E38">
        <w:t>, including</w:t>
      </w:r>
      <w:r w:rsidR="00D07AB8" w:rsidRPr="00284E38">
        <w:t xml:space="preserve"> openly available</w:t>
      </w:r>
      <w:r w:rsidRPr="00284E38">
        <w:t xml:space="preserve"> self-help, </w:t>
      </w:r>
      <w:r w:rsidR="00564989" w:rsidRPr="00284E38">
        <w:t>which</w:t>
      </w:r>
      <w:r w:rsidRPr="00284E38">
        <w:t xml:space="preserve"> can influence </w:t>
      </w:r>
      <w:r w:rsidR="00564989" w:rsidRPr="00284E38">
        <w:t xml:space="preserve">the </w:t>
      </w:r>
      <w:r w:rsidR="00964471" w:rsidRPr="00284E38">
        <w:t xml:space="preserve">observed </w:t>
      </w:r>
      <w:r w:rsidR="00564989" w:rsidRPr="00284E38">
        <w:t xml:space="preserve">difference in </w:t>
      </w:r>
      <w:r w:rsidRPr="00284E38">
        <w:t>outcome</w:t>
      </w:r>
      <w:r w:rsidR="00564989" w:rsidRPr="00284E38">
        <w:t xml:space="preserve"> between DIs and </w:t>
      </w:r>
      <w:r w:rsidR="00964471" w:rsidRPr="00284E38">
        <w:t>no intervention</w:t>
      </w:r>
      <w:r w:rsidRPr="00284E38">
        <w:t xml:space="preserve">. </w:t>
      </w:r>
      <w:r w:rsidR="00964471" w:rsidRPr="00284E38">
        <w:t>Greater clarity and more detailed reporting about the specific elements of comparators is essential to improve our understanding of the effects of DIs.</w:t>
      </w:r>
    </w:p>
    <w:p w14:paraId="745C0250" w14:textId="08D1BCAA" w:rsidR="00E202EF" w:rsidRPr="00284E38" w:rsidRDefault="00E202EF" w:rsidP="00E154E0"/>
    <w:p w14:paraId="35EF8271" w14:textId="24F21CFF" w:rsidR="00A50D19" w:rsidRPr="00284E38" w:rsidRDefault="00E71AFA" w:rsidP="00C6001C">
      <w:pPr>
        <w:pStyle w:val="Heading1"/>
        <w:numPr>
          <w:ilvl w:val="0"/>
          <w:numId w:val="47"/>
        </w:numPr>
        <w:spacing w:before="0"/>
        <w:ind w:left="284" w:hanging="284"/>
        <w:rPr>
          <w:rFonts w:eastAsia="MS Mincho"/>
          <w:sz w:val="24"/>
          <w:szCs w:val="24"/>
          <w:lang w:eastAsia="ja-JP"/>
        </w:rPr>
      </w:pPr>
      <w:r w:rsidRPr="00284E38">
        <w:rPr>
          <w:rFonts w:eastAsia="MS Mincho"/>
          <w:sz w:val="24"/>
          <w:szCs w:val="24"/>
          <w:lang w:eastAsia="ja-JP"/>
        </w:rPr>
        <w:t>CONCLUSIONS</w:t>
      </w:r>
    </w:p>
    <w:p w14:paraId="015C05DD" w14:textId="3C9263FB" w:rsidR="00616D51" w:rsidRPr="00284E38" w:rsidRDefault="00616D51" w:rsidP="00E154E0"/>
    <w:p w14:paraId="5712676E" w14:textId="0DA7D32B" w:rsidR="00E71AFA" w:rsidRDefault="003F4397" w:rsidP="00E154E0">
      <w:r w:rsidRPr="00284E38">
        <w:t xml:space="preserve">This study is the first to evaluate the effectiveness of DIs specifically in a GAD population. </w:t>
      </w:r>
      <w:r w:rsidR="00284E38" w:rsidRPr="00284E38">
        <w:t>I</w:t>
      </w:r>
      <w:r w:rsidRPr="00284E38">
        <w:t xml:space="preserve">t is also the first to combine all the RCT-based effectiveness evidence from DIs and key comparators in a single modelling framework, allowing the estimation of relative treatment effects for all relevant comparisons. </w:t>
      </w:r>
      <w:r w:rsidR="004479EA" w:rsidRPr="00284E38">
        <w:t xml:space="preserve">Our results </w:t>
      </w:r>
      <w:r w:rsidRPr="00284E38">
        <w:t xml:space="preserve">suggest that </w:t>
      </w:r>
      <w:r w:rsidR="00416C96" w:rsidRPr="00284E38">
        <w:t xml:space="preserve">antidepressant </w:t>
      </w:r>
      <w:r w:rsidRPr="00284E38">
        <w:t>medication is associated with lower anxiety scores at follow-up relative to all other interventions and controls. Results were inconclusive as to whether DIs are better than no intervention and non-therapeutic active controls for GAD, or whether they confer an additional benefit to standard therapy.</w:t>
      </w:r>
      <w:r w:rsidR="00D97D3D" w:rsidRPr="00284E38">
        <w:t xml:space="preserve"> </w:t>
      </w:r>
      <w:r w:rsidR="00416C96" w:rsidRPr="00284E38">
        <w:t xml:space="preserve">Overall, our findings are limited in informing decision-making, highlighting how little is currently known about the comparative effectiveness of such interventions.  </w:t>
      </w:r>
      <w:r w:rsidR="006B1690" w:rsidRPr="00284E38">
        <w:t xml:space="preserve">Future </w:t>
      </w:r>
      <w:r w:rsidR="007353E3" w:rsidRPr="00284E38">
        <w:t xml:space="preserve">primary studies and </w:t>
      </w:r>
      <w:r w:rsidR="006B1690" w:rsidRPr="00284E38">
        <w:t>meta-analyses</w:t>
      </w:r>
      <w:r w:rsidR="00D852C7" w:rsidRPr="00284E38">
        <w:t xml:space="preserve"> need to focus on GAD populations rather than </w:t>
      </w:r>
      <w:r w:rsidR="006B1690" w:rsidRPr="00284E38">
        <w:rPr>
          <w:rFonts w:eastAsia="MS Mincho"/>
          <w:lang w:eastAsia="ja-JP"/>
        </w:rPr>
        <w:t>mixed samples</w:t>
      </w:r>
      <w:r w:rsidR="00D852C7" w:rsidRPr="00284E38">
        <w:rPr>
          <w:rFonts w:eastAsia="MS Mincho"/>
          <w:lang w:eastAsia="ja-JP"/>
        </w:rPr>
        <w:t>, or report outcomes specifically for GAD sub-samples if they</w:t>
      </w:r>
      <w:r w:rsidR="00D852C7" w:rsidRPr="00284E38">
        <w:t xml:space="preserve"> </w:t>
      </w:r>
      <w:r w:rsidR="006B1690" w:rsidRPr="00284E38">
        <w:t xml:space="preserve">intend to answer questions about the comparative </w:t>
      </w:r>
      <w:r w:rsidR="00BC6CB6" w:rsidRPr="00284E38">
        <w:t>effectiveness</w:t>
      </w:r>
      <w:r w:rsidR="006B1690" w:rsidRPr="00284E38">
        <w:t xml:space="preserve"> of </w:t>
      </w:r>
      <w:r w:rsidR="008642CD" w:rsidRPr="00284E38">
        <w:t>DIs</w:t>
      </w:r>
      <w:r w:rsidR="006B1690" w:rsidRPr="00284E38">
        <w:t xml:space="preserve"> for GAD</w:t>
      </w:r>
      <w:r w:rsidR="006B1690" w:rsidRPr="00284E38">
        <w:rPr>
          <w:rFonts w:eastAsia="MS Mincho"/>
          <w:lang w:eastAsia="ja-JP"/>
        </w:rPr>
        <w:t xml:space="preserve">. </w:t>
      </w:r>
      <w:r w:rsidR="007353E3" w:rsidRPr="00284E38">
        <w:rPr>
          <w:rFonts w:eastAsia="MS Mincho"/>
          <w:lang w:eastAsia="ja-JP"/>
        </w:rPr>
        <w:t>C</w:t>
      </w:r>
      <w:r w:rsidR="00304C8E" w:rsidRPr="00284E38">
        <w:rPr>
          <w:rFonts w:eastAsia="MS Mincho"/>
          <w:lang w:eastAsia="ja-JP"/>
        </w:rPr>
        <w:t>ompar</w:t>
      </w:r>
      <w:r w:rsidR="007353E3" w:rsidRPr="00284E38">
        <w:rPr>
          <w:rFonts w:eastAsia="MS Mincho"/>
          <w:lang w:eastAsia="ja-JP"/>
        </w:rPr>
        <w:t>ing</w:t>
      </w:r>
      <w:r w:rsidR="00304C8E" w:rsidRPr="00284E38">
        <w:rPr>
          <w:rFonts w:eastAsia="MS Mincho"/>
          <w:lang w:eastAsia="ja-JP"/>
        </w:rPr>
        <w:t xml:space="preserve"> DIs with </w:t>
      </w:r>
      <w:r w:rsidR="00633D8E" w:rsidRPr="00284E38">
        <w:rPr>
          <w:rFonts w:eastAsia="MS Mincho"/>
          <w:lang w:eastAsia="ja-JP"/>
        </w:rPr>
        <w:t>manualised</w:t>
      </w:r>
      <w:r w:rsidR="00304C8E" w:rsidRPr="00284E38">
        <w:rPr>
          <w:rFonts w:eastAsia="MS Mincho"/>
          <w:lang w:eastAsia="ja-JP"/>
        </w:rPr>
        <w:t xml:space="preserve"> </w:t>
      </w:r>
      <w:r w:rsidR="007353E3" w:rsidRPr="00284E38">
        <w:rPr>
          <w:rFonts w:eastAsia="MS Mincho"/>
          <w:lang w:eastAsia="ja-JP"/>
        </w:rPr>
        <w:t xml:space="preserve">(non-digital) </w:t>
      </w:r>
      <w:r w:rsidR="00304C8E" w:rsidRPr="00284E38">
        <w:rPr>
          <w:rFonts w:eastAsia="MS Mincho"/>
          <w:lang w:eastAsia="ja-JP"/>
        </w:rPr>
        <w:t xml:space="preserve">self-help </w:t>
      </w:r>
      <w:r w:rsidR="00633D8E" w:rsidRPr="00284E38">
        <w:rPr>
          <w:rFonts w:eastAsia="MS Mincho"/>
          <w:lang w:eastAsia="ja-JP"/>
        </w:rPr>
        <w:t>and</w:t>
      </w:r>
      <w:r w:rsidR="00304C8E" w:rsidRPr="00284E38">
        <w:rPr>
          <w:rFonts w:eastAsia="MS Mincho"/>
          <w:lang w:eastAsia="ja-JP"/>
        </w:rPr>
        <w:t xml:space="preserve"> </w:t>
      </w:r>
      <w:r w:rsidR="007353E3" w:rsidRPr="00284E38">
        <w:rPr>
          <w:rFonts w:eastAsia="MS Mincho"/>
          <w:lang w:eastAsia="ja-JP"/>
        </w:rPr>
        <w:t>individual</w:t>
      </w:r>
      <w:r w:rsidR="00304C8E" w:rsidRPr="00284E38">
        <w:rPr>
          <w:rFonts w:eastAsia="MS Mincho"/>
          <w:lang w:eastAsia="ja-JP"/>
        </w:rPr>
        <w:t xml:space="preserve"> therapy</w:t>
      </w:r>
      <w:r w:rsidR="007353E3" w:rsidRPr="00284E38">
        <w:rPr>
          <w:rFonts w:eastAsia="MS Mincho"/>
          <w:lang w:eastAsia="ja-JP"/>
        </w:rPr>
        <w:t>, for which there are no current RCTs</w:t>
      </w:r>
      <w:r w:rsidR="00FB39FE" w:rsidRPr="00284E38">
        <w:rPr>
          <w:rFonts w:eastAsia="MS Mincho"/>
          <w:lang w:eastAsia="ja-JP"/>
        </w:rPr>
        <w:t xml:space="preserve"> for</w:t>
      </w:r>
      <w:r w:rsidR="00396EE2" w:rsidRPr="00284E38">
        <w:rPr>
          <w:rFonts w:eastAsia="MS Mincho"/>
          <w:lang w:eastAsia="ja-JP"/>
        </w:rPr>
        <w:t xml:space="preserve"> </w:t>
      </w:r>
      <w:r w:rsidR="007353E3" w:rsidRPr="00284E38">
        <w:rPr>
          <w:rFonts w:eastAsia="MS Mincho"/>
          <w:lang w:eastAsia="ja-JP"/>
        </w:rPr>
        <w:t>GAD</w:t>
      </w:r>
      <w:r w:rsidR="00FB39FE" w:rsidRPr="00284E38">
        <w:rPr>
          <w:rFonts w:eastAsia="MS Mincho"/>
          <w:lang w:eastAsia="ja-JP"/>
        </w:rPr>
        <w:t xml:space="preserve"> populations</w:t>
      </w:r>
      <w:r w:rsidR="007353E3" w:rsidRPr="00284E38">
        <w:rPr>
          <w:rFonts w:eastAsia="MS Mincho"/>
          <w:lang w:eastAsia="ja-JP"/>
        </w:rPr>
        <w:t>, will be useful in the context of stepped care</w:t>
      </w:r>
      <w:r w:rsidR="00304C8E" w:rsidRPr="00284E38">
        <w:rPr>
          <w:rFonts w:eastAsia="MS Mincho"/>
          <w:lang w:eastAsia="ja-JP"/>
        </w:rPr>
        <w:t>.</w:t>
      </w:r>
      <w:r w:rsidR="00304C8E" w:rsidRPr="00284E38">
        <w:t xml:space="preserve"> </w:t>
      </w:r>
      <w:r w:rsidR="006B1690" w:rsidRPr="00284E38">
        <w:rPr>
          <w:rFonts w:eastAsia="MS Mincho"/>
          <w:lang w:eastAsia="ja-JP"/>
        </w:rPr>
        <w:t xml:space="preserve">Antidepressant medication </w:t>
      </w:r>
      <w:r w:rsidR="00396EE2" w:rsidRPr="00284E38">
        <w:rPr>
          <w:rFonts w:eastAsia="MS Mincho"/>
          <w:lang w:eastAsia="ja-JP"/>
        </w:rPr>
        <w:t xml:space="preserve">for GAD as a first-line treatment </w:t>
      </w:r>
      <w:r w:rsidR="006B1690" w:rsidRPr="00284E38">
        <w:rPr>
          <w:rFonts w:eastAsia="MS Mincho"/>
          <w:lang w:eastAsia="ja-JP"/>
        </w:rPr>
        <w:t xml:space="preserve">against </w:t>
      </w:r>
      <w:r w:rsidR="008642CD" w:rsidRPr="00284E38">
        <w:rPr>
          <w:rFonts w:eastAsia="MS Mincho"/>
          <w:lang w:eastAsia="ja-JP"/>
        </w:rPr>
        <w:t>DIs</w:t>
      </w:r>
      <w:r w:rsidR="006B1690" w:rsidRPr="00284E38">
        <w:rPr>
          <w:rFonts w:eastAsia="MS Mincho"/>
          <w:lang w:eastAsia="ja-JP"/>
        </w:rPr>
        <w:t xml:space="preserve"> deserves further research and economic modelling. </w:t>
      </w:r>
      <w:r w:rsidR="008A5CC7" w:rsidRPr="00284E38">
        <w:t>To inform commissioning and potential disinvestment from non-digital alternatives, we need to put the findings of this evidence synthesis into context together with an assessment of the costs of developing and implementing DIs in clinical practice.</w:t>
      </w:r>
    </w:p>
    <w:p w14:paraId="7A5CD516" w14:textId="56679D3C" w:rsidR="000955C4" w:rsidRDefault="000955C4" w:rsidP="00E154E0"/>
    <w:p w14:paraId="6007E488" w14:textId="29D7182A" w:rsidR="000955C4" w:rsidRDefault="000955C4">
      <w:r>
        <w:br w:type="page"/>
      </w:r>
    </w:p>
    <w:p w14:paraId="09BE8772" w14:textId="2E255230" w:rsidR="00FE4906" w:rsidRPr="00FE4906" w:rsidRDefault="00FE4906" w:rsidP="00C6001C">
      <w:pPr>
        <w:pStyle w:val="Heading1"/>
        <w:numPr>
          <w:ilvl w:val="0"/>
          <w:numId w:val="47"/>
        </w:numPr>
        <w:spacing w:before="0"/>
        <w:ind w:left="284" w:hanging="284"/>
        <w:rPr>
          <w:rFonts w:eastAsia="MS Mincho"/>
          <w:sz w:val="24"/>
          <w:szCs w:val="24"/>
          <w:lang w:eastAsia="ja-JP"/>
        </w:rPr>
      </w:pPr>
      <w:r w:rsidRPr="00FE4906">
        <w:rPr>
          <w:rFonts w:eastAsia="MS Mincho"/>
          <w:sz w:val="24"/>
          <w:szCs w:val="24"/>
          <w:lang w:eastAsia="ja-JP"/>
        </w:rPr>
        <w:t>A</w:t>
      </w:r>
      <w:r w:rsidR="00A345A2">
        <w:rPr>
          <w:rFonts w:eastAsia="MS Mincho"/>
          <w:sz w:val="24"/>
          <w:szCs w:val="24"/>
          <w:lang w:eastAsia="ja-JP"/>
        </w:rPr>
        <w:t>CKNOWLEDGEMENTS</w:t>
      </w:r>
    </w:p>
    <w:p w14:paraId="7F787CA3" w14:textId="5A341FBA" w:rsidR="00FE4906" w:rsidRPr="00FE4906" w:rsidRDefault="00FE4906" w:rsidP="002D201B">
      <w:pPr>
        <w:rPr>
          <w:bCs/>
        </w:rPr>
      </w:pPr>
      <w:r w:rsidRPr="00FE4906">
        <w:rPr>
          <w:bCs/>
        </w:rPr>
        <w:t>We thank Prof Paul McNamee, Prof Nicola Cooper, Dr Alrinda Cerga-Pashoja and Mr Daniel Horne for their guidance and support as members of our advisory/steering group.</w:t>
      </w:r>
    </w:p>
    <w:p w14:paraId="0FD7E10B" w14:textId="77777777" w:rsidR="00FE4906" w:rsidRPr="000955C4" w:rsidRDefault="00FE4906" w:rsidP="00FE4906"/>
    <w:p w14:paraId="67E11CFD" w14:textId="0B9E8FB1" w:rsidR="00FE4906" w:rsidRPr="000955C4" w:rsidRDefault="00FE4906" w:rsidP="00FE4906">
      <w:r w:rsidRPr="000955C4">
        <w:rPr>
          <w:b/>
          <w:bCs/>
        </w:rPr>
        <w:t>Disclaimer:</w:t>
      </w:r>
      <w:r w:rsidRPr="000955C4">
        <w:t xml:space="preserve"> This paper presents independent research supported by the National Institute for Health Research (NIHR), Health Technology Assessment (HTA) Programme. The views expressed are those of the authors and not necessarily of the National Health Service, the NIHR, or the Department of Health. </w:t>
      </w:r>
      <w:r w:rsidRPr="00980BAC">
        <w:t xml:space="preserve">The content of this manuscript has previously appeared online as a preprint of the NIHR report: </w:t>
      </w:r>
      <w:r w:rsidR="00980BAC" w:rsidRPr="00980BAC">
        <w:t>https://eprints.whiterose.ac.uk/171555/</w:t>
      </w:r>
      <w:r w:rsidRPr="00980BAC">
        <w:t>.</w:t>
      </w:r>
    </w:p>
    <w:p w14:paraId="69E82404" w14:textId="77777777" w:rsidR="00FE4906" w:rsidRDefault="00FE4906" w:rsidP="002D201B">
      <w:pPr>
        <w:rPr>
          <w:b/>
          <w:bCs/>
          <w:highlight w:val="yellow"/>
        </w:rPr>
      </w:pPr>
    </w:p>
    <w:p w14:paraId="11174889" w14:textId="5A98400E" w:rsidR="00FE4906" w:rsidRPr="00FE4906" w:rsidRDefault="00A345A2" w:rsidP="00C6001C">
      <w:pPr>
        <w:pStyle w:val="Heading1"/>
        <w:numPr>
          <w:ilvl w:val="0"/>
          <w:numId w:val="47"/>
        </w:numPr>
        <w:spacing w:before="0"/>
        <w:ind w:left="284" w:hanging="284"/>
        <w:rPr>
          <w:rFonts w:eastAsia="MS Mincho"/>
          <w:sz w:val="24"/>
          <w:szCs w:val="24"/>
          <w:lang w:eastAsia="ja-JP"/>
        </w:rPr>
      </w:pPr>
      <w:r>
        <w:rPr>
          <w:rFonts w:eastAsia="MS Mincho"/>
          <w:sz w:val="24"/>
          <w:szCs w:val="24"/>
          <w:lang w:eastAsia="ja-JP"/>
        </w:rPr>
        <w:t>AUTHORS CONTRIBUTIONS</w:t>
      </w:r>
    </w:p>
    <w:p w14:paraId="3F4ABB05" w14:textId="043298DB" w:rsidR="00A345A2" w:rsidRDefault="002D201B" w:rsidP="002D201B">
      <w:pPr>
        <w:rPr>
          <w:bCs/>
        </w:rPr>
      </w:pPr>
      <w:r w:rsidRPr="00A345A2">
        <w:rPr>
          <w:bCs/>
        </w:rPr>
        <w:t>Pedro Saramago reviewed the clinical evidence, performed</w:t>
      </w:r>
      <w:r>
        <w:rPr>
          <w:bCs/>
        </w:rPr>
        <w:t xml:space="preserve"> the data synthesis and statistical analysis, interpreted findings</w:t>
      </w:r>
      <w:r w:rsidR="00677C01">
        <w:rPr>
          <w:bCs/>
        </w:rPr>
        <w:t xml:space="preserve">, </w:t>
      </w:r>
      <w:r>
        <w:rPr>
          <w:bCs/>
        </w:rPr>
        <w:t>wrote the manuscript</w:t>
      </w:r>
      <w:r w:rsidR="00677C01">
        <w:rPr>
          <w:bCs/>
        </w:rPr>
        <w:t xml:space="preserve"> and led the work as a whole</w:t>
      </w:r>
      <w:r>
        <w:rPr>
          <w:bCs/>
        </w:rPr>
        <w:t>; Lina Gega reviewed the clinical evidence, classified the interventions</w:t>
      </w:r>
      <w:r w:rsidR="00A345A2">
        <w:rPr>
          <w:bCs/>
        </w:rPr>
        <w:t>,</w:t>
      </w:r>
      <w:r w:rsidR="00A345A2" w:rsidRPr="00A345A2">
        <w:rPr>
          <w:bCs/>
        </w:rPr>
        <w:t xml:space="preserve"> </w:t>
      </w:r>
      <w:r w:rsidR="00A345A2">
        <w:rPr>
          <w:bCs/>
        </w:rPr>
        <w:t xml:space="preserve">interpreted findings, </w:t>
      </w:r>
      <w:r>
        <w:rPr>
          <w:bCs/>
        </w:rPr>
        <w:t>supported the write up of the manuscript</w:t>
      </w:r>
      <w:r w:rsidR="00DD3CFF">
        <w:rPr>
          <w:bCs/>
        </w:rPr>
        <w:t xml:space="preserve"> and all aspects of the review</w:t>
      </w:r>
      <w:r>
        <w:rPr>
          <w:bCs/>
        </w:rPr>
        <w:t>; David Marshall identified and selected the studies, extracted study data</w:t>
      </w:r>
      <w:r w:rsidR="00677C01">
        <w:rPr>
          <w:bCs/>
        </w:rPr>
        <w:t>,</w:t>
      </w:r>
      <w:r>
        <w:rPr>
          <w:bCs/>
        </w:rPr>
        <w:t xml:space="preserve"> assessed their risk of bias</w:t>
      </w:r>
      <w:r w:rsidR="00A345A2">
        <w:rPr>
          <w:bCs/>
        </w:rPr>
        <w:t xml:space="preserve">, interpreted findings </w:t>
      </w:r>
      <w:r w:rsidR="00677C01">
        <w:rPr>
          <w:bCs/>
        </w:rPr>
        <w:t>and reviewed the manuscript</w:t>
      </w:r>
      <w:r w:rsidR="00E41817">
        <w:rPr>
          <w:bCs/>
        </w:rPr>
        <w:t xml:space="preserve">; </w:t>
      </w:r>
      <w:r w:rsidR="00677C01">
        <w:rPr>
          <w:bCs/>
        </w:rPr>
        <w:t>Georgios F Nikolaidis supported the data synthesis and statistical analysis</w:t>
      </w:r>
      <w:r w:rsidR="00A345A2" w:rsidRPr="00A345A2">
        <w:rPr>
          <w:bCs/>
        </w:rPr>
        <w:t xml:space="preserve"> </w:t>
      </w:r>
      <w:r w:rsidR="00A345A2">
        <w:rPr>
          <w:bCs/>
        </w:rPr>
        <w:t>and reviewed the manuscript</w:t>
      </w:r>
      <w:r w:rsidR="00677C01">
        <w:rPr>
          <w:bCs/>
        </w:rPr>
        <w:t>; Dina Jankovic</w:t>
      </w:r>
      <w:r w:rsidR="00A345A2">
        <w:rPr>
          <w:bCs/>
        </w:rPr>
        <w:t xml:space="preserve"> contributed to the selection of studies, interpreted findings and reviewed the manuscript; Hollie Melton</w:t>
      </w:r>
      <w:r w:rsidR="00A345A2" w:rsidRPr="00A345A2">
        <w:rPr>
          <w:bCs/>
        </w:rPr>
        <w:t xml:space="preserve"> </w:t>
      </w:r>
      <w:r w:rsidR="00A345A2">
        <w:rPr>
          <w:bCs/>
        </w:rPr>
        <w:t xml:space="preserve">identified and selected the studies, extracted study data, assessed their risk of bias, interpreted findings and reviewed the manuscript; Sarah </w:t>
      </w:r>
      <w:r w:rsidR="00A345A2" w:rsidRPr="00A345A2">
        <w:rPr>
          <w:bCs/>
        </w:rPr>
        <w:t xml:space="preserve">Dawson </w:t>
      </w:r>
      <w:r w:rsidR="00A345A2">
        <w:rPr>
          <w:bCs/>
        </w:rPr>
        <w:t xml:space="preserve">performed the searches and reviewed the manuscript; Rachell Churchill </w:t>
      </w:r>
      <w:r w:rsidR="00DD3CFF">
        <w:rPr>
          <w:bCs/>
        </w:rPr>
        <w:t>provided support on all aspects of the review and reviewed the manuscript; and Laura Bojke</w:t>
      </w:r>
      <w:r w:rsidR="00DD3CFF" w:rsidRPr="00DD3CFF">
        <w:rPr>
          <w:bCs/>
        </w:rPr>
        <w:t xml:space="preserve"> </w:t>
      </w:r>
      <w:r w:rsidR="00DD3CFF">
        <w:rPr>
          <w:bCs/>
        </w:rPr>
        <w:t>provided support on all aspects of the review and reviewed the manuscript.</w:t>
      </w:r>
    </w:p>
    <w:p w14:paraId="56BC2460" w14:textId="77777777" w:rsidR="00A345A2" w:rsidRDefault="00A345A2" w:rsidP="002D201B">
      <w:pPr>
        <w:rPr>
          <w:bCs/>
        </w:rPr>
      </w:pPr>
    </w:p>
    <w:p w14:paraId="4768B2F1" w14:textId="3AE2FB5F" w:rsidR="00A345A2" w:rsidRPr="00A345A2" w:rsidRDefault="00A345A2" w:rsidP="00C6001C">
      <w:pPr>
        <w:pStyle w:val="Heading1"/>
        <w:numPr>
          <w:ilvl w:val="0"/>
          <w:numId w:val="47"/>
        </w:numPr>
        <w:spacing w:before="0"/>
        <w:ind w:left="284" w:hanging="284"/>
        <w:rPr>
          <w:rFonts w:eastAsia="MS Mincho"/>
          <w:sz w:val="24"/>
          <w:szCs w:val="24"/>
          <w:lang w:eastAsia="ja-JP"/>
        </w:rPr>
      </w:pPr>
      <w:r>
        <w:rPr>
          <w:rFonts w:eastAsia="MS Mincho"/>
          <w:sz w:val="24"/>
          <w:szCs w:val="24"/>
          <w:lang w:eastAsia="ja-JP"/>
        </w:rPr>
        <w:t>FUNDING</w:t>
      </w:r>
    </w:p>
    <w:p w14:paraId="53AD4154" w14:textId="72231850" w:rsidR="000955C4" w:rsidRPr="000955C4" w:rsidRDefault="000955C4" w:rsidP="000955C4">
      <w:r w:rsidRPr="000955C4">
        <w:t>This work was supported by the UK’s National Institute for Health Research (NIHR), Health Technology Assessment (HTA) Programme, grant number 17/93/06, 2019.</w:t>
      </w:r>
    </w:p>
    <w:p w14:paraId="0C027033" w14:textId="77777777" w:rsidR="000955C4" w:rsidRPr="000955C4" w:rsidRDefault="000955C4" w:rsidP="000955C4"/>
    <w:p w14:paraId="0993B720" w14:textId="152E01A1" w:rsidR="00A345A2" w:rsidRPr="00A345A2" w:rsidRDefault="00A345A2" w:rsidP="00C6001C">
      <w:pPr>
        <w:pStyle w:val="Heading1"/>
        <w:numPr>
          <w:ilvl w:val="0"/>
          <w:numId w:val="47"/>
        </w:numPr>
        <w:spacing w:before="0"/>
        <w:ind w:left="284" w:hanging="284"/>
        <w:rPr>
          <w:rFonts w:eastAsia="MS Mincho"/>
          <w:sz w:val="24"/>
          <w:szCs w:val="24"/>
          <w:lang w:eastAsia="ja-JP"/>
        </w:rPr>
      </w:pPr>
      <w:r>
        <w:rPr>
          <w:rFonts w:eastAsia="MS Mincho"/>
          <w:sz w:val="24"/>
          <w:szCs w:val="24"/>
          <w:lang w:eastAsia="ja-JP"/>
        </w:rPr>
        <w:t>DECLARATION OF INTERESTS</w:t>
      </w:r>
    </w:p>
    <w:p w14:paraId="549707C7" w14:textId="03DB27D5" w:rsidR="000955C4" w:rsidRPr="000955C4" w:rsidRDefault="000955C4" w:rsidP="000955C4">
      <w:r w:rsidRPr="000955C4">
        <w:t>Lina Gega is the fund holder of the research grant that supported this work. Pedro Saramago, David Marshall, Georgios Nikolaidis, Dina Jankovic, Hollie Melton, Sarah Dawson, Rachel Churchill and Laura Bojke declare that they have no conflict of interest.</w:t>
      </w:r>
    </w:p>
    <w:p w14:paraId="3BC6C62B" w14:textId="77777777" w:rsidR="000955C4" w:rsidRPr="00284E38" w:rsidRDefault="000955C4" w:rsidP="00E154E0"/>
    <w:p w14:paraId="4FCCB70E" w14:textId="73CECDA6" w:rsidR="00DE6D6E" w:rsidRPr="00284E38" w:rsidRDefault="00DA1A90" w:rsidP="00C6001C">
      <w:pPr>
        <w:pStyle w:val="Heading1"/>
        <w:numPr>
          <w:ilvl w:val="0"/>
          <w:numId w:val="47"/>
        </w:numPr>
        <w:spacing w:before="0"/>
        <w:ind w:left="284" w:hanging="284"/>
        <w:rPr>
          <w:rFonts w:eastAsia="MS Mincho"/>
          <w:sz w:val="24"/>
          <w:szCs w:val="24"/>
          <w:lang w:eastAsia="ja-JP"/>
        </w:rPr>
      </w:pPr>
      <w:r w:rsidRPr="00284E38">
        <w:rPr>
          <w:rFonts w:eastAsia="MS Mincho"/>
          <w:sz w:val="24"/>
          <w:szCs w:val="24"/>
          <w:lang w:eastAsia="ja-JP"/>
        </w:rPr>
        <w:t>REFERENCES</w:t>
      </w:r>
    </w:p>
    <w:p w14:paraId="696E31E6" w14:textId="77777777" w:rsidR="000C5512" w:rsidRPr="00284E38" w:rsidRDefault="000C5512" w:rsidP="000C5512">
      <w:pPr>
        <w:pStyle w:val="Heading1"/>
        <w:spacing w:before="0"/>
        <w:ind w:hanging="720"/>
        <w:rPr>
          <w:rFonts w:eastAsia="MS Mincho"/>
          <w:sz w:val="24"/>
          <w:szCs w:val="24"/>
          <w:lang w:eastAsia="ja-JP"/>
        </w:rPr>
      </w:pPr>
    </w:p>
    <w:p w14:paraId="437D2B82"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Aboujaoude, E., Gega, L., Parish, M. B., &amp; Hilty, D. M. (2020). Editorial: Digital interventions in mental health: Current status and future directions. [Editorial]. Frontiers in Psychiatry, 11(111). doi: 10.3389/fpsyt.2020.00111</w:t>
      </w:r>
    </w:p>
    <w:p w14:paraId="33FAE3BB"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Ades, A. E., Sculpher, M., Sutton, A., Abrams, K., Cooper, N., Welton, N., &amp; Lu, G. (2006). Bayesian methods for evidence synthesis in cost-effectiveness analysis. Pharmacoeconomics, 24(1), 1-19. doi: 10.2165/00019053-200624010-00001</w:t>
      </w:r>
    </w:p>
    <w:p w14:paraId="3AFF5E0B"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Andersson, E., Hedman, E., Wadstrom, O., Boberg, J., Andersson, E. Y., Axelsson, E., . . . Ljotsson, B. (2016). Internet-Based Extinction Therapy for Worry: A Randomized Controlled Trial. [In Press]. Behavior Therapy., 02. doi: http://dx.doi.org/10.1016/j.beth.2016.07.003</w:t>
      </w:r>
    </w:p>
    <w:p w14:paraId="71C78F0E"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Andersson, G., Paxling, B., Roch-Norlund, P., Ostman, G., Norgren, A., Almlov, J., Silverberg, F. (2012). Internet-based psychodynamic versus cognitive behavioral guided self-help for generalized anxiety disorder: A randomized controlled trial. Psychother Psychosom, 81(6), 344-355. doi: 10.1159/000339371</w:t>
      </w:r>
    </w:p>
    <w:p w14:paraId="0FC7FBBB"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Barlow, D. H. (2002). Anxiety and its Disorders : The Nature and Treatment of Anxiety and Panic (2nd ed.). New York: Guilford Press.</w:t>
      </w:r>
    </w:p>
    <w:p w14:paraId="5C3D72E5" w14:textId="77777777" w:rsidR="0022555E" w:rsidRPr="00284E38" w:rsidRDefault="000C5512" w:rsidP="0022555E">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Beck, A. T., Steer, R. A., &amp; Brown, G. K. (1996). Beck Depression Inventory-II. San Antonio, 78(2), 490-498.</w:t>
      </w:r>
    </w:p>
    <w:p w14:paraId="0611014A" w14:textId="61612076" w:rsidR="000C5512" w:rsidRPr="00284E38" w:rsidRDefault="0022555E" w:rsidP="0022555E">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Berger</w:t>
      </w:r>
      <w:r w:rsidR="007A4C87" w:rsidRPr="00284E38">
        <w:rPr>
          <w:rFonts w:eastAsia="MS Mincho"/>
          <w:b w:val="0"/>
          <w:bCs w:val="0"/>
          <w:sz w:val="20"/>
          <w:szCs w:val="20"/>
          <w:lang w:eastAsia="ja-JP"/>
        </w:rPr>
        <w:t>,</w:t>
      </w:r>
      <w:r w:rsidRPr="00284E38">
        <w:rPr>
          <w:rFonts w:eastAsia="MS Mincho"/>
          <w:b w:val="0"/>
          <w:bCs w:val="0"/>
          <w:sz w:val="20"/>
          <w:szCs w:val="20"/>
          <w:lang w:eastAsia="ja-JP"/>
        </w:rPr>
        <w:t xml:space="preserve"> A</w:t>
      </w:r>
      <w:r w:rsidR="007A4C87" w:rsidRPr="00284E38">
        <w:rPr>
          <w:rFonts w:eastAsia="MS Mincho"/>
          <w:b w:val="0"/>
          <w:bCs w:val="0"/>
          <w:sz w:val="20"/>
          <w:szCs w:val="20"/>
          <w:lang w:eastAsia="ja-JP"/>
        </w:rPr>
        <w:t>.</w:t>
      </w:r>
      <w:r w:rsidRPr="00284E38">
        <w:rPr>
          <w:rFonts w:eastAsia="MS Mincho"/>
          <w:b w:val="0"/>
          <w:bCs w:val="0"/>
          <w:sz w:val="20"/>
          <w:szCs w:val="20"/>
          <w:lang w:eastAsia="ja-JP"/>
        </w:rPr>
        <w:t>, Edelsberg</w:t>
      </w:r>
      <w:r w:rsidR="007A4C87" w:rsidRPr="00284E38">
        <w:rPr>
          <w:rFonts w:eastAsia="MS Mincho"/>
          <w:b w:val="0"/>
          <w:bCs w:val="0"/>
          <w:sz w:val="20"/>
          <w:szCs w:val="20"/>
          <w:lang w:eastAsia="ja-JP"/>
        </w:rPr>
        <w:t>,</w:t>
      </w:r>
      <w:r w:rsidRPr="00284E38">
        <w:rPr>
          <w:rFonts w:eastAsia="MS Mincho"/>
          <w:b w:val="0"/>
          <w:bCs w:val="0"/>
          <w:sz w:val="20"/>
          <w:szCs w:val="20"/>
          <w:lang w:eastAsia="ja-JP"/>
        </w:rPr>
        <w:t xml:space="preserve"> J</w:t>
      </w:r>
      <w:r w:rsidR="007A4C87" w:rsidRPr="00284E38">
        <w:rPr>
          <w:rFonts w:eastAsia="MS Mincho"/>
          <w:b w:val="0"/>
          <w:bCs w:val="0"/>
          <w:sz w:val="20"/>
          <w:szCs w:val="20"/>
          <w:lang w:eastAsia="ja-JP"/>
        </w:rPr>
        <w:t>.</w:t>
      </w:r>
      <w:r w:rsidRPr="00284E38">
        <w:rPr>
          <w:rFonts w:eastAsia="MS Mincho"/>
          <w:b w:val="0"/>
          <w:bCs w:val="0"/>
          <w:sz w:val="20"/>
          <w:szCs w:val="20"/>
          <w:lang w:eastAsia="ja-JP"/>
        </w:rPr>
        <w:t>, Bollu</w:t>
      </w:r>
      <w:r w:rsidR="007A4C87" w:rsidRPr="00284E38">
        <w:rPr>
          <w:rFonts w:eastAsia="MS Mincho"/>
          <w:b w:val="0"/>
          <w:bCs w:val="0"/>
          <w:sz w:val="20"/>
          <w:szCs w:val="20"/>
          <w:lang w:eastAsia="ja-JP"/>
        </w:rPr>
        <w:t>,</w:t>
      </w:r>
      <w:r w:rsidRPr="00284E38">
        <w:rPr>
          <w:rFonts w:eastAsia="MS Mincho"/>
          <w:b w:val="0"/>
          <w:bCs w:val="0"/>
          <w:sz w:val="20"/>
          <w:szCs w:val="20"/>
          <w:lang w:eastAsia="ja-JP"/>
        </w:rPr>
        <w:t xml:space="preserve"> V</w:t>
      </w:r>
      <w:r w:rsidR="007A4C87" w:rsidRPr="00284E38">
        <w:rPr>
          <w:rFonts w:eastAsia="MS Mincho"/>
          <w:b w:val="0"/>
          <w:bCs w:val="0"/>
          <w:sz w:val="20"/>
          <w:szCs w:val="20"/>
          <w:lang w:eastAsia="ja-JP"/>
        </w:rPr>
        <w:t>.</w:t>
      </w:r>
      <w:r w:rsidRPr="00284E38">
        <w:rPr>
          <w:rFonts w:eastAsia="MS Mincho"/>
          <w:b w:val="0"/>
          <w:bCs w:val="0"/>
          <w:sz w:val="20"/>
          <w:szCs w:val="20"/>
          <w:lang w:eastAsia="ja-JP"/>
        </w:rPr>
        <w:t>, Alvir</w:t>
      </w:r>
      <w:r w:rsidR="007A4C87" w:rsidRPr="00284E38">
        <w:rPr>
          <w:rFonts w:eastAsia="MS Mincho"/>
          <w:b w:val="0"/>
          <w:bCs w:val="0"/>
          <w:sz w:val="20"/>
          <w:szCs w:val="20"/>
          <w:lang w:eastAsia="ja-JP"/>
        </w:rPr>
        <w:t>,</w:t>
      </w:r>
      <w:r w:rsidRPr="00284E38">
        <w:rPr>
          <w:rFonts w:eastAsia="MS Mincho"/>
          <w:b w:val="0"/>
          <w:bCs w:val="0"/>
          <w:sz w:val="20"/>
          <w:szCs w:val="20"/>
          <w:lang w:eastAsia="ja-JP"/>
        </w:rPr>
        <w:t xml:space="preserve"> J</w:t>
      </w:r>
      <w:r w:rsidR="007A4C87" w:rsidRPr="00284E38">
        <w:rPr>
          <w:rFonts w:eastAsia="MS Mincho"/>
          <w:b w:val="0"/>
          <w:bCs w:val="0"/>
          <w:sz w:val="20"/>
          <w:szCs w:val="20"/>
          <w:lang w:eastAsia="ja-JP"/>
        </w:rPr>
        <w:t xml:space="preserve">. </w:t>
      </w:r>
      <w:r w:rsidRPr="00284E38">
        <w:rPr>
          <w:rFonts w:eastAsia="MS Mincho"/>
          <w:b w:val="0"/>
          <w:bCs w:val="0"/>
          <w:sz w:val="20"/>
          <w:szCs w:val="20"/>
          <w:lang w:eastAsia="ja-JP"/>
        </w:rPr>
        <w:t>M</w:t>
      </w:r>
      <w:r w:rsidR="007A4C87" w:rsidRPr="00284E38">
        <w:rPr>
          <w:rFonts w:eastAsia="MS Mincho"/>
          <w:b w:val="0"/>
          <w:bCs w:val="0"/>
          <w:sz w:val="20"/>
          <w:szCs w:val="20"/>
          <w:lang w:eastAsia="ja-JP"/>
        </w:rPr>
        <w:t xml:space="preserve">. </w:t>
      </w:r>
      <w:r w:rsidRPr="00284E38">
        <w:rPr>
          <w:rFonts w:eastAsia="MS Mincho"/>
          <w:b w:val="0"/>
          <w:bCs w:val="0"/>
          <w:sz w:val="20"/>
          <w:szCs w:val="20"/>
          <w:lang w:eastAsia="ja-JP"/>
        </w:rPr>
        <w:t>J</w:t>
      </w:r>
      <w:r w:rsidR="007A4C87" w:rsidRPr="00284E38">
        <w:rPr>
          <w:rFonts w:eastAsia="MS Mincho"/>
          <w:b w:val="0"/>
          <w:bCs w:val="0"/>
          <w:sz w:val="20"/>
          <w:szCs w:val="20"/>
          <w:lang w:eastAsia="ja-JP"/>
        </w:rPr>
        <w:t>.</w:t>
      </w:r>
      <w:r w:rsidRPr="00284E38">
        <w:rPr>
          <w:rFonts w:eastAsia="MS Mincho"/>
          <w:b w:val="0"/>
          <w:bCs w:val="0"/>
          <w:sz w:val="20"/>
          <w:szCs w:val="20"/>
          <w:lang w:eastAsia="ja-JP"/>
        </w:rPr>
        <w:t>, Dugar</w:t>
      </w:r>
      <w:r w:rsidR="007A4C87" w:rsidRPr="00284E38">
        <w:rPr>
          <w:rFonts w:eastAsia="MS Mincho"/>
          <w:b w:val="0"/>
          <w:bCs w:val="0"/>
          <w:sz w:val="20"/>
          <w:szCs w:val="20"/>
          <w:lang w:eastAsia="ja-JP"/>
        </w:rPr>
        <w:t>,</w:t>
      </w:r>
      <w:r w:rsidRPr="00284E38">
        <w:rPr>
          <w:rFonts w:eastAsia="MS Mincho"/>
          <w:b w:val="0"/>
          <w:bCs w:val="0"/>
          <w:sz w:val="20"/>
          <w:szCs w:val="20"/>
          <w:lang w:eastAsia="ja-JP"/>
        </w:rPr>
        <w:t xml:space="preserve"> A</w:t>
      </w:r>
      <w:r w:rsidR="007A4C87" w:rsidRPr="00284E38">
        <w:rPr>
          <w:rFonts w:eastAsia="MS Mincho"/>
          <w:b w:val="0"/>
          <w:bCs w:val="0"/>
          <w:sz w:val="20"/>
          <w:szCs w:val="20"/>
          <w:lang w:eastAsia="ja-JP"/>
        </w:rPr>
        <w:t>.</w:t>
      </w:r>
      <w:r w:rsidRPr="00284E38">
        <w:rPr>
          <w:rFonts w:eastAsia="MS Mincho"/>
          <w:b w:val="0"/>
          <w:bCs w:val="0"/>
          <w:sz w:val="20"/>
          <w:szCs w:val="20"/>
          <w:lang w:eastAsia="ja-JP"/>
        </w:rPr>
        <w:t>, Joshi</w:t>
      </w:r>
      <w:r w:rsidR="007A4C87" w:rsidRPr="00284E38">
        <w:rPr>
          <w:rFonts w:eastAsia="MS Mincho"/>
          <w:b w:val="0"/>
          <w:bCs w:val="0"/>
          <w:sz w:val="20"/>
          <w:szCs w:val="20"/>
          <w:lang w:eastAsia="ja-JP"/>
        </w:rPr>
        <w:t>,</w:t>
      </w:r>
      <w:r w:rsidRPr="00284E38">
        <w:rPr>
          <w:rFonts w:eastAsia="MS Mincho"/>
          <w:b w:val="0"/>
          <w:bCs w:val="0"/>
          <w:sz w:val="20"/>
          <w:szCs w:val="20"/>
          <w:lang w:eastAsia="ja-JP"/>
        </w:rPr>
        <w:t xml:space="preserve"> A</w:t>
      </w:r>
      <w:r w:rsidR="007A4C87" w:rsidRPr="00284E38">
        <w:rPr>
          <w:rFonts w:eastAsia="MS Mincho"/>
          <w:b w:val="0"/>
          <w:bCs w:val="0"/>
          <w:sz w:val="20"/>
          <w:szCs w:val="20"/>
          <w:lang w:eastAsia="ja-JP"/>
        </w:rPr>
        <w:t xml:space="preserve">. </w:t>
      </w:r>
      <w:r w:rsidRPr="00284E38">
        <w:rPr>
          <w:rFonts w:eastAsia="MS Mincho"/>
          <w:b w:val="0"/>
          <w:bCs w:val="0"/>
          <w:sz w:val="20"/>
          <w:szCs w:val="20"/>
          <w:lang w:eastAsia="ja-JP"/>
        </w:rPr>
        <w:t>V</w:t>
      </w:r>
      <w:r w:rsidR="007A4C87" w:rsidRPr="00284E38">
        <w:rPr>
          <w:rFonts w:eastAsia="MS Mincho"/>
          <w:b w:val="0"/>
          <w:bCs w:val="0"/>
          <w:sz w:val="20"/>
          <w:szCs w:val="20"/>
          <w:lang w:eastAsia="ja-JP"/>
        </w:rPr>
        <w:t>.</w:t>
      </w:r>
      <w:r w:rsidRPr="00284E38">
        <w:rPr>
          <w:rFonts w:eastAsia="MS Mincho"/>
          <w:b w:val="0"/>
          <w:bCs w:val="0"/>
          <w:sz w:val="20"/>
          <w:szCs w:val="20"/>
          <w:lang w:eastAsia="ja-JP"/>
        </w:rPr>
        <w:t>, et al. Healthcare utilization and costs in patients beginning pharmacotherapy for generalized anxiety disorder: a retrospective cohort study. BMC Psych. 2011; 11(193). PubMed Central PMCID: PMC22151689</w:t>
      </w:r>
      <w:r w:rsidR="000C5512" w:rsidRPr="00284E38">
        <w:rPr>
          <w:rFonts w:eastAsia="MS Mincho"/>
          <w:b w:val="0"/>
          <w:bCs w:val="0"/>
          <w:sz w:val="20"/>
          <w:szCs w:val="20"/>
          <w:lang w:eastAsia="ja-JP"/>
        </w:rPr>
        <w:t xml:space="preserve"> </w:t>
      </w:r>
    </w:p>
    <w:p w14:paraId="46059C69" w14:textId="77777777" w:rsidR="007A4C87" w:rsidRPr="00284E38" w:rsidRDefault="000C5512" w:rsidP="007A4C87">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Brooks, S., &amp; Gelman, A. (1998a). General methods for monitoring convergence of iterative simulations. Journal of Computational and Graphical Statistics, 7(4), 434-455. doi: Doi 10.2307/1390675</w:t>
      </w:r>
    </w:p>
    <w:p w14:paraId="6084F34E" w14:textId="77777777" w:rsidR="007A4C87" w:rsidRPr="00284E38" w:rsidRDefault="000C5512" w:rsidP="007A4C87">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 xml:space="preserve">Brooks, S., &amp; Gelman, A. (1998b). Some issues in monitoring convergence of iterative simulations. Dimension Reduction, Computational Complexity and Information, 30, 30-36. </w:t>
      </w:r>
    </w:p>
    <w:p w14:paraId="6B96D0F8"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Caldwell, D. M., Ades, A. E., &amp; Higgins, J. P. (2005). Simultaneous comparison of multiple treatments: combining direct and indirect evidence. BMJ, 331(7521), 897-900. doi: 10.1136/bmj.331.7521.897</w:t>
      </w:r>
    </w:p>
    <w:p w14:paraId="13DB99EE"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Carlbring, P., Andersson, G., Cuijpers, P., Riper, H., &amp; Hedman-Lagerlöf, E. (2018). Internet-based vs. face-to-face cognitive behavior therapy for psychiatric and somatic disorders: An updated systematic review and meta-analysis. Cognitive Behaviour Therapy (Vol. 47, Issue 1, pp. 1–18).</w:t>
      </w:r>
    </w:p>
    <w:p w14:paraId="6AACFF39"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Christensen, H., Batterham, P., Mackinnon, A., Griffiths, K. M., Hehir, K. K., Kenardy, J., . . . Bennett, K. (2014). Prevention of generalized anxiety disorder using a web intervention, iChill: Randomized controlled trial. Journal of Medical Internet Research, 16(9). doi: 10.2196/jmir.3507</w:t>
      </w:r>
    </w:p>
    <w:p w14:paraId="09C81DA7"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Christensen, H., Mackinnon, A. J., Batterham, P. J., O'Dea, B., Guastella, A. J., Griffiths, K. M., . . . Hickie, I. (2014). The effectiveness of an online e-health application compared to attention placebo or Sertraline in the treatment of Generalised Anxiety Disorder. Internet Interventions, 1(4), 169-174. doi: https://doi.org/10.1016/j.invent.2014.08.002</w:t>
      </w:r>
    </w:p>
    <w:p w14:paraId="5D265161"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Cooper, N. J., Peters, J., Lai, M. C., Juni, P., Wandel, S., Palmer, S., . . . Sutton, A. J. (2011). How valuable are multiple treatment comparison methods in evidence-based health-care evaluation? Value Health, 14(2), 371-380. doi: 10.1016/j.jval.2010.09.001</w:t>
      </w:r>
    </w:p>
    <w:p w14:paraId="220CDB8B"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Cuijpers, P., Donker, T., van Straten, A., Li, J., &amp; Andersson, G. (2010). Is guided self-help as effective as face-to-face psychotherapy for depression and anxiety disorders? A systematic review and meta-analysis of comparative outcome studies. Psychol Med, 40(12), 1943-1957. doi: 10.1017/S0033291710000772</w:t>
      </w:r>
    </w:p>
    <w:p w14:paraId="624F2D26"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Cuijpers, P., Sijbrandij, M., Koole, S. L., Andersson, G., Beekman, A. T., &amp; Reynolds III, C. F. (2014). Adding psychotherapy to antidepressant medication in depression and anxiety disorders: A meta-analysis. World Psychiatry, 13(1), 56-67. doi: 10.1002/wps.20089</w:t>
      </w:r>
    </w:p>
    <w:p w14:paraId="1283F9DA"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Dahlin, M., Andersson, G., Magnusson, K., Johansson, T., Sjogren, J., Hakansson, A., . . . Carlbring, P. (2016). Internet-delivered acceptance-based behaviour therapy for generalized anxiety disorder: A randomized controlled trial. [Cognitive Therapy 3311]. Behaviour Research and Therapy, 77, 86-95. doi: http://dx.doi.org/10.1016/j.brat.2015.12.007</w:t>
      </w:r>
    </w:p>
    <w:p w14:paraId="6C14DB03"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Dear, B. F., Staples, L. G., Terides, M. D., Karin, E., Zou, J., Johnston, L., . . . Titov, N. (2015). Transdiagnostic versus disorder-specific and clinician-guided versus self-guided internet-delivered treatment for generalized anxiety disorder and comorbid disorders: A randomized controlled trial. [Cognitive Therapy 3311]. Journal of Anxiety Disorders, 36, 63-77. doi: http://dx.doi.org/10.1016/j.janxdis.2015.09.003</w:t>
      </w:r>
    </w:p>
    <w:p w14:paraId="7722F27B"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Dear, B. F., Titov, N., Sunderland, M., McMillan, D., Anderson, T., Lorian, C., &amp; Robinson, E. (2011). Psychometric comparison of the Generalized Anxiety Disorder Scale-7 and the Penn State Worry Questionnaire for measuring response during treatment of generalised anxiety disorder. Cogn Behav Ther, 40(3), 216-227. doi: 10.1080/16506073.2011.582138</w:t>
      </w:r>
    </w:p>
    <w:p w14:paraId="12BD4435"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Deeks, J. J., Higgins, J. P. T., &amp; Altman, D. G. (2008). Chapter 9: Analysing data and undertaking meta-analyses. In Higgins J. P. T. &amp; G. S. (Eds.), Cochrane Handbook for Systematic Reviews of Interventions. Version 5.0.1 [updated September 2008]: The Cochrane Collaboration.</w:t>
      </w:r>
    </w:p>
    <w:p w14:paraId="01EE71E9"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Dias, S., Sutton, A. J., Ades, A. E., &amp; Welton, N. J. (2013). Evidence synthesis for decision making 2: A generalized linear modeling framework for pairwise and network meta-analysis of randomized controlled trials. Medical Decision Making, 33(5), 607-617. doi: 10.1177/0272989x12458724</w:t>
      </w:r>
    </w:p>
    <w:p w14:paraId="3394A427"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Dias, S., Welton, N. J., Sutton, A. J., &amp; Ades, A. E. (2014). NICE DSU Technical Support Document 2: A Generalised Linear Modelling Framework for Pairwise and Network Meta-Analysis of Randomised Controlled Trials. London.</w:t>
      </w:r>
    </w:p>
    <w:p w14:paraId="686A41F6"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Dias, S., Welton, N. J., Sutton, A. J., Caldwell, D. M., Lu, G., &amp; Ades, A. E. (2013). Evidence synthesis for decision making 4: inconsistency in networks of evidence based on randomized controlled trials. Med Decis Making, 33(5), 641-656. doi: 10.1177/0272989X12455847</w:t>
      </w:r>
    </w:p>
    <w:p w14:paraId="4F716A62"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Dias, S., Welton, N. J., Sutton, A. J., Caldwell, D. M., Lu, G., &amp; Ades, A. E. (2014). NICE DSU Technical Support Document 4: Inconsistency in Networks of Evidence Based on Randomised Controlled Trials. London.</w:t>
      </w:r>
    </w:p>
    <w:p w14:paraId="4D0B20A5"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Fu, R., Vandermeer, B. W., Shamliyan, T. A., O'Neil, M. E., Yazdi, F., Fox, S. H., &amp; Morton, S. C. (2008). Handling continuous outcomes in quantitative synthesis Methods Guide for Effectiveness and Comparative Effectiveness Reviews. Rockville (MD).</w:t>
      </w:r>
    </w:p>
    <w:p w14:paraId="3EF03B20"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Gega, L., &amp; Gilbody, S. (2015). Software-based psychotherapy: The example of computerized cognitive-behavioral therapy Mental Health in the Digital Age: Grave dangers, great promise. (pp. 196-219). Oxford: Oxford University Press.</w:t>
      </w:r>
    </w:p>
    <w:p w14:paraId="2539E884" w14:textId="77777777" w:rsidR="007A4C87" w:rsidRPr="00284E38" w:rsidRDefault="000C5512" w:rsidP="007A4C87">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Gelman, A., &amp; Rubin, D. B. (1992). Inference from iterative simulation using multiple sequences. Statistical Science, 7(4), 457-472. doi: 10.2307/2246093</w:t>
      </w:r>
    </w:p>
    <w:p w14:paraId="57D46630" w14:textId="6586826C" w:rsidR="000C5512" w:rsidRPr="00284E38" w:rsidRDefault="000C5512" w:rsidP="007A4C87">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 xml:space="preserve">Hayes-Skelton, S. A., Roemer, L., Orsillo, S. M., &amp; Borkovec, T. D. (2013). A contemporary view of applied relaxation for generalized anxiety disorder. Cognitive behaviour therapy, 42(4), 292-302. </w:t>
      </w:r>
    </w:p>
    <w:p w14:paraId="0A613262"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 xml:space="preserve">Hazen, R. A., Vasey, M. W., &amp; Schmidt, N. B. (2009). Attentional retraining: a randomized clinical trial for pathological worry. Journal of Psychiatric Research, 43(6), 627-633. </w:t>
      </w:r>
    </w:p>
    <w:p w14:paraId="4DD67F24"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Higgins, J. P. T., &amp; Cochrane Collaboration. (2020). Cochrane handbook for systematic reviews of interventions (Second edition. ed.). Hoboken, NJ: Wiley-Blackwell.</w:t>
      </w:r>
    </w:p>
    <w:p w14:paraId="38D861FE"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Hirsch, C. R., Krahe, C., Whyte, J., Loizou, S., Bridge, L., Norton, S., &amp; Mathews, A. (2018). Interpretation training to target repetitive negative thinking in generalized anxiety disorder and depression. Journal of Consulting and Clinical Psychology, 86(12), 1017-1030. doi: http://dx.doi.org/10.1037/ccp0000310</w:t>
      </w:r>
    </w:p>
    <w:p w14:paraId="603425E9" w14:textId="77777777" w:rsidR="000C5512" w:rsidRPr="00284E38" w:rsidRDefault="000C5512" w:rsidP="000C5512">
      <w:pPr>
        <w:pStyle w:val="Heading1"/>
        <w:spacing w:before="0"/>
        <w:ind w:left="720" w:hanging="720"/>
        <w:rPr>
          <w:rFonts w:eastAsia="MS Mincho"/>
          <w:b w:val="0"/>
          <w:bCs w:val="0"/>
          <w:sz w:val="20"/>
          <w:szCs w:val="20"/>
          <w:lang w:val="pt-PT" w:eastAsia="ja-JP"/>
        </w:rPr>
      </w:pPr>
      <w:r w:rsidRPr="00284E38">
        <w:rPr>
          <w:rFonts w:eastAsia="MS Mincho"/>
          <w:b w:val="0"/>
          <w:bCs w:val="0"/>
          <w:sz w:val="20"/>
          <w:szCs w:val="20"/>
          <w:lang w:eastAsia="ja-JP"/>
        </w:rPr>
        <w:t xml:space="preserve">Hodgins, D. C., &amp; Peden, N. (2008). Cognitive-behavioral treatment for impulse control disorders. </w:t>
      </w:r>
      <w:r w:rsidRPr="00284E38">
        <w:rPr>
          <w:rFonts w:eastAsia="MS Mincho"/>
          <w:b w:val="0"/>
          <w:bCs w:val="0"/>
          <w:sz w:val="20"/>
          <w:szCs w:val="20"/>
          <w:lang w:val="pt-PT" w:eastAsia="ja-JP"/>
        </w:rPr>
        <w:t>Revista Brasileira de Psiquiatria, 30(Suppl1), S31-S40. doi: 10.1590/S1516-44462006005000055</w:t>
      </w:r>
    </w:p>
    <w:p w14:paraId="4B9F5747"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val="pt-PT" w:eastAsia="ja-JP"/>
        </w:rPr>
        <w:t xml:space="preserve">Howell, A. N., Rheingold, A. A., Uhde, T. W., &amp; Guille, C. (2018). </w:t>
      </w:r>
      <w:r w:rsidRPr="00284E38">
        <w:rPr>
          <w:rFonts w:eastAsia="MS Mincho"/>
          <w:b w:val="0"/>
          <w:bCs w:val="0"/>
          <w:sz w:val="20"/>
          <w:szCs w:val="20"/>
          <w:lang w:eastAsia="ja-JP"/>
        </w:rPr>
        <w:t>Web-based CBT for the prevention of anxiety symptoms among medical and health science graduate students. Cognitive Behaviour Therapy, 1-21. doi: https://dx.doi.org/10.1080/16506073.2018.1533575</w:t>
      </w:r>
    </w:p>
    <w:p w14:paraId="3AE40D65"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 xml:space="preserve">Hunot, V., Churchill, R., Teixeira, V., &amp; de Lima, M. S. (2007). Psychological therapies for generalised anxiety disorder. Cochrane Database of Systematic Reviews(1). </w:t>
      </w:r>
    </w:p>
    <w:p w14:paraId="59E2A3EC" w14:textId="77777777" w:rsidR="000C5512" w:rsidRPr="00284E38" w:rsidRDefault="000C5512" w:rsidP="000C5512">
      <w:pPr>
        <w:pStyle w:val="Heading1"/>
        <w:spacing w:before="0"/>
        <w:ind w:left="720" w:hanging="720"/>
        <w:rPr>
          <w:rFonts w:eastAsia="MS Mincho"/>
          <w:b w:val="0"/>
          <w:bCs w:val="0"/>
          <w:sz w:val="20"/>
          <w:szCs w:val="20"/>
          <w:lang w:val="pt-PT" w:eastAsia="ja-JP"/>
        </w:rPr>
      </w:pPr>
      <w:r w:rsidRPr="00284E38">
        <w:rPr>
          <w:rFonts w:eastAsia="MS Mincho"/>
          <w:b w:val="0"/>
          <w:bCs w:val="0"/>
          <w:sz w:val="20"/>
          <w:szCs w:val="20"/>
          <w:lang w:eastAsia="ja-JP"/>
        </w:rPr>
        <w:t xml:space="preserve">Johansson, R., Bjorklund, M., Hornborg, C., Karlsson, S., Hesser, H., Ljotsson, B., . . . Andersson, G. (2013). Affect-focused psychodynamic psychotherapy for depression and anxiety through the Internet: A randomized controlled trial. </w:t>
      </w:r>
      <w:r w:rsidRPr="00284E38">
        <w:rPr>
          <w:rFonts w:eastAsia="MS Mincho"/>
          <w:b w:val="0"/>
          <w:bCs w:val="0"/>
          <w:sz w:val="20"/>
          <w:szCs w:val="20"/>
          <w:lang w:val="pt-PT" w:eastAsia="ja-JP"/>
        </w:rPr>
        <w:t>PeerJ, 1, e102. doi: https://dx.doi.org/10.7717/peerj.102</w:t>
      </w:r>
    </w:p>
    <w:p w14:paraId="66B77278"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val="pt-PT" w:eastAsia="ja-JP"/>
        </w:rPr>
        <w:t xml:space="preserve">Jones, S. L., Hadjistavropoulos, H. D., &amp; Soucy, J. N. (2016). </w:t>
      </w:r>
      <w:r w:rsidRPr="00284E38">
        <w:rPr>
          <w:rFonts w:eastAsia="MS Mincho"/>
          <w:b w:val="0"/>
          <w:bCs w:val="0"/>
          <w:sz w:val="20"/>
          <w:szCs w:val="20"/>
          <w:lang w:eastAsia="ja-JP"/>
        </w:rPr>
        <w:t>A randomized controlled trial of guided internet-delivered cognitive behaviour therapy for older adults with generalized anxiety. [Cognitive Therapy 3311]. Journal of Anxiety Disorders, 37, 1-9. doi: http://dx.doi.org/10.1016/j.janxdis.2015.10.006</w:t>
      </w:r>
    </w:p>
    <w:p w14:paraId="26AF485A"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 xml:space="preserve">Kroenke, K., &amp; Spitzer, R. L. (2002). The PHQ-9: a new depression diagnostic and severity measure. Psychiatric annals, 32(9), 509-515. </w:t>
      </w:r>
    </w:p>
    <w:p w14:paraId="2D77679C"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Latimer NR, Abrams KR, Lambert PC, Crowther MJ, Wailoo AJ, Morden JP, Akehurst RL, Campbell MJ. (2014) Adjusting survival time estimates to account for treatment switching in randomized controlled trials--an economic evaluation context: methods, limitations, and recommendations. Med Decis Making. 34(3):387-402.</w:t>
      </w:r>
    </w:p>
    <w:p w14:paraId="58CE8704"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Lu, G., &amp; Ades, A. E. (2004). Combination of direct and indirect evidence in mixed treatment comparisons. Stat Med, 23(20), 3105-3124. doi: 10.1002/sim.1875</w:t>
      </w:r>
    </w:p>
    <w:p w14:paraId="061E78E7"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Lumley, T. (2002). Network meta-analysis for indirect treatment comparisons. Stat Med, 21(16), 2313-2324. doi: 10.1002/sim.1201</w:t>
      </w:r>
    </w:p>
    <w:p w14:paraId="5A10DE3A"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Lunn, D. J., Thomas, A., Best, N., &amp; Spiegelhalter, D. (2000). WinBUGS - A Bayesian modelling framework: Concepts, structure, and extensibility. Statistics and Computing, 10(4), 325-337. doi: Doi 10.1023/A:1008929526011</w:t>
      </w:r>
    </w:p>
    <w:p w14:paraId="7128F46A" w14:textId="77777777" w:rsidR="00BE25ED" w:rsidRPr="00284E38" w:rsidRDefault="000C5512" w:rsidP="00BE25ED">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 xml:space="preserve">Maier, W., Buller, R., Philipp, M., &amp; Heuser, I. (1988). The Hamilton Anxiety Scale: reliability, validity and sensitivity to change in anxiety and depressive disorders. Journal of affective disorders, 14(1), 61-68. </w:t>
      </w:r>
    </w:p>
    <w:p w14:paraId="7FCBE261" w14:textId="4912CC00" w:rsidR="00BE25ED" w:rsidRPr="00284E38" w:rsidRDefault="00BE25ED" w:rsidP="00BE25ED">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Mental Health Foundation. (2016). Fundamental Facts About Mental Health</w:t>
      </w:r>
    </w:p>
    <w:p w14:paraId="700793E9" w14:textId="4BB897C0" w:rsidR="00BE25ED" w:rsidRPr="00284E38" w:rsidRDefault="00BE25ED" w:rsidP="00BE25ED">
      <w:pPr>
        <w:pStyle w:val="Heading1"/>
        <w:spacing w:before="0"/>
        <w:ind w:left="720"/>
        <w:rPr>
          <w:rFonts w:eastAsia="MS Mincho"/>
          <w:b w:val="0"/>
          <w:bCs w:val="0"/>
          <w:sz w:val="20"/>
          <w:szCs w:val="20"/>
          <w:lang w:eastAsia="ja-JP"/>
        </w:rPr>
      </w:pPr>
      <w:r w:rsidRPr="00284E38">
        <w:rPr>
          <w:rFonts w:eastAsia="MS Mincho"/>
          <w:b w:val="0"/>
          <w:bCs w:val="0"/>
          <w:sz w:val="20"/>
          <w:szCs w:val="20"/>
          <w:lang w:eastAsia="ja-JP"/>
        </w:rPr>
        <w:t>2016. Mental Health Foundation: London.</w:t>
      </w:r>
    </w:p>
    <w:p w14:paraId="75CABC76" w14:textId="530E8B6C"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McManus, S., Bebbington, P., Jenkins, R., &amp; Brugha, T. (2016). Mental health and wellbeing in England: Adult Psychiatric Morbidity Survey 2014. A survey carried out for NHS Digital by NatCen Social Research and the Department of Health Sciences. University of Leicester.</w:t>
      </w:r>
    </w:p>
    <w:p w14:paraId="7DAD045B"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Meyer, T. J., Miller, M. L., Metzger, R. L., &amp; Borkovec, T. D. (1990). Development and validation of the Penn State Worry Questionnaire. Behav Res Ther, 28(6), 487-495. doi: 10.1016/0005-7967(90)90135-6</w:t>
      </w:r>
    </w:p>
    <w:p w14:paraId="718D233F"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 xml:space="preserve">Moher, D., Liberati, A., Tetzlaff, J., &amp; Altman, D. G. (2009). Preferred reporting items for systematic reviews and meta-analyses: the PRISMA statement. Annals of internal medicine, 151(4), 264-269. </w:t>
      </w:r>
    </w:p>
    <w:p w14:paraId="4E8E2265" w14:textId="77777777" w:rsidR="000C5512" w:rsidRPr="00284E38" w:rsidRDefault="000C5512" w:rsidP="000C5512">
      <w:pPr>
        <w:pStyle w:val="Heading1"/>
        <w:spacing w:before="0"/>
        <w:ind w:left="720" w:hanging="720"/>
        <w:rPr>
          <w:rFonts w:eastAsia="MS Mincho"/>
          <w:b w:val="0"/>
          <w:bCs w:val="0"/>
          <w:sz w:val="20"/>
          <w:szCs w:val="20"/>
          <w:lang w:val="pt-PT" w:eastAsia="ja-JP"/>
        </w:rPr>
      </w:pPr>
      <w:r w:rsidRPr="00284E38">
        <w:rPr>
          <w:rFonts w:eastAsia="MS Mincho"/>
          <w:b w:val="0"/>
          <w:bCs w:val="0"/>
          <w:sz w:val="20"/>
          <w:szCs w:val="20"/>
          <w:lang w:eastAsia="ja-JP"/>
        </w:rPr>
        <w:t xml:space="preserve">National Institute for Health and Clinical Excellence. (2011). Generalised Anxiety Disorder and Panic Disorder in Adults: Management. </w:t>
      </w:r>
      <w:r w:rsidRPr="00284E38">
        <w:rPr>
          <w:rFonts w:eastAsia="MS Mincho"/>
          <w:b w:val="0"/>
          <w:bCs w:val="0"/>
          <w:sz w:val="20"/>
          <w:szCs w:val="20"/>
          <w:lang w:val="pt-PT" w:eastAsia="ja-JP"/>
        </w:rPr>
        <w:t>Clinical Guideline 113. London: NICE.</w:t>
      </w:r>
    </w:p>
    <w:p w14:paraId="3DCA55EE"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val="pt-PT" w:eastAsia="ja-JP"/>
        </w:rPr>
        <w:t xml:space="preserve">Navarro-Haro, M. V., Modrego-Alarcon, M., Hoffman, H. G., Lopez-Montoyo, A., Navarro-Gil, M., Montero-Marin, J., . . . </w:t>
      </w:r>
      <w:r w:rsidRPr="00284E38">
        <w:rPr>
          <w:rFonts w:eastAsia="MS Mincho"/>
          <w:b w:val="0"/>
          <w:bCs w:val="0"/>
          <w:sz w:val="20"/>
          <w:szCs w:val="20"/>
          <w:lang w:eastAsia="ja-JP"/>
        </w:rPr>
        <w:t>Garcia-Campayo, J. (2019). Evaluation of a mindfulness-based intervention with and without virtual reality dialectical behavior therapy mindfulness skills training for the treatment of generalized anxiety disorder in primary care: A pilot study. [Behavior Therapy &amp; Behavior Modification 3312]. Frontiers in Psychology, 10. doi: http://dx.doi.org/10.3389/fpsyg.2019.00055</w:t>
      </w:r>
    </w:p>
    <w:p w14:paraId="3BC76164" w14:textId="036A6F21" w:rsidR="004F04F6" w:rsidRPr="00284E38" w:rsidRDefault="004F04F6"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Pacek, L. R., Storr, C. L., Mojtabai, R., Green, K. M., La Flair, L. N., Alvanzo, A. A., Cullen, B. A., &amp; Crum, R. M. (2013). Comorbid Alcohol Dependence and Anxiety Disorders: A National Survey. Journal of dual diagnosis, 9(4), 10.1080/15504263.2013.835164. https://doi.org/10.1080/15504263.2013.835164</w:t>
      </w:r>
    </w:p>
    <w:p w14:paraId="164F721E" w14:textId="6AF01E54"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Paxling, B., Almlov, J., Dahlin, M., Carlbring, P., Breitholtz, E., Eriksson, T., &amp; Andersson, G. (2011). Guided internet-delivered cognitive behavior therapy for generalized anxiety disorder: A randomized controlled trial. [Cognitive Therapy 3311]. Cognitive Behaviour Therapy, 40(3), 159-173. doi: http://dx.doi.org/10.1080/16506073.2011.576699</w:t>
      </w:r>
    </w:p>
    <w:p w14:paraId="00D99689"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Pham, Q., Khatib, Y., Stansfeld, S., Fox, S., &amp; Green, T. (2016). Feasibility and efficacy of an mHealth game for managing anxiety: "Flowy" randomized controlled pilot trial and design evaluation. Games for Health Journal, 5(1), 50-67. doi: https://dx.doi.org/10.1089/g4h.2015.0033</w:t>
      </w:r>
    </w:p>
    <w:p w14:paraId="3670AAA3" w14:textId="77777777" w:rsidR="000C5512" w:rsidRPr="00284E38" w:rsidRDefault="000C5512" w:rsidP="000C5512">
      <w:pPr>
        <w:pStyle w:val="Heading1"/>
        <w:spacing w:before="0"/>
        <w:ind w:left="720" w:hanging="720"/>
        <w:rPr>
          <w:rFonts w:eastAsia="MS Mincho"/>
          <w:b w:val="0"/>
          <w:bCs w:val="0"/>
          <w:sz w:val="20"/>
          <w:szCs w:val="20"/>
          <w:lang w:val="pt-PT" w:eastAsia="ja-JP"/>
        </w:rPr>
      </w:pPr>
      <w:r w:rsidRPr="00284E38">
        <w:rPr>
          <w:rFonts w:eastAsia="MS Mincho"/>
          <w:b w:val="0"/>
          <w:bCs w:val="0"/>
          <w:sz w:val="20"/>
          <w:szCs w:val="20"/>
          <w:lang w:eastAsia="ja-JP"/>
        </w:rPr>
        <w:t xml:space="preserve">R foundation for statistical computing. </w:t>
      </w:r>
      <w:r w:rsidRPr="00284E38">
        <w:rPr>
          <w:rFonts w:eastAsia="MS Mincho"/>
          <w:b w:val="0"/>
          <w:bCs w:val="0"/>
          <w:sz w:val="20"/>
          <w:szCs w:val="20"/>
          <w:lang w:val="pt-PT" w:eastAsia="ja-JP"/>
        </w:rPr>
        <w:t xml:space="preserve">(2014). R version 3.6.0. </w:t>
      </w:r>
    </w:p>
    <w:p w14:paraId="1B4EF0C8"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val="pt-PT" w:eastAsia="ja-JP"/>
        </w:rPr>
        <w:t xml:space="preserve">Repetto, C., Gaggioli, A., Pallavicini, F., Cipresso, P., Raspelli, S., &amp; Riva, G. (2013). </w:t>
      </w:r>
      <w:r w:rsidRPr="00284E38">
        <w:rPr>
          <w:rFonts w:eastAsia="MS Mincho"/>
          <w:b w:val="0"/>
          <w:bCs w:val="0"/>
          <w:sz w:val="20"/>
          <w:szCs w:val="20"/>
          <w:lang w:eastAsia="ja-JP"/>
        </w:rPr>
        <w:t>Virtual reality and mobile phones in the treatment of generalized anxiety disorders: A phase-2 clinical trial. Personal and Ubiquitous Computing, 17(2), 253-260. doi: 10.1007/s00779-011-0467-0</w:t>
      </w:r>
    </w:p>
    <w:p w14:paraId="3E77E520"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 xml:space="preserve">Revicki, D. A., Travers, K., Wyrwich, K. W., Svedsäter, H., Locklear, J., Mattera, M. S., . . . Montgomery, S. (2012). Humanistic and economic burden of generalized anxiety disorder in North America and Europe. Journal of affective disorders, 140(2), 103-112. </w:t>
      </w:r>
    </w:p>
    <w:p w14:paraId="189DC682"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 xml:space="preserve">Richards, D., Richardson, T., Timulak, L., &amp; McElvaney, J. (2015). The efficacy of internet-delivered treatment for generalized anxiety disorder: A systematic review and meta-analysis. Internet Interventions, 2(3), 272-282. </w:t>
      </w:r>
    </w:p>
    <w:p w14:paraId="77D52072"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Richards, D., Timulak, L., Rashleigh, C., McLoughlin, O., Colla, A., Joyce, C., . . . Anderson-Gibbons, M. (2016). Effectiveness of an internet-delivered intervention for generalized anxiety disorder in routine care: A randomised controlled trial in a student population. Internet Interventions, 6, 80-88. doi: https://dx.doi.org/10.1016/j.invent.2016.10.003</w:t>
      </w:r>
    </w:p>
    <w:p w14:paraId="464AB099"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Riley, R. D., Kauser, I., Bland, M., Thijs, L., Staessen, J. A., Wang, J., . . . Deeks, J. J. (2013). Meta-analysis of randomised trials with a continuous outcome according to baseline imbalance and availability of individual participant data. Stat Med, 32(16), 2747-2766. doi: 10.1002/sim.5726</w:t>
      </w:r>
    </w:p>
    <w:p w14:paraId="3A65A8BC"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Robinson, E., Titov, N., Andrews, G., McIntyre, K., Schwencke, G., &amp; Solley, K. (2010). Internet treatment for generalized anxiety disorder: A randomized controlled trial comparing clinician vs. technician assistance. Plos One, 5(6). doi: 10.1371/journal.pone.0010942</w:t>
      </w:r>
    </w:p>
    <w:p w14:paraId="69071540"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 xml:space="preserve">Sheehan, D. V., Lecrubier, Y., Sheehan, K. H., Amorim, P., Janavs, J., Weiller, E., . . . Dunbar, G. C. (1998). The Mini-International Neuropsychiatric Interview (MINI): The development and validation of a structured diagnostic psychiatric interview for DSM-IV and ICD-10. The Journal of Clinical Psychiatry(59(Suppl 2)), 22–33. </w:t>
      </w:r>
    </w:p>
    <w:p w14:paraId="4FC73A1A"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 xml:space="preserve">Shim M, Mahaffey B, Bleidistel M, Gonzalez A. (2017 A scoping review of human-support factors in the context of Internet-based psychological interventions (IPIs) for depression and anxiety disorders.Clinical Psychology Review, 57:129-140. </w:t>
      </w:r>
    </w:p>
    <w:p w14:paraId="290CC8F8"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 xml:space="preserve">Slee, A., Nazareth, I., Bondaronek, P., Liu, Y., Cheng, Z., &amp; Freemantle, N. (2019). Pharmacological treatments for generalised anxiety disorder: A systematic review and network meta-analysis. The Lancet, 393(10173), 768-777. </w:t>
      </w:r>
    </w:p>
    <w:p w14:paraId="250D7806" w14:textId="2CFD4D74" w:rsidR="001922E8" w:rsidRPr="00284E38" w:rsidRDefault="001922E8"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Smith, J. P., &amp; Book, S. W. (2010). Comorbidity of generalized anxiety disorder and alcohol use disorders among individuals seeking outpatient substance abuse treatment. Addictive behaviors, 35(1), 42–45. https://doi.org/10.1016/j.addbeh.2009.07.002</w:t>
      </w:r>
    </w:p>
    <w:p w14:paraId="6A869D8B" w14:textId="10C23F38"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Spek, V., Cuijpers, P., Nyklícek, I., Riper, H., Keyzer, J., &amp; Pop, V. (2007). Internet-based cognitive behaviour therapy for symptoms of depression and anxiety: A meta-analysis. Psychological Medicine, 37(3), 319–328.</w:t>
      </w:r>
    </w:p>
    <w:p w14:paraId="4956DA54"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Spiegelhalter, D. J., Best, N. G., Carlin, B. R., &amp; van der Linde, A. (2002). Bayesian measures of model complexity and fit. Journal of the Royal Statistical Society Series B-Statistical Methodology, 64, 583-616. doi: Doi 10.1111/1467-9868.00353</w:t>
      </w:r>
    </w:p>
    <w:p w14:paraId="24029385"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Spitzer, R. L., Kroenke, K., Williams, J. B., &amp; Lowe, B. (2006). A brief measure for assessing generalized anxiety disorder: The GAD-7. Arch Intern Med, 166(10), 1092-1097. doi: 10.1001/archinte.166.10.1092</w:t>
      </w:r>
    </w:p>
    <w:p w14:paraId="11E22857"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Sterne, J. A. C., Savović, J., Page, M. J., Elbers, R. G., Blencowe, N. S., Boutron, I., . . . Higgins, J. P. T. (2019). RoB 2: A revised tool for assessing risk of bias in randomised trials. BMJ, 366, l4898. doi: 10.1136/bmj.l4898</w:t>
      </w:r>
    </w:p>
    <w:p w14:paraId="2C324EF9"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 xml:space="preserve">Sturtz, S., Ligges, U., &amp; Gelman, A. (2005). R2WinBUGS: A package for running WinBUGS from R. Journal of Statistical Software, 12(3), 1-16. </w:t>
      </w:r>
    </w:p>
    <w:p w14:paraId="210C773B"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Teng, M.-H., Hou, Y.-M., Chang, S.-H., &amp; Cheng, H.-J. (2019). Home-delivered attention bias modification training via smartphone to improve attention control in sub-clinical generalized anxiety disorder: A randomized, controlled multi-session experiment. Journal of Affective Disorders, 246, 444-451. doi: 10.1016/j.jad.2018.12.118</w:t>
      </w:r>
    </w:p>
    <w:p w14:paraId="7646E4ED"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Titov, N., Andrews, G., Johnston, L., Robinson, E., &amp; Spence, J. (2010). Transdiagnostic Internet treatment for anxiety disorders: A randomized controlled trial. [Cognitive Therapy 3311]. Behaviour Research and Therapy, 48(9), 890-899. doi: http://dx.doi.org/10.1016/j.brat.2010.05.014</w:t>
      </w:r>
    </w:p>
    <w:p w14:paraId="18C957C7"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Titov, N., Andrews, G., Robinson, E., Schwencke, G., Johnston, L., Solley, K., &amp; Choi, I. (2009). Clinician-assisted Internet-based treatment is effective for generalized anxiety disorder: Randomized controlled trial. [Cognitive Therapy 3311]. Australian and New Zealand Journal of Psychiatry, 43(10), 905-912. doi: http://dx.doi.org/10.1080/00048670903179269</w:t>
      </w:r>
    </w:p>
    <w:p w14:paraId="7F39348C"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Topper, M., Emmelkamp, P. M., Watkins, E., &amp; Ehring, T. (2017). Prevention of anxiety disorders and depression by targeting excessive worry and rumination in adolescents and young adults: A randomized controlled trial. Behav Res Ther, 90, 123-136. doi: 10.1016/j.brat.2016.12.015</w:t>
      </w:r>
    </w:p>
    <w:p w14:paraId="50A1D518"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van Breukelen, G. J. (2013). ANCOVA versus CHANGE from baseline in nonrandomized studies: The difference. Multivariate Behav Res, 48(6), 895-922. doi: 10.1080/00273171.2013.831743</w:t>
      </w:r>
    </w:p>
    <w:p w14:paraId="6B78EBD5"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Vickers, A. J. (2001). The use of percentage change from baseline as an outcome in a controlled trial is statistically inefficient: A simulation study. BMC Med Res Methodol, 1, 6. doi: 10.1186/1471-2288-1-6</w:t>
      </w:r>
    </w:p>
    <w:p w14:paraId="18FC3CB9"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Vickers, A. J., &amp; Altman, D. G. (2001). Statistics notes: Analysing controlled trials with baseline and follow up measurements. BMJ, 323(7321), 1123-1124. doi: 10.1136/bmj.323.7321.1123</w:t>
      </w:r>
    </w:p>
    <w:p w14:paraId="1FB23FE1" w14:textId="77777777" w:rsidR="000C5512" w:rsidRPr="00284E38"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Winkens, B., van Breukelen, G. J., Schouten, H. J., &amp; Berger, M. P. (2007). Randomized clinical trials with a pre- and a post-treatment measurement: Repeated measures versus ANCOVA models. Contemp Clin Trials, 28(6), 713-719. doi: 10.1016/j.cct.2007.04.002</w:t>
      </w:r>
    </w:p>
    <w:p w14:paraId="144956D5" w14:textId="0F8546AD" w:rsidR="000C5512" w:rsidRDefault="000C5512" w:rsidP="000C5512">
      <w:pPr>
        <w:pStyle w:val="Heading1"/>
        <w:spacing w:before="0"/>
        <w:ind w:left="720" w:hanging="720"/>
        <w:rPr>
          <w:rFonts w:eastAsia="MS Mincho"/>
          <w:b w:val="0"/>
          <w:bCs w:val="0"/>
          <w:sz w:val="20"/>
          <w:szCs w:val="20"/>
          <w:lang w:eastAsia="ja-JP"/>
        </w:rPr>
      </w:pPr>
      <w:r w:rsidRPr="00284E38">
        <w:rPr>
          <w:rFonts w:eastAsia="MS Mincho"/>
          <w:b w:val="0"/>
          <w:bCs w:val="0"/>
          <w:sz w:val="20"/>
          <w:szCs w:val="20"/>
          <w:lang w:eastAsia="ja-JP"/>
        </w:rPr>
        <w:t>World Health Organization. (2018). International classification of diseases, 11th revision (ICD-11). Geneva: World Health Organization.</w:t>
      </w:r>
    </w:p>
    <w:p w14:paraId="2EC8B346" w14:textId="6273D1B1" w:rsidR="00DA0282" w:rsidRPr="00DA0282" w:rsidRDefault="00DA0282" w:rsidP="0047377A">
      <w:pPr>
        <w:keepNext/>
        <w:keepLines/>
        <w:ind w:left="720" w:hanging="720"/>
        <w:outlineLvl w:val="0"/>
        <w:rPr>
          <w:rFonts w:eastAsia="MS Mincho"/>
          <w:sz w:val="20"/>
          <w:szCs w:val="20"/>
          <w:lang w:eastAsia="ja-JP"/>
        </w:rPr>
      </w:pPr>
      <w:r w:rsidRPr="009C29FE">
        <w:rPr>
          <w:rFonts w:eastAsia="MS Mincho"/>
          <w:sz w:val="20"/>
          <w:szCs w:val="20"/>
          <w:highlight w:val="yellow"/>
          <w:lang w:eastAsia="ja-JP"/>
        </w:rPr>
        <w:t xml:space="preserve">World Health Organization. (2019). </w:t>
      </w:r>
      <w:r w:rsidR="0047377A" w:rsidRPr="009C29FE">
        <w:rPr>
          <w:rFonts w:eastAsia="MS Mincho"/>
          <w:sz w:val="20"/>
          <w:szCs w:val="20"/>
          <w:highlight w:val="yellow"/>
          <w:lang w:eastAsia="ja-JP"/>
        </w:rPr>
        <w:t>WHO guideline recommendations on digital interventions for health system strengthening</w:t>
      </w:r>
      <w:r w:rsidRPr="009C29FE">
        <w:rPr>
          <w:rFonts w:eastAsia="MS Mincho"/>
          <w:sz w:val="20"/>
          <w:szCs w:val="20"/>
          <w:highlight w:val="yellow"/>
          <w:lang w:eastAsia="ja-JP"/>
        </w:rPr>
        <w:t>. Geneva: World Health Organization.</w:t>
      </w:r>
    </w:p>
    <w:p w14:paraId="5BB60411" w14:textId="770BCB16" w:rsidR="00CD4AB7" w:rsidRPr="00284E38" w:rsidRDefault="00CD4AB7" w:rsidP="00CD4AB7">
      <w:pPr>
        <w:rPr>
          <w:rFonts w:eastAsia="MS Mincho"/>
          <w:lang w:eastAsia="ja-JP"/>
        </w:rPr>
      </w:pPr>
    </w:p>
    <w:p w14:paraId="1A7AF997" w14:textId="067BE415" w:rsidR="00CD4AB7" w:rsidRPr="00284E38" w:rsidRDefault="00CD4AB7" w:rsidP="00CD4AB7">
      <w:pPr>
        <w:rPr>
          <w:rFonts w:eastAsia="MS Mincho"/>
          <w:lang w:eastAsia="ja-JP"/>
        </w:rPr>
      </w:pPr>
    </w:p>
    <w:p w14:paraId="59E99C8B" w14:textId="3F5A7851" w:rsidR="00CD4AB7" w:rsidRPr="00284E38" w:rsidRDefault="00CD4AB7" w:rsidP="00CD4AB7">
      <w:pPr>
        <w:rPr>
          <w:rFonts w:eastAsia="MS Mincho"/>
          <w:lang w:eastAsia="ja-JP"/>
        </w:rPr>
      </w:pPr>
    </w:p>
    <w:p w14:paraId="0CC69245" w14:textId="6DCABDD1" w:rsidR="00CD4AB7" w:rsidRPr="00284E38" w:rsidRDefault="00CD4AB7" w:rsidP="00CD4AB7">
      <w:pPr>
        <w:rPr>
          <w:rFonts w:eastAsia="MS Mincho"/>
          <w:lang w:eastAsia="ja-JP"/>
        </w:rPr>
      </w:pPr>
    </w:p>
    <w:p w14:paraId="15E0E075" w14:textId="681DCD19" w:rsidR="00CD4AB7" w:rsidRPr="00284E38" w:rsidRDefault="00CD4AB7" w:rsidP="00CD4AB7">
      <w:pPr>
        <w:rPr>
          <w:rFonts w:eastAsia="MS Mincho"/>
          <w:lang w:eastAsia="ja-JP"/>
        </w:rPr>
      </w:pPr>
    </w:p>
    <w:p w14:paraId="5A522C38" w14:textId="12EDEC62" w:rsidR="00CD4AB7" w:rsidRPr="00284E38" w:rsidRDefault="00CD4AB7" w:rsidP="00CD4AB7">
      <w:pPr>
        <w:rPr>
          <w:rFonts w:eastAsia="MS Mincho"/>
          <w:lang w:eastAsia="ja-JP"/>
        </w:rPr>
      </w:pPr>
    </w:p>
    <w:p w14:paraId="4C922EE3" w14:textId="42B191C6" w:rsidR="00CD4AB7" w:rsidRPr="00284E38" w:rsidRDefault="00CD4AB7" w:rsidP="00CD4AB7">
      <w:pPr>
        <w:rPr>
          <w:rFonts w:eastAsia="MS Mincho"/>
          <w:lang w:eastAsia="ja-JP"/>
        </w:rPr>
      </w:pPr>
    </w:p>
    <w:p w14:paraId="31323CE3" w14:textId="556F6CD2" w:rsidR="00CD4AB7" w:rsidRPr="00284E38" w:rsidRDefault="00CD4AB7" w:rsidP="00CD4AB7">
      <w:pPr>
        <w:rPr>
          <w:rFonts w:eastAsia="MS Mincho"/>
          <w:lang w:eastAsia="ja-JP"/>
        </w:rPr>
      </w:pPr>
    </w:p>
    <w:p w14:paraId="2EAE9758" w14:textId="26DC6894" w:rsidR="00610EEE" w:rsidRDefault="00610EEE">
      <w:pPr>
        <w:rPr>
          <w:rFonts w:eastAsia="MS Mincho"/>
          <w:lang w:eastAsia="ja-JP"/>
        </w:rPr>
      </w:pPr>
      <w:r>
        <w:rPr>
          <w:rFonts w:eastAsia="MS Mincho"/>
          <w:lang w:eastAsia="ja-JP"/>
        </w:rPr>
        <w:br w:type="page"/>
      </w:r>
    </w:p>
    <w:p w14:paraId="1D93DEA3" w14:textId="77777777" w:rsidR="00D902D6" w:rsidRDefault="00D902D6" w:rsidP="00D902D6">
      <w:pPr>
        <w:pStyle w:val="Heading1"/>
        <w:spacing w:before="0"/>
        <w:rPr>
          <w:rFonts w:eastAsia="MS Mincho"/>
          <w:sz w:val="24"/>
          <w:szCs w:val="24"/>
          <w:lang w:eastAsia="ja-JP"/>
        </w:rPr>
        <w:sectPr w:rsidR="00D902D6" w:rsidSect="00570640">
          <w:headerReference w:type="default" r:id="rId8"/>
          <w:footerReference w:type="default" r:id="rId9"/>
          <w:pgSz w:w="11906" w:h="16838"/>
          <w:pgMar w:top="1440" w:right="1800" w:bottom="1440" w:left="1800" w:header="708" w:footer="708" w:gutter="0"/>
          <w:lnNumType w:countBy="1" w:restart="continuous"/>
          <w:cols w:space="708"/>
          <w:docGrid w:linePitch="360"/>
        </w:sectPr>
      </w:pPr>
    </w:p>
    <w:p w14:paraId="7961F128" w14:textId="25D5FE92" w:rsidR="00610EEE" w:rsidRPr="00284E38" w:rsidRDefault="00610EEE" w:rsidP="00D902D6">
      <w:pPr>
        <w:pStyle w:val="Heading1"/>
        <w:spacing w:before="0"/>
        <w:rPr>
          <w:rFonts w:eastAsia="MS Mincho"/>
          <w:sz w:val="24"/>
          <w:szCs w:val="24"/>
          <w:lang w:eastAsia="ja-JP"/>
        </w:rPr>
      </w:pPr>
      <w:r>
        <w:rPr>
          <w:rFonts w:eastAsia="MS Mincho"/>
          <w:sz w:val="24"/>
          <w:szCs w:val="24"/>
          <w:lang w:eastAsia="ja-JP"/>
        </w:rPr>
        <w:t>Tables</w:t>
      </w:r>
    </w:p>
    <w:p w14:paraId="70A4B288" w14:textId="77777777" w:rsidR="00CD4AB7" w:rsidRPr="00284E38" w:rsidRDefault="00CD4AB7" w:rsidP="00CD4AB7">
      <w:pPr>
        <w:rPr>
          <w:rFonts w:eastAsia="MS Mincho"/>
          <w:lang w:eastAsia="ja-JP"/>
        </w:rPr>
      </w:pPr>
    </w:p>
    <w:p w14:paraId="6A335526" w14:textId="53505530" w:rsidR="00141C4D" w:rsidRDefault="00D902D6" w:rsidP="00CD4AB7">
      <w:pPr>
        <w:rPr>
          <w:rFonts w:eastAsia="MS Mincho"/>
          <w:b/>
          <w:lang w:eastAsia="ja-JP"/>
        </w:rPr>
      </w:pPr>
      <w:r w:rsidRPr="00D902D6">
        <w:rPr>
          <w:rFonts w:eastAsia="MS Mincho"/>
          <w:b/>
          <w:lang w:eastAsia="ja-JP"/>
        </w:rPr>
        <w:t>Table 1 – Sample characteristics and outcome measurement in RCTs of digital interventions for GAD</w:t>
      </w:r>
    </w:p>
    <w:p w14:paraId="4BE0E981" w14:textId="0E6AD641" w:rsidR="00D902D6" w:rsidRDefault="00D902D6" w:rsidP="00CD4AB7">
      <w:pPr>
        <w:rPr>
          <w:rFonts w:eastAsia="MS Mincho"/>
          <w:b/>
          <w:lang w:eastAsia="ja-JP"/>
        </w:rPr>
      </w:pPr>
    </w:p>
    <w:tbl>
      <w:tblPr>
        <w:tblStyle w:val="TableGrid"/>
        <w:tblW w:w="13745" w:type="dxa"/>
        <w:tblLayout w:type="fixed"/>
        <w:tblLook w:val="04A0" w:firstRow="1" w:lastRow="0" w:firstColumn="1" w:lastColumn="0" w:noHBand="0" w:noVBand="1"/>
      </w:tblPr>
      <w:tblGrid>
        <w:gridCol w:w="2122"/>
        <w:gridCol w:w="1278"/>
        <w:gridCol w:w="1273"/>
        <w:gridCol w:w="2977"/>
        <w:gridCol w:w="1134"/>
        <w:gridCol w:w="992"/>
        <w:gridCol w:w="1276"/>
        <w:gridCol w:w="2693"/>
      </w:tblGrid>
      <w:tr w:rsidR="00D902D6" w:rsidRPr="00944244" w14:paraId="3F518ABA" w14:textId="77777777" w:rsidTr="00EB6127">
        <w:trPr>
          <w:trHeight w:val="298"/>
          <w:tblHeader/>
        </w:trPr>
        <w:tc>
          <w:tcPr>
            <w:tcW w:w="2122" w:type="dxa"/>
            <w:hideMark/>
          </w:tcPr>
          <w:p w14:paraId="72952B32" w14:textId="77777777" w:rsidR="00D902D6" w:rsidRPr="00944244" w:rsidRDefault="00D902D6" w:rsidP="00D902D6">
            <w:pPr>
              <w:rPr>
                <w:b/>
                <w:bCs/>
                <w:sz w:val="20"/>
                <w:szCs w:val="20"/>
              </w:rPr>
            </w:pPr>
            <w:r w:rsidRPr="00944244">
              <w:rPr>
                <w:b/>
                <w:bCs/>
                <w:sz w:val="20"/>
                <w:szCs w:val="20"/>
              </w:rPr>
              <w:t>Study</w:t>
            </w:r>
          </w:p>
        </w:tc>
        <w:tc>
          <w:tcPr>
            <w:tcW w:w="1278" w:type="dxa"/>
          </w:tcPr>
          <w:p w14:paraId="5FA7058A" w14:textId="77777777" w:rsidR="00D902D6" w:rsidRPr="00944244" w:rsidRDefault="00D902D6" w:rsidP="00D902D6">
            <w:pPr>
              <w:rPr>
                <w:b/>
                <w:bCs/>
                <w:sz w:val="20"/>
                <w:szCs w:val="20"/>
              </w:rPr>
            </w:pPr>
            <w:r w:rsidRPr="00944244">
              <w:rPr>
                <w:b/>
                <w:bCs/>
                <w:sz w:val="20"/>
                <w:szCs w:val="20"/>
              </w:rPr>
              <w:t>Country</w:t>
            </w:r>
          </w:p>
        </w:tc>
        <w:tc>
          <w:tcPr>
            <w:tcW w:w="1273" w:type="dxa"/>
          </w:tcPr>
          <w:p w14:paraId="258C5A06" w14:textId="77777777" w:rsidR="00D902D6" w:rsidRPr="00944244" w:rsidRDefault="00D902D6" w:rsidP="00D902D6">
            <w:pPr>
              <w:rPr>
                <w:b/>
                <w:bCs/>
                <w:sz w:val="20"/>
                <w:szCs w:val="20"/>
              </w:rPr>
            </w:pPr>
            <w:r w:rsidRPr="00944244">
              <w:rPr>
                <w:b/>
                <w:bCs/>
                <w:sz w:val="20"/>
                <w:szCs w:val="20"/>
              </w:rPr>
              <w:t>Population</w:t>
            </w:r>
          </w:p>
        </w:tc>
        <w:tc>
          <w:tcPr>
            <w:tcW w:w="2977" w:type="dxa"/>
          </w:tcPr>
          <w:p w14:paraId="14665852" w14:textId="77777777" w:rsidR="00D902D6" w:rsidRPr="00944244" w:rsidRDefault="00D902D6" w:rsidP="00D902D6">
            <w:pPr>
              <w:rPr>
                <w:b/>
                <w:bCs/>
                <w:sz w:val="20"/>
                <w:szCs w:val="20"/>
              </w:rPr>
            </w:pPr>
            <w:r w:rsidRPr="00944244">
              <w:rPr>
                <w:b/>
                <w:bCs/>
                <w:sz w:val="20"/>
                <w:szCs w:val="20"/>
              </w:rPr>
              <w:t xml:space="preserve">Entry criteria </w:t>
            </w:r>
          </w:p>
        </w:tc>
        <w:tc>
          <w:tcPr>
            <w:tcW w:w="1134" w:type="dxa"/>
            <w:shd w:val="clear" w:color="auto" w:fill="auto"/>
          </w:tcPr>
          <w:p w14:paraId="355707D9" w14:textId="77777777" w:rsidR="00D902D6" w:rsidRPr="00451D4D" w:rsidRDefault="00D902D6" w:rsidP="00D902D6">
            <w:pPr>
              <w:rPr>
                <w:b/>
                <w:bCs/>
                <w:sz w:val="18"/>
                <w:szCs w:val="18"/>
              </w:rPr>
            </w:pPr>
            <w:r w:rsidRPr="00451D4D">
              <w:rPr>
                <w:b/>
                <w:bCs/>
                <w:sz w:val="18"/>
                <w:szCs w:val="18"/>
              </w:rPr>
              <w:t>N randomised</w:t>
            </w:r>
          </w:p>
        </w:tc>
        <w:tc>
          <w:tcPr>
            <w:tcW w:w="992" w:type="dxa"/>
          </w:tcPr>
          <w:p w14:paraId="66D4E34D" w14:textId="77777777" w:rsidR="00D902D6" w:rsidRPr="00451D4D" w:rsidRDefault="00D902D6" w:rsidP="00D902D6">
            <w:pPr>
              <w:rPr>
                <w:b/>
                <w:bCs/>
                <w:sz w:val="18"/>
                <w:szCs w:val="18"/>
              </w:rPr>
            </w:pPr>
            <w:r w:rsidRPr="00451D4D">
              <w:rPr>
                <w:b/>
                <w:bCs/>
                <w:sz w:val="18"/>
                <w:szCs w:val="18"/>
              </w:rPr>
              <w:t>N analysed</w:t>
            </w:r>
          </w:p>
        </w:tc>
        <w:tc>
          <w:tcPr>
            <w:tcW w:w="1276" w:type="dxa"/>
          </w:tcPr>
          <w:p w14:paraId="1020E827" w14:textId="77777777" w:rsidR="00D902D6" w:rsidRPr="00944244" w:rsidRDefault="00D902D6" w:rsidP="00D902D6">
            <w:pPr>
              <w:rPr>
                <w:b/>
                <w:bCs/>
                <w:sz w:val="20"/>
                <w:szCs w:val="20"/>
              </w:rPr>
            </w:pPr>
            <w:r w:rsidRPr="00944244">
              <w:rPr>
                <w:b/>
                <w:bCs/>
                <w:sz w:val="20"/>
                <w:szCs w:val="20"/>
              </w:rPr>
              <w:t>Follow-up time points</w:t>
            </w:r>
          </w:p>
        </w:tc>
        <w:tc>
          <w:tcPr>
            <w:tcW w:w="2693" w:type="dxa"/>
          </w:tcPr>
          <w:p w14:paraId="5976D837" w14:textId="77777777" w:rsidR="00D902D6" w:rsidRPr="00944244" w:rsidRDefault="00D902D6" w:rsidP="00D902D6">
            <w:pPr>
              <w:rPr>
                <w:b/>
                <w:bCs/>
                <w:sz w:val="20"/>
                <w:szCs w:val="20"/>
              </w:rPr>
            </w:pPr>
            <w:r>
              <w:rPr>
                <w:b/>
                <w:bCs/>
                <w:sz w:val="20"/>
                <w:szCs w:val="20"/>
              </w:rPr>
              <w:t xml:space="preserve">Reported </w:t>
            </w:r>
            <w:r w:rsidRPr="00944244">
              <w:rPr>
                <w:b/>
                <w:bCs/>
                <w:sz w:val="20"/>
                <w:szCs w:val="20"/>
              </w:rPr>
              <w:t>outcomes</w:t>
            </w:r>
            <w:r w:rsidRPr="00C661C8">
              <w:rPr>
                <w:b/>
                <w:bCs/>
                <w:sz w:val="20"/>
                <w:szCs w:val="20"/>
                <w:vertAlign w:val="superscript"/>
              </w:rPr>
              <w:t>++</w:t>
            </w:r>
          </w:p>
        </w:tc>
      </w:tr>
      <w:tr w:rsidR="00D902D6" w:rsidRPr="00944244" w14:paraId="33829F59" w14:textId="77777777" w:rsidTr="00EB6127">
        <w:trPr>
          <w:trHeight w:val="330"/>
        </w:trPr>
        <w:tc>
          <w:tcPr>
            <w:tcW w:w="2122" w:type="dxa"/>
            <w:hideMark/>
          </w:tcPr>
          <w:p w14:paraId="3643C5C2" w14:textId="77777777" w:rsidR="00D902D6" w:rsidRPr="00944244" w:rsidRDefault="00D902D6" w:rsidP="00D902D6">
            <w:pPr>
              <w:rPr>
                <w:sz w:val="20"/>
                <w:szCs w:val="20"/>
              </w:rPr>
            </w:pPr>
            <w:r w:rsidRPr="00944244">
              <w:rPr>
                <w:sz w:val="20"/>
                <w:szCs w:val="20"/>
              </w:rPr>
              <w:t>Andersson 2012</w:t>
            </w:r>
          </w:p>
        </w:tc>
        <w:tc>
          <w:tcPr>
            <w:tcW w:w="1278" w:type="dxa"/>
            <w:tcBorders>
              <w:top w:val="single" w:sz="4" w:space="0" w:color="auto"/>
              <w:left w:val="single" w:sz="4" w:space="0" w:color="auto"/>
              <w:bottom w:val="single" w:sz="4" w:space="0" w:color="auto"/>
              <w:right w:val="single" w:sz="4" w:space="0" w:color="auto"/>
            </w:tcBorders>
            <w:shd w:val="clear" w:color="000000" w:fill="EDEDED"/>
          </w:tcPr>
          <w:p w14:paraId="61066231" w14:textId="77777777" w:rsidR="00D902D6" w:rsidRPr="00944244" w:rsidRDefault="00D902D6" w:rsidP="00D902D6">
            <w:pPr>
              <w:rPr>
                <w:sz w:val="20"/>
                <w:szCs w:val="20"/>
              </w:rPr>
            </w:pPr>
            <w:r w:rsidRPr="00944244">
              <w:rPr>
                <w:color w:val="000000"/>
                <w:sz w:val="20"/>
                <w:szCs w:val="20"/>
              </w:rPr>
              <w:t>Sweden</w:t>
            </w:r>
          </w:p>
        </w:tc>
        <w:tc>
          <w:tcPr>
            <w:tcW w:w="1273" w:type="dxa"/>
            <w:tcBorders>
              <w:top w:val="single" w:sz="4" w:space="0" w:color="auto"/>
              <w:left w:val="single" w:sz="4" w:space="0" w:color="auto"/>
              <w:bottom w:val="single" w:sz="4" w:space="0" w:color="auto"/>
              <w:right w:val="single" w:sz="4" w:space="0" w:color="auto"/>
            </w:tcBorders>
            <w:shd w:val="clear" w:color="000000" w:fill="FFF2CC"/>
          </w:tcPr>
          <w:p w14:paraId="4CF1CCEA" w14:textId="77777777" w:rsidR="00D902D6" w:rsidRPr="00944244" w:rsidRDefault="00D902D6" w:rsidP="00D902D6">
            <w:pPr>
              <w:rPr>
                <w:sz w:val="20"/>
                <w:szCs w:val="20"/>
              </w:rPr>
            </w:pPr>
            <w:r w:rsidRPr="00944244">
              <w:rPr>
                <w:color w:val="000000"/>
                <w:sz w:val="20"/>
                <w:szCs w:val="20"/>
              </w:rPr>
              <w:t>General - adults</w:t>
            </w:r>
          </w:p>
        </w:tc>
        <w:tc>
          <w:tcPr>
            <w:tcW w:w="2977" w:type="dxa"/>
          </w:tcPr>
          <w:p w14:paraId="734F020C" w14:textId="77777777" w:rsidR="00D902D6" w:rsidRPr="00944244" w:rsidRDefault="00D902D6" w:rsidP="00D902D6">
            <w:pPr>
              <w:rPr>
                <w:sz w:val="20"/>
                <w:szCs w:val="20"/>
              </w:rPr>
            </w:pPr>
            <w:r w:rsidRPr="00944244">
              <w:rPr>
                <w:sz w:val="20"/>
                <w:szCs w:val="20"/>
              </w:rPr>
              <w:t>GAD</w:t>
            </w:r>
            <w:r w:rsidRPr="00944244">
              <w:rPr>
                <w:color w:val="000000"/>
                <w:sz w:val="20"/>
                <w:szCs w:val="20"/>
              </w:rPr>
              <w:t xml:space="preserve"> diagnosis on SCID-I</w:t>
            </w:r>
          </w:p>
        </w:tc>
        <w:tc>
          <w:tcPr>
            <w:tcW w:w="1134" w:type="dxa"/>
            <w:tcBorders>
              <w:top w:val="single" w:sz="4" w:space="0" w:color="auto"/>
              <w:left w:val="single" w:sz="4" w:space="0" w:color="auto"/>
              <w:bottom w:val="single" w:sz="4" w:space="0" w:color="auto"/>
              <w:right w:val="single" w:sz="4" w:space="0" w:color="auto"/>
            </w:tcBorders>
            <w:shd w:val="clear" w:color="000000" w:fill="FFF2CC"/>
          </w:tcPr>
          <w:p w14:paraId="390E8CC8" w14:textId="77777777" w:rsidR="00D902D6" w:rsidRPr="00944244" w:rsidRDefault="00D902D6" w:rsidP="00D902D6">
            <w:pPr>
              <w:rPr>
                <w:color w:val="000000"/>
                <w:sz w:val="20"/>
                <w:szCs w:val="20"/>
              </w:rPr>
            </w:pPr>
            <w:r w:rsidRPr="00944244">
              <w:rPr>
                <w:color w:val="000000"/>
                <w:sz w:val="20"/>
                <w:szCs w:val="20"/>
              </w:rPr>
              <w:t>81</w:t>
            </w:r>
          </w:p>
        </w:tc>
        <w:tc>
          <w:tcPr>
            <w:tcW w:w="992" w:type="dxa"/>
            <w:tcBorders>
              <w:top w:val="single" w:sz="4" w:space="0" w:color="auto"/>
              <w:left w:val="single" w:sz="4" w:space="0" w:color="auto"/>
              <w:bottom w:val="single" w:sz="4" w:space="0" w:color="auto"/>
              <w:right w:val="single" w:sz="4" w:space="0" w:color="auto"/>
            </w:tcBorders>
            <w:shd w:val="clear" w:color="000000" w:fill="FFF2CC"/>
          </w:tcPr>
          <w:p w14:paraId="7E3BA966" w14:textId="77777777" w:rsidR="00D902D6" w:rsidRPr="00944244" w:rsidRDefault="00D902D6" w:rsidP="00D902D6">
            <w:pPr>
              <w:rPr>
                <w:color w:val="000000"/>
                <w:sz w:val="20"/>
                <w:szCs w:val="20"/>
              </w:rPr>
            </w:pPr>
            <w:r w:rsidRPr="00944244">
              <w:rPr>
                <w:color w:val="000000"/>
                <w:sz w:val="20"/>
                <w:szCs w:val="20"/>
              </w:rPr>
              <w:t>59</w:t>
            </w:r>
          </w:p>
        </w:tc>
        <w:tc>
          <w:tcPr>
            <w:tcW w:w="1276" w:type="dxa"/>
          </w:tcPr>
          <w:p w14:paraId="51DE989A" w14:textId="77777777" w:rsidR="00D902D6" w:rsidRPr="00944244" w:rsidRDefault="00D902D6" w:rsidP="00D902D6">
            <w:pPr>
              <w:contextualSpacing/>
              <w:rPr>
                <w:rStyle w:val="Strong"/>
                <w:b w:val="0"/>
                <w:sz w:val="20"/>
                <w:szCs w:val="20"/>
              </w:rPr>
            </w:pPr>
            <w:r w:rsidRPr="00944244">
              <w:rPr>
                <w:bCs/>
                <w:noProof/>
                <w:sz w:val="20"/>
                <w:szCs w:val="20"/>
              </w:rPr>
              <w:t>8 weeks</w:t>
            </w:r>
          </w:p>
          <w:p w14:paraId="6391312C" w14:textId="77777777" w:rsidR="00D902D6" w:rsidRPr="00944244" w:rsidRDefault="00D902D6" w:rsidP="00D902D6">
            <w:pPr>
              <w:contextualSpacing/>
              <w:rPr>
                <w:rStyle w:val="Strong"/>
                <w:b w:val="0"/>
                <w:sz w:val="20"/>
                <w:szCs w:val="20"/>
              </w:rPr>
            </w:pPr>
            <w:r w:rsidRPr="00944244">
              <w:rPr>
                <w:bCs/>
                <w:noProof/>
                <w:sz w:val="20"/>
                <w:szCs w:val="20"/>
              </w:rPr>
              <w:t>3 months</w:t>
            </w:r>
          </w:p>
          <w:p w14:paraId="54184E08" w14:textId="77777777" w:rsidR="00D902D6" w:rsidRPr="00944244" w:rsidRDefault="00D902D6" w:rsidP="00D902D6">
            <w:pPr>
              <w:rPr>
                <w:sz w:val="20"/>
                <w:szCs w:val="20"/>
              </w:rPr>
            </w:pPr>
            <w:r w:rsidRPr="00944244">
              <w:rPr>
                <w:bCs/>
                <w:noProof/>
                <w:sz w:val="20"/>
                <w:szCs w:val="20"/>
              </w:rPr>
              <w:t>18 months*</w:t>
            </w:r>
          </w:p>
        </w:tc>
        <w:tc>
          <w:tcPr>
            <w:tcW w:w="2693" w:type="dxa"/>
          </w:tcPr>
          <w:p w14:paraId="43767C12" w14:textId="77777777" w:rsidR="00D902D6" w:rsidRPr="00944244" w:rsidRDefault="00D902D6" w:rsidP="00D902D6">
            <w:pPr>
              <w:contextualSpacing/>
              <w:rPr>
                <w:sz w:val="20"/>
                <w:szCs w:val="20"/>
              </w:rPr>
            </w:pPr>
            <w:r w:rsidRPr="00944244">
              <w:rPr>
                <w:sz w:val="20"/>
                <w:szCs w:val="20"/>
              </w:rPr>
              <w:t>PSWQ</w:t>
            </w:r>
            <w:r>
              <w:rPr>
                <w:sz w:val="20"/>
                <w:szCs w:val="20"/>
              </w:rPr>
              <w:t>,</w:t>
            </w:r>
            <w:r w:rsidRPr="00944244">
              <w:rPr>
                <w:noProof/>
                <w:sz w:val="20"/>
                <w:szCs w:val="20"/>
              </w:rPr>
              <w:t xml:space="preserve"> BAI</w:t>
            </w:r>
            <w:r w:rsidRPr="00944244">
              <w:rPr>
                <w:sz w:val="20"/>
                <w:szCs w:val="20"/>
              </w:rPr>
              <w:t xml:space="preserve">. </w:t>
            </w:r>
            <w:r w:rsidRPr="00944244">
              <w:rPr>
                <w:noProof/>
                <w:sz w:val="20"/>
                <w:szCs w:val="20"/>
              </w:rPr>
              <w:t>BDI-II</w:t>
            </w:r>
            <w:r w:rsidRPr="00944244">
              <w:rPr>
                <w:sz w:val="20"/>
                <w:szCs w:val="20"/>
              </w:rPr>
              <w:t xml:space="preserve">, </w:t>
            </w:r>
            <w:r w:rsidRPr="00944244">
              <w:rPr>
                <w:noProof/>
                <w:sz w:val="20"/>
                <w:szCs w:val="20"/>
              </w:rPr>
              <w:t>GADQ-IV</w:t>
            </w:r>
            <w:r w:rsidRPr="00944244">
              <w:rPr>
                <w:sz w:val="20"/>
                <w:szCs w:val="20"/>
              </w:rPr>
              <w:t xml:space="preserve">, </w:t>
            </w:r>
            <w:r w:rsidRPr="00944244">
              <w:rPr>
                <w:noProof/>
                <w:sz w:val="20"/>
                <w:szCs w:val="20"/>
              </w:rPr>
              <w:t>MADRS-S</w:t>
            </w:r>
            <w:r w:rsidRPr="00944244">
              <w:rPr>
                <w:sz w:val="20"/>
                <w:szCs w:val="20"/>
              </w:rPr>
              <w:t xml:space="preserve">, </w:t>
            </w:r>
            <w:r w:rsidRPr="00944244">
              <w:rPr>
                <w:noProof/>
                <w:sz w:val="20"/>
                <w:szCs w:val="20"/>
              </w:rPr>
              <w:t>QOLI</w:t>
            </w:r>
            <w:r w:rsidRPr="00944244">
              <w:rPr>
                <w:sz w:val="20"/>
                <w:szCs w:val="20"/>
              </w:rPr>
              <w:t xml:space="preserve">, </w:t>
            </w:r>
            <w:r w:rsidRPr="00944244">
              <w:rPr>
                <w:noProof/>
                <w:sz w:val="20"/>
                <w:szCs w:val="20"/>
              </w:rPr>
              <w:t>SCID-I</w:t>
            </w:r>
            <w:r w:rsidRPr="00944244">
              <w:rPr>
                <w:sz w:val="20"/>
                <w:szCs w:val="20"/>
              </w:rPr>
              <w:t xml:space="preserve">, </w:t>
            </w:r>
            <w:r w:rsidRPr="00944244">
              <w:rPr>
                <w:noProof/>
                <w:sz w:val="20"/>
                <w:szCs w:val="20"/>
              </w:rPr>
              <w:t>STAI-S</w:t>
            </w:r>
            <w:r w:rsidRPr="00944244">
              <w:rPr>
                <w:sz w:val="20"/>
                <w:szCs w:val="20"/>
              </w:rPr>
              <w:t xml:space="preserve">, </w:t>
            </w:r>
            <w:r w:rsidRPr="00944244">
              <w:rPr>
                <w:noProof/>
                <w:sz w:val="20"/>
                <w:szCs w:val="20"/>
              </w:rPr>
              <w:t>STAI-T</w:t>
            </w:r>
          </w:p>
        </w:tc>
      </w:tr>
      <w:tr w:rsidR="00D902D6" w:rsidRPr="00944244" w14:paraId="2167315B" w14:textId="77777777" w:rsidTr="00EB6127">
        <w:trPr>
          <w:trHeight w:val="300"/>
        </w:trPr>
        <w:tc>
          <w:tcPr>
            <w:tcW w:w="2122" w:type="dxa"/>
            <w:hideMark/>
          </w:tcPr>
          <w:p w14:paraId="3527E6E2" w14:textId="77777777" w:rsidR="00D902D6" w:rsidRPr="00944244" w:rsidRDefault="00D902D6" w:rsidP="00D902D6">
            <w:pPr>
              <w:rPr>
                <w:sz w:val="20"/>
                <w:szCs w:val="20"/>
              </w:rPr>
            </w:pPr>
            <w:r w:rsidRPr="00944244">
              <w:rPr>
                <w:sz w:val="20"/>
                <w:szCs w:val="20"/>
              </w:rPr>
              <w:t>Andersson 2016</w:t>
            </w:r>
          </w:p>
        </w:tc>
        <w:tc>
          <w:tcPr>
            <w:tcW w:w="1278" w:type="dxa"/>
            <w:tcBorders>
              <w:top w:val="nil"/>
              <w:left w:val="single" w:sz="4" w:space="0" w:color="auto"/>
              <w:bottom w:val="single" w:sz="4" w:space="0" w:color="auto"/>
              <w:right w:val="single" w:sz="4" w:space="0" w:color="auto"/>
            </w:tcBorders>
            <w:shd w:val="clear" w:color="000000" w:fill="EDEDED"/>
          </w:tcPr>
          <w:p w14:paraId="56D145DD" w14:textId="77777777" w:rsidR="00D902D6" w:rsidRPr="00944244" w:rsidRDefault="00D902D6" w:rsidP="00D902D6">
            <w:pPr>
              <w:rPr>
                <w:sz w:val="20"/>
                <w:szCs w:val="20"/>
              </w:rPr>
            </w:pPr>
            <w:r w:rsidRPr="00944244">
              <w:rPr>
                <w:color w:val="000000"/>
                <w:sz w:val="20"/>
                <w:szCs w:val="20"/>
              </w:rPr>
              <w:t>Sweden</w:t>
            </w:r>
          </w:p>
        </w:tc>
        <w:tc>
          <w:tcPr>
            <w:tcW w:w="1273" w:type="dxa"/>
            <w:tcBorders>
              <w:top w:val="nil"/>
              <w:left w:val="single" w:sz="4" w:space="0" w:color="auto"/>
              <w:bottom w:val="single" w:sz="4" w:space="0" w:color="auto"/>
              <w:right w:val="single" w:sz="4" w:space="0" w:color="auto"/>
            </w:tcBorders>
            <w:shd w:val="clear" w:color="000000" w:fill="FFF2CC"/>
          </w:tcPr>
          <w:p w14:paraId="3572205A" w14:textId="77777777" w:rsidR="00D902D6" w:rsidRPr="00944244" w:rsidRDefault="00D902D6" w:rsidP="00D902D6">
            <w:pPr>
              <w:rPr>
                <w:sz w:val="20"/>
                <w:szCs w:val="20"/>
              </w:rPr>
            </w:pPr>
            <w:r w:rsidRPr="00944244">
              <w:rPr>
                <w:color w:val="000000"/>
                <w:sz w:val="20"/>
                <w:szCs w:val="20"/>
              </w:rPr>
              <w:t>General - adults</w:t>
            </w:r>
          </w:p>
        </w:tc>
        <w:tc>
          <w:tcPr>
            <w:tcW w:w="2977" w:type="dxa"/>
          </w:tcPr>
          <w:p w14:paraId="764FFA34" w14:textId="77777777" w:rsidR="00D902D6" w:rsidRPr="00944244" w:rsidRDefault="00D902D6" w:rsidP="00D902D6">
            <w:pPr>
              <w:rPr>
                <w:sz w:val="20"/>
                <w:szCs w:val="20"/>
              </w:rPr>
            </w:pPr>
            <w:r w:rsidRPr="00944244">
              <w:rPr>
                <w:sz w:val="20"/>
                <w:szCs w:val="20"/>
              </w:rPr>
              <w:t>PSWQ&gt;56</w:t>
            </w:r>
          </w:p>
        </w:tc>
        <w:tc>
          <w:tcPr>
            <w:tcW w:w="1134" w:type="dxa"/>
            <w:tcBorders>
              <w:top w:val="nil"/>
              <w:left w:val="single" w:sz="4" w:space="0" w:color="auto"/>
              <w:bottom w:val="single" w:sz="4" w:space="0" w:color="auto"/>
              <w:right w:val="single" w:sz="4" w:space="0" w:color="auto"/>
            </w:tcBorders>
            <w:shd w:val="clear" w:color="000000" w:fill="FFF2CC"/>
          </w:tcPr>
          <w:p w14:paraId="753E911A" w14:textId="77777777" w:rsidR="00D902D6" w:rsidRPr="00944244" w:rsidRDefault="00D902D6" w:rsidP="00D902D6">
            <w:pPr>
              <w:rPr>
                <w:color w:val="000000"/>
                <w:sz w:val="20"/>
                <w:szCs w:val="20"/>
              </w:rPr>
            </w:pPr>
            <w:r w:rsidRPr="00944244">
              <w:rPr>
                <w:color w:val="000000"/>
                <w:sz w:val="20"/>
                <w:szCs w:val="20"/>
              </w:rPr>
              <w:t>140</w:t>
            </w:r>
          </w:p>
        </w:tc>
        <w:tc>
          <w:tcPr>
            <w:tcW w:w="992" w:type="dxa"/>
            <w:tcBorders>
              <w:top w:val="nil"/>
              <w:left w:val="single" w:sz="4" w:space="0" w:color="auto"/>
              <w:bottom w:val="single" w:sz="4" w:space="0" w:color="auto"/>
              <w:right w:val="single" w:sz="4" w:space="0" w:color="auto"/>
            </w:tcBorders>
            <w:shd w:val="clear" w:color="000000" w:fill="FFF2CC"/>
          </w:tcPr>
          <w:p w14:paraId="7C518828" w14:textId="77777777" w:rsidR="00D902D6" w:rsidRPr="00944244" w:rsidRDefault="00D902D6" w:rsidP="00D902D6">
            <w:pPr>
              <w:rPr>
                <w:color w:val="000000"/>
                <w:sz w:val="20"/>
                <w:szCs w:val="20"/>
              </w:rPr>
            </w:pPr>
            <w:r w:rsidRPr="00944244">
              <w:rPr>
                <w:color w:val="000000"/>
                <w:sz w:val="20"/>
                <w:szCs w:val="20"/>
              </w:rPr>
              <w:t>132</w:t>
            </w:r>
          </w:p>
        </w:tc>
        <w:tc>
          <w:tcPr>
            <w:tcW w:w="1276" w:type="dxa"/>
          </w:tcPr>
          <w:p w14:paraId="5EE14E28" w14:textId="77777777" w:rsidR="00D902D6" w:rsidRPr="00944244" w:rsidRDefault="00D902D6" w:rsidP="00D902D6">
            <w:pPr>
              <w:contextualSpacing/>
              <w:rPr>
                <w:rStyle w:val="Strong"/>
                <w:b w:val="0"/>
                <w:sz w:val="20"/>
                <w:szCs w:val="20"/>
              </w:rPr>
            </w:pPr>
            <w:r w:rsidRPr="00944244">
              <w:rPr>
                <w:bCs/>
                <w:noProof/>
                <w:sz w:val="20"/>
                <w:szCs w:val="20"/>
              </w:rPr>
              <w:t>10 weeks</w:t>
            </w:r>
          </w:p>
          <w:p w14:paraId="04803677" w14:textId="77777777" w:rsidR="00D902D6" w:rsidRPr="00944244" w:rsidRDefault="00D902D6" w:rsidP="00D902D6">
            <w:pPr>
              <w:contextualSpacing/>
              <w:rPr>
                <w:rStyle w:val="Strong"/>
                <w:b w:val="0"/>
                <w:sz w:val="20"/>
                <w:szCs w:val="20"/>
              </w:rPr>
            </w:pPr>
            <w:r w:rsidRPr="00944244">
              <w:rPr>
                <w:bCs/>
                <w:noProof/>
                <w:sz w:val="20"/>
                <w:szCs w:val="20"/>
              </w:rPr>
              <w:t>4 months*</w:t>
            </w:r>
          </w:p>
          <w:p w14:paraId="45B63637" w14:textId="77777777" w:rsidR="00D902D6" w:rsidRPr="00944244" w:rsidRDefault="00D902D6" w:rsidP="00D902D6">
            <w:pPr>
              <w:contextualSpacing/>
              <w:rPr>
                <w:bCs/>
                <w:sz w:val="20"/>
                <w:szCs w:val="20"/>
              </w:rPr>
            </w:pPr>
            <w:r w:rsidRPr="00944244">
              <w:rPr>
                <w:bCs/>
                <w:noProof/>
                <w:sz w:val="20"/>
                <w:szCs w:val="20"/>
              </w:rPr>
              <w:t>12 months*</w:t>
            </w:r>
          </w:p>
        </w:tc>
        <w:tc>
          <w:tcPr>
            <w:tcW w:w="2693" w:type="dxa"/>
          </w:tcPr>
          <w:p w14:paraId="7A4AC4A7" w14:textId="77777777" w:rsidR="00D902D6" w:rsidRPr="00944244" w:rsidRDefault="00D902D6" w:rsidP="00D902D6">
            <w:pPr>
              <w:contextualSpacing/>
              <w:rPr>
                <w:sz w:val="20"/>
                <w:szCs w:val="20"/>
              </w:rPr>
            </w:pPr>
            <w:r w:rsidRPr="00944244">
              <w:rPr>
                <w:sz w:val="20"/>
                <w:szCs w:val="20"/>
              </w:rPr>
              <w:t>PSWQ</w:t>
            </w:r>
            <w:r>
              <w:rPr>
                <w:sz w:val="20"/>
                <w:szCs w:val="20"/>
              </w:rPr>
              <w:t>,</w:t>
            </w:r>
            <w:r w:rsidRPr="00944244">
              <w:rPr>
                <w:noProof/>
                <w:sz w:val="20"/>
                <w:szCs w:val="20"/>
              </w:rPr>
              <w:t xml:space="preserve"> BBQ</w:t>
            </w:r>
            <w:r w:rsidRPr="00944244">
              <w:rPr>
                <w:sz w:val="20"/>
                <w:szCs w:val="20"/>
              </w:rPr>
              <w:t xml:space="preserve">, </w:t>
            </w:r>
            <w:r w:rsidRPr="00944244">
              <w:rPr>
                <w:noProof/>
                <w:sz w:val="20"/>
                <w:szCs w:val="20"/>
              </w:rPr>
              <w:t>CAQ, HADS-A, IOU</w:t>
            </w:r>
            <w:r w:rsidRPr="00944244">
              <w:rPr>
                <w:sz w:val="20"/>
                <w:szCs w:val="20"/>
              </w:rPr>
              <w:t xml:space="preserve">, </w:t>
            </w:r>
            <w:r w:rsidRPr="00944244">
              <w:rPr>
                <w:noProof/>
                <w:sz w:val="20"/>
                <w:szCs w:val="20"/>
              </w:rPr>
              <w:t>MADRS-S</w:t>
            </w:r>
            <w:r w:rsidRPr="00944244">
              <w:rPr>
                <w:sz w:val="20"/>
                <w:szCs w:val="20"/>
              </w:rPr>
              <w:t xml:space="preserve">, </w:t>
            </w:r>
            <w:r w:rsidRPr="00944244">
              <w:rPr>
                <w:noProof/>
                <w:sz w:val="20"/>
                <w:szCs w:val="20"/>
              </w:rPr>
              <w:t>MCQ-30</w:t>
            </w:r>
          </w:p>
        </w:tc>
      </w:tr>
      <w:tr w:rsidR="00D902D6" w:rsidRPr="00944244" w14:paraId="403CBB29" w14:textId="77777777" w:rsidTr="00EB6127">
        <w:trPr>
          <w:trHeight w:val="300"/>
        </w:trPr>
        <w:tc>
          <w:tcPr>
            <w:tcW w:w="2122" w:type="dxa"/>
            <w:hideMark/>
          </w:tcPr>
          <w:p w14:paraId="0EDD3F1C" w14:textId="77777777" w:rsidR="00D902D6" w:rsidRPr="00944244" w:rsidRDefault="00D902D6" w:rsidP="00D902D6">
            <w:pPr>
              <w:rPr>
                <w:sz w:val="20"/>
                <w:szCs w:val="20"/>
              </w:rPr>
            </w:pPr>
            <w:r w:rsidRPr="00944244">
              <w:rPr>
                <w:sz w:val="20"/>
                <w:szCs w:val="20"/>
              </w:rPr>
              <w:t>Christensen 2014a</w:t>
            </w:r>
          </w:p>
        </w:tc>
        <w:tc>
          <w:tcPr>
            <w:tcW w:w="1278" w:type="dxa"/>
            <w:tcBorders>
              <w:top w:val="nil"/>
              <w:left w:val="single" w:sz="4" w:space="0" w:color="auto"/>
              <w:bottom w:val="single" w:sz="4" w:space="0" w:color="auto"/>
              <w:right w:val="single" w:sz="4" w:space="0" w:color="auto"/>
            </w:tcBorders>
            <w:shd w:val="clear" w:color="000000" w:fill="EDEDED"/>
          </w:tcPr>
          <w:p w14:paraId="58CAE0D9" w14:textId="77777777" w:rsidR="00D902D6" w:rsidRPr="00944244" w:rsidRDefault="00D902D6" w:rsidP="00D902D6">
            <w:pPr>
              <w:rPr>
                <w:sz w:val="20"/>
                <w:szCs w:val="20"/>
              </w:rPr>
            </w:pPr>
            <w:r w:rsidRPr="00944244">
              <w:rPr>
                <w:color w:val="000000"/>
                <w:sz w:val="20"/>
                <w:szCs w:val="20"/>
              </w:rPr>
              <w:t>Australia</w:t>
            </w:r>
          </w:p>
        </w:tc>
        <w:tc>
          <w:tcPr>
            <w:tcW w:w="1273" w:type="dxa"/>
            <w:tcBorders>
              <w:top w:val="nil"/>
              <w:left w:val="single" w:sz="4" w:space="0" w:color="auto"/>
              <w:bottom w:val="single" w:sz="4" w:space="0" w:color="auto"/>
              <w:right w:val="single" w:sz="4" w:space="0" w:color="auto"/>
            </w:tcBorders>
            <w:shd w:val="clear" w:color="000000" w:fill="FFF2CC"/>
          </w:tcPr>
          <w:p w14:paraId="7A20D033" w14:textId="77777777" w:rsidR="00D902D6" w:rsidRPr="00944244" w:rsidRDefault="00D902D6" w:rsidP="00D902D6">
            <w:pPr>
              <w:rPr>
                <w:sz w:val="20"/>
                <w:szCs w:val="20"/>
              </w:rPr>
            </w:pPr>
            <w:r w:rsidRPr="00944244">
              <w:rPr>
                <w:color w:val="000000"/>
                <w:sz w:val="20"/>
                <w:szCs w:val="20"/>
              </w:rPr>
              <w:t>General - adults</w:t>
            </w:r>
          </w:p>
        </w:tc>
        <w:tc>
          <w:tcPr>
            <w:tcW w:w="2977" w:type="dxa"/>
          </w:tcPr>
          <w:p w14:paraId="57E03FE5" w14:textId="77777777" w:rsidR="00D902D6" w:rsidRPr="00944244" w:rsidRDefault="00D902D6" w:rsidP="00D902D6">
            <w:pPr>
              <w:rPr>
                <w:sz w:val="20"/>
                <w:szCs w:val="20"/>
              </w:rPr>
            </w:pPr>
            <w:r w:rsidRPr="00944244">
              <w:rPr>
                <w:sz w:val="20"/>
                <w:szCs w:val="20"/>
              </w:rPr>
              <w:t>GAD7&gt;5</w:t>
            </w:r>
          </w:p>
        </w:tc>
        <w:tc>
          <w:tcPr>
            <w:tcW w:w="1134" w:type="dxa"/>
            <w:tcBorders>
              <w:top w:val="nil"/>
              <w:left w:val="single" w:sz="4" w:space="0" w:color="auto"/>
              <w:bottom w:val="single" w:sz="4" w:space="0" w:color="auto"/>
              <w:right w:val="single" w:sz="4" w:space="0" w:color="auto"/>
            </w:tcBorders>
            <w:shd w:val="clear" w:color="000000" w:fill="FFF2CC"/>
          </w:tcPr>
          <w:p w14:paraId="51000856" w14:textId="77777777" w:rsidR="00D902D6" w:rsidRPr="00944244" w:rsidRDefault="00D902D6" w:rsidP="00D902D6">
            <w:pPr>
              <w:rPr>
                <w:color w:val="000000"/>
                <w:sz w:val="20"/>
                <w:szCs w:val="20"/>
              </w:rPr>
            </w:pPr>
            <w:r w:rsidRPr="00944244">
              <w:rPr>
                <w:color w:val="000000"/>
                <w:sz w:val="20"/>
                <w:szCs w:val="20"/>
              </w:rPr>
              <w:t>558</w:t>
            </w:r>
          </w:p>
        </w:tc>
        <w:tc>
          <w:tcPr>
            <w:tcW w:w="992" w:type="dxa"/>
            <w:tcBorders>
              <w:top w:val="nil"/>
              <w:left w:val="single" w:sz="4" w:space="0" w:color="auto"/>
              <w:bottom w:val="single" w:sz="4" w:space="0" w:color="auto"/>
              <w:right w:val="single" w:sz="4" w:space="0" w:color="auto"/>
            </w:tcBorders>
            <w:shd w:val="clear" w:color="000000" w:fill="FFF2CC"/>
          </w:tcPr>
          <w:p w14:paraId="094CA469" w14:textId="77777777" w:rsidR="00D902D6" w:rsidRPr="00944244" w:rsidRDefault="00D902D6" w:rsidP="00D902D6">
            <w:pPr>
              <w:rPr>
                <w:color w:val="000000"/>
                <w:sz w:val="20"/>
                <w:szCs w:val="20"/>
              </w:rPr>
            </w:pPr>
            <w:r w:rsidRPr="00944244">
              <w:rPr>
                <w:color w:val="000000"/>
                <w:sz w:val="20"/>
                <w:szCs w:val="20"/>
              </w:rPr>
              <w:t>264</w:t>
            </w:r>
          </w:p>
        </w:tc>
        <w:tc>
          <w:tcPr>
            <w:tcW w:w="1276" w:type="dxa"/>
          </w:tcPr>
          <w:p w14:paraId="5C4C0977" w14:textId="77777777" w:rsidR="00D902D6" w:rsidRPr="00944244" w:rsidRDefault="00D902D6" w:rsidP="00D902D6">
            <w:pPr>
              <w:contextualSpacing/>
              <w:rPr>
                <w:rStyle w:val="Strong"/>
                <w:b w:val="0"/>
                <w:sz w:val="20"/>
                <w:szCs w:val="20"/>
              </w:rPr>
            </w:pPr>
            <w:r w:rsidRPr="00944244">
              <w:rPr>
                <w:bCs/>
                <w:noProof/>
                <w:sz w:val="20"/>
                <w:szCs w:val="20"/>
              </w:rPr>
              <w:t>10 weeks</w:t>
            </w:r>
          </w:p>
          <w:p w14:paraId="6C13F258" w14:textId="77777777" w:rsidR="00D902D6" w:rsidRPr="00944244" w:rsidRDefault="00D902D6" w:rsidP="00D902D6">
            <w:pPr>
              <w:contextualSpacing/>
              <w:rPr>
                <w:rStyle w:val="Strong"/>
                <w:sz w:val="20"/>
                <w:szCs w:val="20"/>
              </w:rPr>
            </w:pPr>
            <w:r w:rsidRPr="00944244">
              <w:rPr>
                <w:bCs/>
                <w:noProof/>
                <w:sz w:val="20"/>
                <w:szCs w:val="20"/>
              </w:rPr>
              <w:t>6 months</w:t>
            </w:r>
          </w:p>
          <w:p w14:paraId="54450B2F" w14:textId="77777777" w:rsidR="00D902D6" w:rsidRPr="00944244" w:rsidRDefault="00D902D6" w:rsidP="00D902D6">
            <w:pPr>
              <w:contextualSpacing/>
              <w:rPr>
                <w:bCs/>
                <w:sz w:val="20"/>
                <w:szCs w:val="20"/>
              </w:rPr>
            </w:pPr>
            <w:r w:rsidRPr="00944244">
              <w:rPr>
                <w:bCs/>
                <w:noProof/>
                <w:sz w:val="20"/>
                <w:szCs w:val="20"/>
              </w:rPr>
              <w:t>12 months</w:t>
            </w:r>
          </w:p>
        </w:tc>
        <w:tc>
          <w:tcPr>
            <w:tcW w:w="2693" w:type="dxa"/>
          </w:tcPr>
          <w:p w14:paraId="77CAF598" w14:textId="77777777" w:rsidR="00D902D6" w:rsidRPr="00944244" w:rsidRDefault="00D902D6" w:rsidP="00D902D6">
            <w:pPr>
              <w:rPr>
                <w:sz w:val="20"/>
                <w:szCs w:val="20"/>
              </w:rPr>
            </w:pPr>
            <w:r w:rsidRPr="00944244">
              <w:rPr>
                <w:sz w:val="20"/>
                <w:szCs w:val="20"/>
              </w:rPr>
              <w:t>GAD-7</w:t>
            </w:r>
            <w:r>
              <w:rPr>
                <w:sz w:val="20"/>
                <w:szCs w:val="20"/>
              </w:rPr>
              <w:t xml:space="preserve">, </w:t>
            </w:r>
            <w:r w:rsidRPr="00944244">
              <w:rPr>
                <w:sz w:val="20"/>
                <w:szCs w:val="20"/>
              </w:rPr>
              <w:t>PSWQ</w:t>
            </w:r>
            <w:r>
              <w:rPr>
                <w:sz w:val="20"/>
                <w:szCs w:val="20"/>
              </w:rPr>
              <w:t>,</w:t>
            </w:r>
            <w:r w:rsidRPr="00944244">
              <w:rPr>
                <w:noProof/>
                <w:sz w:val="20"/>
                <w:szCs w:val="20"/>
              </w:rPr>
              <w:t xml:space="preserve"> ASI</w:t>
            </w:r>
            <w:r w:rsidRPr="00944244">
              <w:rPr>
                <w:sz w:val="20"/>
                <w:szCs w:val="20"/>
              </w:rPr>
              <w:t xml:space="preserve">, </w:t>
            </w:r>
            <w:r w:rsidRPr="00944244">
              <w:rPr>
                <w:noProof/>
                <w:sz w:val="20"/>
                <w:szCs w:val="20"/>
              </w:rPr>
              <w:t>CES-D</w:t>
            </w:r>
            <w:r w:rsidRPr="00944244">
              <w:rPr>
                <w:sz w:val="20"/>
                <w:szCs w:val="20"/>
              </w:rPr>
              <w:t xml:space="preserve">, </w:t>
            </w:r>
            <w:r w:rsidRPr="00944244">
              <w:rPr>
                <w:noProof/>
                <w:sz w:val="20"/>
                <w:szCs w:val="20"/>
              </w:rPr>
              <w:t>days out of role</w:t>
            </w:r>
            <w:r w:rsidRPr="00944244">
              <w:rPr>
                <w:sz w:val="20"/>
                <w:szCs w:val="20"/>
              </w:rPr>
              <w:t xml:space="preserve">, </w:t>
            </w:r>
            <w:r w:rsidRPr="00944244">
              <w:rPr>
                <w:noProof/>
                <w:sz w:val="20"/>
                <w:szCs w:val="20"/>
              </w:rPr>
              <w:t>MINI</w:t>
            </w:r>
          </w:p>
        </w:tc>
      </w:tr>
      <w:tr w:rsidR="00D902D6" w:rsidRPr="00944244" w14:paraId="61E58E46" w14:textId="77777777" w:rsidTr="00EB6127">
        <w:trPr>
          <w:trHeight w:val="300"/>
        </w:trPr>
        <w:tc>
          <w:tcPr>
            <w:tcW w:w="2122" w:type="dxa"/>
            <w:hideMark/>
          </w:tcPr>
          <w:p w14:paraId="74E4DFF2" w14:textId="77777777" w:rsidR="00D902D6" w:rsidRPr="00944244" w:rsidRDefault="00D902D6" w:rsidP="00D902D6">
            <w:pPr>
              <w:rPr>
                <w:sz w:val="20"/>
                <w:szCs w:val="20"/>
              </w:rPr>
            </w:pPr>
            <w:r w:rsidRPr="00944244">
              <w:rPr>
                <w:sz w:val="20"/>
                <w:szCs w:val="20"/>
              </w:rPr>
              <w:t>Christensen 2014b</w:t>
            </w:r>
          </w:p>
        </w:tc>
        <w:tc>
          <w:tcPr>
            <w:tcW w:w="1278" w:type="dxa"/>
            <w:tcBorders>
              <w:top w:val="nil"/>
              <w:left w:val="single" w:sz="4" w:space="0" w:color="auto"/>
              <w:bottom w:val="single" w:sz="4" w:space="0" w:color="auto"/>
              <w:right w:val="single" w:sz="4" w:space="0" w:color="auto"/>
            </w:tcBorders>
            <w:shd w:val="clear" w:color="000000" w:fill="EDEDED"/>
          </w:tcPr>
          <w:p w14:paraId="0B702EC5" w14:textId="77777777" w:rsidR="00D902D6" w:rsidRPr="00944244" w:rsidRDefault="00D902D6" w:rsidP="00D902D6">
            <w:pPr>
              <w:rPr>
                <w:sz w:val="20"/>
                <w:szCs w:val="20"/>
              </w:rPr>
            </w:pPr>
            <w:r w:rsidRPr="00944244">
              <w:rPr>
                <w:color w:val="000000"/>
                <w:sz w:val="20"/>
                <w:szCs w:val="20"/>
              </w:rPr>
              <w:t>Australia</w:t>
            </w:r>
          </w:p>
        </w:tc>
        <w:tc>
          <w:tcPr>
            <w:tcW w:w="1273" w:type="dxa"/>
            <w:tcBorders>
              <w:top w:val="nil"/>
              <w:left w:val="single" w:sz="4" w:space="0" w:color="auto"/>
              <w:bottom w:val="single" w:sz="4" w:space="0" w:color="auto"/>
              <w:right w:val="single" w:sz="4" w:space="0" w:color="auto"/>
            </w:tcBorders>
            <w:shd w:val="clear" w:color="000000" w:fill="FFF2CC"/>
          </w:tcPr>
          <w:p w14:paraId="69BEE5C0" w14:textId="77777777" w:rsidR="00D902D6" w:rsidRPr="00944244" w:rsidRDefault="00D902D6" w:rsidP="00D902D6">
            <w:pPr>
              <w:rPr>
                <w:sz w:val="20"/>
                <w:szCs w:val="20"/>
              </w:rPr>
            </w:pPr>
            <w:r w:rsidRPr="00944244">
              <w:rPr>
                <w:color w:val="000000"/>
                <w:sz w:val="20"/>
                <w:szCs w:val="20"/>
              </w:rPr>
              <w:t>General - adults</w:t>
            </w:r>
          </w:p>
        </w:tc>
        <w:tc>
          <w:tcPr>
            <w:tcW w:w="2977" w:type="dxa"/>
          </w:tcPr>
          <w:p w14:paraId="5B80DAB4" w14:textId="77777777" w:rsidR="00D902D6" w:rsidRPr="00944244" w:rsidRDefault="00D902D6" w:rsidP="00D902D6">
            <w:pPr>
              <w:rPr>
                <w:sz w:val="20"/>
                <w:szCs w:val="20"/>
              </w:rPr>
            </w:pPr>
            <w:r w:rsidRPr="00944244">
              <w:rPr>
                <w:sz w:val="20"/>
                <w:szCs w:val="20"/>
              </w:rPr>
              <w:t>GAD</w:t>
            </w:r>
            <w:r w:rsidRPr="00944244">
              <w:rPr>
                <w:color w:val="000000"/>
                <w:sz w:val="20"/>
                <w:szCs w:val="20"/>
              </w:rPr>
              <w:t xml:space="preserve"> diagnosis on ADIS-IV</w:t>
            </w:r>
          </w:p>
        </w:tc>
        <w:tc>
          <w:tcPr>
            <w:tcW w:w="1134" w:type="dxa"/>
            <w:tcBorders>
              <w:top w:val="nil"/>
              <w:left w:val="single" w:sz="4" w:space="0" w:color="auto"/>
              <w:bottom w:val="single" w:sz="4" w:space="0" w:color="auto"/>
              <w:right w:val="single" w:sz="4" w:space="0" w:color="auto"/>
            </w:tcBorders>
            <w:shd w:val="clear" w:color="000000" w:fill="FFF2CC"/>
          </w:tcPr>
          <w:p w14:paraId="79531111" w14:textId="77777777" w:rsidR="00D902D6" w:rsidRPr="00944244" w:rsidRDefault="00D902D6" w:rsidP="00D902D6">
            <w:pPr>
              <w:rPr>
                <w:color w:val="000000"/>
                <w:sz w:val="20"/>
                <w:szCs w:val="20"/>
              </w:rPr>
            </w:pPr>
            <w:r w:rsidRPr="00944244">
              <w:rPr>
                <w:color w:val="000000"/>
                <w:sz w:val="20"/>
                <w:szCs w:val="20"/>
              </w:rPr>
              <w:t>21</w:t>
            </w:r>
          </w:p>
        </w:tc>
        <w:tc>
          <w:tcPr>
            <w:tcW w:w="992" w:type="dxa"/>
            <w:tcBorders>
              <w:top w:val="nil"/>
              <w:left w:val="single" w:sz="4" w:space="0" w:color="auto"/>
              <w:bottom w:val="single" w:sz="4" w:space="0" w:color="auto"/>
              <w:right w:val="single" w:sz="4" w:space="0" w:color="auto"/>
            </w:tcBorders>
            <w:shd w:val="clear" w:color="000000" w:fill="FFF2CC"/>
          </w:tcPr>
          <w:p w14:paraId="02C2A5AD" w14:textId="77777777" w:rsidR="00D902D6" w:rsidRPr="00944244" w:rsidRDefault="00D902D6" w:rsidP="00D902D6">
            <w:pPr>
              <w:rPr>
                <w:color w:val="000000"/>
                <w:sz w:val="20"/>
                <w:szCs w:val="20"/>
              </w:rPr>
            </w:pPr>
            <w:r w:rsidRPr="00944244">
              <w:rPr>
                <w:color w:val="000000"/>
                <w:sz w:val="20"/>
                <w:szCs w:val="20"/>
              </w:rPr>
              <w:t>11</w:t>
            </w:r>
          </w:p>
        </w:tc>
        <w:tc>
          <w:tcPr>
            <w:tcW w:w="1276" w:type="dxa"/>
          </w:tcPr>
          <w:p w14:paraId="005A91ED" w14:textId="77777777" w:rsidR="00D902D6" w:rsidRPr="00944244" w:rsidRDefault="00D902D6" w:rsidP="00D902D6">
            <w:pPr>
              <w:contextualSpacing/>
              <w:rPr>
                <w:rStyle w:val="Strong"/>
                <w:b w:val="0"/>
                <w:sz w:val="20"/>
                <w:szCs w:val="20"/>
              </w:rPr>
            </w:pPr>
            <w:r w:rsidRPr="00944244">
              <w:rPr>
                <w:bCs/>
                <w:noProof/>
                <w:sz w:val="20"/>
                <w:szCs w:val="20"/>
              </w:rPr>
              <w:t>10 weeks</w:t>
            </w:r>
          </w:p>
          <w:p w14:paraId="2D9CEDCB" w14:textId="77777777" w:rsidR="00D902D6" w:rsidRPr="00944244" w:rsidRDefault="00D902D6" w:rsidP="00D902D6">
            <w:pPr>
              <w:contextualSpacing/>
              <w:rPr>
                <w:rStyle w:val="Strong"/>
                <w:b w:val="0"/>
                <w:sz w:val="20"/>
                <w:szCs w:val="20"/>
              </w:rPr>
            </w:pPr>
            <w:r w:rsidRPr="00944244">
              <w:rPr>
                <w:bCs/>
                <w:noProof/>
                <w:sz w:val="20"/>
                <w:szCs w:val="20"/>
              </w:rPr>
              <w:t>6 months</w:t>
            </w:r>
          </w:p>
          <w:p w14:paraId="785B5429" w14:textId="77777777" w:rsidR="00D902D6" w:rsidRPr="00944244" w:rsidRDefault="00D902D6" w:rsidP="00D902D6">
            <w:pPr>
              <w:rPr>
                <w:sz w:val="20"/>
                <w:szCs w:val="20"/>
              </w:rPr>
            </w:pPr>
            <w:r w:rsidRPr="00944244">
              <w:rPr>
                <w:bCs/>
                <w:noProof/>
                <w:sz w:val="20"/>
                <w:szCs w:val="20"/>
              </w:rPr>
              <w:t>12 months</w:t>
            </w:r>
          </w:p>
        </w:tc>
        <w:tc>
          <w:tcPr>
            <w:tcW w:w="2693" w:type="dxa"/>
          </w:tcPr>
          <w:p w14:paraId="62B8AD84" w14:textId="77777777" w:rsidR="00D902D6" w:rsidRPr="00944244" w:rsidRDefault="00D902D6" w:rsidP="00D902D6">
            <w:pPr>
              <w:contextualSpacing/>
              <w:rPr>
                <w:sz w:val="20"/>
                <w:szCs w:val="20"/>
              </w:rPr>
            </w:pPr>
            <w:r w:rsidRPr="00944244">
              <w:rPr>
                <w:sz w:val="20"/>
                <w:szCs w:val="20"/>
              </w:rPr>
              <w:t>GAD-7</w:t>
            </w:r>
            <w:r>
              <w:rPr>
                <w:sz w:val="20"/>
                <w:szCs w:val="20"/>
              </w:rPr>
              <w:t xml:space="preserve">, </w:t>
            </w:r>
            <w:r w:rsidRPr="00944244">
              <w:rPr>
                <w:noProof/>
                <w:sz w:val="20"/>
                <w:szCs w:val="20"/>
              </w:rPr>
              <w:t>CES-D</w:t>
            </w:r>
            <w:r w:rsidRPr="00944244">
              <w:rPr>
                <w:sz w:val="20"/>
                <w:szCs w:val="20"/>
              </w:rPr>
              <w:t xml:space="preserve">, </w:t>
            </w:r>
            <w:r w:rsidRPr="00944244">
              <w:rPr>
                <w:noProof/>
                <w:sz w:val="20"/>
                <w:szCs w:val="20"/>
              </w:rPr>
              <w:t>CGI</w:t>
            </w:r>
          </w:p>
        </w:tc>
      </w:tr>
      <w:tr w:rsidR="00D902D6" w:rsidRPr="00CD75E3" w14:paraId="6A438A2E" w14:textId="77777777" w:rsidTr="00EB6127">
        <w:trPr>
          <w:trHeight w:val="270"/>
        </w:trPr>
        <w:tc>
          <w:tcPr>
            <w:tcW w:w="2122" w:type="dxa"/>
            <w:hideMark/>
          </w:tcPr>
          <w:p w14:paraId="3E8FEDCB" w14:textId="77777777" w:rsidR="00D902D6" w:rsidRPr="00944244" w:rsidRDefault="00D902D6" w:rsidP="00D902D6">
            <w:pPr>
              <w:rPr>
                <w:sz w:val="20"/>
                <w:szCs w:val="20"/>
              </w:rPr>
            </w:pPr>
            <w:r w:rsidRPr="00944244">
              <w:rPr>
                <w:sz w:val="20"/>
                <w:szCs w:val="20"/>
              </w:rPr>
              <w:t>Dahlin 2016</w:t>
            </w:r>
          </w:p>
        </w:tc>
        <w:tc>
          <w:tcPr>
            <w:tcW w:w="1278" w:type="dxa"/>
            <w:tcBorders>
              <w:top w:val="nil"/>
              <w:left w:val="single" w:sz="4" w:space="0" w:color="auto"/>
              <w:bottom w:val="single" w:sz="4" w:space="0" w:color="auto"/>
              <w:right w:val="single" w:sz="4" w:space="0" w:color="auto"/>
            </w:tcBorders>
            <w:shd w:val="clear" w:color="000000" w:fill="EDEDED"/>
          </w:tcPr>
          <w:p w14:paraId="32A260D6" w14:textId="77777777" w:rsidR="00D902D6" w:rsidRPr="00944244" w:rsidRDefault="00D902D6" w:rsidP="00D902D6">
            <w:pPr>
              <w:rPr>
                <w:sz w:val="20"/>
                <w:szCs w:val="20"/>
              </w:rPr>
            </w:pPr>
            <w:r w:rsidRPr="00944244">
              <w:rPr>
                <w:color w:val="000000"/>
                <w:sz w:val="20"/>
                <w:szCs w:val="20"/>
              </w:rPr>
              <w:t>Sweden</w:t>
            </w:r>
          </w:p>
        </w:tc>
        <w:tc>
          <w:tcPr>
            <w:tcW w:w="1273" w:type="dxa"/>
            <w:tcBorders>
              <w:top w:val="nil"/>
              <w:left w:val="single" w:sz="4" w:space="0" w:color="auto"/>
              <w:bottom w:val="single" w:sz="4" w:space="0" w:color="auto"/>
              <w:right w:val="single" w:sz="4" w:space="0" w:color="auto"/>
            </w:tcBorders>
            <w:shd w:val="clear" w:color="000000" w:fill="FFF2CC"/>
          </w:tcPr>
          <w:p w14:paraId="1A69AE49" w14:textId="77777777" w:rsidR="00D902D6" w:rsidRPr="00944244" w:rsidRDefault="00D902D6" w:rsidP="00D902D6">
            <w:pPr>
              <w:rPr>
                <w:sz w:val="20"/>
                <w:szCs w:val="20"/>
              </w:rPr>
            </w:pPr>
            <w:r w:rsidRPr="00944244">
              <w:rPr>
                <w:color w:val="000000"/>
                <w:sz w:val="20"/>
                <w:szCs w:val="20"/>
              </w:rPr>
              <w:t>General - adults</w:t>
            </w:r>
          </w:p>
        </w:tc>
        <w:tc>
          <w:tcPr>
            <w:tcW w:w="2977" w:type="dxa"/>
          </w:tcPr>
          <w:p w14:paraId="634FF75E" w14:textId="77777777" w:rsidR="00D902D6" w:rsidRPr="00944244" w:rsidRDefault="00D902D6" w:rsidP="00D902D6">
            <w:pPr>
              <w:rPr>
                <w:sz w:val="20"/>
                <w:szCs w:val="20"/>
              </w:rPr>
            </w:pPr>
            <w:r w:rsidRPr="00944244">
              <w:rPr>
                <w:sz w:val="20"/>
                <w:szCs w:val="20"/>
              </w:rPr>
              <w:t>GAD diagnosis on</w:t>
            </w:r>
            <w:r w:rsidRPr="00944244">
              <w:rPr>
                <w:color w:val="000000"/>
                <w:sz w:val="20"/>
                <w:szCs w:val="20"/>
              </w:rPr>
              <w:t xml:space="preserve"> SCID-I</w:t>
            </w:r>
          </w:p>
          <w:p w14:paraId="0DD1AA9E" w14:textId="77777777" w:rsidR="00D902D6" w:rsidRPr="00944244" w:rsidRDefault="00D902D6" w:rsidP="00D902D6">
            <w:pPr>
              <w:rPr>
                <w:sz w:val="20"/>
                <w:szCs w:val="20"/>
              </w:rPr>
            </w:pPr>
            <w:r w:rsidRPr="00944244">
              <w:rPr>
                <w:sz w:val="20"/>
                <w:szCs w:val="20"/>
              </w:rPr>
              <w:t>PSWQ&gt;45</w:t>
            </w:r>
          </w:p>
        </w:tc>
        <w:tc>
          <w:tcPr>
            <w:tcW w:w="1134" w:type="dxa"/>
            <w:tcBorders>
              <w:top w:val="nil"/>
              <w:left w:val="single" w:sz="4" w:space="0" w:color="auto"/>
              <w:bottom w:val="single" w:sz="4" w:space="0" w:color="auto"/>
              <w:right w:val="single" w:sz="4" w:space="0" w:color="auto"/>
            </w:tcBorders>
            <w:shd w:val="clear" w:color="000000" w:fill="FFF2CC"/>
          </w:tcPr>
          <w:p w14:paraId="3F8B1E3B" w14:textId="77777777" w:rsidR="00D902D6" w:rsidRPr="00944244" w:rsidRDefault="00D902D6" w:rsidP="00D902D6">
            <w:pPr>
              <w:rPr>
                <w:color w:val="000000"/>
                <w:sz w:val="20"/>
                <w:szCs w:val="20"/>
              </w:rPr>
            </w:pPr>
            <w:r w:rsidRPr="00944244">
              <w:rPr>
                <w:color w:val="000000"/>
                <w:sz w:val="20"/>
                <w:szCs w:val="20"/>
              </w:rPr>
              <w:t>103</w:t>
            </w:r>
          </w:p>
        </w:tc>
        <w:tc>
          <w:tcPr>
            <w:tcW w:w="992" w:type="dxa"/>
            <w:tcBorders>
              <w:top w:val="nil"/>
              <w:left w:val="single" w:sz="4" w:space="0" w:color="auto"/>
              <w:bottom w:val="single" w:sz="4" w:space="0" w:color="auto"/>
              <w:right w:val="single" w:sz="4" w:space="0" w:color="auto"/>
            </w:tcBorders>
            <w:shd w:val="clear" w:color="000000" w:fill="FFF2CC"/>
          </w:tcPr>
          <w:p w14:paraId="57138510" w14:textId="77777777" w:rsidR="00D902D6" w:rsidRPr="00944244" w:rsidRDefault="00D902D6" w:rsidP="00D902D6">
            <w:pPr>
              <w:rPr>
                <w:color w:val="000000"/>
                <w:sz w:val="20"/>
                <w:szCs w:val="20"/>
              </w:rPr>
            </w:pPr>
            <w:r w:rsidRPr="00944244">
              <w:rPr>
                <w:color w:val="000000"/>
                <w:sz w:val="20"/>
                <w:szCs w:val="20"/>
              </w:rPr>
              <w:t>85</w:t>
            </w:r>
          </w:p>
        </w:tc>
        <w:tc>
          <w:tcPr>
            <w:tcW w:w="1276" w:type="dxa"/>
          </w:tcPr>
          <w:p w14:paraId="22E4A988" w14:textId="77777777" w:rsidR="00D902D6" w:rsidRPr="00944244" w:rsidRDefault="00D902D6" w:rsidP="00D902D6">
            <w:pPr>
              <w:contextualSpacing/>
              <w:rPr>
                <w:rStyle w:val="Strong"/>
                <w:b w:val="0"/>
                <w:sz w:val="20"/>
                <w:szCs w:val="20"/>
              </w:rPr>
            </w:pPr>
            <w:r w:rsidRPr="00944244">
              <w:rPr>
                <w:bCs/>
                <w:noProof/>
                <w:sz w:val="20"/>
                <w:szCs w:val="20"/>
              </w:rPr>
              <w:t>9 weeks</w:t>
            </w:r>
          </w:p>
          <w:p w14:paraId="39487D68" w14:textId="77777777" w:rsidR="00D902D6" w:rsidRPr="00944244" w:rsidRDefault="00D902D6" w:rsidP="00D902D6">
            <w:pPr>
              <w:contextualSpacing/>
              <w:rPr>
                <w:bCs/>
                <w:sz w:val="20"/>
                <w:szCs w:val="20"/>
              </w:rPr>
            </w:pPr>
            <w:r w:rsidRPr="00944244">
              <w:rPr>
                <w:bCs/>
                <w:noProof/>
                <w:sz w:val="20"/>
                <w:szCs w:val="20"/>
              </w:rPr>
              <w:t>6 months*</w:t>
            </w:r>
          </w:p>
        </w:tc>
        <w:tc>
          <w:tcPr>
            <w:tcW w:w="2693" w:type="dxa"/>
          </w:tcPr>
          <w:p w14:paraId="2CFFBEB2" w14:textId="77777777" w:rsidR="00D902D6" w:rsidRPr="00E36267" w:rsidRDefault="00D902D6" w:rsidP="00D902D6">
            <w:pPr>
              <w:rPr>
                <w:sz w:val="20"/>
                <w:szCs w:val="20"/>
                <w:lang w:val="pt-PT"/>
              </w:rPr>
            </w:pPr>
            <w:r w:rsidRPr="00944244">
              <w:rPr>
                <w:sz w:val="20"/>
                <w:szCs w:val="20"/>
              </w:rPr>
              <w:t>GAD-7</w:t>
            </w:r>
            <w:r>
              <w:rPr>
                <w:sz w:val="20"/>
                <w:szCs w:val="20"/>
              </w:rPr>
              <w:t xml:space="preserve">, </w:t>
            </w:r>
            <w:r w:rsidRPr="00944244">
              <w:rPr>
                <w:sz w:val="20"/>
                <w:szCs w:val="20"/>
              </w:rPr>
              <w:t>PSWQ</w:t>
            </w:r>
            <w:r>
              <w:rPr>
                <w:sz w:val="20"/>
                <w:szCs w:val="20"/>
              </w:rPr>
              <w:t>,</w:t>
            </w:r>
            <w:r w:rsidRPr="00E36267">
              <w:rPr>
                <w:noProof/>
                <w:sz w:val="20"/>
                <w:szCs w:val="20"/>
                <w:lang w:val="pt-PT"/>
              </w:rPr>
              <w:t xml:space="preserve"> BAI</w:t>
            </w:r>
            <w:r w:rsidRPr="00E36267">
              <w:rPr>
                <w:sz w:val="20"/>
                <w:szCs w:val="20"/>
                <w:lang w:val="pt-PT"/>
              </w:rPr>
              <w:t xml:space="preserve">, </w:t>
            </w:r>
            <w:r w:rsidRPr="00E36267">
              <w:rPr>
                <w:noProof/>
                <w:sz w:val="20"/>
                <w:szCs w:val="20"/>
                <w:lang w:val="pt-PT"/>
              </w:rPr>
              <w:t>GADQ-IV</w:t>
            </w:r>
            <w:r w:rsidRPr="00E36267">
              <w:rPr>
                <w:sz w:val="20"/>
                <w:szCs w:val="20"/>
                <w:lang w:val="pt-PT"/>
              </w:rPr>
              <w:t xml:space="preserve">, </w:t>
            </w:r>
            <w:r w:rsidRPr="00E36267">
              <w:rPr>
                <w:noProof/>
                <w:sz w:val="20"/>
                <w:szCs w:val="20"/>
                <w:lang w:val="pt-PT"/>
              </w:rPr>
              <w:t>MADRS-S</w:t>
            </w:r>
            <w:r w:rsidRPr="00E36267">
              <w:rPr>
                <w:sz w:val="20"/>
                <w:szCs w:val="20"/>
                <w:lang w:val="pt-PT"/>
              </w:rPr>
              <w:t xml:space="preserve">, </w:t>
            </w:r>
            <w:r w:rsidRPr="00E36267">
              <w:rPr>
                <w:noProof/>
                <w:sz w:val="20"/>
                <w:szCs w:val="20"/>
                <w:lang w:val="pt-PT"/>
              </w:rPr>
              <w:t>PHQ-9</w:t>
            </w:r>
            <w:r w:rsidRPr="00E36267">
              <w:rPr>
                <w:sz w:val="20"/>
                <w:szCs w:val="20"/>
                <w:lang w:val="pt-PT"/>
              </w:rPr>
              <w:t xml:space="preserve">, </w:t>
            </w:r>
            <w:r w:rsidRPr="00E36267">
              <w:rPr>
                <w:noProof/>
                <w:sz w:val="20"/>
                <w:szCs w:val="20"/>
                <w:lang w:val="pt-PT"/>
              </w:rPr>
              <w:t>QOLI</w:t>
            </w:r>
          </w:p>
        </w:tc>
      </w:tr>
      <w:tr w:rsidR="00D902D6" w:rsidRPr="00BB20B3" w14:paraId="1E5CC839" w14:textId="77777777" w:rsidTr="00EB6127">
        <w:trPr>
          <w:trHeight w:val="390"/>
        </w:trPr>
        <w:tc>
          <w:tcPr>
            <w:tcW w:w="2122" w:type="dxa"/>
            <w:hideMark/>
          </w:tcPr>
          <w:p w14:paraId="3C18E68B" w14:textId="77777777" w:rsidR="00D902D6" w:rsidRPr="00944244" w:rsidRDefault="00D902D6" w:rsidP="00D902D6">
            <w:pPr>
              <w:rPr>
                <w:sz w:val="20"/>
                <w:szCs w:val="20"/>
              </w:rPr>
            </w:pPr>
            <w:r w:rsidRPr="00944244">
              <w:rPr>
                <w:sz w:val="20"/>
                <w:szCs w:val="20"/>
              </w:rPr>
              <w:t>Dear 2015</w:t>
            </w:r>
          </w:p>
        </w:tc>
        <w:tc>
          <w:tcPr>
            <w:tcW w:w="1278" w:type="dxa"/>
            <w:tcBorders>
              <w:top w:val="nil"/>
              <w:left w:val="single" w:sz="4" w:space="0" w:color="auto"/>
              <w:bottom w:val="single" w:sz="4" w:space="0" w:color="auto"/>
              <w:right w:val="single" w:sz="4" w:space="0" w:color="auto"/>
            </w:tcBorders>
            <w:shd w:val="clear" w:color="000000" w:fill="EDEDED"/>
          </w:tcPr>
          <w:p w14:paraId="2251488D" w14:textId="77777777" w:rsidR="00D902D6" w:rsidRPr="00944244" w:rsidRDefault="00D902D6" w:rsidP="00D902D6">
            <w:pPr>
              <w:rPr>
                <w:sz w:val="20"/>
                <w:szCs w:val="20"/>
              </w:rPr>
            </w:pPr>
            <w:r w:rsidRPr="00944244">
              <w:rPr>
                <w:color w:val="000000"/>
                <w:sz w:val="20"/>
                <w:szCs w:val="20"/>
              </w:rPr>
              <w:t>Australia</w:t>
            </w:r>
          </w:p>
        </w:tc>
        <w:tc>
          <w:tcPr>
            <w:tcW w:w="1273" w:type="dxa"/>
            <w:tcBorders>
              <w:top w:val="nil"/>
              <w:left w:val="single" w:sz="4" w:space="0" w:color="auto"/>
              <w:bottom w:val="single" w:sz="4" w:space="0" w:color="auto"/>
              <w:right w:val="single" w:sz="4" w:space="0" w:color="auto"/>
            </w:tcBorders>
            <w:shd w:val="clear" w:color="000000" w:fill="FFF2CC"/>
          </w:tcPr>
          <w:p w14:paraId="23590BD6" w14:textId="77777777" w:rsidR="00D902D6" w:rsidRPr="00944244" w:rsidRDefault="00D902D6" w:rsidP="00D902D6">
            <w:pPr>
              <w:rPr>
                <w:sz w:val="20"/>
                <w:szCs w:val="20"/>
              </w:rPr>
            </w:pPr>
            <w:r w:rsidRPr="00944244">
              <w:rPr>
                <w:color w:val="000000"/>
                <w:sz w:val="20"/>
                <w:szCs w:val="20"/>
              </w:rPr>
              <w:t>General - adults</w:t>
            </w:r>
          </w:p>
        </w:tc>
        <w:tc>
          <w:tcPr>
            <w:tcW w:w="2977" w:type="dxa"/>
          </w:tcPr>
          <w:p w14:paraId="2A27D694" w14:textId="77777777" w:rsidR="00D902D6" w:rsidRPr="00944244" w:rsidRDefault="00D902D6" w:rsidP="00D902D6">
            <w:pPr>
              <w:rPr>
                <w:sz w:val="20"/>
                <w:szCs w:val="20"/>
              </w:rPr>
            </w:pPr>
            <w:r w:rsidRPr="00944244">
              <w:rPr>
                <w:sz w:val="20"/>
                <w:szCs w:val="20"/>
              </w:rPr>
              <w:t>GAD</w:t>
            </w:r>
            <w:r w:rsidRPr="00944244">
              <w:rPr>
                <w:color w:val="000000"/>
                <w:sz w:val="20"/>
                <w:szCs w:val="20"/>
              </w:rPr>
              <w:t xml:space="preserve"> diagnosis on MINI</w:t>
            </w:r>
          </w:p>
          <w:p w14:paraId="555FAA54" w14:textId="77777777" w:rsidR="00D902D6" w:rsidRPr="00944244" w:rsidRDefault="00D902D6" w:rsidP="00D902D6">
            <w:pPr>
              <w:rPr>
                <w:sz w:val="20"/>
                <w:szCs w:val="20"/>
              </w:rPr>
            </w:pPr>
            <w:r w:rsidRPr="00944244">
              <w:rPr>
                <w:sz w:val="20"/>
                <w:szCs w:val="20"/>
              </w:rPr>
              <w:t>GAD7&gt;5</w:t>
            </w:r>
          </w:p>
        </w:tc>
        <w:tc>
          <w:tcPr>
            <w:tcW w:w="1134" w:type="dxa"/>
            <w:tcBorders>
              <w:top w:val="nil"/>
              <w:left w:val="single" w:sz="4" w:space="0" w:color="auto"/>
              <w:bottom w:val="single" w:sz="4" w:space="0" w:color="auto"/>
              <w:right w:val="single" w:sz="4" w:space="0" w:color="auto"/>
            </w:tcBorders>
            <w:shd w:val="clear" w:color="000000" w:fill="FFF2CC"/>
          </w:tcPr>
          <w:p w14:paraId="52164C0E" w14:textId="77777777" w:rsidR="00D902D6" w:rsidRPr="00944244" w:rsidRDefault="00D902D6" w:rsidP="00D902D6">
            <w:pPr>
              <w:rPr>
                <w:color w:val="000000"/>
                <w:sz w:val="20"/>
                <w:szCs w:val="20"/>
              </w:rPr>
            </w:pPr>
            <w:r w:rsidRPr="00944244">
              <w:rPr>
                <w:color w:val="000000"/>
                <w:sz w:val="20"/>
                <w:szCs w:val="20"/>
              </w:rPr>
              <w:t>338</w:t>
            </w:r>
          </w:p>
        </w:tc>
        <w:tc>
          <w:tcPr>
            <w:tcW w:w="992" w:type="dxa"/>
            <w:tcBorders>
              <w:top w:val="nil"/>
              <w:left w:val="single" w:sz="4" w:space="0" w:color="auto"/>
              <w:bottom w:val="single" w:sz="4" w:space="0" w:color="auto"/>
              <w:right w:val="single" w:sz="4" w:space="0" w:color="auto"/>
            </w:tcBorders>
            <w:shd w:val="clear" w:color="000000" w:fill="FFF2CC"/>
          </w:tcPr>
          <w:p w14:paraId="3C70925F" w14:textId="77777777" w:rsidR="00D902D6" w:rsidRPr="00944244" w:rsidRDefault="00D902D6" w:rsidP="00D902D6">
            <w:pPr>
              <w:rPr>
                <w:color w:val="000000"/>
                <w:sz w:val="20"/>
                <w:szCs w:val="20"/>
              </w:rPr>
            </w:pPr>
            <w:r w:rsidRPr="00944244">
              <w:rPr>
                <w:color w:val="000000"/>
                <w:sz w:val="20"/>
                <w:szCs w:val="20"/>
              </w:rPr>
              <w:t>260</w:t>
            </w:r>
          </w:p>
        </w:tc>
        <w:tc>
          <w:tcPr>
            <w:tcW w:w="1276" w:type="dxa"/>
          </w:tcPr>
          <w:p w14:paraId="45AC25D2" w14:textId="77777777" w:rsidR="00D902D6" w:rsidRPr="00944244" w:rsidRDefault="00D902D6" w:rsidP="00D902D6">
            <w:pPr>
              <w:contextualSpacing/>
              <w:rPr>
                <w:rStyle w:val="Strong"/>
                <w:b w:val="0"/>
                <w:sz w:val="20"/>
                <w:szCs w:val="20"/>
              </w:rPr>
            </w:pPr>
            <w:r w:rsidRPr="00944244">
              <w:rPr>
                <w:bCs/>
                <w:noProof/>
                <w:sz w:val="20"/>
                <w:szCs w:val="20"/>
              </w:rPr>
              <w:t>9 weeks</w:t>
            </w:r>
          </w:p>
          <w:p w14:paraId="7833C4EC" w14:textId="77777777" w:rsidR="00D902D6" w:rsidRPr="00944244" w:rsidRDefault="00D902D6" w:rsidP="00D902D6">
            <w:pPr>
              <w:contextualSpacing/>
              <w:rPr>
                <w:rStyle w:val="Strong"/>
                <w:b w:val="0"/>
                <w:sz w:val="20"/>
                <w:szCs w:val="20"/>
              </w:rPr>
            </w:pPr>
            <w:r w:rsidRPr="00944244">
              <w:rPr>
                <w:bCs/>
                <w:noProof/>
                <w:sz w:val="20"/>
                <w:szCs w:val="20"/>
              </w:rPr>
              <w:t>3 months</w:t>
            </w:r>
          </w:p>
          <w:p w14:paraId="7516978E" w14:textId="77777777" w:rsidR="00D902D6" w:rsidRPr="00944244" w:rsidRDefault="00D902D6" w:rsidP="00D902D6">
            <w:pPr>
              <w:contextualSpacing/>
              <w:rPr>
                <w:rStyle w:val="Strong"/>
                <w:b w:val="0"/>
                <w:sz w:val="20"/>
                <w:szCs w:val="20"/>
              </w:rPr>
            </w:pPr>
            <w:r w:rsidRPr="00944244">
              <w:rPr>
                <w:bCs/>
                <w:noProof/>
                <w:sz w:val="20"/>
                <w:szCs w:val="20"/>
              </w:rPr>
              <w:t>12 months</w:t>
            </w:r>
          </w:p>
          <w:p w14:paraId="7EC10C4E" w14:textId="77777777" w:rsidR="00D902D6" w:rsidRPr="00944244" w:rsidRDefault="00D902D6" w:rsidP="00D902D6">
            <w:pPr>
              <w:rPr>
                <w:sz w:val="20"/>
                <w:szCs w:val="20"/>
              </w:rPr>
            </w:pPr>
            <w:r w:rsidRPr="00944244">
              <w:rPr>
                <w:bCs/>
                <w:noProof/>
                <w:sz w:val="20"/>
                <w:szCs w:val="20"/>
              </w:rPr>
              <w:t>24 months</w:t>
            </w:r>
          </w:p>
        </w:tc>
        <w:tc>
          <w:tcPr>
            <w:tcW w:w="2693" w:type="dxa"/>
          </w:tcPr>
          <w:p w14:paraId="4F0217ED" w14:textId="77777777" w:rsidR="00D902D6" w:rsidRPr="00E36267" w:rsidRDefault="00D902D6" w:rsidP="00D902D6">
            <w:pPr>
              <w:contextualSpacing/>
              <w:rPr>
                <w:sz w:val="20"/>
                <w:szCs w:val="20"/>
                <w:lang w:val="pt-PT"/>
              </w:rPr>
            </w:pPr>
            <w:r w:rsidRPr="00CD75E3">
              <w:rPr>
                <w:sz w:val="20"/>
                <w:szCs w:val="20"/>
                <w:lang w:val="pt-PT"/>
              </w:rPr>
              <w:t xml:space="preserve">GAD-7, </w:t>
            </w:r>
            <w:r w:rsidRPr="00E36267">
              <w:rPr>
                <w:noProof/>
                <w:sz w:val="20"/>
                <w:szCs w:val="20"/>
                <w:lang w:val="pt-PT"/>
              </w:rPr>
              <w:t>K-10</w:t>
            </w:r>
            <w:r w:rsidRPr="00E36267">
              <w:rPr>
                <w:sz w:val="20"/>
                <w:szCs w:val="20"/>
                <w:lang w:val="pt-PT"/>
              </w:rPr>
              <w:t xml:space="preserve">, </w:t>
            </w:r>
            <w:r w:rsidRPr="00E36267">
              <w:rPr>
                <w:noProof/>
                <w:sz w:val="20"/>
                <w:szCs w:val="20"/>
                <w:lang w:val="pt-PT"/>
              </w:rPr>
              <w:t>MINI</w:t>
            </w:r>
            <w:r w:rsidRPr="00E36267">
              <w:rPr>
                <w:sz w:val="20"/>
                <w:szCs w:val="20"/>
                <w:lang w:val="pt-PT"/>
              </w:rPr>
              <w:t xml:space="preserve">, </w:t>
            </w:r>
            <w:r w:rsidRPr="00E36267">
              <w:rPr>
                <w:noProof/>
                <w:sz w:val="20"/>
                <w:szCs w:val="20"/>
                <w:lang w:val="pt-PT"/>
              </w:rPr>
              <w:t>MINI-SPIN</w:t>
            </w:r>
            <w:r w:rsidRPr="00E36267">
              <w:rPr>
                <w:sz w:val="20"/>
                <w:szCs w:val="20"/>
                <w:lang w:val="pt-PT"/>
              </w:rPr>
              <w:t xml:space="preserve">, </w:t>
            </w:r>
            <w:r w:rsidRPr="00E36267">
              <w:rPr>
                <w:noProof/>
                <w:sz w:val="20"/>
                <w:szCs w:val="20"/>
                <w:lang w:val="pt-PT"/>
              </w:rPr>
              <w:t>NEO-FFI-N</w:t>
            </w:r>
            <w:r w:rsidRPr="00E36267">
              <w:rPr>
                <w:sz w:val="20"/>
                <w:szCs w:val="20"/>
                <w:lang w:val="pt-PT"/>
              </w:rPr>
              <w:t xml:space="preserve">, </w:t>
            </w:r>
            <w:r w:rsidRPr="00E36267">
              <w:rPr>
                <w:noProof/>
                <w:sz w:val="20"/>
                <w:szCs w:val="20"/>
                <w:lang w:val="pt-PT"/>
              </w:rPr>
              <w:t>PDSS-SR</w:t>
            </w:r>
            <w:r w:rsidRPr="00E36267">
              <w:rPr>
                <w:sz w:val="20"/>
                <w:szCs w:val="20"/>
                <w:lang w:val="pt-PT"/>
              </w:rPr>
              <w:t xml:space="preserve">, </w:t>
            </w:r>
            <w:r w:rsidRPr="00E36267">
              <w:rPr>
                <w:noProof/>
                <w:sz w:val="20"/>
                <w:szCs w:val="20"/>
                <w:lang w:val="pt-PT"/>
              </w:rPr>
              <w:t>PHQ-9</w:t>
            </w:r>
            <w:r w:rsidRPr="00E36267">
              <w:rPr>
                <w:sz w:val="20"/>
                <w:szCs w:val="20"/>
                <w:lang w:val="pt-PT"/>
              </w:rPr>
              <w:t xml:space="preserve">, </w:t>
            </w:r>
            <w:r w:rsidRPr="00E36267">
              <w:rPr>
                <w:noProof/>
                <w:sz w:val="20"/>
                <w:szCs w:val="20"/>
                <w:lang w:val="pt-PT"/>
              </w:rPr>
              <w:t>SDS</w:t>
            </w:r>
          </w:p>
        </w:tc>
      </w:tr>
      <w:tr w:rsidR="00D902D6" w:rsidRPr="00944244" w14:paraId="38AA12D9" w14:textId="77777777" w:rsidTr="00EB6127">
        <w:trPr>
          <w:trHeight w:val="300"/>
        </w:trPr>
        <w:tc>
          <w:tcPr>
            <w:tcW w:w="2122" w:type="dxa"/>
            <w:hideMark/>
          </w:tcPr>
          <w:p w14:paraId="687A067A" w14:textId="77777777" w:rsidR="00D902D6" w:rsidRPr="00944244" w:rsidRDefault="00D902D6" w:rsidP="00D902D6">
            <w:pPr>
              <w:rPr>
                <w:sz w:val="20"/>
                <w:szCs w:val="20"/>
              </w:rPr>
            </w:pPr>
            <w:r w:rsidRPr="00944244">
              <w:rPr>
                <w:sz w:val="20"/>
                <w:szCs w:val="20"/>
              </w:rPr>
              <w:t>Hazen 2009</w:t>
            </w:r>
          </w:p>
        </w:tc>
        <w:tc>
          <w:tcPr>
            <w:tcW w:w="1278" w:type="dxa"/>
            <w:tcBorders>
              <w:top w:val="nil"/>
              <w:left w:val="single" w:sz="4" w:space="0" w:color="auto"/>
              <w:bottom w:val="single" w:sz="4" w:space="0" w:color="auto"/>
              <w:right w:val="single" w:sz="4" w:space="0" w:color="auto"/>
            </w:tcBorders>
            <w:shd w:val="clear" w:color="000000" w:fill="EDEDED"/>
          </w:tcPr>
          <w:p w14:paraId="2C575302" w14:textId="77777777" w:rsidR="00D902D6" w:rsidRPr="00944244" w:rsidRDefault="00D902D6" w:rsidP="00D902D6">
            <w:pPr>
              <w:rPr>
                <w:sz w:val="20"/>
                <w:szCs w:val="20"/>
              </w:rPr>
            </w:pPr>
            <w:r w:rsidRPr="00944244">
              <w:rPr>
                <w:color w:val="000000"/>
                <w:sz w:val="20"/>
                <w:szCs w:val="20"/>
              </w:rPr>
              <w:t>USA</w:t>
            </w:r>
          </w:p>
        </w:tc>
        <w:tc>
          <w:tcPr>
            <w:tcW w:w="1273" w:type="dxa"/>
            <w:tcBorders>
              <w:top w:val="nil"/>
              <w:left w:val="single" w:sz="4" w:space="0" w:color="auto"/>
              <w:bottom w:val="single" w:sz="4" w:space="0" w:color="auto"/>
              <w:right w:val="single" w:sz="4" w:space="0" w:color="auto"/>
            </w:tcBorders>
            <w:shd w:val="clear" w:color="000000" w:fill="FFF2CC"/>
          </w:tcPr>
          <w:p w14:paraId="2D1841A7" w14:textId="77777777" w:rsidR="00D902D6" w:rsidRPr="00944244" w:rsidRDefault="00D902D6" w:rsidP="00D902D6">
            <w:pPr>
              <w:rPr>
                <w:sz w:val="20"/>
                <w:szCs w:val="20"/>
              </w:rPr>
            </w:pPr>
            <w:r w:rsidRPr="00944244">
              <w:rPr>
                <w:color w:val="000000"/>
                <w:sz w:val="20"/>
                <w:szCs w:val="20"/>
              </w:rPr>
              <w:t>University students</w:t>
            </w:r>
          </w:p>
        </w:tc>
        <w:tc>
          <w:tcPr>
            <w:tcW w:w="2977" w:type="dxa"/>
          </w:tcPr>
          <w:p w14:paraId="169B79EA" w14:textId="77777777" w:rsidR="00D902D6" w:rsidRPr="00944244" w:rsidRDefault="00D902D6" w:rsidP="00D902D6">
            <w:pPr>
              <w:rPr>
                <w:sz w:val="20"/>
                <w:szCs w:val="20"/>
              </w:rPr>
            </w:pPr>
            <w:r w:rsidRPr="00944244">
              <w:rPr>
                <w:sz w:val="20"/>
                <w:szCs w:val="20"/>
              </w:rPr>
              <w:t>PSWQ&gt;60</w:t>
            </w:r>
          </w:p>
        </w:tc>
        <w:tc>
          <w:tcPr>
            <w:tcW w:w="1134" w:type="dxa"/>
            <w:tcBorders>
              <w:top w:val="nil"/>
              <w:left w:val="single" w:sz="4" w:space="0" w:color="auto"/>
              <w:bottom w:val="single" w:sz="4" w:space="0" w:color="auto"/>
              <w:right w:val="single" w:sz="4" w:space="0" w:color="auto"/>
            </w:tcBorders>
            <w:shd w:val="clear" w:color="000000" w:fill="FFF2CC"/>
          </w:tcPr>
          <w:p w14:paraId="65A0BC1B" w14:textId="77777777" w:rsidR="00D902D6" w:rsidRPr="00944244" w:rsidRDefault="00D902D6" w:rsidP="00D902D6">
            <w:pPr>
              <w:rPr>
                <w:color w:val="000000"/>
                <w:sz w:val="20"/>
                <w:szCs w:val="20"/>
              </w:rPr>
            </w:pPr>
            <w:r w:rsidRPr="00944244">
              <w:rPr>
                <w:color w:val="000000"/>
                <w:sz w:val="20"/>
                <w:szCs w:val="20"/>
              </w:rPr>
              <w:t>24</w:t>
            </w:r>
          </w:p>
        </w:tc>
        <w:tc>
          <w:tcPr>
            <w:tcW w:w="992" w:type="dxa"/>
            <w:tcBorders>
              <w:top w:val="nil"/>
              <w:left w:val="single" w:sz="4" w:space="0" w:color="auto"/>
              <w:bottom w:val="single" w:sz="4" w:space="0" w:color="auto"/>
              <w:right w:val="single" w:sz="4" w:space="0" w:color="auto"/>
            </w:tcBorders>
            <w:shd w:val="clear" w:color="000000" w:fill="FFF2CC"/>
          </w:tcPr>
          <w:p w14:paraId="625D3731" w14:textId="77777777" w:rsidR="00D902D6" w:rsidRPr="00944244" w:rsidRDefault="00D902D6" w:rsidP="00D902D6">
            <w:pPr>
              <w:rPr>
                <w:color w:val="000000"/>
                <w:sz w:val="20"/>
                <w:szCs w:val="20"/>
              </w:rPr>
            </w:pPr>
            <w:r w:rsidRPr="00944244">
              <w:rPr>
                <w:color w:val="000000"/>
                <w:sz w:val="20"/>
                <w:szCs w:val="20"/>
              </w:rPr>
              <w:t>23</w:t>
            </w:r>
          </w:p>
        </w:tc>
        <w:tc>
          <w:tcPr>
            <w:tcW w:w="1276" w:type="dxa"/>
          </w:tcPr>
          <w:p w14:paraId="2D1B3568" w14:textId="77777777" w:rsidR="00D902D6" w:rsidRPr="00944244" w:rsidRDefault="00D902D6" w:rsidP="00D902D6">
            <w:pPr>
              <w:rPr>
                <w:sz w:val="20"/>
                <w:szCs w:val="20"/>
              </w:rPr>
            </w:pPr>
            <w:r w:rsidRPr="00944244">
              <w:rPr>
                <w:bCs/>
                <w:noProof/>
                <w:sz w:val="20"/>
                <w:szCs w:val="20"/>
              </w:rPr>
              <w:t>3</w:t>
            </w:r>
            <w:r>
              <w:rPr>
                <w:bCs/>
                <w:noProof/>
                <w:sz w:val="20"/>
                <w:szCs w:val="20"/>
              </w:rPr>
              <w:t>-</w:t>
            </w:r>
            <w:r w:rsidRPr="00944244">
              <w:rPr>
                <w:bCs/>
                <w:noProof/>
                <w:sz w:val="20"/>
                <w:szCs w:val="20"/>
              </w:rPr>
              <w:t>6 weeks</w:t>
            </w:r>
          </w:p>
        </w:tc>
        <w:tc>
          <w:tcPr>
            <w:tcW w:w="2693" w:type="dxa"/>
          </w:tcPr>
          <w:p w14:paraId="07DCB21F" w14:textId="77777777" w:rsidR="00D902D6" w:rsidRPr="00944244" w:rsidRDefault="00D902D6" w:rsidP="00D902D6">
            <w:pPr>
              <w:rPr>
                <w:sz w:val="20"/>
                <w:szCs w:val="20"/>
              </w:rPr>
            </w:pPr>
            <w:r w:rsidRPr="00944244">
              <w:rPr>
                <w:sz w:val="20"/>
                <w:szCs w:val="20"/>
              </w:rPr>
              <w:t>PSWQ</w:t>
            </w:r>
            <w:r>
              <w:rPr>
                <w:sz w:val="20"/>
                <w:szCs w:val="20"/>
              </w:rPr>
              <w:t>,</w:t>
            </w:r>
            <w:r w:rsidRPr="00944244">
              <w:rPr>
                <w:noProof/>
                <w:sz w:val="20"/>
                <w:szCs w:val="20"/>
              </w:rPr>
              <w:t xml:space="preserve"> BDI</w:t>
            </w:r>
            <w:r w:rsidRPr="00944244">
              <w:rPr>
                <w:sz w:val="20"/>
                <w:szCs w:val="20"/>
              </w:rPr>
              <w:t xml:space="preserve">, </w:t>
            </w:r>
            <w:r w:rsidRPr="00944244">
              <w:rPr>
                <w:noProof/>
                <w:sz w:val="20"/>
                <w:szCs w:val="20"/>
              </w:rPr>
              <w:t>STAI-T</w:t>
            </w:r>
          </w:p>
        </w:tc>
      </w:tr>
      <w:tr w:rsidR="00D902D6" w:rsidRPr="00944244" w14:paraId="27840791" w14:textId="77777777" w:rsidTr="00EB6127">
        <w:trPr>
          <w:trHeight w:val="480"/>
        </w:trPr>
        <w:tc>
          <w:tcPr>
            <w:tcW w:w="2122" w:type="dxa"/>
            <w:hideMark/>
          </w:tcPr>
          <w:p w14:paraId="6FA1E286" w14:textId="77777777" w:rsidR="00D902D6" w:rsidRPr="00944244" w:rsidRDefault="00D902D6" w:rsidP="00D902D6">
            <w:pPr>
              <w:rPr>
                <w:sz w:val="20"/>
                <w:szCs w:val="20"/>
              </w:rPr>
            </w:pPr>
            <w:r w:rsidRPr="00944244">
              <w:rPr>
                <w:sz w:val="20"/>
                <w:szCs w:val="20"/>
              </w:rPr>
              <w:t>Hirsch 2018</w:t>
            </w:r>
          </w:p>
        </w:tc>
        <w:tc>
          <w:tcPr>
            <w:tcW w:w="1278" w:type="dxa"/>
            <w:tcBorders>
              <w:top w:val="nil"/>
              <w:left w:val="single" w:sz="4" w:space="0" w:color="auto"/>
              <w:bottom w:val="single" w:sz="4" w:space="0" w:color="auto"/>
              <w:right w:val="single" w:sz="4" w:space="0" w:color="auto"/>
            </w:tcBorders>
            <w:shd w:val="clear" w:color="000000" w:fill="EDEDED"/>
          </w:tcPr>
          <w:p w14:paraId="307C2AC3" w14:textId="77777777" w:rsidR="00D902D6" w:rsidRPr="00944244" w:rsidRDefault="00D902D6" w:rsidP="00D902D6">
            <w:pPr>
              <w:rPr>
                <w:sz w:val="20"/>
                <w:szCs w:val="20"/>
              </w:rPr>
            </w:pPr>
            <w:r w:rsidRPr="00944244">
              <w:rPr>
                <w:color w:val="000000"/>
                <w:sz w:val="20"/>
                <w:szCs w:val="20"/>
              </w:rPr>
              <w:t>UK</w:t>
            </w:r>
          </w:p>
        </w:tc>
        <w:tc>
          <w:tcPr>
            <w:tcW w:w="1273" w:type="dxa"/>
            <w:tcBorders>
              <w:top w:val="nil"/>
              <w:left w:val="single" w:sz="4" w:space="0" w:color="auto"/>
              <w:bottom w:val="single" w:sz="4" w:space="0" w:color="auto"/>
              <w:right w:val="single" w:sz="4" w:space="0" w:color="auto"/>
            </w:tcBorders>
            <w:shd w:val="clear" w:color="000000" w:fill="FFF2CC"/>
          </w:tcPr>
          <w:p w14:paraId="26814CE3" w14:textId="77777777" w:rsidR="00D902D6" w:rsidRPr="00944244" w:rsidRDefault="00D902D6" w:rsidP="00D902D6">
            <w:pPr>
              <w:rPr>
                <w:sz w:val="20"/>
                <w:szCs w:val="20"/>
              </w:rPr>
            </w:pPr>
            <w:r w:rsidRPr="00944244">
              <w:rPr>
                <w:color w:val="000000"/>
                <w:sz w:val="20"/>
                <w:szCs w:val="20"/>
              </w:rPr>
              <w:t>General - adults</w:t>
            </w:r>
          </w:p>
        </w:tc>
        <w:tc>
          <w:tcPr>
            <w:tcW w:w="2977" w:type="dxa"/>
          </w:tcPr>
          <w:p w14:paraId="496F7655" w14:textId="77777777" w:rsidR="00D902D6" w:rsidRPr="00944244" w:rsidRDefault="00D902D6" w:rsidP="00D902D6">
            <w:pPr>
              <w:rPr>
                <w:b/>
                <w:bCs/>
                <w:sz w:val="20"/>
                <w:szCs w:val="20"/>
                <w:vertAlign w:val="superscript"/>
              </w:rPr>
            </w:pPr>
            <w:r w:rsidRPr="00944244">
              <w:rPr>
                <w:sz w:val="20"/>
                <w:szCs w:val="20"/>
              </w:rPr>
              <w:t>Mixed sample anxiety/depression</w:t>
            </w:r>
            <w:r w:rsidRPr="00944244">
              <w:rPr>
                <w:b/>
                <w:bCs/>
                <w:sz w:val="20"/>
                <w:szCs w:val="20"/>
                <w:vertAlign w:val="superscript"/>
              </w:rPr>
              <w:t>#</w:t>
            </w:r>
          </w:p>
          <w:p w14:paraId="541B7ADC" w14:textId="77777777" w:rsidR="00D902D6" w:rsidRPr="00944244" w:rsidRDefault="00D902D6" w:rsidP="00D902D6">
            <w:pPr>
              <w:rPr>
                <w:sz w:val="20"/>
                <w:szCs w:val="20"/>
              </w:rPr>
            </w:pPr>
            <w:r w:rsidRPr="00944244">
              <w:rPr>
                <w:color w:val="000000"/>
                <w:sz w:val="20"/>
                <w:szCs w:val="20"/>
              </w:rPr>
              <w:t>GAD diagnosis on SCID-I</w:t>
            </w:r>
          </w:p>
          <w:p w14:paraId="3D453DE9" w14:textId="77777777" w:rsidR="00D902D6" w:rsidRPr="00944244" w:rsidRDefault="00D902D6" w:rsidP="00D902D6">
            <w:pPr>
              <w:rPr>
                <w:sz w:val="20"/>
                <w:szCs w:val="20"/>
              </w:rPr>
            </w:pPr>
            <w:r w:rsidRPr="00944244">
              <w:rPr>
                <w:sz w:val="20"/>
                <w:szCs w:val="20"/>
              </w:rPr>
              <w:t>GAD7&gt;10</w:t>
            </w:r>
          </w:p>
        </w:tc>
        <w:tc>
          <w:tcPr>
            <w:tcW w:w="1134" w:type="dxa"/>
            <w:tcBorders>
              <w:top w:val="nil"/>
              <w:left w:val="single" w:sz="4" w:space="0" w:color="auto"/>
              <w:bottom w:val="single" w:sz="4" w:space="0" w:color="auto"/>
              <w:right w:val="single" w:sz="4" w:space="0" w:color="auto"/>
            </w:tcBorders>
            <w:shd w:val="clear" w:color="000000" w:fill="FFF2CC"/>
          </w:tcPr>
          <w:p w14:paraId="2464F461" w14:textId="77777777" w:rsidR="00D902D6" w:rsidRPr="00944244" w:rsidRDefault="00D902D6" w:rsidP="00D902D6">
            <w:pPr>
              <w:rPr>
                <w:color w:val="000000"/>
                <w:sz w:val="20"/>
                <w:szCs w:val="20"/>
              </w:rPr>
            </w:pPr>
            <w:r w:rsidRPr="00944244">
              <w:rPr>
                <w:color w:val="000000"/>
                <w:sz w:val="20"/>
                <w:szCs w:val="20"/>
              </w:rPr>
              <w:t>64</w:t>
            </w:r>
          </w:p>
        </w:tc>
        <w:tc>
          <w:tcPr>
            <w:tcW w:w="992" w:type="dxa"/>
            <w:tcBorders>
              <w:top w:val="nil"/>
              <w:left w:val="single" w:sz="4" w:space="0" w:color="auto"/>
              <w:bottom w:val="single" w:sz="4" w:space="0" w:color="auto"/>
              <w:right w:val="single" w:sz="4" w:space="0" w:color="auto"/>
            </w:tcBorders>
            <w:shd w:val="clear" w:color="000000" w:fill="FFF2CC"/>
          </w:tcPr>
          <w:p w14:paraId="4FFFF3D2" w14:textId="77777777" w:rsidR="00D902D6" w:rsidRPr="00944244" w:rsidRDefault="00D902D6" w:rsidP="00D902D6">
            <w:pPr>
              <w:rPr>
                <w:color w:val="000000"/>
                <w:sz w:val="20"/>
                <w:szCs w:val="20"/>
              </w:rPr>
            </w:pPr>
            <w:r w:rsidRPr="00944244">
              <w:rPr>
                <w:color w:val="000000"/>
                <w:sz w:val="20"/>
                <w:szCs w:val="20"/>
              </w:rPr>
              <w:t>64</w:t>
            </w:r>
          </w:p>
        </w:tc>
        <w:tc>
          <w:tcPr>
            <w:tcW w:w="1276" w:type="dxa"/>
          </w:tcPr>
          <w:p w14:paraId="29399D2D" w14:textId="77777777" w:rsidR="00D902D6" w:rsidRPr="00944244" w:rsidRDefault="00D902D6" w:rsidP="00D902D6">
            <w:pPr>
              <w:contextualSpacing/>
              <w:rPr>
                <w:rStyle w:val="Strong"/>
                <w:b w:val="0"/>
                <w:sz w:val="20"/>
                <w:szCs w:val="20"/>
              </w:rPr>
            </w:pPr>
            <w:r w:rsidRPr="00944244">
              <w:rPr>
                <w:bCs/>
                <w:noProof/>
                <w:sz w:val="20"/>
                <w:szCs w:val="20"/>
              </w:rPr>
              <w:t>3</w:t>
            </w:r>
            <w:r>
              <w:rPr>
                <w:bCs/>
                <w:noProof/>
                <w:sz w:val="20"/>
                <w:szCs w:val="20"/>
              </w:rPr>
              <w:t>-</w:t>
            </w:r>
            <w:r w:rsidRPr="00944244">
              <w:rPr>
                <w:bCs/>
                <w:noProof/>
                <w:sz w:val="20"/>
                <w:szCs w:val="20"/>
              </w:rPr>
              <w:t>4 weeks</w:t>
            </w:r>
          </w:p>
          <w:p w14:paraId="224F91AE" w14:textId="77777777" w:rsidR="00D902D6" w:rsidRPr="00944244" w:rsidRDefault="00D902D6" w:rsidP="00D902D6">
            <w:pPr>
              <w:rPr>
                <w:sz w:val="20"/>
                <w:szCs w:val="20"/>
              </w:rPr>
            </w:pPr>
            <w:r w:rsidRPr="00CB41DC">
              <w:rPr>
                <w:bCs/>
                <w:noProof/>
                <w:sz w:val="20"/>
                <w:szCs w:val="20"/>
              </w:rPr>
              <w:t>1 month</w:t>
            </w:r>
          </w:p>
        </w:tc>
        <w:tc>
          <w:tcPr>
            <w:tcW w:w="2693" w:type="dxa"/>
          </w:tcPr>
          <w:p w14:paraId="61947AE1" w14:textId="77777777" w:rsidR="00D902D6" w:rsidRPr="00944244" w:rsidRDefault="00D902D6" w:rsidP="00D902D6">
            <w:pPr>
              <w:rPr>
                <w:sz w:val="20"/>
                <w:szCs w:val="20"/>
              </w:rPr>
            </w:pPr>
            <w:r w:rsidRPr="00944244">
              <w:rPr>
                <w:sz w:val="20"/>
                <w:szCs w:val="20"/>
              </w:rPr>
              <w:t>GAD-7</w:t>
            </w:r>
            <w:r>
              <w:rPr>
                <w:sz w:val="20"/>
                <w:szCs w:val="20"/>
              </w:rPr>
              <w:t xml:space="preserve">, </w:t>
            </w:r>
            <w:r w:rsidRPr="00944244">
              <w:rPr>
                <w:sz w:val="20"/>
                <w:szCs w:val="20"/>
              </w:rPr>
              <w:t>PSWQ</w:t>
            </w:r>
            <w:r>
              <w:rPr>
                <w:sz w:val="20"/>
                <w:szCs w:val="20"/>
              </w:rPr>
              <w:t>,</w:t>
            </w:r>
            <w:r w:rsidRPr="00944244">
              <w:rPr>
                <w:noProof/>
                <w:sz w:val="20"/>
                <w:szCs w:val="20"/>
              </w:rPr>
              <w:t xml:space="preserve"> PHQ-9</w:t>
            </w:r>
            <w:r w:rsidRPr="00944244">
              <w:rPr>
                <w:sz w:val="20"/>
                <w:szCs w:val="20"/>
              </w:rPr>
              <w:t xml:space="preserve">, </w:t>
            </w:r>
            <w:r w:rsidRPr="00944244">
              <w:rPr>
                <w:noProof/>
                <w:sz w:val="20"/>
                <w:szCs w:val="20"/>
              </w:rPr>
              <w:t>RRS</w:t>
            </w:r>
            <w:r w:rsidRPr="00944244">
              <w:rPr>
                <w:sz w:val="20"/>
                <w:szCs w:val="20"/>
              </w:rPr>
              <w:t xml:space="preserve"> </w:t>
            </w:r>
          </w:p>
          <w:p w14:paraId="183AEC32" w14:textId="77777777" w:rsidR="00D902D6" w:rsidRPr="00944244" w:rsidRDefault="00D902D6" w:rsidP="00D902D6">
            <w:pPr>
              <w:rPr>
                <w:sz w:val="20"/>
                <w:szCs w:val="20"/>
              </w:rPr>
            </w:pPr>
          </w:p>
        </w:tc>
      </w:tr>
      <w:tr w:rsidR="00D902D6" w:rsidRPr="00944244" w14:paraId="3AC11A3F" w14:textId="77777777" w:rsidTr="00EB6127">
        <w:trPr>
          <w:trHeight w:val="442"/>
        </w:trPr>
        <w:tc>
          <w:tcPr>
            <w:tcW w:w="2122" w:type="dxa"/>
            <w:hideMark/>
          </w:tcPr>
          <w:p w14:paraId="0F231182" w14:textId="77777777" w:rsidR="00D902D6" w:rsidRPr="00944244" w:rsidRDefault="00D902D6" w:rsidP="00D902D6">
            <w:pPr>
              <w:rPr>
                <w:sz w:val="20"/>
                <w:szCs w:val="20"/>
              </w:rPr>
            </w:pPr>
            <w:r w:rsidRPr="00944244">
              <w:rPr>
                <w:sz w:val="20"/>
                <w:szCs w:val="20"/>
              </w:rPr>
              <w:t>Howell 2018</w:t>
            </w:r>
          </w:p>
        </w:tc>
        <w:tc>
          <w:tcPr>
            <w:tcW w:w="1278" w:type="dxa"/>
            <w:tcBorders>
              <w:top w:val="nil"/>
              <w:left w:val="single" w:sz="4" w:space="0" w:color="auto"/>
              <w:bottom w:val="single" w:sz="4" w:space="0" w:color="auto"/>
              <w:right w:val="single" w:sz="4" w:space="0" w:color="auto"/>
            </w:tcBorders>
            <w:shd w:val="clear" w:color="000000" w:fill="EDEDED"/>
          </w:tcPr>
          <w:p w14:paraId="4F6354CF" w14:textId="77777777" w:rsidR="00D902D6" w:rsidRPr="00944244" w:rsidRDefault="00D902D6" w:rsidP="00D902D6">
            <w:pPr>
              <w:rPr>
                <w:sz w:val="20"/>
                <w:szCs w:val="20"/>
              </w:rPr>
            </w:pPr>
            <w:r w:rsidRPr="00944244">
              <w:rPr>
                <w:color w:val="000000"/>
                <w:sz w:val="20"/>
                <w:szCs w:val="20"/>
              </w:rPr>
              <w:t>USA</w:t>
            </w:r>
          </w:p>
        </w:tc>
        <w:tc>
          <w:tcPr>
            <w:tcW w:w="1273" w:type="dxa"/>
            <w:tcBorders>
              <w:top w:val="nil"/>
              <w:left w:val="single" w:sz="4" w:space="0" w:color="auto"/>
              <w:bottom w:val="single" w:sz="4" w:space="0" w:color="auto"/>
              <w:right w:val="single" w:sz="4" w:space="0" w:color="auto"/>
            </w:tcBorders>
            <w:shd w:val="clear" w:color="000000" w:fill="FFF2CC"/>
          </w:tcPr>
          <w:p w14:paraId="30B965F6" w14:textId="77777777" w:rsidR="00D902D6" w:rsidRPr="00944244" w:rsidRDefault="00D902D6" w:rsidP="00D902D6">
            <w:pPr>
              <w:rPr>
                <w:sz w:val="20"/>
                <w:szCs w:val="20"/>
              </w:rPr>
            </w:pPr>
            <w:r w:rsidRPr="00944244">
              <w:rPr>
                <w:sz w:val="20"/>
                <w:szCs w:val="20"/>
              </w:rPr>
              <w:t>University students</w:t>
            </w:r>
          </w:p>
        </w:tc>
        <w:tc>
          <w:tcPr>
            <w:tcW w:w="2977" w:type="dxa"/>
          </w:tcPr>
          <w:p w14:paraId="53896343" w14:textId="77777777" w:rsidR="00D902D6" w:rsidRPr="00944244" w:rsidRDefault="00D902D6" w:rsidP="00D902D6">
            <w:pPr>
              <w:rPr>
                <w:sz w:val="20"/>
                <w:szCs w:val="20"/>
              </w:rPr>
            </w:pPr>
            <w:r w:rsidRPr="00944244">
              <w:rPr>
                <w:sz w:val="20"/>
                <w:szCs w:val="20"/>
              </w:rPr>
              <w:t>Mixed sample non-clinical (GAD&lt;4) and clinical mild GAD (4&lt;GAD7&lt;10)</w:t>
            </w:r>
            <w:r w:rsidRPr="00944244">
              <w:rPr>
                <w:b/>
                <w:bCs/>
                <w:sz w:val="20"/>
                <w:szCs w:val="20"/>
                <w:vertAlign w:val="superscript"/>
              </w:rPr>
              <w:t>~</w:t>
            </w:r>
          </w:p>
        </w:tc>
        <w:tc>
          <w:tcPr>
            <w:tcW w:w="1134" w:type="dxa"/>
            <w:tcBorders>
              <w:top w:val="nil"/>
              <w:left w:val="single" w:sz="4" w:space="0" w:color="auto"/>
              <w:bottom w:val="single" w:sz="4" w:space="0" w:color="auto"/>
              <w:right w:val="single" w:sz="4" w:space="0" w:color="auto"/>
            </w:tcBorders>
            <w:shd w:val="clear" w:color="000000" w:fill="FFF2CC"/>
          </w:tcPr>
          <w:p w14:paraId="58B1D376" w14:textId="77777777" w:rsidR="00D902D6" w:rsidRPr="00944244" w:rsidRDefault="00D902D6" w:rsidP="00D902D6">
            <w:pPr>
              <w:rPr>
                <w:sz w:val="20"/>
                <w:szCs w:val="20"/>
              </w:rPr>
            </w:pPr>
            <w:r w:rsidRPr="00944244">
              <w:rPr>
                <w:sz w:val="20"/>
                <w:szCs w:val="20"/>
              </w:rPr>
              <w:t>197</w:t>
            </w:r>
          </w:p>
        </w:tc>
        <w:tc>
          <w:tcPr>
            <w:tcW w:w="992" w:type="dxa"/>
            <w:tcBorders>
              <w:top w:val="nil"/>
              <w:left w:val="single" w:sz="4" w:space="0" w:color="auto"/>
              <w:bottom w:val="single" w:sz="4" w:space="0" w:color="auto"/>
              <w:right w:val="single" w:sz="4" w:space="0" w:color="auto"/>
            </w:tcBorders>
            <w:shd w:val="clear" w:color="000000" w:fill="FFF2CC"/>
          </w:tcPr>
          <w:p w14:paraId="390A32B4" w14:textId="77777777" w:rsidR="00D902D6" w:rsidRPr="00944244" w:rsidRDefault="00D902D6" w:rsidP="00D902D6">
            <w:pPr>
              <w:rPr>
                <w:sz w:val="20"/>
                <w:szCs w:val="20"/>
              </w:rPr>
            </w:pPr>
            <w:r w:rsidRPr="00944244">
              <w:rPr>
                <w:sz w:val="20"/>
                <w:szCs w:val="20"/>
              </w:rPr>
              <w:t>NR</w:t>
            </w:r>
          </w:p>
        </w:tc>
        <w:tc>
          <w:tcPr>
            <w:tcW w:w="1276" w:type="dxa"/>
          </w:tcPr>
          <w:p w14:paraId="5747FF40" w14:textId="77777777" w:rsidR="00D902D6" w:rsidRPr="00944244" w:rsidRDefault="00D902D6" w:rsidP="00D902D6">
            <w:pPr>
              <w:rPr>
                <w:sz w:val="20"/>
                <w:szCs w:val="20"/>
              </w:rPr>
            </w:pPr>
            <w:r w:rsidRPr="00944244">
              <w:rPr>
                <w:bCs/>
                <w:noProof/>
                <w:sz w:val="20"/>
                <w:szCs w:val="20"/>
              </w:rPr>
              <w:t>3 months</w:t>
            </w:r>
          </w:p>
        </w:tc>
        <w:tc>
          <w:tcPr>
            <w:tcW w:w="2693" w:type="dxa"/>
          </w:tcPr>
          <w:p w14:paraId="00182E9E" w14:textId="77777777" w:rsidR="00D902D6" w:rsidRPr="00944244" w:rsidRDefault="00D902D6" w:rsidP="00D902D6">
            <w:pPr>
              <w:rPr>
                <w:sz w:val="20"/>
                <w:szCs w:val="20"/>
              </w:rPr>
            </w:pPr>
            <w:r>
              <w:rPr>
                <w:sz w:val="20"/>
                <w:szCs w:val="20"/>
              </w:rPr>
              <w:t>GAD-7</w:t>
            </w:r>
            <w:r w:rsidRPr="000E6CF4">
              <w:rPr>
                <w:b/>
                <w:bCs/>
                <w:sz w:val="20"/>
                <w:szCs w:val="20"/>
              </w:rPr>
              <w:t>◊</w:t>
            </w:r>
          </w:p>
        </w:tc>
      </w:tr>
      <w:tr w:rsidR="00D902D6" w:rsidRPr="00944244" w14:paraId="70CA3501" w14:textId="77777777" w:rsidTr="00EB6127">
        <w:trPr>
          <w:trHeight w:val="480"/>
        </w:trPr>
        <w:tc>
          <w:tcPr>
            <w:tcW w:w="2122" w:type="dxa"/>
            <w:hideMark/>
          </w:tcPr>
          <w:p w14:paraId="1D18BB3B" w14:textId="77777777" w:rsidR="00D902D6" w:rsidRPr="00944244" w:rsidRDefault="00D902D6" w:rsidP="00D902D6">
            <w:pPr>
              <w:rPr>
                <w:sz w:val="20"/>
                <w:szCs w:val="20"/>
              </w:rPr>
            </w:pPr>
            <w:r w:rsidRPr="00944244">
              <w:rPr>
                <w:sz w:val="20"/>
                <w:szCs w:val="20"/>
              </w:rPr>
              <w:t>Johansson 2013</w:t>
            </w:r>
          </w:p>
        </w:tc>
        <w:tc>
          <w:tcPr>
            <w:tcW w:w="1278" w:type="dxa"/>
            <w:tcBorders>
              <w:top w:val="nil"/>
              <w:left w:val="single" w:sz="4" w:space="0" w:color="auto"/>
              <w:bottom w:val="single" w:sz="4" w:space="0" w:color="auto"/>
              <w:right w:val="single" w:sz="4" w:space="0" w:color="auto"/>
            </w:tcBorders>
            <w:shd w:val="clear" w:color="000000" w:fill="EDEDED"/>
          </w:tcPr>
          <w:p w14:paraId="58D38D77" w14:textId="77777777" w:rsidR="00D902D6" w:rsidRPr="00944244" w:rsidRDefault="00D902D6" w:rsidP="00D902D6">
            <w:pPr>
              <w:rPr>
                <w:sz w:val="20"/>
                <w:szCs w:val="20"/>
              </w:rPr>
            </w:pPr>
            <w:r w:rsidRPr="00944244">
              <w:rPr>
                <w:sz w:val="20"/>
                <w:szCs w:val="20"/>
              </w:rPr>
              <w:t>Sweden</w:t>
            </w:r>
          </w:p>
        </w:tc>
        <w:tc>
          <w:tcPr>
            <w:tcW w:w="1273" w:type="dxa"/>
            <w:tcBorders>
              <w:top w:val="nil"/>
              <w:left w:val="single" w:sz="4" w:space="0" w:color="auto"/>
              <w:bottom w:val="single" w:sz="4" w:space="0" w:color="auto"/>
              <w:right w:val="single" w:sz="4" w:space="0" w:color="auto"/>
            </w:tcBorders>
            <w:shd w:val="clear" w:color="000000" w:fill="FFF2CC"/>
          </w:tcPr>
          <w:p w14:paraId="46E6EF90" w14:textId="77777777" w:rsidR="00D902D6" w:rsidRPr="00944244" w:rsidRDefault="00D902D6" w:rsidP="00D902D6">
            <w:pPr>
              <w:rPr>
                <w:sz w:val="20"/>
                <w:szCs w:val="20"/>
              </w:rPr>
            </w:pPr>
            <w:r w:rsidRPr="00944244">
              <w:rPr>
                <w:sz w:val="20"/>
                <w:szCs w:val="20"/>
              </w:rPr>
              <w:t>General - adults</w:t>
            </w:r>
          </w:p>
        </w:tc>
        <w:tc>
          <w:tcPr>
            <w:tcW w:w="2977" w:type="dxa"/>
          </w:tcPr>
          <w:p w14:paraId="24813F48" w14:textId="77777777" w:rsidR="00D902D6" w:rsidRPr="00944244" w:rsidRDefault="00D902D6" w:rsidP="00D902D6">
            <w:pPr>
              <w:rPr>
                <w:sz w:val="20"/>
                <w:szCs w:val="20"/>
              </w:rPr>
            </w:pPr>
            <w:r w:rsidRPr="00944244">
              <w:rPr>
                <w:sz w:val="20"/>
                <w:szCs w:val="20"/>
              </w:rPr>
              <w:t>Mixed sample anxiety/depression</w:t>
            </w:r>
            <w:r w:rsidRPr="00944244">
              <w:rPr>
                <w:b/>
                <w:bCs/>
                <w:sz w:val="20"/>
                <w:szCs w:val="20"/>
                <w:vertAlign w:val="superscript"/>
              </w:rPr>
              <w:t>#</w:t>
            </w:r>
          </w:p>
          <w:p w14:paraId="0D656A14" w14:textId="77777777" w:rsidR="00D902D6" w:rsidRPr="00944244" w:rsidRDefault="00D902D6" w:rsidP="00D902D6">
            <w:pPr>
              <w:rPr>
                <w:sz w:val="20"/>
                <w:szCs w:val="20"/>
              </w:rPr>
            </w:pPr>
            <w:r w:rsidRPr="00944244">
              <w:rPr>
                <w:sz w:val="20"/>
                <w:szCs w:val="20"/>
              </w:rPr>
              <w:t xml:space="preserve">GAD diagnosis on MINI GAD7&gt;10 </w:t>
            </w:r>
          </w:p>
        </w:tc>
        <w:tc>
          <w:tcPr>
            <w:tcW w:w="1134" w:type="dxa"/>
            <w:tcBorders>
              <w:top w:val="nil"/>
              <w:left w:val="single" w:sz="4" w:space="0" w:color="auto"/>
              <w:bottom w:val="single" w:sz="4" w:space="0" w:color="auto"/>
              <w:right w:val="single" w:sz="4" w:space="0" w:color="auto"/>
            </w:tcBorders>
            <w:shd w:val="clear" w:color="000000" w:fill="FFF2CC"/>
          </w:tcPr>
          <w:p w14:paraId="06A3283B" w14:textId="77777777" w:rsidR="00D902D6" w:rsidRPr="00944244" w:rsidRDefault="00D902D6" w:rsidP="00D902D6">
            <w:pPr>
              <w:rPr>
                <w:sz w:val="20"/>
                <w:szCs w:val="20"/>
              </w:rPr>
            </w:pPr>
            <w:r w:rsidRPr="00944244">
              <w:rPr>
                <w:sz w:val="20"/>
                <w:szCs w:val="20"/>
              </w:rPr>
              <w:t>43</w:t>
            </w:r>
          </w:p>
        </w:tc>
        <w:tc>
          <w:tcPr>
            <w:tcW w:w="992" w:type="dxa"/>
            <w:tcBorders>
              <w:top w:val="nil"/>
              <w:left w:val="single" w:sz="4" w:space="0" w:color="auto"/>
              <w:bottom w:val="single" w:sz="4" w:space="0" w:color="auto"/>
              <w:right w:val="single" w:sz="4" w:space="0" w:color="auto"/>
            </w:tcBorders>
            <w:shd w:val="clear" w:color="000000" w:fill="FFF2CC"/>
          </w:tcPr>
          <w:p w14:paraId="3C4B244B" w14:textId="77777777" w:rsidR="00D902D6" w:rsidRPr="00944244" w:rsidRDefault="00D902D6" w:rsidP="00D902D6">
            <w:pPr>
              <w:rPr>
                <w:sz w:val="20"/>
                <w:szCs w:val="20"/>
              </w:rPr>
            </w:pPr>
            <w:r w:rsidRPr="00944244">
              <w:rPr>
                <w:sz w:val="20"/>
                <w:szCs w:val="20"/>
              </w:rPr>
              <w:t>NR</w:t>
            </w:r>
          </w:p>
        </w:tc>
        <w:tc>
          <w:tcPr>
            <w:tcW w:w="1276" w:type="dxa"/>
          </w:tcPr>
          <w:p w14:paraId="29BC2851" w14:textId="77777777" w:rsidR="00D902D6" w:rsidRPr="00944244" w:rsidRDefault="00D902D6" w:rsidP="00D902D6">
            <w:pPr>
              <w:contextualSpacing/>
              <w:rPr>
                <w:noProof/>
                <w:sz w:val="20"/>
                <w:szCs w:val="20"/>
              </w:rPr>
            </w:pPr>
            <w:r w:rsidRPr="00944244">
              <w:rPr>
                <w:noProof/>
                <w:sz w:val="20"/>
                <w:szCs w:val="20"/>
              </w:rPr>
              <w:t>10 weeks</w:t>
            </w:r>
          </w:p>
          <w:p w14:paraId="32636173" w14:textId="77777777" w:rsidR="00D902D6" w:rsidRPr="00944244" w:rsidRDefault="00D902D6" w:rsidP="00D902D6">
            <w:pPr>
              <w:rPr>
                <w:sz w:val="20"/>
                <w:szCs w:val="20"/>
              </w:rPr>
            </w:pPr>
            <w:r w:rsidRPr="00944244">
              <w:rPr>
                <w:noProof/>
                <w:sz w:val="20"/>
                <w:szCs w:val="20"/>
              </w:rPr>
              <w:t>3 months</w:t>
            </w:r>
          </w:p>
        </w:tc>
        <w:tc>
          <w:tcPr>
            <w:tcW w:w="2693" w:type="dxa"/>
          </w:tcPr>
          <w:p w14:paraId="299E5132" w14:textId="77777777" w:rsidR="00D902D6" w:rsidRPr="00944244" w:rsidRDefault="00D902D6" w:rsidP="00D902D6">
            <w:pPr>
              <w:rPr>
                <w:sz w:val="20"/>
                <w:szCs w:val="20"/>
              </w:rPr>
            </w:pPr>
            <w:r w:rsidRPr="00944244">
              <w:rPr>
                <w:sz w:val="20"/>
                <w:szCs w:val="20"/>
              </w:rPr>
              <w:t>GAD-7</w:t>
            </w:r>
            <w:r>
              <w:rPr>
                <w:sz w:val="20"/>
                <w:szCs w:val="20"/>
              </w:rPr>
              <w:t xml:space="preserve">, </w:t>
            </w:r>
            <w:r w:rsidRPr="00944244">
              <w:rPr>
                <w:noProof/>
                <w:sz w:val="20"/>
                <w:szCs w:val="20"/>
              </w:rPr>
              <w:t>PHQ-9</w:t>
            </w:r>
            <w:r w:rsidRPr="00944244">
              <w:rPr>
                <w:sz w:val="20"/>
                <w:szCs w:val="20"/>
              </w:rPr>
              <w:t xml:space="preserve"> </w:t>
            </w:r>
          </w:p>
          <w:p w14:paraId="399DAB87" w14:textId="77777777" w:rsidR="00D902D6" w:rsidRPr="00944244" w:rsidRDefault="00D902D6" w:rsidP="00D902D6">
            <w:pPr>
              <w:rPr>
                <w:sz w:val="20"/>
                <w:szCs w:val="20"/>
              </w:rPr>
            </w:pPr>
          </w:p>
        </w:tc>
      </w:tr>
      <w:tr w:rsidR="00D902D6" w:rsidRPr="00944244" w14:paraId="7017CF0F" w14:textId="77777777" w:rsidTr="00EB6127">
        <w:trPr>
          <w:trHeight w:val="300"/>
        </w:trPr>
        <w:tc>
          <w:tcPr>
            <w:tcW w:w="2122" w:type="dxa"/>
            <w:hideMark/>
          </w:tcPr>
          <w:p w14:paraId="186054D6" w14:textId="77777777" w:rsidR="00D902D6" w:rsidRPr="00944244" w:rsidRDefault="00D902D6" w:rsidP="00D902D6">
            <w:pPr>
              <w:rPr>
                <w:sz w:val="20"/>
                <w:szCs w:val="20"/>
              </w:rPr>
            </w:pPr>
            <w:r w:rsidRPr="00944244">
              <w:rPr>
                <w:sz w:val="20"/>
                <w:szCs w:val="20"/>
              </w:rPr>
              <w:t>Jones 2016</w:t>
            </w:r>
          </w:p>
        </w:tc>
        <w:tc>
          <w:tcPr>
            <w:tcW w:w="1278" w:type="dxa"/>
            <w:tcBorders>
              <w:top w:val="nil"/>
              <w:left w:val="single" w:sz="4" w:space="0" w:color="auto"/>
              <w:bottom w:val="single" w:sz="4" w:space="0" w:color="auto"/>
              <w:right w:val="single" w:sz="4" w:space="0" w:color="auto"/>
            </w:tcBorders>
            <w:shd w:val="clear" w:color="000000" w:fill="EDEDED"/>
          </w:tcPr>
          <w:p w14:paraId="42A357C1" w14:textId="77777777" w:rsidR="00D902D6" w:rsidRPr="00944244" w:rsidRDefault="00D902D6" w:rsidP="00D902D6">
            <w:pPr>
              <w:rPr>
                <w:sz w:val="20"/>
                <w:szCs w:val="20"/>
              </w:rPr>
            </w:pPr>
            <w:r w:rsidRPr="00944244">
              <w:rPr>
                <w:color w:val="000000"/>
                <w:sz w:val="20"/>
                <w:szCs w:val="20"/>
              </w:rPr>
              <w:t>Canada</w:t>
            </w:r>
          </w:p>
        </w:tc>
        <w:tc>
          <w:tcPr>
            <w:tcW w:w="1273" w:type="dxa"/>
            <w:tcBorders>
              <w:top w:val="nil"/>
              <w:left w:val="single" w:sz="4" w:space="0" w:color="auto"/>
              <w:bottom w:val="single" w:sz="4" w:space="0" w:color="auto"/>
              <w:right w:val="single" w:sz="4" w:space="0" w:color="auto"/>
            </w:tcBorders>
            <w:shd w:val="clear" w:color="000000" w:fill="FFF2CC"/>
          </w:tcPr>
          <w:p w14:paraId="0F6A61EE" w14:textId="77777777" w:rsidR="00D902D6" w:rsidRPr="00944244" w:rsidRDefault="00D902D6" w:rsidP="00D902D6">
            <w:pPr>
              <w:rPr>
                <w:sz w:val="20"/>
                <w:szCs w:val="20"/>
              </w:rPr>
            </w:pPr>
            <w:r w:rsidRPr="00944244">
              <w:rPr>
                <w:sz w:val="20"/>
                <w:szCs w:val="20"/>
              </w:rPr>
              <w:t>Over 60s</w:t>
            </w:r>
          </w:p>
        </w:tc>
        <w:tc>
          <w:tcPr>
            <w:tcW w:w="2977" w:type="dxa"/>
          </w:tcPr>
          <w:p w14:paraId="7F3BA0A1" w14:textId="77777777" w:rsidR="00D902D6" w:rsidRPr="00944244" w:rsidRDefault="00D902D6" w:rsidP="00D902D6">
            <w:pPr>
              <w:rPr>
                <w:color w:val="000000"/>
                <w:sz w:val="20"/>
                <w:szCs w:val="20"/>
              </w:rPr>
            </w:pPr>
            <w:r w:rsidRPr="00944244">
              <w:rPr>
                <w:color w:val="000000"/>
                <w:sz w:val="20"/>
                <w:szCs w:val="20"/>
              </w:rPr>
              <w:t>GAD diagnosis or threshold sub-clinical on MINI</w:t>
            </w:r>
          </w:p>
          <w:p w14:paraId="2D8E3108" w14:textId="77777777" w:rsidR="00D902D6" w:rsidRPr="00944244" w:rsidRDefault="00D902D6" w:rsidP="00D902D6">
            <w:pPr>
              <w:rPr>
                <w:color w:val="000000"/>
                <w:sz w:val="20"/>
                <w:szCs w:val="20"/>
              </w:rPr>
            </w:pPr>
            <w:r w:rsidRPr="00944244">
              <w:rPr>
                <w:sz w:val="20"/>
                <w:szCs w:val="20"/>
              </w:rPr>
              <w:t>GAD7&gt;10</w:t>
            </w:r>
            <w:r w:rsidRPr="00944244">
              <w:rPr>
                <w:color w:val="000000"/>
                <w:sz w:val="20"/>
                <w:szCs w:val="20"/>
              </w:rPr>
              <w:t xml:space="preserve"> </w:t>
            </w:r>
          </w:p>
        </w:tc>
        <w:tc>
          <w:tcPr>
            <w:tcW w:w="1134" w:type="dxa"/>
            <w:tcBorders>
              <w:top w:val="nil"/>
              <w:left w:val="single" w:sz="4" w:space="0" w:color="auto"/>
              <w:bottom w:val="single" w:sz="4" w:space="0" w:color="auto"/>
              <w:right w:val="single" w:sz="4" w:space="0" w:color="auto"/>
            </w:tcBorders>
            <w:shd w:val="clear" w:color="000000" w:fill="FFF2CC"/>
          </w:tcPr>
          <w:p w14:paraId="42FBD327" w14:textId="77777777" w:rsidR="00D902D6" w:rsidRPr="00944244" w:rsidRDefault="00D902D6" w:rsidP="00D902D6">
            <w:pPr>
              <w:rPr>
                <w:color w:val="000000"/>
                <w:sz w:val="20"/>
                <w:szCs w:val="20"/>
              </w:rPr>
            </w:pPr>
            <w:r w:rsidRPr="00944244">
              <w:rPr>
                <w:color w:val="000000"/>
                <w:sz w:val="20"/>
                <w:szCs w:val="20"/>
              </w:rPr>
              <w:t>46</w:t>
            </w:r>
          </w:p>
        </w:tc>
        <w:tc>
          <w:tcPr>
            <w:tcW w:w="992" w:type="dxa"/>
            <w:tcBorders>
              <w:top w:val="nil"/>
              <w:left w:val="single" w:sz="4" w:space="0" w:color="auto"/>
              <w:bottom w:val="single" w:sz="4" w:space="0" w:color="auto"/>
              <w:right w:val="single" w:sz="4" w:space="0" w:color="auto"/>
            </w:tcBorders>
            <w:shd w:val="clear" w:color="000000" w:fill="FFF2CC"/>
          </w:tcPr>
          <w:p w14:paraId="51E05170" w14:textId="77777777" w:rsidR="00D902D6" w:rsidRPr="00944244" w:rsidRDefault="00D902D6" w:rsidP="00D902D6">
            <w:pPr>
              <w:rPr>
                <w:color w:val="000000"/>
                <w:sz w:val="20"/>
                <w:szCs w:val="20"/>
              </w:rPr>
            </w:pPr>
            <w:r w:rsidRPr="00944244">
              <w:rPr>
                <w:color w:val="000000"/>
                <w:sz w:val="20"/>
                <w:szCs w:val="20"/>
              </w:rPr>
              <w:t>41</w:t>
            </w:r>
          </w:p>
        </w:tc>
        <w:tc>
          <w:tcPr>
            <w:tcW w:w="1276" w:type="dxa"/>
          </w:tcPr>
          <w:p w14:paraId="25A12076" w14:textId="77777777" w:rsidR="00D902D6" w:rsidRPr="00944244" w:rsidRDefault="00D902D6" w:rsidP="00D902D6">
            <w:pPr>
              <w:contextualSpacing/>
              <w:rPr>
                <w:noProof/>
                <w:sz w:val="20"/>
                <w:szCs w:val="20"/>
              </w:rPr>
            </w:pPr>
            <w:r w:rsidRPr="00944244">
              <w:rPr>
                <w:noProof/>
                <w:sz w:val="20"/>
                <w:szCs w:val="20"/>
              </w:rPr>
              <w:t>7-10 weeks</w:t>
            </w:r>
          </w:p>
          <w:p w14:paraId="3167227D" w14:textId="77777777" w:rsidR="00D902D6" w:rsidRPr="00944244" w:rsidRDefault="00D902D6" w:rsidP="00D902D6">
            <w:pPr>
              <w:rPr>
                <w:sz w:val="20"/>
                <w:szCs w:val="20"/>
              </w:rPr>
            </w:pPr>
            <w:r w:rsidRPr="00CB41DC">
              <w:rPr>
                <w:noProof/>
                <w:sz w:val="20"/>
                <w:szCs w:val="20"/>
              </w:rPr>
              <w:t>1 month</w:t>
            </w:r>
          </w:p>
        </w:tc>
        <w:tc>
          <w:tcPr>
            <w:tcW w:w="2693" w:type="dxa"/>
          </w:tcPr>
          <w:p w14:paraId="5CA2E429" w14:textId="77777777" w:rsidR="00D902D6" w:rsidRPr="00944244" w:rsidRDefault="00D902D6" w:rsidP="00D902D6">
            <w:pPr>
              <w:rPr>
                <w:sz w:val="20"/>
                <w:szCs w:val="20"/>
              </w:rPr>
            </w:pPr>
            <w:r w:rsidRPr="00944244">
              <w:rPr>
                <w:sz w:val="20"/>
                <w:szCs w:val="20"/>
              </w:rPr>
              <w:t>GAD-7</w:t>
            </w:r>
            <w:r>
              <w:rPr>
                <w:sz w:val="20"/>
                <w:szCs w:val="20"/>
              </w:rPr>
              <w:t xml:space="preserve">, </w:t>
            </w:r>
            <w:r w:rsidRPr="00944244">
              <w:rPr>
                <w:noProof/>
                <w:sz w:val="20"/>
                <w:szCs w:val="20"/>
              </w:rPr>
              <w:t>ACES</w:t>
            </w:r>
            <w:r w:rsidRPr="00944244">
              <w:rPr>
                <w:sz w:val="20"/>
                <w:szCs w:val="20"/>
              </w:rPr>
              <w:t xml:space="preserve">, </w:t>
            </w:r>
            <w:r w:rsidRPr="00944244">
              <w:rPr>
                <w:noProof/>
                <w:sz w:val="20"/>
                <w:szCs w:val="20"/>
              </w:rPr>
              <w:t>GAI</w:t>
            </w:r>
            <w:r w:rsidRPr="00944244">
              <w:rPr>
                <w:sz w:val="20"/>
                <w:szCs w:val="20"/>
              </w:rPr>
              <w:t xml:space="preserve">, </w:t>
            </w:r>
            <w:r w:rsidRPr="00944244">
              <w:rPr>
                <w:noProof/>
                <w:sz w:val="20"/>
                <w:szCs w:val="20"/>
              </w:rPr>
              <w:t>GDS</w:t>
            </w:r>
            <w:r w:rsidRPr="00944244">
              <w:rPr>
                <w:sz w:val="20"/>
                <w:szCs w:val="20"/>
              </w:rPr>
              <w:t xml:space="preserve">, </w:t>
            </w:r>
            <w:r w:rsidRPr="00944244">
              <w:rPr>
                <w:noProof/>
                <w:sz w:val="20"/>
                <w:szCs w:val="20"/>
              </w:rPr>
              <w:t>PHQ-9</w:t>
            </w:r>
            <w:r w:rsidRPr="00944244">
              <w:rPr>
                <w:sz w:val="20"/>
                <w:szCs w:val="20"/>
              </w:rPr>
              <w:t xml:space="preserve">, </w:t>
            </w:r>
            <w:r w:rsidRPr="00944244">
              <w:rPr>
                <w:noProof/>
                <w:sz w:val="20"/>
                <w:szCs w:val="20"/>
              </w:rPr>
              <w:t>PSWQ-A</w:t>
            </w:r>
            <w:r w:rsidRPr="00944244">
              <w:rPr>
                <w:sz w:val="20"/>
                <w:szCs w:val="20"/>
              </w:rPr>
              <w:t xml:space="preserve">, </w:t>
            </w:r>
            <w:r w:rsidRPr="00944244">
              <w:rPr>
                <w:noProof/>
                <w:sz w:val="20"/>
                <w:szCs w:val="20"/>
              </w:rPr>
              <w:t>WHOQOL</w:t>
            </w:r>
          </w:p>
        </w:tc>
      </w:tr>
      <w:tr w:rsidR="00D902D6" w:rsidRPr="00944244" w14:paraId="68759259" w14:textId="77777777" w:rsidTr="00EB6127">
        <w:trPr>
          <w:trHeight w:val="300"/>
        </w:trPr>
        <w:tc>
          <w:tcPr>
            <w:tcW w:w="2122" w:type="dxa"/>
            <w:hideMark/>
          </w:tcPr>
          <w:p w14:paraId="5C6F6E4E" w14:textId="77777777" w:rsidR="00D902D6" w:rsidRPr="00944244" w:rsidRDefault="00D902D6" w:rsidP="00D902D6">
            <w:pPr>
              <w:rPr>
                <w:sz w:val="20"/>
                <w:szCs w:val="20"/>
              </w:rPr>
            </w:pPr>
            <w:r w:rsidRPr="00944244">
              <w:rPr>
                <w:sz w:val="20"/>
                <w:szCs w:val="20"/>
              </w:rPr>
              <w:t>Navarro-Haro 2019</w:t>
            </w:r>
          </w:p>
        </w:tc>
        <w:tc>
          <w:tcPr>
            <w:tcW w:w="1278" w:type="dxa"/>
            <w:tcBorders>
              <w:top w:val="nil"/>
              <w:left w:val="single" w:sz="4" w:space="0" w:color="auto"/>
              <w:bottom w:val="single" w:sz="4" w:space="0" w:color="auto"/>
              <w:right w:val="single" w:sz="4" w:space="0" w:color="auto"/>
            </w:tcBorders>
            <w:shd w:val="clear" w:color="000000" w:fill="EDEDED"/>
          </w:tcPr>
          <w:p w14:paraId="39E789EB" w14:textId="77777777" w:rsidR="00D902D6" w:rsidRPr="00944244" w:rsidRDefault="00D902D6" w:rsidP="00D902D6">
            <w:pPr>
              <w:rPr>
                <w:sz w:val="20"/>
                <w:szCs w:val="20"/>
              </w:rPr>
            </w:pPr>
            <w:r w:rsidRPr="00944244">
              <w:rPr>
                <w:color w:val="000000"/>
                <w:sz w:val="20"/>
                <w:szCs w:val="20"/>
              </w:rPr>
              <w:t>Spain</w:t>
            </w:r>
          </w:p>
        </w:tc>
        <w:tc>
          <w:tcPr>
            <w:tcW w:w="1273" w:type="dxa"/>
            <w:tcBorders>
              <w:top w:val="nil"/>
              <w:left w:val="single" w:sz="4" w:space="0" w:color="auto"/>
              <w:bottom w:val="single" w:sz="4" w:space="0" w:color="auto"/>
              <w:right w:val="single" w:sz="4" w:space="0" w:color="auto"/>
            </w:tcBorders>
            <w:shd w:val="clear" w:color="000000" w:fill="FFF2CC"/>
          </w:tcPr>
          <w:p w14:paraId="02A2BF36" w14:textId="77777777" w:rsidR="00D902D6" w:rsidRPr="00944244" w:rsidRDefault="00D902D6" w:rsidP="00D902D6">
            <w:pPr>
              <w:rPr>
                <w:sz w:val="20"/>
                <w:szCs w:val="20"/>
              </w:rPr>
            </w:pPr>
            <w:r w:rsidRPr="00944244">
              <w:rPr>
                <w:color w:val="000000"/>
                <w:sz w:val="20"/>
                <w:szCs w:val="20"/>
              </w:rPr>
              <w:t>Primary care - adults</w:t>
            </w:r>
          </w:p>
        </w:tc>
        <w:tc>
          <w:tcPr>
            <w:tcW w:w="2977" w:type="dxa"/>
          </w:tcPr>
          <w:p w14:paraId="388E2EFE" w14:textId="77777777" w:rsidR="00D902D6" w:rsidRPr="00944244" w:rsidRDefault="00D902D6" w:rsidP="00D902D6">
            <w:pPr>
              <w:rPr>
                <w:sz w:val="20"/>
                <w:szCs w:val="20"/>
              </w:rPr>
            </w:pPr>
            <w:r w:rsidRPr="00944244">
              <w:rPr>
                <w:sz w:val="20"/>
                <w:szCs w:val="20"/>
              </w:rPr>
              <w:t>GAD</w:t>
            </w:r>
            <w:r w:rsidRPr="00944244">
              <w:rPr>
                <w:color w:val="000000"/>
                <w:sz w:val="20"/>
                <w:szCs w:val="20"/>
              </w:rPr>
              <w:t xml:space="preserve"> diagnosis on MINI</w:t>
            </w:r>
          </w:p>
        </w:tc>
        <w:tc>
          <w:tcPr>
            <w:tcW w:w="1134" w:type="dxa"/>
            <w:tcBorders>
              <w:top w:val="nil"/>
              <w:left w:val="single" w:sz="4" w:space="0" w:color="auto"/>
              <w:bottom w:val="single" w:sz="4" w:space="0" w:color="auto"/>
              <w:right w:val="single" w:sz="4" w:space="0" w:color="auto"/>
            </w:tcBorders>
            <w:shd w:val="clear" w:color="000000" w:fill="FFF2CC"/>
          </w:tcPr>
          <w:p w14:paraId="41AD9ED7" w14:textId="77777777" w:rsidR="00D902D6" w:rsidRPr="00944244" w:rsidRDefault="00D902D6" w:rsidP="00D902D6">
            <w:pPr>
              <w:rPr>
                <w:color w:val="000000"/>
                <w:sz w:val="20"/>
                <w:szCs w:val="20"/>
              </w:rPr>
            </w:pPr>
            <w:r w:rsidRPr="00944244">
              <w:rPr>
                <w:color w:val="000000"/>
                <w:sz w:val="20"/>
                <w:szCs w:val="20"/>
              </w:rPr>
              <w:t>42</w:t>
            </w:r>
          </w:p>
        </w:tc>
        <w:tc>
          <w:tcPr>
            <w:tcW w:w="992" w:type="dxa"/>
            <w:tcBorders>
              <w:top w:val="nil"/>
              <w:left w:val="single" w:sz="4" w:space="0" w:color="auto"/>
              <w:bottom w:val="single" w:sz="4" w:space="0" w:color="auto"/>
              <w:right w:val="single" w:sz="4" w:space="0" w:color="auto"/>
            </w:tcBorders>
            <w:shd w:val="clear" w:color="000000" w:fill="FFF2CC"/>
          </w:tcPr>
          <w:p w14:paraId="3CB38369" w14:textId="77777777" w:rsidR="00D902D6" w:rsidRPr="00944244" w:rsidRDefault="00D902D6" w:rsidP="00D902D6">
            <w:pPr>
              <w:rPr>
                <w:color w:val="000000"/>
                <w:sz w:val="20"/>
                <w:szCs w:val="20"/>
              </w:rPr>
            </w:pPr>
            <w:r w:rsidRPr="00944244">
              <w:rPr>
                <w:color w:val="000000"/>
                <w:sz w:val="20"/>
                <w:szCs w:val="20"/>
              </w:rPr>
              <w:t>30</w:t>
            </w:r>
          </w:p>
        </w:tc>
        <w:tc>
          <w:tcPr>
            <w:tcW w:w="1276" w:type="dxa"/>
          </w:tcPr>
          <w:p w14:paraId="4DC51CCC" w14:textId="77777777" w:rsidR="00D902D6" w:rsidRPr="00944244" w:rsidRDefault="00D902D6" w:rsidP="00D902D6">
            <w:pPr>
              <w:rPr>
                <w:sz w:val="20"/>
                <w:szCs w:val="20"/>
              </w:rPr>
            </w:pPr>
            <w:r w:rsidRPr="00944244">
              <w:rPr>
                <w:noProof/>
                <w:sz w:val="20"/>
                <w:szCs w:val="20"/>
              </w:rPr>
              <w:t>7</w:t>
            </w:r>
            <w:r>
              <w:rPr>
                <w:noProof/>
                <w:sz w:val="20"/>
                <w:szCs w:val="20"/>
              </w:rPr>
              <w:t>-</w:t>
            </w:r>
            <w:r w:rsidRPr="00944244">
              <w:rPr>
                <w:noProof/>
                <w:sz w:val="20"/>
                <w:szCs w:val="20"/>
              </w:rPr>
              <w:t>12 weeks</w:t>
            </w:r>
          </w:p>
        </w:tc>
        <w:tc>
          <w:tcPr>
            <w:tcW w:w="2693" w:type="dxa"/>
          </w:tcPr>
          <w:p w14:paraId="1DEEAD28" w14:textId="77777777" w:rsidR="00D902D6" w:rsidRPr="00944244" w:rsidRDefault="00D902D6" w:rsidP="00D902D6">
            <w:pPr>
              <w:contextualSpacing/>
              <w:rPr>
                <w:noProof/>
                <w:sz w:val="20"/>
                <w:szCs w:val="20"/>
              </w:rPr>
            </w:pPr>
            <w:r w:rsidRPr="00944244">
              <w:rPr>
                <w:sz w:val="20"/>
                <w:szCs w:val="20"/>
              </w:rPr>
              <w:t>GAD-7</w:t>
            </w:r>
            <w:r>
              <w:rPr>
                <w:sz w:val="20"/>
                <w:szCs w:val="20"/>
              </w:rPr>
              <w:t xml:space="preserve">, </w:t>
            </w:r>
            <w:r w:rsidRPr="00944244">
              <w:rPr>
                <w:noProof/>
                <w:sz w:val="20"/>
                <w:szCs w:val="20"/>
              </w:rPr>
              <w:t>DERS, FFMQ, HADS, MAIA</w:t>
            </w:r>
          </w:p>
        </w:tc>
      </w:tr>
      <w:tr w:rsidR="00D902D6" w:rsidRPr="00CD75E3" w14:paraId="2846EDB2" w14:textId="77777777" w:rsidTr="00EB6127">
        <w:trPr>
          <w:trHeight w:val="300"/>
        </w:trPr>
        <w:tc>
          <w:tcPr>
            <w:tcW w:w="2122" w:type="dxa"/>
            <w:hideMark/>
          </w:tcPr>
          <w:p w14:paraId="017C50BB" w14:textId="77777777" w:rsidR="00D902D6" w:rsidRPr="00944244" w:rsidRDefault="00D902D6" w:rsidP="00D902D6">
            <w:pPr>
              <w:rPr>
                <w:sz w:val="20"/>
                <w:szCs w:val="20"/>
              </w:rPr>
            </w:pPr>
            <w:r w:rsidRPr="00944244">
              <w:rPr>
                <w:sz w:val="20"/>
                <w:szCs w:val="20"/>
              </w:rPr>
              <w:t>Paxling 2011</w:t>
            </w:r>
          </w:p>
        </w:tc>
        <w:tc>
          <w:tcPr>
            <w:tcW w:w="1278" w:type="dxa"/>
            <w:tcBorders>
              <w:top w:val="nil"/>
              <w:left w:val="single" w:sz="4" w:space="0" w:color="auto"/>
              <w:bottom w:val="single" w:sz="4" w:space="0" w:color="auto"/>
              <w:right w:val="single" w:sz="4" w:space="0" w:color="auto"/>
            </w:tcBorders>
            <w:shd w:val="clear" w:color="000000" w:fill="EDEDED"/>
          </w:tcPr>
          <w:p w14:paraId="1931B4BB" w14:textId="77777777" w:rsidR="00D902D6" w:rsidRPr="00944244" w:rsidRDefault="00D902D6" w:rsidP="00D902D6">
            <w:pPr>
              <w:rPr>
                <w:sz w:val="20"/>
                <w:szCs w:val="20"/>
              </w:rPr>
            </w:pPr>
            <w:r w:rsidRPr="00944244">
              <w:rPr>
                <w:color w:val="000000"/>
                <w:sz w:val="20"/>
                <w:szCs w:val="20"/>
              </w:rPr>
              <w:t>Sweden</w:t>
            </w:r>
          </w:p>
        </w:tc>
        <w:tc>
          <w:tcPr>
            <w:tcW w:w="1273" w:type="dxa"/>
            <w:tcBorders>
              <w:top w:val="nil"/>
              <w:left w:val="single" w:sz="4" w:space="0" w:color="auto"/>
              <w:bottom w:val="single" w:sz="4" w:space="0" w:color="auto"/>
              <w:right w:val="single" w:sz="4" w:space="0" w:color="auto"/>
            </w:tcBorders>
            <w:shd w:val="clear" w:color="000000" w:fill="FFF2CC"/>
          </w:tcPr>
          <w:p w14:paraId="22EF3683" w14:textId="77777777" w:rsidR="00D902D6" w:rsidRPr="00944244" w:rsidRDefault="00D902D6" w:rsidP="00D902D6">
            <w:pPr>
              <w:rPr>
                <w:sz w:val="20"/>
                <w:szCs w:val="20"/>
              </w:rPr>
            </w:pPr>
            <w:r w:rsidRPr="00944244">
              <w:rPr>
                <w:color w:val="000000"/>
                <w:sz w:val="20"/>
                <w:szCs w:val="20"/>
              </w:rPr>
              <w:t>General - adults</w:t>
            </w:r>
          </w:p>
        </w:tc>
        <w:tc>
          <w:tcPr>
            <w:tcW w:w="2977" w:type="dxa"/>
          </w:tcPr>
          <w:p w14:paraId="4E0B16FE" w14:textId="77777777" w:rsidR="00D902D6" w:rsidRPr="00944244" w:rsidRDefault="00D902D6" w:rsidP="00D902D6">
            <w:pPr>
              <w:rPr>
                <w:sz w:val="20"/>
                <w:szCs w:val="20"/>
              </w:rPr>
            </w:pPr>
            <w:r w:rsidRPr="00944244">
              <w:rPr>
                <w:sz w:val="20"/>
                <w:szCs w:val="20"/>
              </w:rPr>
              <w:t>GAD diagnosis</w:t>
            </w:r>
            <w:r w:rsidRPr="00944244">
              <w:rPr>
                <w:color w:val="000000"/>
                <w:sz w:val="20"/>
                <w:szCs w:val="20"/>
              </w:rPr>
              <w:t xml:space="preserve"> on SCID-I</w:t>
            </w:r>
            <w:r w:rsidRPr="00944244">
              <w:rPr>
                <w:sz w:val="20"/>
                <w:szCs w:val="20"/>
              </w:rPr>
              <w:t xml:space="preserve"> </w:t>
            </w:r>
          </w:p>
          <w:p w14:paraId="1A7DF6D7" w14:textId="77777777" w:rsidR="00D902D6" w:rsidRPr="00944244" w:rsidRDefault="00D902D6" w:rsidP="00D902D6">
            <w:pPr>
              <w:rPr>
                <w:color w:val="000000"/>
                <w:sz w:val="20"/>
                <w:szCs w:val="20"/>
              </w:rPr>
            </w:pPr>
            <w:r w:rsidRPr="00944244">
              <w:rPr>
                <w:color w:val="000000"/>
                <w:sz w:val="20"/>
                <w:szCs w:val="20"/>
              </w:rPr>
              <w:t>PSWQ &gt;53</w:t>
            </w:r>
          </w:p>
          <w:p w14:paraId="6D7348C1" w14:textId="77777777" w:rsidR="00D902D6" w:rsidRPr="00944244" w:rsidRDefault="00D902D6" w:rsidP="00D902D6">
            <w:pPr>
              <w:rPr>
                <w:sz w:val="20"/>
                <w:szCs w:val="20"/>
              </w:rPr>
            </w:pPr>
            <w:r w:rsidRPr="00944244">
              <w:rPr>
                <w:sz w:val="20"/>
                <w:szCs w:val="20"/>
              </w:rPr>
              <w:t>GADQ-IV&gt;5</w:t>
            </w:r>
            <w:r>
              <w:rPr>
                <w:sz w:val="20"/>
                <w:szCs w:val="20"/>
              </w:rPr>
              <w:t>.7</w:t>
            </w:r>
          </w:p>
        </w:tc>
        <w:tc>
          <w:tcPr>
            <w:tcW w:w="1134" w:type="dxa"/>
            <w:tcBorders>
              <w:top w:val="nil"/>
              <w:left w:val="single" w:sz="4" w:space="0" w:color="auto"/>
              <w:bottom w:val="single" w:sz="4" w:space="0" w:color="auto"/>
              <w:right w:val="single" w:sz="4" w:space="0" w:color="auto"/>
            </w:tcBorders>
            <w:shd w:val="clear" w:color="000000" w:fill="FFF2CC"/>
          </w:tcPr>
          <w:p w14:paraId="7ABB0C38" w14:textId="77777777" w:rsidR="00D902D6" w:rsidRPr="00944244" w:rsidRDefault="00D902D6" w:rsidP="00D902D6">
            <w:pPr>
              <w:rPr>
                <w:color w:val="000000"/>
                <w:sz w:val="20"/>
                <w:szCs w:val="20"/>
              </w:rPr>
            </w:pPr>
            <w:r w:rsidRPr="00944244">
              <w:rPr>
                <w:color w:val="000000"/>
                <w:sz w:val="20"/>
                <w:szCs w:val="20"/>
              </w:rPr>
              <w:t>89</w:t>
            </w:r>
          </w:p>
        </w:tc>
        <w:tc>
          <w:tcPr>
            <w:tcW w:w="992" w:type="dxa"/>
            <w:tcBorders>
              <w:top w:val="nil"/>
              <w:left w:val="single" w:sz="4" w:space="0" w:color="auto"/>
              <w:bottom w:val="single" w:sz="4" w:space="0" w:color="auto"/>
              <w:right w:val="single" w:sz="4" w:space="0" w:color="auto"/>
            </w:tcBorders>
            <w:shd w:val="clear" w:color="000000" w:fill="FFF2CC"/>
          </w:tcPr>
          <w:p w14:paraId="74D0C723" w14:textId="77777777" w:rsidR="00D902D6" w:rsidRPr="00944244" w:rsidRDefault="00D902D6" w:rsidP="00D902D6">
            <w:pPr>
              <w:rPr>
                <w:color w:val="000000"/>
                <w:sz w:val="20"/>
                <w:szCs w:val="20"/>
              </w:rPr>
            </w:pPr>
            <w:r w:rsidRPr="00944244">
              <w:rPr>
                <w:color w:val="000000"/>
                <w:sz w:val="20"/>
                <w:szCs w:val="20"/>
              </w:rPr>
              <w:t>72</w:t>
            </w:r>
          </w:p>
        </w:tc>
        <w:tc>
          <w:tcPr>
            <w:tcW w:w="1276" w:type="dxa"/>
          </w:tcPr>
          <w:p w14:paraId="0874813B" w14:textId="77777777" w:rsidR="00D902D6" w:rsidRPr="00944244" w:rsidRDefault="00D902D6" w:rsidP="00D902D6">
            <w:pPr>
              <w:contextualSpacing/>
              <w:rPr>
                <w:noProof/>
                <w:sz w:val="20"/>
                <w:szCs w:val="20"/>
              </w:rPr>
            </w:pPr>
            <w:r w:rsidRPr="00944244">
              <w:rPr>
                <w:noProof/>
                <w:sz w:val="20"/>
                <w:szCs w:val="20"/>
              </w:rPr>
              <w:t>8 weeks</w:t>
            </w:r>
          </w:p>
          <w:p w14:paraId="788E5D1E" w14:textId="77777777" w:rsidR="00D902D6" w:rsidRPr="00944244" w:rsidRDefault="00D902D6" w:rsidP="00D902D6">
            <w:pPr>
              <w:contextualSpacing/>
              <w:rPr>
                <w:noProof/>
                <w:sz w:val="20"/>
                <w:szCs w:val="20"/>
              </w:rPr>
            </w:pPr>
            <w:r w:rsidRPr="00944244">
              <w:rPr>
                <w:noProof/>
                <w:sz w:val="20"/>
                <w:szCs w:val="20"/>
              </w:rPr>
              <w:t>1 year*</w:t>
            </w:r>
          </w:p>
          <w:p w14:paraId="089739F1" w14:textId="77777777" w:rsidR="00D902D6" w:rsidRPr="00944244" w:rsidRDefault="00D902D6" w:rsidP="00D902D6">
            <w:pPr>
              <w:rPr>
                <w:sz w:val="20"/>
                <w:szCs w:val="20"/>
              </w:rPr>
            </w:pPr>
            <w:r w:rsidRPr="00944244">
              <w:rPr>
                <w:noProof/>
                <w:sz w:val="20"/>
                <w:szCs w:val="20"/>
              </w:rPr>
              <w:t>3 years*</w:t>
            </w:r>
          </w:p>
        </w:tc>
        <w:tc>
          <w:tcPr>
            <w:tcW w:w="2693" w:type="dxa"/>
          </w:tcPr>
          <w:p w14:paraId="2C9697B6" w14:textId="77777777" w:rsidR="00D902D6" w:rsidRPr="00F651AE" w:rsidRDefault="00D902D6" w:rsidP="00D902D6">
            <w:pPr>
              <w:contextualSpacing/>
              <w:rPr>
                <w:noProof/>
                <w:sz w:val="20"/>
                <w:szCs w:val="20"/>
                <w:lang w:val="pt-PT"/>
              </w:rPr>
            </w:pPr>
            <w:r w:rsidRPr="00944244">
              <w:rPr>
                <w:sz w:val="20"/>
                <w:szCs w:val="20"/>
              </w:rPr>
              <w:t>PSWQ</w:t>
            </w:r>
            <w:r>
              <w:rPr>
                <w:sz w:val="20"/>
                <w:szCs w:val="20"/>
              </w:rPr>
              <w:t>,</w:t>
            </w:r>
            <w:r w:rsidRPr="00F651AE">
              <w:rPr>
                <w:noProof/>
                <w:sz w:val="20"/>
                <w:szCs w:val="20"/>
                <w:lang w:val="pt-PT"/>
              </w:rPr>
              <w:t xml:space="preserve"> BAI, BDI-II, GADQ-IV, MADRS-S, QOLI, STAI-S, STAI-T</w:t>
            </w:r>
          </w:p>
        </w:tc>
      </w:tr>
      <w:tr w:rsidR="00D902D6" w:rsidRPr="00944244" w14:paraId="62509AEA" w14:textId="77777777" w:rsidTr="00EB6127">
        <w:trPr>
          <w:trHeight w:val="720"/>
        </w:trPr>
        <w:tc>
          <w:tcPr>
            <w:tcW w:w="2122" w:type="dxa"/>
            <w:hideMark/>
          </w:tcPr>
          <w:p w14:paraId="44199191" w14:textId="77777777" w:rsidR="00D902D6" w:rsidRPr="00944244" w:rsidRDefault="00D902D6" w:rsidP="00D902D6">
            <w:pPr>
              <w:rPr>
                <w:sz w:val="20"/>
                <w:szCs w:val="20"/>
              </w:rPr>
            </w:pPr>
            <w:r w:rsidRPr="00944244">
              <w:rPr>
                <w:sz w:val="20"/>
                <w:szCs w:val="20"/>
              </w:rPr>
              <w:t>Pham 2016</w:t>
            </w:r>
          </w:p>
        </w:tc>
        <w:tc>
          <w:tcPr>
            <w:tcW w:w="1278" w:type="dxa"/>
            <w:tcBorders>
              <w:top w:val="nil"/>
              <w:left w:val="single" w:sz="4" w:space="0" w:color="auto"/>
              <w:bottom w:val="single" w:sz="4" w:space="0" w:color="auto"/>
              <w:right w:val="single" w:sz="4" w:space="0" w:color="auto"/>
            </w:tcBorders>
            <w:shd w:val="clear" w:color="000000" w:fill="EDEDED"/>
          </w:tcPr>
          <w:p w14:paraId="23F24197" w14:textId="77777777" w:rsidR="00D902D6" w:rsidRPr="00944244" w:rsidRDefault="00D902D6" w:rsidP="00D902D6">
            <w:pPr>
              <w:rPr>
                <w:sz w:val="20"/>
                <w:szCs w:val="20"/>
              </w:rPr>
            </w:pPr>
            <w:r w:rsidRPr="00944244">
              <w:rPr>
                <w:color w:val="000000"/>
                <w:sz w:val="20"/>
                <w:szCs w:val="20"/>
              </w:rPr>
              <w:t>UK</w:t>
            </w:r>
          </w:p>
        </w:tc>
        <w:tc>
          <w:tcPr>
            <w:tcW w:w="1273" w:type="dxa"/>
            <w:tcBorders>
              <w:top w:val="nil"/>
              <w:left w:val="single" w:sz="4" w:space="0" w:color="auto"/>
              <w:bottom w:val="single" w:sz="4" w:space="0" w:color="auto"/>
              <w:right w:val="single" w:sz="4" w:space="0" w:color="auto"/>
            </w:tcBorders>
            <w:shd w:val="clear" w:color="000000" w:fill="FFF2CC"/>
          </w:tcPr>
          <w:p w14:paraId="1FCB167F" w14:textId="77777777" w:rsidR="00D902D6" w:rsidRPr="00944244" w:rsidRDefault="00D902D6" w:rsidP="00D902D6">
            <w:pPr>
              <w:rPr>
                <w:sz w:val="20"/>
                <w:szCs w:val="20"/>
              </w:rPr>
            </w:pPr>
            <w:r w:rsidRPr="00944244">
              <w:rPr>
                <w:color w:val="000000"/>
                <w:sz w:val="20"/>
                <w:szCs w:val="20"/>
              </w:rPr>
              <w:t>General - adults</w:t>
            </w:r>
          </w:p>
        </w:tc>
        <w:tc>
          <w:tcPr>
            <w:tcW w:w="2977" w:type="dxa"/>
          </w:tcPr>
          <w:p w14:paraId="4D2ADB68" w14:textId="77777777" w:rsidR="00D902D6" w:rsidRPr="00944244" w:rsidRDefault="00D902D6" w:rsidP="00D902D6">
            <w:pPr>
              <w:rPr>
                <w:sz w:val="20"/>
                <w:szCs w:val="20"/>
              </w:rPr>
            </w:pPr>
            <w:r w:rsidRPr="00944244">
              <w:rPr>
                <w:sz w:val="20"/>
                <w:szCs w:val="20"/>
              </w:rPr>
              <w:t>Mixed sample common mental health problems</w:t>
            </w:r>
            <w:r w:rsidRPr="00944244">
              <w:rPr>
                <w:b/>
                <w:bCs/>
                <w:sz w:val="20"/>
                <w:szCs w:val="20"/>
                <w:vertAlign w:val="superscript"/>
              </w:rPr>
              <w:t>##</w:t>
            </w:r>
            <w:r w:rsidRPr="00944244">
              <w:rPr>
                <w:b/>
                <w:bCs/>
                <w:sz w:val="20"/>
                <w:szCs w:val="20"/>
              </w:rPr>
              <w:t xml:space="preserve"> </w:t>
            </w:r>
          </w:p>
          <w:p w14:paraId="002FF363" w14:textId="77777777" w:rsidR="00D902D6" w:rsidRPr="00944244" w:rsidRDefault="00D902D6" w:rsidP="00D902D6">
            <w:pPr>
              <w:rPr>
                <w:color w:val="000000"/>
                <w:sz w:val="20"/>
                <w:szCs w:val="20"/>
              </w:rPr>
            </w:pPr>
            <w:r w:rsidRPr="00944244">
              <w:rPr>
                <w:sz w:val="20"/>
                <w:szCs w:val="20"/>
              </w:rPr>
              <w:t>GAD7 &gt;6</w:t>
            </w:r>
          </w:p>
          <w:p w14:paraId="4A98BED5" w14:textId="77777777" w:rsidR="00D902D6" w:rsidRPr="00944244" w:rsidRDefault="00D902D6" w:rsidP="00D902D6">
            <w:pPr>
              <w:rPr>
                <w:color w:val="000000"/>
                <w:sz w:val="20"/>
                <w:szCs w:val="20"/>
              </w:rPr>
            </w:pPr>
            <w:r w:rsidRPr="00944244">
              <w:rPr>
                <w:color w:val="000000"/>
                <w:sz w:val="20"/>
                <w:szCs w:val="20"/>
              </w:rPr>
              <w:t>OASIS&gt;8</w:t>
            </w:r>
          </w:p>
          <w:p w14:paraId="60DDCF1D" w14:textId="77777777" w:rsidR="00D902D6" w:rsidRPr="00944244" w:rsidRDefault="00D902D6" w:rsidP="00D902D6">
            <w:pPr>
              <w:rPr>
                <w:sz w:val="20"/>
                <w:szCs w:val="20"/>
              </w:rPr>
            </w:pPr>
            <w:r w:rsidRPr="00944244">
              <w:rPr>
                <w:color w:val="000000"/>
                <w:sz w:val="20"/>
                <w:szCs w:val="20"/>
              </w:rPr>
              <w:t>ASI&gt;16</w:t>
            </w:r>
          </w:p>
        </w:tc>
        <w:tc>
          <w:tcPr>
            <w:tcW w:w="1134" w:type="dxa"/>
            <w:tcBorders>
              <w:top w:val="nil"/>
              <w:left w:val="single" w:sz="4" w:space="0" w:color="auto"/>
              <w:bottom w:val="single" w:sz="4" w:space="0" w:color="auto"/>
              <w:right w:val="single" w:sz="4" w:space="0" w:color="auto"/>
            </w:tcBorders>
            <w:shd w:val="clear" w:color="000000" w:fill="FFF2CC"/>
          </w:tcPr>
          <w:p w14:paraId="385F7CAD" w14:textId="77777777" w:rsidR="00D902D6" w:rsidRPr="00944244" w:rsidRDefault="00D902D6" w:rsidP="00D902D6">
            <w:pPr>
              <w:rPr>
                <w:color w:val="000000"/>
                <w:sz w:val="20"/>
                <w:szCs w:val="20"/>
              </w:rPr>
            </w:pPr>
            <w:r w:rsidRPr="00944244">
              <w:rPr>
                <w:color w:val="000000"/>
                <w:sz w:val="20"/>
                <w:szCs w:val="20"/>
              </w:rPr>
              <w:t>63</w:t>
            </w:r>
          </w:p>
        </w:tc>
        <w:tc>
          <w:tcPr>
            <w:tcW w:w="992" w:type="dxa"/>
            <w:tcBorders>
              <w:top w:val="nil"/>
              <w:left w:val="single" w:sz="4" w:space="0" w:color="auto"/>
              <w:bottom w:val="single" w:sz="4" w:space="0" w:color="auto"/>
              <w:right w:val="single" w:sz="4" w:space="0" w:color="auto"/>
            </w:tcBorders>
            <w:shd w:val="clear" w:color="000000" w:fill="FFF2CC"/>
          </w:tcPr>
          <w:p w14:paraId="423EDD54" w14:textId="77777777" w:rsidR="00D902D6" w:rsidRPr="00944244" w:rsidRDefault="00D902D6" w:rsidP="00D902D6">
            <w:pPr>
              <w:rPr>
                <w:color w:val="000000"/>
                <w:sz w:val="20"/>
                <w:szCs w:val="20"/>
              </w:rPr>
            </w:pPr>
            <w:r w:rsidRPr="00944244">
              <w:rPr>
                <w:color w:val="000000"/>
                <w:sz w:val="20"/>
                <w:szCs w:val="20"/>
              </w:rPr>
              <w:t>42</w:t>
            </w:r>
          </w:p>
        </w:tc>
        <w:tc>
          <w:tcPr>
            <w:tcW w:w="1276" w:type="dxa"/>
          </w:tcPr>
          <w:p w14:paraId="00BDA940" w14:textId="77777777" w:rsidR="00D902D6" w:rsidRPr="00944244" w:rsidRDefault="00D902D6" w:rsidP="00D902D6">
            <w:pPr>
              <w:contextualSpacing/>
              <w:rPr>
                <w:rStyle w:val="Strong"/>
                <w:b w:val="0"/>
                <w:sz w:val="20"/>
                <w:szCs w:val="20"/>
              </w:rPr>
            </w:pPr>
            <w:r w:rsidRPr="00944244">
              <w:rPr>
                <w:bCs/>
                <w:noProof/>
                <w:sz w:val="20"/>
                <w:szCs w:val="20"/>
              </w:rPr>
              <w:t>4 weeks</w:t>
            </w:r>
          </w:p>
          <w:p w14:paraId="0712A58A" w14:textId="77777777" w:rsidR="00D902D6" w:rsidRPr="00944244" w:rsidRDefault="00D902D6" w:rsidP="00D902D6">
            <w:pPr>
              <w:ind w:left="360"/>
              <w:rPr>
                <w:sz w:val="20"/>
                <w:szCs w:val="20"/>
              </w:rPr>
            </w:pPr>
          </w:p>
        </w:tc>
        <w:tc>
          <w:tcPr>
            <w:tcW w:w="2693" w:type="dxa"/>
          </w:tcPr>
          <w:p w14:paraId="716555D4" w14:textId="77777777" w:rsidR="00D902D6" w:rsidRPr="00944244" w:rsidRDefault="00D902D6" w:rsidP="00D902D6">
            <w:pPr>
              <w:contextualSpacing/>
              <w:rPr>
                <w:sz w:val="20"/>
                <w:szCs w:val="20"/>
              </w:rPr>
            </w:pPr>
            <w:r w:rsidRPr="00944244">
              <w:rPr>
                <w:sz w:val="20"/>
                <w:szCs w:val="20"/>
              </w:rPr>
              <w:t>GAD-7</w:t>
            </w:r>
            <w:r>
              <w:rPr>
                <w:sz w:val="20"/>
                <w:szCs w:val="20"/>
              </w:rPr>
              <w:t xml:space="preserve">, </w:t>
            </w:r>
            <w:r w:rsidRPr="00944244">
              <w:rPr>
                <w:noProof/>
                <w:sz w:val="20"/>
                <w:szCs w:val="20"/>
              </w:rPr>
              <w:t>Acceptability</w:t>
            </w:r>
            <w:r w:rsidRPr="00944244">
              <w:rPr>
                <w:sz w:val="20"/>
                <w:szCs w:val="20"/>
              </w:rPr>
              <w:t xml:space="preserve">, </w:t>
            </w:r>
            <w:r w:rsidRPr="00944244">
              <w:rPr>
                <w:noProof/>
                <w:sz w:val="20"/>
                <w:szCs w:val="20"/>
              </w:rPr>
              <w:t>ASI-3</w:t>
            </w:r>
            <w:r w:rsidRPr="00944244">
              <w:rPr>
                <w:sz w:val="20"/>
                <w:szCs w:val="20"/>
              </w:rPr>
              <w:t xml:space="preserve">, </w:t>
            </w:r>
            <w:r w:rsidRPr="00944244">
              <w:rPr>
                <w:noProof/>
                <w:sz w:val="20"/>
                <w:szCs w:val="20"/>
              </w:rPr>
              <w:t>OASIS</w:t>
            </w:r>
            <w:r w:rsidRPr="00944244">
              <w:rPr>
                <w:sz w:val="20"/>
                <w:szCs w:val="20"/>
              </w:rPr>
              <w:t xml:space="preserve">, </w:t>
            </w:r>
            <w:r w:rsidRPr="00944244">
              <w:rPr>
                <w:noProof/>
                <w:sz w:val="20"/>
                <w:szCs w:val="20"/>
              </w:rPr>
              <w:t>PDSS-SR</w:t>
            </w:r>
            <w:r w:rsidRPr="00944244">
              <w:rPr>
                <w:sz w:val="20"/>
                <w:szCs w:val="20"/>
              </w:rPr>
              <w:t xml:space="preserve">, </w:t>
            </w:r>
            <w:r w:rsidRPr="00944244">
              <w:rPr>
                <w:noProof/>
                <w:sz w:val="20"/>
                <w:szCs w:val="20"/>
              </w:rPr>
              <w:t>QLES-Q-SF</w:t>
            </w:r>
          </w:p>
          <w:p w14:paraId="579AA248" w14:textId="77777777" w:rsidR="00D902D6" w:rsidRPr="00944244" w:rsidRDefault="00D902D6" w:rsidP="00D902D6">
            <w:pPr>
              <w:rPr>
                <w:sz w:val="20"/>
                <w:szCs w:val="20"/>
              </w:rPr>
            </w:pPr>
          </w:p>
        </w:tc>
      </w:tr>
      <w:tr w:rsidR="00D902D6" w:rsidRPr="00944244" w14:paraId="3BE05170" w14:textId="77777777" w:rsidTr="00EB6127">
        <w:trPr>
          <w:trHeight w:val="600"/>
        </w:trPr>
        <w:tc>
          <w:tcPr>
            <w:tcW w:w="2122" w:type="dxa"/>
            <w:hideMark/>
          </w:tcPr>
          <w:p w14:paraId="4953FF63" w14:textId="77777777" w:rsidR="00D902D6" w:rsidRPr="00944244" w:rsidRDefault="00D902D6" w:rsidP="00D902D6">
            <w:pPr>
              <w:rPr>
                <w:sz w:val="20"/>
                <w:szCs w:val="20"/>
              </w:rPr>
            </w:pPr>
            <w:r w:rsidRPr="00944244">
              <w:rPr>
                <w:sz w:val="20"/>
                <w:szCs w:val="20"/>
              </w:rPr>
              <w:t>Repetto 2013 (linked with (Pallavicini 2009, Gorini 2010a, 2010b)</w:t>
            </w:r>
          </w:p>
        </w:tc>
        <w:tc>
          <w:tcPr>
            <w:tcW w:w="1278" w:type="dxa"/>
            <w:tcBorders>
              <w:top w:val="nil"/>
              <w:left w:val="single" w:sz="4" w:space="0" w:color="auto"/>
              <w:bottom w:val="single" w:sz="4" w:space="0" w:color="auto"/>
              <w:right w:val="single" w:sz="4" w:space="0" w:color="auto"/>
            </w:tcBorders>
            <w:shd w:val="clear" w:color="000000" w:fill="EDEDED"/>
          </w:tcPr>
          <w:p w14:paraId="367966E3" w14:textId="77777777" w:rsidR="00D902D6" w:rsidRPr="00944244" w:rsidRDefault="00D902D6" w:rsidP="00D902D6">
            <w:pPr>
              <w:rPr>
                <w:sz w:val="20"/>
                <w:szCs w:val="20"/>
              </w:rPr>
            </w:pPr>
            <w:r w:rsidRPr="00944244">
              <w:rPr>
                <w:color w:val="000000"/>
                <w:sz w:val="20"/>
                <w:szCs w:val="20"/>
              </w:rPr>
              <w:t>Italy</w:t>
            </w:r>
          </w:p>
        </w:tc>
        <w:tc>
          <w:tcPr>
            <w:tcW w:w="1273" w:type="dxa"/>
            <w:tcBorders>
              <w:top w:val="nil"/>
              <w:left w:val="single" w:sz="4" w:space="0" w:color="auto"/>
              <w:bottom w:val="single" w:sz="4" w:space="0" w:color="auto"/>
              <w:right w:val="single" w:sz="4" w:space="0" w:color="auto"/>
            </w:tcBorders>
            <w:shd w:val="clear" w:color="000000" w:fill="FFF2CC"/>
          </w:tcPr>
          <w:p w14:paraId="6A6CD7D9" w14:textId="77777777" w:rsidR="00D902D6" w:rsidRPr="00944244" w:rsidRDefault="00D902D6" w:rsidP="00D902D6">
            <w:pPr>
              <w:rPr>
                <w:sz w:val="20"/>
                <w:szCs w:val="20"/>
              </w:rPr>
            </w:pPr>
            <w:r w:rsidRPr="00944244">
              <w:rPr>
                <w:color w:val="000000"/>
                <w:sz w:val="20"/>
                <w:szCs w:val="20"/>
              </w:rPr>
              <w:t>Primary care - adults</w:t>
            </w:r>
          </w:p>
        </w:tc>
        <w:tc>
          <w:tcPr>
            <w:tcW w:w="2977" w:type="dxa"/>
          </w:tcPr>
          <w:p w14:paraId="6CA18150" w14:textId="77777777" w:rsidR="00D902D6" w:rsidRPr="00944244" w:rsidRDefault="00D902D6" w:rsidP="00D902D6">
            <w:pPr>
              <w:rPr>
                <w:sz w:val="20"/>
                <w:szCs w:val="20"/>
              </w:rPr>
            </w:pPr>
            <w:r w:rsidRPr="00944244">
              <w:rPr>
                <w:sz w:val="20"/>
                <w:szCs w:val="20"/>
              </w:rPr>
              <w:t>GAD diagnosis (unspecified tool used)</w:t>
            </w:r>
          </w:p>
        </w:tc>
        <w:tc>
          <w:tcPr>
            <w:tcW w:w="1134" w:type="dxa"/>
            <w:tcBorders>
              <w:top w:val="nil"/>
              <w:left w:val="single" w:sz="4" w:space="0" w:color="auto"/>
              <w:bottom w:val="single" w:sz="4" w:space="0" w:color="auto"/>
              <w:right w:val="single" w:sz="4" w:space="0" w:color="auto"/>
            </w:tcBorders>
            <w:shd w:val="clear" w:color="000000" w:fill="FFF2CC"/>
          </w:tcPr>
          <w:p w14:paraId="0AEABFF8" w14:textId="77777777" w:rsidR="00D902D6" w:rsidRPr="00944244" w:rsidRDefault="00D902D6" w:rsidP="00D902D6">
            <w:pPr>
              <w:rPr>
                <w:color w:val="000000"/>
                <w:sz w:val="20"/>
                <w:szCs w:val="20"/>
              </w:rPr>
            </w:pPr>
            <w:r w:rsidRPr="00944244">
              <w:rPr>
                <w:color w:val="000000"/>
                <w:sz w:val="20"/>
                <w:szCs w:val="20"/>
              </w:rPr>
              <w:t>25</w:t>
            </w:r>
          </w:p>
        </w:tc>
        <w:tc>
          <w:tcPr>
            <w:tcW w:w="992" w:type="dxa"/>
            <w:tcBorders>
              <w:top w:val="nil"/>
              <w:left w:val="single" w:sz="4" w:space="0" w:color="auto"/>
              <w:bottom w:val="single" w:sz="4" w:space="0" w:color="auto"/>
              <w:right w:val="single" w:sz="4" w:space="0" w:color="auto"/>
            </w:tcBorders>
            <w:shd w:val="clear" w:color="000000" w:fill="FFF2CC"/>
          </w:tcPr>
          <w:p w14:paraId="6AD341C4" w14:textId="77777777" w:rsidR="00D902D6" w:rsidRPr="00944244" w:rsidRDefault="00D902D6" w:rsidP="00D902D6">
            <w:pPr>
              <w:rPr>
                <w:color w:val="000000"/>
                <w:sz w:val="20"/>
                <w:szCs w:val="20"/>
              </w:rPr>
            </w:pPr>
            <w:r w:rsidRPr="00944244">
              <w:rPr>
                <w:color w:val="000000"/>
                <w:sz w:val="20"/>
                <w:szCs w:val="20"/>
              </w:rPr>
              <w:t>24</w:t>
            </w:r>
          </w:p>
        </w:tc>
        <w:tc>
          <w:tcPr>
            <w:tcW w:w="1276" w:type="dxa"/>
          </w:tcPr>
          <w:p w14:paraId="458EF0A4" w14:textId="77777777" w:rsidR="00D902D6" w:rsidRPr="00944244" w:rsidRDefault="00D902D6" w:rsidP="00D902D6">
            <w:pPr>
              <w:rPr>
                <w:sz w:val="20"/>
                <w:szCs w:val="20"/>
              </w:rPr>
            </w:pPr>
            <w:r w:rsidRPr="00944244">
              <w:rPr>
                <w:noProof/>
                <w:sz w:val="20"/>
                <w:szCs w:val="20"/>
              </w:rPr>
              <w:t>N</w:t>
            </w:r>
            <w:r>
              <w:rPr>
                <w:noProof/>
                <w:sz w:val="20"/>
                <w:szCs w:val="20"/>
              </w:rPr>
              <w:t>ot reported</w:t>
            </w:r>
          </w:p>
        </w:tc>
        <w:tc>
          <w:tcPr>
            <w:tcW w:w="2693" w:type="dxa"/>
          </w:tcPr>
          <w:p w14:paraId="17B2A7E9" w14:textId="77777777" w:rsidR="00D902D6" w:rsidRPr="00944244" w:rsidRDefault="00D902D6" w:rsidP="00D902D6">
            <w:pPr>
              <w:rPr>
                <w:noProof/>
                <w:sz w:val="20"/>
                <w:szCs w:val="20"/>
              </w:rPr>
            </w:pPr>
            <w:r w:rsidRPr="00944244">
              <w:rPr>
                <w:sz w:val="20"/>
                <w:szCs w:val="20"/>
              </w:rPr>
              <w:t>GAD-7</w:t>
            </w:r>
            <w:r>
              <w:rPr>
                <w:sz w:val="20"/>
                <w:szCs w:val="20"/>
              </w:rPr>
              <w:t xml:space="preserve">, </w:t>
            </w:r>
            <w:r w:rsidRPr="00944244">
              <w:rPr>
                <w:sz w:val="20"/>
                <w:szCs w:val="20"/>
              </w:rPr>
              <w:t>PSWQ</w:t>
            </w:r>
            <w:r>
              <w:rPr>
                <w:sz w:val="20"/>
                <w:szCs w:val="20"/>
              </w:rPr>
              <w:t>,</w:t>
            </w:r>
            <w:r w:rsidRPr="00944244">
              <w:rPr>
                <w:noProof/>
                <w:sz w:val="20"/>
                <w:szCs w:val="20"/>
              </w:rPr>
              <w:t xml:space="preserve"> BAI, HAM-A, STAI</w:t>
            </w:r>
          </w:p>
        </w:tc>
      </w:tr>
      <w:tr w:rsidR="00D902D6" w:rsidRPr="00944244" w14:paraId="3D60C40C" w14:textId="77777777" w:rsidTr="00EB6127">
        <w:trPr>
          <w:trHeight w:val="300"/>
        </w:trPr>
        <w:tc>
          <w:tcPr>
            <w:tcW w:w="2122" w:type="dxa"/>
            <w:hideMark/>
          </w:tcPr>
          <w:p w14:paraId="27A10D95" w14:textId="77777777" w:rsidR="00D902D6" w:rsidRPr="00944244" w:rsidRDefault="00D902D6" w:rsidP="00D902D6">
            <w:pPr>
              <w:rPr>
                <w:sz w:val="20"/>
                <w:szCs w:val="20"/>
              </w:rPr>
            </w:pPr>
            <w:r w:rsidRPr="00944244">
              <w:rPr>
                <w:sz w:val="20"/>
                <w:szCs w:val="20"/>
              </w:rPr>
              <w:t>Richards 2016</w:t>
            </w:r>
          </w:p>
        </w:tc>
        <w:tc>
          <w:tcPr>
            <w:tcW w:w="1278" w:type="dxa"/>
            <w:tcBorders>
              <w:top w:val="nil"/>
              <w:left w:val="single" w:sz="4" w:space="0" w:color="auto"/>
              <w:bottom w:val="single" w:sz="4" w:space="0" w:color="auto"/>
              <w:right w:val="single" w:sz="4" w:space="0" w:color="auto"/>
            </w:tcBorders>
            <w:shd w:val="clear" w:color="000000" w:fill="EDEDED"/>
          </w:tcPr>
          <w:p w14:paraId="6892C313" w14:textId="77777777" w:rsidR="00D902D6" w:rsidRPr="00944244" w:rsidRDefault="00D902D6" w:rsidP="00D902D6">
            <w:pPr>
              <w:rPr>
                <w:sz w:val="20"/>
                <w:szCs w:val="20"/>
              </w:rPr>
            </w:pPr>
            <w:r w:rsidRPr="00944244">
              <w:rPr>
                <w:color w:val="000000"/>
                <w:sz w:val="20"/>
                <w:szCs w:val="20"/>
              </w:rPr>
              <w:t>Ireland</w:t>
            </w:r>
          </w:p>
        </w:tc>
        <w:tc>
          <w:tcPr>
            <w:tcW w:w="1273" w:type="dxa"/>
            <w:tcBorders>
              <w:top w:val="nil"/>
              <w:left w:val="single" w:sz="4" w:space="0" w:color="auto"/>
              <w:bottom w:val="single" w:sz="4" w:space="0" w:color="auto"/>
              <w:right w:val="single" w:sz="4" w:space="0" w:color="auto"/>
            </w:tcBorders>
            <w:shd w:val="clear" w:color="000000" w:fill="FFF2CC"/>
          </w:tcPr>
          <w:p w14:paraId="6152A7B6" w14:textId="77777777" w:rsidR="00D902D6" w:rsidRPr="00944244" w:rsidRDefault="00D902D6" w:rsidP="00D902D6">
            <w:pPr>
              <w:rPr>
                <w:sz w:val="20"/>
                <w:szCs w:val="20"/>
              </w:rPr>
            </w:pPr>
            <w:r w:rsidRPr="00944244">
              <w:rPr>
                <w:color w:val="000000"/>
                <w:sz w:val="20"/>
                <w:szCs w:val="20"/>
              </w:rPr>
              <w:t>University students</w:t>
            </w:r>
          </w:p>
        </w:tc>
        <w:tc>
          <w:tcPr>
            <w:tcW w:w="2977" w:type="dxa"/>
          </w:tcPr>
          <w:p w14:paraId="3AF8DBF7" w14:textId="77777777" w:rsidR="00D902D6" w:rsidRPr="00944244" w:rsidRDefault="00D902D6" w:rsidP="00D902D6">
            <w:pPr>
              <w:rPr>
                <w:sz w:val="20"/>
                <w:szCs w:val="20"/>
              </w:rPr>
            </w:pPr>
            <w:r w:rsidRPr="00944244">
              <w:rPr>
                <w:sz w:val="20"/>
                <w:szCs w:val="20"/>
              </w:rPr>
              <w:t>GAD7&gt;10</w:t>
            </w:r>
          </w:p>
        </w:tc>
        <w:tc>
          <w:tcPr>
            <w:tcW w:w="1134" w:type="dxa"/>
            <w:tcBorders>
              <w:top w:val="nil"/>
              <w:left w:val="single" w:sz="4" w:space="0" w:color="auto"/>
              <w:bottom w:val="single" w:sz="4" w:space="0" w:color="auto"/>
              <w:right w:val="single" w:sz="4" w:space="0" w:color="auto"/>
            </w:tcBorders>
            <w:shd w:val="clear" w:color="000000" w:fill="FFF2CC"/>
          </w:tcPr>
          <w:p w14:paraId="781B6D51" w14:textId="77777777" w:rsidR="00D902D6" w:rsidRPr="00944244" w:rsidRDefault="00D902D6" w:rsidP="00D902D6">
            <w:pPr>
              <w:rPr>
                <w:color w:val="000000"/>
                <w:sz w:val="20"/>
                <w:szCs w:val="20"/>
              </w:rPr>
            </w:pPr>
            <w:r w:rsidRPr="00944244">
              <w:rPr>
                <w:color w:val="000000"/>
                <w:sz w:val="20"/>
                <w:szCs w:val="20"/>
              </w:rPr>
              <w:t>137</w:t>
            </w:r>
          </w:p>
        </w:tc>
        <w:tc>
          <w:tcPr>
            <w:tcW w:w="992" w:type="dxa"/>
            <w:tcBorders>
              <w:top w:val="nil"/>
              <w:left w:val="single" w:sz="4" w:space="0" w:color="auto"/>
              <w:bottom w:val="single" w:sz="4" w:space="0" w:color="auto"/>
              <w:right w:val="single" w:sz="4" w:space="0" w:color="auto"/>
            </w:tcBorders>
            <w:shd w:val="clear" w:color="000000" w:fill="FFF2CC"/>
          </w:tcPr>
          <w:p w14:paraId="4F3DAD6B" w14:textId="77777777" w:rsidR="00D902D6" w:rsidRPr="00944244" w:rsidRDefault="00D902D6" w:rsidP="00D902D6">
            <w:pPr>
              <w:rPr>
                <w:color w:val="000000"/>
                <w:sz w:val="20"/>
                <w:szCs w:val="20"/>
              </w:rPr>
            </w:pPr>
            <w:r w:rsidRPr="00944244">
              <w:rPr>
                <w:color w:val="000000"/>
                <w:sz w:val="20"/>
                <w:szCs w:val="20"/>
              </w:rPr>
              <w:t>112</w:t>
            </w:r>
          </w:p>
        </w:tc>
        <w:tc>
          <w:tcPr>
            <w:tcW w:w="1276" w:type="dxa"/>
          </w:tcPr>
          <w:p w14:paraId="0C32B86B" w14:textId="77777777" w:rsidR="00D902D6" w:rsidRPr="00944244" w:rsidRDefault="00D902D6" w:rsidP="00D902D6">
            <w:pPr>
              <w:contextualSpacing/>
              <w:rPr>
                <w:rStyle w:val="Strong"/>
                <w:b w:val="0"/>
                <w:sz w:val="20"/>
                <w:szCs w:val="20"/>
              </w:rPr>
            </w:pPr>
            <w:r w:rsidRPr="00944244">
              <w:rPr>
                <w:bCs/>
                <w:noProof/>
                <w:sz w:val="20"/>
                <w:szCs w:val="20"/>
              </w:rPr>
              <w:t>6 weeks</w:t>
            </w:r>
          </w:p>
          <w:p w14:paraId="10D98C7C" w14:textId="77777777" w:rsidR="00D902D6" w:rsidRPr="00944244" w:rsidRDefault="00D902D6" w:rsidP="00D902D6">
            <w:pPr>
              <w:ind w:left="360"/>
              <w:rPr>
                <w:sz w:val="20"/>
                <w:szCs w:val="20"/>
              </w:rPr>
            </w:pPr>
          </w:p>
        </w:tc>
        <w:tc>
          <w:tcPr>
            <w:tcW w:w="2693" w:type="dxa"/>
          </w:tcPr>
          <w:p w14:paraId="04EF1996" w14:textId="77777777" w:rsidR="00D902D6" w:rsidRPr="00944244" w:rsidRDefault="00D902D6" w:rsidP="00D902D6">
            <w:pPr>
              <w:rPr>
                <w:sz w:val="20"/>
                <w:szCs w:val="20"/>
              </w:rPr>
            </w:pPr>
            <w:r w:rsidRPr="00944244">
              <w:rPr>
                <w:sz w:val="20"/>
                <w:szCs w:val="20"/>
              </w:rPr>
              <w:t>GAD-7</w:t>
            </w:r>
            <w:r>
              <w:rPr>
                <w:sz w:val="20"/>
                <w:szCs w:val="20"/>
              </w:rPr>
              <w:t xml:space="preserve">, </w:t>
            </w:r>
            <w:r w:rsidRPr="00944244">
              <w:rPr>
                <w:sz w:val="20"/>
                <w:szCs w:val="20"/>
              </w:rPr>
              <w:t>PSWQ</w:t>
            </w:r>
            <w:r>
              <w:rPr>
                <w:sz w:val="20"/>
                <w:szCs w:val="20"/>
              </w:rPr>
              <w:t>,</w:t>
            </w:r>
            <w:r w:rsidRPr="00944244">
              <w:rPr>
                <w:noProof/>
                <w:sz w:val="20"/>
                <w:szCs w:val="20"/>
              </w:rPr>
              <w:t xml:space="preserve"> BDI-II, WASA</w:t>
            </w:r>
          </w:p>
          <w:p w14:paraId="63B54D3B" w14:textId="77777777" w:rsidR="00D902D6" w:rsidRPr="00944244" w:rsidRDefault="00D902D6" w:rsidP="00D902D6">
            <w:pPr>
              <w:rPr>
                <w:sz w:val="20"/>
                <w:szCs w:val="20"/>
              </w:rPr>
            </w:pPr>
          </w:p>
        </w:tc>
      </w:tr>
      <w:tr w:rsidR="00D902D6" w:rsidRPr="00944244" w14:paraId="1EC57DDE" w14:textId="77777777" w:rsidTr="00EB6127">
        <w:trPr>
          <w:trHeight w:val="119"/>
        </w:trPr>
        <w:tc>
          <w:tcPr>
            <w:tcW w:w="2122" w:type="dxa"/>
            <w:hideMark/>
          </w:tcPr>
          <w:p w14:paraId="444DE49D" w14:textId="77777777" w:rsidR="00D902D6" w:rsidRPr="00944244" w:rsidRDefault="00D902D6" w:rsidP="00D902D6">
            <w:pPr>
              <w:rPr>
                <w:sz w:val="20"/>
                <w:szCs w:val="20"/>
              </w:rPr>
            </w:pPr>
            <w:r w:rsidRPr="00944244">
              <w:rPr>
                <w:sz w:val="20"/>
                <w:szCs w:val="20"/>
              </w:rPr>
              <w:t>Robinson 2010</w:t>
            </w:r>
          </w:p>
        </w:tc>
        <w:tc>
          <w:tcPr>
            <w:tcW w:w="1278" w:type="dxa"/>
            <w:tcBorders>
              <w:top w:val="nil"/>
              <w:left w:val="single" w:sz="4" w:space="0" w:color="auto"/>
              <w:bottom w:val="single" w:sz="4" w:space="0" w:color="auto"/>
              <w:right w:val="single" w:sz="4" w:space="0" w:color="auto"/>
            </w:tcBorders>
            <w:shd w:val="clear" w:color="000000" w:fill="EDEDED"/>
          </w:tcPr>
          <w:p w14:paraId="7B483638" w14:textId="77777777" w:rsidR="00D902D6" w:rsidRPr="00944244" w:rsidRDefault="00D902D6" w:rsidP="00D902D6">
            <w:pPr>
              <w:rPr>
                <w:sz w:val="20"/>
                <w:szCs w:val="20"/>
              </w:rPr>
            </w:pPr>
            <w:r w:rsidRPr="00944244">
              <w:rPr>
                <w:color w:val="000000"/>
                <w:sz w:val="20"/>
                <w:szCs w:val="20"/>
              </w:rPr>
              <w:t>Australia</w:t>
            </w:r>
          </w:p>
        </w:tc>
        <w:tc>
          <w:tcPr>
            <w:tcW w:w="1273" w:type="dxa"/>
            <w:tcBorders>
              <w:top w:val="nil"/>
              <w:left w:val="single" w:sz="4" w:space="0" w:color="auto"/>
              <w:bottom w:val="single" w:sz="4" w:space="0" w:color="auto"/>
              <w:right w:val="single" w:sz="4" w:space="0" w:color="auto"/>
            </w:tcBorders>
            <w:shd w:val="clear" w:color="000000" w:fill="FFF2CC"/>
          </w:tcPr>
          <w:p w14:paraId="1C5504B9" w14:textId="77777777" w:rsidR="00D902D6" w:rsidRPr="00944244" w:rsidRDefault="00D902D6" w:rsidP="00D902D6">
            <w:pPr>
              <w:rPr>
                <w:sz w:val="20"/>
                <w:szCs w:val="20"/>
              </w:rPr>
            </w:pPr>
            <w:r w:rsidRPr="00944244">
              <w:rPr>
                <w:color w:val="000000"/>
                <w:sz w:val="20"/>
                <w:szCs w:val="20"/>
              </w:rPr>
              <w:t>General - adults</w:t>
            </w:r>
          </w:p>
        </w:tc>
        <w:tc>
          <w:tcPr>
            <w:tcW w:w="2977" w:type="dxa"/>
          </w:tcPr>
          <w:p w14:paraId="04A2E2C9" w14:textId="77777777" w:rsidR="00D902D6" w:rsidRPr="00944244" w:rsidRDefault="00D902D6" w:rsidP="00D902D6">
            <w:pPr>
              <w:rPr>
                <w:sz w:val="20"/>
                <w:szCs w:val="20"/>
              </w:rPr>
            </w:pPr>
            <w:r w:rsidRPr="00944244">
              <w:rPr>
                <w:sz w:val="20"/>
                <w:szCs w:val="20"/>
              </w:rPr>
              <w:t>GAD</w:t>
            </w:r>
            <w:r w:rsidRPr="00944244">
              <w:rPr>
                <w:color w:val="000000"/>
                <w:sz w:val="20"/>
                <w:szCs w:val="20"/>
              </w:rPr>
              <w:t xml:space="preserve"> diagnosis on MINI</w:t>
            </w:r>
          </w:p>
        </w:tc>
        <w:tc>
          <w:tcPr>
            <w:tcW w:w="1134" w:type="dxa"/>
            <w:tcBorders>
              <w:top w:val="nil"/>
              <w:left w:val="single" w:sz="4" w:space="0" w:color="auto"/>
              <w:bottom w:val="single" w:sz="4" w:space="0" w:color="auto"/>
              <w:right w:val="single" w:sz="4" w:space="0" w:color="auto"/>
            </w:tcBorders>
            <w:shd w:val="clear" w:color="000000" w:fill="FFF2CC"/>
          </w:tcPr>
          <w:p w14:paraId="77E2E79F" w14:textId="77777777" w:rsidR="00D902D6" w:rsidRPr="00944244" w:rsidRDefault="00D902D6" w:rsidP="00D902D6">
            <w:pPr>
              <w:rPr>
                <w:color w:val="000000"/>
                <w:sz w:val="20"/>
                <w:szCs w:val="20"/>
              </w:rPr>
            </w:pPr>
            <w:r w:rsidRPr="00944244">
              <w:rPr>
                <w:color w:val="000000"/>
                <w:sz w:val="20"/>
                <w:szCs w:val="20"/>
              </w:rPr>
              <w:t>150</w:t>
            </w:r>
          </w:p>
        </w:tc>
        <w:tc>
          <w:tcPr>
            <w:tcW w:w="992" w:type="dxa"/>
            <w:tcBorders>
              <w:top w:val="nil"/>
              <w:left w:val="single" w:sz="4" w:space="0" w:color="auto"/>
              <w:bottom w:val="single" w:sz="4" w:space="0" w:color="auto"/>
              <w:right w:val="single" w:sz="4" w:space="0" w:color="auto"/>
            </w:tcBorders>
            <w:shd w:val="clear" w:color="000000" w:fill="FFF2CC"/>
          </w:tcPr>
          <w:p w14:paraId="56DCBE37" w14:textId="77777777" w:rsidR="00D902D6" w:rsidRPr="00944244" w:rsidRDefault="00D902D6" w:rsidP="00D902D6">
            <w:pPr>
              <w:rPr>
                <w:color w:val="000000"/>
                <w:sz w:val="20"/>
                <w:szCs w:val="20"/>
              </w:rPr>
            </w:pPr>
            <w:r w:rsidRPr="00944244">
              <w:rPr>
                <w:color w:val="000000"/>
                <w:sz w:val="20"/>
                <w:szCs w:val="20"/>
              </w:rPr>
              <w:t>138</w:t>
            </w:r>
          </w:p>
        </w:tc>
        <w:tc>
          <w:tcPr>
            <w:tcW w:w="1276" w:type="dxa"/>
          </w:tcPr>
          <w:p w14:paraId="6D7A1CC5" w14:textId="77777777" w:rsidR="00D902D6" w:rsidRPr="00944244" w:rsidRDefault="00D902D6" w:rsidP="00D902D6">
            <w:pPr>
              <w:contextualSpacing/>
              <w:rPr>
                <w:rStyle w:val="Strong"/>
                <w:b w:val="0"/>
                <w:sz w:val="20"/>
                <w:szCs w:val="20"/>
              </w:rPr>
            </w:pPr>
            <w:r w:rsidRPr="00944244">
              <w:rPr>
                <w:bCs/>
                <w:noProof/>
                <w:sz w:val="20"/>
                <w:szCs w:val="20"/>
              </w:rPr>
              <w:t>11 weeks</w:t>
            </w:r>
          </w:p>
          <w:p w14:paraId="00AE94C7" w14:textId="77777777" w:rsidR="00D902D6" w:rsidRPr="00944244" w:rsidRDefault="00D902D6" w:rsidP="00D902D6">
            <w:pPr>
              <w:contextualSpacing/>
              <w:rPr>
                <w:bCs/>
                <w:sz w:val="20"/>
                <w:szCs w:val="20"/>
              </w:rPr>
            </w:pPr>
            <w:r w:rsidRPr="00944244">
              <w:rPr>
                <w:bCs/>
                <w:noProof/>
                <w:sz w:val="20"/>
                <w:szCs w:val="20"/>
              </w:rPr>
              <w:t>3 months*</w:t>
            </w:r>
          </w:p>
        </w:tc>
        <w:tc>
          <w:tcPr>
            <w:tcW w:w="2693" w:type="dxa"/>
          </w:tcPr>
          <w:p w14:paraId="448E364A" w14:textId="77777777" w:rsidR="00D902D6" w:rsidRPr="00944244" w:rsidRDefault="00D902D6" w:rsidP="00D902D6">
            <w:pPr>
              <w:rPr>
                <w:sz w:val="20"/>
                <w:szCs w:val="20"/>
              </w:rPr>
            </w:pPr>
            <w:r w:rsidRPr="00944244">
              <w:rPr>
                <w:sz w:val="20"/>
                <w:szCs w:val="20"/>
              </w:rPr>
              <w:t>GAD-7</w:t>
            </w:r>
            <w:r>
              <w:rPr>
                <w:sz w:val="20"/>
                <w:szCs w:val="20"/>
              </w:rPr>
              <w:t xml:space="preserve">, </w:t>
            </w:r>
            <w:r w:rsidRPr="00944244">
              <w:rPr>
                <w:sz w:val="20"/>
                <w:szCs w:val="20"/>
              </w:rPr>
              <w:t>PSWQ</w:t>
            </w:r>
            <w:r>
              <w:rPr>
                <w:sz w:val="20"/>
                <w:szCs w:val="20"/>
              </w:rPr>
              <w:t>,</w:t>
            </w:r>
            <w:r w:rsidRPr="00944244">
              <w:rPr>
                <w:noProof/>
                <w:sz w:val="20"/>
                <w:szCs w:val="20"/>
              </w:rPr>
              <w:t xml:space="preserve"> K-10</w:t>
            </w:r>
            <w:r w:rsidRPr="00944244">
              <w:rPr>
                <w:sz w:val="20"/>
                <w:szCs w:val="20"/>
              </w:rPr>
              <w:t xml:space="preserve">, </w:t>
            </w:r>
            <w:r w:rsidRPr="00944244">
              <w:rPr>
                <w:noProof/>
                <w:sz w:val="20"/>
                <w:szCs w:val="20"/>
              </w:rPr>
              <w:t>PHQ-9</w:t>
            </w:r>
            <w:r w:rsidRPr="00944244">
              <w:rPr>
                <w:sz w:val="20"/>
                <w:szCs w:val="20"/>
              </w:rPr>
              <w:t xml:space="preserve">, </w:t>
            </w:r>
            <w:r w:rsidRPr="00944244">
              <w:rPr>
                <w:noProof/>
                <w:sz w:val="20"/>
                <w:szCs w:val="20"/>
              </w:rPr>
              <w:t>SDS</w:t>
            </w:r>
          </w:p>
        </w:tc>
      </w:tr>
      <w:tr w:rsidR="00D902D6" w:rsidRPr="00944244" w14:paraId="035D085A" w14:textId="77777777" w:rsidTr="00EB6127">
        <w:trPr>
          <w:trHeight w:val="300"/>
        </w:trPr>
        <w:tc>
          <w:tcPr>
            <w:tcW w:w="2122" w:type="dxa"/>
            <w:hideMark/>
          </w:tcPr>
          <w:p w14:paraId="197A6972" w14:textId="77777777" w:rsidR="00D902D6" w:rsidRPr="00944244" w:rsidRDefault="00D902D6" w:rsidP="00D902D6">
            <w:pPr>
              <w:rPr>
                <w:sz w:val="20"/>
                <w:szCs w:val="20"/>
              </w:rPr>
            </w:pPr>
            <w:r w:rsidRPr="00944244">
              <w:rPr>
                <w:sz w:val="20"/>
                <w:szCs w:val="20"/>
              </w:rPr>
              <w:t>Teng 2019</w:t>
            </w:r>
          </w:p>
        </w:tc>
        <w:tc>
          <w:tcPr>
            <w:tcW w:w="1278" w:type="dxa"/>
            <w:tcBorders>
              <w:top w:val="nil"/>
              <w:left w:val="single" w:sz="4" w:space="0" w:color="auto"/>
              <w:bottom w:val="single" w:sz="4" w:space="0" w:color="auto"/>
              <w:right w:val="single" w:sz="4" w:space="0" w:color="auto"/>
            </w:tcBorders>
            <w:shd w:val="clear" w:color="000000" w:fill="EDEDED"/>
          </w:tcPr>
          <w:p w14:paraId="082BEBF2" w14:textId="77777777" w:rsidR="00D902D6" w:rsidRPr="00944244" w:rsidRDefault="00D902D6" w:rsidP="00D902D6">
            <w:pPr>
              <w:rPr>
                <w:sz w:val="20"/>
                <w:szCs w:val="20"/>
              </w:rPr>
            </w:pPr>
            <w:r w:rsidRPr="00944244">
              <w:rPr>
                <w:color w:val="000000"/>
                <w:sz w:val="20"/>
                <w:szCs w:val="20"/>
              </w:rPr>
              <w:t>Taiwan</w:t>
            </w:r>
          </w:p>
        </w:tc>
        <w:tc>
          <w:tcPr>
            <w:tcW w:w="1273" w:type="dxa"/>
            <w:tcBorders>
              <w:top w:val="nil"/>
              <w:left w:val="single" w:sz="4" w:space="0" w:color="auto"/>
              <w:bottom w:val="single" w:sz="4" w:space="0" w:color="auto"/>
              <w:right w:val="single" w:sz="4" w:space="0" w:color="auto"/>
            </w:tcBorders>
            <w:shd w:val="clear" w:color="000000" w:fill="FFF2CC"/>
          </w:tcPr>
          <w:p w14:paraId="180758DD" w14:textId="77777777" w:rsidR="00D902D6" w:rsidRPr="00944244" w:rsidRDefault="00D902D6" w:rsidP="00D902D6">
            <w:pPr>
              <w:rPr>
                <w:sz w:val="20"/>
                <w:szCs w:val="20"/>
              </w:rPr>
            </w:pPr>
            <w:r w:rsidRPr="00944244">
              <w:rPr>
                <w:color w:val="000000"/>
                <w:sz w:val="20"/>
                <w:szCs w:val="20"/>
              </w:rPr>
              <w:t>General - adults</w:t>
            </w:r>
          </w:p>
        </w:tc>
        <w:tc>
          <w:tcPr>
            <w:tcW w:w="2977" w:type="dxa"/>
          </w:tcPr>
          <w:p w14:paraId="6CE8E7BB" w14:textId="77777777" w:rsidR="00D902D6" w:rsidRPr="00944244" w:rsidRDefault="00D902D6" w:rsidP="00D902D6">
            <w:pPr>
              <w:rPr>
                <w:color w:val="000000"/>
                <w:sz w:val="20"/>
                <w:szCs w:val="20"/>
              </w:rPr>
            </w:pPr>
            <w:r w:rsidRPr="00944244">
              <w:rPr>
                <w:color w:val="000000"/>
                <w:sz w:val="20"/>
                <w:szCs w:val="20"/>
              </w:rPr>
              <w:t>GAD diagnosis on DIS-IV</w:t>
            </w:r>
          </w:p>
          <w:p w14:paraId="3E0EDBC8" w14:textId="77777777" w:rsidR="00D902D6" w:rsidRPr="00944244" w:rsidRDefault="00D902D6" w:rsidP="00D902D6">
            <w:pPr>
              <w:rPr>
                <w:sz w:val="20"/>
                <w:szCs w:val="20"/>
              </w:rPr>
            </w:pPr>
            <w:r w:rsidRPr="00944244">
              <w:rPr>
                <w:sz w:val="20"/>
                <w:szCs w:val="20"/>
              </w:rPr>
              <w:t>PSWQ &gt;60</w:t>
            </w:r>
          </w:p>
        </w:tc>
        <w:tc>
          <w:tcPr>
            <w:tcW w:w="1134" w:type="dxa"/>
            <w:tcBorders>
              <w:top w:val="nil"/>
              <w:left w:val="single" w:sz="4" w:space="0" w:color="auto"/>
              <w:bottom w:val="single" w:sz="4" w:space="0" w:color="auto"/>
              <w:right w:val="single" w:sz="4" w:space="0" w:color="auto"/>
            </w:tcBorders>
            <w:shd w:val="clear" w:color="000000" w:fill="FFF2CC"/>
          </w:tcPr>
          <w:p w14:paraId="5B126265" w14:textId="77777777" w:rsidR="00D902D6" w:rsidRPr="00944244" w:rsidRDefault="00D902D6" w:rsidP="00D902D6">
            <w:pPr>
              <w:rPr>
                <w:color w:val="000000"/>
                <w:sz w:val="20"/>
                <w:szCs w:val="20"/>
              </w:rPr>
            </w:pPr>
            <w:r w:rsidRPr="00944244">
              <w:rPr>
                <w:color w:val="000000"/>
                <w:sz w:val="20"/>
                <w:szCs w:val="20"/>
              </w:rPr>
              <w:t>93</w:t>
            </w:r>
          </w:p>
        </w:tc>
        <w:tc>
          <w:tcPr>
            <w:tcW w:w="992" w:type="dxa"/>
            <w:tcBorders>
              <w:top w:val="nil"/>
              <w:left w:val="single" w:sz="4" w:space="0" w:color="auto"/>
              <w:bottom w:val="single" w:sz="4" w:space="0" w:color="auto"/>
              <w:right w:val="single" w:sz="4" w:space="0" w:color="auto"/>
            </w:tcBorders>
            <w:shd w:val="clear" w:color="000000" w:fill="FFF2CC"/>
          </w:tcPr>
          <w:p w14:paraId="6B559541" w14:textId="77777777" w:rsidR="00D902D6" w:rsidRPr="00944244" w:rsidRDefault="00D902D6" w:rsidP="00D902D6">
            <w:pPr>
              <w:rPr>
                <w:color w:val="000000"/>
                <w:sz w:val="20"/>
                <w:szCs w:val="20"/>
              </w:rPr>
            </w:pPr>
            <w:r w:rsidRPr="00944244">
              <w:rPr>
                <w:color w:val="000000"/>
                <w:sz w:val="20"/>
                <w:szCs w:val="20"/>
              </w:rPr>
              <w:t>82</w:t>
            </w:r>
          </w:p>
        </w:tc>
        <w:tc>
          <w:tcPr>
            <w:tcW w:w="1276" w:type="dxa"/>
          </w:tcPr>
          <w:p w14:paraId="4D4BD347" w14:textId="77777777" w:rsidR="00D902D6" w:rsidRPr="00944244" w:rsidRDefault="00D902D6" w:rsidP="00D902D6">
            <w:pPr>
              <w:contextualSpacing/>
              <w:rPr>
                <w:bCs/>
                <w:sz w:val="20"/>
                <w:szCs w:val="20"/>
              </w:rPr>
            </w:pPr>
            <w:r w:rsidRPr="00944244">
              <w:rPr>
                <w:bCs/>
                <w:sz w:val="20"/>
                <w:szCs w:val="20"/>
              </w:rPr>
              <w:t>4 weeks</w:t>
            </w:r>
          </w:p>
          <w:p w14:paraId="70F51D96" w14:textId="77777777" w:rsidR="00D902D6" w:rsidRPr="00944244" w:rsidRDefault="00D902D6" w:rsidP="00D902D6">
            <w:pPr>
              <w:rPr>
                <w:sz w:val="20"/>
                <w:szCs w:val="20"/>
              </w:rPr>
            </w:pPr>
            <w:r w:rsidRPr="00944244">
              <w:rPr>
                <w:bCs/>
                <w:sz w:val="20"/>
                <w:szCs w:val="20"/>
              </w:rPr>
              <w:t>1 month</w:t>
            </w:r>
          </w:p>
        </w:tc>
        <w:tc>
          <w:tcPr>
            <w:tcW w:w="2693" w:type="dxa"/>
          </w:tcPr>
          <w:p w14:paraId="067CF8AF" w14:textId="77777777" w:rsidR="00D902D6" w:rsidRPr="00CD75E3" w:rsidRDefault="00D902D6" w:rsidP="00D902D6">
            <w:pPr>
              <w:contextualSpacing/>
              <w:rPr>
                <w:bCs/>
                <w:sz w:val="20"/>
                <w:szCs w:val="20"/>
              </w:rPr>
            </w:pPr>
            <w:r w:rsidRPr="00944244">
              <w:rPr>
                <w:sz w:val="20"/>
                <w:szCs w:val="20"/>
              </w:rPr>
              <w:t>PSWQ</w:t>
            </w:r>
            <w:r>
              <w:rPr>
                <w:sz w:val="20"/>
                <w:szCs w:val="20"/>
              </w:rPr>
              <w:t>,</w:t>
            </w:r>
            <w:r w:rsidRPr="00944244">
              <w:rPr>
                <w:bCs/>
                <w:sz w:val="20"/>
                <w:szCs w:val="20"/>
              </w:rPr>
              <w:t xml:space="preserve"> BAI, BDI, STAI-S, STAI-T</w:t>
            </w:r>
          </w:p>
        </w:tc>
      </w:tr>
      <w:tr w:rsidR="00D902D6" w:rsidRPr="00944244" w14:paraId="40BB868F" w14:textId="77777777" w:rsidTr="00EB6127">
        <w:trPr>
          <w:trHeight w:val="363"/>
        </w:trPr>
        <w:tc>
          <w:tcPr>
            <w:tcW w:w="2122" w:type="dxa"/>
            <w:hideMark/>
          </w:tcPr>
          <w:p w14:paraId="23160FB5" w14:textId="77777777" w:rsidR="00D902D6" w:rsidRPr="00944244" w:rsidRDefault="00D902D6" w:rsidP="00D902D6">
            <w:pPr>
              <w:rPr>
                <w:sz w:val="20"/>
                <w:szCs w:val="20"/>
              </w:rPr>
            </w:pPr>
            <w:r w:rsidRPr="00944244">
              <w:rPr>
                <w:sz w:val="20"/>
                <w:szCs w:val="20"/>
              </w:rPr>
              <w:t>Titov 2009 (linked with Lorian 2012)</w:t>
            </w:r>
          </w:p>
        </w:tc>
        <w:tc>
          <w:tcPr>
            <w:tcW w:w="1278" w:type="dxa"/>
            <w:tcBorders>
              <w:top w:val="nil"/>
              <w:left w:val="single" w:sz="4" w:space="0" w:color="auto"/>
              <w:bottom w:val="single" w:sz="4" w:space="0" w:color="auto"/>
              <w:right w:val="single" w:sz="4" w:space="0" w:color="auto"/>
            </w:tcBorders>
            <w:shd w:val="clear" w:color="000000" w:fill="EDEDED"/>
          </w:tcPr>
          <w:p w14:paraId="20655046" w14:textId="77777777" w:rsidR="00D902D6" w:rsidRPr="00944244" w:rsidRDefault="00D902D6" w:rsidP="00D902D6">
            <w:pPr>
              <w:rPr>
                <w:sz w:val="20"/>
                <w:szCs w:val="20"/>
              </w:rPr>
            </w:pPr>
            <w:r w:rsidRPr="00944244">
              <w:rPr>
                <w:color w:val="000000"/>
                <w:sz w:val="20"/>
                <w:szCs w:val="20"/>
              </w:rPr>
              <w:t>Australia</w:t>
            </w:r>
          </w:p>
        </w:tc>
        <w:tc>
          <w:tcPr>
            <w:tcW w:w="1273" w:type="dxa"/>
            <w:tcBorders>
              <w:top w:val="nil"/>
              <w:left w:val="single" w:sz="4" w:space="0" w:color="auto"/>
              <w:bottom w:val="single" w:sz="4" w:space="0" w:color="auto"/>
              <w:right w:val="single" w:sz="4" w:space="0" w:color="auto"/>
            </w:tcBorders>
            <w:shd w:val="clear" w:color="000000" w:fill="FFF2CC"/>
          </w:tcPr>
          <w:p w14:paraId="69C545C6" w14:textId="77777777" w:rsidR="00D902D6" w:rsidRPr="00944244" w:rsidRDefault="00D902D6" w:rsidP="00D902D6">
            <w:pPr>
              <w:rPr>
                <w:sz w:val="20"/>
                <w:szCs w:val="20"/>
              </w:rPr>
            </w:pPr>
            <w:r w:rsidRPr="00944244">
              <w:rPr>
                <w:color w:val="000000"/>
                <w:sz w:val="20"/>
                <w:szCs w:val="20"/>
              </w:rPr>
              <w:t>General - adults</w:t>
            </w:r>
          </w:p>
        </w:tc>
        <w:tc>
          <w:tcPr>
            <w:tcW w:w="2977" w:type="dxa"/>
          </w:tcPr>
          <w:p w14:paraId="5012AD8C" w14:textId="77777777" w:rsidR="00D902D6" w:rsidRPr="00944244" w:rsidRDefault="00D902D6" w:rsidP="00D902D6">
            <w:pPr>
              <w:rPr>
                <w:sz w:val="20"/>
                <w:szCs w:val="20"/>
              </w:rPr>
            </w:pPr>
            <w:r w:rsidRPr="00944244">
              <w:rPr>
                <w:sz w:val="20"/>
                <w:szCs w:val="20"/>
              </w:rPr>
              <w:t>GAD</w:t>
            </w:r>
            <w:r w:rsidRPr="00944244">
              <w:rPr>
                <w:color w:val="000000"/>
                <w:sz w:val="20"/>
                <w:szCs w:val="20"/>
              </w:rPr>
              <w:t xml:space="preserve"> diagnosis on MINI</w:t>
            </w:r>
          </w:p>
        </w:tc>
        <w:tc>
          <w:tcPr>
            <w:tcW w:w="1134" w:type="dxa"/>
            <w:tcBorders>
              <w:top w:val="nil"/>
              <w:left w:val="single" w:sz="4" w:space="0" w:color="auto"/>
              <w:bottom w:val="single" w:sz="4" w:space="0" w:color="auto"/>
              <w:right w:val="single" w:sz="4" w:space="0" w:color="auto"/>
            </w:tcBorders>
            <w:shd w:val="clear" w:color="000000" w:fill="FFF2CC"/>
          </w:tcPr>
          <w:p w14:paraId="7798ADEC" w14:textId="77777777" w:rsidR="00D902D6" w:rsidRPr="00944244" w:rsidRDefault="00D902D6" w:rsidP="00D902D6">
            <w:pPr>
              <w:rPr>
                <w:color w:val="000000"/>
                <w:sz w:val="20"/>
                <w:szCs w:val="20"/>
              </w:rPr>
            </w:pPr>
            <w:r w:rsidRPr="00944244">
              <w:rPr>
                <w:color w:val="000000"/>
                <w:sz w:val="20"/>
                <w:szCs w:val="20"/>
              </w:rPr>
              <w:t>34</w:t>
            </w:r>
          </w:p>
        </w:tc>
        <w:tc>
          <w:tcPr>
            <w:tcW w:w="992" w:type="dxa"/>
            <w:tcBorders>
              <w:top w:val="nil"/>
              <w:left w:val="single" w:sz="4" w:space="0" w:color="auto"/>
              <w:bottom w:val="single" w:sz="4" w:space="0" w:color="auto"/>
              <w:right w:val="single" w:sz="4" w:space="0" w:color="auto"/>
            </w:tcBorders>
            <w:shd w:val="clear" w:color="000000" w:fill="FFF2CC"/>
          </w:tcPr>
          <w:p w14:paraId="37551D50" w14:textId="77777777" w:rsidR="00D902D6" w:rsidRPr="00944244" w:rsidRDefault="00D902D6" w:rsidP="00D902D6">
            <w:pPr>
              <w:rPr>
                <w:color w:val="000000"/>
                <w:sz w:val="20"/>
                <w:szCs w:val="20"/>
              </w:rPr>
            </w:pPr>
            <w:r w:rsidRPr="00944244">
              <w:rPr>
                <w:color w:val="000000"/>
                <w:sz w:val="20"/>
                <w:szCs w:val="20"/>
              </w:rPr>
              <w:t>NR</w:t>
            </w:r>
          </w:p>
        </w:tc>
        <w:tc>
          <w:tcPr>
            <w:tcW w:w="1276" w:type="dxa"/>
          </w:tcPr>
          <w:p w14:paraId="5752532A" w14:textId="77777777" w:rsidR="00D902D6" w:rsidRPr="00944244" w:rsidRDefault="00D902D6" w:rsidP="00D902D6">
            <w:pPr>
              <w:contextualSpacing/>
              <w:rPr>
                <w:rStyle w:val="Strong"/>
                <w:b w:val="0"/>
                <w:sz w:val="20"/>
                <w:szCs w:val="20"/>
              </w:rPr>
            </w:pPr>
            <w:r w:rsidRPr="00944244">
              <w:rPr>
                <w:bCs/>
                <w:noProof/>
                <w:sz w:val="20"/>
                <w:szCs w:val="20"/>
              </w:rPr>
              <w:t>9 weeks</w:t>
            </w:r>
          </w:p>
          <w:p w14:paraId="0C4D4894" w14:textId="77777777" w:rsidR="00D902D6" w:rsidRPr="00944244" w:rsidRDefault="00D902D6" w:rsidP="00D902D6">
            <w:pPr>
              <w:ind w:left="360"/>
              <w:rPr>
                <w:sz w:val="20"/>
                <w:szCs w:val="20"/>
              </w:rPr>
            </w:pPr>
          </w:p>
        </w:tc>
        <w:tc>
          <w:tcPr>
            <w:tcW w:w="2693" w:type="dxa"/>
          </w:tcPr>
          <w:p w14:paraId="0BE612D6" w14:textId="77777777" w:rsidR="00D902D6" w:rsidRPr="00944244" w:rsidRDefault="00D902D6" w:rsidP="00D902D6">
            <w:pPr>
              <w:contextualSpacing/>
              <w:rPr>
                <w:sz w:val="20"/>
                <w:szCs w:val="20"/>
              </w:rPr>
            </w:pPr>
            <w:r w:rsidRPr="00944244">
              <w:rPr>
                <w:sz w:val="20"/>
                <w:szCs w:val="20"/>
              </w:rPr>
              <w:t>GAD-7</w:t>
            </w:r>
            <w:r>
              <w:rPr>
                <w:sz w:val="20"/>
                <w:szCs w:val="20"/>
              </w:rPr>
              <w:t xml:space="preserve">, </w:t>
            </w:r>
            <w:r w:rsidRPr="00944244">
              <w:rPr>
                <w:noProof/>
                <w:sz w:val="20"/>
                <w:szCs w:val="20"/>
              </w:rPr>
              <w:t>K-10, PHQ-9, SDS</w:t>
            </w:r>
          </w:p>
          <w:p w14:paraId="146D50A5" w14:textId="77777777" w:rsidR="00D902D6" w:rsidRPr="00944244" w:rsidRDefault="00D902D6" w:rsidP="00D902D6">
            <w:pPr>
              <w:rPr>
                <w:sz w:val="20"/>
                <w:szCs w:val="20"/>
              </w:rPr>
            </w:pPr>
          </w:p>
        </w:tc>
      </w:tr>
      <w:tr w:rsidR="00D902D6" w:rsidRPr="00CD75E3" w14:paraId="05CC9E4E" w14:textId="77777777" w:rsidTr="00EB6127">
        <w:trPr>
          <w:trHeight w:val="480"/>
        </w:trPr>
        <w:tc>
          <w:tcPr>
            <w:tcW w:w="2122" w:type="dxa"/>
            <w:hideMark/>
          </w:tcPr>
          <w:p w14:paraId="7525F3C3" w14:textId="77777777" w:rsidR="00D902D6" w:rsidRPr="00944244" w:rsidRDefault="00D902D6" w:rsidP="00D902D6">
            <w:pPr>
              <w:rPr>
                <w:sz w:val="20"/>
                <w:szCs w:val="20"/>
              </w:rPr>
            </w:pPr>
            <w:r w:rsidRPr="00944244">
              <w:rPr>
                <w:sz w:val="20"/>
                <w:szCs w:val="20"/>
              </w:rPr>
              <w:t>Titov 2010</w:t>
            </w:r>
          </w:p>
        </w:tc>
        <w:tc>
          <w:tcPr>
            <w:tcW w:w="1278" w:type="dxa"/>
            <w:tcBorders>
              <w:top w:val="nil"/>
              <w:left w:val="single" w:sz="4" w:space="0" w:color="auto"/>
              <w:bottom w:val="single" w:sz="4" w:space="0" w:color="auto"/>
              <w:right w:val="single" w:sz="4" w:space="0" w:color="auto"/>
            </w:tcBorders>
            <w:shd w:val="clear" w:color="000000" w:fill="EDEDED"/>
          </w:tcPr>
          <w:p w14:paraId="4C057B8C" w14:textId="77777777" w:rsidR="00D902D6" w:rsidRPr="00944244" w:rsidRDefault="00D902D6" w:rsidP="00D902D6">
            <w:pPr>
              <w:rPr>
                <w:sz w:val="20"/>
                <w:szCs w:val="20"/>
              </w:rPr>
            </w:pPr>
            <w:r w:rsidRPr="00944244">
              <w:rPr>
                <w:color w:val="000000"/>
                <w:sz w:val="20"/>
                <w:szCs w:val="20"/>
              </w:rPr>
              <w:t>Australia</w:t>
            </w:r>
          </w:p>
        </w:tc>
        <w:tc>
          <w:tcPr>
            <w:tcW w:w="1273" w:type="dxa"/>
            <w:tcBorders>
              <w:top w:val="nil"/>
              <w:left w:val="single" w:sz="4" w:space="0" w:color="auto"/>
              <w:bottom w:val="single" w:sz="4" w:space="0" w:color="auto"/>
              <w:right w:val="single" w:sz="4" w:space="0" w:color="auto"/>
            </w:tcBorders>
            <w:shd w:val="clear" w:color="000000" w:fill="FFF2CC"/>
          </w:tcPr>
          <w:p w14:paraId="09617F82" w14:textId="77777777" w:rsidR="00D902D6" w:rsidRPr="00944244" w:rsidRDefault="00D902D6" w:rsidP="00D902D6">
            <w:pPr>
              <w:rPr>
                <w:sz w:val="20"/>
                <w:szCs w:val="20"/>
              </w:rPr>
            </w:pPr>
            <w:r w:rsidRPr="00944244">
              <w:rPr>
                <w:color w:val="000000"/>
                <w:sz w:val="20"/>
                <w:szCs w:val="20"/>
              </w:rPr>
              <w:t>General - adults</w:t>
            </w:r>
          </w:p>
        </w:tc>
        <w:tc>
          <w:tcPr>
            <w:tcW w:w="2977" w:type="dxa"/>
          </w:tcPr>
          <w:p w14:paraId="7C6542F0" w14:textId="77777777" w:rsidR="00D902D6" w:rsidRPr="00944244" w:rsidRDefault="00D902D6" w:rsidP="00D902D6">
            <w:pPr>
              <w:rPr>
                <w:sz w:val="20"/>
                <w:szCs w:val="20"/>
              </w:rPr>
            </w:pPr>
            <w:r w:rsidRPr="00944244">
              <w:rPr>
                <w:sz w:val="20"/>
                <w:szCs w:val="20"/>
              </w:rPr>
              <w:t>Mixed sample anxiety/depression</w:t>
            </w:r>
            <w:r w:rsidRPr="00944244">
              <w:rPr>
                <w:b/>
                <w:bCs/>
                <w:sz w:val="20"/>
                <w:szCs w:val="20"/>
                <w:vertAlign w:val="superscript"/>
              </w:rPr>
              <w:t>#</w:t>
            </w:r>
            <w:r w:rsidRPr="00944244">
              <w:rPr>
                <w:b/>
                <w:bCs/>
                <w:sz w:val="20"/>
                <w:szCs w:val="20"/>
              </w:rPr>
              <w:t xml:space="preserve"> </w:t>
            </w:r>
          </w:p>
          <w:p w14:paraId="53C5F18A" w14:textId="77777777" w:rsidR="00D902D6" w:rsidRPr="00944244" w:rsidRDefault="00D902D6" w:rsidP="00D902D6">
            <w:pPr>
              <w:rPr>
                <w:sz w:val="20"/>
                <w:szCs w:val="20"/>
              </w:rPr>
            </w:pPr>
            <w:r w:rsidRPr="00944244">
              <w:rPr>
                <w:sz w:val="20"/>
                <w:szCs w:val="20"/>
              </w:rPr>
              <w:t xml:space="preserve">GAD diagnosis </w:t>
            </w:r>
            <w:r w:rsidRPr="00944244">
              <w:rPr>
                <w:color w:val="000000"/>
                <w:sz w:val="20"/>
                <w:szCs w:val="20"/>
              </w:rPr>
              <w:t>on MINI</w:t>
            </w:r>
          </w:p>
        </w:tc>
        <w:tc>
          <w:tcPr>
            <w:tcW w:w="1134" w:type="dxa"/>
            <w:tcBorders>
              <w:top w:val="nil"/>
              <w:left w:val="single" w:sz="4" w:space="0" w:color="auto"/>
              <w:bottom w:val="single" w:sz="4" w:space="0" w:color="auto"/>
              <w:right w:val="single" w:sz="4" w:space="0" w:color="auto"/>
            </w:tcBorders>
            <w:shd w:val="clear" w:color="000000" w:fill="FFF2CC"/>
          </w:tcPr>
          <w:p w14:paraId="6BD01AD0" w14:textId="77777777" w:rsidR="00D902D6" w:rsidRPr="00944244" w:rsidRDefault="00D902D6" w:rsidP="00D902D6">
            <w:pPr>
              <w:rPr>
                <w:color w:val="000000"/>
                <w:sz w:val="20"/>
                <w:szCs w:val="20"/>
              </w:rPr>
            </w:pPr>
            <w:r w:rsidRPr="00944244">
              <w:rPr>
                <w:color w:val="000000"/>
                <w:sz w:val="20"/>
                <w:szCs w:val="20"/>
              </w:rPr>
              <w:t>48</w:t>
            </w:r>
          </w:p>
        </w:tc>
        <w:tc>
          <w:tcPr>
            <w:tcW w:w="992" w:type="dxa"/>
            <w:tcBorders>
              <w:top w:val="nil"/>
              <w:left w:val="single" w:sz="4" w:space="0" w:color="auto"/>
              <w:bottom w:val="single" w:sz="4" w:space="0" w:color="auto"/>
              <w:right w:val="single" w:sz="4" w:space="0" w:color="auto"/>
            </w:tcBorders>
            <w:shd w:val="clear" w:color="000000" w:fill="FFF2CC"/>
          </w:tcPr>
          <w:p w14:paraId="29A19C0B" w14:textId="77777777" w:rsidR="00D902D6" w:rsidRPr="00944244" w:rsidRDefault="00D902D6" w:rsidP="00D902D6">
            <w:pPr>
              <w:rPr>
                <w:color w:val="000000"/>
                <w:sz w:val="20"/>
                <w:szCs w:val="20"/>
              </w:rPr>
            </w:pPr>
            <w:r w:rsidRPr="00944244">
              <w:rPr>
                <w:color w:val="000000"/>
                <w:sz w:val="20"/>
                <w:szCs w:val="20"/>
              </w:rPr>
              <w:t>19</w:t>
            </w:r>
          </w:p>
        </w:tc>
        <w:tc>
          <w:tcPr>
            <w:tcW w:w="1276" w:type="dxa"/>
          </w:tcPr>
          <w:p w14:paraId="37EC1CDA" w14:textId="77777777" w:rsidR="00D902D6" w:rsidRPr="00944244" w:rsidRDefault="00D902D6" w:rsidP="00D902D6">
            <w:pPr>
              <w:contextualSpacing/>
              <w:rPr>
                <w:bCs/>
                <w:sz w:val="20"/>
                <w:szCs w:val="20"/>
              </w:rPr>
            </w:pPr>
            <w:r w:rsidRPr="00944244">
              <w:rPr>
                <w:bCs/>
                <w:sz w:val="20"/>
                <w:szCs w:val="20"/>
              </w:rPr>
              <w:t>9 weeks</w:t>
            </w:r>
          </w:p>
          <w:p w14:paraId="781B9C47" w14:textId="77777777" w:rsidR="00D902D6" w:rsidRPr="00944244" w:rsidRDefault="00D902D6" w:rsidP="00D902D6">
            <w:pPr>
              <w:rPr>
                <w:sz w:val="20"/>
                <w:szCs w:val="20"/>
              </w:rPr>
            </w:pPr>
            <w:r w:rsidRPr="00944244">
              <w:rPr>
                <w:bCs/>
                <w:sz w:val="20"/>
                <w:szCs w:val="20"/>
              </w:rPr>
              <w:t>3 months</w:t>
            </w:r>
          </w:p>
        </w:tc>
        <w:tc>
          <w:tcPr>
            <w:tcW w:w="2693" w:type="dxa"/>
          </w:tcPr>
          <w:p w14:paraId="56473BC3" w14:textId="77777777" w:rsidR="00D902D6" w:rsidRPr="00CD75E3" w:rsidRDefault="00D902D6" w:rsidP="00D902D6">
            <w:pPr>
              <w:contextualSpacing/>
              <w:rPr>
                <w:bCs/>
                <w:sz w:val="20"/>
                <w:szCs w:val="20"/>
              </w:rPr>
            </w:pPr>
            <w:r w:rsidRPr="00944244">
              <w:rPr>
                <w:sz w:val="20"/>
                <w:szCs w:val="20"/>
              </w:rPr>
              <w:t>PSWQ</w:t>
            </w:r>
            <w:r>
              <w:rPr>
                <w:sz w:val="20"/>
                <w:szCs w:val="20"/>
              </w:rPr>
              <w:t>,</w:t>
            </w:r>
            <w:r w:rsidRPr="00CD75E3">
              <w:rPr>
                <w:bCs/>
                <w:sz w:val="20"/>
                <w:szCs w:val="20"/>
              </w:rPr>
              <w:t xml:space="preserve"> DASS-21, K-10, NEO-FFI-N, PDSS-SR, PHQ-9, SDS, SPSQ</w:t>
            </w:r>
          </w:p>
        </w:tc>
      </w:tr>
      <w:tr w:rsidR="00D902D6" w:rsidRPr="00944244" w14:paraId="4A21F3A6" w14:textId="77777777" w:rsidTr="00EB6127">
        <w:trPr>
          <w:trHeight w:val="300"/>
        </w:trPr>
        <w:tc>
          <w:tcPr>
            <w:tcW w:w="2122" w:type="dxa"/>
            <w:hideMark/>
          </w:tcPr>
          <w:p w14:paraId="15E1D07C" w14:textId="77777777" w:rsidR="00D902D6" w:rsidRPr="00944244" w:rsidRDefault="00D902D6" w:rsidP="00D902D6">
            <w:pPr>
              <w:rPr>
                <w:sz w:val="20"/>
                <w:szCs w:val="20"/>
              </w:rPr>
            </w:pPr>
            <w:r w:rsidRPr="00944244">
              <w:rPr>
                <w:sz w:val="20"/>
                <w:szCs w:val="20"/>
              </w:rPr>
              <w:t>Topper 2017</w:t>
            </w:r>
          </w:p>
        </w:tc>
        <w:tc>
          <w:tcPr>
            <w:tcW w:w="1278" w:type="dxa"/>
            <w:tcBorders>
              <w:top w:val="nil"/>
              <w:left w:val="single" w:sz="4" w:space="0" w:color="auto"/>
              <w:bottom w:val="single" w:sz="4" w:space="0" w:color="auto"/>
              <w:right w:val="single" w:sz="4" w:space="0" w:color="auto"/>
            </w:tcBorders>
            <w:shd w:val="clear" w:color="000000" w:fill="EDEDED"/>
          </w:tcPr>
          <w:p w14:paraId="1307D6BA" w14:textId="77777777" w:rsidR="00D902D6" w:rsidRPr="00944244" w:rsidRDefault="00D902D6" w:rsidP="00D902D6">
            <w:pPr>
              <w:rPr>
                <w:sz w:val="20"/>
                <w:szCs w:val="20"/>
              </w:rPr>
            </w:pPr>
            <w:r w:rsidRPr="00944244">
              <w:rPr>
                <w:color w:val="000000"/>
                <w:sz w:val="20"/>
                <w:szCs w:val="20"/>
              </w:rPr>
              <w:t xml:space="preserve">Netherlands  </w:t>
            </w:r>
          </w:p>
        </w:tc>
        <w:tc>
          <w:tcPr>
            <w:tcW w:w="1273" w:type="dxa"/>
            <w:tcBorders>
              <w:top w:val="nil"/>
              <w:left w:val="single" w:sz="4" w:space="0" w:color="auto"/>
              <w:bottom w:val="single" w:sz="4" w:space="0" w:color="auto"/>
              <w:right w:val="single" w:sz="4" w:space="0" w:color="auto"/>
            </w:tcBorders>
            <w:shd w:val="clear" w:color="000000" w:fill="FFF2CC"/>
          </w:tcPr>
          <w:p w14:paraId="2EC56175" w14:textId="77777777" w:rsidR="00D902D6" w:rsidRPr="00944244" w:rsidRDefault="00D902D6" w:rsidP="00D902D6">
            <w:pPr>
              <w:rPr>
                <w:sz w:val="20"/>
                <w:szCs w:val="20"/>
              </w:rPr>
            </w:pPr>
            <w:r w:rsidRPr="00944244">
              <w:rPr>
                <w:color w:val="000000"/>
                <w:sz w:val="20"/>
                <w:szCs w:val="20"/>
              </w:rPr>
              <w:t>15 to 22-year-olds</w:t>
            </w:r>
          </w:p>
        </w:tc>
        <w:tc>
          <w:tcPr>
            <w:tcW w:w="2977" w:type="dxa"/>
          </w:tcPr>
          <w:p w14:paraId="65388EB5" w14:textId="77777777" w:rsidR="00D902D6" w:rsidRPr="00944244" w:rsidRDefault="00D902D6" w:rsidP="00D902D6">
            <w:pPr>
              <w:rPr>
                <w:sz w:val="20"/>
                <w:szCs w:val="20"/>
              </w:rPr>
            </w:pPr>
            <w:r w:rsidRPr="00944244">
              <w:rPr>
                <w:sz w:val="20"/>
                <w:szCs w:val="20"/>
              </w:rPr>
              <w:t xml:space="preserve">PSWQ above 66th percentile (score </w:t>
            </w:r>
            <w:r>
              <w:rPr>
                <w:sz w:val="20"/>
                <w:szCs w:val="20"/>
              </w:rPr>
              <w:t>47</w:t>
            </w:r>
            <w:r w:rsidRPr="00944244">
              <w:rPr>
                <w:sz w:val="20"/>
                <w:szCs w:val="20"/>
              </w:rPr>
              <w:t>) </w:t>
            </w:r>
          </w:p>
          <w:p w14:paraId="45C7A15A" w14:textId="77777777" w:rsidR="00D902D6" w:rsidRPr="00944244" w:rsidRDefault="00D902D6" w:rsidP="00D902D6">
            <w:pPr>
              <w:rPr>
                <w:sz w:val="20"/>
                <w:szCs w:val="20"/>
              </w:rPr>
            </w:pPr>
          </w:p>
        </w:tc>
        <w:tc>
          <w:tcPr>
            <w:tcW w:w="1134" w:type="dxa"/>
            <w:tcBorders>
              <w:top w:val="nil"/>
              <w:left w:val="single" w:sz="4" w:space="0" w:color="auto"/>
              <w:bottom w:val="single" w:sz="4" w:space="0" w:color="auto"/>
              <w:right w:val="single" w:sz="4" w:space="0" w:color="auto"/>
            </w:tcBorders>
            <w:shd w:val="clear" w:color="000000" w:fill="FFF2CC"/>
          </w:tcPr>
          <w:p w14:paraId="1685CD3E" w14:textId="77777777" w:rsidR="00D902D6" w:rsidRPr="00944244" w:rsidRDefault="00D902D6" w:rsidP="00D902D6">
            <w:pPr>
              <w:rPr>
                <w:color w:val="000000"/>
                <w:sz w:val="20"/>
                <w:szCs w:val="20"/>
              </w:rPr>
            </w:pPr>
            <w:r w:rsidRPr="00944244">
              <w:rPr>
                <w:color w:val="000000"/>
                <w:sz w:val="20"/>
                <w:szCs w:val="20"/>
              </w:rPr>
              <w:t>251</w:t>
            </w:r>
          </w:p>
        </w:tc>
        <w:tc>
          <w:tcPr>
            <w:tcW w:w="992" w:type="dxa"/>
            <w:tcBorders>
              <w:top w:val="nil"/>
              <w:left w:val="single" w:sz="4" w:space="0" w:color="auto"/>
              <w:bottom w:val="single" w:sz="4" w:space="0" w:color="auto"/>
              <w:right w:val="single" w:sz="4" w:space="0" w:color="auto"/>
            </w:tcBorders>
            <w:shd w:val="clear" w:color="000000" w:fill="FFF2CC"/>
          </w:tcPr>
          <w:p w14:paraId="261F8B4F" w14:textId="77777777" w:rsidR="00D902D6" w:rsidRPr="00944244" w:rsidRDefault="00D902D6" w:rsidP="00D902D6">
            <w:pPr>
              <w:rPr>
                <w:color w:val="000000"/>
                <w:sz w:val="20"/>
                <w:szCs w:val="20"/>
              </w:rPr>
            </w:pPr>
            <w:r w:rsidRPr="00944244">
              <w:rPr>
                <w:color w:val="000000"/>
                <w:sz w:val="20"/>
                <w:szCs w:val="20"/>
              </w:rPr>
              <w:t>218</w:t>
            </w:r>
          </w:p>
        </w:tc>
        <w:tc>
          <w:tcPr>
            <w:tcW w:w="1276" w:type="dxa"/>
          </w:tcPr>
          <w:p w14:paraId="233009A0" w14:textId="77777777" w:rsidR="00D902D6" w:rsidRPr="00944244" w:rsidRDefault="00D902D6" w:rsidP="00D902D6">
            <w:pPr>
              <w:contextualSpacing/>
              <w:rPr>
                <w:bCs/>
                <w:sz w:val="20"/>
                <w:szCs w:val="20"/>
              </w:rPr>
            </w:pPr>
            <w:r w:rsidRPr="00944244">
              <w:rPr>
                <w:bCs/>
                <w:sz w:val="20"/>
                <w:szCs w:val="20"/>
              </w:rPr>
              <w:t>8</w:t>
            </w:r>
            <w:r>
              <w:rPr>
                <w:bCs/>
                <w:sz w:val="20"/>
                <w:szCs w:val="20"/>
              </w:rPr>
              <w:t>-</w:t>
            </w:r>
            <w:r w:rsidRPr="00944244">
              <w:rPr>
                <w:bCs/>
                <w:sz w:val="20"/>
                <w:szCs w:val="20"/>
              </w:rPr>
              <w:t>10 weeks</w:t>
            </w:r>
          </w:p>
          <w:p w14:paraId="04EE143F" w14:textId="77777777" w:rsidR="00D902D6" w:rsidRPr="00944244" w:rsidRDefault="00D902D6" w:rsidP="00D902D6">
            <w:pPr>
              <w:contextualSpacing/>
              <w:rPr>
                <w:bCs/>
                <w:sz w:val="20"/>
                <w:szCs w:val="20"/>
              </w:rPr>
            </w:pPr>
            <w:r w:rsidRPr="00944244">
              <w:rPr>
                <w:bCs/>
                <w:sz w:val="20"/>
                <w:szCs w:val="20"/>
              </w:rPr>
              <w:t>3 months</w:t>
            </w:r>
          </w:p>
          <w:p w14:paraId="3C8B758D" w14:textId="77777777" w:rsidR="00D902D6" w:rsidRPr="00944244" w:rsidRDefault="00D902D6" w:rsidP="00D902D6">
            <w:pPr>
              <w:rPr>
                <w:sz w:val="20"/>
                <w:szCs w:val="20"/>
              </w:rPr>
            </w:pPr>
            <w:r w:rsidRPr="00944244">
              <w:rPr>
                <w:bCs/>
                <w:sz w:val="20"/>
                <w:szCs w:val="20"/>
              </w:rPr>
              <w:t>12 months</w:t>
            </w:r>
          </w:p>
        </w:tc>
        <w:tc>
          <w:tcPr>
            <w:tcW w:w="2693" w:type="dxa"/>
          </w:tcPr>
          <w:p w14:paraId="4D2972B2" w14:textId="77777777" w:rsidR="00D902D6" w:rsidRPr="00944244" w:rsidRDefault="00D902D6" w:rsidP="00D902D6">
            <w:pPr>
              <w:contextualSpacing/>
              <w:rPr>
                <w:sz w:val="20"/>
                <w:szCs w:val="20"/>
              </w:rPr>
            </w:pPr>
            <w:r w:rsidRPr="00944244">
              <w:rPr>
                <w:sz w:val="20"/>
                <w:szCs w:val="20"/>
              </w:rPr>
              <w:t>PSWQ</w:t>
            </w:r>
            <w:r>
              <w:rPr>
                <w:sz w:val="20"/>
                <w:szCs w:val="20"/>
              </w:rPr>
              <w:t>,</w:t>
            </w:r>
            <w:r w:rsidRPr="00944244">
              <w:rPr>
                <w:noProof/>
                <w:sz w:val="20"/>
                <w:szCs w:val="20"/>
              </w:rPr>
              <w:t xml:space="preserve"> BDI-II</w:t>
            </w:r>
            <w:r w:rsidRPr="00944244">
              <w:rPr>
                <w:sz w:val="20"/>
                <w:szCs w:val="20"/>
              </w:rPr>
              <w:t xml:space="preserve">, </w:t>
            </w:r>
            <w:r w:rsidRPr="00944244">
              <w:rPr>
                <w:noProof/>
                <w:sz w:val="20"/>
                <w:szCs w:val="20"/>
              </w:rPr>
              <w:t>EDI-2-BU</w:t>
            </w:r>
            <w:r w:rsidRPr="00944244">
              <w:rPr>
                <w:sz w:val="20"/>
                <w:szCs w:val="20"/>
              </w:rPr>
              <w:t>, GAD</w:t>
            </w:r>
            <w:r>
              <w:rPr>
                <w:sz w:val="20"/>
                <w:szCs w:val="20"/>
              </w:rPr>
              <w:t>Q</w:t>
            </w:r>
            <w:r w:rsidRPr="00944244">
              <w:rPr>
                <w:sz w:val="20"/>
                <w:szCs w:val="20"/>
              </w:rPr>
              <w:t>-IV,</w:t>
            </w:r>
            <w:r w:rsidRPr="00944244">
              <w:rPr>
                <w:noProof/>
                <w:sz w:val="20"/>
                <w:szCs w:val="20"/>
              </w:rPr>
              <w:t xml:space="preserve"> MASQ-D30</w:t>
            </w:r>
            <w:r w:rsidRPr="00944244">
              <w:rPr>
                <w:sz w:val="20"/>
                <w:szCs w:val="20"/>
              </w:rPr>
              <w:t xml:space="preserve">, </w:t>
            </w:r>
            <w:r w:rsidRPr="00944244">
              <w:rPr>
                <w:noProof/>
                <w:sz w:val="20"/>
                <w:szCs w:val="20"/>
              </w:rPr>
              <w:t>PTQ</w:t>
            </w:r>
            <w:r w:rsidRPr="00944244">
              <w:rPr>
                <w:sz w:val="20"/>
                <w:szCs w:val="20"/>
              </w:rPr>
              <w:t xml:space="preserve">, </w:t>
            </w:r>
            <w:r w:rsidRPr="00944244">
              <w:rPr>
                <w:noProof/>
                <w:sz w:val="20"/>
                <w:szCs w:val="20"/>
              </w:rPr>
              <w:t>QDS</w:t>
            </w:r>
            <w:r w:rsidRPr="00944244">
              <w:rPr>
                <w:sz w:val="20"/>
                <w:szCs w:val="20"/>
              </w:rPr>
              <w:t xml:space="preserve">, </w:t>
            </w:r>
            <w:r w:rsidRPr="00944244">
              <w:rPr>
                <w:noProof/>
                <w:sz w:val="20"/>
                <w:szCs w:val="20"/>
              </w:rPr>
              <w:t>RRS</w:t>
            </w:r>
          </w:p>
        </w:tc>
      </w:tr>
    </w:tbl>
    <w:p w14:paraId="12AD7BB8" w14:textId="77777777" w:rsidR="00D902D6" w:rsidRDefault="00D902D6" w:rsidP="00D902D6">
      <w:pPr>
        <w:rPr>
          <w:sz w:val="20"/>
          <w:szCs w:val="20"/>
        </w:rPr>
      </w:pPr>
      <w:r w:rsidRPr="00CB41DC">
        <w:rPr>
          <w:sz w:val="20"/>
          <w:szCs w:val="20"/>
        </w:rPr>
        <w:t xml:space="preserve">* </w:t>
      </w:r>
      <w:r>
        <w:rPr>
          <w:sz w:val="20"/>
          <w:szCs w:val="20"/>
        </w:rPr>
        <w:t>Patients received active intervention at follow-up timepoint.</w:t>
      </w:r>
    </w:p>
    <w:p w14:paraId="246FFAF1" w14:textId="77777777" w:rsidR="00D902D6" w:rsidRPr="00944244" w:rsidRDefault="00D902D6" w:rsidP="00D902D6">
      <w:pPr>
        <w:rPr>
          <w:sz w:val="20"/>
          <w:szCs w:val="20"/>
        </w:rPr>
      </w:pPr>
      <w:r w:rsidRPr="000E6CF4">
        <w:rPr>
          <w:sz w:val="20"/>
          <w:szCs w:val="20"/>
        </w:rPr>
        <w:t>◊</w:t>
      </w:r>
      <w:r>
        <w:rPr>
          <w:sz w:val="20"/>
          <w:szCs w:val="20"/>
        </w:rPr>
        <w:t xml:space="preserve"> Study not included in the meta-analysis because it reported only categorical GAD-7 outcomes. </w:t>
      </w:r>
    </w:p>
    <w:p w14:paraId="76FAB2C2" w14:textId="77777777" w:rsidR="00D902D6" w:rsidRPr="00944244" w:rsidRDefault="00D902D6" w:rsidP="00D902D6">
      <w:pPr>
        <w:rPr>
          <w:sz w:val="20"/>
          <w:szCs w:val="20"/>
        </w:rPr>
      </w:pPr>
      <w:r w:rsidRPr="00944244">
        <w:rPr>
          <w:sz w:val="20"/>
          <w:szCs w:val="20"/>
        </w:rPr>
        <w:t># Outcomes reported separately for GAD sub-group</w:t>
      </w:r>
    </w:p>
    <w:p w14:paraId="0AA8BA0F" w14:textId="77777777" w:rsidR="00D902D6" w:rsidRPr="00944244" w:rsidRDefault="00D902D6" w:rsidP="00D902D6">
      <w:pPr>
        <w:rPr>
          <w:sz w:val="20"/>
          <w:szCs w:val="20"/>
        </w:rPr>
      </w:pPr>
      <w:r w:rsidRPr="00944244">
        <w:rPr>
          <w:sz w:val="20"/>
          <w:szCs w:val="20"/>
        </w:rPr>
        <w:t>## Outcomes reported for the whole mixed sample of common mental health problems but all participants scored GAD7&gt;6</w:t>
      </w:r>
    </w:p>
    <w:p w14:paraId="05F6956A" w14:textId="77777777" w:rsidR="00D902D6" w:rsidRDefault="00D902D6" w:rsidP="00D902D6">
      <w:pPr>
        <w:rPr>
          <w:sz w:val="20"/>
          <w:szCs w:val="20"/>
        </w:rPr>
      </w:pPr>
      <w:r w:rsidRPr="00944244">
        <w:rPr>
          <w:sz w:val="20"/>
          <w:szCs w:val="20"/>
        </w:rPr>
        <w:t xml:space="preserve">~ Outcomes reported separately for mild GAD sub-group (4&lt;GAD7&lt;10) </w:t>
      </w:r>
    </w:p>
    <w:p w14:paraId="0776D100" w14:textId="77777777" w:rsidR="00D902D6" w:rsidRDefault="00D902D6" w:rsidP="00CD4AB7">
      <w:pPr>
        <w:rPr>
          <w:sz w:val="20"/>
          <w:szCs w:val="20"/>
        </w:rPr>
      </w:pPr>
      <w:r>
        <w:rPr>
          <w:sz w:val="20"/>
          <w:szCs w:val="20"/>
        </w:rPr>
        <w:t xml:space="preserve">++ For the full measure names corresponding to the acronyms, see appendix E. </w:t>
      </w:r>
    </w:p>
    <w:p w14:paraId="56C54465" w14:textId="77777777" w:rsidR="00D902D6" w:rsidRDefault="00D902D6" w:rsidP="00CD4AB7">
      <w:pPr>
        <w:rPr>
          <w:sz w:val="20"/>
          <w:szCs w:val="20"/>
        </w:rPr>
      </w:pPr>
    </w:p>
    <w:p w14:paraId="454AD7F4" w14:textId="77777777" w:rsidR="00D902D6" w:rsidRDefault="00D902D6" w:rsidP="00CD4AB7">
      <w:pPr>
        <w:rPr>
          <w:sz w:val="20"/>
          <w:szCs w:val="20"/>
        </w:rPr>
      </w:pPr>
      <w:r>
        <w:rPr>
          <w:sz w:val="20"/>
          <w:szCs w:val="20"/>
        </w:rPr>
        <w:br w:type="page"/>
      </w:r>
    </w:p>
    <w:p w14:paraId="1C14DFB8" w14:textId="1DA7B155" w:rsidR="00D902D6" w:rsidRPr="00D902D6" w:rsidRDefault="00D902D6" w:rsidP="00CD4AB7">
      <w:pPr>
        <w:rPr>
          <w:sz w:val="20"/>
          <w:szCs w:val="20"/>
        </w:rPr>
        <w:sectPr w:rsidR="00D902D6" w:rsidRPr="00D902D6" w:rsidSect="00D902D6">
          <w:pgSz w:w="16838" w:h="11906" w:orient="landscape"/>
          <w:pgMar w:top="1797" w:right="1440" w:bottom="1797" w:left="1440" w:header="709" w:footer="709" w:gutter="0"/>
          <w:cols w:space="708"/>
          <w:docGrid w:linePitch="360"/>
        </w:sectPr>
      </w:pPr>
    </w:p>
    <w:p w14:paraId="18912AC3" w14:textId="77777777" w:rsidR="00D902D6" w:rsidRDefault="00D902D6" w:rsidP="00D902D6">
      <w:pPr>
        <w:rPr>
          <w:b/>
          <w:bCs/>
        </w:rPr>
      </w:pPr>
      <w:r w:rsidRPr="007E1586">
        <w:rPr>
          <w:b/>
          <w:bCs/>
        </w:rPr>
        <w:t xml:space="preserve">Table 2 – Characteristics and classifications of interventions and controls in </w:t>
      </w:r>
      <w:r>
        <w:rPr>
          <w:b/>
          <w:bCs/>
        </w:rPr>
        <w:t>RCTs of digital interventions for GAD</w:t>
      </w:r>
    </w:p>
    <w:p w14:paraId="14223776" w14:textId="77777777" w:rsidR="00D902D6" w:rsidRDefault="00D902D6" w:rsidP="00D902D6">
      <w:pPr>
        <w:jc w:val="center"/>
        <w:rPr>
          <w:b/>
          <w:bCs/>
        </w:rPr>
      </w:pPr>
    </w:p>
    <w:tbl>
      <w:tblPr>
        <w:tblW w:w="13745" w:type="dxa"/>
        <w:tblLayout w:type="fixed"/>
        <w:tblLook w:val="04A0" w:firstRow="1" w:lastRow="0" w:firstColumn="1" w:lastColumn="0" w:noHBand="0" w:noVBand="1"/>
      </w:tblPr>
      <w:tblGrid>
        <w:gridCol w:w="2104"/>
        <w:gridCol w:w="10082"/>
        <w:gridCol w:w="1559"/>
      </w:tblGrid>
      <w:tr w:rsidR="00D902D6" w:rsidRPr="001B4880" w14:paraId="301600F2" w14:textId="77777777" w:rsidTr="00EB6127">
        <w:trPr>
          <w:trHeight w:val="643"/>
          <w:tblHeader/>
        </w:trPr>
        <w:tc>
          <w:tcPr>
            <w:tcW w:w="2104" w:type="dxa"/>
            <w:tcBorders>
              <w:top w:val="single" w:sz="4" w:space="0" w:color="000000"/>
              <w:left w:val="single" w:sz="4" w:space="0" w:color="000000"/>
              <w:bottom w:val="single" w:sz="4" w:space="0" w:color="auto"/>
            </w:tcBorders>
            <w:shd w:val="clear" w:color="000000" w:fill="FFFFFF"/>
          </w:tcPr>
          <w:p w14:paraId="7FB65B51" w14:textId="77777777" w:rsidR="00D902D6" w:rsidRPr="00D902D6" w:rsidRDefault="00D902D6" w:rsidP="00D902D6">
            <w:pPr>
              <w:jc w:val="center"/>
              <w:rPr>
                <w:b/>
                <w:color w:val="000000"/>
                <w:sz w:val="20"/>
                <w:szCs w:val="20"/>
              </w:rPr>
            </w:pPr>
            <w:r w:rsidRPr="00D902D6">
              <w:rPr>
                <w:b/>
                <w:color w:val="000000"/>
                <w:sz w:val="20"/>
                <w:szCs w:val="20"/>
              </w:rPr>
              <w:t xml:space="preserve">Study </w:t>
            </w:r>
          </w:p>
          <w:p w14:paraId="11DA2E23" w14:textId="77777777" w:rsidR="00D902D6" w:rsidRPr="00D902D6" w:rsidRDefault="00D902D6" w:rsidP="00D902D6">
            <w:pPr>
              <w:jc w:val="center"/>
              <w:rPr>
                <w:b/>
                <w:color w:val="000000"/>
                <w:sz w:val="20"/>
                <w:szCs w:val="20"/>
              </w:rPr>
            </w:pPr>
          </w:p>
        </w:tc>
        <w:tc>
          <w:tcPr>
            <w:tcW w:w="10082" w:type="dxa"/>
            <w:tcBorders>
              <w:top w:val="single" w:sz="4" w:space="0" w:color="000000"/>
              <w:bottom w:val="single" w:sz="4" w:space="0" w:color="auto"/>
              <w:right w:val="single" w:sz="4" w:space="0" w:color="auto"/>
            </w:tcBorders>
            <w:shd w:val="clear" w:color="000000" w:fill="FFFFFF"/>
          </w:tcPr>
          <w:p w14:paraId="7A28A3FE" w14:textId="77777777" w:rsidR="00D902D6" w:rsidRPr="00D902D6" w:rsidRDefault="00D902D6" w:rsidP="00D902D6">
            <w:pPr>
              <w:jc w:val="center"/>
              <w:rPr>
                <w:b/>
                <w:color w:val="000000"/>
                <w:sz w:val="20"/>
                <w:szCs w:val="20"/>
              </w:rPr>
            </w:pPr>
            <w:r w:rsidRPr="00D902D6">
              <w:rPr>
                <w:b/>
                <w:color w:val="000000"/>
                <w:sz w:val="20"/>
                <w:szCs w:val="20"/>
              </w:rPr>
              <w:t>Intervention or Control Description</w:t>
            </w:r>
          </w:p>
          <w:p w14:paraId="042838B8" w14:textId="77777777" w:rsidR="00D902D6" w:rsidRPr="00D902D6" w:rsidRDefault="00D902D6" w:rsidP="00D902D6">
            <w:pPr>
              <w:jc w:val="center"/>
              <w:rPr>
                <w:bCs/>
                <w:color w:val="000000"/>
                <w:sz w:val="20"/>
                <w:szCs w:val="20"/>
              </w:rPr>
            </w:pPr>
            <w:r w:rsidRPr="00D902D6">
              <w:rPr>
                <w:bCs/>
                <w:color w:val="000000"/>
                <w:sz w:val="20"/>
                <w:szCs w:val="20"/>
              </w:rPr>
              <w:t>(mode of delivery, therapy/control method, type of interpersonal contact/support)</w:t>
            </w:r>
          </w:p>
        </w:tc>
        <w:tc>
          <w:tcPr>
            <w:tcW w:w="1559" w:type="dxa"/>
            <w:tcBorders>
              <w:top w:val="single" w:sz="4" w:space="0" w:color="000000"/>
              <w:left w:val="single" w:sz="4" w:space="0" w:color="auto"/>
              <w:bottom w:val="single" w:sz="4" w:space="0" w:color="auto"/>
              <w:right w:val="single" w:sz="4" w:space="0" w:color="auto"/>
            </w:tcBorders>
            <w:shd w:val="clear" w:color="auto" w:fill="FFFFFF" w:themeFill="background1"/>
          </w:tcPr>
          <w:p w14:paraId="16149E9F" w14:textId="77777777" w:rsidR="00D902D6" w:rsidRPr="00D902D6" w:rsidRDefault="00D902D6" w:rsidP="00D902D6">
            <w:pPr>
              <w:rPr>
                <w:b/>
                <w:color w:val="000000"/>
                <w:sz w:val="20"/>
                <w:szCs w:val="20"/>
              </w:rPr>
            </w:pPr>
            <w:r w:rsidRPr="00D902D6">
              <w:rPr>
                <w:b/>
                <w:color w:val="000000"/>
                <w:sz w:val="20"/>
                <w:szCs w:val="20"/>
              </w:rPr>
              <w:t>Classification</w:t>
            </w:r>
          </w:p>
        </w:tc>
      </w:tr>
      <w:tr w:rsidR="00D902D6" w:rsidRPr="001B4880" w14:paraId="020BCA8C" w14:textId="77777777" w:rsidTr="00EB6127">
        <w:trPr>
          <w:trHeight w:val="35"/>
        </w:trPr>
        <w:tc>
          <w:tcPr>
            <w:tcW w:w="2104" w:type="dxa"/>
            <w:tcBorders>
              <w:top w:val="single" w:sz="18" w:space="0" w:color="000000"/>
              <w:left w:val="single" w:sz="4" w:space="0" w:color="000000"/>
              <w:right w:val="nil"/>
            </w:tcBorders>
            <w:shd w:val="clear" w:color="FFFFFF" w:fill="FFFFFF"/>
            <w:hideMark/>
          </w:tcPr>
          <w:p w14:paraId="572F0CD1" w14:textId="77777777" w:rsidR="00D902D6" w:rsidRPr="00D902D6" w:rsidRDefault="00D902D6" w:rsidP="00D902D6">
            <w:pPr>
              <w:rPr>
                <w:color w:val="000000"/>
                <w:sz w:val="20"/>
                <w:szCs w:val="20"/>
              </w:rPr>
            </w:pPr>
            <w:r w:rsidRPr="00D902D6">
              <w:rPr>
                <w:color w:val="000000"/>
                <w:sz w:val="20"/>
                <w:szCs w:val="20"/>
              </w:rPr>
              <w:t>Andersson 2012</w:t>
            </w:r>
          </w:p>
        </w:tc>
        <w:tc>
          <w:tcPr>
            <w:tcW w:w="10082" w:type="dxa"/>
            <w:tcBorders>
              <w:top w:val="single" w:sz="18" w:space="0" w:color="000000"/>
              <w:left w:val="nil"/>
              <w:right w:val="single" w:sz="4" w:space="0" w:color="auto"/>
            </w:tcBorders>
            <w:shd w:val="clear" w:color="FFFFFF" w:fill="FFFFFF"/>
            <w:hideMark/>
          </w:tcPr>
          <w:p w14:paraId="430BA403" w14:textId="77777777" w:rsidR="00D902D6" w:rsidRPr="00D902D6" w:rsidRDefault="00D902D6" w:rsidP="00D902D6">
            <w:pPr>
              <w:pStyle w:val="ListParagraph"/>
              <w:numPr>
                <w:ilvl w:val="0"/>
                <w:numId w:val="25"/>
              </w:numPr>
              <w:rPr>
                <w:color w:val="000000"/>
                <w:sz w:val="20"/>
                <w:szCs w:val="20"/>
              </w:rPr>
            </w:pPr>
            <w:r w:rsidRPr="00D902D6">
              <w:rPr>
                <w:color w:val="000000"/>
                <w:sz w:val="20"/>
                <w:szCs w:val="20"/>
              </w:rPr>
              <w:t>Web-based psychodynamic therapy + weekly online support by psychology students/qualified psychologist</w:t>
            </w:r>
          </w:p>
        </w:tc>
        <w:tc>
          <w:tcPr>
            <w:tcW w:w="1559" w:type="dxa"/>
            <w:tcBorders>
              <w:top w:val="single" w:sz="18" w:space="0" w:color="000000"/>
              <w:left w:val="single" w:sz="4" w:space="0" w:color="auto"/>
              <w:right w:val="single" w:sz="4" w:space="0" w:color="auto"/>
            </w:tcBorders>
            <w:shd w:val="clear" w:color="auto" w:fill="FFFFFF" w:themeFill="background1"/>
          </w:tcPr>
          <w:p w14:paraId="309FEB1F" w14:textId="77777777" w:rsidR="00D902D6" w:rsidRPr="00D902D6" w:rsidRDefault="00D902D6" w:rsidP="00D902D6">
            <w:pPr>
              <w:rPr>
                <w:color w:val="FF0000"/>
                <w:sz w:val="20"/>
                <w:szCs w:val="20"/>
              </w:rPr>
            </w:pPr>
            <w:r w:rsidRPr="00D902D6">
              <w:rPr>
                <w:color w:val="000000"/>
                <w:sz w:val="20"/>
                <w:szCs w:val="20"/>
              </w:rPr>
              <w:t xml:space="preserve">SDI </w:t>
            </w:r>
          </w:p>
        </w:tc>
      </w:tr>
      <w:tr w:rsidR="00D902D6" w:rsidRPr="001B4880" w14:paraId="1417FD11" w14:textId="77777777" w:rsidTr="00EB6127">
        <w:trPr>
          <w:trHeight w:val="80"/>
        </w:trPr>
        <w:tc>
          <w:tcPr>
            <w:tcW w:w="2104" w:type="dxa"/>
            <w:tcBorders>
              <w:left w:val="single" w:sz="4" w:space="0" w:color="000000"/>
              <w:right w:val="nil"/>
            </w:tcBorders>
            <w:shd w:val="clear" w:color="FFFFFF" w:fill="FFFFFF"/>
          </w:tcPr>
          <w:p w14:paraId="19661EE0" w14:textId="77777777" w:rsidR="00D902D6" w:rsidRPr="00D902D6" w:rsidRDefault="00D902D6" w:rsidP="00D902D6">
            <w:pPr>
              <w:rPr>
                <w:color w:val="000000"/>
                <w:sz w:val="20"/>
                <w:szCs w:val="20"/>
              </w:rPr>
            </w:pPr>
          </w:p>
        </w:tc>
        <w:tc>
          <w:tcPr>
            <w:tcW w:w="10082" w:type="dxa"/>
            <w:tcBorders>
              <w:left w:val="nil"/>
              <w:right w:val="single" w:sz="4" w:space="0" w:color="auto"/>
            </w:tcBorders>
            <w:shd w:val="clear" w:color="FFFFFF" w:fill="FFFFFF"/>
            <w:hideMark/>
          </w:tcPr>
          <w:p w14:paraId="7DBB2BD3" w14:textId="77777777" w:rsidR="00D902D6" w:rsidRPr="00D902D6" w:rsidRDefault="00D902D6" w:rsidP="00D902D6">
            <w:pPr>
              <w:pStyle w:val="ListParagraph"/>
              <w:numPr>
                <w:ilvl w:val="0"/>
                <w:numId w:val="25"/>
              </w:numPr>
              <w:rPr>
                <w:color w:val="000000"/>
                <w:sz w:val="20"/>
                <w:szCs w:val="20"/>
              </w:rPr>
            </w:pPr>
            <w:r w:rsidRPr="00D902D6">
              <w:rPr>
                <w:color w:val="000000"/>
                <w:sz w:val="20"/>
                <w:szCs w:val="20"/>
              </w:rPr>
              <w:t>Web-based CBT + weekly online support by psychology students/qualified psychologists</w:t>
            </w:r>
          </w:p>
        </w:tc>
        <w:tc>
          <w:tcPr>
            <w:tcW w:w="1559" w:type="dxa"/>
            <w:tcBorders>
              <w:left w:val="single" w:sz="4" w:space="0" w:color="auto"/>
              <w:right w:val="single" w:sz="4" w:space="0" w:color="auto"/>
            </w:tcBorders>
            <w:shd w:val="clear" w:color="auto" w:fill="FFFFFF" w:themeFill="background1"/>
          </w:tcPr>
          <w:p w14:paraId="108D3431" w14:textId="77777777" w:rsidR="00D902D6" w:rsidRPr="00D902D6" w:rsidRDefault="00D902D6" w:rsidP="00D902D6">
            <w:pPr>
              <w:rPr>
                <w:color w:val="FF0000"/>
                <w:sz w:val="20"/>
                <w:szCs w:val="20"/>
              </w:rPr>
            </w:pPr>
            <w:r w:rsidRPr="00D902D6">
              <w:rPr>
                <w:color w:val="000000"/>
                <w:sz w:val="20"/>
                <w:szCs w:val="20"/>
              </w:rPr>
              <w:t>SDI</w:t>
            </w:r>
          </w:p>
        </w:tc>
      </w:tr>
      <w:tr w:rsidR="00D902D6" w:rsidRPr="001B4880" w14:paraId="2121E481" w14:textId="77777777" w:rsidTr="00EB6127">
        <w:trPr>
          <w:trHeight w:val="300"/>
        </w:trPr>
        <w:tc>
          <w:tcPr>
            <w:tcW w:w="2104" w:type="dxa"/>
            <w:tcBorders>
              <w:left w:val="single" w:sz="4" w:space="0" w:color="000000"/>
              <w:bottom w:val="single" w:sz="12" w:space="0" w:color="000000"/>
              <w:right w:val="nil"/>
            </w:tcBorders>
            <w:shd w:val="clear" w:color="FFFFFF" w:fill="FFFFFF"/>
          </w:tcPr>
          <w:p w14:paraId="775430AA" w14:textId="77777777" w:rsidR="00D902D6" w:rsidRPr="00D902D6" w:rsidRDefault="00D902D6" w:rsidP="00D902D6">
            <w:pPr>
              <w:rPr>
                <w:color w:val="000000"/>
                <w:sz w:val="20"/>
                <w:szCs w:val="20"/>
              </w:rPr>
            </w:pPr>
          </w:p>
        </w:tc>
        <w:tc>
          <w:tcPr>
            <w:tcW w:w="10082" w:type="dxa"/>
            <w:tcBorders>
              <w:left w:val="nil"/>
              <w:bottom w:val="single" w:sz="12" w:space="0" w:color="000000"/>
              <w:right w:val="single" w:sz="4" w:space="0" w:color="auto"/>
            </w:tcBorders>
            <w:shd w:val="clear" w:color="FFFFFF" w:fill="FFFFFF"/>
            <w:hideMark/>
          </w:tcPr>
          <w:p w14:paraId="73DBF280" w14:textId="77777777" w:rsidR="00D902D6" w:rsidRPr="00D902D6" w:rsidRDefault="00D902D6" w:rsidP="00D902D6">
            <w:pPr>
              <w:pStyle w:val="ListParagraph"/>
              <w:numPr>
                <w:ilvl w:val="0"/>
                <w:numId w:val="25"/>
              </w:numPr>
              <w:rPr>
                <w:color w:val="000000"/>
                <w:sz w:val="20"/>
                <w:szCs w:val="20"/>
              </w:rPr>
            </w:pPr>
            <w:r w:rsidRPr="00D902D6">
              <w:rPr>
                <w:color w:val="000000"/>
                <w:sz w:val="20"/>
                <w:szCs w:val="20"/>
              </w:rPr>
              <w:t>Waiting list  (crossover to web-based CBT at 3-months).</w:t>
            </w:r>
          </w:p>
        </w:tc>
        <w:tc>
          <w:tcPr>
            <w:tcW w:w="1559" w:type="dxa"/>
            <w:tcBorders>
              <w:left w:val="single" w:sz="4" w:space="0" w:color="auto"/>
              <w:bottom w:val="single" w:sz="12" w:space="0" w:color="000000"/>
              <w:right w:val="single" w:sz="4" w:space="0" w:color="auto"/>
            </w:tcBorders>
            <w:shd w:val="clear" w:color="auto" w:fill="FFFFFF" w:themeFill="background1"/>
          </w:tcPr>
          <w:p w14:paraId="57F3055F" w14:textId="77777777" w:rsidR="00D902D6" w:rsidRPr="00D902D6" w:rsidRDefault="00D902D6" w:rsidP="00D902D6">
            <w:pPr>
              <w:rPr>
                <w:color w:val="000000"/>
                <w:sz w:val="20"/>
                <w:szCs w:val="20"/>
              </w:rPr>
            </w:pPr>
            <w:r w:rsidRPr="00D902D6">
              <w:rPr>
                <w:color w:val="000000"/>
                <w:sz w:val="20"/>
                <w:szCs w:val="20"/>
              </w:rPr>
              <w:t>NI</w:t>
            </w:r>
          </w:p>
        </w:tc>
      </w:tr>
      <w:tr w:rsidR="00D902D6" w:rsidRPr="001B4880" w14:paraId="5D776D27" w14:textId="77777777" w:rsidTr="00EB6127">
        <w:trPr>
          <w:trHeight w:val="50"/>
        </w:trPr>
        <w:tc>
          <w:tcPr>
            <w:tcW w:w="2104" w:type="dxa"/>
            <w:tcBorders>
              <w:top w:val="single" w:sz="12" w:space="0" w:color="000000"/>
              <w:left w:val="single" w:sz="4" w:space="0" w:color="000000"/>
              <w:right w:val="nil"/>
            </w:tcBorders>
            <w:shd w:val="clear" w:color="FFFFFF" w:fill="FFFFFF"/>
            <w:hideMark/>
          </w:tcPr>
          <w:p w14:paraId="2C47FE48" w14:textId="77777777" w:rsidR="00D902D6" w:rsidRPr="00D902D6" w:rsidRDefault="00D902D6" w:rsidP="00D902D6">
            <w:pPr>
              <w:rPr>
                <w:color w:val="000000"/>
                <w:sz w:val="20"/>
                <w:szCs w:val="20"/>
              </w:rPr>
            </w:pPr>
            <w:r w:rsidRPr="00D902D6">
              <w:rPr>
                <w:color w:val="000000"/>
                <w:sz w:val="20"/>
                <w:szCs w:val="20"/>
              </w:rPr>
              <w:t>Andersson 2016</w:t>
            </w:r>
          </w:p>
        </w:tc>
        <w:tc>
          <w:tcPr>
            <w:tcW w:w="10082" w:type="dxa"/>
            <w:tcBorders>
              <w:top w:val="single" w:sz="12" w:space="0" w:color="000000"/>
              <w:left w:val="nil"/>
              <w:right w:val="single" w:sz="4" w:space="0" w:color="auto"/>
            </w:tcBorders>
            <w:shd w:val="clear" w:color="FFFFFF" w:fill="FFFFFF"/>
            <w:hideMark/>
          </w:tcPr>
          <w:p w14:paraId="60F2ECB1" w14:textId="77777777" w:rsidR="00D902D6" w:rsidRPr="00D902D6" w:rsidRDefault="00D902D6" w:rsidP="00D902D6">
            <w:pPr>
              <w:pStyle w:val="ListParagraph"/>
              <w:numPr>
                <w:ilvl w:val="0"/>
                <w:numId w:val="26"/>
              </w:numPr>
              <w:rPr>
                <w:color w:val="000000"/>
                <w:sz w:val="20"/>
                <w:szCs w:val="20"/>
              </w:rPr>
            </w:pPr>
            <w:r w:rsidRPr="00D902D6">
              <w:rPr>
                <w:color w:val="000000"/>
                <w:sz w:val="20"/>
                <w:szCs w:val="20"/>
              </w:rPr>
              <w:t>Web-based extinction therapy + daily online support by psychology students</w:t>
            </w:r>
          </w:p>
        </w:tc>
        <w:tc>
          <w:tcPr>
            <w:tcW w:w="1559" w:type="dxa"/>
            <w:tcBorders>
              <w:top w:val="single" w:sz="12" w:space="0" w:color="000000"/>
              <w:left w:val="single" w:sz="4" w:space="0" w:color="auto"/>
              <w:right w:val="single" w:sz="4" w:space="0" w:color="auto"/>
            </w:tcBorders>
            <w:shd w:val="clear" w:color="auto" w:fill="FFFFFF" w:themeFill="background1"/>
          </w:tcPr>
          <w:p w14:paraId="626F28A7" w14:textId="77777777" w:rsidR="00D902D6" w:rsidRPr="00D902D6" w:rsidRDefault="00D902D6" w:rsidP="00D902D6">
            <w:pPr>
              <w:rPr>
                <w:color w:val="000000"/>
                <w:sz w:val="20"/>
                <w:szCs w:val="20"/>
              </w:rPr>
            </w:pPr>
            <w:r w:rsidRPr="00D902D6">
              <w:rPr>
                <w:color w:val="000000"/>
                <w:sz w:val="20"/>
                <w:szCs w:val="20"/>
              </w:rPr>
              <w:t>SDI</w:t>
            </w:r>
          </w:p>
        </w:tc>
      </w:tr>
      <w:tr w:rsidR="00D902D6" w:rsidRPr="001B4880" w14:paraId="161117B6" w14:textId="77777777" w:rsidTr="00EB6127">
        <w:trPr>
          <w:trHeight w:val="300"/>
        </w:trPr>
        <w:tc>
          <w:tcPr>
            <w:tcW w:w="2104" w:type="dxa"/>
            <w:tcBorders>
              <w:left w:val="single" w:sz="4" w:space="0" w:color="000000"/>
              <w:bottom w:val="single" w:sz="12" w:space="0" w:color="000000"/>
              <w:right w:val="nil"/>
            </w:tcBorders>
            <w:shd w:val="clear" w:color="FFFFFF" w:fill="FFFFFF"/>
            <w:hideMark/>
          </w:tcPr>
          <w:p w14:paraId="49A34CE1" w14:textId="77777777" w:rsidR="00D902D6" w:rsidRPr="00D902D6" w:rsidRDefault="00D902D6" w:rsidP="00D902D6">
            <w:pPr>
              <w:rPr>
                <w:color w:val="000000"/>
                <w:sz w:val="20"/>
                <w:szCs w:val="20"/>
              </w:rPr>
            </w:pPr>
          </w:p>
        </w:tc>
        <w:tc>
          <w:tcPr>
            <w:tcW w:w="10082" w:type="dxa"/>
            <w:tcBorders>
              <w:left w:val="nil"/>
              <w:bottom w:val="single" w:sz="12" w:space="0" w:color="000000"/>
              <w:right w:val="single" w:sz="4" w:space="0" w:color="auto"/>
            </w:tcBorders>
            <w:shd w:val="clear" w:color="FFFFFF" w:fill="FFFFFF"/>
            <w:hideMark/>
          </w:tcPr>
          <w:p w14:paraId="18C93A2B" w14:textId="77777777" w:rsidR="00D902D6" w:rsidRPr="00D902D6" w:rsidRDefault="00D902D6" w:rsidP="00D902D6">
            <w:pPr>
              <w:pStyle w:val="ListParagraph"/>
              <w:numPr>
                <w:ilvl w:val="0"/>
                <w:numId w:val="26"/>
              </w:numPr>
              <w:rPr>
                <w:color w:val="000000"/>
                <w:sz w:val="20"/>
                <w:szCs w:val="20"/>
              </w:rPr>
            </w:pPr>
            <w:r w:rsidRPr="00D902D6">
              <w:rPr>
                <w:color w:val="000000"/>
                <w:sz w:val="20"/>
                <w:szCs w:val="20"/>
              </w:rPr>
              <w:t>Waiting list (+ weekly online</w:t>
            </w:r>
            <w:r w:rsidRPr="00D902D6">
              <w:rPr>
                <w:color w:val="000000"/>
                <w:sz w:val="20"/>
                <w:szCs w:val="20"/>
                <w:vertAlign w:val="superscript"/>
              </w:rPr>
              <w:t>#</w:t>
            </w:r>
            <w:r w:rsidRPr="00D902D6">
              <w:rPr>
                <w:color w:val="000000"/>
                <w:sz w:val="20"/>
                <w:szCs w:val="20"/>
              </w:rPr>
              <w:t xml:space="preserve"> PSWQ ratings and option to phone if symptoms worsen - crossover to web-based extinction therapy at 10 weeks)</w:t>
            </w:r>
          </w:p>
        </w:tc>
        <w:tc>
          <w:tcPr>
            <w:tcW w:w="1559" w:type="dxa"/>
            <w:tcBorders>
              <w:left w:val="single" w:sz="4" w:space="0" w:color="auto"/>
              <w:bottom w:val="single" w:sz="12" w:space="0" w:color="000000"/>
              <w:right w:val="single" w:sz="4" w:space="0" w:color="auto"/>
            </w:tcBorders>
            <w:shd w:val="clear" w:color="auto" w:fill="FFFFFF" w:themeFill="background1"/>
          </w:tcPr>
          <w:p w14:paraId="7AC942B5" w14:textId="77777777" w:rsidR="00D902D6" w:rsidRPr="00D902D6" w:rsidRDefault="00D902D6" w:rsidP="00D902D6">
            <w:pPr>
              <w:rPr>
                <w:color w:val="000000"/>
                <w:sz w:val="20"/>
                <w:szCs w:val="20"/>
              </w:rPr>
            </w:pPr>
            <w:r w:rsidRPr="00D902D6">
              <w:rPr>
                <w:color w:val="000000"/>
                <w:sz w:val="20"/>
                <w:szCs w:val="20"/>
              </w:rPr>
              <w:t>NI</w:t>
            </w:r>
            <w:r w:rsidRPr="00D902D6">
              <w:rPr>
                <w:color w:val="000000"/>
                <w:sz w:val="20"/>
                <w:szCs w:val="20"/>
                <w:vertAlign w:val="superscript"/>
              </w:rPr>
              <w:t>1</w:t>
            </w:r>
          </w:p>
        </w:tc>
      </w:tr>
      <w:tr w:rsidR="00D902D6" w:rsidRPr="001B4880" w14:paraId="734F25D9" w14:textId="77777777" w:rsidTr="00EB6127">
        <w:trPr>
          <w:trHeight w:val="141"/>
        </w:trPr>
        <w:tc>
          <w:tcPr>
            <w:tcW w:w="2104" w:type="dxa"/>
            <w:tcBorders>
              <w:top w:val="single" w:sz="12" w:space="0" w:color="000000"/>
              <w:left w:val="single" w:sz="4" w:space="0" w:color="000000"/>
              <w:right w:val="nil"/>
            </w:tcBorders>
            <w:shd w:val="clear" w:color="FFFFFF" w:fill="FFFFFF"/>
            <w:hideMark/>
          </w:tcPr>
          <w:p w14:paraId="28C761A2" w14:textId="77777777" w:rsidR="00D902D6" w:rsidRPr="00D902D6" w:rsidRDefault="00D902D6" w:rsidP="00D902D6">
            <w:pPr>
              <w:rPr>
                <w:color w:val="000000"/>
                <w:sz w:val="20"/>
                <w:szCs w:val="20"/>
              </w:rPr>
            </w:pPr>
            <w:r w:rsidRPr="00D902D6">
              <w:rPr>
                <w:color w:val="000000"/>
                <w:sz w:val="20"/>
                <w:szCs w:val="20"/>
              </w:rPr>
              <w:t>Christensen 2014a</w:t>
            </w:r>
          </w:p>
        </w:tc>
        <w:tc>
          <w:tcPr>
            <w:tcW w:w="10082" w:type="dxa"/>
            <w:tcBorders>
              <w:top w:val="single" w:sz="12" w:space="0" w:color="000000"/>
              <w:left w:val="nil"/>
              <w:right w:val="single" w:sz="4" w:space="0" w:color="auto"/>
            </w:tcBorders>
            <w:shd w:val="clear" w:color="FFFFFF" w:fill="FFFFFF"/>
            <w:hideMark/>
          </w:tcPr>
          <w:p w14:paraId="03F94664" w14:textId="77777777" w:rsidR="00D902D6" w:rsidRPr="00D902D6" w:rsidRDefault="00D902D6" w:rsidP="00D902D6">
            <w:pPr>
              <w:pStyle w:val="ListParagraph"/>
              <w:numPr>
                <w:ilvl w:val="0"/>
                <w:numId w:val="27"/>
              </w:numPr>
              <w:rPr>
                <w:color w:val="000000"/>
                <w:sz w:val="20"/>
                <w:szCs w:val="20"/>
              </w:rPr>
            </w:pPr>
            <w:r w:rsidRPr="00D902D6">
              <w:rPr>
                <w:color w:val="000000"/>
                <w:sz w:val="20"/>
                <w:szCs w:val="20"/>
              </w:rPr>
              <w:t>Web-based CBT - no interpersonal communication</w:t>
            </w:r>
          </w:p>
        </w:tc>
        <w:tc>
          <w:tcPr>
            <w:tcW w:w="1559" w:type="dxa"/>
            <w:tcBorders>
              <w:top w:val="single" w:sz="12" w:space="0" w:color="000000"/>
              <w:left w:val="single" w:sz="4" w:space="0" w:color="auto"/>
              <w:right w:val="single" w:sz="4" w:space="0" w:color="auto"/>
            </w:tcBorders>
            <w:shd w:val="clear" w:color="auto" w:fill="FFFFFF" w:themeFill="background1"/>
          </w:tcPr>
          <w:p w14:paraId="0D0E2932" w14:textId="77777777" w:rsidR="00D902D6" w:rsidRPr="00D902D6" w:rsidRDefault="00D902D6" w:rsidP="00D902D6">
            <w:pPr>
              <w:rPr>
                <w:color w:val="FF0000"/>
                <w:sz w:val="20"/>
                <w:szCs w:val="20"/>
              </w:rPr>
            </w:pPr>
            <w:r w:rsidRPr="00D902D6">
              <w:rPr>
                <w:color w:val="000000"/>
                <w:sz w:val="20"/>
                <w:szCs w:val="20"/>
              </w:rPr>
              <w:t>UDI</w:t>
            </w:r>
          </w:p>
        </w:tc>
      </w:tr>
      <w:tr w:rsidR="00D902D6" w:rsidRPr="001B4880" w14:paraId="4C52F863" w14:textId="77777777" w:rsidTr="00EB6127">
        <w:trPr>
          <w:trHeight w:val="80"/>
        </w:trPr>
        <w:tc>
          <w:tcPr>
            <w:tcW w:w="2104" w:type="dxa"/>
            <w:tcBorders>
              <w:left w:val="single" w:sz="4" w:space="0" w:color="000000"/>
              <w:right w:val="nil"/>
            </w:tcBorders>
            <w:shd w:val="clear" w:color="FFFFFF" w:fill="FFFFFF"/>
          </w:tcPr>
          <w:p w14:paraId="3E6BE8FF" w14:textId="77777777" w:rsidR="00D902D6" w:rsidRPr="00D902D6" w:rsidRDefault="00D902D6" w:rsidP="00D902D6">
            <w:pPr>
              <w:rPr>
                <w:color w:val="000000"/>
                <w:sz w:val="20"/>
                <w:szCs w:val="20"/>
              </w:rPr>
            </w:pPr>
          </w:p>
        </w:tc>
        <w:tc>
          <w:tcPr>
            <w:tcW w:w="10082" w:type="dxa"/>
            <w:tcBorders>
              <w:left w:val="nil"/>
              <w:right w:val="single" w:sz="4" w:space="0" w:color="auto"/>
            </w:tcBorders>
            <w:shd w:val="clear" w:color="FFFFFF" w:fill="FFFFFF"/>
            <w:hideMark/>
          </w:tcPr>
          <w:p w14:paraId="4CD65F85" w14:textId="77777777" w:rsidR="00D902D6" w:rsidRPr="00D902D6" w:rsidRDefault="00D902D6" w:rsidP="00D902D6">
            <w:pPr>
              <w:pStyle w:val="ListParagraph"/>
              <w:numPr>
                <w:ilvl w:val="0"/>
                <w:numId w:val="27"/>
              </w:numPr>
              <w:rPr>
                <w:color w:val="000000"/>
                <w:sz w:val="20"/>
                <w:szCs w:val="20"/>
              </w:rPr>
            </w:pPr>
            <w:r w:rsidRPr="00D902D6">
              <w:rPr>
                <w:color w:val="000000"/>
                <w:sz w:val="20"/>
                <w:szCs w:val="20"/>
              </w:rPr>
              <w:t>Web-based CBT + weekly phone calls by "casual interviewers"</w:t>
            </w:r>
          </w:p>
        </w:tc>
        <w:tc>
          <w:tcPr>
            <w:tcW w:w="1559" w:type="dxa"/>
            <w:tcBorders>
              <w:left w:val="single" w:sz="4" w:space="0" w:color="auto"/>
              <w:right w:val="single" w:sz="4" w:space="0" w:color="auto"/>
            </w:tcBorders>
            <w:shd w:val="clear" w:color="auto" w:fill="FFFFFF" w:themeFill="background1"/>
          </w:tcPr>
          <w:p w14:paraId="571B45D6" w14:textId="77777777" w:rsidR="00D902D6" w:rsidRPr="00D902D6" w:rsidRDefault="00D902D6" w:rsidP="00D902D6">
            <w:pPr>
              <w:rPr>
                <w:color w:val="000000"/>
                <w:sz w:val="20"/>
                <w:szCs w:val="20"/>
              </w:rPr>
            </w:pPr>
            <w:r w:rsidRPr="00D902D6">
              <w:rPr>
                <w:color w:val="000000"/>
                <w:sz w:val="20"/>
                <w:szCs w:val="20"/>
              </w:rPr>
              <w:t>SDI</w:t>
            </w:r>
          </w:p>
        </w:tc>
      </w:tr>
      <w:tr w:rsidR="00D902D6" w:rsidRPr="001B4880" w14:paraId="35A55AAE" w14:textId="77777777" w:rsidTr="00EB6127">
        <w:trPr>
          <w:trHeight w:val="317"/>
        </w:trPr>
        <w:tc>
          <w:tcPr>
            <w:tcW w:w="2104" w:type="dxa"/>
            <w:tcBorders>
              <w:left w:val="single" w:sz="4" w:space="0" w:color="000000"/>
              <w:right w:val="nil"/>
            </w:tcBorders>
            <w:shd w:val="clear" w:color="FFFFFF" w:fill="FFFFFF"/>
          </w:tcPr>
          <w:p w14:paraId="260FB90B" w14:textId="77777777" w:rsidR="00D902D6" w:rsidRPr="00D902D6" w:rsidRDefault="00D902D6" w:rsidP="00D902D6">
            <w:pPr>
              <w:rPr>
                <w:color w:val="000000"/>
                <w:sz w:val="20"/>
                <w:szCs w:val="20"/>
              </w:rPr>
            </w:pPr>
          </w:p>
        </w:tc>
        <w:tc>
          <w:tcPr>
            <w:tcW w:w="10082" w:type="dxa"/>
            <w:tcBorders>
              <w:left w:val="nil"/>
              <w:right w:val="single" w:sz="4" w:space="0" w:color="auto"/>
            </w:tcBorders>
            <w:shd w:val="clear" w:color="FFFFFF" w:fill="FFFFFF"/>
            <w:hideMark/>
          </w:tcPr>
          <w:p w14:paraId="443AB4FC" w14:textId="77777777" w:rsidR="00D902D6" w:rsidRPr="00D902D6" w:rsidRDefault="00D902D6" w:rsidP="00D902D6">
            <w:pPr>
              <w:pStyle w:val="ListParagraph"/>
              <w:numPr>
                <w:ilvl w:val="0"/>
                <w:numId w:val="27"/>
              </w:numPr>
              <w:rPr>
                <w:color w:val="000000"/>
                <w:sz w:val="20"/>
                <w:szCs w:val="20"/>
              </w:rPr>
            </w:pPr>
            <w:r w:rsidRPr="00D902D6">
              <w:rPr>
                <w:color w:val="000000"/>
                <w:sz w:val="20"/>
                <w:szCs w:val="20"/>
              </w:rPr>
              <w:t>Web-based CBT + weekly reminder email similar in content to phone calls by “casual interviewers” but no two-way communication</w:t>
            </w:r>
          </w:p>
        </w:tc>
        <w:tc>
          <w:tcPr>
            <w:tcW w:w="1559" w:type="dxa"/>
            <w:tcBorders>
              <w:left w:val="single" w:sz="4" w:space="0" w:color="auto"/>
              <w:right w:val="single" w:sz="4" w:space="0" w:color="auto"/>
            </w:tcBorders>
            <w:shd w:val="clear" w:color="auto" w:fill="FFFFFF" w:themeFill="background1"/>
          </w:tcPr>
          <w:p w14:paraId="1B3E0728" w14:textId="77777777" w:rsidR="00D902D6" w:rsidRPr="00D902D6" w:rsidRDefault="00D902D6" w:rsidP="00D902D6">
            <w:pPr>
              <w:rPr>
                <w:color w:val="FF0000"/>
                <w:sz w:val="20"/>
                <w:szCs w:val="20"/>
              </w:rPr>
            </w:pPr>
            <w:r w:rsidRPr="00D902D6">
              <w:rPr>
                <w:color w:val="000000"/>
                <w:sz w:val="20"/>
                <w:szCs w:val="20"/>
              </w:rPr>
              <w:t>UDI</w:t>
            </w:r>
          </w:p>
        </w:tc>
      </w:tr>
      <w:tr w:rsidR="00D902D6" w:rsidRPr="001B4880" w14:paraId="79D41173" w14:textId="77777777" w:rsidTr="00EB6127">
        <w:trPr>
          <w:trHeight w:val="221"/>
        </w:trPr>
        <w:tc>
          <w:tcPr>
            <w:tcW w:w="2104" w:type="dxa"/>
            <w:tcBorders>
              <w:left w:val="single" w:sz="4" w:space="0" w:color="000000"/>
              <w:right w:val="nil"/>
            </w:tcBorders>
            <w:shd w:val="clear" w:color="FFFFFF" w:fill="FFFFFF"/>
          </w:tcPr>
          <w:p w14:paraId="23949430" w14:textId="77777777" w:rsidR="00D902D6" w:rsidRPr="00D902D6" w:rsidRDefault="00D902D6" w:rsidP="00D902D6">
            <w:pPr>
              <w:rPr>
                <w:color w:val="000000"/>
                <w:sz w:val="20"/>
                <w:szCs w:val="20"/>
              </w:rPr>
            </w:pPr>
          </w:p>
        </w:tc>
        <w:tc>
          <w:tcPr>
            <w:tcW w:w="10082" w:type="dxa"/>
            <w:tcBorders>
              <w:left w:val="nil"/>
              <w:right w:val="single" w:sz="4" w:space="0" w:color="auto"/>
            </w:tcBorders>
            <w:shd w:val="clear" w:color="FFFFFF" w:fill="FFFFFF"/>
            <w:hideMark/>
          </w:tcPr>
          <w:p w14:paraId="1605BA26" w14:textId="77777777" w:rsidR="00D902D6" w:rsidRPr="00D902D6" w:rsidRDefault="00D902D6" w:rsidP="00D902D6">
            <w:pPr>
              <w:pStyle w:val="ListParagraph"/>
              <w:numPr>
                <w:ilvl w:val="0"/>
                <w:numId w:val="27"/>
              </w:numPr>
              <w:rPr>
                <w:color w:val="000000"/>
                <w:sz w:val="20"/>
                <w:szCs w:val="20"/>
              </w:rPr>
            </w:pPr>
            <w:r w:rsidRPr="00D902D6">
              <w:rPr>
                <w:color w:val="000000"/>
                <w:sz w:val="20"/>
                <w:szCs w:val="20"/>
              </w:rPr>
              <w:t>Control website (information about general health) - no interpersonal communication</w:t>
            </w:r>
          </w:p>
        </w:tc>
        <w:tc>
          <w:tcPr>
            <w:tcW w:w="1559" w:type="dxa"/>
            <w:tcBorders>
              <w:left w:val="single" w:sz="4" w:space="0" w:color="auto"/>
              <w:right w:val="single" w:sz="4" w:space="0" w:color="auto"/>
            </w:tcBorders>
            <w:shd w:val="clear" w:color="auto" w:fill="FFFFFF" w:themeFill="background1"/>
          </w:tcPr>
          <w:p w14:paraId="74C30CEF" w14:textId="77777777" w:rsidR="00D902D6" w:rsidRPr="00D902D6" w:rsidRDefault="00D902D6" w:rsidP="00D902D6">
            <w:pPr>
              <w:rPr>
                <w:color w:val="000000"/>
                <w:sz w:val="20"/>
                <w:szCs w:val="20"/>
              </w:rPr>
            </w:pPr>
            <w:r w:rsidRPr="00D902D6">
              <w:rPr>
                <w:color w:val="000000"/>
                <w:sz w:val="20"/>
                <w:szCs w:val="20"/>
              </w:rPr>
              <w:t>UDC</w:t>
            </w:r>
          </w:p>
        </w:tc>
      </w:tr>
      <w:tr w:rsidR="00D902D6" w:rsidRPr="001B4880" w14:paraId="2B6804B8" w14:textId="77777777" w:rsidTr="00EB6127">
        <w:trPr>
          <w:trHeight w:val="239"/>
        </w:trPr>
        <w:tc>
          <w:tcPr>
            <w:tcW w:w="2104" w:type="dxa"/>
            <w:tcBorders>
              <w:left w:val="single" w:sz="4" w:space="0" w:color="000000"/>
              <w:bottom w:val="single" w:sz="12" w:space="0" w:color="000000"/>
              <w:right w:val="nil"/>
            </w:tcBorders>
            <w:shd w:val="clear" w:color="FFFFFF" w:fill="FFFFFF"/>
          </w:tcPr>
          <w:p w14:paraId="57AE66E1" w14:textId="77777777" w:rsidR="00D902D6" w:rsidRPr="00D902D6" w:rsidRDefault="00D902D6" w:rsidP="00D902D6">
            <w:pPr>
              <w:rPr>
                <w:color w:val="000000"/>
                <w:sz w:val="20"/>
                <w:szCs w:val="20"/>
              </w:rPr>
            </w:pPr>
          </w:p>
        </w:tc>
        <w:tc>
          <w:tcPr>
            <w:tcW w:w="10082" w:type="dxa"/>
            <w:tcBorders>
              <w:left w:val="nil"/>
              <w:bottom w:val="single" w:sz="12" w:space="0" w:color="000000"/>
              <w:right w:val="single" w:sz="4" w:space="0" w:color="auto"/>
            </w:tcBorders>
            <w:shd w:val="clear" w:color="FFFFFF" w:fill="FFFFFF"/>
            <w:hideMark/>
          </w:tcPr>
          <w:p w14:paraId="58ADBA8D" w14:textId="77777777" w:rsidR="00D902D6" w:rsidRPr="00D902D6" w:rsidRDefault="00D902D6" w:rsidP="00D902D6">
            <w:pPr>
              <w:pStyle w:val="ListParagraph"/>
              <w:numPr>
                <w:ilvl w:val="0"/>
                <w:numId w:val="27"/>
              </w:numPr>
              <w:rPr>
                <w:color w:val="000000"/>
                <w:sz w:val="20"/>
                <w:szCs w:val="20"/>
              </w:rPr>
            </w:pPr>
            <w:r w:rsidRPr="00D902D6">
              <w:rPr>
                <w:color w:val="000000"/>
                <w:sz w:val="20"/>
                <w:szCs w:val="20"/>
              </w:rPr>
              <w:t>Control website (information general health) + weekly phone calls by "casual interviewers"</w:t>
            </w:r>
          </w:p>
        </w:tc>
        <w:tc>
          <w:tcPr>
            <w:tcW w:w="1559" w:type="dxa"/>
            <w:tcBorders>
              <w:left w:val="single" w:sz="4" w:space="0" w:color="auto"/>
              <w:bottom w:val="single" w:sz="12" w:space="0" w:color="000000"/>
              <w:right w:val="single" w:sz="4" w:space="0" w:color="auto"/>
            </w:tcBorders>
            <w:shd w:val="clear" w:color="auto" w:fill="FFFFFF" w:themeFill="background1"/>
          </w:tcPr>
          <w:p w14:paraId="1BDA93E2" w14:textId="77777777" w:rsidR="00D902D6" w:rsidRPr="00D902D6" w:rsidRDefault="00D902D6" w:rsidP="00D902D6">
            <w:pPr>
              <w:rPr>
                <w:color w:val="000000"/>
                <w:sz w:val="20"/>
                <w:szCs w:val="20"/>
              </w:rPr>
            </w:pPr>
            <w:r w:rsidRPr="00D902D6">
              <w:rPr>
                <w:color w:val="000000"/>
                <w:sz w:val="20"/>
                <w:szCs w:val="20"/>
              </w:rPr>
              <w:t>SDC</w:t>
            </w:r>
          </w:p>
        </w:tc>
      </w:tr>
      <w:tr w:rsidR="00D902D6" w:rsidRPr="001B4880" w14:paraId="5382154D" w14:textId="77777777" w:rsidTr="00EB6127">
        <w:trPr>
          <w:trHeight w:val="50"/>
        </w:trPr>
        <w:tc>
          <w:tcPr>
            <w:tcW w:w="2104" w:type="dxa"/>
            <w:tcBorders>
              <w:top w:val="single" w:sz="12" w:space="0" w:color="000000"/>
              <w:left w:val="single" w:sz="4" w:space="0" w:color="000000"/>
              <w:right w:val="nil"/>
            </w:tcBorders>
            <w:shd w:val="clear" w:color="FFFFFF" w:fill="FFFFFF"/>
            <w:hideMark/>
          </w:tcPr>
          <w:p w14:paraId="5089C27C" w14:textId="77777777" w:rsidR="00D902D6" w:rsidRPr="00D902D6" w:rsidRDefault="00D902D6" w:rsidP="00D902D6">
            <w:pPr>
              <w:rPr>
                <w:color w:val="000000"/>
                <w:sz w:val="20"/>
                <w:szCs w:val="20"/>
              </w:rPr>
            </w:pPr>
            <w:r w:rsidRPr="00D902D6">
              <w:rPr>
                <w:color w:val="000000"/>
                <w:sz w:val="20"/>
                <w:szCs w:val="20"/>
              </w:rPr>
              <w:t>Christensen 2014b</w:t>
            </w:r>
          </w:p>
        </w:tc>
        <w:tc>
          <w:tcPr>
            <w:tcW w:w="10082" w:type="dxa"/>
            <w:tcBorders>
              <w:top w:val="single" w:sz="12" w:space="0" w:color="000000"/>
              <w:left w:val="nil"/>
              <w:right w:val="single" w:sz="4" w:space="0" w:color="auto"/>
            </w:tcBorders>
            <w:shd w:val="clear" w:color="FFFFFF" w:fill="FFFFFF"/>
            <w:hideMark/>
          </w:tcPr>
          <w:p w14:paraId="4FF6FF5D" w14:textId="77777777" w:rsidR="00D902D6" w:rsidRPr="00D902D6" w:rsidRDefault="00D902D6" w:rsidP="00D902D6">
            <w:pPr>
              <w:pStyle w:val="ListParagraph"/>
              <w:numPr>
                <w:ilvl w:val="0"/>
                <w:numId w:val="28"/>
              </w:numPr>
              <w:rPr>
                <w:color w:val="000000"/>
                <w:sz w:val="20"/>
                <w:szCs w:val="20"/>
              </w:rPr>
            </w:pPr>
            <w:r w:rsidRPr="00D902D6">
              <w:rPr>
                <w:color w:val="000000"/>
                <w:sz w:val="20"/>
                <w:szCs w:val="20"/>
              </w:rPr>
              <w:t>Web-based CBT + scheduled on-site meetings with psychologists/GPs</w:t>
            </w:r>
          </w:p>
        </w:tc>
        <w:tc>
          <w:tcPr>
            <w:tcW w:w="1559" w:type="dxa"/>
            <w:tcBorders>
              <w:top w:val="single" w:sz="12" w:space="0" w:color="000000"/>
              <w:left w:val="single" w:sz="4" w:space="0" w:color="auto"/>
              <w:right w:val="single" w:sz="4" w:space="0" w:color="auto"/>
            </w:tcBorders>
            <w:shd w:val="clear" w:color="auto" w:fill="FFFFFF" w:themeFill="background1"/>
          </w:tcPr>
          <w:p w14:paraId="51AF7757" w14:textId="77777777" w:rsidR="00D902D6" w:rsidRPr="00D902D6" w:rsidRDefault="00D902D6" w:rsidP="00D902D6">
            <w:pPr>
              <w:rPr>
                <w:color w:val="000000"/>
                <w:sz w:val="20"/>
                <w:szCs w:val="20"/>
              </w:rPr>
            </w:pPr>
            <w:r w:rsidRPr="00D902D6">
              <w:rPr>
                <w:color w:val="000000"/>
                <w:sz w:val="20"/>
                <w:szCs w:val="20"/>
              </w:rPr>
              <w:t>SDI</w:t>
            </w:r>
          </w:p>
        </w:tc>
      </w:tr>
      <w:tr w:rsidR="00D902D6" w:rsidRPr="001B4880" w14:paraId="366864C0" w14:textId="77777777" w:rsidTr="00EB6127">
        <w:trPr>
          <w:trHeight w:val="89"/>
        </w:trPr>
        <w:tc>
          <w:tcPr>
            <w:tcW w:w="2104" w:type="dxa"/>
            <w:tcBorders>
              <w:left w:val="single" w:sz="4" w:space="0" w:color="000000"/>
              <w:right w:val="nil"/>
            </w:tcBorders>
            <w:shd w:val="clear" w:color="FFFFFF" w:fill="FFFFFF"/>
          </w:tcPr>
          <w:p w14:paraId="40781CDD" w14:textId="77777777" w:rsidR="00D902D6" w:rsidRPr="00D902D6" w:rsidRDefault="00D902D6" w:rsidP="00D902D6">
            <w:pPr>
              <w:rPr>
                <w:color w:val="000000"/>
                <w:sz w:val="20"/>
                <w:szCs w:val="20"/>
              </w:rPr>
            </w:pPr>
          </w:p>
        </w:tc>
        <w:tc>
          <w:tcPr>
            <w:tcW w:w="10082" w:type="dxa"/>
            <w:tcBorders>
              <w:left w:val="nil"/>
              <w:right w:val="single" w:sz="4" w:space="0" w:color="auto"/>
            </w:tcBorders>
            <w:shd w:val="clear" w:color="FFFFFF" w:fill="FFFFFF"/>
            <w:hideMark/>
          </w:tcPr>
          <w:p w14:paraId="5AF827B8" w14:textId="77777777" w:rsidR="00D902D6" w:rsidRPr="00D902D6" w:rsidRDefault="00D902D6" w:rsidP="00D902D6">
            <w:pPr>
              <w:pStyle w:val="ListParagraph"/>
              <w:numPr>
                <w:ilvl w:val="0"/>
                <w:numId w:val="28"/>
              </w:numPr>
              <w:rPr>
                <w:color w:val="000000"/>
                <w:sz w:val="20"/>
                <w:szCs w:val="20"/>
              </w:rPr>
            </w:pPr>
            <w:r w:rsidRPr="00D902D6">
              <w:rPr>
                <w:color w:val="000000"/>
                <w:sz w:val="20"/>
                <w:szCs w:val="20"/>
              </w:rPr>
              <w:t>Control website (information about general health) + scheduled meetings with psychologists/GPs</w:t>
            </w:r>
          </w:p>
        </w:tc>
        <w:tc>
          <w:tcPr>
            <w:tcW w:w="1559" w:type="dxa"/>
            <w:tcBorders>
              <w:left w:val="single" w:sz="4" w:space="0" w:color="auto"/>
              <w:right w:val="single" w:sz="4" w:space="0" w:color="auto"/>
            </w:tcBorders>
            <w:shd w:val="clear" w:color="auto" w:fill="FFFFFF" w:themeFill="background1"/>
          </w:tcPr>
          <w:p w14:paraId="7D18AB16" w14:textId="77777777" w:rsidR="00D902D6" w:rsidRPr="00D902D6" w:rsidRDefault="00D902D6" w:rsidP="00D902D6">
            <w:pPr>
              <w:rPr>
                <w:color w:val="000000"/>
                <w:sz w:val="20"/>
                <w:szCs w:val="20"/>
              </w:rPr>
            </w:pPr>
            <w:r w:rsidRPr="00D902D6">
              <w:rPr>
                <w:color w:val="000000"/>
                <w:sz w:val="20"/>
                <w:szCs w:val="20"/>
              </w:rPr>
              <w:t>SDC</w:t>
            </w:r>
          </w:p>
        </w:tc>
      </w:tr>
      <w:tr w:rsidR="00D902D6" w:rsidRPr="001B4880" w14:paraId="0738E6FE" w14:textId="77777777" w:rsidTr="00EB6127">
        <w:trPr>
          <w:trHeight w:val="80"/>
        </w:trPr>
        <w:tc>
          <w:tcPr>
            <w:tcW w:w="2104" w:type="dxa"/>
            <w:tcBorders>
              <w:left w:val="single" w:sz="4" w:space="0" w:color="000000"/>
              <w:bottom w:val="single" w:sz="12" w:space="0" w:color="000000"/>
              <w:right w:val="nil"/>
            </w:tcBorders>
            <w:shd w:val="clear" w:color="FFFFFF" w:fill="FFFFFF"/>
          </w:tcPr>
          <w:p w14:paraId="5DEDFA08" w14:textId="77777777" w:rsidR="00D902D6" w:rsidRPr="00D902D6" w:rsidRDefault="00D902D6" w:rsidP="00D902D6">
            <w:pPr>
              <w:rPr>
                <w:color w:val="000000"/>
                <w:sz w:val="20"/>
                <w:szCs w:val="20"/>
              </w:rPr>
            </w:pPr>
          </w:p>
        </w:tc>
        <w:tc>
          <w:tcPr>
            <w:tcW w:w="10082" w:type="dxa"/>
            <w:tcBorders>
              <w:left w:val="nil"/>
              <w:bottom w:val="single" w:sz="12" w:space="0" w:color="000000"/>
              <w:right w:val="single" w:sz="4" w:space="0" w:color="auto"/>
            </w:tcBorders>
            <w:shd w:val="clear" w:color="FFFFFF" w:fill="FFFFFF"/>
            <w:hideMark/>
          </w:tcPr>
          <w:p w14:paraId="0D9DEE69" w14:textId="77777777" w:rsidR="00D902D6" w:rsidRPr="00D902D6" w:rsidRDefault="00D902D6" w:rsidP="00D902D6">
            <w:pPr>
              <w:pStyle w:val="ListParagraph"/>
              <w:numPr>
                <w:ilvl w:val="0"/>
                <w:numId w:val="28"/>
              </w:numPr>
              <w:rPr>
                <w:color w:val="000000"/>
                <w:sz w:val="20"/>
                <w:szCs w:val="20"/>
              </w:rPr>
            </w:pPr>
            <w:r w:rsidRPr="00D902D6">
              <w:rPr>
                <w:color w:val="000000"/>
                <w:sz w:val="20"/>
                <w:szCs w:val="20"/>
              </w:rPr>
              <w:t>Medication (SSRI – Sertraline 25mg up to 100mg per day) + scheduled meetings with psychologists/GPs</w:t>
            </w:r>
          </w:p>
        </w:tc>
        <w:tc>
          <w:tcPr>
            <w:tcW w:w="1559" w:type="dxa"/>
            <w:tcBorders>
              <w:left w:val="single" w:sz="4" w:space="0" w:color="auto"/>
              <w:bottom w:val="single" w:sz="12" w:space="0" w:color="000000"/>
              <w:right w:val="single" w:sz="4" w:space="0" w:color="auto"/>
            </w:tcBorders>
            <w:shd w:val="clear" w:color="auto" w:fill="FFFFFF" w:themeFill="background1"/>
          </w:tcPr>
          <w:p w14:paraId="7ECFDC07" w14:textId="77777777" w:rsidR="00D902D6" w:rsidRPr="00D902D6" w:rsidRDefault="00D902D6" w:rsidP="00D902D6">
            <w:pPr>
              <w:rPr>
                <w:color w:val="000000"/>
                <w:sz w:val="20"/>
                <w:szCs w:val="20"/>
              </w:rPr>
            </w:pPr>
            <w:r w:rsidRPr="00D902D6">
              <w:rPr>
                <w:color w:val="000000"/>
                <w:sz w:val="20"/>
                <w:szCs w:val="20"/>
              </w:rPr>
              <w:t>M</w:t>
            </w:r>
          </w:p>
        </w:tc>
      </w:tr>
      <w:tr w:rsidR="00D902D6" w:rsidRPr="001B4880" w14:paraId="34FD7996" w14:textId="77777777" w:rsidTr="00EB6127">
        <w:trPr>
          <w:trHeight w:val="93"/>
        </w:trPr>
        <w:tc>
          <w:tcPr>
            <w:tcW w:w="2104" w:type="dxa"/>
            <w:tcBorders>
              <w:top w:val="single" w:sz="12" w:space="0" w:color="000000"/>
              <w:left w:val="single" w:sz="4" w:space="0" w:color="000000"/>
              <w:right w:val="nil"/>
            </w:tcBorders>
            <w:shd w:val="clear" w:color="FFFFFF" w:fill="FFFFFF"/>
            <w:hideMark/>
          </w:tcPr>
          <w:p w14:paraId="2D0247DC" w14:textId="77777777" w:rsidR="00D902D6" w:rsidRPr="00D902D6" w:rsidRDefault="00D902D6" w:rsidP="00D902D6">
            <w:pPr>
              <w:rPr>
                <w:color w:val="000000"/>
                <w:sz w:val="20"/>
                <w:szCs w:val="20"/>
              </w:rPr>
            </w:pPr>
            <w:r w:rsidRPr="00D902D6">
              <w:rPr>
                <w:color w:val="000000"/>
                <w:sz w:val="20"/>
                <w:szCs w:val="20"/>
              </w:rPr>
              <w:t>Dahlin 2016</w:t>
            </w:r>
          </w:p>
        </w:tc>
        <w:tc>
          <w:tcPr>
            <w:tcW w:w="10082" w:type="dxa"/>
            <w:tcBorders>
              <w:top w:val="single" w:sz="12" w:space="0" w:color="000000"/>
              <w:left w:val="nil"/>
              <w:right w:val="single" w:sz="4" w:space="0" w:color="auto"/>
            </w:tcBorders>
            <w:shd w:val="clear" w:color="FFFFFF" w:fill="FFFFFF"/>
            <w:hideMark/>
          </w:tcPr>
          <w:p w14:paraId="4B8B957E" w14:textId="77777777" w:rsidR="00D902D6" w:rsidRPr="00D902D6" w:rsidRDefault="00D902D6" w:rsidP="00D902D6">
            <w:pPr>
              <w:pStyle w:val="ListParagraph"/>
              <w:numPr>
                <w:ilvl w:val="0"/>
                <w:numId w:val="29"/>
              </w:numPr>
              <w:rPr>
                <w:color w:val="000000"/>
                <w:sz w:val="20"/>
                <w:szCs w:val="20"/>
              </w:rPr>
            </w:pPr>
            <w:r w:rsidRPr="00D902D6">
              <w:rPr>
                <w:color w:val="000000"/>
                <w:sz w:val="20"/>
                <w:szCs w:val="20"/>
              </w:rPr>
              <w:t>Web-based MBT &amp; ACT + weekly messages via a secure messaging system by psychology students</w:t>
            </w:r>
          </w:p>
        </w:tc>
        <w:tc>
          <w:tcPr>
            <w:tcW w:w="1559" w:type="dxa"/>
            <w:tcBorders>
              <w:top w:val="single" w:sz="12" w:space="0" w:color="000000"/>
              <w:left w:val="single" w:sz="4" w:space="0" w:color="auto"/>
              <w:right w:val="single" w:sz="4" w:space="0" w:color="auto"/>
            </w:tcBorders>
            <w:shd w:val="clear" w:color="auto" w:fill="FFFFFF" w:themeFill="background1"/>
          </w:tcPr>
          <w:p w14:paraId="44F2E30E" w14:textId="77777777" w:rsidR="00D902D6" w:rsidRPr="00D902D6" w:rsidRDefault="00D902D6" w:rsidP="00D902D6">
            <w:pPr>
              <w:rPr>
                <w:color w:val="000000"/>
                <w:sz w:val="20"/>
                <w:szCs w:val="20"/>
              </w:rPr>
            </w:pPr>
            <w:r w:rsidRPr="00D902D6">
              <w:rPr>
                <w:color w:val="000000"/>
                <w:sz w:val="20"/>
                <w:szCs w:val="20"/>
              </w:rPr>
              <w:t>SDI</w:t>
            </w:r>
          </w:p>
        </w:tc>
      </w:tr>
      <w:tr w:rsidR="00D902D6" w:rsidRPr="001B4880" w14:paraId="2E4BB80D" w14:textId="77777777" w:rsidTr="00EB6127">
        <w:trPr>
          <w:trHeight w:val="87"/>
        </w:trPr>
        <w:tc>
          <w:tcPr>
            <w:tcW w:w="2104" w:type="dxa"/>
            <w:tcBorders>
              <w:left w:val="single" w:sz="4" w:space="0" w:color="000000"/>
              <w:bottom w:val="single" w:sz="12" w:space="0" w:color="000000"/>
              <w:right w:val="nil"/>
            </w:tcBorders>
            <w:shd w:val="clear" w:color="FFFFFF" w:fill="FFFFFF"/>
            <w:hideMark/>
          </w:tcPr>
          <w:p w14:paraId="7B2E3FBD" w14:textId="77777777" w:rsidR="00D902D6" w:rsidRPr="00D902D6" w:rsidRDefault="00D902D6" w:rsidP="00D902D6">
            <w:pPr>
              <w:rPr>
                <w:color w:val="000000"/>
                <w:sz w:val="20"/>
                <w:szCs w:val="20"/>
              </w:rPr>
            </w:pPr>
          </w:p>
        </w:tc>
        <w:tc>
          <w:tcPr>
            <w:tcW w:w="10082" w:type="dxa"/>
            <w:tcBorders>
              <w:left w:val="nil"/>
              <w:bottom w:val="single" w:sz="12" w:space="0" w:color="000000"/>
              <w:right w:val="single" w:sz="4" w:space="0" w:color="auto"/>
            </w:tcBorders>
            <w:shd w:val="clear" w:color="FFFFFF" w:fill="FFFFFF"/>
            <w:hideMark/>
          </w:tcPr>
          <w:p w14:paraId="3850241B" w14:textId="77777777" w:rsidR="00D902D6" w:rsidRPr="00D902D6" w:rsidRDefault="00D902D6" w:rsidP="00D902D6">
            <w:pPr>
              <w:pStyle w:val="ListParagraph"/>
              <w:numPr>
                <w:ilvl w:val="0"/>
                <w:numId w:val="29"/>
              </w:numPr>
              <w:rPr>
                <w:color w:val="000000"/>
                <w:sz w:val="20"/>
                <w:szCs w:val="20"/>
              </w:rPr>
            </w:pPr>
            <w:r w:rsidRPr="00D902D6">
              <w:rPr>
                <w:color w:val="000000"/>
                <w:sz w:val="20"/>
                <w:szCs w:val="20"/>
              </w:rPr>
              <w:t>Waiting list (+weekly online</w:t>
            </w:r>
            <w:r w:rsidRPr="00D902D6">
              <w:rPr>
                <w:color w:val="000000"/>
                <w:sz w:val="20"/>
                <w:szCs w:val="20"/>
                <w:vertAlign w:val="superscript"/>
              </w:rPr>
              <w:t>#</w:t>
            </w:r>
            <w:r w:rsidRPr="00D902D6">
              <w:rPr>
                <w:color w:val="000000"/>
                <w:sz w:val="20"/>
                <w:szCs w:val="20"/>
              </w:rPr>
              <w:t xml:space="preserve"> GAD-7 and PSWQ ratings – contact with administrator implied for weekly measure completion but unclear – crossover to modified web-based MBT &amp; ACT at 9 weeks)</w:t>
            </w:r>
          </w:p>
        </w:tc>
        <w:tc>
          <w:tcPr>
            <w:tcW w:w="1559" w:type="dxa"/>
            <w:tcBorders>
              <w:left w:val="single" w:sz="4" w:space="0" w:color="auto"/>
              <w:bottom w:val="single" w:sz="12" w:space="0" w:color="000000"/>
              <w:right w:val="single" w:sz="4" w:space="0" w:color="auto"/>
            </w:tcBorders>
            <w:shd w:val="clear" w:color="auto" w:fill="FFFFFF" w:themeFill="background1"/>
          </w:tcPr>
          <w:p w14:paraId="7585EFC1" w14:textId="77777777" w:rsidR="00D902D6" w:rsidRPr="00D902D6" w:rsidRDefault="00D902D6" w:rsidP="00D902D6">
            <w:pPr>
              <w:rPr>
                <w:color w:val="000000"/>
                <w:sz w:val="20"/>
                <w:szCs w:val="20"/>
              </w:rPr>
            </w:pPr>
            <w:r w:rsidRPr="00D902D6">
              <w:rPr>
                <w:color w:val="000000"/>
                <w:sz w:val="20"/>
                <w:szCs w:val="20"/>
              </w:rPr>
              <w:t>NI</w:t>
            </w:r>
            <w:r w:rsidRPr="00D902D6">
              <w:rPr>
                <w:color w:val="000000"/>
                <w:sz w:val="20"/>
                <w:szCs w:val="20"/>
                <w:vertAlign w:val="superscript"/>
              </w:rPr>
              <w:t>1</w:t>
            </w:r>
          </w:p>
        </w:tc>
      </w:tr>
      <w:tr w:rsidR="00D902D6" w:rsidRPr="001B4880" w14:paraId="146C1C71" w14:textId="77777777" w:rsidTr="00EB6127">
        <w:trPr>
          <w:trHeight w:val="385"/>
        </w:trPr>
        <w:tc>
          <w:tcPr>
            <w:tcW w:w="2104" w:type="dxa"/>
            <w:tcBorders>
              <w:top w:val="single" w:sz="12" w:space="0" w:color="000000"/>
              <w:left w:val="single" w:sz="4" w:space="0" w:color="000000"/>
              <w:right w:val="nil"/>
            </w:tcBorders>
            <w:shd w:val="clear" w:color="FFFFFF" w:fill="FFFFFF"/>
            <w:hideMark/>
          </w:tcPr>
          <w:p w14:paraId="29E084CB" w14:textId="77777777" w:rsidR="00D902D6" w:rsidRPr="00D902D6" w:rsidRDefault="00D902D6" w:rsidP="00D902D6">
            <w:pPr>
              <w:rPr>
                <w:color w:val="000000"/>
                <w:sz w:val="20"/>
                <w:szCs w:val="20"/>
              </w:rPr>
            </w:pPr>
            <w:r w:rsidRPr="00D902D6">
              <w:rPr>
                <w:color w:val="000000"/>
                <w:sz w:val="20"/>
                <w:szCs w:val="20"/>
              </w:rPr>
              <w:t>Dear 2015*</w:t>
            </w:r>
          </w:p>
        </w:tc>
        <w:tc>
          <w:tcPr>
            <w:tcW w:w="10082" w:type="dxa"/>
            <w:tcBorders>
              <w:top w:val="single" w:sz="12" w:space="0" w:color="000000"/>
              <w:left w:val="nil"/>
              <w:right w:val="single" w:sz="4" w:space="0" w:color="auto"/>
            </w:tcBorders>
            <w:shd w:val="clear" w:color="FFFFFF" w:fill="FFFFFF"/>
            <w:hideMark/>
          </w:tcPr>
          <w:p w14:paraId="255330D2" w14:textId="77777777" w:rsidR="00D902D6" w:rsidRPr="00D902D6" w:rsidRDefault="00D902D6" w:rsidP="00D902D6">
            <w:pPr>
              <w:pStyle w:val="ListParagraph"/>
              <w:numPr>
                <w:ilvl w:val="0"/>
                <w:numId w:val="30"/>
              </w:numPr>
              <w:rPr>
                <w:color w:val="000000"/>
                <w:sz w:val="20"/>
                <w:szCs w:val="20"/>
              </w:rPr>
            </w:pPr>
            <w:r w:rsidRPr="00D902D6">
              <w:rPr>
                <w:color w:val="000000"/>
                <w:sz w:val="20"/>
                <w:szCs w:val="20"/>
              </w:rPr>
              <w:t>Web-based CBT (trans-diagnostic model focusing on mental wellbeing) + weekly phone/email contact with qualified psychologists</w:t>
            </w:r>
          </w:p>
        </w:tc>
        <w:tc>
          <w:tcPr>
            <w:tcW w:w="1559" w:type="dxa"/>
            <w:tcBorders>
              <w:top w:val="single" w:sz="12" w:space="0" w:color="000000"/>
              <w:left w:val="single" w:sz="4" w:space="0" w:color="auto"/>
              <w:right w:val="single" w:sz="4" w:space="0" w:color="auto"/>
            </w:tcBorders>
            <w:shd w:val="clear" w:color="auto" w:fill="FFFFFF" w:themeFill="background1"/>
          </w:tcPr>
          <w:p w14:paraId="0384B04D" w14:textId="77777777" w:rsidR="00D902D6" w:rsidRPr="00D902D6" w:rsidRDefault="00D902D6" w:rsidP="00D902D6">
            <w:pPr>
              <w:rPr>
                <w:color w:val="FF0000"/>
                <w:sz w:val="20"/>
                <w:szCs w:val="20"/>
              </w:rPr>
            </w:pPr>
            <w:r w:rsidRPr="00D902D6">
              <w:rPr>
                <w:color w:val="000000"/>
                <w:sz w:val="20"/>
                <w:szCs w:val="20"/>
              </w:rPr>
              <w:t>SDI</w:t>
            </w:r>
          </w:p>
        </w:tc>
      </w:tr>
      <w:tr w:rsidR="00D902D6" w:rsidRPr="001B4880" w14:paraId="1B5F28B6" w14:textId="77777777" w:rsidTr="00EB6127">
        <w:trPr>
          <w:trHeight w:val="454"/>
        </w:trPr>
        <w:tc>
          <w:tcPr>
            <w:tcW w:w="2104" w:type="dxa"/>
            <w:tcBorders>
              <w:left w:val="single" w:sz="4" w:space="0" w:color="000000"/>
              <w:right w:val="nil"/>
            </w:tcBorders>
            <w:shd w:val="clear" w:color="FFFFFF" w:fill="FFFFFF"/>
          </w:tcPr>
          <w:p w14:paraId="128BE3CF" w14:textId="77777777" w:rsidR="00D902D6" w:rsidRPr="00D902D6" w:rsidRDefault="00D902D6" w:rsidP="00D902D6">
            <w:pPr>
              <w:rPr>
                <w:color w:val="000000"/>
                <w:sz w:val="20"/>
                <w:szCs w:val="20"/>
              </w:rPr>
            </w:pPr>
          </w:p>
        </w:tc>
        <w:tc>
          <w:tcPr>
            <w:tcW w:w="10082" w:type="dxa"/>
            <w:tcBorders>
              <w:left w:val="nil"/>
              <w:right w:val="single" w:sz="4" w:space="0" w:color="auto"/>
            </w:tcBorders>
            <w:shd w:val="clear" w:color="FFFFFF" w:fill="FFFFFF"/>
            <w:hideMark/>
          </w:tcPr>
          <w:p w14:paraId="1BAF3DFD" w14:textId="77777777" w:rsidR="00D902D6" w:rsidRPr="00D902D6" w:rsidRDefault="00D902D6" w:rsidP="00D902D6">
            <w:pPr>
              <w:pStyle w:val="ListParagraph"/>
              <w:numPr>
                <w:ilvl w:val="0"/>
                <w:numId w:val="30"/>
              </w:numPr>
              <w:rPr>
                <w:color w:val="000000"/>
                <w:sz w:val="20"/>
                <w:szCs w:val="20"/>
              </w:rPr>
            </w:pPr>
            <w:r w:rsidRPr="00D902D6">
              <w:rPr>
                <w:color w:val="000000"/>
                <w:sz w:val="20"/>
                <w:szCs w:val="20"/>
              </w:rPr>
              <w:t>Web-based CBT (GAD-specific focusing on worry control) + weekly phone/email contact with qualified psychologists</w:t>
            </w:r>
          </w:p>
        </w:tc>
        <w:tc>
          <w:tcPr>
            <w:tcW w:w="1559" w:type="dxa"/>
            <w:tcBorders>
              <w:left w:val="single" w:sz="4" w:space="0" w:color="auto"/>
              <w:right w:val="single" w:sz="4" w:space="0" w:color="auto"/>
            </w:tcBorders>
            <w:shd w:val="clear" w:color="auto" w:fill="FFFFFF" w:themeFill="background1"/>
          </w:tcPr>
          <w:p w14:paraId="2CE9D8D2" w14:textId="77777777" w:rsidR="00D902D6" w:rsidRPr="00D902D6" w:rsidRDefault="00D902D6" w:rsidP="00D902D6">
            <w:pPr>
              <w:rPr>
                <w:color w:val="FF0000"/>
                <w:sz w:val="20"/>
                <w:szCs w:val="20"/>
              </w:rPr>
            </w:pPr>
            <w:r w:rsidRPr="00D902D6">
              <w:rPr>
                <w:color w:val="000000"/>
                <w:sz w:val="20"/>
                <w:szCs w:val="20"/>
              </w:rPr>
              <w:t>SDI</w:t>
            </w:r>
          </w:p>
          <w:p w14:paraId="222FB5D3" w14:textId="77777777" w:rsidR="00D902D6" w:rsidRPr="00D902D6" w:rsidRDefault="00D902D6" w:rsidP="00D902D6">
            <w:pPr>
              <w:rPr>
                <w:color w:val="000000"/>
                <w:sz w:val="20"/>
                <w:szCs w:val="20"/>
              </w:rPr>
            </w:pPr>
          </w:p>
        </w:tc>
      </w:tr>
      <w:tr w:rsidR="00D902D6" w:rsidRPr="001B4880" w14:paraId="5AE62B9C" w14:textId="77777777" w:rsidTr="00EB6127">
        <w:trPr>
          <w:trHeight w:val="709"/>
        </w:trPr>
        <w:tc>
          <w:tcPr>
            <w:tcW w:w="2104" w:type="dxa"/>
            <w:tcBorders>
              <w:left w:val="single" w:sz="4" w:space="0" w:color="000000"/>
              <w:right w:val="nil"/>
            </w:tcBorders>
            <w:shd w:val="clear" w:color="FFFFFF" w:fill="FFFFFF"/>
          </w:tcPr>
          <w:p w14:paraId="2CA9856A" w14:textId="77777777" w:rsidR="00D902D6" w:rsidRPr="00D902D6" w:rsidRDefault="00D902D6" w:rsidP="00D902D6">
            <w:pPr>
              <w:rPr>
                <w:color w:val="000000"/>
                <w:sz w:val="20"/>
                <w:szCs w:val="20"/>
              </w:rPr>
            </w:pPr>
          </w:p>
        </w:tc>
        <w:tc>
          <w:tcPr>
            <w:tcW w:w="10082" w:type="dxa"/>
            <w:tcBorders>
              <w:left w:val="nil"/>
              <w:right w:val="single" w:sz="4" w:space="0" w:color="auto"/>
            </w:tcBorders>
            <w:shd w:val="clear" w:color="FFFFFF" w:fill="FFFFFF"/>
            <w:hideMark/>
          </w:tcPr>
          <w:p w14:paraId="7E700F4B" w14:textId="77777777" w:rsidR="00D902D6" w:rsidRPr="00D902D6" w:rsidRDefault="00D902D6" w:rsidP="00D902D6">
            <w:pPr>
              <w:pStyle w:val="ListParagraph"/>
              <w:numPr>
                <w:ilvl w:val="0"/>
                <w:numId w:val="30"/>
              </w:numPr>
              <w:rPr>
                <w:color w:val="000000"/>
                <w:sz w:val="20"/>
                <w:szCs w:val="20"/>
              </w:rPr>
            </w:pPr>
            <w:r w:rsidRPr="00D902D6">
              <w:rPr>
                <w:color w:val="000000"/>
                <w:sz w:val="20"/>
                <w:szCs w:val="20"/>
              </w:rPr>
              <w:t>Web-based CBT (trans-diagnostic model focusing on mental wellbeing) + standardised weekly email reminders and option to phone/email if needed technical support or had other problems - no scheduled or regular interpersonal contact</w:t>
            </w:r>
          </w:p>
        </w:tc>
        <w:tc>
          <w:tcPr>
            <w:tcW w:w="1559" w:type="dxa"/>
            <w:tcBorders>
              <w:left w:val="single" w:sz="4" w:space="0" w:color="auto"/>
              <w:right w:val="single" w:sz="4" w:space="0" w:color="auto"/>
            </w:tcBorders>
            <w:shd w:val="clear" w:color="auto" w:fill="FFFFFF" w:themeFill="background1"/>
          </w:tcPr>
          <w:p w14:paraId="2C079DA5" w14:textId="77777777" w:rsidR="00D902D6" w:rsidRPr="00D902D6" w:rsidRDefault="00D902D6" w:rsidP="00D902D6">
            <w:pPr>
              <w:rPr>
                <w:color w:val="FF0000"/>
                <w:sz w:val="20"/>
                <w:szCs w:val="20"/>
              </w:rPr>
            </w:pPr>
            <w:r w:rsidRPr="00D902D6">
              <w:rPr>
                <w:color w:val="000000"/>
                <w:sz w:val="20"/>
                <w:szCs w:val="20"/>
              </w:rPr>
              <w:t>UDI</w:t>
            </w:r>
          </w:p>
          <w:p w14:paraId="3B377DE9" w14:textId="77777777" w:rsidR="00D902D6" w:rsidRPr="00D902D6" w:rsidRDefault="00D902D6" w:rsidP="00D902D6">
            <w:pPr>
              <w:rPr>
                <w:color w:val="000000"/>
                <w:sz w:val="20"/>
                <w:szCs w:val="20"/>
              </w:rPr>
            </w:pPr>
          </w:p>
        </w:tc>
      </w:tr>
      <w:tr w:rsidR="00D902D6" w:rsidRPr="001B4880" w14:paraId="6226984A" w14:textId="77777777" w:rsidTr="00EB6127">
        <w:trPr>
          <w:trHeight w:val="426"/>
        </w:trPr>
        <w:tc>
          <w:tcPr>
            <w:tcW w:w="2104" w:type="dxa"/>
            <w:tcBorders>
              <w:left w:val="single" w:sz="4" w:space="0" w:color="000000"/>
              <w:bottom w:val="single" w:sz="12" w:space="0" w:color="000000"/>
              <w:right w:val="nil"/>
            </w:tcBorders>
            <w:shd w:val="clear" w:color="FFFFFF" w:fill="FFFFFF"/>
          </w:tcPr>
          <w:p w14:paraId="4B23E2F4" w14:textId="77777777" w:rsidR="00D902D6" w:rsidRPr="00D902D6" w:rsidRDefault="00D902D6" w:rsidP="00D902D6">
            <w:pPr>
              <w:rPr>
                <w:color w:val="000000"/>
                <w:sz w:val="20"/>
                <w:szCs w:val="20"/>
              </w:rPr>
            </w:pPr>
          </w:p>
        </w:tc>
        <w:tc>
          <w:tcPr>
            <w:tcW w:w="10082" w:type="dxa"/>
            <w:tcBorders>
              <w:left w:val="nil"/>
              <w:bottom w:val="single" w:sz="12" w:space="0" w:color="000000"/>
              <w:right w:val="single" w:sz="4" w:space="0" w:color="auto"/>
            </w:tcBorders>
            <w:shd w:val="clear" w:color="FFFFFF" w:fill="FFFFFF"/>
            <w:hideMark/>
          </w:tcPr>
          <w:p w14:paraId="3AC677F8" w14:textId="77777777" w:rsidR="00D902D6" w:rsidRPr="00D902D6" w:rsidRDefault="00D902D6" w:rsidP="00D902D6">
            <w:pPr>
              <w:pStyle w:val="ListParagraph"/>
              <w:numPr>
                <w:ilvl w:val="0"/>
                <w:numId w:val="30"/>
              </w:numPr>
              <w:rPr>
                <w:color w:val="000000"/>
                <w:sz w:val="20"/>
                <w:szCs w:val="20"/>
              </w:rPr>
            </w:pPr>
            <w:r w:rsidRPr="00D902D6">
              <w:rPr>
                <w:color w:val="000000"/>
                <w:sz w:val="20"/>
                <w:szCs w:val="20"/>
              </w:rPr>
              <w:t xml:space="preserve">Web-based CBT (GAD-specific focusing on worry control) + standardised weekly email reminders and option to phone/email if needed technical support or had other problems - no scheduled or regular interpersonal contact </w:t>
            </w:r>
          </w:p>
        </w:tc>
        <w:tc>
          <w:tcPr>
            <w:tcW w:w="1559" w:type="dxa"/>
            <w:tcBorders>
              <w:left w:val="single" w:sz="4" w:space="0" w:color="auto"/>
              <w:right w:val="single" w:sz="4" w:space="0" w:color="auto"/>
            </w:tcBorders>
            <w:shd w:val="clear" w:color="auto" w:fill="FFFFFF" w:themeFill="background1"/>
          </w:tcPr>
          <w:p w14:paraId="6AF529F3" w14:textId="77777777" w:rsidR="00D902D6" w:rsidRPr="00D902D6" w:rsidRDefault="00D902D6" w:rsidP="00D902D6">
            <w:pPr>
              <w:rPr>
                <w:color w:val="FF0000"/>
                <w:sz w:val="20"/>
                <w:szCs w:val="20"/>
              </w:rPr>
            </w:pPr>
            <w:r w:rsidRPr="00D902D6">
              <w:rPr>
                <w:color w:val="000000"/>
                <w:sz w:val="20"/>
                <w:szCs w:val="20"/>
              </w:rPr>
              <w:t>UDI</w:t>
            </w:r>
          </w:p>
          <w:p w14:paraId="5A574CB5" w14:textId="77777777" w:rsidR="00D902D6" w:rsidRPr="00D902D6" w:rsidRDefault="00D902D6" w:rsidP="00D902D6">
            <w:pPr>
              <w:rPr>
                <w:color w:val="000000"/>
                <w:sz w:val="20"/>
                <w:szCs w:val="20"/>
              </w:rPr>
            </w:pPr>
          </w:p>
        </w:tc>
      </w:tr>
      <w:tr w:rsidR="00D902D6" w:rsidRPr="001B4880" w14:paraId="75A5C105" w14:textId="77777777" w:rsidTr="00EB6127">
        <w:trPr>
          <w:trHeight w:val="254"/>
        </w:trPr>
        <w:tc>
          <w:tcPr>
            <w:tcW w:w="2104" w:type="dxa"/>
            <w:tcBorders>
              <w:top w:val="single" w:sz="12" w:space="0" w:color="000000"/>
              <w:left w:val="single" w:sz="4" w:space="0" w:color="000000"/>
              <w:right w:val="nil"/>
            </w:tcBorders>
            <w:shd w:val="clear" w:color="FFFFFF" w:fill="FFFFFF"/>
            <w:hideMark/>
          </w:tcPr>
          <w:p w14:paraId="7DAD353B" w14:textId="77777777" w:rsidR="00D902D6" w:rsidRPr="00D902D6" w:rsidRDefault="00D902D6" w:rsidP="00D902D6">
            <w:pPr>
              <w:rPr>
                <w:color w:val="000000"/>
                <w:sz w:val="20"/>
                <w:szCs w:val="20"/>
              </w:rPr>
            </w:pPr>
            <w:r w:rsidRPr="00D902D6">
              <w:rPr>
                <w:color w:val="000000"/>
                <w:sz w:val="20"/>
                <w:szCs w:val="20"/>
              </w:rPr>
              <w:t>Hazen 2009</w:t>
            </w:r>
          </w:p>
        </w:tc>
        <w:tc>
          <w:tcPr>
            <w:tcW w:w="10082" w:type="dxa"/>
            <w:tcBorders>
              <w:top w:val="single" w:sz="12" w:space="0" w:color="000000"/>
              <w:left w:val="nil"/>
              <w:right w:val="single" w:sz="4" w:space="0" w:color="auto"/>
            </w:tcBorders>
            <w:shd w:val="clear" w:color="FFFFFF" w:fill="FFFFFF"/>
            <w:hideMark/>
          </w:tcPr>
          <w:p w14:paraId="78E01D47" w14:textId="77777777" w:rsidR="00D902D6" w:rsidRPr="00D902D6" w:rsidRDefault="00D902D6" w:rsidP="00D902D6">
            <w:pPr>
              <w:pStyle w:val="ListParagraph"/>
              <w:numPr>
                <w:ilvl w:val="0"/>
                <w:numId w:val="31"/>
              </w:numPr>
              <w:rPr>
                <w:color w:val="000000"/>
                <w:sz w:val="20"/>
                <w:szCs w:val="20"/>
              </w:rPr>
            </w:pPr>
            <w:r w:rsidRPr="00D902D6">
              <w:rPr>
                <w:color w:val="000000"/>
                <w:sz w:val="20"/>
                <w:szCs w:val="20"/>
              </w:rPr>
              <w:t>Computer-delivered attentional retraining + ‘non-therapy’ meetings with “experimenters” every 6 days</w:t>
            </w:r>
          </w:p>
        </w:tc>
        <w:tc>
          <w:tcPr>
            <w:tcW w:w="1559" w:type="dxa"/>
            <w:tcBorders>
              <w:top w:val="single" w:sz="12" w:space="0" w:color="000000"/>
              <w:left w:val="single" w:sz="4" w:space="0" w:color="auto"/>
              <w:right w:val="single" w:sz="4" w:space="0" w:color="auto"/>
            </w:tcBorders>
            <w:shd w:val="clear" w:color="auto" w:fill="FFFFFF" w:themeFill="background1"/>
          </w:tcPr>
          <w:p w14:paraId="48D02EF1" w14:textId="77777777" w:rsidR="00D902D6" w:rsidRPr="00D902D6" w:rsidRDefault="00D902D6" w:rsidP="00D902D6">
            <w:pPr>
              <w:rPr>
                <w:color w:val="000000"/>
                <w:sz w:val="20"/>
                <w:szCs w:val="20"/>
              </w:rPr>
            </w:pPr>
            <w:r w:rsidRPr="00D902D6">
              <w:rPr>
                <w:color w:val="000000"/>
                <w:sz w:val="20"/>
                <w:szCs w:val="20"/>
              </w:rPr>
              <w:t>SDI</w:t>
            </w:r>
          </w:p>
        </w:tc>
      </w:tr>
      <w:tr w:rsidR="00D902D6" w:rsidRPr="001B4880" w14:paraId="5C7963E2" w14:textId="77777777" w:rsidTr="00EB6127">
        <w:trPr>
          <w:trHeight w:val="246"/>
        </w:trPr>
        <w:tc>
          <w:tcPr>
            <w:tcW w:w="2104" w:type="dxa"/>
            <w:tcBorders>
              <w:left w:val="single" w:sz="4" w:space="0" w:color="000000"/>
              <w:bottom w:val="single" w:sz="12" w:space="0" w:color="000000"/>
              <w:right w:val="nil"/>
            </w:tcBorders>
            <w:shd w:val="clear" w:color="FFFFFF" w:fill="FFFFFF"/>
            <w:hideMark/>
          </w:tcPr>
          <w:p w14:paraId="72EAC51D" w14:textId="77777777" w:rsidR="00D902D6" w:rsidRPr="00D902D6" w:rsidRDefault="00D902D6" w:rsidP="00D902D6">
            <w:pPr>
              <w:rPr>
                <w:color w:val="000000"/>
                <w:sz w:val="20"/>
                <w:szCs w:val="20"/>
              </w:rPr>
            </w:pPr>
          </w:p>
        </w:tc>
        <w:tc>
          <w:tcPr>
            <w:tcW w:w="10082" w:type="dxa"/>
            <w:tcBorders>
              <w:left w:val="nil"/>
              <w:bottom w:val="single" w:sz="12" w:space="0" w:color="000000"/>
              <w:right w:val="single" w:sz="4" w:space="0" w:color="auto"/>
            </w:tcBorders>
            <w:shd w:val="clear" w:color="FFFFFF" w:fill="FFFFFF"/>
            <w:hideMark/>
          </w:tcPr>
          <w:p w14:paraId="3398E3BF" w14:textId="77777777" w:rsidR="00D902D6" w:rsidRPr="00D902D6" w:rsidRDefault="00D902D6" w:rsidP="00D902D6">
            <w:pPr>
              <w:pStyle w:val="ListParagraph"/>
              <w:numPr>
                <w:ilvl w:val="0"/>
                <w:numId w:val="31"/>
              </w:numPr>
              <w:rPr>
                <w:color w:val="000000"/>
                <w:sz w:val="20"/>
                <w:szCs w:val="20"/>
              </w:rPr>
            </w:pPr>
            <w:r w:rsidRPr="00D902D6">
              <w:rPr>
                <w:color w:val="000000"/>
                <w:sz w:val="20"/>
                <w:szCs w:val="20"/>
              </w:rPr>
              <w:t>Sham training + ‘non-therapy’ meetings with “experimenters” every 6 days</w:t>
            </w:r>
          </w:p>
        </w:tc>
        <w:tc>
          <w:tcPr>
            <w:tcW w:w="1559" w:type="dxa"/>
            <w:tcBorders>
              <w:left w:val="single" w:sz="4" w:space="0" w:color="auto"/>
              <w:bottom w:val="single" w:sz="12" w:space="0" w:color="000000"/>
              <w:right w:val="single" w:sz="4" w:space="0" w:color="auto"/>
            </w:tcBorders>
            <w:shd w:val="clear" w:color="auto" w:fill="FFFFFF" w:themeFill="background1"/>
          </w:tcPr>
          <w:p w14:paraId="0B65D3C2" w14:textId="77777777" w:rsidR="00D902D6" w:rsidRPr="00D902D6" w:rsidRDefault="00D902D6" w:rsidP="00D902D6">
            <w:pPr>
              <w:rPr>
                <w:color w:val="000000"/>
                <w:sz w:val="20"/>
                <w:szCs w:val="20"/>
              </w:rPr>
            </w:pPr>
            <w:r w:rsidRPr="00D902D6">
              <w:rPr>
                <w:color w:val="000000"/>
                <w:sz w:val="20"/>
                <w:szCs w:val="20"/>
              </w:rPr>
              <w:t>SDC</w:t>
            </w:r>
          </w:p>
        </w:tc>
      </w:tr>
      <w:tr w:rsidR="00D902D6" w:rsidRPr="001B4880" w14:paraId="6F4B6337" w14:textId="77777777" w:rsidTr="00EB6127">
        <w:trPr>
          <w:trHeight w:val="396"/>
        </w:trPr>
        <w:tc>
          <w:tcPr>
            <w:tcW w:w="2104" w:type="dxa"/>
            <w:tcBorders>
              <w:top w:val="single" w:sz="12" w:space="0" w:color="000000"/>
              <w:left w:val="single" w:sz="4" w:space="0" w:color="000000"/>
              <w:right w:val="nil"/>
            </w:tcBorders>
            <w:shd w:val="clear" w:color="FFFFFF" w:fill="FFFFFF"/>
            <w:hideMark/>
          </w:tcPr>
          <w:p w14:paraId="37F9CDF6" w14:textId="77777777" w:rsidR="00D902D6" w:rsidRPr="00D902D6" w:rsidRDefault="00D902D6" w:rsidP="00D902D6">
            <w:pPr>
              <w:rPr>
                <w:color w:val="000000"/>
                <w:sz w:val="20"/>
                <w:szCs w:val="20"/>
              </w:rPr>
            </w:pPr>
            <w:r w:rsidRPr="00D902D6">
              <w:rPr>
                <w:color w:val="000000"/>
                <w:sz w:val="20"/>
                <w:szCs w:val="20"/>
              </w:rPr>
              <w:t>Hirsch 2018**</w:t>
            </w:r>
          </w:p>
        </w:tc>
        <w:tc>
          <w:tcPr>
            <w:tcW w:w="10082" w:type="dxa"/>
            <w:tcBorders>
              <w:top w:val="single" w:sz="12" w:space="0" w:color="000000"/>
              <w:left w:val="nil"/>
              <w:right w:val="single" w:sz="4" w:space="0" w:color="auto"/>
            </w:tcBorders>
            <w:shd w:val="clear" w:color="FFFFFF" w:fill="FFFFFF"/>
            <w:hideMark/>
          </w:tcPr>
          <w:p w14:paraId="055F2FB0" w14:textId="77777777" w:rsidR="00D902D6" w:rsidRPr="00D902D6" w:rsidRDefault="00D902D6" w:rsidP="00D902D6">
            <w:pPr>
              <w:pStyle w:val="ListParagraph"/>
              <w:numPr>
                <w:ilvl w:val="0"/>
                <w:numId w:val="32"/>
              </w:numPr>
              <w:rPr>
                <w:color w:val="000000"/>
                <w:sz w:val="20"/>
                <w:szCs w:val="20"/>
              </w:rPr>
            </w:pPr>
            <w:r w:rsidRPr="00D902D6">
              <w:rPr>
                <w:color w:val="000000"/>
                <w:sz w:val="20"/>
                <w:szCs w:val="20"/>
              </w:rPr>
              <w:t>Web-based CBM + 1 initial onsite meeting + regular (unspecified) contact by phone/email/SMS with researchers (unspecified qualifications) + RNT priming</w:t>
            </w:r>
          </w:p>
        </w:tc>
        <w:tc>
          <w:tcPr>
            <w:tcW w:w="1559" w:type="dxa"/>
            <w:tcBorders>
              <w:top w:val="single" w:sz="12" w:space="0" w:color="000000"/>
              <w:left w:val="single" w:sz="4" w:space="0" w:color="auto"/>
              <w:right w:val="single" w:sz="4" w:space="0" w:color="auto"/>
            </w:tcBorders>
            <w:shd w:val="clear" w:color="auto" w:fill="FFFFFF" w:themeFill="background1"/>
          </w:tcPr>
          <w:p w14:paraId="2FB513D5" w14:textId="77777777" w:rsidR="00D902D6" w:rsidRPr="00D902D6" w:rsidRDefault="00D902D6" w:rsidP="00D902D6">
            <w:pPr>
              <w:rPr>
                <w:sz w:val="20"/>
                <w:szCs w:val="20"/>
              </w:rPr>
            </w:pPr>
            <w:r w:rsidRPr="00D902D6">
              <w:rPr>
                <w:sz w:val="20"/>
                <w:szCs w:val="20"/>
              </w:rPr>
              <w:t>SDI</w:t>
            </w:r>
          </w:p>
          <w:p w14:paraId="50C6A240" w14:textId="77777777" w:rsidR="00D902D6" w:rsidRPr="00D902D6" w:rsidRDefault="00D902D6" w:rsidP="00D902D6">
            <w:pPr>
              <w:rPr>
                <w:color w:val="000000"/>
                <w:sz w:val="20"/>
                <w:szCs w:val="20"/>
              </w:rPr>
            </w:pPr>
          </w:p>
        </w:tc>
      </w:tr>
      <w:tr w:rsidR="00D902D6" w:rsidRPr="001B4880" w14:paraId="34B1C271" w14:textId="77777777" w:rsidTr="00EB6127">
        <w:trPr>
          <w:trHeight w:val="491"/>
        </w:trPr>
        <w:tc>
          <w:tcPr>
            <w:tcW w:w="2104" w:type="dxa"/>
            <w:tcBorders>
              <w:left w:val="single" w:sz="4" w:space="0" w:color="000000"/>
              <w:right w:val="nil"/>
            </w:tcBorders>
            <w:shd w:val="clear" w:color="FFFFFF" w:fill="FFFFFF"/>
          </w:tcPr>
          <w:p w14:paraId="3A2A1963" w14:textId="77777777" w:rsidR="00D902D6" w:rsidRPr="00D902D6" w:rsidRDefault="00D902D6" w:rsidP="00D902D6">
            <w:pPr>
              <w:rPr>
                <w:color w:val="000000"/>
                <w:sz w:val="20"/>
                <w:szCs w:val="20"/>
              </w:rPr>
            </w:pPr>
          </w:p>
        </w:tc>
        <w:tc>
          <w:tcPr>
            <w:tcW w:w="10082" w:type="dxa"/>
            <w:tcBorders>
              <w:left w:val="nil"/>
              <w:right w:val="single" w:sz="4" w:space="0" w:color="auto"/>
            </w:tcBorders>
            <w:shd w:val="clear" w:color="FFFFFF" w:fill="FFFFFF"/>
            <w:hideMark/>
          </w:tcPr>
          <w:p w14:paraId="7C1CADB9" w14:textId="77777777" w:rsidR="00D902D6" w:rsidRPr="00D902D6" w:rsidRDefault="00D902D6" w:rsidP="00D902D6">
            <w:pPr>
              <w:pStyle w:val="ListParagraph"/>
              <w:numPr>
                <w:ilvl w:val="0"/>
                <w:numId w:val="32"/>
              </w:numPr>
              <w:rPr>
                <w:color w:val="000000"/>
                <w:sz w:val="20"/>
                <w:szCs w:val="20"/>
              </w:rPr>
            </w:pPr>
            <w:r w:rsidRPr="00D902D6">
              <w:rPr>
                <w:color w:val="000000"/>
                <w:sz w:val="20"/>
                <w:szCs w:val="20"/>
              </w:rPr>
              <w:t>Web-based CBM + 1 initial onsite meeting + regular (unspecified) contact by phone/email/SMS with researchers (unspecified qualifications) – no RNT priming</w:t>
            </w:r>
          </w:p>
        </w:tc>
        <w:tc>
          <w:tcPr>
            <w:tcW w:w="1559" w:type="dxa"/>
            <w:tcBorders>
              <w:left w:val="single" w:sz="4" w:space="0" w:color="auto"/>
              <w:right w:val="single" w:sz="4" w:space="0" w:color="auto"/>
            </w:tcBorders>
            <w:shd w:val="clear" w:color="auto" w:fill="FFFFFF" w:themeFill="background1"/>
          </w:tcPr>
          <w:p w14:paraId="73418C56" w14:textId="77777777" w:rsidR="00D902D6" w:rsidRPr="00D902D6" w:rsidRDefault="00D902D6" w:rsidP="00D902D6">
            <w:pPr>
              <w:rPr>
                <w:color w:val="000000"/>
                <w:sz w:val="20"/>
                <w:szCs w:val="20"/>
              </w:rPr>
            </w:pPr>
            <w:r w:rsidRPr="00D902D6">
              <w:rPr>
                <w:color w:val="000000"/>
                <w:sz w:val="20"/>
                <w:szCs w:val="20"/>
              </w:rPr>
              <w:t>SDI</w:t>
            </w:r>
          </w:p>
        </w:tc>
      </w:tr>
      <w:tr w:rsidR="00D902D6" w:rsidRPr="001B4880" w14:paraId="0D266FBC" w14:textId="77777777" w:rsidTr="00EB6127">
        <w:trPr>
          <w:trHeight w:val="317"/>
        </w:trPr>
        <w:tc>
          <w:tcPr>
            <w:tcW w:w="2104" w:type="dxa"/>
            <w:tcBorders>
              <w:left w:val="single" w:sz="4" w:space="0" w:color="000000"/>
              <w:bottom w:val="single" w:sz="12" w:space="0" w:color="000000"/>
              <w:right w:val="nil"/>
            </w:tcBorders>
            <w:shd w:val="clear" w:color="FFFFFF" w:fill="FFFFFF"/>
          </w:tcPr>
          <w:p w14:paraId="227D44FD" w14:textId="77777777" w:rsidR="00D902D6" w:rsidRPr="00D902D6" w:rsidRDefault="00D902D6" w:rsidP="00D902D6">
            <w:pPr>
              <w:rPr>
                <w:color w:val="000000"/>
                <w:sz w:val="20"/>
                <w:szCs w:val="20"/>
              </w:rPr>
            </w:pPr>
          </w:p>
        </w:tc>
        <w:tc>
          <w:tcPr>
            <w:tcW w:w="10082" w:type="dxa"/>
            <w:tcBorders>
              <w:left w:val="nil"/>
              <w:bottom w:val="single" w:sz="12" w:space="0" w:color="000000"/>
              <w:right w:val="single" w:sz="4" w:space="0" w:color="auto"/>
            </w:tcBorders>
            <w:shd w:val="clear" w:color="FFFFFF" w:fill="FFFFFF"/>
            <w:hideMark/>
          </w:tcPr>
          <w:p w14:paraId="3ACC72E1" w14:textId="77777777" w:rsidR="00D902D6" w:rsidRPr="00D902D6" w:rsidRDefault="00D902D6" w:rsidP="00D902D6">
            <w:pPr>
              <w:pStyle w:val="ListParagraph"/>
              <w:numPr>
                <w:ilvl w:val="0"/>
                <w:numId w:val="32"/>
              </w:numPr>
              <w:rPr>
                <w:color w:val="000000"/>
                <w:sz w:val="20"/>
                <w:szCs w:val="20"/>
              </w:rPr>
            </w:pPr>
            <w:r w:rsidRPr="00D902D6">
              <w:rPr>
                <w:color w:val="000000"/>
                <w:sz w:val="20"/>
                <w:szCs w:val="20"/>
              </w:rPr>
              <w:t>Control website (neutral scenarios) + 1 initial onsite meeting + regular (unspecified) contact by phone/email/SMS with researchers (unspecified qualifications)</w:t>
            </w:r>
          </w:p>
        </w:tc>
        <w:tc>
          <w:tcPr>
            <w:tcW w:w="1559" w:type="dxa"/>
            <w:tcBorders>
              <w:left w:val="single" w:sz="4" w:space="0" w:color="auto"/>
              <w:bottom w:val="single" w:sz="12" w:space="0" w:color="000000"/>
              <w:right w:val="single" w:sz="4" w:space="0" w:color="auto"/>
            </w:tcBorders>
            <w:shd w:val="clear" w:color="auto" w:fill="FFFFFF" w:themeFill="background1"/>
          </w:tcPr>
          <w:p w14:paraId="505FFAD4" w14:textId="77777777" w:rsidR="00D902D6" w:rsidRPr="00D902D6" w:rsidRDefault="00D902D6" w:rsidP="00D902D6">
            <w:pPr>
              <w:rPr>
                <w:color w:val="000000"/>
                <w:sz w:val="20"/>
                <w:szCs w:val="20"/>
              </w:rPr>
            </w:pPr>
            <w:r w:rsidRPr="00D902D6">
              <w:rPr>
                <w:color w:val="000000"/>
                <w:sz w:val="20"/>
                <w:szCs w:val="20"/>
              </w:rPr>
              <w:t>SDC</w:t>
            </w:r>
          </w:p>
        </w:tc>
      </w:tr>
      <w:tr w:rsidR="00D902D6" w:rsidRPr="001B4880" w14:paraId="0191EFF6" w14:textId="77777777" w:rsidTr="00EB6127">
        <w:trPr>
          <w:trHeight w:val="50"/>
        </w:trPr>
        <w:tc>
          <w:tcPr>
            <w:tcW w:w="2104" w:type="dxa"/>
            <w:tcBorders>
              <w:top w:val="single" w:sz="12" w:space="0" w:color="000000"/>
              <w:left w:val="single" w:sz="4" w:space="0" w:color="000000"/>
              <w:right w:val="nil"/>
            </w:tcBorders>
            <w:shd w:val="clear" w:color="FFFFFF" w:fill="FFFFFF"/>
            <w:hideMark/>
          </w:tcPr>
          <w:p w14:paraId="1699352C" w14:textId="77777777" w:rsidR="00D902D6" w:rsidRPr="00D902D6" w:rsidRDefault="00D902D6" w:rsidP="00D902D6">
            <w:pPr>
              <w:rPr>
                <w:color w:val="000000"/>
                <w:sz w:val="20"/>
                <w:szCs w:val="20"/>
              </w:rPr>
            </w:pPr>
            <w:r w:rsidRPr="00D902D6">
              <w:rPr>
                <w:color w:val="000000"/>
                <w:sz w:val="20"/>
                <w:szCs w:val="20"/>
              </w:rPr>
              <w:t>Johansson 2013</w:t>
            </w:r>
          </w:p>
        </w:tc>
        <w:tc>
          <w:tcPr>
            <w:tcW w:w="10082" w:type="dxa"/>
            <w:tcBorders>
              <w:top w:val="single" w:sz="12" w:space="0" w:color="000000"/>
              <w:left w:val="nil"/>
              <w:right w:val="single" w:sz="4" w:space="0" w:color="auto"/>
            </w:tcBorders>
            <w:shd w:val="clear" w:color="FFFFFF" w:fill="FFFFFF"/>
            <w:hideMark/>
          </w:tcPr>
          <w:p w14:paraId="0E99A377" w14:textId="77777777" w:rsidR="00D902D6" w:rsidRPr="00D902D6" w:rsidRDefault="00D902D6" w:rsidP="00D902D6">
            <w:pPr>
              <w:pStyle w:val="ListParagraph"/>
              <w:numPr>
                <w:ilvl w:val="0"/>
                <w:numId w:val="34"/>
              </w:numPr>
              <w:rPr>
                <w:color w:val="000000"/>
                <w:sz w:val="20"/>
                <w:szCs w:val="20"/>
              </w:rPr>
            </w:pPr>
            <w:r w:rsidRPr="00D902D6">
              <w:rPr>
                <w:color w:val="000000"/>
                <w:sz w:val="20"/>
                <w:szCs w:val="20"/>
              </w:rPr>
              <w:t>Web-based psychodynamic therapy + weekly written messages via online messaging system by therapists (unspecified qualifications)</w:t>
            </w:r>
          </w:p>
        </w:tc>
        <w:tc>
          <w:tcPr>
            <w:tcW w:w="1559" w:type="dxa"/>
            <w:tcBorders>
              <w:top w:val="single" w:sz="12" w:space="0" w:color="000000"/>
              <w:left w:val="single" w:sz="4" w:space="0" w:color="auto"/>
              <w:right w:val="single" w:sz="4" w:space="0" w:color="auto"/>
            </w:tcBorders>
            <w:shd w:val="clear" w:color="auto" w:fill="FFFFFF" w:themeFill="background1"/>
          </w:tcPr>
          <w:p w14:paraId="3720D4D6" w14:textId="77777777" w:rsidR="00D902D6" w:rsidRPr="00D902D6" w:rsidRDefault="00D902D6" w:rsidP="00D902D6">
            <w:pPr>
              <w:rPr>
                <w:color w:val="000000"/>
                <w:sz w:val="20"/>
                <w:szCs w:val="20"/>
              </w:rPr>
            </w:pPr>
            <w:r w:rsidRPr="00D902D6">
              <w:rPr>
                <w:color w:val="000000"/>
                <w:sz w:val="20"/>
                <w:szCs w:val="20"/>
              </w:rPr>
              <w:t>SDI</w:t>
            </w:r>
          </w:p>
        </w:tc>
      </w:tr>
      <w:tr w:rsidR="00D902D6" w:rsidRPr="001B4880" w14:paraId="77D9DB66" w14:textId="77777777" w:rsidTr="00EB6127">
        <w:trPr>
          <w:trHeight w:val="206"/>
        </w:trPr>
        <w:tc>
          <w:tcPr>
            <w:tcW w:w="2104" w:type="dxa"/>
            <w:tcBorders>
              <w:left w:val="single" w:sz="4" w:space="0" w:color="000000"/>
              <w:bottom w:val="single" w:sz="12" w:space="0" w:color="000000"/>
              <w:right w:val="nil"/>
            </w:tcBorders>
            <w:shd w:val="clear" w:color="FFFFFF" w:fill="FFFFFF"/>
          </w:tcPr>
          <w:p w14:paraId="56AF5827" w14:textId="77777777" w:rsidR="00D902D6" w:rsidRPr="00D902D6" w:rsidRDefault="00D902D6" w:rsidP="00D902D6">
            <w:pPr>
              <w:rPr>
                <w:color w:val="000000"/>
                <w:sz w:val="20"/>
                <w:szCs w:val="20"/>
              </w:rPr>
            </w:pPr>
          </w:p>
        </w:tc>
        <w:tc>
          <w:tcPr>
            <w:tcW w:w="10082" w:type="dxa"/>
            <w:tcBorders>
              <w:left w:val="nil"/>
              <w:bottom w:val="single" w:sz="12" w:space="0" w:color="000000"/>
              <w:right w:val="single" w:sz="4" w:space="0" w:color="auto"/>
            </w:tcBorders>
            <w:shd w:val="clear" w:color="FFFFFF" w:fill="FFFFFF"/>
            <w:hideMark/>
          </w:tcPr>
          <w:p w14:paraId="1FD5BB52" w14:textId="77777777" w:rsidR="00D902D6" w:rsidRPr="00D902D6" w:rsidRDefault="00D902D6" w:rsidP="00D902D6">
            <w:pPr>
              <w:pStyle w:val="ListParagraph"/>
              <w:numPr>
                <w:ilvl w:val="0"/>
                <w:numId w:val="34"/>
              </w:numPr>
              <w:rPr>
                <w:color w:val="000000"/>
                <w:sz w:val="20"/>
                <w:szCs w:val="20"/>
              </w:rPr>
            </w:pPr>
            <w:r w:rsidRPr="00D902D6">
              <w:rPr>
                <w:color w:val="000000"/>
                <w:sz w:val="20"/>
                <w:szCs w:val="20"/>
              </w:rPr>
              <w:t xml:space="preserve">Waiting list + weekly assessment and non-directive support via online messaging system with therapists (unspecified qualifications) matching therapist support in the intervention </w:t>
            </w:r>
          </w:p>
        </w:tc>
        <w:tc>
          <w:tcPr>
            <w:tcW w:w="1559" w:type="dxa"/>
            <w:tcBorders>
              <w:left w:val="single" w:sz="4" w:space="0" w:color="auto"/>
              <w:bottom w:val="single" w:sz="12" w:space="0" w:color="000000"/>
              <w:right w:val="single" w:sz="4" w:space="0" w:color="auto"/>
            </w:tcBorders>
            <w:shd w:val="clear" w:color="auto" w:fill="FFFFFF" w:themeFill="background1"/>
          </w:tcPr>
          <w:p w14:paraId="657FEDFC" w14:textId="77777777" w:rsidR="00D902D6" w:rsidRPr="00D902D6" w:rsidRDefault="00D902D6" w:rsidP="00D902D6">
            <w:pPr>
              <w:rPr>
                <w:color w:val="000000"/>
                <w:sz w:val="20"/>
                <w:szCs w:val="20"/>
              </w:rPr>
            </w:pPr>
            <w:r w:rsidRPr="00D902D6">
              <w:rPr>
                <w:color w:val="000000"/>
                <w:sz w:val="20"/>
                <w:szCs w:val="20"/>
              </w:rPr>
              <w:t>SDC</w:t>
            </w:r>
            <w:r w:rsidRPr="00D902D6">
              <w:rPr>
                <w:color w:val="000000"/>
                <w:sz w:val="20"/>
                <w:szCs w:val="20"/>
                <w:vertAlign w:val="superscript"/>
              </w:rPr>
              <w:t>2</w:t>
            </w:r>
          </w:p>
        </w:tc>
      </w:tr>
      <w:tr w:rsidR="00D902D6" w:rsidRPr="001B4880" w14:paraId="21B682C1" w14:textId="77777777" w:rsidTr="00EB6127">
        <w:trPr>
          <w:trHeight w:val="195"/>
        </w:trPr>
        <w:tc>
          <w:tcPr>
            <w:tcW w:w="2104" w:type="dxa"/>
            <w:tcBorders>
              <w:top w:val="single" w:sz="12" w:space="0" w:color="000000"/>
              <w:left w:val="single" w:sz="4" w:space="0" w:color="000000"/>
              <w:right w:val="nil"/>
            </w:tcBorders>
            <w:shd w:val="clear" w:color="FFFFFF" w:fill="FFFFFF"/>
            <w:hideMark/>
          </w:tcPr>
          <w:p w14:paraId="7BC2C5BF" w14:textId="77777777" w:rsidR="00D902D6" w:rsidRPr="00D902D6" w:rsidRDefault="00D902D6" w:rsidP="00D902D6">
            <w:pPr>
              <w:rPr>
                <w:color w:val="000000"/>
                <w:sz w:val="20"/>
                <w:szCs w:val="20"/>
              </w:rPr>
            </w:pPr>
            <w:r w:rsidRPr="00D902D6">
              <w:rPr>
                <w:color w:val="000000"/>
                <w:sz w:val="20"/>
                <w:szCs w:val="20"/>
              </w:rPr>
              <w:t>Jones 2016</w:t>
            </w:r>
          </w:p>
        </w:tc>
        <w:tc>
          <w:tcPr>
            <w:tcW w:w="10082" w:type="dxa"/>
            <w:tcBorders>
              <w:top w:val="single" w:sz="12" w:space="0" w:color="000000"/>
              <w:left w:val="nil"/>
              <w:right w:val="single" w:sz="4" w:space="0" w:color="auto"/>
            </w:tcBorders>
            <w:shd w:val="clear" w:color="FFFFFF" w:fill="FFFFFF"/>
            <w:hideMark/>
          </w:tcPr>
          <w:p w14:paraId="7A292D97" w14:textId="77777777" w:rsidR="00D902D6" w:rsidRPr="00D902D6" w:rsidRDefault="00D902D6" w:rsidP="00D902D6">
            <w:pPr>
              <w:pStyle w:val="ListParagraph"/>
              <w:numPr>
                <w:ilvl w:val="0"/>
                <w:numId w:val="35"/>
              </w:numPr>
              <w:rPr>
                <w:color w:val="000000"/>
                <w:sz w:val="20"/>
                <w:szCs w:val="20"/>
              </w:rPr>
            </w:pPr>
            <w:r w:rsidRPr="00D902D6">
              <w:rPr>
                <w:color w:val="000000"/>
                <w:sz w:val="20"/>
                <w:szCs w:val="20"/>
              </w:rPr>
              <w:t>Web-based CBT + weekly messages via online messaging system by therapists (unspecified qualification)</w:t>
            </w:r>
          </w:p>
        </w:tc>
        <w:tc>
          <w:tcPr>
            <w:tcW w:w="1559" w:type="dxa"/>
            <w:tcBorders>
              <w:top w:val="single" w:sz="12" w:space="0" w:color="000000"/>
              <w:left w:val="single" w:sz="4" w:space="0" w:color="auto"/>
              <w:right w:val="single" w:sz="4" w:space="0" w:color="auto"/>
            </w:tcBorders>
            <w:shd w:val="clear" w:color="auto" w:fill="FFFFFF" w:themeFill="background1"/>
          </w:tcPr>
          <w:p w14:paraId="18C6E7C7" w14:textId="77777777" w:rsidR="00D902D6" w:rsidRPr="00D902D6" w:rsidRDefault="00D902D6" w:rsidP="00D902D6">
            <w:pPr>
              <w:rPr>
                <w:color w:val="000000"/>
                <w:sz w:val="20"/>
                <w:szCs w:val="20"/>
              </w:rPr>
            </w:pPr>
            <w:r w:rsidRPr="00D902D6">
              <w:rPr>
                <w:color w:val="000000"/>
                <w:sz w:val="20"/>
                <w:szCs w:val="20"/>
              </w:rPr>
              <w:t>SDI</w:t>
            </w:r>
          </w:p>
        </w:tc>
      </w:tr>
      <w:tr w:rsidR="00D902D6" w:rsidRPr="001B4880" w14:paraId="37926AF6" w14:textId="77777777" w:rsidTr="00EB6127">
        <w:trPr>
          <w:trHeight w:val="300"/>
        </w:trPr>
        <w:tc>
          <w:tcPr>
            <w:tcW w:w="2104" w:type="dxa"/>
            <w:tcBorders>
              <w:left w:val="single" w:sz="4" w:space="0" w:color="000000"/>
              <w:bottom w:val="single" w:sz="12" w:space="0" w:color="000000"/>
              <w:right w:val="nil"/>
            </w:tcBorders>
            <w:shd w:val="clear" w:color="FFFFFF" w:fill="FFFFFF"/>
            <w:hideMark/>
          </w:tcPr>
          <w:p w14:paraId="71C2E833" w14:textId="77777777" w:rsidR="00D902D6" w:rsidRPr="00D902D6" w:rsidRDefault="00D902D6" w:rsidP="00D902D6">
            <w:pPr>
              <w:rPr>
                <w:color w:val="000000"/>
                <w:sz w:val="20"/>
                <w:szCs w:val="20"/>
              </w:rPr>
            </w:pPr>
          </w:p>
        </w:tc>
        <w:tc>
          <w:tcPr>
            <w:tcW w:w="10082" w:type="dxa"/>
            <w:tcBorders>
              <w:left w:val="nil"/>
              <w:bottom w:val="single" w:sz="12" w:space="0" w:color="000000"/>
              <w:right w:val="single" w:sz="4" w:space="0" w:color="auto"/>
            </w:tcBorders>
            <w:shd w:val="clear" w:color="FFFFFF" w:fill="FFFFFF"/>
            <w:hideMark/>
          </w:tcPr>
          <w:p w14:paraId="5D52CE4F" w14:textId="77777777" w:rsidR="00D902D6" w:rsidRPr="00D902D6" w:rsidRDefault="00D902D6" w:rsidP="00D902D6">
            <w:pPr>
              <w:pStyle w:val="ListParagraph"/>
              <w:numPr>
                <w:ilvl w:val="0"/>
                <w:numId w:val="35"/>
              </w:numPr>
              <w:rPr>
                <w:color w:val="000000"/>
                <w:sz w:val="20"/>
                <w:szCs w:val="20"/>
              </w:rPr>
            </w:pPr>
            <w:r w:rsidRPr="00D902D6">
              <w:rPr>
                <w:color w:val="000000"/>
                <w:sz w:val="20"/>
                <w:szCs w:val="20"/>
              </w:rPr>
              <w:t>Waiting list (crossover after 7-10 weeks) – no monitoring or other input specified</w:t>
            </w:r>
          </w:p>
        </w:tc>
        <w:tc>
          <w:tcPr>
            <w:tcW w:w="1559" w:type="dxa"/>
            <w:tcBorders>
              <w:left w:val="single" w:sz="4" w:space="0" w:color="auto"/>
              <w:bottom w:val="single" w:sz="12" w:space="0" w:color="000000"/>
              <w:right w:val="single" w:sz="4" w:space="0" w:color="auto"/>
            </w:tcBorders>
            <w:shd w:val="clear" w:color="auto" w:fill="FFFFFF" w:themeFill="background1"/>
          </w:tcPr>
          <w:p w14:paraId="4CC18830" w14:textId="77777777" w:rsidR="00D902D6" w:rsidRPr="00D902D6" w:rsidRDefault="00D902D6" w:rsidP="00D902D6">
            <w:pPr>
              <w:rPr>
                <w:color w:val="000000"/>
                <w:sz w:val="20"/>
                <w:szCs w:val="20"/>
              </w:rPr>
            </w:pPr>
            <w:r w:rsidRPr="00D902D6">
              <w:rPr>
                <w:color w:val="000000"/>
                <w:sz w:val="20"/>
                <w:szCs w:val="20"/>
              </w:rPr>
              <w:t>NI</w:t>
            </w:r>
          </w:p>
        </w:tc>
      </w:tr>
      <w:tr w:rsidR="00D902D6" w:rsidRPr="001B4880" w14:paraId="3FE89AB4" w14:textId="77777777" w:rsidTr="00EB6127">
        <w:trPr>
          <w:trHeight w:val="50"/>
        </w:trPr>
        <w:tc>
          <w:tcPr>
            <w:tcW w:w="2104" w:type="dxa"/>
            <w:tcBorders>
              <w:top w:val="single" w:sz="12" w:space="0" w:color="000000"/>
              <w:left w:val="single" w:sz="4" w:space="0" w:color="000000"/>
              <w:right w:val="nil"/>
            </w:tcBorders>
            <w:shd w:val="clear" w:color="FFFFFF" w:fill="FFFFFF"/>
            <w:hideMark/>
          </w:tcPr>
          <w:p w14:paraId="071E2AD3" w14:textId="77777777" w:rsidR="00D902D6" w:rsidRPr="00D902D6" w:rsidRDefault="00D902D6" w:rsidP="00D902D6">
            <w:pPr>
              <w:rPr>
                <w:color w:val="000000"/>
                <w:sz w:val="20"/>
                <w:szCs w:val="20"/>
              </w:rPr>
            </w:pPr>
            <w:r w:rsidRPr="00D902D6">
              <w:rPr>
                <w:color w:val="000000"/>
                <w:sz w:val="20"/>
                <w:szCs w:val="20"/>
              </w:rPr>
              <w:t>Navarro-Haro 2019</w:t>
            </w:r>
          </w:p>
        </w:tc>
        <w:tc>
          <w:tcPr>
            <w:tcW w:w="10082" w:type="dxa"/>
            <w:tcBorders>
              <w:top w:val="single" w:sz="12" w:space="0" w:color="000000"/>
              <w:left w:val="nil"/>
              <w:right w:val="single" w:sz="4" w:space="0" w:color="auto"/>
            </w:tcBorders>
            <w:shd w:val="clear" w:color="FFFFFF" w:fill="FFFFFF"/>
            <w:hideMark/>
          </w:tcPr>
          <w:p w14:paraId="2B5D90C2" w14:textId="77777777" w:rsidR="00D902D6" w:rsidRPr="00D902D6" w:rsidRDefault="00D902D6" w:rsidP="00D902D6">
            <w:pPr>
              <w:pStyle w:val="ListParagraph"/>
              <w:numPr>
                <w:ilvl w:val="0"/>
                <w:numId w:val="36"/>
              </w:numPr>
              <w:rPr>
                <w:color w:val="000000"/>
                <w:sz w:val="20"/>
                <w:szCs w:val="20"/>
              </w:rPr>
            </w:pPr>
            <w:r w:rsidRPr="00D902D6">
              <w:rPr>
                <w:color w:val="000000"/>
                <w:sz w:val="20"/>
                <w:szCs w:val="20"/>
              </w:rPr>
              <w:t>Group MBI in weekly onsite meetings with a therapist</w:t>
            </w:r>
          </w:p>
        </w:tc>
        <w:tc>
          <w:tcPr>
            <w:tcW w:w="1559" w:type="dxa"/>
            <w:tcBorders>
              <w:top w:val="single" w:sz="12" w:space="0" w:color="000000"/>
              <w:left w:val="single" w:sz="4" w:space="0" w:color="auto"/>
              <w:right w:val="single" w:sz="4" w:space="0" w:color="auto"/>
            </w:tcBorders>
            <w:shd w:val="clear" w:color="auto" w:fill="FFFFFF" w:themeFill="background1"/>
          </w:tcPr>
          <w:p w14:paraId="3F872D7B" w14:textId="77777777" w:rsidR="00D902D6" w:rsidRPr="00D902D6" w:rsidRDefault="00D902D6" w:rsidP="00D902D6">
            <w:pPr>
              <w:rPr>
                <w:sz w:val="20"/>
                <w:szCs w:val="20"/>
              </w:rPr>
            </w:pPr>
            <w:r w:rsidRPr="00D902D6">
              <w:rPr>
                <w:sz w:val="20"/>
                <w:szCs w:val="20"/>
              </w:rPr>
              <w:t>SNoDI</w:t>
            </w:r>
          </w:p>
        </w:tc>
      </w:tr>
      <w:tr w:rsidR="00D902D6" w:rsidRPr="001B4880" w14:paraId="0ED08885" w14:textId="77777777" w:rsidTr="00EB6127">
        <w:trPr>
          <w:trHeight w:val="255"/>
        </w:trPr>
        <w:tc>
          <w:tcPr>
            <w:tcW w:w="2104" w:type="dxa"/>
            <w:tcBorders>
              <w:left w:val="single" w:sz="4" w:space="0" w:color="000000"/>
              <w:bottom w:val="single" w:sz="12" w:space="0" w:color="000000"/>
              <w:right w:val="nil"/>
            </w:tcBorders>
            <w:shd w:val="clear" w:color="FFFFFF" w:fill="FFFFFF"/>
            <w:hideMark/>
          </w:tcPr>
          <w:p w14:paraId="5983CF1E" w14:textId="77777777" w:rsidR="00D902D6" w:rsidRPr="00D902D6" w:rsidRDefault="00D902D6" w:rsidP="00D902D6">
            <w:pPr>
              <w:rPr>
                <w:color w:val="000000"/>
                <w:sz w:val="20"/>
                <w:szCs w:val="20"/>
              </w:rPr>
            </w:pPr>
          </w:p>
        </w:tc>
        <w:tc>
          <w:tcPr>
            <w:tcW w:w="10082" w:type="dxa"/>
            <w:tcBorders>
              <w:left w:val="nil"/>
              <w:bottom w:val="single" w:sz="12" w:space="0" w:color="000000"/>
              <w:right w:val="single" w:sz="4" w:space="0" w:color="auto"/>
            </w:tcBorders>
            <w:shd w:val="clear" w:color="FFFFFF" w:fill="FFFFFF"/>
            <w:hideMark/>
          </w:tcPr>
          <w:p w14:paraId="30ADA909" w14:textId="77777777" w:rsidR="00D902D6" w:rsidRPr="00D902D6" w:rsidRDefault="00D902D6" w:rsidP="00D902D6">
            <w:pPr>
              <w:pStyle w:val="ListParagraph"/>
              <w:numPr>
                <w:ilvl w:val="0"/>
                <w:numId w:val="36"/>
              </w:numPr>
              <w:rPr>
                <w:color w:val="000000"/>
                <w:sz w:val="20"/>
                <w:szCs w:val="20"/>
              </w:rPr>
            </w:pPr>
            <w:r w:rsidRPr="00D902D6">
              <w:rPr>
                <w:color w:val="000000"/>
                <w:sz w:val="20"/>
                <w:szCs w:val="20"/>
              </w:rPr>
              <w:t>VR mindfulness skills + group MBI in weekly onsite meetings with a therapist</w:t>
            </w:r>
          </w:p>
        </w:tc>
        <w:tc>
          <w:tcPr>
            <w:tcW w:w="1559" w:type="dxa"/>
            <w:tcBorders>
              <w:left w:val="single" w:sz="4" w:space="0" w:color="auto"/>
              <w:bottom w:val="single" w:sz="12" w:space="0" w:color="000000"/>
              <w:right w:val="single" w:sz="4" w:space="0" w:color="auto"/>
            </w:tcBorders>
            <w:shd w:val="clear" w:color="auto" w:fill="FFFFFF" w:themeFill="background1"/>
          </w:tcPr>
          <w:p w14:paraId="113A90C5" w14:textId="77777777" w:rsidR="00D902D6" w:rsidRPr="00D902D6" w:rsidRDefault="00D902D6" w:rsidP="00D902D6">
            <w:pPr>
              <w:rPr>
                <w:color w:val="000000"/>
                <w:sz w:val="20"/>
                <w:szCs w:val="20"/>
              </w:rPr>
            </w:pPr>
            <w:r w:rsidRPr="00D902D6">
              <w:rPr>
                <w:color w:val="000000"/>
                <w:sz w:val="20"/>
                <w:szCs w:val="20"/>
              </w:rPr>
              <w:t>SDI</w:t>
            </w:r>
          </w:p>
        </w:tc>
      </w:tr>
      <w:tr w:rsidR="00D902D6" w:rsidRPr="001B4880" w14:paraId="203779D7" w14:textId="77777777" w:rsidTr="00EB6127">
        <w:trPr>
          <w:trHeight w:val="50"/>
        </w:trPr>
        <w:tc>
          <w:tcPr>
            <w:tcW w:w="2104" w:type="dxa"/>
            <w:tcBorders>
              <w:top w:val="single" w:sz="12" w:space="0" w:color="000000"/>
              <w:left w:val="single" w:sz="4" w:space="0" w:color="000000"/>
              <w:right w:val="nil"/>
            </w:tcBorders>
            <w:shd w:val="clear" w:color="FFFFFF" w:fill="FFFFFF"/>
            <w:hideMark/>
          </w:tcPr>
          <w:p w14:paraId="71121D92" w14:textId="77777777" w:rsidR="00D902D6" w:rsidRPr="00D902D6" w:rsidRDefault="00D902D6" w:rsidP="00D902D6">
            <w:pPr>
              <w:rPr>
                <w:color w:val="000000"/>
                <w:sz w:val="20"/>
                <w:szCs w:val="20"/>
              </w:rPr>
            </w:pPr>
            <w:r w:rsidRPr="00D902D6">
              <w:rPr>
                <w:color w:val="000000"/>
                <w:sz w:val="20"/>
                <w:szCs w:val="20"/>
              </w:rPr>
              <w:t>Paxling 2011</w:t>
            </w:r>
          </w:p>
        </w:tc>
        <w:tc>
          <w:tcPr>
            <w:tcW w:w="10082" w:type="dxa"/>
            <w:tcBorders>
              <w:top w:val="single" w:sz="12" w:space="0" w:color="000000"/>
              <w:left w:val="nil"/>
              <w:right w:val="single" w:sz="4" w:space="0" w:color="auto"/>
            </w:tcBorders>
            <w:shd w:val="clear" w:color="FFFFFF" w:fill="FFFFFF"/>
            <w:hideMark/>
          </w:tcPr>
          <w:p w14:paraId="5F056046" w14:textId="77777777" w:rsidR="00D902D6" w:rsidRPr="00D902D6" w:rsidRDefault="00D902D6" w:rsidP="00D902D6">
            <w:pPr>
              <w:pStyle w:val="ListParagraph"/>
              <w:numPr>
                <w:ilvl w:val="0"/>
                <w:numId w:val="37"/>
              </w:numPr>
              <w:rPr>
                <w:color w:val="000000"/>
                <w:sz w:val="20"/>
                <w:szCs w:val="20"/>
              </w:rPr>
            </w:pPr>
            <w:r w:rsidRPr="00D902D6">
              <w:rPr>
                <w:color w:val="000000"/>
                <w:sz w:val="20"/>
                <w:szCs w:val="20"/>
              </w:rPr>
              <w:t xml:space="preserve">Web-based CBT (like an online book) + weekly online/email contact with therapist </w:t>
            </w:r>
          </w:p>
        </w:tc>
        <w:tc>
          <w:tcPr>
            <w:tcW w:w="1559" w:type="dxa"/>
            <w:tcBorders>
              <w:top w:val="single" w:sz="12" w:space="0" w:color="000000"/>
              <w:left w:val="single" w:sz="4" w:space="0" w:color="auto"/>
              <w:right w:val="single" w:sz="4" w:space="0" w:color="auto"/>
            </w:tcBorders>
            <w:shd w:val="clear" w:color="auto" w:fill="FFFFFF" w:themeFill="background1"/>
          </w:tcPr>
          <w:p w14:paraId="6C4B4F8B" w14:textId="77777777" w:rsidR="00D902D6" w:rsidRPr="00D902D6" w:rsidRDefault="00D902D6" w:rsidP="00D902D6">
            <w:pPr>
              <w:rPr>
                <w:color w:val="000000"/>
                <w:sz w:val="20"/>
                <w:szCs w:val="20"/>
              </w:rPr>
            </w:pPr>
            <w:r w:rsidRPr="00D902D6">
              <w:rPr>
                <w:color w:val="000000"/>
                <w:sz w:val="20"/>
                <w:szCs w:val="20"/>
              </w:rPr>
              <w:t>SDI</w:t>
            </w:r>
          </w:p>
        </w:tc>
      </w:tr>
      <w:tr w:rsidR="00D902D6" w:rsidRPr="001B4880" w14:paraId="198019FB" w14:textId="77777777" w:rsidTr="00EB6127">
        <w:trPr>
          <w:trHeight w:val="300"/>
        </w:trPr>
        <w:tc>
          <w:tcPr>
            <w:tcW w:w="2104" w:type="dxa"/>
            <w:tcBorders>
              <w:left w:val="single" w:sz="4" w:space="0" w:color="000000"/>
              <w:bottom w:val="single" w:sz="12" w:space="0" w:color="000000"/>
              <w:right w:val="nil"/>
            </w:tcBorders>
            <w:shd w:val="clear" w:color="FFFFFF" w:fill="FFFFFF"/>
            <w:hideMark/>
          </w:tcPr>
          <w:p w14:paraId="0B49E7C7" w14:textId="77777777" w:rsidR="00D902D6" w:rsidRPr="00D902D6" w:rsidRDefault="00D902D6" w:rsidP="00D902D6">
            <w:pPr>
              <w:rPr>
                <w:color w:val="000000"/>
                <w:sz w:val="20"/>
                <w:szCs w:val="20"/>
              </w:rPr>
            </w:pPr>
          </w:p>
        </w:tc>
        <w:tc>
          <w:tcPr>
            <w:tcW w:w="10082" w:type="dxa"/>
            <w:tcBorders>
              <w:left w:val="nil"/>
              <w:bottom w:val="single" w:sz="12" w:space="0" w:color="000000"/>
              <w:right w:val="single" w:sz="4" w:space="0" w:color="auto"/>
            </w:tcBorders>
            <w:shd w:val="clear" w:color="FFFFFF" w:fill="FFFFFF"/>
            <w:hideMark/>
          </w:tcPr>
          <w:p w14:paraId="2D4D7963" w14:textId="77777777" w:rsidR="00D902D6" w:rsidRPr="00D902D6" w:rsidRDefault="00D902D6" w:rsidP="00D902D6">
            <w:pPr>
              <w:pStyle w:val="ListParagraph"/>
              <w:numPr>
                <w:ilvl w:val="0"/>
                <w:numId w:val="37"/>
              </w:numPr>
              <w:rPr>
                <w:color w:val="000000"/>
                <w:sz w:val="20"/>
                <w:szCs w:val="20"/>
              </w:rPr>
            </w:pPr>
            <w:r w:rsidRPr="00D902D6">
              <w:rPr>
                <w:color w:val="000000"/>
                <w:sz w:val="20"/>
                <w:szCs w:val="20"/>
              </w:rPr>
              <w:t>Waiting list (crossover after 8 weeks) - no monitoring or other input specified</w:t>
            </w:r>
          </w:p>
        </w:tc>
        <w:tc>
          <w:tcPr>
            <w:tcW w:w="1559" w:type="dxa"/>
            <w:tcBorders>
              <w:left w:val="single" w:sz="4" w:space="0" w:color="auto"/>
              <w:bottom w:val="single" w:sz="12" w:space="0" w:color="000000"/>
              <w:right w:val="single" w:sz="4" w:space="0" w:color="auto"/>
            </w:tcBorders>
            <w:shd w:val="clear" w:color="auto" w:fill="FFFFFF" w:themeFill="background1"/>
          </w:tcPr>
          <w:p w14:paraId="1036985E" w14:textId="77777777" w:rsidR="00D902D6" w:rsidRPr="00D902D6" w:rsidRDefault="00D902D6" w:rsidP="00D902D6">
            <w:pPr>
              <w:rPr>
                <w:color w:val="000000"/>
                <w:sz w:val="20"/>
                <w:szCs w:val="20"/>
              </w:rPr>
            </w:pPr>
            <w:r w:rsidRPr="00D902D6">
              <w:rPr>
                <w:color w:val="000000"/>
                <w:sz w:val="20"/>
                <w:szCs w:val="20"/>
              </w:rPr>
              <w:t>NI</w:t>
            </w:r>
          </w:p>
        </w:tc>
      </w:tr>
      <w:tr w:rsidR="00D902D6" w:rsidRPr="001B4880" w14:paraId="60AE6D3F" w14:textId="77777777" w:rsidTr="00EB6127">
        <w:trPr>
          <w:trHeight w:val="50"/>
        </w:trPr>
        <w:tc>
          <w:tcPr>
            <w:tcW w:w="2104" w:type="dxa"/>
            <w:tcBorders>
              <w:top w:val="single" w:sz="12" w:space="0" w:color="000000"/>
              <w:left w:val="single" w:sz="4" w:space="0" w:color="000000"/>
            </w:tcBorders>
            <w:shd w:val="clear" w:color="FFFFFF" w:fill="FFFFFF"/>
            <w:hideMark/>
          </w:tcPr>
          <w:p w14:paraId="62715EC4" w14:textId="77777777" w:rsidR="00D902D6" w:rsidRPr="00D902D6" w:rsidRDefault="00D902D6" w:rsidP="00D902D6">
            <w:pPr>
              <w:rPr>
                <w:color w:val="000000"/>
                <w:sz w:val="20"/>
                <w:szCs w:val="20"/>
              </w:rPr>
            </w:pPr>
            <w:r w:rsidRPr="00D902D6">
              <w:rPr>
                <w:color w:val="000000"/>
                <w:sz w:val="20"/>
                <w:szCs w:val="20"/>
              </w:rPr>
              <w:t>Pham 2016</w:t>
            </w:r>
          </w:p>
        </w:tc>
        <w:tc>
          <w:tcPr>
            <w:tcW w:w="10082" w:type="dxa"/>
            <w:tcBorders>
              <w:top w:val="single" w:sz="12" w:space="0" w:color="000000"/>
              <w:right w:val="single" w:sz="4" w:space="0" w:color="auto"/>
            </w:tcBorders>
            <w:shd w:val="clear" w:color="FFFFFF" w:fill="FFFFFF"/>
            <w:hideMark/>
          </w:tcPr>
          <w:p w14:paraId="324D61F7" w14:textId="77777777" w:rsidR="00D902D6" w:rsidRPr="00D902D6" w:rsidRDefault="00D902D6" w:rsidP="00D902D6">
            <w:pPr>
              <w:pStyle w:val="ListParagraph"/>
              <w:numPr>
                <w:ilvl w:val="0"/>
                <w:numId w:val="38"/>
              </w:numPr>
              <w:rPr>
                <w:color w:val="000000"/>
                <w:sz w:val="20"/>
                <w:szCs w:val="20"/>
              </w:rPr>
            </w:pPr>
            <w:r w:rsidRPr="00D902D6">
              <w:rPr>
                <w:color w:val="000000"/>
                <w:sz w:val="20"/>
                <w:szCs w:val="20"/>
              </w:rPr>
              <w:t>Mobile game of breathing re-training – no interpersonal contact</w:t>
            </w:r>
          </w:p>
        </w:tc>
        <w:tc>
          <w:tcPr>
            <w:tcW w:w="1559" w:type="dxa"/>
            <w:tcBorders>
              <w:top w:val="single" w:sz="12" w:space="0" w:color="000000"/>
              <w:left w:val="single" w:sz="4" w:space="0" w:color="auto"/>
              <w:right w:val="single" w:sz="4" w:space="0" w:color="auto"/>
            </w:tcBorders>
            <w:shd w:val="clear" w:color="auto" w:fill="FFFFFF" w:themeFill="background1"/>
          </w:tcPr>
          <w:p w14:paraId="5DB4159F" w14:textId="77777777" w:rsidR="00D902D6" w:rsidRPr="00D902D6" w:rsidRDefault="00D902D6" w:rsidP="00D902D6">
            <w:pPr>
              <w:rPr>
                <w:color w:val="000000"/>
                <w:sz w:val="20"/>
                <w:szCs w:val="20"/>
              </w:rPr>
            </w:pPr>
            <w:r w:rsidRPr="00D902D6">
              <w:rPr>
                <w:color w:val="000000"/>
                <w:sz w:val="20"/>
                <w:szCs w:val="20"/>
              </w:rPr>
              <w:t>UDI</w:t>
            </w:r>
          </w:p>
        </w:tc>
      </w:tr>
      <w:tr w:rsidR="00D902D6" w:rsidRPr="001B4880" w14:paraId="577A8658" w14:textId="77777777" w:rsidTr="00EB6127">
        <w:trPr>
          <w:trHeight w:val="253"/>
        </w:trPr>
        <w:tc>
          <w:tcPr>
            <w:tcW w:w="2104" w:type="dxa"/>
            <w:tcBorders>
              <w:left w:val="single" w:sz="4" w:space="0" w:color="000000"/>
              <w:bottom w:val="single" w:sz="12" w:space="0" w:color="000000"/>
            </w:tcBorders>
            <w:shd w:val="clear" w:color="FFFFFF" w:fill="FFFFFF"/>
            <w:hideMark/>
          </w:tcPr>
          <w:p w14:paraId="1EA1E6BA" w14:textId="77777777" w:rsidR="00D902D6" w:rsidRPr="00D902D6" w:rsidRDefault="00D902D6" w:rsidP="00D902D6">
            <w:pPr>
              <w:rPr>
                <w:color w:val="000000"/>
                <w:sz w:val="20"/>
                <w:szCs w:val="20"/>
              </w:rPr>
            </w:pPr>
          </w:p>
        </w:tc>
        <w:tc>
          <w:tcPr>
            <w:tcW w:w="10082" w:type="dxa"/>
            <w:tcBorders>
              <w:bottom w:val="single" w:sz="12" w:space="0" w:color="000000"/>
              <w:right w:val="single" w:sz="4" w:space="0" w:color="auto"/>
            </w:tcBorders>
            <w:shd w:val="clear" w:color="FFFFFF" w:fill="FFFFFF"/>
            <w:hideMark/>
          </w:tcPr>
          <w:p w14:paraId="441D2312" w14:textId="77777777" w:rsidR="00D902D6" w:rsidRPr="00D902D6" w:rsidRDefault="00D902D6" w:rsidP="00D902D6">
            <w:pPr>
              <w:pStyle w:val="ListParagraph"/>
              <w:numPr>
                <w:ilvl w:val="0"/>
                <w:numId w:val="38"/>
              </w:numPr>
              <w:rPr>
                <w:color w:val="000000"/>
                <w:sz w:val="20"/>
                <w:szCs w:val="20"/>
              </w:rPr>
            </w:pPr>
            <w:r w:rsidRPr="00D902D6">
              <w:rPr>
                <w:color w:val="000000"/>
                <w:sz w:val="20"/>
                <w:szCs w:val="20"/>
              </w:rPr>
              <w:t>Waiting list + weekly newsletter with curated content on breathing retraining exercises, matching content to mobile game, mindfulness meditation (assumed via mobile but not clear) + email reminders to complete assessments (crossover to access the mobile game after 4 weeks)</w:t>
            </w:r>
          </w:p>
        </w:tc>
        <w:tc>
          <w:tcPr>
            <w:tcW w:w="1559" w:type="dxa"/>
            <w:tcBorders>
              <w:left w:val="single" w:sz="4" w:space="0" w:color="auto"/>
              <w:bottom w:val="single" w:sz="12" w:space="0" w:color="000000"/>
              <w:right w:val="single" w:sz="4" w:space="0" w:color="auto"/>
            </w:tcBorders>
            <w:shd w:val="clear" w:color="auto" w:fill="FFFFFF" w:themeFill="background1"/>
          </w:tcPr>
          <w:p w14:paraId="2CD7378A" w14:textId="77777777" w:rsidR="00D902D6" w:rsidRPr="00D902D6" w:rsidRDefault="00D902D6" w:rsidP="00D902D6">
            <w:pPr>
              <w:rPr>
                <w:color w:val="000000"/>
                <w:sz w:val="20"/>
                <w:szCs w:val="20"/>
              </w:rPr>
            </w:pPr>
            <w:r w:rsidRPr="00D902D6">
              <w:rPr>
                <w:color w:val="000000"/>
                <w:sz w:val="20"/>
                <w:szCs w:val="20"/>
              </w:rPr>
              <w:t>UDC</w:t>
            </w:r>
            <w:r w:rsidRPr="00D902D6">
              <w:rPr>
                <w:color w:val="000000"/>
                <w:sz w:val="20"/>
                <w:szCs w:val="20"/>
                <w:vertAlign w:val="superscript"/>
              </w:rPr>
              <w:t>3</w:t>
            </w:r>
          </w:p>
        </w:tc>
      </w:tr>
      <w:tr w:rsidR="00D902D6" w:rsidRPr="001B4880" w14:paraId="33F146AA" w14:textId="77777777" w:rsidTr="00EB6127">
        <w:trPr>
          <w:trHeight w:val="50"/>
        </w:trPr>
        <w:tc>
          <w:tcPr>
            <w:tcW w:w="2104" w:type="dxa"/>
            <w:tcBorders>
              <w:top w:val="single" w:sz="12" w:space="0" w:color="000000"/>
              <w:left w:val="single" w:sz="4" w:space="0" w:color="000000"/>
              <w:right w:val="nil"/>
            </w:tcBorders>
            <w:shd w:val="clear" w:color="FFFFFF" w:fill="FFFFFF"/>
            <w:hideMark/>
          </w:tcPr>
          <w:p w14:paraId="1280B650" w14:textId="77777777" w:rsidR="00D902D6" w:rsidRPr="00D902D6" w:rsidRDefault="00D902D6" w:rsidP="00D902D6">
            <w:pPr>
              <w:rPr>
                <w:color w:val="000000"/>
                <w:sz w:val="20"/>
                <w:szCs w:val="20"/>
              </w:rPr>
            </w:pPr>
            <w:r w:rsidRPr="00D902D6">
              <w:rPr>
                <w:color w:val="000000"/>
                <w:sz w:val="20"/>
                <w:szCs w:val="20"/>
              </w:rPr>
              <w:t xml:space="preserve">Repetto 2013 </w:t>
            </w:r>
          </w:p>
        </w:tc>
        <w:tc>
          <w:tcPr>
            <w:tcW w:w="10082" w:type="dxa"/>
            <w:tcBorders>
              <w:top w:val="single" w:sz="12" w:space="0" w:color="000000"/>
              <w:left w:val="nil"/>
              <w:right w:val="single" w:sz="4" w:space="0" w:color="auto"/>
            </w:tcBorders>
            <w:shd w:val="clear" w:color="FFFFFF" w:fill="FFFFFF"/>
            <w:hideMark/>
          </w:tcPr>
          <w:p w14:paraId="6EDED474" w14:textId="77777777" w:rsidR="00D902D6" w:rsidRPr="00D902D6" w:rsidRDefault="00D902D6" w:rsidP="00D902D6">
            <w:pPr>
              <w:pStyle w:val="ListParagraph"/>
              <w:numPr>
                <w:ilvl w:val="0"/>
                <w:numId w:val="39"/>
              </w:numPr>
              <w:rPr>
                <w:color w:val="000000"/>
                <w:sz w:val="20"/>
                <w:szCs w:val="20"/>
              </w:rPr>
            </w:pPr>
            <w:r w:rsidRPr="00D902D6">
              <w:rPr>
                <w:color w:val="000000"/>
                <w:sz w:val="20"/>
                <w:szCs w:val="20"/>
              </w:rPr>
              <w:t>VR relaxation during weekly meetings with therapist + mobile phone home-access of VR environments</w:t>
            </w:r>
          </w:p>
        </w:tc>
        <w:tc>
          <w:tcPr>
            <w:tcW w:w="1559" w:type="dxa"/>
            <w:tcBorders>
              <w:top w:val="single" w:sz="12" w:space="0" w:color="000000"/>
              <w:left w:val="single" w:sz="4" w:space="0" w:color="auto"/>
              <w:right w:val="single" w:sz="4" w:space="0" w:color="auto"/>
            </w:tcBorders>
            <w:shd w:val="clear" w:color="auto" w:fill="FFFFFF" w:themeFill="background1"/>
          </w:tcPr>
          <w:p w14:paraId="75896B96" w14:textId="77777777" w:rsidR="00D902D6" w:rsidRPr="00D902D6" w:rsidRDefault="00D902D6" w:rsidP="00D902D6">
            <w:pPr>
              <w:rPr>
                <w:color w:val="000000"/>
                <w:sz w:val="20"/>
                <w:szCs w:val="20"/>
              </w:rPr>
            </w:pPr>
            <w:r w:rsidRPr="00D902D6">
              <w:rPr>
                <w:color w:val="000000"/>
                <w:sz w:val="20"/>
                <w:szCs w:val="20"/>
              </w:rPr>
              <w:t>SDI</w:t>
            </w:r>
          </w:p>
        </w:tc>
      </w:tr>
      <w:tr w:rsidR="00D902D6" w:rsidRPr="001B4880" w14:paraId="526BC77F" w14:textId="77777777" w:rsidTr="00EB6127">
        <w:trPr>
          <w:trHeight w:val="80"/>
        </w:trPr>
        <w:tc>
          <w:tcPr>
            <w:tcW w:w="2104" w:type="dxa"/>
            <w:tcBorders>
              <w:left w:val="single" w:sz="4" w:space="0" w:color="000000"/>
              <w:right w:val="nil"/>
            </w:tcBorders>
            <w:shd w:val="clear" w:color="FFFFFF" w:fill="FFFFFF"/>
          </w:tcPr>
          <w:p w14:paraId="4A30B442" w14:textId="77777777" w:rsidR="00D902D6" w:rsidRPr="00D902D6" w:rsidRDefault="00D902D6" w:rsidP="00D902D6">
            <w:pPr>
              <w:rPr>
                <w:color w:val="000000"/>
                <w:sz w:val="20"/>
                <w:szCs w:val="20"/>
              </w:rPr>
            </w:pPr>
          </w:p>
        </w:tc>
        <w:tc>
          <w:tcPr>
            <w:tcW w:w="10082" w:type="dxa"/>
            <w:tcBorders>
              <w:left w:val="nil"/>
              <w:right w:val="single" w:sz="4" w:space="0" w:color="auto"/>
            </w:tcBorders>
            <w:shd w:val="clear" w:color="FFFFFF" w:fill="FFFFFF"/>
            <w:hideMark/>
          </w:tcPr>
          <w:p w14:paraId="49803346" w14:textId="77777777" w:rsidR="00D902D6" w:rsidRPr="00D902D6" w:rsidRDefault="00D902D6" w:rsidP="00D902D6">
            <w:pPr>
              <w:pStyle w:val="ListParagraph"/>
              <w:numPr>
                <w:ilvl w:val="0"/>
                <w:numId w:val="39"/>
              </w:numPr>
              <w:rPr>
                <w:color w:val="000000"/>
                <w:sz w:val="20"/>
                <w:szCs w:val="20"/>
              </w:rPr>
            </w:pPr>
            <w:r w:rsidRPr="00D902D6">
              <w:rPr>
                <w:color w:val="000000"/>
                <w:sz w:val="20"/>
                <w:szCs w:val="20"/>
              </w:rPr>
              <w:t>VR relaxation during weekly meetings with therapist + mobile phone home-access ofVR environments + biofeedback machine for therapist to adapt VR environments according to participant heart rate</w:t>
            </w:r>
          </w:p>
        </w:tc>
        <w:tc>
          <w:tcPr>
            <w:tcW w:w="1559" w:type="dxa"/>
            <w:tcBorders>
              <w:left w:val="single" w:sz="4" w:space="0" w:color="auto"/>
              <w:right w:val="single" w:sz="4" w:space="0" w:color="auto"/>
            </w:tcBorders>
            <w:shd w:val="clear" w:color="auto" w:fill="FFFFFF" w:themeFill="background1"/>
          </w:tcPr>
          <w:p w14:paraId="563BE277" w14:textId="77777777" w:rsidR="00D902D6" w:rsidRPr="00D902D6" w:rsidRDefault="00D902D6" w:rsidP="00D902D6">
            <w:pPr>
              <w:tabs>
                <w:tab w:val="left" w:pos="820"/>
              </w:tabs>
              <w:rPr>
                <w:color w:val="000000"/>
                <w:sz w:val="20"/>
                <w:szCs w:val="20"/>
              </w:rPr>
            </w:pPr>
            <w:r w:rsidRPr="00D902D6">
              <w:rPr>
                <w:color w:val="000000"/>
                <w:sz w:val="20"/>
                <w:szCs w:val="20"/>
              </w:rPr>
              <w:t>SDI</w:t>
            </w:r>
          </w:p>
        </w:tc>
      </w:tr>
      <w:tr w:rsidR="00D902D6" w:rsidRPr="001B4880" w14:paraId="184809B9" w14:textId="77777777" w:rsidTr="00EB6127">
        <w:trPr>
          <w:trHeight w:val="87"/>
        </w:trPr>
        <w:tc>
          <w:tcPr>
            <w:tcW w:w="2104" w:type="dxa"/>
            <w:tcBorders>
              <w:left w:val="single" w:sz="4" w:space="0" w:color="000000"/>
              <w:bottom w:val="single" w:sz="12" w:space="0" w:color="000000"/>
              <w:right w:val="nil"/>
            </w:tcBorders>
            <w:shd w:val="clear" w:color="FFFFFF" w:fill="FFFFFF"/>
          </w:tcPr>
          <w:p w14:paraId="0BD12BEE" w14:textId="77777777" w:rsidR="00D902D6" w:rsidRPr="00D902D6" w:rsidRDefault="00D902D6" w:rsidP="00D902D6">
            <w:pPr>
              <w:rPr>
                <w:color w:val="000000"/>
                <w:sz w:val="20"/>
                <w:szCs w:val="20"/>
              </w:rPr>
            </w:pPr>
          </w:p>
        </w:tc>
        <w:tc>
          <w:tcPr>
            <w:tcW w:w="10082" w:type="dxa"/>
            <w:tcBorders>
              <w:left w:val="nil"/>
              <w:bottom w:val="single" w:sz="12" w:space="0" w:color="000000"/>
              <w:right w:val="single" w:sz="4" w:space="0" w:color="auto"/>
            </w:tcBorders>
            <w:shd w:val="clear" w:color="FFFFFF" w:fill="FFFFFF"/>
          </w:tcPr>
          <w:p w14:paraId="728F064D" w14:textId="77777777" w:rsidR="00D902D6" w:rsidRPr="00D902D6" w:rsidRDefault="00D902D6" w:rsidP="00D902D6">
            <w:pPr>
              <w:pStyle w:val="ListParagraph"/>
              <w:numPr>
                <w:ilvl w:val="0"/>
                <w:numId w:val="39"/>
              </w:numPr>
              <w:rPr>
                <w:color w:val="000000"/>
                <w:sz w:val="20"/>
                <w:szCs w:val="20"/>
              </w:rPr>
            </w:pPr>
            <w:r w:rsidRPr="00D902D6">
              <w:rPr>
                <w:color w:val="000000"/>
                <w:sz w:val="20"/>
                <w:szCs w:val="20"/>
              </w:rPr>
              <w:t>Waiting list (no monitoring or any other input specified)</w:t>
            </w:r>
          </w:p>
        </w:tc>
        <w:tc>
          <w:tcPr>
            <w:tcW w:w="1559" w:type="dxa"/>
            <w:tcBorders>
              <w:left w:val="single" w:sz="4" w:space="0" w:color="auto"/>
              <w:bottom w:val="single" w:sz="12" w:space="0" w:color="000000"/>
              <w:right w:val="single" w:sz="4" w:space="0" w:color="auto"/>
            </w:tcBorders>
            <w:shd w:val="clear" w:color="auto" w:fill="FFFFFF" w:themeFill="background1"/>
          </w:tcPr>
          <w:p w14:paraId="73F1A4B1" w14:textId="77777777" w:rsidR="00D902D6" w:rsidRPr="00D902D6" w:rsidRDefault="00D902D6" w:rsidP="00D902D6">
            <w:pPr>
              <w:rPr>
                <w:color w:val="000000"/>
                <w:sz w:val="20"/>
                <w:szCs w:val="20"/>
              </w:rPr>
            </w:pPr>
            <w:r w:rsidRPr="00D902D6">
              <w:rPr>
                <w:color w:val="000000"/>
                <w:sz w:val="20"/>
                <w:szCs w:val="20"/>
              </w:rPr>
              <w:t>NI</w:t>
            </w:r>
          </w:p>
        </w:tc>
      </w:tr>
      <w:tr w:rsidR="00D902D6" w:rsidRPr="001B4880" w14:paraId="550BB6A3" w14:textId="77777777" w:rsidTr="00EB6127">
        <w:trPr>
          <w:trHeight w:val="50"/>
        </w:trPr>
        <w:tc>
          <w:tcPr>
            <w:tcW w:w="2104" w:type="dxa"/>
            <w:tcBorders>
              <w:top w:val="single" w:sz="12" w:space="0" w:color="000000"/>
              <w:left w:val="single" w:sz="4" w:space="0" w:color="000000"/>
              <w:right w:val="nil"/>
            </w:tcBorders>
            <w:shd w:val="clear" w:color="FFFFFF" w:fill="FFFFFF"/>
            <w:hideMark/>
          </w:tcPr>
          <w:p w14:paraId="1EA9B595" w14:textId="77777777" w:rsidR="00D902D6" w:rsidRPr="00D902D6" w:rsidRDefault="00D902D6" w:rsidP="00D902D6">
            <w:pPr>
              <w:rPr>
                <w:color w:val="000000"/>
                <w:sz w:val="20"/>
                <w:szCs w:val="20"/>
              </w:rPr>
            </w:pPr>
            <w:r w:rsidRPr="00D902D6">
              <w:rPr>
                <w:color w:val="000000"/>
                <w:sz w:val="20"/>
                <w:szCs w:val="20"/>
              </w:rPr>
              <w:t xml:space="preserve">Richards 2016 </w:t>
            </w:r>
          </w:p>
        </w:tc>
        <w:tc>
          <w:tcPr>
            <w:tcW w:w="10082" w:type="dxa"/>
            <w:tcBorders>
              <w:top w:val="single" w:sz="12" w:space="0" w:color="000000"/>
              <w:left w:val="nil"/>
              <w:right w:val="single" w:sz="4" w:space="0" w:color="auto"/>
            </w:tcBorders>
            <w:shd w:val="clear" w:color="FFFFFF" w:fill="FFFFFF"/>
            <w:hideMark/>
          </w:tcPr>
          <w:p w14:paraId="6FA7D185" w14:textId="77777777" w:rsidR="00D902D6" w:rsidRPr="00D902D6" w:rsidRDefault="00D902D6" w:rsidP="00D902D6">
            <w:pPr>
              <w:pStyle w:val="ListParagraph"/>
              <w:numPr>
                <w:ilvl w:val="0"/>
                <w:numId w:val="40"/>
              </w:numPr>
              <w:rPr>
                <w:color w:val="000000"/>
                <w:sz w:val="20"/>
                <w:szCs w:val="20"/>
              </w:rPr>
            </w:pPr>
            <w:r w:rsidRPr="00D902D6">
              <w:rPr>
                <w:color w:val="000000"/>
                <w:sz w:val="20"/>
                <w:szCs w:val="20"/>
              </w:rPr>
              <w:t>Web-based CBT + weekly online messages by psychologists</w:t>
            </w:r>
          </w:p>
        </w:tc>
        <w:tc>
          <w:tcPr>
            <w:tcW w:w="1559" w:type="dxa"/>
            <w:tcBorders>
              <w:top w:val="single" w:sz="12" w:space="0" w:color="000000"/>
              <w:left w:val="single" w:sz="4" w:space="0" w:color="auto"/>
              <w:right w:val="single" w:sz="4" w:space="0" w:color="auto"/>
            </w:tcBorders>
            <w:shd w:val="clear" w:color="auto" w:fill="FFFFFF" w:themeFill="background1"/>
          </w:tcPr>
          <w:p w14:paraId="141DC498" w14:textId="77777777" w:rsidR="00D902D6" w:rsidRPr="00D902D6" w:rsidRDefault="00D902D6" w:rsidP="00D902D6">
            <w:pPr>
              <w:rPr>
                <w:color w:val="000000"/>
                <w:sz w:val="20"/>
                <w:szCs w:val="20"/>
              </w:rPr>
            </w:pPr>
            <w:r w:rsidRPr="00D902D6">
              <w:rPr>
                <w:color w:val="000000"/>
                <w:sz w:val="20"/>
                <w:szCs w:val="20"/>
              </w:rPr>
              <w:t>SDI</w:t>
            </w:r>
          </w:p>
        </w:tc>
      </w:tr>
      <w:tr w:rsidR="00D902D6" w:rsidRPr="001B4880" w14:paraId="6000B921" w14:textId="77777777" w:rsidTr="00EB6127">
        <w:trPr>
          <w:trHeight w:val="300"/>
        </w:trPr>
        <w:tc>
          <w:tcPr>
            <w:tcW w:w="2104" w:type="dxa"/>
            <w:tcBorders>
              <w:left w:val="single" w:sz="4" w:space="0" w:color="000000"/>
              <w:bottom w:val="single" w:sz="12" w:space="0" w:color="000000"/>
              <w:right w:val="nil"/>
            </w:tcBorders>
            <w:shd w:val="clear" w:color="FFFFFF" w:fill="FFFFFF"/>
            <w:hideMark/>
          </w:tcPr>
          <w:p w14:paraId="3D6A66A1" w14:textId="77777777" w:rsidR="00D902D6" w:rsidRPr="00D902D6" w:rsidRDefault="00D902D6" w:rsidP="00D902D6">
            <w:pPr>
              <w:rPr>
                <w:color w:val="000000"/>
                <w:sz w:val="20"/>
                <w:szCs w:val="20"/>
              </w:rPr>
            </w:pPr>
          </w:p>
        </w:tc>
        <w:tc>
          <w:tcPr>
            <w:tcW w:w="10082" w:type="dxa"/>
            <w:tcBorders>
              <w:left w:val="nil"/>
              <w:bottom w:val="single" w:sz="12" w:space="0" w:color="000000"/>
              <w:right w:val="single" w:sz="4" w:space="0" w:color="auto"/>
            </w:tcBorders>
            <w:shd w:val="clear" w:color="FFFFFF" w:fill="FFFFFF"/>
            <w:hideMark/>
          </w:tcPr>
          <w:p w14:paraId="35EFF90B" w14:textId="77777777" w:rsidR="00D902D6" w:rsidRPr="00D902D6" w:rsidRDefault="00D902D6" w:rsidP="00D902D6">
            <w:pPr>
              <w:pStyle w:val="ListParagraph"/>
              <w:numPr>
                <w:ilvl w:val="0"/>
                <w:numId w:val="40"/>
              </w:numPr>
              <w:rPr>
                <w:color w:val="000000"/>
                <w:sz w:val="20"/>
                <w:szCs w:val="20"/>
              </w:rPr>
            </w:pPr>
            <w:r w:rsidRPr="00D902D6">
              <w:rPr>
                <w:color w:val="000000"/>
                <w:sz w:val="20"/>
                <w:szCs w:val="20"/>
              </w:rPr>
              <w:t>Waiting list (crossover at week 7 – no monitoring or other input)</w:t>
            </w:r>
          </w:p>
        </w:tc>
        <w:tc>
          <w:tcPr>
            <w:tcW w:w="1559" w:type="dxa"/>
            <w:tcBorders>
              <w:left w:val="single" w:sz="4" w:space="0" w:color="auto"/>
              <w:bottom w:val="single" w:sz="12" w:space="0" w:color="000000"/>
              <w:right w:val="single" w:sz="4" w:space="0" w:color="auto"/>
            </w:tcBorders>
            <w:shd w:val="clear" w:color="auto" w:fill="FFFFFF" w:themeFill="background1"/>
          </w:tcPr>
          <w:p w14:paraId="5231EA92" w14:textId="77777777" w:rsidR="00D902D6" w:rsidRPr="00D902D6" w:rsidRDefault="00D902D6" w:rsidP="00D902D6">
            <w:pPr>
              <w:rPr>
                <w:color w:val="000000"/>
                <w:sz w:val="20"/>
                <w:szCs w:val="20"/>
              </w:rPr>
            </w:pPr>
            <w:r w:rsidRPr="00D902D6">
              <w:rPr>
                <w:color w:val="000000"/>
                <w:sz w:val="20"/>
                <w:szCs w:val="20"/>
              </w:rPr>
              <w:t>NI</w:t>
            </w:r>
          </w:p>
        </w:tc>
      </w:tr>
      <w:tr w:rsidR="00D902D6" w:rsidRPr="001B4880" w14:paraId="2622F8F1" w14:textId="77777777" w:rsidTr="00EB6127">
        <w:trPr>
          <w:trHeight w:val="50"/>
        </w:trPr>
        <w:tc>
          <w:tcPr>
            <w:tcW w:w="2104" w:type="dxa"/>
            <w:tcBorders>
              <w:top w:val="single" w:sz="12" w:space="0" w:color="000000"/>
              <w:left w:val="single" w:sz="4" w:space="0" w:color="000000"/>
              <w:right w:val="nil"/>
            </w:tcBorders>
            <w:shd w:val="clear" w:color="FFFFFF" w:fill="FFFFFF"/>
            <w:hideMark/>
          </w:tcPr>
          <w:p w14:paraId="16CB1BE1" w14:textId="77777777" w:rsidR="00D902D6" w:rsidRPr="00D902D6" w:rsidRDefault="00D902D6" w:rsidP="00D902D6">
            <w:pPr>
              <w:rPr>
                <w:color w:val="000000"/>
                <w:sz w:val="20"/>
                <w:szCs w:val="20"/>
              </w:rPr>
            </w:pPr>
            <w:r w:rsidRPr="00D902D6">
              <w:rPr>
                <w:color w:val="000000"/>
                <w:sz w:val="20"/>
                <w:szCs w:val="20"/>
              </w:rPr>
              <w:t xml:space="preserve">Robinson 2010 </w:t>
            </w:r>
          </w:p>
        </w:tc>
        <w:tc>
          <w:tcPr>
            <w:tcW w:w="10082" w:type="dxa"/>
            <w:tcBorders>
              <w:top w:val="single" w:sz="12" w:space="0" w:color="000000"/>
              <w:left w:val="nil"/>
              <w:right w:val="single" w:sz="4" w:space="0" w:color="auto"/>
            </w:tcBorders>
            <w:shd w:val="clear" w:color="FFFFFF" w:fill="FFFFFF"/>
            <w:hideMark/>
          </w:tcPr>
          <w:p w14:paraId="08F94801" w14:textId="77777777" w:rsidR="00D902D6" w:rsidRPr="00D902D6" w:rsidRDefault="00D902D6" w:rsidP="00D902D6">
            <w:pPr>
              <w:pStyle w:val="ListParagraph"/>
              <w:numPr>
                <w:ilvl w:val="0"/>
                <w:numId w:val="41"/>
              </w:numPr>
              <w:rPr>
                <w:color w:val="000000"/>
                <w:sz w:val="20"/>
                <w:szCs w:val="20"/>
              </w:rPr>
            </w:pPr>
            <w:r w:rsidRPr="00D902D6">
              <w:rPr>
                <w:color w:val="000000"/>
                <w:sz w:val="20"/>
                <w:szCs w:val="20"/>
              </w:rPr>
              <w:t>Web-based CBT + weekly phone/email contact by a “clinician” (clinical psychologist)</w:t>
            </w:r>
          </w:p>
        </w:tc>
        <w:tc>
          <w:tcPr>
            <w:tcW w:w="1559" w:type="dxa"/>
            <w:tcBorders>
              <w:top w:val="single" w:sz="12" w:space="0" w:color="000000"/>
              <w:left w:val="single" w:sz="4" w:space="0" w:color="auto"/>
              <w:right w:val="single" w:sz="4" w:space="0" w:color="auto"/>
            </w:tcBorders>
            <w:shd w:val="clear" w:color="auto" w:fill="FFFFFF" w:themeFill="background1"/>
          </w:tcPr>
          <w:p w14:paraId="5E4C09DB" w14:textId="77777777" w:rsidR="00D902D6" w:rsidRPr="00D902D6" w:rsidRDefault="00D902D6" w:rsidP="00D902D6">
            <w:pPr>
              <w:rPr>
                <w:color w:val="FF0000"/>
                <w:sz w:val="20"/>
                <w:szCs w:val="20"/>
              </w:rPr>
            </w:pPr>
            <w:r w:rsidRPr="00D902D6">
              <w:rPr>
                <w:color w:val="000000"/>
                <w:sz w:val="20"/>
                <w:szCs w:val="20"/>
              </w:rPr>
              <w:t>SDI</w:t>
            </w:r>
            <w:r w:rsidRPr="00D902D6">
              <w:rPr>
                <w:color w:val="FF0000"/>
                <w:sz w:val="20"/>
                <w:szCs w:val="20"/>
              </w:rPr>
              <w:t xml:space="preserve"> </w:t>
            </w:r>
          </w:p>
        </w:tc>
      </w:tr>
      <w:tr w:rsidR="00D902D6" w:rsidRPr="001B4880" w14:paraId="14F3840A" w14:textId="77777777" w:rsidTr="00EB6127">
        <w:trPr>
          <w:trHeight w:val="247"/>
        </w:trPr>
        <w:tc>
          <w:tcPr>
            <w:tcW w:w="2104" w:type="dxa"/>
            <w:tcBorders>
              <w:left w:val="single" w:sz="4" w:space="0" w:color="000000"/>
              <w:right w:val="nil"/>
            </w:tcBorders>
            <w:shd w:val="clear" w:color="FFFFFF" w:fill="FFFFFF"/>
          </w:tcPr>
          <w:p w14:paraId="26B4FBFC" w14:textId="77777777" w:rsidR="00D902D6" w:rsidRPr="00D902D6" w:rsidRDefault="00D902D6" w:rsidP="00D902D6">
            <w:pPr>
              <w:rPr>
                <w:color w:val="000000"/>
                <w:sz w:val="20"/>
                <w:szCs w:val="20"/>
              </w:rPr>
            </w:pPr>
          </w:p>
        </w:tc>
        <w:tc>
          <w:tcPr>
            <w:tcW w:w="10082" w:type="dxa"/>
            <w:tcBorders>
              <w:left w:val="nil"/>
              <w:right w:val="single" w:sz="4" w:space="0" w:color="auto"/>
            </w:tcBorders>
            <w:shd w:val="clear" w:color="FFFFFF" w:fill="FFFFFF"/>
            <w:hideMark/>
          </w:tcPr>
          <w:p w14:paraId="0833C280" w14:textId="77777777" w:rsidR="00D902D6" w:rsidRPr="00D902D6" w:rsidRDefault="00D902D6" w:rsidP="00D902D6">
            <w:pPr>
              <w:pStyle w:val="ListParagraph"/>
              <w:numPr>
                <w:ilvl w:val="0"/>
                <w:numId w:val="41"/>
              </w:numPr>
              <w:rPr>
                <w:color w:val="000000"/>
                <w:sz w:val="20"/>
                <w:szCs w:val="20"/>
              </w:rPr>
            </w:pPr>
            <w:r w:rsidRPr="00D902D6">
              <w:rPr>
                <w:color w:val="000000"/>
                <w:sz w:val="20"/>
                <w:szCs w:val="20"/>
              </w:rPr>
              <w:t xml:space="preserve">Web-based CBT + weekly phone/email contact by a “technician” (administrative clinic manager) </w:t>
            </w:r>
          </w:p>
        </w:tc>
        <w:tc>
          <w:tcPr>
            <w:tcW w:w="1559" w:type="dxa"/>
            <w:tcBorders>
              <w:left w:val="single" w:sz="4" w:space="0" w:color="auto"/>
              <w:right w:val="single" w:sz="4" w:space="0" w:color="auto"/>
            </w:tcBorders>
            <w:shd w:val="clear" w:color="auto" w:fill="FFFFFF" w:themeFill="background1"/>
          </w:tcPr>
          <w:p w14:paraId="44B954B5" w14:textId="77777777" w:rsidR="00D902D6" w:rsidRPr="00D902D6" w:rsidRDefault="00D902D6" w:rsidP="00D902D6">
            <w:pPr>
              <w:rPr>
                <w:color w:val="FF0000"/>
                <w:sz w:val="20"/>
                <w:szCs w:val="20"/>
              </w:rPr>
            </w:pPr>
            <w:r w:rsidRPr="00D902D6">
              <w:rPr>
                <w:color w:val="000000"/>
                <w:sz w:val="20"/>
                <w:szCs w:val="20"/>
              </w:rPr>
              <w:t>SDI</w:t>
            </w:r>
            <w:r w:rsidRPr="00D902D6">
              <w:rPr>
                <w:color w:val="FF0000"/>
                <w:sz w:val="20"/>
                <w:szCs w:val="20"/>
              </w:rPr>
              <w:t xml:space="preserve"> </w:t>
            </w:r>
          </w:p>
        </w:tc>
      </w:tr>
      <w:tr w:rsidR="00D902D6" w:rsidRPr="001B4880" w14:paraId="2BAE5987" w14:textId="77777777" w:rsidTr="00EB6127">
        <w:trPr>
          <w:trHeight w:val="300"/>
        </w:trPr>
        <w:tc>
          <w:tcPr>
            <w:tcW w:w="2104" w:type="dxa"/>
            <w:tcBorders>
              <w:left w:val="single" w:sz="4" w:space="0" w:color="000000"/>
              <w:bottom w:val="single" w:sz="12" w:space="0" w:color="000000"/>
              <w:right w:val="nil"/>
            </w:tcBorders>
            <w:shd w:val="clear" w:color="FFFFFF" w:fill="FFFFFF"/>
          </w:tcPr>
          <w:p w14:paraId="5D1D36C4" w14:textId="77777777" w:rsidR="00D902D6" w:rsidRPr="00D902D6" w:rsidRDefault="00D902D6" w:rsidP="00D902D6">
            <w:pPr>
              <w:rPr>
                <w:color w:val="000000"/>
                <w:sz w:val="20"/>
                <w:szCs w:val="20"/>
              </w:rPr>
            </w:pPr>
          </w:p>
        </w:tc>
        <w:tc>
          <w:tcPr>
            <w:tcW w:w="10082" w:type="dxa"/>
            <w:tcBorders>
              <w:left w:val="nil"/>
              <w:bottom w:val="single" w:sz="12" w:space="0" w:color="000000"/>
              <w:right w:val="single" w:sz="4" w:space="0" w:color="auto"/>
            </w:tcBorders>
            <w:shd w:val="clear" w:color="FFFFFF" w:fill="FFFFFF"/>
            <w:hideMark/>
          </w:tcPr>
          <w:p w14:paraId="44CAF3D1" w14:textId="77777777" w:rsidR="00D902D6" w:rsidRPr="00D902D6" w:rsidRDefault="00D902D6" w:rsidP="00D902D6">
            <w:pPr>
              <w:pStyle w:val="ListParagraph"/>
              <w:numPr>
                <w:ilvl w:val="0"/>
                <w:numId w:val="41"/>
              </w:numPr>
              <w:rPr>
                <w:color w:val="000000"/>
                <w:sz w:val="20"/>
                <w:szCs w:val="20"/>
              </w:rPr>
            </w:pPr>
            <w:r w:rsidRPr="00D902D6">
              <w:rPr>
                <w:color w:val="000000"/>
                <w:sz w:val="20"/>
                <w:szCs w:val="20"/>
              </w:rPr>
              <w:t>Waiting list (crossover at week 11 - no monitoring or other input)</w:t>
            </w:r>
          </w:p>
        </w:tc>
        <w:tc>
          <w:tcPr>
            <w:tcW w:w="1559" w:type="dxa"/>
            <w:tcBorders>
              <w:left w:val="single" w:sz="4" w:space="0" w:color="auto"/>
              <w:bottom w:val="single" w:sz="12" w:space="0" w:color="000000"/>
              <w:right w:val="single" w:sz="4" w:space="0" w:color="auto"/>
            </w:tcBorders>
            <w:shd w:val="clear" w:color="auto" w:fill="FFFFFF" w:themeFill="background1"/>
          </w:tcPr>
          <w:p w14:paraId="38F86102" w14:textId="77777777" w:rsidR="00D902D6" w:rsidRPr="00D902D6" w:rsidRDefault="00D902D6" w:rsidP="00D902D6">
            <w:pPr>
              <w:rPr>
                <w:color w:val="000000"/>
                <w:sz w:val="20"/>
                <w:szCs w:val="20"/>
              </w:rPr>
            </w:pPr>
            <w:r w:rsidRPr="00D902D6">
              <w:rPr>
                <w:color w:val="000000"/>
                <w:sz w:val="20"/>
                <w:szCs w:val="20"/>
              </w:rPr>
              <w:t>NI</w:t>
            </w:r>
          </w:p>
        </w:tc>
      </w:tr>
      <w:tr w:rsidR="00D902D6" w:rsidRPr="001B4880" w14:paraId="4E3233A1" w14:textId="77777777" w:rsidTr="00EB6127">
        <w:trPr>
          <w:trHeight w:val="50"/>
        </w:trPr>
        <w:tc>
          <w:tcPr>
            <w:tcW w:w="2104" w:type="dxa"/>
            <w:tcBorders>
              <w:top w:val="single" w:sz="12" w:space="0" w:color="000000"/>
              <w:left w:val="single" w:sz="4" w:space="0" w:color="000000"/>
              <w:right w:val="nil"/>
            </w:tcBorders>
            <w:shd w:val="clear" w:color="FFFFFF" w:fill="FFFFFF"/>
            <w:noWrap/>
            <w:hideMark/>
          </w:tcPr>
          <w:p w14:paraId="5AAD54AD" w14:textId="77777777" w:rsidR="00D902D6" w:rsidRPr="00D902D6" w:rsidRDefault="00D902D6" w:rsidP="00D902D6">
            <w:pPr>
              <w:rPr>
                <w:color w:val="000000"/>
                <w:sz w:val="20"/>
                <w:szCs w:val="20"/>
              </w:rPr>
            </w:pPr>
            <w:r w:rsidRPr="00D902D6">
              <w:rPr>
                <w:color w:val="000000"/>
                <w:sz w:val="20"/>
                <w:szCs w:val="20"/>
              </w:rPr>
              <w:t xml:space="preserve">Teng 2019 </w:t>
            </w:r>
          </w:p>
        </w:tc>
        <w:tc>
          <w:tcPr>
            <w:tcW w:w="10082" w:type="dxa"/>
            <w:tcBorders>
              <w:top w:val="single" w:sz="12" w:space="0" w:color="000000"/>
              <w:left w:val="nil"/>
              <w:right w:val="single" w:sz="4" w:space="0" w:color="auto"/>
            </w:tcBorders>
            <w:shd w:val="clear" w:color="FFFFFF" w:fill="FFFFFF"/>
            <w:noWrap/>
            <w:hideMark/>
          </w:tcPr>
          <w:p w14:paraId="4696595F" w14:textId="77777777" w:rsidR="00D902D6" w:rsidRPr="00D902D6" w:rsidRDefault="00D902D6" w:rsidP="00D902D6">
            <w:pPr>
              <w:pStyle w:val="ListParagraph"/>
              <w:numPr>
                <w:ilvl w:val="0"/>
                <w:numId w:val="42"/>
              </w:numPr>
              <w:rPr>
                <w:color w:val="000000"/>
                <w:sz w:val="20"/>
                <w:szCs w:val="20"/>
              </w:rPr>
            </w:pPr>
            <w:r w:rsidRPr="00D902D6">
              <w:rPr>
                <w:color w:val="000000"/>
                <w:sz w:val="20"/>
                <w:szCs w:val="20"/>
              </w:rPr>
              <w:t>Mobile app - home-delivered ABM + weekly ‘lab’ meeting with assistant + phone call if missed sessions</w:t>
            </w:r>
          </w:p>
        </w:tc>
        <w:tc>
          <w:tcPr>
            <w:tcW w:w="1559" w:type="dxa"/>
            <w:tcBorders>
              <w:top w:val="single" w:sz="12" w:space="0" w:color="000000"/>
              <w:left w:val="single" w:sz="4" w:space="0" w:color="auto"/>
              <w:right w:val="single" w:sz="4" w:space="0" w:color="auto"/>
            </w:tcBorders>
            <w:shd w:val="clear" w:color="auto" w:fill="FFFFFF" w:themeFill="background1"/>
          </w:tcPr>
          <w:p w14:paraId="10EF7A44" w14:textId="77777777" w:rsidR="00D902D6" w:rsidRPr="00D902D6" w:rsidRDefault="00D902D6" w:rsidP="00D902D6">
            <w:pPr>
              <w:rPr>
                <w:color w:val="000000"/>
                <w:sz w:val="20"/>
                <w:szCs w:val="20"/>
              </w:rPr>
            </w:pPr>
            <w:r w:rsidRPr="00D902D6">
              <w:rPr>
                <w:color w:val="000000"/>
                <w:sz w:val="20"/>
                <w:szCs w:val="20"/>
              </w:rPr>
              <w:t>SDI</w:t>
            </w:r>
          </w:p>
        </w:tc>
      </w:tr>
      <w:tr w:rsidR="00D902D6" w:rsidRPr="001B4880" w14:paraId="768551A6" w14:textId="77777777" w:rsidTr="00EB6127">
        <w:trPr>
          <w:trHeight w:val="80"/>
        </w:trPr>
        <w:tc>
          <w:tcPr>
            <w:tcW w:w="2104" w:type="dxa"/>
            <w:tcBorders>
              <w:left w:val="single" w:sz="4" w:space="0" w:color="000000"/>
              <w:right w:val="nil"/>
            </w:tcBorders>
            <w:shd w:val="clear" w:color="FFFFFF" w:fill="FFFFFF"/>
            <w:noWrap/>
          </w:tcPr>
          <w:p w14:paraId="76F398C7" w14:textId="77777777" w:rsidR="00D902D6" w:rsidRPr="00D902D6" w:rsidRDefault="00D902D6" w:rsidP="00D902D6">
            <w:pPr>
              <w:rPr>
                <w:color w:val="000000"/>
                <w:sz w:val="20"/>
                <w:szCs w:val="20"/>
              </w:rPr>
            </w:pPr>
          </w:p>
        </w:tc>
        <w:tc>
          <w:tcPr>
            <w:tcW w:w="10082" w:type="dxa"/>
            <w:tcBorders>
              <w:left w:val="nil"/>
              <w:right w:val="single" w:sz="4" w:space="0" w:color="auto"/>
            </w:tcBorders>
            <w:shd w:val="clear" w:color="FFFFFF" w:fill="FFFFFF"/>
            <w:noWrap/>
            <w:hideMark/>
          </w:tcPr>
          <w:p w14:paraId="7A38FCB5" w14:textId="77777777" w:rsidR="00D902D6" w:rsidRPr="00D902D6" w:rsidRDefault="00D902D6" w:rsidP="00D902D6">
            <w:pPr>
              <w:pStyle w:val="ListParagraph"/>
              <w:numPr>
                <w:ilvl w:val="0"/>
                <w:numId w:val="42"/>
              </w:numPr>
              <w:rPr>
                <w:color w:val="000000"/>
                <w:sz w:val="20"/>
                <w:szCs w:val="20"/>
              </w:rPr>
            </w:pPr>
            <w:r w:rsidRPr="00D902D6">
              <w:rPr>
                <w:color w:val="000000"/>
                <w:sz w:val="20"/>
                <w:szCs w:val="20"/>
              </w:rPr>
              <w:t>Mobile app - attention training + weekly ‘lab’ meeting with assistant + phone call from if missed sessions</w:t>
            </w:r>
          </w:p>
        </w:tc>
        <w:tc>
          <w:tcPr>
            <w:tcW w:w="1559" w:type="dxa"/>
            <w:tcBorders>
              <w:left w:val="single" w:sz="4" w:space="0" w:color="auto"/>
              <w:right w:val="single" w:sz="4" w:space="0" w:color="auto"/>
            </w:tcBorders>
            <w:shd w:val="clear" w:color="auto" w:fill="FFFFFF" w:themeFill="background1"/>
          </w:tcPr>
          <w:p w14:paraId="774393AD" w14:textId="77777777" w:rsidR="00D902D6" w:rsidRPr="00D902D6" w:rsidRDefault="00D902D6" w:rsidP="00D902D6">
            <w:pPr>
              <w:rPr>
                <w:color w:val="000000"/>
                <w:sz w:val="20"/>
                <w:szCs w:val="20"/>
              </w:rPr>
            </w:pPr>
            <w:r w:rsidRPr="00D902D6">
              <w:rPr>
                <w:color w:val="000000"/>
                <w:sz w:val="20"/>
                <w:szCs w:val="20"/>
              </w:rPr>
              <w:t>SDC</w:t>
            </w:r>
          </w:p>
        </w:tc>
      </w:tr>
      <w:tr w:rsidR="00D902D6" w:rsidRPr="001B4880" w14:paraId="6599D677" w14:textId="77777777" w:rsidTr="00EB6127">
        <w:trPr>
          <w:trHeight w:val="300"/>
        </w:trPr>
        <w:tc>
          <w:tcPr>
            <w:tcW w:w="2104" w:type="dxa"/>
            <w:tcBorders>
              <w:left w:val="single" w:sz="4" w:space="0" w:color="000000"/>
              <w:bottom w:val="single" w:sz="12" w:space="0" w:color="000000"/>
              <w:right w:val="nil"/>
            </w:tcBorders>
            <w:shd w:val="clear" w:color="FFFFFF" w:fill="FFFFFF"/>
            <w:noWrap/>
          </w:tcPr>
          <w:p w14:paraId="739A4C9B" w14:textId="77777777" w:rsidR="00D902D6" w:rsidRPr="00D902D6" w:rsidRDefault="00D902D6" w:rsidP="00D902D6">
            <w:pPr>
              <w:rPr>
                <w:color w:val="000000"/>
                <w:sz w:val="20"/>
                <w:szCs w:val="20"/>
              </w:rPr>
            </w:pPr>
            <w:bookmarkStart w:id="5" w:name="_Hlk30389545"/>
          </w:p>
        </w:tc>
        <w:tc>
          <w:tcPr>
            <w:tcW w:w="10082" w:type="dxa"/>
            <w:tcBorders>
              <w:left w:val="nil"/>
              <w:bottom w:val="single" w:sz="12" w:space="0" w:color="000000"/>
              <w:right w:val="single" w:sz="4" w:space="0" w:color="auto"/>
            </w:tcBorders>
            <w:shd w:val="clear" w:color="FFFFFF" w:fill="FFFFFF"/>
            <w:noWrap/>
            <w:hideMark/>
          </w:tcPr>
          <w:p w14:paraId="0179C788" w14:textId="77777777" w:rsidR="00D902D6" w:rsidRPr="00D902D6" w:rsidRDefault="00D902D6" w:rsidP="00D902D6">
            <w:pPr>
              <w:pStyle w:val="ListParagraph"/>
              <w:numPr>
                <w:ilvl w:val="0"/>
                <w:numId w:val="42"/>
              </w:numPr>
              <w:rPr>
                <w:color w:val="000000"/>
                <w:sz w:val="20"/>
                <w:szCs w:val="20"/>
              </w:rPr>
            </w:pPr>
            <w:r w:rsidRPr="00D902D6">
              <w:rPr>
                <w:color w:val="000000"/>
                <w:sz w:val="20"/>
                <w:szCs w:val="20"/>
              </w:rPr>
              <w:t>Waiting list + weekly meetings with research assistant for matching assessment in a ‘lab’</w:t>
            </w:r>
          </w:p>
        </w:tc>
        <w:tc>
          <w:tcPr>
            <w:tcW w:w="1559" w:type="dxa"/>
            <w:tcBorders>
              <w:left w:val="single" w:sz="4" w:space="0" w:color="auto"/>
              <w:bottom w:val="single" w:sz="12" w:space="0" w:color="000000"/>
              <w:right w:val="single" w:sz="4" w:space="0" w:color="auto"/>
            </w:tcBorders>
            <w:shd w:val="clear" w:color="auto" w:fill="FFFFFF" w:themeFill="background1"/>
          </w:tcPr>
          <w:p w14:paraId="37E84B34" w14:textId="77777777" w:rsidR="00D902D6" w:rsidRPr="00D902D6" w:rsidRDefault="00D902D6" w:rsidP="00D902D6">
            <w:pPr>
              <w:rPr>
                <w:color w:val="000000"/>
                <w:sz w:val="20"/>
                <w:szCs w:val="20"/>
              </w:rPr>
            </w:pPr>
            <w:bookmarkStart w:id="6" w:name="_Hlk38108500"/>
            <w:r w:rsidRPr="00D902D6">
              <w:rPr>
                <w:color w:val="000000"/>
                <w:sz w:val="20"/>
                <w:szCs w:val="20"/>
              </w:rPr>
              <w:t>SNoDC</w:t>
            </w:r>
            <w:r w:rsidRPr="00D902D6">
              <w:rPr>
                <w:color w:val="000000"/>
                <w:sz w:val="20"/>
                <w:szCs w:val="20"/>
                <w:vertAlign w:val="superscript"/>
              </w:rPr>
              <w:t>4</w:t>
            </w:r>
            <w:bookmarkEnd w:id="6"/>
          </w:p>
        </w:tc>
      </w:tr>
      <w:bookmarkEnd w:id="5"/>
      <w:tr w:rsidR="00D902D6" w:rsidRPr="001B4880" w14:paraId="3DDE7E14" w14:textId="77777777" w:rsidTr="00EB6127">
        <w:trPr>
          <w:trHeight w:val="459"/>
        </w:trPr>
        <w:tc>
          <w:tcPr>
            <w:tcW w:w="2104" w:type="dxa"/>
            <w:tcBorders>
              <w:top w:val="single" w:sz="12" w:space="0" w:color="000000"/>
              <w:left w:val="single" w:sz="4" w:space="0" w:color="000000"/>
              <w:right w:val="nil"/>
            </w:tcBorders>
            <w:shd w:val="clear" w:color="FFFFFF" w:fill="FFFFFF"/>
            <w:hideMark/>
          </w:tcPr>
          <w:p w14:paraId="59C590F5" w14:textId="77777777" w:rsidR="00D902D6" w:rsidRPr="00D902D6" w:rsidRDefault="00D902D6" w:rsidP="00D902D6">
            <w:pPr>
              <w:rPr>
                <w:color w:val="000000"/>
                <w:sz w:val="20"/>
                <w:szCs w:val="20"/>
              </w:rPr>
            </w:pPr>
            <w:r w:rsidRPr="00D902D6">
              <w:rPr>
                <w:color w:val="000000"/>
                <w:sz w:val="20"/>
                <w:szCs w:val="20"/>
              </w:rPr>
              <w:t>Titov 2009</w:t>
            </w:r>
          </w:p>
        </w:tc>
        <w:tc>
          <w:tcPr>
            <w:tcW w:w="10082" w:type="dxa"/>
            <w:tcBorders>
              <w:top w:val="single" w:sz="12" w:space="0" w:color="000000"/>
              <w:left w:val="nil"/>
              <w:right w:val="single" w:sz="4" w:space="0" w:color="auto"/>
            </w:tcBorders>
            <w:shd w:val="clear" w:color="FFFFFF" w:fill="FFFFFF"/>
            <w:hideMark/>
          </w:tcPr>
          <w:p w14:paraId="0B56FF44" w14:textId="77777777" w:rsidR="00D902D6" w:rsidRPr="00D902D6" w:rsidRDefault="00D902D6" w:rsidP="00D902D6">
            <w:pPr>
              <w:pStyle w:val="ListParagraph"/>
              <w:numPr>
                <w:ilvl w:val="0"/>
                <w:numId w:val="43"/>
              </w:numPr>
              <w:rPr>
                <w:color w:val="000000"/>
                <w:sz w:val="20"/>
                <w:szCs w:val="20"/>
              </w:rPr>
            </w:pPr>
            <w:r w:rsidRPr="00D902D6">
              <w:rPr>
                <w:color w:val="000000"/>
                <w:sz w:val="20"/>
                <w:szCs w:val="20"/>
              </w:rPr>
              <w:t>Web-based CBT + moderated online discussion forum + instant online messaging + 1 initial phone contact + subsequent email/phone weekly contact with clinical psychologist</w:t>
            </w:r>
          </w:p>
        </w:tc>
        <w:tc>
          <w:tcPr>
            <w:tcW w:w="1559" w:type="dxa"/>
            <w:tcBorders>
              <w:top w:val="single" w:sz="12" w:space="0" w:color="000000"/>
              <w:left w:val="single" w:sz="4" w:space="0" w:color="auto"/>
              <w:right w:val="single" w:sz="4" w:space="0" w:color="auto"/>
            </w:tcBorders>
            <w:shd w:val="clear" w:color="auto" w:fill="FFFFFF" w:themeFill="background1"/>
          </w:tcPr>
          <w:p w14:paraId="238B9BA3" w14:textId="77777777" w:rsidR="00D902D6" w:rsidRPr="00D902D6" w:rsidRDefault="00D902D6" w:rsidP="00D902D6">
            <w:pPr>
              <w:rPr>
                <w:color w:val="000000"/>
                <w:sz w:val="20"/>
                <w:szCs w:val="20"/>
              </w:rPr>
            </w:pPr>
            <w:r w:rsidRPr="00D902D6">
              <w:rPr>
                <w:color w:val="000000"/>
                <w:sz w:val="20"/>
                <w:szCs w:val="20"/>
              </w:rPr>
              <w:t>SDI</w:t>
            </w:r>
          </w:p>
        </w:tc>
      </w:tr>
      <w:tr w:rsidR="00D902D6" w:rsidRPr="001B4880" w14:paraId="011F3C0E" w14:textId="77777777" w:rsidTr="00EB6127">
        <w:trPr>
          <w:trHeight w:val="300"/>
        </w:trPr>
        <w:tc>
          <w:tcPr>
            <w:tcW w:w="2104" w:type="dxa"/>
            <w:tcBorders>
              <w:left w:val="single" w:sz="4" w:space="0" w:color="000000"/>
              <w:bottom w:val="single" w:sz="12" w:space="0" w:color="000000"/>
              <w:right w:val="nil"/>
            </w:tcBorders>
            <w:shd w:val="clear" w:color="FFFFFF" w:fill="FFFFFF"/>
            <w:hideMark/>
          </w:tcPr>
          <w:p w14:paraId="1B979225" w14:textId="77777777" w:rsidR="00D902D6" w:rsidRPr="00D902D6" w:rsidRDefault="00D902D6" w:rsidP="00D902D6">
            <w:pPr>
              <w:rPr>
                <w:color w:val="000000"/>
                <w:sz w:val="20"/>
                <w:szCs w:val="20"/>
              </w:rPr>
            </w:pPr>
          </w:p>
        </w:tc>
        <w:tc>
          <w:tcPr>
            <w:tcW w:w="10082" w:type="dxa"/>
            <w:tcBorders>
              <w:left w:val="nil"/>
              <w:bottom w:val="single" w:sz="12" w:space="0" w:color="000000"/>
              <w:right w:val="single" w:sz="4" w:space="0" w:color="auto"/>
            </w:tcBorders>
            <w:shd w:val="clear" w:color="FFFFFF" w:fill="FFFFFF"/>
            <w:hideMark/>
          </w:tcPr>
          <w:p w14:paraId="20CE56DB" w14:textId="77777777" w:rsidR="00D902D6" w:rsidRPr="00D902D6" w:rsidRDefault="00D902D6" w:rsidP="00D902D6">
            <w:pPr>
              <w:pStyle w:val="ListParagraph"/>
              <w:numPr>
                <w:ilvl w:val="0"/>
                <w:numId w:val="43"/>
              </w:numPr>
              <w:rPr>
                <w:color w:val="000000"/>
                <w:sz w:val="20"/>
                <w:szCs w:val="20"/>
              </w:rPr>
            </w:pPr>
            <w:r w:rsidRPr="00D902D6">
              <w:rPr>
                <w:color w:val="000000"/>
                <w:sz w:val="20"/>
                <w:szCs w:val="20"/>
              </w:rPr>
              <w:t>Waiting list (crossover at week 11 – no monitoring or other input)</w:t>
            </w:r>
          </w:p>
        </w:tc>
        <w:tc>
          <w:tcPr>
            <w:tcW w:w="1559" w:type="dxa"/>
            <w:tcBorders>
              <w:left w:val="single" w:sz="4" w:space="0" w:color="auto"/>
              <w:bottom w:val="single" w:sz="12" w:space="0" w:color="000000"/>
              <w:right w:val="single" w:sz="4" w:space="0" w:color="auto"/>
            </w:tcBorders>
            <w:shd w:val="clear" w:color="auto" w:fill="FFFFFF" w:themeFill="background1"/>
          </w:tcPr>
          <w:p w14:paraId="26E6D8FD" w14:textId="77777777" w:rsidR="00D902D6" w:rsidRPr="00D902D6" w:rsidRDefault="00D902D6" w:rsidP="00D902D6">
            <w:pPr>
              <w:rPr>
                <w:color w:val="000000"/>
                <w:sz w:val="20"/>
                <w:szCs w:val="20"/>
              </w:rPr>
            </w:pPr>
            <w:r w:rsidRPr="00D902D6">
              <w:rPr>
                <w:color w:val="000000"/>
                <w:sz w:val="20"/>
                <w:szCs w:val="20"/>
              </w:rPr>
              <w:t>NI</w:t>
            </w:r>
          </w:p>
        </w:tc>
      </w:tr>
      <w:tr w:rsidR="00D902D6" w:rsidRPr="001B4880" w14:paraId="101AF00A" w14:textId="77777777" w:rsidTr="00EB6127">
        <w:trPr>
          <w:trHeight w:val="538"/>
        </w:trPr>
        <w:tc>
          <w:tcPr>
            <w:tcW w:w="2104" w:type="dxa"/>
            <w:tcBorders>
              <w:top w:val="single" w:sz="12" w:space="0" w:color="000000"/>
              <w:left w:val="single" w:sz="4" w:space="0" w:color="000000"/>
              <w:right w:val="nil"/>
            </w:tcBorders>
            <w:shd w:val="clear" w:color="FFFFFF" w:fill="FFFFFF"/>
            <w:hideMark/>
          </w:tcPr>
          <w:p w14:paraId="264F85E8" w14:textId="77777777" w:rsidR="00D902D6" w:rsidRPr="00D902D6" w:rsidRDefault="00D902D6" w:rsidP="00D902D6">
            <w:pPr>
              <w:rPr>
                <w:color w:val="000000"/>
                <w:sz w:val="20"/>
                <w:szCs w:val="20"/>
              </w:rPr>
            </w:pPr>
            <w:r w:rsidRPr="00D902D6">
              <w:rPr>
                <w:color w:val="000000"/>
                <w:sz w:val="20"/>
                <w:szCs w:val="20"/>
              </w:rPr>
              <w:t xml:space="preserve">Titov 2010 </w:t>
            </w:r>
          </w:p>
        </w:tc>
        <w:tc>
          <w:tcPr>
            <w:tcW w:w="10082" w:type="dxa"/>
            <w:tcBorders>
              <w:top w:val="single" w:sz="12" w:space="0" w:color="000000"/>
              <w:left w:val="nil"/>
              <w:right w:val="single" w:sz="4" w:space="0" w:color="auto"/>
            </w:tcBorders>
            <w:shd w:val="clear" w:color="FFFFFF" w:fill="FFFFFF"/>
            <w:hideMark/>
          </w:tcPr>
          <w:p w14:paraId="53D0DE30" w14:textId="77777777" w:rsidR="00D902D6" w:rsidRPr="00D902D6" w:rsidRDefault="00D902D6" w:rsidP="00D902D6">
            <w:pPr>
              <w:pStyle w:val="ListParagraph"/>
              <w:numPr>
                <w:ilvl w:val="0"/>
                <w:numId w:val="44"/>
              </w:numPr>
              <w:rPr>
                <w:color w:val="000000"/>
                <w:sz w:val="20"/>
                <w:szCs w:val="20"/>
              </w:rPr>
            </w:pPr>
            <w:r w:rsidRPr="00D902D6">
              <w:rPr>
                <w:color w:val="000000"/>
                <w:sz w:val="20"/>
                <w:szCs w:val="20"/>
              </w:rPr>
              <w:t>Web-based CBT +  moderated online discussion forum + instant online messaging + 1 initial phone contact + subsequent email/phone weekly contact with clinical psychologist</w:t>
            </w:r>
          </w:p>
        </w:tc>
        <w:tc>
          <w:tcPr>
            <w:tcW w:w="1559" w:type="dxa"/>
            <w:tcBorders>
              <w:top w:val="single" w:sz="12" w:space="0" w:color="000000"/>
              <w:left w:val="single" w:sz="4" w:space="0" w:color="auto"/>
              <w:right w:val="single" w:sz="4" w:space="0" w:color="auto"/>
            </w:tcBorders>
            <w:shd w:val="clear" w:color="auto" w:fill="FFFFFF" w:themeFill="background1"/>
          </w:tcPr>
          <w:p w14:paraId="0EE8B2AA" w14:textId="77777777" w:rsidR="00D902D6" w:rsidRPr="00D902D6" w:rsidRDefault="00D902D6" w:rsidP="00D902D6">
            <w:pPr>
              <w:rPr>
                <w:color w:val="000000"/>
                <w:sz w:val="20"/>
                <w:szCs w:val="20"/>
              </w:rPr>
            </w:pPr>
            <w:r w:rsidRPr="00D902D6">
              <w:rPr>
                <w:color w:val="000000"/>
                <w:sz w:val="20"/>
                <w:szCs w:val="20"/>
              </w:rPr>
              <w:t>SDI</w:t>
            </w:r>
          </w:p>
        </w:tc>
      </w:tr>
      <w:tr w:rsidR="00D902D6" w:rsidRPr="001B4880" w14:paraId="4A4DA1D2" w14:textId="77777777" w:rsidTr="00EB6127">
        <w:trPr>
          <w:trHeight w:val="300"/>
        </w:trPr>
        <w:tc>
          <w:tcPr>
            <w:tcW w:w="2104" w:type="dxa"/>
            <w:tcBorders>
              <w:left w:val="single" w:sz="4" w:space="0" w:color="000000"/>
              <w:bottom w:val="single" w:sz="12" w:space="0" w:color="000000"/>
              <w:right w:val="nil"/>
            </w:tcBorders>
            <w:shd w:val="clear" w:color="FFFFFF" w:fill="FFFFFF"/>
            <w:hideMark/>
          </w:tcPr>
          <w:p w14:paraId="74775FA9" w14:textId="77777777" w:rsidR="00D902D6" w:rsidRPr="00D902D6" w:rsidRDefault="00D902D6" w:rsidP="00D902D6">
            <w:pPr>
              <w:rPr>
                <w:color w:val="000000"/>
                <w:sz w:val="20"/>
                <w:szCs w:val="20"/>
              </w:rPr>
            </w:pPr>
          </w:p>
        </w:tc>
        <w:tc>
          <w:tcPr>
            <w:tcW w:w="10082" w:type="dxa"/>
            <w:tcBorders>
              <w:left w:val="nil"/>
              <w:bottom w:val="single" w:sz="12" w:space="0" w:color="000000"/>
              <w:right w:val="single" w:sz="4" w:space="0" w:color="auto"/>
            </w:tcBorders>
            <w:shd w:val="clear" w:color="FFFFFF" w:fill="FFFFFF"/>
            <w:hideMark/>
          </w:tcPr>
          <w:p w14:paraId="229DC0CB" w14:textId="77777777" w:rsidR="00D902D6" w:rsidRPr="00D902D6" w:rsidRDefault="00D902D6" w:rsidP="00D902D6">
            <w:pPr>
              <w:pStyle w:val="ListParagraph"/>
              <w:numPr>
                <w:ilvl w:val="0"/>
                <w:numId w:val="44"/>
              </w:numPr>
              <w:rPr>
                <w:color w:val="000000"/>
                <w:sz w:val="20"/>
                <w:szCs w:val="20"/>
              </w:rPr>
            </w:pPr>
            <w:r w:rsidRPr="00D902D6">
              <w:rPr>
                <w:color w:val="000000"/>
                <w:sz w:val="20"/>
                <w:szCs w:val="20"/>
              </w:rPr>
              <w:t>Waiting list (+ unclear if contact with psychologist - crossover at week 9)</w:t>
            </w:r>
          </w:p>
        </w:tc>
        <w:tc>
          <w:tcPr>
            <w:tcW w:w="1559" w:type="dxa"/>
            <w:tcBorders>
              <w:left w:val="single" w:sz="4" w:space="0" w:color="auto"/>
              <w:bottom w:val="single" w:sz="12" w:space="0" w:color="000000"/>
              <w:right w:val="single" w:sz="4" w:space="0" w:color="auto"/>
            </w:tcBorders>
            <w:shd w:val="clear" w:color="auto" w:fill="FFFFFF" w:themeFill="background1"/>
          </w:tcPr>
          <w:p w14:paraId="18FA02E4" w14:textId="77777777" w:rsidR="00D902D6" w:rsidRPr="00D902D6" w:rsidRDefault="00D902D6" w:rsidP="00D902D6">
            <w:pPr>
              <w:rPr>
                <w:color w:val="000000"/>
                <w:sz w:val="20"/>
                <w:szCs w:val="20"/>
              </w:rPr>
            </w:pPr>
            <w:r w:rsidRPr="00D902D6">
              <w:rPr>
                <w:color w:val="000000"/>
                <w:sz w:val="20"/>
                <w:szCs w:val="20"/>
              </w:rPr>
              <w:t>NI</w:t>
            </w:r>
          </w:p>
        </w:tc>
      </w:tr>
      <w:tr w:rsidR="00D902D6" w:rsidRPr="001B4880" w14:paraId="4C7FE03D" w14:textId="77777777" w:rsidTr="00EB6127">
        <w:trPr>
          <w:trHeight w:val="223"/>
        </w:trPr>
        <w:tc>
          <w:tcPr>
            <w:tcW w:w="2104" w:type="dxa"/>
            <w:tcBorders>
              <w:top w:val="single" w:sz="12" w:space="0" w:color="000000"/>
              <w:left w:val="single" w:sz="4" w:space="0" w:color="000000"/>
              <w:right w:val="nil"/>
            </w:tcBorders>
            <w:shd w:val="clear" w:color="FFFFFF" w:fill="FFFFFF"/>
            <w:hideMark/>
          </w:tcPr>
          <w:p w14:paraId="1F45C996" w14:textId="77777777" w:rsidR="00D902D6" w:rsidRPr="00D902D6" w:rsidRDefault="00D902D6" w:rsidP="00D902D6">
            <w:pPr>
              <w:rPr>
                <w:color w:val="000000"/>
                <w:sz w:val="20"/>
                <w:szCs w:val="20"/>
              </w:rPr>
            </w:pPr>
            <w:r w:rsidRPr="00D902D6">
              <w:rPr>
                <w:color w:val="000000"/>
                <w:sz w:val="20"/>
                <w:szCs w:val="20"/>
              </w:rPr>
              <w:t>Topper 2017</w:t>
            </w:r>
          </w:p>
        </w:tc>
        <w:tc>
          <w:tcPr>
            <w:tcW w:w="10082" w:type="dxa"/>
            <w:tcBorders>
              <w:top w:val="single" w:sz="12" w:space="0" w:color="000000"/>
              <w:left w:val="nil"/>
              <w:right w:val="single" w:sz="4" w:space="0" w:color="auto"/>
            </w:tcBorders>
            <w:shd w:val="clear" w:color="FFFFFF" w:fill="FFFFFF"/>
            <w:hideMark/>
          </w:tcPr>
          <w:p w14:paraId="5353403B" w14:textId="77777777" w:rsidR="00D902D6" w:rsidRPr="00D902D6" w:rsidRDefault="00D902D6" w:rsidP="00D902D6">
            <w:pPr>
              <w:pStyle w:val="ListParagraph"/>
              <w:numPr>
                <w:ilvl w:val="0"/>
                <w:numId w:val="45"/>
              </w:numPr>
              <w:rPr>
                <w:color w:val="000000"/>
                <w:sz w:val="20"/>
                <w:szCs w:val="20"/>
              </w:rPr>
            </w:pPr>
            <w:r w:rsidRPr="00D902D6">
              <w:rPr>
                <w:color w:val="000000"/>
                <w:sz w:val="20"/>
                <w:szCs w:val="20"/>
              </w:rPr>
              <w:t>Group CBT in weekly meetings with psychologists</w:t>
            </w:r>
          </w:p>
        </w:tc>
        <w:tc>
          <w:tcPr>
            <w:tcW w:w="1559" w:type="dxa"/>
            <w:tcBorders>
              <w:top w:val="single" w:sz="12" w:space="0" w:color="000000"/>
              <w:left w:val="single" w:sz="4" w:space="0" w:color="auto"/>
              <w:right w:val="single" w:sz="4" w:space="0" w:color="auto"/>
            </w:tcBorders>
            <w:shd w:val="clear" w:color="auto" w:fill="FFFFFF" w:themeFill="background1"/>
          </w:tcPr>
          <w:p w14:paraId="3BD3EEE0" w14:textId="77777777" w:rsidR="00D902D6" w:rsidRPr="00D902D6" w:rsidRDefault="00D902D6" w:rsidP="00D902D6">
            <w:pPr>
              <w:rPr>
                <w:sz w:val="20"/>
                <w:szCs w:val="20"/>
              </w:rPr>
            </w:pPr>
            <w:r w:rsidRPr="00D902D6">
              <w:rPr>
                <w:sz w:val="20"/>
                <w:szCs w:val="20"/>
              </w:rPr>
              <w:t>SNoDI</w:t>
            </w:r>
          </w:p>
        </w:tc>
      </w:tr>
      <w:tr w:rsidR="00D902D6" w:rsidRPr="001B4880" w14:paraId="1C8D5DCE" w14:textId="77777777" w:rsidTr="00EB6127">
        <w:trPr>
          <w:trHeight w:val="95"/>
        </w:trPr>
        <w:tc>
          <w:tcPr>
            <w:tcW w:w="2104" w:type="dxa"/>
            <w:tcBorders>
              <w:left w:val="single" w:sz="4" w:space="0" w:color="000000"/>
              <w:right w:val="nil"/>
            </w:tcBorders>
            <w:shd w:val="clear" w:color="FFFFFF" w:fill="FFFFFF"/>
          </w:tcPr>
          <w:p w14:paraId="60CA6E55" w14:textId="77777777" w:rsidR="00D902D6" w:rsidRPr="00D902D6" w:rsidRDefault="00D902D6" w:rsidP="00D902D6">
            <w:pPr>
              <w:rPr>
                <w:color w:val="000000"/>
                <w:sz w:val="20"/>
                <w:szCs w:val="20"/>
              </w:rPr>
            </w:pPr>
          </w:p>
        </w:tc>
        <w:tc>
          <w:tcPr>
            <w:tcW w:w="10082" w:type="dxa"/>
            <w:tcBorders>
              <w:left w:val="nil"/>
              <w:right w:val="single" w:sz="4" w:space="0" w:color="auto"/>
            </w:tcBorders>
            <w:shd w:val="clear" w:color="FFFFFF" w:fill="FFFFFF"/>
            <w:hideMark/>
          </w:tcPr>
          <w:p w14:paraId="50F79B7A" w14:textId="77777777" w:rsidR="00D902D6" w:rsidRPr="00D902D6" w:rsidRDefault="00D902D6" w:rsidP="00D902D6">
            <w:pPr>
              <w:pStyle w:val="ListParagraph"/>
              <w:numPr>
                <w:ilvl w:val="0"/>
                <w:numId w:val="45"/>
              </w:numPr>
              <w:rPr>
                <w:color w:val="000000"/>
                <w:sz w:val="20"/>
                <w:szCs w:val="20"/>
              </w:rPr>
            </w:pPr>
            <w:r w:rsidRPr="00D902D6">
              <w:rPr>
                <w:color w:val="000000"/>
                <w:sz w:val="20"/>
                <w:szCs w:val="20"/>
              </w:rPr>
              <w:t>Web-based CBT + weekly online personalised feedback from psychologists (unclear whether there was two-way communication between participant and psychologist in response to feedback).</w:t>
            </w:r>
          </w:p>
        </w:tc>
        <w:tc>
          <w:tcPr>
            <w:tcW w:w="1559" w:type="dxa"/>
            <w:tcBorders>
              <w:left w:val="single" w:sz="4" w:space="0" w:color="auto"/>
              <w:right w:val="single" w:sz="4" w:space="0" w:color="auto"/>
            </w:tcBorders>
            <w:shd w:val="clear" w:color="auto" w:fill="FFFFFF" w:themeFill="background1"/>
          </w:tcPr>
          <w:p w14:paraId="4614870A" w14:textId="77777777" w:rsidR="00D902D6" w:rsidRPr="00D902D6" w:rsidRDefault="00D902D6" w:rsidP="00D902D6">
            <w:pPr>
              <w:rPr>
                <w:color w:val="000000"/>
                <w:sz w:val="20"/>
                <w:szCs w:val="20"/>
              </w:rPr>
            </w:pPr>
            <w:r w:rsidRPr="00D902D6">
              <w:rPr>
                <w:color w:val="000000"/>
                <w:sz w:val="20"/>
                <w:szCs w:val="20"/>
              </w:rPr>
              <w:t>SDI</w:t>
            </w:r>
          </w:p>
        </w:tc>
      </w:tr>
      <w:tr w:rsidR="00D902D6" w:rsidRPr="001B4880" w14:paraId="28E524A5" w14:textId="77777777" w:rsidTr="00EB6127">
        <w:trPr>
          <w:trHeight w:val="300"/>
        </w:trPr>
        <w:tc>
          <w:tcPr>
            <w:tcW w:w="2104" w:type="dxa"/>
            <w:tcBorders>
              <w:left w:val="single" w:sz="4" w:space="0" w:color="000000"/>
              <w:bottom w:val="single" w:sz="4" w:space="0" w:color="000000"/>
              <w:right w:val="nil"/>
            </w:tcBorders>
            <w:shd w:val="clear" w:color="FFFFFF" w:fill="FFFFFF"/>
          </w:tcPr>
          <w:p w14:paraId="76547323" w14:textId="77777777" w:rsidR="00D902D6" w:rsidRPr="00D902D6" w:rsidRDefault="00D902D6" w:rsidP="00D902D6">
            <w:pPr>
              <w:rPr>
                <w:color w:val="000000"/>
                <w:sz w:val="20"/>
                <w:szCs w:val="20"/>
              </w:rPr>
            </w:pPr>
          </w:p>
        </w:tc>
        <w:tc>
          <w:tcPr>
            <w:tcW w:w="10082" w:type="dxa"/>
            <w:tcBorders>
              <w:left w:val="nil"/>
              <w:bottom w:val="single" w:sz="4" w:space="0" w:color="000000"/>
              <w:right w:val="single" w:sz="4" w:space="0" w:color="auto"/>
            </w:tcBorders>
            <w:shd w:val="clear" w:color="FFFFFF" w:fill="FFFFFF"/>
            <w:hideMark/>
          </w:tcPr>
          <w:p w14:paraId="20D1F49C" w14:textId="77777777" w:rsidR="00D902D6" w:rsidRPr="00D902D6" w:rsidRDefault="00D902D6" w:rsidP="00D902D6">
            <w:pPr>
              <w:pStyle w:val="ListParagraph"/>
              <w:numPr>
                <w:ilvl w:val="0"/>
                <w:numId w:val="45"/>
              </w:numPr>
              <w:rPr>
                <w:color w:val="000000"/>
                <w:sz w:val="20"/>
                <w:szCs w:val="20"/>
              </w:rPr>
            </w:pPr>
            <w:r w:rsidRPr="00D902D6">
              <w:rPr>
                <w:color w:val="000000"/>
                <w:sz w:val="20"/>
                <w:szCs w:val="20"/>
              </w:rPr>
              <w:t>Waiting list (crossover at 12 months – no monitoring or other input from the research team)</w:t>
            </w:r>
          </w:p>
        </w:tc>
        <w:tc>
          <w:tcPr>
            <w:tcW w:w="1559" w:type="dxa"/>
            <w:tcBorders>
              <w:left w:val="single" w:sz="4" w:space="0" w:color="auto"/>
              <w:bottom w:val="single" w:sz="4" w:space="0" w:color="000000"/>
              <w:right w:val="single" w:sz="4" w:space="0" w:color="auto"/>
            </w:tcBorders>
            <w:shd w:val="clear" w:color="auto" w:fill="FFFFFF" w:themeFill="background1"/>
          </w:tcPr>
          <w:p w14:paraId="31A1D7EB" w14:textId="77777777" w:rsidR="00D902D6" w:rsidRPr="00D902D6" w:rsidRDefault="00D902D6" w:rsidP="00D902D6">
            <w:pPr>
              <w:rPr>
                <w:color w:val="000000"/>
                <w:sz w:val="20"/>
                <w:szCs w:val="20"/>
              </w:rPr>
            </w:pPr>
            <w:r w:rsidRPr="00D902D6">
              <w:rPr>
                <w:color w:val="000000"/>
                <w:sz w:val="20"/>
                <w:szCs w:val="20"/>
              </w:rPr>
              <w:t>NI</w:t>
            </w:r>
          </w:p>
        </w:tc>
      </w:tr>
    </w:tbl>
    <w:p w14:paraId="79BB9259" w14:textId="77777777" w:rsidR="00D902D6" w:rsidRDefault="00D902D6" w:rsidP="00D902D6">
      <w:pPr>
        <w:rPr>
          <w:sz w:val="20"/>
          <w:szCs w:val="20"/>
        </w:rPr>
      </w:pPr>
      <w:r w:rsidRPr="00FB719F">
        <w:rPr>
          <w:sz w:val="20"/>
          <w:szCs w:val="20"/>
        </w:rPr>
        <w:t># not clear whether online measures were sent by email or were automated and delivered via a platform</w:t>
      </w:r>
    </w:p>
    <w:p w14:paraId="2BEA5A51" w14:textId="77777777" w:rsidR="00D902D6" w:rsidRPr="00ED30DB" w:rsidRDefault="00D902D6" w:rsidP="00D902D6">
      <w:pPr>
        <w:rPr>
          <w:sz w:val="20"/>
          <w:szCs w:val="20"/>
        </w:rPr>
      </w:pPr>
      <w:r w:rsidRPr="00ED30DB">
        <w:rPr>
          <w:sz w:val="20"/>
          <w:szCs w:val="20"/>
        </w:rPr>
        <w:t>* 2x2 factorial RCT</w:t>
      </w:r>
      <w:r>
        <w:rPr>
          <w:sz w:val="20"/>
          <w:szCs w:val="20"/>
        </w:rPr>
        <w:t>, so o</w:t>
      </w:r>
      <w:r w:rsidRPr="00ED30DB">
        <w:rPr>
          <w:sz w:val="20"/>
          <w:szCs w:val="20"/>
        </w:rPr>
        <w:t>utcomes reported in 2 groups (SDI vs. UDI</w:t>
      </w:r>
      <w:r>
        <w:rPr>
          <w:sz w:val="20"/>
          <w:szCs w:val="20"/>
        </w:rPr>
        <w:t xml:space="preserve"> for both GAD-specific and transdiagnostic groups</w:t>
      </w:r>
      <w:r w:rsidRPr="00ED30DB">
        <w:rPr>
          <w:sz w:val="20"/>
          <w:szCs w:val="20"/>
        </w:rPr>
        <w:t xml:space="preserve">) </w:t>
      </w:r>
    </w:p>
    <w:p w14:paraId="5897A42D" w14:textId="77777777" w:rsidR="00D902D6" w:rsidRDefault="00D902D6" w:rsidP="00D902D6">
      <w:pPr>
        <w:rPr>
          <w:sz w:val="20"/>
          <w:szCs w:val="20"/>
        </w:rPr>
      </w:pPr>
      <w:r w:rsidRPr="00ED30DB">
        <w:rPr>
          <w:sz w:val="20"/>
          <w:szCs w:val="20"/>
        </w:rPr>
        <w:t>** Outcomes reported as a single group across both interventions</w:t>
      </w:r>
      <w:r>
        <w:rPr>
          <w:sz w:val="20"/>
          <w:szCs w:val="20"/>
        </w:rPr>
        <w:t xml:space="preserve"> (SDI with or without RNT)</w:t>
      </w:r>
    </w:p>
    <w:p w14:paraId="4C822884" w14:textId="77777777" w:rsidR="00D902D6" w:rsidRPr="00FB719F" w:rsidRDefault="00D902D6" w:rsidP="00D902D6">
      <w:pPr>
        <w:rPr>
          <w:sz w:val="20"/>
          <w:szCs w:val="20"/>
        </w:rPr>
      </w:pPr>
      <w:r>
        <w:rPr>
          <w:sz w:val="20"/>
          <w:szCs w:val="20"/>
        </w:rPr>
        <w:t>*** Study not included in the meta-analysis because it only reported GAD-7 categorical outcomes</w:t>
      </w:r>
    </w:p>
    <w:p w14:paraId="38592572" w14:textId="77777777" w:rsidR="00D902D6" w:rsidRPr="00FB719F" w:rsidRDefault="00D902D6" w:rsidP="00D902D6">
      <w:pPr>
        <w:rPr>
          <w:sz w:val="20"/>
          <w:szCs w:val="20"/>
        </w:rPr>
      </w:pPr>
      <w:r w:rsidRPr="00FB719F">
        <w:rPr>
          <w:color w:val="000000"/>
          <w:sz w:val="20"/>
          <w:szCs w:val="20"/>
          <w:vertAlign w:val="superscript"/>
        </w:rPr>
        <w:t>1   ‘</w:t>
      </w:r>
      <w:r w:rsidRPr="00FB719F">
        <w:rPr>
          <w:sz w:val="20"/>
          <w:szCs w:val="20"/>
        </w:rPr>
        <w:t>Waiting list’ classified as ‘No Intervention’ (NI)</w:t>
      </w:r>
      <w:r>
        <w:rPr>
          <w:sz w:val="20"/>
          <w:szCs w:val="20"/>
        </w:rPr>
        <w:t xml:space="preserve"> because the </w:t>
      </w:r>
      <w:r w:rsidRPr="00FB719F">
        <w:rPr>
          <w:sz w:val="20"/>
          <w:szCs w:val="20"/>
        </w:rPr>
        <w:t xml:space="preserve">online weekly ratings </w:t>
      </w:r>
      <w:r>
        <w:rPr>
          <w:sz w:val="20"/>
          <w:szCs w:val="20"/>
        </w:rPr>
        <w:t>were</w:t>
      </w:r>
      <w:r w:rsidRPr="00FB719F">
        <w:rPr>
          <w:sz w:val="20"/>
          <w:szCs w:val="20"/>
        </w:rPr>
        <w:t xml:space="preserve"> self-completed </w:t>
      </w:r>
      <w:r>
        <w:rPr>
          <w:sz w:val="20"/>
          <w:szCs w:val="20"/>
        </w:rPr>
        <w:t>without any further input from the research team</w:t>
      </w:r>
    </w:p>
    <w:p w14:paraId="4EFE69EB" w14:textId="77777777" w:rsidR="00D902D6" w:rsidRPr="00FB719F" w:rsidRDefault="00D902D6" w:rsidP="00D902D6">
      <w:pPr>
        <w:rPr>
          <w:sz w:val="20"/>
          <w:szCs w:val="20"/>
        </w:rPr>
      </w:pPr>
      <w:r w:rsidRPr="00FB719F">
        <w:rPr>
          <w:sz w:val="20"/>
          <w:szCs w:val="20"/>
          <w:vertAlign w:val="superscript"/>
        </w:rPr>
        <w:t xml:space="preserve">2  </w:t>
      </w:r>
      <w:r w:rsidRPr="00FB719F">
        <w:rPr>
          <w:sz w:val="20"/>
          <w:szCs w:val="20"/>
        </w:rPr>
        <w:t>‘Waiting list’ classified as ‘Supported Digital Control’ (SDC)</w:t>
      </w:r>
      <w:r>
        <w:rPr>
          <w:sz w:val="20"/>
          <w:szCs w:val="20"/>
        </w:rPr>
        <w:t xml:space="preserve"> because there was </w:t>
      </w:r>
      <w:r w:rsidRPr="00FB719F">
        <w:rPr>
          <w:sz w:val="20"/>
          <w:szCs w:val="20"/>
        </w:rPr>
        <w:t>substantial and regular non-specific support and monitoring via an online messaging system with a therapist that matched the duration of therapeutic support in the intervention arm</w:t>
      </w:r>
    </w:p>
    <w:p w14:paraId="11323E9B" w14:textId="77777777" w:rsidR="00D902D6" w:rsidRPr="00FB719F" w:rsidRDefault="00D902D6" w:rsidP="00D902D6">
      <w:pPr>
        <w:rPr>
          <w:sz w:val="20"/>
          <w:szCs w:val="20"/>
        </w:rPr>
      </w:pPr>
      <w:r w:rsidRPr="00FB719F">
        <w:rPr>
          <w:sz w:val="20"/>
          <w:szCs w:val="20"/>
          <w:vertAlign w:val="superscript"/>
        </w:rPr>
        <w:t>3</w:t>
      </w:r>
      <w:r w:rsidRPr="00FB719F">
        <w:rPr>
          <w:sz w:val="20"/>
          <w:szCs w:val="20"/>
        </w:rPr>
        <w:t xml:space="preserve"> ‘Waiting list’ classified as Unsupported Digital Control (UDC)</w:t>
      </w:r>
      <w:r>
        <w:rPr>
          <w:sz w:val="20"/>
          <w:szCs w:val="20"/>
        </w:rPr>
        <w:t xml:space="preserve"> because there was</w:t>
      </w:r>
      <w:r w:rsidRPr="00FB719F">
        <w:rPr>
          <w:sz w:val="20"/>
          <w:szCs w:val="20"/>
        </w:rPr>
        <w:t xml:space="preserve"> substantial and regular information </w:t>
      </w:r>
      <w:r>
        <w:rPr>
          <w:sz w:val="20"/>
          <w:szCs w:val="20"/>
        </w:rPr>
        <w:t>and</w:t>
      </w:r>
      <w:r w:rsidRPr="00FB719F">
        <w:rPr>
          <w:sz w:val="20"/>
          <w:szCs w:val="20"/>
        </w:rPr>
        <w:t xml:space="preserve"> therapeutic advice similar to that of the intervention –via the mobile </w:t>
      </w:r>
      <w:r>
        <w:rPr>
          <w:sz w:val="20"/>
          <w:szCs w:val="20"/>
        </w:rPr>
        <w:t xml:space="preserve">(inferred) </w:t>
      </w:r>
      <w:r w:rsidRPr="00FB719F">
        <w:rPr>
          <w:sz w:val="20"/>
          <w:szCs w:val="20"/>
        </w:rPr>
        <w:t>(hence ‘digital’); standardised materials without two-way interaction with a therapist (hence ‘unsupported’)</w:t>
      </w:r>
    </w:p>
    <w:p w14:paraId="4F9878CE" w14:textId="77777777" w:rsidR="00D902D6" w:rsidRPr="00FB719F" w:rsidRDefault="00D902D6" w:rsidP="00D902D6">
      <w:pPr>
        <w:rPr>
          <w:sz w:val="20"/>
          <w:szCs w:val="20"/>
        </w:rPr>
      </w:pPr>
      <w:r w:rsidRPr="00FB719F">
        <w:rPr>
          <w:sz w:val="20"/>
          <w:szCs w:val="20"/>
          <w:vertAlign w:val="superscript"/>
        </w:rPr>
        <w:t>4</w:t>
      </w:r>
      <w:r w:rsidRPr="00FB719F">
        <w:rPr>
          <w:sz w:val="20"/>
          <w:szCs w:val="20"/>
        </w:rPr>
        <w:t xml:space="preserve"> ‘Waiting list’ classified as Supported Non-Digital Control (SNoDC)</w:t>
      </w:r>
      <w:r>
        <w:rPr>
          <w:sz w:val="20"/>
          <w:szCs w:val="20"/>
        </w:rPr>
        <w:t xml:space="preserve"> because there was</w:t>
      </w:r>
      <w:r w:rsidRPr="00FB719F">
        <w:rPr>
          <w:sz w:val="20"/>
          <w:szCs w:val="20"/>
        </w:rPr>
        <w:t xml:space="preserve"> substantial and regular </w:t>
      </w:r>
      <w:r>
        <w:rPr>
          <w:sz w:val="20"/>
          <w:szCs w:val="20"/>
        </w:rPr>
        <w:t>face-to-face</w:t>
      </w:r>
      <w:r w:rsidRPr="00FB719F">
        <w:rPr>
          <w:sz w:val="20"/>
          <w:szCs w:val="20"/>
        </w:rPr>
        <w:t xml:space="preserve"> assessments with a researcher that matched the assessments of the intervention groups. </w:t>
      </w:r>
    </w:p>
    <w:p w14:paraId="275F4F07" w14:textId="77777777" w:rsidR="00D902D6" w:rsidRPr="00AF64DE" w:rsidRDefault="00D902D6" w:rsidP="00D902D6"/>
    <w:p w14:paraId="0E67915E" w14:textId="77777777" w:rsidR="00D902D6" w:rsidRPr="002708B4" w:rsidRDefault="00D902D6" w:rsidP="00D902D6">
      <w:pPr>
        <w:rPr>
          <w:color w:val="000000"/>
          <w:sz w:val="20"/>
          <w:szCs w:val="20"/>
        </w:rPr>
      </w:pPr>
      <w:r w:rsidRPr="002708B4">
        <w:rPr>
          <w:sz w:val="20"/>
          <w:szCs w:val="20"/>
        </w:rPr>
        <w:t>ABM =</w:t>
      </w:r>
      <w:r w:rsidRPr="002708B4">
        <w:rPr>
          <w:color w:val="000000"/>
          <w:sz w:val="20"/>
          <w:szCs w:val="20"/>
        </w:rPr>
        <w:t xml:space="preserve"> Attentional Bias Modification; </w:t>
      </w:r>
      <w:r w:rsidRPr="002708B4">
        <w:rPr>
          <w:sz w:val="20"/>
          <w:szCs w:val="20"/>
        </w:rPr>
        <w:t>ACT = Acceptance and Commitment Therapy</w:t>
      </w:r>
      <w:r w:rsidRPr="002708B4">
        <w:rPr>
          <w:color w:val="000000"/>
          <w:sz w:val="20"/>
          <w:szCs w:val="20"/>
        </w:rPr>
        <w:t xml:space="preserve">; </w:t>
      </w:r>
      <w:r w:rsidRPr="002708B4">
        <w:rPr>
          <w:sz w:val="20"/>
          <w:szCs w:val="20"/>
        </w:rPr>
        <w:t>CBT = Cognitive Behaviour Therapy; GAD=Generalised Anxiety Disorder; M=medication; MBI = Mindfulness Based Intervention</w:t>
      </w:r>
      <w:r w:rsidRPr="002708B4">
        <w:rPr>
          <w:color w:val="000000"/>
          <w:sz w:val="20"/>
          <w:szCs w:val="20"/>
        </w:rPr>
        <w:t xml:space="preserve">; </w:t>
      </w:r>
      <w:r w:rsidRPr="002708B4">
        <w:rPr>
          <w:sz w:val="20"/>
          <w:szCs w:val="20"/>
        </w:rPr>
        <w:t>MBT = Mindfulness Based Therapy</w:t>
      </w:r>
      <w:r w:rsidRPr="002708B4">
        <w:rPr>
          <w:color w:val="000000"/>
          <w:sz w:val="20"/>
          <w:szCs w:val="20"/>
        </w:rPr>
        <w:t xml:space="preserve">; </w:t>
      </w:r>
      <w:r w:rsidRPr="002708B4">
        <w:rPr>
          <w:sz w:val="20"/>
          <w:szCs w:val="20"/>
        </w:rPr>
        <w:t xml:space="preserve">NI=No intervention; PSWQ=Penn State Worry Questionnaire; </w:t>
      </w:r>
      <w:r w:rsidRPr="002708B4">
        <w:rPr>
          <w:color w:val="000000"/>
          <w:sz w:val="20"/>
          <w:szCs w:val="20"/>
        </w:rPr>
        <w:t xml:space="preserve">RNT = Repetitive Negative Thinking; </w:t>
      </w:r>
      <w:r w:rsidRPr="002708B4">
        <w:rPr>
          <w:sz w:val="20"/>
          <w:szCs w:val="20"/>
        </w:rPr>
        <w:t>SDC=Supported Digital Control; SDI=Supported Digital Intervention; SNoDC=Supported Non-Digital Control; SNoDI=Supported Non-digital intervention; SSRI = Selective Serotonin Reuptake Inhibitor</w:t>
      </w:r>
      <w:r w:rsidRPr="002708B4">
        <w:rPr>
          <w:color w:val="000000"/>
          <w:sz w:val="20"/>
          <w:szCs w:val="20"/>
        </w:rPr>
        <w:t xml:space="preserve">; VR = Virtual Reality; </w:t>
      </w:r>
      <w:r w:rsidRPr="002708B4">
        <w:rPr>
          <w:sz w:val="20"/>
          <w:szCs w:val="20"/>
        </w:rPr>
        <w:t>UDC=Unsupported Digital Control; UDI=Unsupported Digital Intervention.</w:t>
      </w:r>
    </w:p>
    <w:p w14:paraId="7126A502" w14:textId="21837569" w:rsidR="00D902D6" w:rsidRDefault="00D902D6">
      <w:pPr>
        <w:rPr>
          <w:rFonts w:eastAsia="MS Mincho"/>
          <w:b/>
          <w:lang w:eastAsia="ja-JP"/>
        </w:rPr>
      </w:pPr>
      <w:r>
        <w:rPr>
          <w:rFonts w:eastAsia="MS Mincho"/>
          <w:b/>
          <w:lang w:eastAsia="ja-JP"/>
        </w:rPr>
        <w:br w:type="page"/>
      </w:r>
    </w:p>
    <w:p w14:paraId="5ACEF8C7" w14:textId="77777777" w:rsidR="00D902D6" w:rsidRPr="007A1DD4" w:rsidRDefault="00D902D6" w:rsidP="00D902D6">
      <w:pPr>
        <w:rPr>
          <w:b/>
          <w:bCs/>
        </w:rPr>
      </w:pPr>
      <w:bookmarkStart w:id="7" w:name="_Hlk37344726"/>
      <w:r w:rsidRPr="007A1DD4">
        <w:rPr>
          <w:b/>
          <w:bCs/>
        </w:rPr>
        <w:t>Table</w:t>
      </w:r>
      <w:r>
        <w:rPr>
          <w:b/>
          <w:bCs/>
        </w:rPr>
        <w:t xml:space="preserve"> 3</w:t>
      </w:r>
      <w:r w:rsidRPr="007A1DD4">
        <w:rPr>
          <w:b/>
          <w:bCs/>
        </w:rPr>
        <w:t xml:space="preserve"> </w:t>
      </w:r>
      <w:r>
        <w:rPr>
          <w:b/>
          <w:bCs/>
        </w:rPr>
        <w:t xml:space="preserve">- </w:t>
      </w:r>
      <w:r w:rsidRPr="005B2C83">
        <w:rPr>
          <w:b/>
          <w:bCs/>
        </w:rPr>
        <w:t>Full meta-analysis results: network and direct pairwise comparisons between all interventions and controls for post-treatment (12 weeks) GAD-7 scores adjusted for baseline</w:t>
      </w:r>
    </w:p>
    <w:bookmarkEnd w:id="7"/>
    <w:p w14:paraId="512ADB6F" w14:textId="77777777" w:rsidR="00D902D6" w:rsidRPr="001F0117" w:rsidRDefault="00D902D6" w:rsidP="00D902D6">
      <w:pPr>
        <w:rPr>
          <w:b/>
          <w:bCs/>
        </w:rPr>
      </w:pPr>
    </w:p>
    <w:tbl>
      <w:tblPr>
        <w:tblW w:w="14742" w:type="dxa"/>
        <w:jc w:val="center"/>
        <w:tblLayout w:type="fixed"/>
        <w:tblLook w:val="04A0" w:firstRow="1" w:lastRow="0" w:firstColumn="1" w:lastColumn="0" w:noHBand="0" w:noVBand="1"/>
      </w:tblPr>
      <w:tblGrid>
        <w:gridCol w:w="567"/>
        <w:gridCol w:w="1417"/>
        <w:gridCol w:w="1701"/>
        <w:gridCol w:w="1559"/>
        <w:gridCol w:w="1560"/>
        <w:gridCol w:w="1701"/>
        <w:gridCol w:w="1559"/>
        <w:gridCol w:w="1559"/>
        <w:gridCol w:w="1559"/>
        <w:gridCol w:w="1560"/>
      </w:tblGrid>
      <w:tr w:rsidR="00D902D6" w:rsidRPr="00D902D6" w14:paraId="6BCDC036" w14:textId="77777777" w:rsidTr="00EB6127">
        <w:trPr>
          <w:trHeight w:val="376"/>
          <w:jc w:val="center"/>
        </w:trPr>
        <w:tc>
          <w:tcPr>
            <w:tcW w:w="567" w:type="dxa"/>
            <w:tcBorders>
              <w:top w:val="nil"/>
              <w:left w:val="nil"/>
              <w:bottom w:val="nil"/>
              <w:right w:val="nil"/>
            </w:tcBorders>
            <w:shd w:val="clear" w:color="auto" w:fill="auto"/>
            <w:noWrap/>
            <w:vAlign w:val="bottom"/>
            <w:hideMark/>
          </w:tcPr>
          <w:p w14:paraId="743115CD" w14:textId="77777777" w:rsidR="00D902D6" w:rsidRPr="00D902D6" w:rsidRDefault="00D902D6" w:rsidP="00EB6127">
            <w:pPr>
              <w:rPr>
                <w:color w:val="000000"/>
                <w:sz w:val="20"/>
                <w:szCs w:val="20"/>
              </w:rPr>
            </w:pPr>
            <w:r w:rsidRPr="00D902D6">
              <w:rPr>
                <w:color w:val="000000"/>
                <w:sz w:val="20"/>
                <w:szCs w:val="20"/>
              </w:rPr>
              <w:t> </w:t>
            </w:r>
          </w:p>
        </w:tc>
        <w:tc>
          <w:tcPr>
            <w:tcW w:w="1417" w:type="dxa"/>
            <w:tcBorders>
              <w:top w:val="nil"/>
              <w:left w:val="nil"/>
              <w:bottom w:val="nil"/>
              <w:right w:val="nil"/>
            </w:tcBorders>
            <w:shd w:val="clear" w:color="auto" w:fill="auto"/>
            <w:noWrap/>
            <w:vAlign w:val="bottom"/>
            <w:hideMark/>
          </w:tcPr>
          <w:p w14:paraId="1A1E4991" w14:textId="77777777" w:rsidR="00D902D6" w:rsidRPr="00D902D6" w:rsidRDefault="00D902D6" w:rsidP="00EB6127">
            <w:pPr>
              <w:rPr>
                <w:color w:val="000000"/>
                <w:sz w:val="20"/>
                <w:szCs w:val="20"/>
              </w:rPr>
            </w:pPr>
            <w:r w:rsidRPr="00D902D6">
              <w:rPr>
                <w:color w:val="000000"/>
                <w:sz w:val="20"/>
                <w:szCs w:val="20"/>
              </w:rPr>
              <w:t> </w:t>
            </w:r>
          </w:p>
        </w:tc>
        <w:tc>
          <w:tcPr>
            <w:tcW w:w="1275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F90F54" w14:textId="77777777" w:rsidR="00D902D6" w:rsidRPr="00D902D6" w:rsidRDefault="00D902D6" w:rsidP="00EB6127">
            <w:pPr>
              <w:jc w:val="center"/>
              <w:rPr>
                <w:b/>
                <w:bCs/>
                <w:color w:val="000000"/>
                <w:sz w:val="20"/>
                <w:szCs w:val="20"/>
              </w:rPr>
            </w:pPr>
            <w:r w:rsidRPr="00D902D6">
              <w:rPr>
                <w:b/>
                <w:bCs/>
                <w:color w:val="000000"/>
                <w:sz w:val="20"/>
                <w:szCs w:val="20"/>
              </w:rPr>
              <w:t>GAD-7 Direct Pairwise</w:t>
            </w:r>
            <w:r w:rsidRPr="00D902D6">
              <w:rPr>
                <w:b/>
                <w:bCs/>
                <w:color w:val="000000"/>
                <w:sz w:val="20"/>
                <w:szCs w:val="20"/>
                <w:vertAlign w:val="superscript"/>
              </w:rPr>
              <w:t>*,**</w:t>
            </w:r>
          </w:p>
        </w:tc>
      </w:tr>
      <w:tr w:rsidR="00D902D6" w:rsidRPr="00D902D6" w14:paraId="5537C214" w14:textId="77777777" w:rsidTr="00EB6127">
        <w:trPr>
          <w:trHeight w:val="20"/>
          <w:jc w:val="center"/>
        </w:trPr>
        <w:tc>
          <w:tcPr>
            <w:tcW w:w="567" w:type="dxa"/>
            <w:tcBorders>
              <w:top w:val="nil"/>
              <w:left w:val="nil"/>
              <w:bottom w:val="nil"/>
              <w:right w:val="nil"/>
            </w:tcBorders>
            <w:shd w:val="clear" w:color="auto" w:fill="auto"/>
            <w:noWrap/>
            <w:vAlign w:val="bottom"/>
            <w:hideMark/>
          </w:tcPr>
          <w:p w14:paraId="4F53C862" w14:textId="77777777" w:rsidR="00D902D6" w:rsidRPr="00D902D6" w:rsidRDefault="00D902D6" w:rsidP="00EB6127">
            <w:pPr>
              <w:rPr>
                <w:color w:val="000000"/>
                <w:sz w:val="20"/>
                <w:szCs w:val="20"/>
              </w:rPr>
            </w:pPr>
            <w:r w:rsidRPr="00D902D6">
              <w:rPr>
                <w:color w:val="000000"/>
                <w:sz w:val="20"/>
                <w:szCs w:val="20"/>
              </w:rPr>
              <w:t>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3B3FAD" w14:textId="77777777" w:rsidR="00D902D6" w:rsidRPr="00D902D6" w:rsidRDefault="00D902D6" w:rsidP="00EB6127">
            <w:pPr>
              <w:jc w:val="center"/>
              <w:rPr>
                <w:b/>
                <w:bCs/>
                <w:color w:val="000000"/>
                <w:sz w:val="20"/>
                <w:szCs w:val="20"/>
              </w:rPr>
            </w:pPr>
            <w:r w:rsidRPr="00D902D6">
              <w:rPr>
                <w:b/>
                <w:bCs/>
                <w:color w:val="000000"/>
                <w:sz w:val="20"/>
                <w:szCs w:val="20"/>
              </w:rPr>
              <w:t>Comparator</w:t>
            </w:r>
          </w:p>
        </w:tc>
        <w:tc>
          <w:tcPr>
            <w:tcW w:w="1701" w:type="dxa"/>
            <w:vMerge w:val="restart"/>
            <w:tcBorders>
              <w:top w:val="single" w:sz="4" w:space="0" w:color="auto"/>
              <w:left w:val="single" w:sz="4" w:space="0" w:color="auto"/>
              <w:bottom w:val="single" w:sz="4" w:space="0" w:color="000000"/>
              <w:right w:val="single" w:sz="4" w:space="0" w:color="000000"/>
            </w:tcBorders>
            <w:shd w:val="pct12" w:color="auto" w:fill="auto"/>
            <w:noWrap/>
            <w:vAlign w:val="center"/>
            <w:hideMark/>
          </w:tcPr>
          <w:p w14:paraId="6806B526" w14:textId="77777777" w:rsidR="00D902D6" w:rsidRPr="00D902D6" w:rsidRDefault="00D902D6" w:rsidP="00EB6127">
            <w:pPr>
              <w:jc w:val="center"/>
              <w:rPr>
                <w:b/>
                <w:bCs/>
                <w:color w:val="000000"/>
                <w:sz w:val="20"/>
                <w:szCs w:val="20"/>
              </w:rPr>
            </w:pPr>
            <w:r w:rsidRPr="00D902D6">
              <w:rPr>
                <w:b/>
                <w:bCs/>
                <w:color w:val="000000"/>
                <w:sz w:val="20"/>
                <w:szCs w:val="20"/>
              </w:rPr>
              <w:t>NI</w:t>
            </w:r>
          </w:p>
        </w:tc>
        <w:tc>
          <w:tcPr>
            <w:tcW w:w="1559" w:type="dxa"/>
            <w:vMerge w:val="restart"/>
            <w:tcBorders>
              <w:top w:val="single" w:sz="4" w:space="0" w:color="auto"/>
              <w:left w:val="single" w:sz="4" w:space="0" w:color="auto"/>
              <w:bottom w:val="single" w:sz="4" w:space="0" w:color="000000"/>
              <w:right w:val="single" w:sz="4" w:space="0" w:color="000000"/>
            </w:tcBorders>
            <w:shd w:val="pct12" w:color="auto" w:fill="auto"/>
            <w:noWrap/>
            <w:vAlign w:val="center"/>
            <w:hideMark/>
          </w:tcPr>
          <w:p w14:paraId="646062D2" w14:textId="77777777" w:rsidR="00D902D6" w:rsidRPr="00D902D6" w:rsidRDefault="00D902D6" w:rsidP="00EB6127">
            <w:pPr>
              <w:jc w:val="center"/>
              <w:rPr>
                <w:b/>
                <w:bCs/>
                <w:color w:val="000000"/>
                <w:sz w:val="20"/>
                <w:szCs w:val="20"/>
              </w:rPr>
            </w:pPr>
            <w:r w:rsidRPr="00D902D6">
              <w:rPr>
                <w:b/>
                <w:bCs/>
                <w:color w:val="000000"/>
                <w:sz w:val="20"/>
                <w:szCs w:val="20"/>
              </w:rPr>
              <w:t>UDC</w:t>
            </w:r>
          </w:p>
        </w:tc>
        <w:tc>
          <w:tcPr>
            <w:tcW w:w="1560" w:type="dxa"/>
            <w:vMerge w:val="restart"/>
            <w:tcBorders>
              <w:top w:val="single" w:sz="4" w:space="0" w:color="auto"/>
              <w:left w:val="single" w:sz="4" w:space="0" w:color="auto"/>
              <w:bottom w:val="single" w:sz="4" w:space="0" w:color="000000"/>
              <w:right w:val="single" w:sz="24" w:space="0" w:color="auto"/>
            </w:tcBorders>
            <w:shd w:val="pct12" w:color="auto" w:fill="auto"/>
            <w:noWrap/>
            <w:vAlign w:val="center"/>
            <w:hideMark/>
          </w:tcPr>
          <w:p w14:paraId="60BC0155" w14:textId="77777777" w:rsidR="00D902D6" w:rsidRPr="00D902D6" w:rsidRDefault="00D902D6" w:rsidP="00EB6127">
            <w:pPr>
              <w:jc w:val="center"/>
              <w:rPr>
                <w:b/>
                <w:bCs/>
                <w:color w:val="000000"/>
                <w:sz w:val="20"/>
                <w:szCs w:val="20"/>
              </w:rPr>
            </w:pPr>
            <w:r w:rsidRPr="00D902D6">
              <w:rPr>
                <w:b/>
                <w:bCs/>
                <w:color w:val="000000"/>
                <w:sz w:val="20"/>
                <w:szCs w:val="20"/>
              </w:rPr>
              <w:t>SDC</w:t>
            </w:r>
          </w:p>
        </w:tc>
        <w:tc>
          <w:tcPr>
            <w:tcW w:w="1701" w:type="dxa"/>
            <w:vMerge w:val="restart"/>
            <w:tcBorders>
              <w:top w:val="single" w:sz="24" w:space="0" w:color="auto"/>
              <w:left w:val="single" w:sz="24" w:space="0" w:color="auto"/>
              <w:bottom w:val="single" w:sz="4" w:space="0" w:color="000000"/>
              <w:right w:val="single" w:sz="24" w:space="0" w:color="auto"/>
            </w:tcBorders>
            <w:shd w:val="pct12" w:color="auto" w:fill="auto"/>
            <w:noWrap/>
            <w:vAlign w:val="center"/>
            <w:hideMark/>
          </w:tcPr>
          <w:p w14:paraId="278BFB10" w14:textId="77777777" w:rsidR="00D902D6" w:rsidRPr="00D902D6" w:rsidRDefault="00D902D6" w:rsidP="00EB6127">
            <w:pPr>
              <w:jc w:val="center"/>
              <w:rPr>
                <w:b/>
                <w:bCs/>
                <w:color w:val="000000"/>
                <w:sz w:val="20"/>
                <w:szCs w:val="20"/>
              </w:rPr>
            </w:pPr>
            <w:r w:rsidRPr="00D902D6">
              <w:rPr>
                <w:b/>
                <w:bCs/>
                <w:color w:val="000000"/>
                <w:sz w:val="20"/>
                <w:szCs w:val="20"/>
              </w:rPr>
              <w:t>UDI</w:t>
            </w:r>
          </w:p>
        </w:tc>
        <w:tc>
          <w:tcPr>
            <w:tcW w:w="3118" w:type="dxa"/>
            <w:gridSpan w:val="2"/>
            <w:tcBorders>
              <w:top w:val="single" w:sz="24" w:space="0" w:color="auto"/>
              <w:left w:val="single" w:sz="24" w:space="0" w:color="auto"/>
              <w:bottom w:val="single" w:sz="4" w:space="0" w:color="auto"/>
              <w:right w:val="single" w:sz="24" w:space="0" w:color="auto"/>
            </w:tcBorders>
            <w:shd w:val="pct12" w:color="auto" w:fill="auto"/>
            <w:noWrap/>
            <w:vAlign w:val="center"/>
            <w:hideMark/>
          </w:tcPr>
          <w:p w14:paraId="402B5ED8" w14:textId="77777777" w:rsidR="00D902D6" w:rsidRPr="00D902D6" w:rsidRDefault="00D902D6" w:rsidP="00EB6127">
            <w:pPr>
              <w:jc w:val="center"/>
              <w:rPr>
                <w:b/>
                <w:bCs/>
                <w:color w:val="000000"/>
                <w:sz w:val="20"/>
                <w:szCs w:val="20"/>
              </w:rPr>
            </w:pPr>
            <w:r w:rsidRPr="00D902D6">
              <w:rPr>
                <w:b/>
                <w:bCs/>
                <w:color w:val="000000"/>
                <w:sz w:val="20"/>
                <w:szCs w:val="20"/>
              </w:rPr>
              <w:t>SDI</w:t>
            </w:r>
          </w:p>
        </w:tc>
        <w:tc>
          <w:tcPr>
            <w:tcW w:w="1559" w:type="dxa"/>
            <w:vMerge w:val="restart"/>
            <w:tcBorders>
              <w:top w:val="single" w:sz="4" w:space="0" w:color="auto"/>
              <w:left w:val="single" w:sz="24" w:space="0" w:color="auto"/>
              <w:bottom w:val="single" w:sz="4" w:space="0" w:color="000000"/>
              <w:right w:val="single" w:sz="4" w:space="0" w:color="000000"/>
            </w:tcBorders>
            <w:shd w:val="pct12" w:color="auto" w:fill="auto"/>
            <w:noWrap/>
            <w:vAlign w:val="center"/>
            <w:hideMark/>
          </w:tcPr>
          <w:p w14:paraId="5AE249A0" w14:textId="77777777" w:rsidR="00D902D6" w:rsidRPr="00D902D6" w:rsidRDefault="00D902D6" w:rsidP="00EB6127">
            <w:pPr>
              <w:jc w:val="center"/>
              <w:rPr>
                <w:b/>
                <w:bCs/>
                <w:color w:val="000000"/>
                <w:sz w:val="20"/>
                <w:szCs w:val="20"/>
              </w:rPr>
            </w:pPr>
            <w:r w:rsidRPr="00D902D6">
              <w:rPr>
                <w:b/>
                <w:bCs/>
                <w:color w:val="000000"/>
                <w:sz w:val="20"/>
                <w:szCs w:val="20"/>
              </w:rPr>
              <w:t>SNoDI</w:t>
            </w:r>
          </w:p>
        </w:tc>
        <w:tc>
          <w:tcPr>
            <w:tcW w:w="1560" w:type="dxa"/>
            <w:vMerge w:val="restart"/>
            <w:tcBorders>
              <w:top w:val="single" w:sz="4" w:space="0" w:color="auto"/>
              <w:left w:val="single" w:sz="4" w:space="0" w:color="auto"/>
              <w:bottom w:val="single" w:sz="4" w:space="0" w:color="000000"/>
              <w:right w:val="single" w:sz="4" w:space="0" w:color="000000"/>
            </w:tcBorders>
            <w:shd w:val="pct12" w:color="auto" w:fill="auto"/>
            <w:noWrap/>
            <w:vAlign w:val="center"/>
            <w:hideMark/>
          </w:tcPr>
          <w:p w14:paraId="362F7211" w14:textId="77777777" w:rsidR="00D902D6" w:rsidRPr="00D902D6" w:rsidRDefault="00D902D6" w:rsidP="00EB6127">
            <w:pPr>
              <w:jc w:val="center"/>
              <w:rPr>
                <w:b/>
                <w:bCs/>
                <w:color w:val="000000"/>
                <w:sz w:val="20"/>
                <w:szCs w:val="20"/>
              </w:rPr>
            </w:pPr>
            <w:r w:rsidRPr="00D902D6">
              <w:rPr>
                <w:b/>
                <w:bCs/>
                <w:color w:val="000000"/>
                <w:sz w:val="20"/>
                <w:szCs w:val="20"/>
              </w:rPr>
              <w:t>M</w:t>
            </w:r>
          </w:p>
        </w:tc>
      </w:tr>
      <w:tr w:rsidR="00D902D6" w:rsidRPr="00D902D6" w14:paraId="39C85AEB" w14:textId="77777777" w:rsidTr="00EB6127">
        <w:trPr>
          <w:trHeight w:val="70"/>
          <w:jc w:val="center"/>
        </w:trPr>
        <w:tc>
          <w:tcPr>
            <w:tcW w:w="567" w:type="dxa"/>
            <w:tcBorders>
              <w:top w:val="nil"/>
              <w:left w:val="nil"/>
              <w:bottom w:val="nil"/>
              <w:right w:val="nil"/>
            </w:tcBorders>
            <w:shd w:val="clear" w:color="auto" w:fill="auto"/>
            <w:noWrap/>
            <w:vAlign w:val="bottom"/>
            <w:hideMark/>
          </w:tcPr>
          <w:p w14:paraId="571D532E" w14:textId="77777777" w:rsidR="00D902D6" w:rsidRPr="00D902D6" w:rsidRDefault="00D902D6" w:rsidP="00EB6127">
            <w:pPr>
              <w:rPr>
                <w:color w:val="000000"/>
                <w:sz w:val="20"/>
                <w:szCs w:val="20"/>
              </w:rPr>
            </w:pPr>
            <w:r w:rsidRPr="00D902D6">
              <w:rPr>
                <w:color w:val="000000"/>
                <w:sz w:val="20"/>
                <w:szCs w:val="20"/>
              </w:rPr>
              <w:t> </w:t>
            </w:r>
          </w:p>
        </w:tc>
        <w:tc>
          <w:tcPr>
            <w:tcW w:w="141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B0CE45B" w14:textId="77777777" w:rsidR="00D902D6" w:rsidRPr="00D902D6" w:rsidRDefault="00D902D6" w:rsidP="00EB6127">
            <w:pPr>
              <w:rPr>
                <w:b/>
                <w:bCs/>
                <w:color w:val="000000"/>
                <w:sz w:val="20"/>
                <w:szCs w:val="20"/>
              </w:rPr>
            </w:pPr>
          </w:p>
        </w:tc>
        <w:tc>
          <w:tcPr>
            <w:tcW w:w="1701"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8A125F6" w14:textId="77777777" w:rsidR="00D902D6" w:rsidRPr="00D902D6" w:rsidRDefault="00D902D6" w:rsidP="00EB6127">
            <w:pPr>
              <w:rPr>
                <w:b/>
                <w:bCs/>
                <w:color w:val="000000"/>
                <w:sz w:val="20"/>
                <w:szCs w:val="20"/>
              </w:rPr>
            </w:pPr>
          </w:p>
        </w:tc>
        <w:tc>
          <w:tcPr>
            <w:tcW w:w="1559"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393A4355" w14:textId="77777777" w:rsidR="00D902D6" w:rsidRPr="00D902D6" w:rsidRDefault="00D902D6" w:rsidP="00EB6127">
            <w:pPr>
              <w:rPr>
                <w:b/>
                <w:bCs/>
                <w:color w:val="000000"/>
                <w:sz w:val="20"/>
                <w:szCs w:val="20"/>
              </w:rPr>
            </w:pPr>
          </w:p>
        </w:tc>
        <w:tc>
          <w:tcPr>
            <w:tcW w:w="1560" w:type="dxa"/>
            <w:vMerge/>
            <w:tcBorders>
              <w:top w:val="single" w:sz="4" w:space="0" w:color="auto"/>
              <w:left w:val="single" w:sz="4" w:space="0" w:color="auto"/>
              <w:bottom w:val="single" w:sz="4" w:space="0" w:color="000000"/>
              <w:right w:val="single" w:sz="24" w:space="0" w:color="auto"/>
            </w:tcBorders>
            <w:shd w:val="clear" w:color="auto" w:fill="auto"/>
            <w:vAlign w:val="center"/>
            <w:hideMark/>
          </w:tcPr>
          <w:p w14:paraId="0B35DC1D" w14:textId="77777777" w:rsidR="00D902D6" w:rsidRPr="00D902D6" w:rsidRDefault="00D902D6" w:rsidP="00EB6127">
            <w:pPr>
              <w:rPr>
                <w:b/>
                <w:bCs/>
                <w:color w:val="000000"/>
                <w:sz w:val="20"/>
                <w:szCs w:val="20"/>
              </w:rPr>
            </w:pPr>
          </w:p>
        </w:tc>
        <w:tc>
          <w:tcPr>
            <w:tcW w:w="1701" w:type="dxa"/>
            <w:vMerge/>
            <w:tcBorders>
              <w:top w:val="single" w:sz="4" w:space="0" w:color="auto"/>
              <w:left w:val="single" w:sz="24" w:space="0" w:color="auto"/>
              <w:bottom w:val="single" w:sz="24" w:space="0" w:color="auto"/>
              <w:right w:val="single" w:sz="24" w:space="0" w:color="auto"/>
            </w:tcBorders>
            <w:shd w:val="clear" w:color="auto" w:fill="auto"/>
            <w:vAlign w:val="center"/>
            <w:hideMark/>
          </w:tcPr>
          <w:p w14:paraId="2C49FBE9" w14:textId="77777777" w:rsidR="00D902D6" w:rsidRPr="00D902D6" w:rsidRDefault="00D902D6" w:rsidP="00EB6127">
            <w:pPr>
              <w:rPr>
                <w:b/>
                <w:bCs/>
                <w:color w:val="000000"/>
                <w:sz w:val="20"/>
                <w:szCs w:val="20"/>
              </w:rPr>
            </w:pPr>
          </w:p>
        </w:tc>
        <w:tc>
          <w:tcPr>
            <w:tcW w:w="1559" w:type="dxa"/>
            <w:tcBorders>
              <w:top w:val="single" w:sz="4" w:space="0" w:color="auto"/>
              <w:left w:val="single" w:sz="24" w:space="0" w:color="auto"/>
              <w:bottom w:val="single" w:sz="24" w:space="0" w:color="auto"/>
              <w:right w:val="single" w:sz="4" w:space="0" w:color="000000"/>
            </w:tcBorders>
            <w:shd w:val="pct12" w:color="auto" w:fill="auto"/>
            <w:noWrap/>
            <w:vAlign w:val="center"/>
            <w:hideMark/>
          </w:tcPr>
          <w:p w14:paraId="2D51D60A" w14:textId="77777777" w:rsidR="00D902D6" w:rsidRPr="00D902D6" w:rsidRDefault="00D902D6" w:rsidP="00EB6127">
            <w:pPr>
              <w:jc w:val="center"/>
              <w:rPr>
                <w:b/>
                <w:bCs/>
                <w:color w:val="000000"/>
                <w:sz w:val="20"/>
                <w:szCs w:val="20"/>
              </w:rPr>
            </w:pPr>
            <w:r w:rsidRPr="00D902D6">
              <w:rPr>
                <w:b/>
                <w:bCs/>
                <w:color w:val="000000"/>
                <w:sz w:val="20"/>
                <w:szCs w:val="20"/>
              </w:rPr>
              <w:t>FE</w:t>
            </w:r>
          </w:p>
        </w:tc>
        <w:tc>
          <w:tcPr>
            <w:tcW w:w="1559" w:type="dxa"/>
            <w:tcBorders>
              <w:top w:val="single" w:sz="4" w:space="0" w:color="auto"/>
              <w:left w:val="nil"/>
              <w:bottom w:val="single" w:sz="24" w:space="0" w:color="auto"/>
              <w:right w:val="single" w:sz="24" w:space="0" w:color="auto"/>
            </w:tcBorders>
            <w:shd w:val="pct12" w:color="auto" w:fill="auto"/>
            <w:noWrap/>
            <w:vAlign w:val="center"/>
            <w:hideMark/>
          </w:tcPr>
          <w:p w14:paraId="378D008B" w14:textId="77777777" w:rsidR="00D902D6" w:rsidRPr="00D902D6" w:rsidRDefault="00D902D6" w:rsidP="00EB6127">
            <w:pPr>
              <w:jc w:val="center"/>
              <w:rPr>
                <w:b/>
                <w:bCs/>
                <w:color w:val="000000"/>
                <w:sz w:val="20"/>
                <w:szCs w:val="20"/>
              </w:rPr>
            </w:pPr>
            <w:r w:rsidRPr="00D902D6">
              <w:rPr>
                <w:b/>
                <w:bCs/>
                <w:color w:val="000000"/>
                <w:sz w:val="20"/>
                <w:szCs w:val="20"/>
              </w:rPr>
              <w:t>RE</w:t>
            </w:r>
          </w:p>
        </w:tc>
        <w:tc>
          <w:tcPr>
            <w:tcW w:w="1559" w:type="dxa"/>
            <w:vMerge/>
            <w:tcBorders>
              <w:top w:val="single" w:sz="4" w:space="0" w:color="auto"/>
              <w:left w:val="single" w:sz="24" w:space="0" w:color="auto"/>
              <w:bottom w:val="single" w:sz="4" w:space="0" w:color="000000"/>
              <w:right w:val="single" w:sz="4" w:space="0" w:color="000000"/>
            </w:tcBorders>
            <w:shd w:val="clear" w:color="auto" w:fill="auto"/>
            <w:vAlign w:val="center"/>
            <w:hideMark/>
          </w:tcPr>
          <w:p w14:paraId="375AB634" w14:textId="77777777" w:rsidR="00D902D6" w:rsidRPr="00D902D6" w:rsidRDefault="00D902D6" w:rsidP="00EB6127">
            <w:pPr>
              <w:rPr>
                <w:b/>
                <w:bCs/>
                <w:color w:val="000000"/>
                <w:sz w:val="20"/>
                <w:szCs w:val="20"/>
              </w:rPr>
            </w:pPr>
          </w:p>
        </w:tc>
        <w:tc>
          <w:tcPr>
            <w:tcW w:w="1560"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E0CBD56" w14:textId="77777777" w:rsidR="00D902D6" w:rsidRPr="00D902D6" w:rsidRDefault="00D902D6" w:rsidP="00EB6127">
            <w:pPr>
              <w:rPr>
                <w:b/>
                <w:bCs/>
                <w:color w:val="000000"/>
                <w:sz w:val="20"/>
                <w:szCs w:val="20"/>
              </w:rPr>
            </w:pPr>
          </w:p>
        </w:tc>
      </w:tr>
      <w:tr w:rsidR="00D902D6" w:rsidRPr="00D902D6" w14:paraId="7CE19ED8" w14:textId="77777777" w:rsidTr="00EB6127">
        <w:trPr>
          <w:trHeight w:val="350"/>
          <w:jc w:val="center"/>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5654B892" w14:textId="77777777" w:rsidR="00D902D6" w:rsidRPr="00D902D6" w:rsidRDefault="00D902D6" w:rsidP="00EB6127">
            <w:pPr>
              <w:jc w:val="center"/>
              <w:rPr>
                <w:b/>
                <w:bCs/>
                <w:color w:val="000000"/>
                <w:sz w:val="20"/>
                <w:szCs w:val="20"/>
              </w:rPr>
            </w:pPr>
            <w:r w:rsidRPr="00D902D6">
              <w:rPr>
                <w:b/>
                <w:bCs/>
                <w:color w:val="000000"/>
                <w:sz w:val="20"/>
                <w:szCs w:val="20"/>
              </w:rPr>
              <w:t xml:space="preserve">GAD-7 Network </w:t>
            </w:r>
          </w:p>
          <w:p w14:paraId="0B3992A8" w14:textId="77777777" w:rsidR="00D902D6" w:rsidRPr="00D902D6" w:rsidRDefault="00D902D6" w:rsidP="00EB6127">
            <w:pPr>
              <w:jc w:val="center"/>
              <w:rPr>
                <w:b/>
                <w:bCs/>
                <w:color w:val="000000"/>
                <w:sz w:val="20"/>
                <w:szCs w:val="20"/>
              </w:rPr>
            </w:pPr>
          </w:p>
          <w:p w14:paraId="3ABBF3CC" w14:textId="77777777" w:rsidR="00D902D6" w:rsidRPr="00D902D6" w:rsidRDefault="00D902D6" w:rsidP="00EB6127">
            <w:pPr>
              <w:jc w:val="center"/>
              <w:rPr>
                <w:b/>
                <w:bCs/>
                <w:color w:val="000000"/>
                <w:sz w:val="20"/>
                <w:szCs w:val="20"/>
              </w:rPr>
            </w:pPr>
          </w:p>
        </w:tc>
        <w:tc>
          <w:tcPr>
            <w:tcW w:w="1417" w:type="dxa"/>
            <w:tcBorders>
              <w:top w:val="nil"/>
              <w:left w:val="single" w:sz="4" w:space="0" w:color="auto"/>
              <w:bottom w:val="single" w:sz="4" w:space="0" w:color="000000"/>
              <w:right w:val="single" w:sz="4" w:space="0" w:color="auto"/>
            </w:tcBorders>
            <w:shd w:val="clear" w:color="auto" w:fill="auto"/>
            <w:noWrap/>
            <w:vAlign w:val="center"/>
            <w:hideMark/>
          </w:tcPr>
          <w:p w14:paraId="5784BEDC" w14:textId="77777777" w:rsidR="00D902D6" w:rsidRPr="00D902D6" w:rsidRDefault="00D902D6" w:rsidP="00EB6127">
            <w:pPr>
              <w:jc w:val="center"/>
              <w:rPr>
                <w:b/>
                <w:bCs/>
                <w:color w:val="000000"/>
                <w:sz w:val="20"/>
                <w:szCs w:val="20"/>
              </w:rPr>
            </w:pPr>
            <w:r w:rsidRPr="00D902D6">
              <w:rPr>
                <w:b/>
                <w:bCs/>
                <w:color w:val="000000"/>
                <w:sz w:val="20"/>
                <w:szCs w:val="20"/>
              </w:rPr>
              <w:t>NI</w:t>
            </w:r>
          </w:p>
        </w:tc>
        <w:tc>
          <w:tcPr>
            <w:tcW w:w="1701" w:type="dxa"/>
            <w:tcBorders>
              <w:top w:val="single" w:sz="4" w:space="0" w:color="000000"/>
              <w:left w:val="single" w:sz="4" w:space="0" w:color="auto"/>
              <w:bottom w:val="single" w:sz="4" w:space="0" w:color="auto"/>
              <w:right w:val="single" w:sz="4" w:space="0" w:color="000000"/>
              <w:tl2br w:val="single" w:sz="4" w:space="0" w:color="auto"/>
            </w:tcBorders>
            <w:shd w:val="clear" w:color="auto" w:fill="auto"/>
            <w:noWrap/>
            <w:vAlign w:val="center"/>
            <w:hideMark/>
          </w:tcPr>
          <w:p w14:paraId="1A9AF164" w14:textId="77777777" w:rsidR="00D902D6" w:rsidRPr="00D902D6" w:rsidRDefault="00D902D6" w:rsidP="00EB6127">
            <w:pPr>
              <w:rPr>
                <w:color w:val="000000"/>
                <w:sz w:val="20"/>
                <w:szCs w:val="20"/>
              </w:rPr>
            </w:pPr>
            <w:r w:rsidRPr="00D902D6">
              <w:rPr>
                <w:color w:val="000000"/>
                <w:sz w:val="20"/>
                <w:szCs w:val="20"/>
              </w:rPr>
              <w:t> </w:t>
            </w:r>
          </w:p>
        </w:tc>
        <w:tc>
          <w:tcPr>
            <w:tcW w:w="1559" w:type="dxa"/>
            <w:tcBorders>
              <w:top w:val="single" w:sz="4" w:space="0" w:color="auto"/>
              <w:left w:val="single" w:sz="4" w:space="0" w:color="auto"/>
              <w:bottom w:val="single" w:sz="4" w:space="0" w:color="000000"/>
              <w:right w:val="single" w:sz="4" w:space="0" w:color="000000"/>
            </w:tcBorders>
            <w:shd w:val="pct12" w:color="auto" w:fill="auto"/>
            <w:noWrap/>
            <w:vAlign w:val="center"/>
            <w:hideMark/>
          </w:tcPr>
          <w:p w14:paraId="452B3948" w14:textId="77777777" w:rsidR="00D902D6" w:rsidRPr="00D902D6" w:rsidRDefault="00D902D6" w:rsidP="00EB6127">
            <w:pPr>
              <w:jc w:val="center"/>
              <w:rPr>
                <w:color w:val="000000"/>
                <w:sz w:val="20"/>
                <w:szCs w:val="20"/>
              </w:rPr>
            </w:pPr>
            <w:r w:rsidRPr="00D902D6">
              <w:rPr>
                <w:color w:val="000000"/>
                <w:sz w:val="20"/>
                <w:szCs w:val="20"/>
              </w:rPr>
              <w:t>Not available </w:t>
            </w:r>
          </w:p>
        </w:tc>
        <w:tc>
          <w:tcPr>
            <w:tcW w:w="1560" w:type="dxa"/>
            <w:tcBorders>
              <w:top w:val="single" w:sz="4" w:space="0" w:color="auto"/>
              <w:left w:val="single" w:sz="4" w:space="0" w:color="auto"/>
              <w:bottom w:val="single" w:sz="4" w:space="0" w:color="000000"/>
              <w:right w:val="single" w:sz="4" w:space="0" w:color="000000"/>
            </w:tcBorders>
            <w:shd w:val="pct12" w:color="auto" w:fill="auto"/>
            <w:noWrap/>
            <w:vAlign w:val="center"/>
            <w:hideMark/>
          </w:tcPr>
          <w:p w14:paraId="26416297" w14:textId="77777777" w:rsidR="00D902D6" w:rsidRPr="00D902D6" w:rsidRDefault="00D902D6" w:rsidP="00EB6127">
            <w:pPr>
              <w:jc w:val="center"/>
              <w:rPr>
                <w:color w:val="000000"/>
                <w:sz w:val="20"/>
                <w:szCs w:val="20"/>
              </w:rPr>
            </w:pPr>
            <w:r w:rsidRPr="00D902D6">
              <w:rPr>
                <w:color w:val="000000"/>
                <w:sz w:val="20"/>
                <w:szCs w:val="20"/>
              </w:rPr>
              <w:t>Not available </w:t>
            </w:r>
          </w:p>
        </w:tc>
        <w:tc>
          <w:tcPr>
            <w:tcW w:w="1701" w:type="dxa"/>
            <w:tcBorders>
              <w:top w:val="single" w:sz="24" w:space="0" w:color="auto"/>
              <w:left w:val="single" w:sz="4" w:space="0" w:color="auto"/>
              <w:bottom w:val="single" w:sz="4" w:space="0" w:color="000000"/>
              <w:right w:val="single" w:sz="24" w:space="0" w:color="auto"/>
            </w:tcBorders>
            <w:shd w:val="pct12" w:color="auto" w:fill="auto"/>
            <w:noWrap/>
            <w:vAlign w:val="center"/>
            <w:hideMark/>
          </w:tcPr>
          <w:p w14:paraId="356FEFC1" w14:textId="77777777" w:rsidR="00D902D6" w:rsidRPr="00D902D6" w:rsidRDefault="00D902D6" w:rsidP="00EB6127">
            <w:pPr>
              <w:jc w:val="center"/>
              <w:rPr>
                <w:color w:val="000000"/>
                <w:sz w:val="20"/>
                <w:szCs w:val="20"/>
              </w:rPr>
            </w:pPr>
            <w:r w:rsidRPr="00D902D6">
              <w:rPr>
                <w:color w:val="000000"/>
                <w:sz w:val="20"/>
                <w:szCs w:val="20"/>
              </w:rPr>
              <w:t>Not available </w:t>
            </w:r>
          </w:p>
        </w:tc>
        <w:tc>
          <w:tcPr>
            <w:tcW w:w="1559" w:type="dxa"/>
            <w:tcBorders>
              <w:top w:val="single" w:sz="24" w:space="0" w:color="auto"/>
              <w:left w:val="single" w:sz="24" w:space="0" w:color="auto"/>
              <w:right w:val="single" w:sz="24" w:space="0" w:color="auto"/>
            </w:tcBorders>
            <w:shd w:val="pct12" w:color="auto" w:fill="auto"/>
            <w:noWrap/>
            <w:vAlign w:val="center"/>
            <w:hideMark/>
          </w:tcPr>
          <w:p w14:paraId="224DA218" w14:textId="77777777" w:rsidR="00D902D6" w:rsidRPr="00D902D6" w:rsidRDefault="00D902D6" w:rsidP="00EB6127">
            <w:pPr>
              <w:jc w:val="center"/>
              <w:rPr>
                <w:color w:val="000000"/>
                <w:sz w:val="20"/>
                <w:szCs w:val="20"/>
              </w:rPr>
            </w:pPr>
            <w:r w:rsidRPr="00D902D6">
              <w:rPr>
                <w:color w:val="000000"/>
                <w:sz w:val="20"/>
                <w:szCs w:val="20"/>
              </w:rPr>
              <w:t>-3.65</w:t>
            </w:r>
          </w:p>
          <w:p w14:paraId="17504A8A" w14:textId="77777777" w:rsidR="00D902D6" w:rsidRPr="00D902D6" w:rsidRDefault="00D902D6" w:rsidP="00EB6127">
            <w:pPr>
              <w:jc w:val="center"/>
              <w:rPr>
                <w:color w:val="000000"/>
                <w:sz w:val="20"/>
                <w:szCs w:val="20"/>
              </w:rPr>
            </w:pPr>
            <w:r w:rsidRPr="00D902D6">
              <w:rPr>
                <w:color w:val="000000"/>
                <w:sz w:val="20"/>
                <w:szCs w:val="20"/>
              </w:rPr>
              <w:t>[-8.19, 0.9]</w:t>
            </w:r>
          </w:p>
        </w:tc>
        <w:tc>
          <w:tcPr>
            <w:tcW w:w="1559" w:type="dxa"/>
            <w:tcBorders>
              <w:top w:val="single" w:sz="24" w:space="0" w:color="auto"/>
              <w:left w:val="single" w:sz="24" w:space="0" w:color="auto"/>
              <w:right w:val="single" w:sz="24" w:space="0" w:color="auto"/>
            </w:tcBorders>
            <w:shd w:val="pct12" w:color="auto" w:fill="auto"/>
            <w:noWrap/>
            <w:vAlign w:val="center"/>
            <w:hideMark/>
          </w:tcPr>
          <w:p w14:paraId="7E483F1C" w14:textId="77777777" w:rsidR="00D902D6" w:rsidRPr="00D902D6" w:rsidRDefault="00D902D6" w:rsidP="00EB6127">
            <w:pPr>
              <w:jc w:val="center"/>
              <w:rPr>
                <w:color w:val="000000"/>
                <w:sz w:val="20"/>
                <w:szCs w:val="20"/>
              </w:rPr>
            </w:pPr>
            <w:r w:rsidRPr="00D902D6">
              <w:rPr>
                <w:color w:val="000000"/>
                <w:sz w:val="20"/>
                <w:szCs w:val="20"/>
              </w:rPr>
              <w:t>-1.26**</w:t>
            </w:r>
          </w:p>
          <w:p w14:paraId="34AA111B" w14:textId="77777777" w:rsidR="00D902D6" w:rsidRPr="00D902D6" w:rsidRDefault="00D902D6" w:rsidP="00EB6127">
            <w:pPr>
              <w:jc w:val="center"/>
              <w:rPr>
                <w:color w:val="000000"/>
                <w:sz w:val="20"/>
                <w:szCs w:val="20"/>
              </w:rPr>
            </w:pPr>
            <w:r w:rsidRPr="00D902D6">
              <w:rPr>
                <w:color w:val="000000"/>
                <w:sz w:val="20"/>
                <w:szCs w:val="20"/>
              </w:rPr>
              <w:t>[-43.8, 40.93]</w:t>
            </w:r>
          </w:p>
        </w:tc>
        <w:tc>
          <w:tcPr>
            <w:tcW w:w="1559" w:type="dxa"/>
            <w:tcBorders>
              <w:top w:val="single" w:sz="4" w:space="0" w:color="auto"/>
              <w:left w:val="single" w:sz="24" w:space="0" w:color="auto"/>
              <w:bottom w:val="single" w:sz="4" w:space="0" w:color="000000"/>
              <w:right w:val="single" w:sz="4" w:space="0" w:color="000000"/>
            </w:tcBorders>
            <w:shd w:val="pct12" w:color="auto" w:fill="auto"/>
            <w:noWrap/>
            <w:vAlign w:val="center"/>
            <w:hideMark/>
          </w:tcPr>
          <w:p w14:paraId="7B5EFD11" w14:textId="77777777" w:rsidR="00D902D6" w:rsidRPr="00D902D6" w:rsidRDefault="00D902D6" w:rsidP="00EB6127">
            <w:pPr>
              <w:jc w:val="center"/>
              <w:rPr>
                <w:color w:val="000000"/>
                <w:sz w:val="20"/>
                <w:szCs w:val="20"/>
              </w:rPr>
            </w:pPr>
            <w:r w:rsidRPr="00D902D6">
              <w:rPr>
                <w:color w:val="000000"/>
                <w:sz w:val="20"/>
                <w:szCs w:val="20"/>
              </w:rPr>
              <w:t>Not available </w:t>
            </w:r>
          </w:p>
        </w:tc>
        <w:tc>
          <w:tcPr>
            <w:tcW w:w="1560" w:type="dxa"/>
            <w:tcBorders>
              <w:top w:val="single" w:sz="4" w:space="0" w:color="auto"/>
              <w:left w:val="single" w:sz="4" w:space="0" w:color="auto"/>
              <w:bottom w:val="single" w:sz="4" w:space="0" w:color="000000"/>
              <w:right w:val="single" w:sz="4" w:space="0" w:color="000000"/>
            </w:tcBorders>
            <w:shd w:val="pct12" w:color="auto" w:fill="auto"/>
            <w:noWrap/>
            <w:vAlign w:val="center"/>
            <w:hideMark/>
          </w:tcPr>
          <w:p w14:paraId="061F613A" w14:textId="77777777" w:rsidR="00D902D6" w:rsidRPr="00D902D6" w:rsidRDefault="00D902D6" w:rsidP="00EB6127">
            <w:pPr>
              <w:jc w:val="center"/>
              <w:rPr>
                <w:color w:val="000000"/>
                <w:sz w:val="20"/>
                <w:szCs w:val="20"/>
              </w:rPr>
            </w:pPr>
            <w:r w:rsidRPr="00D902D6">
              <w:rPr>
                <w:color w:val="000000"/>
                <w:sz w:val="20"/>
                <w:szCs w:val="20"/>
              </w:rPr>
              <w:t>Not available </w:t>
            </w:r>
          </w:p>
        </w:tc>
      </w:tr>
      <w:tr w:rsidR="00D902D6" w:rsidRPr="00D902D6" w14:paraId="6C6487B1" w14:textId="77777777" w:rsidTr="00EB6127">
        <w:trPr>
          <w:trHeight w:val="263"/>
          <w:jc w:val="center"/>
        </w:trPr>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697CE2F" w14:textId="77777777" w:rsidR="00D902D6" w:rsidRPr="00D902D6" w:rsidRDefault="00D902D6" w:rsidP="00EB6127">
            <w:pPr>
              <w:rPr>
                <w:b/>
                <w:bCs/>
                <w:color w:val="000000"/>
                <w:sz w:val="20"/>
                <w:szCs w:val="20"/>
              </w:rPr>
            </w:pPr>
          </w:p>
        </w:tc>
        <w:tc>
          <w:tcPr>
            <w:tcW w:w="1417" w:type="dxa"/>
            <w:tcBorders>
              <w:top w:val="nil"/>
              <w:left w:val="single" w:sz="4" w:space="0" w:color="auto"/>
              <w:bottom w:val="single" w:sz="4" w:space="0" w:color="000000"/>
              <w:right w:val="nil"/>
            </w:tcBorders>
            <w:shd w:val="clear" w:color="auto" w:fill="auto"/>
            <w:noWrap/>
            <w:vAlign w:val="center"/>
            <w:hideMark/>
          </w:tcPr>
          <w:p w14:paraId="38CDDBE2" w14:textId="77777777" w:rsidR="00D902D6" w:rsidRPr="00D902D6" w:rsidRDefault="00D902D6" w:rsidP="00EB6127">
            <w:pPr>
              <w:jc w:val="center"/>
              <w:rPr>
                <w:b/>
                <w:bCs/>
                <w:color w:val="000000"/>
                <w:sz w:val="20"/>
                <w:szCs w:val="20"/>
              </w:rPr>
            </w:pPr>
            <w:r w:rsidRPr="00D902D6">
              <w:rPr>
                <w:b/>
                <w:bCs/>
                <w:color w:val="000000"/>
                <w:sz w:val="20"/>
                <w:szCs w:val="20"/>
              </w:rPr>
              <w:t>UDC</w:t>
            </w:r>
          </w:p>
        </w:tc>
        <w:tc>
          <w:tcPr>
            <w:tcW w:w="1701" w:type="dxa"/>
            <w:tcBorders>
              <w:top w:val="single" w:sz="4" w:space="0" w:color="auto"/>
              <w:left w:val="single" w:sz="4" w:space="0" w:color="auto"/>
              <w:right w:val="single" w:sz="4" w:space="0" w:color="000000"/>
            </w:tcBorders>
            <w:shd w:val="clear" w:color="auto" w:fill="auto"/>
            <w:noWrap/>
            <w:vAlign w:val="center"/>
            <w:hideMark/>
          </w:tcPr>
          <w:p w14:paraId="4C793BDA" w14:textId="77777777" w:rsidR="00D902D6" w:rsidRPr="00D902D6" w:rsidRDefault="00D902D6" w:rsidP="00EB6127">
            <w:pPr>
              <w:jc w:val="center"/>
              <w:rPr>
                <w:color w:val="000000"/>
                <w:sz w:val="20"/>
                <w:szCs w:val="20"/>
              </w:rPr>
            </w:pPr>
            <w:r w:rsidRPr="00D902D6">
              <w:rPr>
                <w:color w:val="000000"/>
                <w:sz w:val="20"/>
                <w:szCs w:val="20"/>
              </w:rPr>
              <w:t>-0.26</w:t>
            </w:r>
          </w:p>
          <w:p w14:paraId="61F9F05C" w14:textId="77777777" w:rsidR="00D902D6" w:rsidRPr="00D902D6" w:rsidRDefault="00D902D6" w:rsidP="00EB6127">
            <w:pPr>
              <w:jc w:val="center"/>
              <w:rPr>
                <w:color w:val="000000"/>
                <w:sz w:val="20"/>
                <w:szCs w:val="20"/>
              </w:rPr>
            </w:pPr>
            <w:r w:rsidRPr="00D902D6">
              <w:rPr>
                <w:color w:val="000000"/>
                <w:sz w:val="20"/>
                <w:szCs w:val="20"/>
              </w:rPr>
              <w:t>[-16.82, 16.42]</w:t>
            </w:r>
          </w:p>
        </w:tc>
        <w:tc>
          <w:tcPr>
            <w:tcW w:w="1559" w:type="dxa"/>
            <w:tcBorders>
              <w:top w:val="single" w:sz="4" w:space="0" w:color="000000"/>
              <w:left w:val="nil"/>
              <w:bottom w:val="single" w:sz="4" w:space="0" w:color="auto"/>
              <w:right w:val="nil"/>
              <w:tl2br w:val="single" w:sz="4" w:space="0" w:color="auto"/>
            </w:tcBorders>
            <w:shd w:val="clear" w:color="auto" w:fill="auto"/>
            <w:noWrap/>
            <w:vAlign w:val="center"/>
            <w:hideMark/>
          </w:tcPr>
          <w:p w14:paraId="4C86F547" w14:textId="77777777" w:rsidR="00D902D6" w:rsidRPr="00D902D6" w:rsidRDefault="00D902D6" w:rsidP="00EB6127">
            <w:pPr>
              <w:rPr>
                <w:color w:val="000000"/>
                <w:sz w:val="20"/>
                <w:szCs w:val="20"/>
              </w:rPr>
            </w:pPr>
          </w:p>
        </w:tc>
        <w:tc>
          <w:tcPr>
            <w:tcW w:w="1560" w:type="dxa"/>
            <w:tcBorders>
              <w:top w:val="single" w:sz="4" w:space="0" w:color="000000"/>
              <w:left w:val="single" w:sz="4" w:space="0" w:color="auto"/>
              <w:right w:val="single" w:sz="24" w:space="0" w:color="auto"/>
            </w:tcBorders>
            <w:shd w:val="pct12" w:color="auto" w:fill="auto"/>
            <w:noWrap/>
            <w:vAlign w:val="center"/>
            <w:hideMark/>
          </w:tcPr>
          <w:p w14:paraId="707C884C" w14:textId="77777777" w:rsidR="00D902D6" w:rsidRPr="00D902D6" w:rsidRDefault="00D902D6" w:rsidP="00EB6127">
            <w:pPr>
              <w:jc w:val="center"/>
              <w:rPr>
                <w:color w:val="000000"/>
                <w:sz w:val="20"/>
                <w:szCs w:val="20"/>
              </w:rPr>
            </w:pPr>
            <w:r w:rsidRPr="00D902D6">
              <w:rPr>
                <w:color w:val="000000"/>
                <w:sz w:val="20"/>
                <w:szCs w:val="20"/>
              </w:rPr>
              <w:t>-0.80*</w:t>
            </w:r>
          </w:p>
          <w:p w14:paraId="7485ADD6" w14:textId="77777777" w:rsidR="00D902D6" w:rsidRPr="00D902D6" w:rsidRDefault="00D902D6" w:rsidP="00EB6127">
            <w:pPr>
              <w:jc w:val="center"/>
              <w:rPr>
                <w:color w:val="000000"/>
                <w:sz w:val="20"/>
                <w:szCs w:val="20"/>
              </w:rPr>
            </w:pPr>
            <w:r w:rsidRPr="00D902D6">
              <w:rPr>
                <w:color w:val="000000"/>
                <w:sz w:val="20"/>
                <w:szCs w:val="20"/>
              </w:rPr>
              <w:t>[-12.30, 10.70]</w:t>
            </w:r>
          </w:p>
        </w:tc>
        <w:tc>
          <w:tcPr>
            <w:tcW w:w="1701" w:type="dxa"/>
            <w:tcBorders>
              <w:top w:val="single" w:sz="24" w:space="0" w:color="auto"/>
              <w:left w:val="single" w:sz="24" w:space="0" w:color="auto"/>
              <w:bottom w:val="single" w:sz="24" w:space="0" w:color="auto"/>
              <w:right w:val="single" w:sz="24" w:space="0" w:color="auto"/>
            </w:tcBorders>
            <w:shd w:val="pct12" w:color="auto" w:fill="auto"/>
            <w:noWrap/>
            <w:vAlign w:val="center"/>
            <w:hideMark/>
          </w:tcPr>
          <w:p w14:paraId="476AF00A" w14:textId="77777777" w:rsidR="00D902D6" w:rsidRPr="00D902D6" w:rsidRDefault="00D902D6" w:rsidP="00EB6127">
            <w:pPr>
              <w:jc w:val="center"/>
              <w:rPr>
                <w:color w:val="000000"/>
                <w:sz w:val="20"/>
                <w:szCs w:val="20"/>
              </w:rPr>
            </w:pPr>
            <w:r w:rsidRPr="00D902D6">
              <w:rPr>
                <w:color w:val="000000"/>
                <w:sz w:val="20"/>
                <w:szCs w:val="20"/>
              </w:rPr>
              <w:t>-0.77</w:t>
            </w:r>
          </w:p>
          <w:p w14:paraId="6C878EDD" w14:textId="77777777" w:rsidR="00D902D6" w:rsidRPr="00D902D6" w:rsidRDefault="00D902D6" w:rsidP="00EB6127">
            <w:pPr>
              <w:jc w:val="center"/>
              <w:rPr>
                <w:color w:val="000000"/>
                <w:sz w:val="20"/>
                <w:szCs w:val="20"/>
              </w:rPr>
            </w:pPr>
            <w:r w:rsidRPr="00D902D6">
              <w:rPr>
                <w:color w:val="000000"/>
                <w:sz w:val="20"/>
                <w:szCs w:val="20"/>
              </w:rPr>
              <w:t>[-7.81, 6.26]</w:t>
            </w:r>
          </w:p>
        </w:tc>
        <w:tc>
          <w:tcPr>
            <w:tcW w:w="3118" w:type="dxa"/>
            <w:gridSpan w:val="2"/>
            <w:tcBorders>
              <w:top w:val="single" w:sz="24" w:space="0" w:color="auto"/>
              <w:left w:val="single" w:sz="24" w:space="0" w:color="auto"/>
              <w:right w:val="single" w:sz="24" w:space="0" w:color="auto"/>
            </w:tcBorders>
            <w:shd w:val="pct12" w:color="auto" w:fill="auto"/>
            <w:noWrap/>
            <w:vAlign w:val="center"/>
            <w:hideMark/>
          </w:tcPr>
          <w:p w14:paraId="2780AF52" w14:textId="77777777" w:rsidR="00D902D6" w:rsidRPr="00D902D6" w:rsidRDefault="00D902D6" w:rsidP="00EB6127">
            <w:pPr>
              <w:jc w:val="center"/>
              <w:rPr>
                <w:color w:val="000000"/>
                <w:sz w:val="20"/>
                <w:szCs w:val="20"/>
              </w:rPr>
            </w:pPr>
            <w:r w:rsidRPr="00D902D6">
              <w:rPr>
                <w:color w:val="000000"/>
                <w:sz w:val="20"/>
                <w:szCs w:val="20"/>
              </w:rPr>
              <w:t>-1.50*</w:t>
            </w:r>
          </w:p>
          <w:p w14:paraId="0ED29A29" w14:textId="77777777" w:rsidR="00D902D6" w:rsidRPr="00D902D6" w:rsidRDefault="00D902D6" w:rsidP="00EB6127">
            <w:pPr>
              <w:jc w:val="center"/>
              <w:rPr>
                <w:color w:val="000000"/>
                <w:sz w:val="20"/>
                <w:szCs w:val="20"/>
              </w:rPr>
            </w:pPr>
            <w:r w:rsidRPr="00D902D6">
              <w:rPr>
                <w:color w:val="000000"/>
                <w:sz w:val="20"/>
                <w:szCs w:val="20"/>
              </w:rPr>
              <w:t>[-11.34, 8.34]</w:t>
            </w:r>
          </w:p>
        </w:tc>
        <w:tc>
          <w:tcPr>
            <w:tcW w:w="1559" w:type="dxa"/>
            <w:tcBorders>
              <w:top w:val="single" w:sz="4" w:space="0" w:color="auto"/>
              <w:left w:val="single" w:sz="24" w:space="0" w:color="auto"/>
              <w:bottom w:val="single" w:sz="4" w:space="0" w:color="000000"/>
              <w:right w:val="single" w:sz="4" w:space="0" w:color="000000"/>
            </w:tcBorders>
            <w:shd w:val="pct12" w:color="auto" w:fill="auto"/>
            <w:noWrap/>
            <w:vAlign w:val="center"/>
            <w:hideMark/>
          </w:tcPr>
          <w:p w14:paraId="4070C14E" w14:textId="77777777" w:rsidR="00D902D6" w:rsidRPr="00D902D6" w:rsidRDefault="00D902D6" w:rsidP="00EB6127">
            <w:pPr>
              <w:jc w:val="center"/>
              <w:rPr>
                <w:color w:val="000000"/>
                <w:sz w:val="20"/>
                <w:szCs w:val="20"/>
              </w:rPr>
            </w:pPr>
            <w:r w:rsidRPr="00D902D6">
              <w:rPr>
                <w:color w:val="000000"/>
                <w:sz w:val="20"/>
                <w:szCs w:val="20"/>
              </w:rPr>
              <w:t> Not available</w:t>
            </w:r>
          </w:p>
        </w:tc>
        <w:tc>
          <w:tcPr>
            <w:tcW w:w="1560" w:type="dxa"/>
            <w:tcBorders>
              <w:top w:val="single" w:sz="4" w:space="0" w:color="auto"/>
              <w:left w:val="single" w:sz="4" w:space="0" w:color="auto"/>
              <w:bottom w:val="single" w:sz="4" w:space="0" w:color="000000"/>
              <w:right w:val="single" w:sz="4" w:space="0" w:color="000000"/>
            </w:tcBorders>
            <w:shd w:val="pct12" w:color="auto" w:fill="auto"/>
            <w:noWrap/>
            <w:vAlign w:val="center"/>
            <w:hideMark/>
          </w:tcPr>
          <w:p w14:paraId="40B49FD5" w14:textId="77777777" w:rsidR="00D902D6" w:rsidRPr="00D902D6" w:rsidRDefault="00D902D6" w:rsidP="00EB6127">
            <w:pPr>
              <w:jc w:val="center"/>
              <w:rPr>
                <w:color w:val="000000"/>
                <w:sz w:val="20"/>
                <w:szCs w:val="20"/>
              </w:rPr>
            </w:pPr>
            <w:r w:rsidRPr="00D902D6">
              <w:rPr>
                <w:color w:val="000000"/>
                <w:sz w:val="20"/>
                <w:szCs w:val="20"/>
              </w:rPr>
              <w:t>Not available </w:t>
            </w:r>
          </w:p>
        </w:tc>
      </w:tr>
      <w:tr w:rsidR="00D902D6" w:rsidRPr="00D902D6" w14:paraId="69F5B23B" w14:textId="77777777" w:rsidTr="00EB6127">
        <w:trPr>
          <w:trHeight w:val="275"/>
          <w:jc w:val="center"/>
        </w:trPr>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7B67EEB" w14:textId="77777777" w:rsidR="00D902D6" w:rsidRPr="00D902D6" w:rsidRDefault="00D902D6" w:rsidP="00EB6127">
            <w:pPr>
              <w:rPr>
                <w:b/>
                <w:bCs/>
                <w:color w:val="000000"/>
                <w:sz w:val="20"/>
                <w:szCs w:val="20"/>
              </w:rPr>
            </w:pPr>
          </w:p>
        </w:tc>
        <w:tc>
          <w:tcPr>
            <w:tcW w:w="1417" w:type="dxa"/>
            <w:tcBorders>
              <w:top w:val="nil"/>
              <w:left w:val="single" w:sz="4" w:space="0" w:color="auto"/>
              <w:bottom w:val="single" w:sz="24" w:space="0" w:color="auto"/>
              <w:right w:val="nil"/>
            </w:tcBorders>
            <w:shd w:val="clear" w:color="auto" w:fill="auto"/>
            <w:noWrap/>
            <w:vAlign w:val="center"/>
            <w:hideMark/>
          </w:tcPr>
          <w:p w14:paraId="5F2FF3AE" w14:textId="77777777" w:rsidR="00D902D6" w:rsidRPr="00D902D6" w:rsidRDefault="00D902D6" w:rsidP="00EB6127">
            <w:pPr>
              <w:jc w:val="center"/>
              <w:rPr>
                <w:b/>
                <w:bCs/>
                <w:color w:val="000000"/>
                <w:sz w:val="20"/>
                <w:szCs w:val="20"/>
              </w:rPr>
            </w:pPr>
            <w:r w:rsidRPr="00D902D6">
              <w:rPr>
                <w:b/>
                <w:bCs/>
                <w:color w:val="000000"/>
                <w:sz w:val="20"/>
                <w:szCs w:val="20"/>
              </w:rPr>
              <w:t>SDC</w:t>
            </w:r>
          </w:p>
        </w:tc>
        <w:tc>
          <w:tcPr>
            <w:tcW w:w="1701" w:type="dxa"/>
            <w:tcBorders>
              <w:top w:val="single" w:sz="4" w:space="0" w:color="auto"/>
              <w:left w:val="single" w:sz="4" w:space="0" w:color="auto"/>
              <w:right w:val="single" w:sz="4" w:space="0" w:color="000000"/>
            </w:tcBorders>
            <w:shd w:val="clear" w:color="auto" w:fill="auto"/>
            <w:noWrap/>
            <w:vAlign w:val="center"/>
            <w:hideMark/>
          </w:tcPr>
          <w:p w14:paraId="4DA45325" w14:textId="77777777" w:rsidR="00D902D6" w:rsidRPr="00D902D6" w:rsidRDefault="00D902D6" w:rsidP="00EB6127">
            <w:pPr>
              <w:jc w:val="center"/>
              <w:rPr>
                <w:color w:val="000000"/>
                <w:sz w:val="20"/>
                <w:szCs w:val="20"/>
              </w:rPr>
            </w:pPr>
            <w:r w:rsidRPr="00D902D6">
              <w:rPr>
                <w:color w:val="000000"/>
                <w:sz w:val="20"/>
                <w:szCs w:val="20"/>
              </w:rPr>
              <w:t>-0.14</w:t>
            </w:r>
          </w:p>
          <w:p w14:paraId="341692BA" w14:textId="77777777" w:rsidR="00D902D6" w:rsidRPr="00D902D6" w:rsidRDefault="00D902D6" w:rsidP="00EB6127">
            <w:pPr>
              <w:jc w:val="center"/>
              <w:rPr>
                <w:color w:val="000000"/>
                <w:sz w:val="20"/>
                <w:szCs w:val="20"/>
              </w:rPr>
            </w:pPr>
            <w:r w:rsidRPr="00D902D6">
              <w:rPr>
                <w:color w:val="000000"/>
                <w:sz w:val="20"/>
                <w:szCs w:val="20"/>
              </w:rPr>
              <w:t>[-15.52, 15.30]</w:t>
            </w:r>
          </w:p>
        </w:tc>
        <w:tc>
          <w:tcPr>
            <w:tcW w:w="1559" w:type="dxa"/>
            <w:tcBorders>
              <w:top w:val="single" w:sz="4" w:space="0" w:color="auto"/>
              <w:left w:val="nil"/>
              <w:right w:val="single" w:sz="4" w:space="0" w:color="000000"/>
            </w:tcBorders>
            <w:shd w:val="clear" w:color="auto" w:fill="auto"/>
            <w:noWrap/>
            <w:vAlign w:val="center"/>
            <w:hideMark/>
          </w:tcPr>
          <w:p w14:paraId="6107ACB4" w14:textId="77777777" w:rsidR="00D902D6" w:rsidRPr="00D902D6" w:rsidRDefault="00D902D6" w:rsidP="00EB6127">
            <w:pPr>
              <w:jc w:val="center"/>
              <w:rPr>
                <w:color w:val="000000"/>
                <w:sz w:val="20"/>
                <w:szCs w:val="20"/>
              </w:rPr>
            </w:pPr>
            <w:r w:rsidRPr="00D902D6">
              <w:rPr>
                <w:color w:val="000000"/>
                <w:sz w:val="20"/>
                <w:szCs w:val="20"/>
              </w:rPr>
              <w:t>0.12</w:t>
            </w:r>
          </w:p>
          <w:p w14:paraId="7E796C00" w14:textId="77777777" w:rsidR="00D902D6" w:rsidRPr="00D902D6" w:rsidRDefault="00D902D6" w:rsidP="00EB6127">
            <w:pPr>
              <w:jc w:val="center"/>
              <w:rPr>
                <w:color w:val="000000"/>
                <w:sz w:val="20"/>
                <w:szCs w:val="20"/>
              </w:rPr>
            </w:pPr>
            <w:r w:rsidRPr="00D902D6">
              <w:rPr>
                <w:color w:val="000000"/>
                <w:sz w:val="20"/>
                <w:szCs w:val="20"/>
              </w:rPr>
              <w:t>[-9.84, 10.05]</w:t>
            </w:r>
          </w:p>
        </w:tc>
        <w:tc>
          <w:tcPr>
            <w:tcW w:w="1560" w:type="dxa"/>
            <w:tcBorders>
              <w:top w:val="single" w:sz="4" w:space="0" w:color="auto"/>
              <w:left w:val="nil"/>
              <w:bottom w:val="single" w:sz="4" w:space="0" w:color="000000"/>
              <w:right w:val="single" w:sz="24" w:space="0" w:color="auto"/>
              <w:tl2br w:val="single" w:sz="4" w:space="0" w:color="auto"/>
            </w:tcBorders>
            <w:shd w:val="clear" w:color="auto" w:fill="auto"/>
            <w:noWrap/>
            <w:vAlign w:val="center"/>
            <w:hideMark/>
          </w:tcPr>
          <w:p w14:paraId="13312A73" w14:textId="77777777" w:rsidR="00D902D6" w:rsidRPr="00D902D6" w:rsidRDefault="00D902D6" w:rsidP="00EB6127">
            <w:pPr>
              <w:rPr>
                <w:color w:val="000000"/>
                <w:sz w:val="20"/>
                <w:szCs w:val="20"/>
              </w:rPr>
            </w:pPr>
            <w:r w:rsidRPr="00D902D6">
              <w:rPr>
                <w:color w:val="000000"/>
                <w:sz w:val="20"/>
                <w:szCs w:val="20"/>
              </w:rPr>
              <w:t> </w:t>
            </w:r>
          </w:p>
        </w:tc>
        <w:tc>
          <w:tcPr>
            <w:tcW w:w="1701" w:type="dxa"/>
            <w:tcBorders>
              <w:top w:val="single" w:sz="24" w:space="0" w:color="auto"/>
              <w:left w:val="single" w:sz="24" w:space="0" w:color="auto"/>
              <w:bottom w:val="single" w:sz="24" w:space="0" w:color="auto"/>
              <w:right w:val="single" w:sz="24" w:space="0" w:color="auto"/>
            </w:tcBorders>
            <w:shd w:val="pct12" w:color="auto" w:fill="auto"/>
            <w:noWrap/>
            <w:vAlign w:val="center"/>
            <w:hideMark/>
          </w:tcPr>
          <w:p w14:paraId="6036275C" w14:textId="77777777" w:rsidR="00D902D6" w:rsidRPr="00D902D6" w:rsidRDefault="00D902D6" w:rsidP="00EB6127">
            <w:pPr>
              <w:jc w:val="center"/>
              <w:rPr>
                <w:color w:val="000000"/>
                <w:sz w:val="20"/>
                <w:szCs w:val="20"/>
              </w:rPr>
            </w:pPr>
            <w:r w:rsidRPr="00D902D6">
              <w:rPr>
                <w:color w:val="000000"/>
                <w:sz w:val="20"/>
                <w:szCs w:val="20"/>
              </w:rPr>
              <w:t>-0.51</w:t>
            </w:r>
          </w:p>
          <w:p w14:paraId="1890ED5C" w14:textId="77777777" w:rsidR="00D902D6" w:rsidRPr="00D902D6" w:rsidRDefault="00D902D6" w:rsidP="00EB6127">
            <w:pPr>
              <w:jc w:val="center"/>
              <w:rPr>
                <w:color w:val="000000"/>
                <w:sz w:val="20"/>
                <w:szCs w:val="20"/>
              </w:rPr>
            </w:pPr>
            <w:r w:rsidRPr="00D902D6">
              <w:rPr>
                <w:color w:val="000000"/>
                <w:sz w:val="20"/>
                <w:szCs w:val="20"/>
              </w:rPr>
              <w:t>[-31.75, 28.95]</w:t>
            </w:r>
          </w:p>
        </w:tc>
        <w:tc>
          <w:tcPr>
            <w:tcW w:w="1559" w:type="dxa"/>
            <w:tcBorders>
              <w:top w:val="single" w:sz="24" w:space="0" w:color="auto"/>
              <w:left w:val="single" w:sz="24" w:space="0" w:color="auto"/>
              <w:bottom w:val="single" w:sz="24" w:space="0" w:color="auto"/>
              <w:right w:val="single" w:sz="24" w:space="0" w:color="auto"/>
            </w:tcBorders>
            <w:shd w:val="pct12" w:color="auto" w:fill="auto"/>
            <w:noWrap/>
            <w:vAlign w:val="center"/>
            <w:hideMark/>
          </w:tcPr>
          <w:p w14:paraId="0AEE9C58" w14:textId="77777777" w:rsidR="00D902D6" w:rsidRPr="00D902D6" w:rsidRDefault="00D902D6" w:rsidP="00EB6127">
            <w:pPr>
              <w:jc w:val="center"/>
              <w:rPr>
                <w:color w:val="000000"/>
                <w:sz w:val="20"/>
                <w:szCs w:val="20"/>
              </w:rPr>
            </w:pPr>
            <w:r w:rsidRPr="00D902D6">
              <w:rPr>
                <w:color w:val="000000"/>
                <w:sz w:val="20"/>
                <w:szCs w:val="20"/>
              </w:rPr>
              <w:t>-8.16</w:t>
            </w:r>
          </w:p>
          <w:p w14:paraId="7EF09F1A" w14:textId="77777777" w:rsidR="00D902D6" w:rsidRPr="00D902D6" w:rsidRDefault="00D902D6" w:rsidP="00EB6127">
            <w:pPr>
              <w:jc w:val="center"/>
              <w:rPr>
                <w:color w:val="000000"/>
                <w:sz w:val="20"/>
                <w:szCs w:val="20"/>
              </w:rPr>
            </w:pPr>
            <w:r w:rsidRPr="00D902D6">
              <w:rPr>
                <w:color w:val="000000"/>
                <w:sz w:val="20"/>
                <w:szCs w:val="20"/>
              </w:rPr>
              <w:t>[-26.57, 13.04]</w:t>
            </w:r>
          </w:p>
        </w:tc>
        <w:tc>
          <w:tcPr>
            <w:tcW w:w="1559" w:type="dxa"/>
            <w:tcBorders>
              <w:top w:val="single" w:sz="24" w:space="0" w:color="auto"/>
              <w:left w:val="single" w:sz="24" w:space="0" w:color="auto"/>
              <w:right w:val="single" w:sz="24" w:space="0" w:color="auto"/>
            </w:tcBorders>
            <w:shd w:val="pct12" w:color="auto" w:fill="auto"/>
            <w:noWrap/>
            <w:vAlign w:val="center"/>
            <w:hideMark/>
          </w:tcPr>
          <w:p w14:paraId="70149F0E" w14:textId="77777777" w:rsidR="00D902D6" w:rsidRPr="00D902D6" w:rsidRDefault="00D902D6" w:rsidP="00EB6127">
            <w:pPr>
              <w:jc w:val="center"/>
              <w:rPr>
                <w:color w:val="000000"/>
                <w:sz w:val="20"/>
                <w:szCs w:val="20"/>
              </w:rPr>
            </w:pPr>
            <w:r w:rsidRPr="00D902D6">
              <w:rPr>
                <w:color w:val="000000"/>
                <w:sz w:val="20"/>
                <w:szCs w:val="20"/>
              </w:rPr>
              <w:t>-1.07**</w:t>
            </w:r>
          </w:p>
          <w:p w14:paraId="6226CA9A" w14:textId="77777777" w:rsidR="00D902D6" w:rsidRPr="00D902D6" w:rsidRDefault="00D902D6" w:rsidP="00EB6127">
            <w:pPr>
              <w:jc w:val="center"/>
              <w:rPr>
                <w:color w:val="000000"/>
                <w:sz w:val="20"/>
                <w:szCs w:val="20"/>
              </w:rPr>
            </w:pPr>
            <w:r w:rsidRPr="00D902D6">
              <w:rPr>
                <w:color w:val="000000"/>
                <w:sz w:val="20"/>
                <w:szCs w:val="20"/>
              </w:rPr>
              <w:t>[-30.2, 27.19]</w:t>
            </w:r>
          </w:p>
        </w:tc>
        <w:tc>
          <w:tcPr>
            <w:tcW w:w="1559" w:type="dxa"/>
            <w:tcBorders>
              <w:top w:val="single" w:sz="4" w:space="0" w:color="auto"/>
              <w:left w:val="single" w:sz="24" w:space="0" w:color="auto"/>
              <w:bottom w:val="single" w:sz="4" w:space="0" w:color="000000"/>
              <w:right w:val="single" w:sz="4" w:space="0" w:color="000000"/>
            </w:tcBorders>
            <w:shd w:val="pct12" w:color="auto" w:fill="auto"/>
            <w:noWrap/>
            <w:vAlign w:val="center"/>
            <w:hideMark/>
          </w:tcPr>
          <w:p w14:paraId="05377328" w14:textId="77777777" w:rsidR="00D902D6" w:rsidRPr="00D902D6" w:rsidRDefault="00D902D6" w:rsidP="00EB6127">
            <w:pPr>
              <w:jc w:val="center"/>
              <w:rPr>
                <w:color w:val="000000"/>
                <w:sz w:val="20"/>
                <w:szCs w:val="20"/>
              </w:rPr>
            </w:pPr>
            <w:r w:rsidRPr="00D902D6">
              <w:rPr>
                <w:sz w:val="20"/>
                <w:szCs w:val="20"/>
              </w:rPr>
              <w:t xml:space="preserve">Not available </w:t>
            </w:r>
          </w:p>
        </w:tc>
        <w:tc>
          <w:tcPr>
            <w:tcW w:w="1560" w:type="dxa"/>
            <w:tcBorders>
              <w:top w:val="single" w:sz="4" w:space="0" w:color="auto"/>
              <w:left w:val="nil"/>
              <w:right w:val="single" w:sz="4" w:space="0" w:color="000000"/>
            </w:tcBorders>
            <w:shd w:val="pct12" w:color="auto" w:fill="auto"/>
            <w:noWrap/>
            <w:vAlign w:val="center"/>
            <w:hideMark/>
          </w:tcPr>
          <w:p w14:paraId="3B4966A6" w14:textId="77777777" w:rsidR="00D902D6" w:rsidRPr="00D902D6" w:rsidRDefault="00D902D6" w:rsidP="00EB6127">
            <w:pPr>
              <w:jc w:val="center"/>
              <w:rPr>
                <w:color w:val="000000"/>
                <w:sz w:val="20"/>
                <w:szCs w:val="20"/>
              </w:rPr>
            </w:pPr>
            <w:r w:rsidRPr="00D902D6">
              <w:rPr>
                <w:color w:val="000000"/>
                <w:sz w:val="20"/>
                <w:szCs w:val="20"/>
              </w:rPr>
              <w:t>-8.20*</w:t>
            </w:r>
          </w:p>
          <w:p w14:paraId="09F3D316" w14:textId="77777777" w:rsidR="00D902D6" w:rsidRPr="00D902D6" w:rsidRDefault="00D902D6" w:rsidP="00EB6127">
            <w:pPr>
              <w:jc w:val="center"/>
              <w:rPr>
                <w:color w:val="000000"/>
                <w:sz w:val="20"/>
                <w:szCs w:val="20"/>
              </w:rPr>
            </w:pPr>
            <w:r w:rsidRPr="00D902D6">
              <w:rPr>
                <w:color w:val="000000"/>
                <w:sz w:val="20"/>
                <w:szCs w:val="20"/>
              </w:rPr>
              <w:t>[-22.07, 5.67]</w:t>
            </w:r>
          </w:p>
        </w:tc>
      </w:tr>
      <w:tr w:rsidR="00D902D6" w:rsidRPr="00D902D6" w14:paraId="3FB2259C" w14:textId="77777777" w:rsidTr="00EB6127">
        <w:trPr>
          <w:trHeight w:val="556"/>
          <w:jc w:val="center"/>
        </w:trPr>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1C366F7" w14:textId="77777777" w:rsidR="00D902D6" w:rsidRPr="00D902D6" w:rsidRDefault="00D902D6" w:rsidP="00EB6127">
            <w:pPr>
              <w:rPr>
                <w:b/>
                <w:bCs/>
                <w:color w:val="000000"/>
                <w:sz w:val="20"/>
                <w:szCs w:val="20"/>
              </w:rPr>
            </w:pPr>
          </w:p>
        </w:tc>
        <w:tc>
          <w:tcPr>
            <w:tcW w:w="1417" w:type="dxa"/>
            <w:tcBorders>
              <w:top w:val="single" w:sz="24" w:space="0" w:color="auto"/>
              <w:left w:val="single" w:sz="4" w:space="0" w:color="auto"/>
              <w:bottom w:val="single" w:sz="24" w:space="0" w:color="auto"/>
              <w:right w:val="single" w:sz="24" w:space="0" w:color="auto"/>
            </w:tcBorders>
            <w:shd w:val="clear" w:color="auto" w:fill="auto"/>
            <w:noWrap/>
            <w:vAlign w:val="center"/>
            <w:hideMark/>
          </w:tcPr>
          <w:p w14:paraId="1051C9EE" w14:textId="77777777" w:rsidR="00D902D6" w:rsidRPr="00D902D6" w:rsidRDefault="00D902D6" w:rsidP="00EB6127">
            <w:pPr>
              <w:jc w:val="center"/>
              <w:rPr>
                <w:b/>
                <w:bCs/>
                <w:color w:val="000000"/>
                <w:sz w:val="20"/>
                <w:szCs w:val="20"/>
              </w:rPr>
            </w:pPr>
            <w:r w:rsidRPr="00D902D6">
              <w:rPr>
                <w:b/>
                <w:bCs/>
                <w:color w:val="000000"/>
                <w:sz w:val="20"/>
                <w:szCs w:val="20"/>
              </w:rPr>
              <w:t>UDI</w:t>
            </w:r>
          </w:p>
        </w:tc>
        <w:tc>
          <w:tcPr>
            <w:tcW w:w="1701" w:type="dxa"/>
            <w:tcBorders>
              <w:top w:val="single" w:sz="24" w:space="0" w:color="auto"/>
              <w:left w:val="single" w:sz="24" w:space="0" w:color="auto"/>
              <w:right w:val="single" w:sz="24" w:space="0" w:color="auto"/>
            </w:tcBorders>
            <w:shd w:val="clear" w:color="auto" w:fill="auto"/>
            <w:noWrap/>
            <w:vAlign w:val="center"/>
            <w:hideMark/>
          </w:tcPr>
          <w:p w14:paraId="2CBC6BC8" w14:textId="77777777" w:rsidR="00D902D6" w:rsidRPr="00D902D6" w:rsidRDefault="00D902D6" w:rsidP="00EB6127">
            <w:pPr>
              <w:jc w:val="center"/>
              <w:rPr>
                <w:color w:val="000000"/>
                <w:sz w:val="20"/>
                <w:szCs w:val="20"/>
              </w:rPr>
            </w:pPr>
            <w:r w:rsidRPr="00D902D6">
              <w:rPr>
                <w:color w:val="000000"/>
                <w:sz w:val="20"/>
                <w:szCs w:val="20"/>
              </w:rPr>
              <w:t>-0.96</w:t>
            </w:r>
          </w:p>
          <w:p w14:paraId="537F9399" w14:textId="77777777" w:rsidR="00D902D6" w:rsidRPr="00D902D6" w:rsidRDefault="00D902D6" w:rsidP="00EB6127">
            <w:pPr>
              <w:jc w:val="center"/>
              <w:rPr>
                <w:color w:val="000000"/>
                <w:sz w:val="20"/>
                <w:szCs w:val="20"/>
              </w:rPr>
            </w:pPr>
            <w:r w:rsidRPr="00D902D6">
              <w:rPr>
                <w:color w:val="000000"/>
                <w:sz w:val="20"/>
                <w:szCs w:val="20"/>
              </w:rPr>
              <w:t>[-16.43, 14.54]</w:t>
            </w:r>
          </w:p>
        </w:tc>
        <w:tc>
          <w:tcPr>
            <w:tcW w:w="1559" w:type="dxa"/>
            <w:tcBorders>
              <w:top w:val="single" w:sz="24" w:space="0" w:color="auto"/>
              <w:left w:val="single" w:sz="24" w:space="0" w:color="auto"/>
              <w:right w:val="single" w:sz="24" w:space="0" w:color="auto"/>
            </w:tcBorders>
            <w:shd w:val="clear" w:color="auto" w:fill="auto"/>
            <w:noWrap/>
            <w:vAlign w:val="center"/>
            <w:hideMark/>
          </w:tcPr>
          <w:p w14:paraId="604E3A68" w14:textId="77777777" w:rsidR="00D902D6" w:rsidRPr="00D902D6" w:rsidRDefault="00D902D6" w:rsidP="00EB6127">
            <w:pPr>
              <w:jc w:val="center"/>
              <w:rPr>
                <w:color w:val="000000"/>
                <w:sz w:val="20"/>
                <w:szCs w:val="20"/>
              </w:rPr>
            </w:pPr>
            <w:r w:rsidRPr="00D902D6">
              <w:rPr>
                <w:color w:val="000000"/>
                <w:sz w:val="20"/>
                <w:szCs w:val="20"/>
              </w:rPr>
              <w:t>-0.7</w:t>
            </w:r>
          </w:p>
          <w:p w14:paraId="3423A237" w14:textId="77777777" w:rsidR="00D902D6" w:rsidRPr="00D902D6" w:rsidRDefault="00D902D6" w:rsidP="00EB6127">
            <w:pPr>
              <w:jc w:val="center"/>
              <w:rPr>
                <w:color w:val="000000"/>
                <w:sz w:val="20"/>
                <w:szCs w:val="20"/>
              </w:rPr>
            </w:pPr>
            <w:r w:rsidRPr="00D902D6">
              <w:rPr>
                <w:color w:val="000000"/>
                <w:sz w:val="20"/>
                <w:szCs w:val="20"/>
              </w:rPr>
              <w:t>[-9.10, 7.58]</w:t>
            </w:r>
          </w:p>
        </w:tc>
        <w:tc>
          <w:tcPr>
            <w:tcW w:w="1560" w:type="dxa"/>
            <w:tcBorders>
              <w:top w:val="single" w:sz="24" w:space="0" w:color="auto"/>
              <w:left w:val="single" w:sz="24" w:space="0" w:color="auto"/>
              <w:right w:val="single" w:sz="24" w:space="0" w:color="auto"/>
            </w:tcBorders>
            <w:shd w:val="clear" w:color="auto" w:fill="auto"/>
            <w:noWrap/>
            <w:vAlign w:val="center"/>
            <w:hideMark/>
          </w:tcPr>
          <w:p w14:paraId="5612EA2D" w14:textId="77777777" w:rsidR="00D902D6" w:rsidRPr="00D902D6" w:rsidRDefault="00D902D6" w:rsidP="00EB6127">
            <w:pPr>
              <w:jc w:val="center"/>
              <w:rPr>
                <w:color w:val="000000"/>
                <w:sz w:val="20"/>
                <w:szCs w:val="20"/>
              </w:rPr>
            </w:pPr>
            <w:r w:rsidRPr="00D902D6">
              <w:rPr>
                <w:color w:val="000000"/>
                <w:sz w:val="20"/>
                <w:szCs w:val="20"/>
              </w:rPr>
              <w:t>-0.83</w:t>
            </w:r>
          </w:p>
          <w:p w14:paraId="2EAEA427" w14:textId="77777777" w:rsidR="00D902D6" w:rsidRPr="00D902D6" w:rsidRDefault="00D902D6" w:rsidP="00EB6127">
            <w:pPr>
              <w:jc w:val="center"/>
              <w:rPr>
                <w:color w:val="000000"/>
                <w:sz w:val="20"/>
                <w:szCs w:val="20"/>
              </w:rPr>
            </w:pPr>
            <w:r w:rsidRPr="00D902D6">
              <w:rPr>
                <w:color w:val="000000"/>
                <w:sz w:val="20"/>
                <w:szCs w:val="20"/>
              </w:rPr>
              <w:t>[-8.82, 7.29]</w:t>
            </w:r>
          </w:p>
        </w:tc>
        <w:tc>
          <w:tcPr>
            <w:tcW w:w="1701" w:type="dxa"/>
            <w:tcBorders>
              <w:top w:val="single" w:sz="24" w:space="0" w:color="auto"/>
              <w:left w:val="single" w:sz="24" w:space="0" w:color="auto"/>
              <w:bottom w:val="single" w:sz="4" w:space="0" w:color="000000"/>
              <w:right w:val="single" w:sz="24" w:space="0" w:color="auto"/>
              <w:tl2br w:val="single" w:sz="4" w:space="0" w:color="auto"/>
            </w:tcBorders>
            <w:shd w:val="clear" w:color="auto" w:fill="auto"/>
            <w:noWrap/>
            <w:vAlign w:val="center"/>
            <w:hideMark/>
          </w:tcPr>
          <w:p w14:paraId="7CDC43E8" w14:textId="77777777" w:rsidR="00D902D6" w:rsidRPr="00D902D6" w:rsidRDefault="00D902D6" w:rsidP="00EB6127">
            <w:pPr>
              <w:rPr>
                <w:color w:val="000000"/>
                <w:sz w:val="20"/>
                <w:szCs w:val="20"/>
              </w:rPr>
            </w:pPr>
            <w:r w:rsidRPr="00D902D6">
              <w:rPr>
                <w:color w:val="000000"/>
                <w:sz w:val="20"/>
                <w:szCs w:val="20"/>
              </w:rPr>
              <w:t> `</w:t>
            </w:r>
          </w:p>
        </w:tc>
        <w:tc>
          <w:tcPr>
            <w:tcW w:w="1559" w:type="dxa"/>
            <w:tcBorders>
              <w:top w:val="single" w:sz="24" w:space="0" w:color="auto"/>
              <w:left w:val="single" w:sz="24" w:space="0" w:color="auto"/>
              <w:bottom w:val="single" w:sz="24" w:space="0" w:color="auto"/>
              <w:right w:val="single" w:sz="24" w:space="0" w:color="auto"/>
            </w:tcBorders>
            <w:shd w:val="pct12" w:color="auto" w:fill="auto"/>
            <w:noWrap/>
            <w:vAlign w:val="center"/>
            <w:hideMark/>
          </w:tcPr>
          <w:p w14:paraId="29261005" w14:textId="77777777" w:rsidR="00D902D6" w:rsidRPr="00D902D6" w:rsidRDefault="00D902D6" w:rsidP="00EB6127">
            <w:pPr>
              <w:jc w:val="center"/>
              <w:rPr>
                <w:color w:val="000000"/>
                <w:sz w:val="20"/>
                <w:szCs w:val="20"/>
              </w:rPr>
            </w:pPr>
            <w:r w:rsidRPr="00D902D6">
              <w:rPr>
                <w:color w:val="000000"/>
                <w:sz w:val="20"/>
                <w:szCs w:val="20"/>
              </w:rPr>
              <w:t>-0.14</w:t>
            </w:r>
          </w:p>
          <w:p w14:paraId="344169A8" w14:textId="77777777" w:rsidR="00D902D6" w:rsidRPr="00D902D6" w:rsidRDefault="00D902D6" w:rsidP="00EB6127">
            <w:pPr>
              <w:jc w:val="center"/>
              <w:rPr>
                <w:color w:val="000000"/>
                <w:sz w:val="20"/>
                <w:szCs w:val="20"/>
              </w:rPr>
            </w:pPr>
            <w:r w:rsidRPr="00D902D6">
              <w:rPr>
                <w:color w:val="000000"/>
                <w:sz w:val="20"/>
                <w:szCs w:val="20"/>
              </w:rPr>
              <w:t>[-8.85, 8.89]</w:t>
            </w:r>
          </w:p>
        </w:tc>
        <w:tc>
          <w:tcPr>
            <w:tcW w:w="1559" w:type="dxa"/>
            <w:tcBorders>
              <w:top w:val="single" w:sz="24" w:space="0" w:color="auto"/>
              <w:left w:val="single" w:sz="24" w:space="0" w:color="auto"/>
              <w:bottom w:val="single" w:sz="24" w:space="0" w:color="auto"/>
              <w:right w:val="single" w:sz="24" w:space="0" w:color="auto"/>
            </w:tcBorders>
            <w:shd w:val="pct12" w:color="auto" w:fill="auto"/>
            <w:noWrap/>
            <w:vAlign w:val="center"/>
            <w:hideMark/>
          </w:tcPr>
          <w:p w14:paraId="4C7F23B4" w14:textId="77777777" w:rsidR="00D902D6" w:rsidRPr="00D902D6" w:rsidRDefault="00D902D6" w:rsidP="00EB6127">
            <w:pPr>
              <w:jc w:val="center"/>
              <w:rPr>
                <w:color w:val="000000"/>
                <w:sz w:val="20"/>
                <w:szCs w:val="20"/>
              </w:rPr>
            </w:pPr>
            <w:r w:rsidRPr="00D902D6">
              <w:rPr>
                <w:color w:val="000000"/>
                <w:sz w:val="20"/>
                <w:szCs w:val="20"/>
              </w:rPr>
              <w:t>-1.38**</w:t>
            </w:r>
          </w:p>
          <w:p w14:paraId="448989C8" w14:textId="77777777" w:rsidR="00D902D6" w:rsidRPr="00D902D6" w:rsidRDefault="00D902D6" w:rsidP="00EB6127">
            <w:pPr>
              <w:jc w:val="center"/>
              <w:rPr>
                <w:color w:val="000000"/>
                <w:sz w:val="20"/>
                <w:szCs w:val="20"/>
              </w:rPr>
            </w:pPr>
            <w:r w:rsidRPr="00D902D6">
              <w:rPr>
                <w:color w:val="000000"/>
                <w:sz w:val="20"/>
                <w:szCs w:val="20"/>
              </w:rPr>
              <w:t>[-26.23, 23.62]</w:t>
            </w:r>
          </w:p>
        </w:tc>
        <w:tc>
          <w:tcPr>
            <w:tcW w:w="1559" w:type="dxa"/>
            <w:tcBorders>
              <w:top w:val="single" w:sz="4" w:space="0" w:color="auto"/>
              <w:left w:val="single" w:sz="24" w:space="0" w:color="auto"/>
              <w:bottom w:val="single" w:sz="4" w:space="0" w:color="000000"/>
              <w:right w:val="single" w:sz="4" w:space="0" w:color="000000"/>
            </w:tcBorders>
            <w:shd w:val="pct12" w:color="auto" w:fill="auto"/>
            <w:noWrap/>
            <w:vAlign w:val="center"/>
            <w:hideMark/>
          </w:tcPr>
          <w:p w14:paraId="6B778BE1" w14:textId="77777777" w:rsidR="00D902D6" w:rsidRPr="00D902D6" w:rsidRDefault="00D902D6" w:rsidP="00EB6127">
            <w:pPr>
              <w:jc w:val="center"/>
              <w:rPr>
                <w:color w:val="000000"/>
                <w:sz w:val="20"/>
                <w:szCs w:val="20"/>
              </w:rPr>
            </w:pPr>
            <w:r w:rsidRPr="00D902D6">
              <w:rPr>
                <w:sz w:val="20"/>
                <w:szCs w:val="20"/>
              </w:rPr>
              <w:t xml:space="preserve">Not available </w:t>
            </w:r>
          </w:p>
        </w:tc>
        <w:tc>
          <w:tcPr>
            <w:tcW w:w="1560" w:type="dxa"/>
            <w:tcBorders>
              <w:top w:val="single" w:sz="4" w:space="0" w:color="auto"/>
              <w:left w:val="nil"/>
              <w:bottom w:val="single" w:sz="4" w:space="0" w:color="000000"/>
              <w:right w:val="single" w:sz="4" w:space="0" w:color="000000"/>
            </w:tcBorders>
            <w:shd w:val="pct12" w:color="auto" w:fill="auto"/>
            <w:noWrap/>
            <w:vAlign w:val="center"/>
            <w:hideMark/>
          </w:tcPr>
          <w:p w14:paraId="643E28DA" w14:textId="77777777" w:rsidR="00D902D6" w:rsidRPr="00D902D6" w:rsidRDefault="00D902D6" w:rsidP="00EB6127">
            <w:pPr>
              <w:jc w:val="center"/>
              <w:rPr>
                <w:color w:val="000000"/>
                <w:sz w:val="20"/>
                <w:szCs w:val="20"/>
              </w:rPr>
            </w:pPr>
            <w:r w:rsidRPr="00D902D6">
              <w:rPr>
                <w:color w:val="000000"/>
                <w:sz w:val="20"/>
                <w:szCs w:val="20"/>
              </w:rPr>
              <w:t>Not available </w:t>
            </w:r>
          </w:p>
        </w:tc>
      </w:tr>
      <w:tr w:rsidR="00D902D6" w:rsidRPr="00D902D6" w14:paraId="60BD2D1D" w14:textId="77777777" w:rsidTr="00EB6127">
        <w:trPr>
          <w:trHeight w:val="243"/>
          <w:jc w:val="center"/>
        </w:trPr>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059B986" w14:textId="77777777" w:rsidR="00D902D6" w:rsidRPr="00D902D6" w:rsidRDefault="00D902D6" w:rsidP="00EB6127">
            <w:pPr>
              <w:rPr>
                <w:b/>
                <w:bCs/>
                <w:color w:val="000000"/>
                <w:sz w:val="20"/>
                <w:szCs w:val="20"/>
              </w:rPr>
            </w:pPr>
          </w:p>
        </w:tc>
        <w:tc>
          <w:tcPr>
            <w:tcW w:w="1417" w:type="dxa"/>
            <w:tcBorders>
              <w:top w:val="single" w:sz="24" w:space="0" w:color="auto"/>
              <w:left w:val="single" w:sz="4" w:space="0" w:color="auto"/>
              <w:bottom w:val="single" w:sz="24" w:space="0" w:color="auto"/>
              <w:right w:val="single" w:sz="24" w:space="0" w:color="auto"/>
            </w:tcBorders>
            <w:shd w:val="clear" w:color="auto" w:fill="auto"/>
            <w:noWrap/>
            <w:vAlign w:val="center"/>
            <w:hideMark/>
          </w:tcPr>
          <w:p w14:paraId="7D2F1A13" w14:textId="77777777" w:rsidR="00D902D6" w:rsidRPr="00D902D6" w:rsidRDefault="00D902D6" w:rsidP="00EB6127">
            <w:pPr>
              <w:jc w:val="center"/>
              <w:rPr>
                <w:b/>
                <w:bCs/>
                <w:color w:val="000000"/>
                <w:sz w:val="20"/>
                <w:szCs w:val="20"/>
              </w:rPr>
            </w:pPr>
            <w:r w:rsidRPr="00D902D6">
              <w:rPr>
                <w:b/>
                <w:bCs/>
                <w:color w:val="000000"/>
                <w:sz w:val="20"/>
                <w:szCs w:val="20"/>
              </w:rPr>
              <w:t>SDI</w:t>
            </w:r>
          </w:p>
        </w:tc>
        <w:tc>
          <w:tcPr>
            <w:tcW w:w="1701" w:type="dxa"/>
            <w:tcBorders>
              <w:top w:val="single" w:sz="24" w:space="0" w:color="auto"/>
              <w:left w:val="single" w:sz="24" w:space="0" w:color="auto"/>
              <w:right w:val="single" w:sz="24" w:space="0" w:color="auto"/>
            </w:tcBorders>
            <w:shd w:val="clear" w:color="auto" w:fill="auto"/>
            <w:noWrap/>
            <w:vAlign w:val="center"/>
            <w:hideMark/>
          </w:tcPr>
          <w:p w14:paraId="13084749" w14:textId="77777777" w:rsidR="00D902D6" w:rsidRPr="00D902D6" w:rsidRDefault="00D902D6" w:rsidP="00EB6127">
            <w:pPr>
              <w:jc w:val="center"/>
              <w:rPr>
                <w:color w:val="000000"/>
                <w:sz w:val="20"/>
                <w:szCs w:val="20"/>
              </w:rPr>
            </w:pPr>
            <w:r w:rsidRPr="00D902D6">
              <w:rPr>
                <w:color w:val="000000"/>
                <w:sz w:val="20"/>
                <w:szCs w:val="20"/>
              </w:rPr>
              <w:t>-1.75</w:t>
            </w:r>
          </w:p>
          <w:p w14:paraId="3FA38314" w14:textId="77777777" w:rsidR="00D902D6" w:rsidRPr="00D902D6" w:rsidRDefault="00D902D6" w:rsidP="00EB6127">
            <w:pPr>
              <w:jc w:val="center"/>
              <w:rPr>
                <w:color w:val="000000"/>
                <w:sz w:val="20"/>
                <w:szCs w:val="20"/>
              </w:rPr>
            </w:pPr>
            <w:r w:rsidRPr="00D902D6">
              <w:rPr>
                <w:color w:val="000000"/>
                <w:sz w:val="20"/>
                <w:szCs w:val="20"/>
              </w:rPr>
              <w:t>[-15.72, 12.26]</w:t>
            </w:r>
          </w:p>
        </w:tc>
        <w:tc>
          <w:tcPr>
            <w:tcW w:w="1559" w:type="dxa"/>
            <w:tcBorders>
              <w:top w:val="single" w:sz="24" w:space="0" w:color="auto"/>
              <w:left w:val="single" w:sz="24" w:space="0" w:color="auto"/>
              <w:right w:val="single" w:sz="24" w:space="0" w:color="auto"/>
            </w:tcBorders>
            <w:shd w:val="clear" w:color="auto" w:fill="auto"/>
            <w:noWrap/>
            <w:vAlign w:val="center"/>
            <w:hideMark/>
          </w:tcPr>
          <w:p w14:paraId="7EE85BA5" w14:textId="77777777" w:rsidR="00D902D6" w:rsidRPr="00D902D6" w:rsidRDefault="00D902D6" w:rsidP="00EB6127">
            <w:pPr>
              <w:jc w:val="center"/>
              <w:rPr>
                <w:color w:val="000000"/>
                <w:sz w:val="20"/>
                <w:szCs w:val="20"/>
              </w:rPr>
            </w:pPr>
            <w:r w:rsidRPr="00D902D6">
              <w:rPr>
                <w:color w:val="000000"/>
                <w:sz w:val="20"/>
                <w:szCs w:val="20"/>
              </w:rPr>
              <w:t>-1.49</w:t>
            </w:r>
          </w:p>
          <w:p w14:paraId="3310D0CA" w14:textId="77777777" w:rsidR="00D902D6" w:rsidRPr="00D902D6" w:rsidRDefault="00D902D6" w:rsidP="00EB6127">
            <w:pPr>
              <w:jc w:val="center"/>
              <w:rPr>
                <w:color w:val="000000"/>
                <w:sz w:val="20"/>
                <w:szCs w:val="20"/>
              </w:rPr>
            </w:pPr>
            <w:r w:rsidRPr="00D902D6">
              <w:rPr>
                <w:color w:val="000000"/>
                <w:sz w:val="20"/>
                <w:szCs w:val="20"/>
              </w:rPr>
              <w:t>[-10.51, 7.47]</w:t>
            </w:r>
          </w:p>
        </w:tc>
        <w:tc>
          <w:tcPr>
            <w:tcW w:w="1560" w:type="dxa"/>
            <w:tcBorders>
              <w:top w:val="single" w:sz="24" w:space="0" w:color="auto"/>
              <w:left w:val="single" w:sz="24" w:space="0" w:color="auto"/>
              <w:right w:val="single" w:sz="24" w:space="0" w:color="auto"/>
            </w:tcBorders>
            <w:shd w:val="clear" w:color="auto" w:fill="auto"/>
            <w:noWrap/>
            <w:vAlign w:val="center"/>
            <w:hideMark/>
          </w:tcPr>
          <w:p w14:paraId="27269500" w14:textId="77777777" w:rsidR="00D902D6" w:rsidRPr="00D902D6" w:rsidRDefault="00D902D6" w:rsidP="00EB6127">
            <w:pPr>
              <w:jc w:val="center"/>
              <w:rPr>
                <w:color w:val="000000"/>
                <w:sz w:val="20"/>
                <w:szCs w:val="20"/>
              </w:rPr>
            </w:pPr>
            <w:r w:rsidRPr="00D902D6">
              <w:rPr>
                <w:color w:val="000000"/>
                <w:sz w:val="20"/>
                <w:szCs w:val="20"/>
              </w:rPr>
              <w:t>-1.61</w:t>
            </w:r>
          </w:p>
          <w:p w14:paraId="0E2EDCA5" w14:textId="77777777" w:rsidR="00D902D6" w:rsidRPr="00D902D6" w:rsidRDefault="00D902D6" w:rsidP="00EB6127">
            <w:pPr>
              <w:jc w:val="center"/>
              <w:rPr>
                <w:color w:val="000000"/>
                <w:sz w:val="20"/>
                <w:szCs w:val="20"/>
              </w:rPr>
            </w:pPr>
            <w:r w:rsidRPr="00D902D6">
              <w:rPr>
                <w:color w:val="000000"/>
                <w:sz w:val="20"/>
                <w:szCs w:val="20"/>
              </w:rPr>
              <w:t>[-8.03, 4.82]</w:t>
            </w:r>
          </w:p>
        </w:tc>
        <w:tc>
          <w:tcPr>
            <w:tcW w:w="1701" w:type="dxa"/>
            <w:tcBorders>
              <w:top w:val="single" w:sz="24" w:space="0" w:color="auto"/>
              <w:left w:val="single" w:sz="24" w:space="0" w:color="auto"/>
              <w:right w:val="single" w:sz="24" w:space="0" w:color="auto"/>
            </w:tcBorders>
            <w:shd w:val="clear" w:color="auto" w:fill="auto"/>
            <w:noWrap/>
            <w:vAlign w:val="center"/>
            <w:hideMark/>
          </w:tcPr>
          <w:p w14:paraId="36D36FE6" w14:textId="77777777" w:rsidR="00D902D6" w:rsidRPr="00D902D6" w:rsidRDefault="00D902D6" w:rsidP="00EB6127">
            <w:pPr>
              <w:jc w:val="center"/>
              <w:rPr>
                <w:color w:val="000000"/>
                <w:sz w:val="20"/>
                <w:szCs w:val="20"/>
              </w:rPr>
            </w:pPr>
            <w:r w:rsidRPr="00D902D6">
              <w:rPr>
                <w:color w:val="000000"/>
                <w:sz w:val="20"/>
                <w:szCs w:val="20"/>
              </w:rPr>
              <w:t>-0.79</w:t>
            </w:r>
          </w:p>
          <w:p w14:paraId="687888BE" w14:textId="77777777" w:rsidR="00D902D6" w:rsidRPr="00D902D6" w:rsidRDefault="00D902D6" w:rsidP="00EB6127">
            <w:pPr>
              <w:jc w:val="center"/>
              <w:rPr>
                <w:color w:val="000000"/>
                <w:sz w:val="20"/>
                <w:szCs w:val="20"/>
              </w:rPr>
            </w:pPr>
            <w:r w:rsidRPr="00D902D6">
              <w:rPr>
                <w:color w:val="000000"/>
                <w:sz w:val="20"/>
                <w:szCs w:val="20"/>
              </w:rPr>
              <w:t>[-7.39, 5.80]</w:t>
            </w:r>
          </w:p>
        </w:tc>
        <w:tc>
          <w:tcPr>
            <w:tcW w:w="3118" w:type="dxa"/>
            <w:gridSpan w:val="2"/>
            <w:tcBorders>
              <w:top w:val="single" w:sz="4" w:space="0" w:color="auto"/>
              <w:left w:val="single" w:sz="24" w:space="0" w:color="auto"/>
              <w:right w:val="single" w:sz="24" w:space="0" w:color="auto"/>
              <w:tl2br w:val="single" w:sz="4" w:space="0" w:color="auto"/>
            </w:tcBorders>
            <w:shd w:val="clear" w:color="auto" w:fill="auto"/>
            <w:noWrap/>
            <w:vAlign w:val="center"/>
            <w:hideMark/>
          </w:tcPr>
          <w:p w14:paraId="7322D815" w14:textId="77777777" w:rsidR="00D902D6" w:rsidRPr="00D902D6" w:rsidRDefault="00D902D6" w:rsidP="00EB6127">
            <w:pPr>
              <w:rPr>
                <w:color w:val="000000"/>
                <w:sz w:val="20"/>
                <w:szCs w:val="20"/>
              </w:rPr>
            </w:pPr>
          </w:p>
        </w:tc>
        <w:tc>
          <w:tcPr>
            <w:tcW w:w="1559" w:type="dxa"/>
            <w:tcBorders>
              <w:top w:val="single" w:sz="24" w:space="0" w:color="auto"/>
              <w:left w:val="single" w:sz="24" w:space="0" w:color="auto"/>
              <w:right w:val="single" w:sz="24" w:space="0" w:color="auto"/>
            </w:tcBorders>
            <w:shd w:val="pct12" w:color="auto" w:fill="auto"/>
            <w:noWrap/>
            <w:vAlign w:val="center"/>
            <w:hideMark/>
          </w:tcPr>
          <w:p w14:paraId="1AC88F86" w14:textId="77777777" w:rsidR="00D902D6" w:rsidRPr="00D902D6" w:rsidRDefault="00D902D6" w:rsidP="00EB6127">
            <w:pPr>
              <w:jc w:val="center"/>
              <w:rPr>
                <w:color w:val="000000"/>
                <w:sz w:val="20"/>
                <w:szCs w:val="20"/>
              </w:rPr>
            </w:pPr>
            <w:r w:rsidRPr="00D902D6">
              <w:rPr>
                <w:color w:val="000000"/>
                <w:sz w:val="20"/>
                <w:szCs w:val="20"/>
              </w:rPr>
              <w:t>-0.71*</w:t>
            </w:r>
          </w:p>
          <w:p w14:paraId="1B36BEC1" w14:textId="77777777" w:rsidR="00D902D6" w:rsidRPr="00D902D6" w:rsidRDefault="00D902D6" w:rsidP="00EB6127">
            <w:pPr>
              <w:jc w:val="center"/>
              <w:rPr>
                <w:color w:val="000000"/>
                <w:sz w:val="20"/>
                <w:szCs w:val="20"/>
              </w:rPr>
            </w:pPr>
            <w:r w:rsidRPr="00D902D6">
              <w:rPr>
                <w:color w:val="000000"/>
                <w:sz w:val="20"/>
                <w:szCs w:val="20"/>
              </w:rPr>
              <w:t>[-14.03, 12.61]</w:t>
            </w:r>
          </w:p>
        </w:tc>
        <w:tc>
          <w:tcPr>
            <w:tcW w:w="1560" w:type="dxa"/>
            <w:tcBorders>
              <w:top w:val="single" w:sz="24" w:space="0" w:color="auto"/>
              <w:left w:val="single" w:sz="24" w:space="0" w:color="auto"/>
              <w:right w:val="single" w:sz="4" w:space="0" w:color="000000"/>
            </w:tcBorders>
            <w:shd w:val="pct12" w:color="auto" w:fill="auto"/>
            <w:noWrap/>
            <w:vAlign w:val="center"/>
            <w:hideMark/>
          </w:tcPr>
          <w:p w14:paraId="1E40B8FF" w14:textId="77777777" w:rsidR="00D902D6" w:rsidRPr="00D902D6" w:rsidRDefault="00D902D6" w:rsidP="00EB6127">
            <w:pPr>
              <w:jc w:val="center"/>
              <w:rPr>
                <w:color w:val="000000"/>
                <w:sz w:val="20"/>
                <w:szCs w:val="20"/>
              </w:rPr>
            </w:pPr>
            <w:r w:rsidRPr="00D902D6">
              <w:rPr>
                <w:color w:val="000000"/>
                <w:sz w:val="20"/>
                <w:szCs w:val="20"/>
              </w:rPr>
              <w:t>-2.70*</w:t>
            </w:r>
          </w:p>
          <w:p w14:paraId="3405E208" w14:textId="77777777" w:rsidR="00D902D6" w:rsidRPr="00D902D6" w:rsidRDefault="00D902D6" w:rsidP="00EB6127">
            <w:pPr>
              <w:jc w:val="center"/>
              <w:rPr>
                <w:color w:val="000000"/>
                <w:sz w:val="20"/>
                <w:szCs w:val="20"/>
              </w:rPr>
            </w:pPr>
            <w:r w:rsidRPr="00D902D6">
              <w:rPr>
                <w:color w:val="000000"/>
                <w:sz w:val="20"/>
                <w:szCs w:val="20"/>
              </w:rPr>
              <w:t>[-9.80, 4.40]</w:t>
            </w:r>
          </w:p>
        </w:tc>
      </w:tr>
      <w:tr w:rsidR="00D902D6" w:rsidRPr="00D902D6" w14:paraId="7A5AE070" w14:textId="77777777" w:rsidTr="00EB6127">
        <w:trPr>
          <w:trHeight w:val="166"/>
          <w:jc w:val="center"/>
        </w:trPr>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4789411" w14:textId="77777777" w:rsidR="00D902D6" w:rsidRPr="00D902D6" w:rsidRDefault="00D902D6" w:rsidP="00EB6127">
            <w:pPr>
              <w:rPr>
                <w:b/>
                <w:bCs/>
                <w:color w:val="000000"/>
                <w:sz w:val="20"/>
                <w:szCs w:val="20"/>
              </w:rPr>
            </w:pPr>
          </w:p>
        </w:tc>
        <w:tc>
          <w:tcPr>
            <w:tcW w:w="1417" w:type="dxa"/>
            <w:tcBorders>
              <w:top w:val="single" w:sz="24" w:space="0" w:color="auto"/>
              <w:left w:val="single" w:sz="4" w:space="0" w:color="auto"/>
              <w:bottom w:val="single" w:sz="4" w:space="0" w:color="000000"/>
              <w:right w:val="single" w:sz="4" w:space="0" w:color="auto"/>
            </w:tcBorders>
            <w:shd w:val="clear" w:color="auto" w:fill="auto"/>
            <w:noWrap/>
            <w:vAlign w:val="center"/>
            <w:hideMark/>
          </w:tcPr>
          <w:p w14:paraId="30D5248C" w14:textId="77777777" w:rsidR="00D902D6" w:rsidRPr="00D902D6" w:rsidRDefault="00D902D6" w:rsidP="00EB6127">
            <w:pPr>
              <w:jc w:val="center"/>
              <w:rPr>
                <w:b/>
                <w:bCs/>
                <w:color w:val="000000"/>
                <w:sz w:val="20"/>
                <w:szCs w:val="20"/>
              </w:rPr>
            </w:pPr>
            <w:r w:rsidRPr="00D902D6">
              <w:rPr>
                <w:b/>
                <w:bCs/>
                <w:color w:val="000000"/>
                <w:sz w:val="20"/>
                <w:szCs w:val="20"/>
              </w:rPr>
              <w:t>SNoDI</w:t>
            </w:r>
          </w:p>
        </w:tc>
        <w:tc>
          <w:tcPr>
            <w:tcW w:w="1701" w:type="dxa"/>
            <w:tcBorders>
              <w:top w:val="single" w:sz="24" w:space="0" w:color="auto"/>
              <w:left w:val="nil"/>
              <w:right w:val="single" w:sz="4" w:space="0" w:color="000000"/>
            </w:tcBorders>
            <w:shd w:val="clear" w:color="auto" w:fill="auto"/>
            <w:noWrap/>
            <w:vAlign w:val="center"/>
            <w:hideMark/>
          </w:tcPr>
          <w:p w14:paraId="7BE7D690" w14:textId="77777777" w:rsidR="00D902D6" w:rsidRPr="00D902D6" w:rsidRDefault="00D902D6" w:rsidP="00EB6127">
            <w:pPr>
              <w:jc w:val="center"/>
              <w:rPr>
                <w:color w:val="000000"/>
                <w:sz w:val="20"/>
                <w:szCs w:val="20"/>
              </w:rPr>
            </w:pPr>
            <w:r w:rsidRPr="00D902D6">
              <w:rPr>
                <w:color w:val="000000"/>
                <w:sz w:val="20"/>
                <w:szCs w:val="20"/>
              </w:rPr>
              <w:t>-2.41</w:t>
            </w:r>
          </w:p>
          <w:p w14:paraId="081F4C00" w14:textId="77777777" w:rsidR="00D902D6" w:rsidRPr="00D902D6" w:rsidRDefault="00D902D6" w:rsidP="00EB6127">
            <w:pPr>
              <w:jc w:val="center"/>
              <w:rPr>
                <w:color w:val="000000"/>
                <w:sz w:val="20"/>
                <w:szCs w:val="20"/>
              </w:rPr>
            </w:pPr>
            <w:r w:rsidRPr="00D902D6">
              <w:rPr>
                <w:color w:val="000000"/>
                <w:sz w:val="20"/>
                <w:szCs w:val="20"/>
              </w:rPr>
              <w:t>[-22.34, 17.46]</w:t>
            </w:r>
          </w:p>
        </w:tc>
        <w:tc>
          <w:tcPr>
            <w:tcW w:w="1559" w:type="dxa"/>
            <w:tcBorders>
              <w:top w:val="single" w:sz="24" w:space="0" w:color="auto"/>
              <w:left w:val="nil"/>
              <w:right w:val="single" w:sz="4" w:space="0" w:color="000000"/>
            </w:tcBorders>
            <w:shd w:val="clear" w:color="auto" w:fill="auto"/>
            <w:noWrap/>
            <w:vAlign w:val="center"/>
            <w:hideMark/>
          </w:tcPr>
          <w:p w14:paraId="33B34EE1" w14:textId="77777777" w:rsidR="00D902D6" w:rsidRPr="00D902D6" w:rsidRDefault="00D902D6" w:rsidP="00EB6127">
            <w:pPr>
              <w:jc w:val="center"/>
              <w:rPr>
                <w:color w:val="000000"/>
                <w:sz w:val="20"/>
                <w:szCs w:val="20"/>
              </w:rPr>
            </w:pPr>
            <w:r w:rsidRPr="00D902D6">
              <w:rPr>
                <w:color w:val="000000"/>
                <w:sz w:val="20"/>
                <w:szCs w:val="20"/>
              </w:rPr>
              <w:t>-2.21</w:t>
            </w:r>
          </w:p>
          <w:p w14:paraId="00E5CE08" w14:textId="77777777" w:rsidR="00D902D6" w:rsidRPr="00D902D6" w:rsidRDefault="00D902D6" w:rsidP="00EB6127">
            <w:pPr>
              <w:jc w:val="center"/>
              <w:rPr>
                <w:color w:val="000000"/>
                <w:sz w:val="20"/>
                <w:szCs w:val="20"/>
              </w:rPr>
            </w:pPr>
            <w:r w:rsidRPr="00D902D6">
              <w:rPr>
                <w:color w:val="000000"/>
                <w:sz w:val="20"/>
                <w:szCs w:val="20"/>
              </w:rPr>
              <w:t>[-18.69, 14.5]</w:t>
            </w:r>
          </w:p>
        </w:tc>
        <w:tc>
          <w:tcPr>
            <w:tcW w:w="1560" w:type="dxa"/>
            <w:tcBorders>
              <w:top w:val="single" w:sz="24" w:space="0" w:color="auto"/>
              <w:left w:val="nil"/>
              <w:right w:val="single" w:sz="24" w:space="0" w:color="auto"/>
            </w:tcBorders>
            <w:shd w:val="clear" w:color="auto" w:fill="auto"/>
            <w:noWrap/>
            <w:vAlign w:val="center"/>
            <w:hideMark/>
          </w:tcPr>
          <w:p w14:paraId="0B1DB68B" w14:textId="77777777" w:rsidR="00D902D6" w:rsidRPr="00D902D6" w:rsidRDefault="00D902D6" w:rsidP="00EB6127">
            <w:pPr>
              <w:jc w:val="center"/>
              <w:rPr>
                <w:color w:val="000000"/>
                <w:sz w:val="20"/>
                <w:szCs w:val="20"/>
              </w:rPr>
            </w:pPr>
            <w:r w:rsidRPr="00D902D6">
              <w:rPr>
                <w:color w:val="000000"/>
                <w:sz w:val="20"/>
                <w:szCs w:val="20"/>
              </w:rPr>
              <w:t>-2.28</w:t>
            </w:r>
          </w:p>
          <w:p w14:paraId="0DF0975E" w14:textId="77777777" w:rsidR="00D902D6" w:rsidRPr="00D902D6" w:rsidRDefault="00D902D6" w:rsidP="00EB6127">
            <w:pPr>
              <w:jc w:val="center"/>
              <w:rPr>
                <w:color w:val="000000"/>
                <w:sz w:val="20"/>
                <w:szCs w:val="20"/>
              </w:rPr>
            </w:pPr>
            <w:r w:rsidRPr="00D902D6">
              <w:rPr>
                <w:color w:val="000000"/>
                <w:sz w:val="20"/>
                <w:szCs w:val="20"/>
              </w:rPr>
              <w:t>[-17.66, 13.16]</w:t>
            </w:r>
          </w:p>
        </w:tc>
        <w:tc>
          <w:tcPr>
            <w:tcW w:w="1701" w:type="dxa"/>
            <w:tcBorders>
              <w:top w:val="single" w:sz="24" w:space="0" w:color="auto"/>
              <w:left w:val="single" w:sz="24" w:space="0" w:color="auto"/>
              <w:bottom w:val="single" w:sz="24" w:space="0" w:color="auto"/>
              <w:right w:val="single" w:sz="24" w:space="0" w:color="auto"/>
            </w:tcBorders>
            <w:shd w:val="clear" w:color="auto" w:fill="auto"/>
            <w:noWrap/>
            <w:vAlign w:val="center"/>
            <w:hideMark/>
          </w:tcPr>
          <w:p w14:paraId="61EB97D9" w14:textId="77777777" w:rsidR="00D902D6" w:rsidRPr="00D902D6" w:rsidRDefault="00D902D6" w:rsidP="00EB6127">
            <w:pPr>
              <w:jc w:val="center"/>
              <w:rPr>
                <w:color w:val="000000"/>
                <w:sz w:val="20"/>
                <w:szCs w:val="20"/>
              </w:rPr>
            </w:pPr>
            <w:r w:rsidRPr="00D902D6">
              <w:rPr>
                <w:color w:val="000000"/>
                <w:sz w:val="20"/>
                <w:szCs w:val="20"/>
              </w:rPr>
              <w:t>-1.45</w:t>
            </w:r>
          </w:p>
          <w:p w14:paraId="262D45D9" w14:textId="77777777" w:rsidR="00D902D6" w:rsidRPr="00D902D6" w:rsidRDefault="00D902D6" w:rsidP="00EB6127">
            <w:pPr>
              <w:jc w:val="center"/>
              <w:rPr>
                <w:color w:val="000000"/>
                <w:sz w:val="20"/>
                <w:szCs w:val="20"/>
              </w:rPr>
            </w:pPr>
            <w:r w:rsidRPr="00D902D6">
              <w:rPr>
                <w:color w:val="000000"/>
                <w:sz w:val="20"/>
                <w:szCs w:val="20"/>
              </w:rPr>
              <w:t>[-16.92, 14.03]</w:t>
            </w:r>
          </w:p>
        </w:tc>
        <w:tc>
          <w:tcPr>
            <w:tcW w:w="1559" w:type="dxa"/>
            <w:tcBorders>
              <w:top w:val="single" w:sz="4" w:space="0" w:color="auto"/>
              <w:left w:val="single" w:sz="24" w:space="0" w:color="auto"/>
              <w:bottom w:val="single" w:sz="4" w:space="0" w:color="auto"/>
              <w:right w:val="single" w:sz="24" w:space="0" w:color="auto"/>
            </w:tcBorders>
            <w:shd w:val="clear" w:color="auto" w:fill="auto"/>
            <w:noWrap/>
            <w:vAlign w:val="center"/>
            <w:hideMark/>
          </w:tcPr>
          <w:p w14:paraId="31DD681B" w14:textId="77777777" w:rsidR="00D902D6" w:rsidRPr="00D902D6" w:rsidRDefault="00D902D6" w:rsidP="00EB6127">
            <w:pPr>
              <w:jc w:val="center"/>
              <w:rPr>
                <w:color w:val="000000"/>
                <w:sz w:val="20"/>
                <w:szCs w:val="20"/>
              </w:rPr>
            </w:pPr>
            <w:r w:rsidRPr="00D902D6">
              <w:rPr>
                <w:color w:val="000000"/>
                <w:sz w:val="20"/>
                <w:szCs w:val="20"/>
              </w:rPr>
              <w:t>---</w:t>
            </w:r>
          </w:p>
          <w:p w14:paraId="15EF9839" w14:textId="77777777" w:rsidR="00D902D6" w:rsidRPr="00D902D6" w:rsidRDefault="00D902D6" w:rsidP="00EB6127">
            <w:pPr>
              <w:jc w:val="center"/>
              <w:rPr>
                <w:color w:val="000000"/>
                <w:sz w:val="20"/>
                <w:szCs w:val="20"/>
              </w:rPr>
            </w:pPr>
          </w:p>
        </w:tc>
        <w:tc>
          <w:tcPr>
            <w:tcW w:w="1559" w:type="dxa"/>
            <w:tcBorders>
              <w:top w:val="single" w:sz="24" w:space="0" w:color="auto"/>
              <w:left w:val="single" w:sz="24" w:space="0" w:color="auto"/>
              <w:bottom w:val="single" w:sz="24" w:space="0" w:color="auto"/>
              <w:right w:val="single" w:sz="24" w:space="0" w:color="auto"/>
            </w:tcBorders>
            <w:shd w:val="clear" w:color="auto" w:fill="auto"/>
            <w:noWrap/>
            <w:vAlign w:val="center"/>
            <w:hideMark/>
          </w:tcPr>
          <w:p w14:paraId="23AF6FF7" w14:textId="77777777" w:rsidR="00D902D6" w:rsidRPr="00D902D6" w:rsidRDefault="00D902D6" w:rsidP="00EB6127">
            <w:pPr>
              <w:jc w:val="center"/>
              <w:rPr>
                <w:color w:val="000000"/>
                <w:sz w:val="20"/>
                <w:szCs w:val="20"/>
              </w:rPr>
            </w:pPr>
            <w:r w:rsidRPr="00D902D6">
              <w:rPr>
                <w:color w:val="000000"/>
                <w:sz w:val="20"/>
                <w:szCs w:val="20"/>
              </w:rPr>
              <w:t>-0.65</w:t>
            </w:r>
          </w:p>
          <w:p w14:paraId="1C67257C" w14:textId="77777777" w:rsidR="00D902D6" w:rsidRPr="00D902D6" w:rsidRDefault="00D902D6" w:rsidP="00EB6127">
            <w:pPr>
              <w:jc w:val="center"/>
              <w:rPr>
                <w:color w:val="000000"/>
                <w:sz w:val="20"/>
                <w:szCs w:val="20"/>
              </w:rPr>
            </w:pPr>
            <w:r w:rsidRPr="00D902D6">
              <w:rPr>
                <w:color w:val="000000"/>
                <w:sz w:val="20"/>
                <w:szCs w:val="20"/>
              </w:rPr>
              <w:t>[-14.67, 13.23]</w:t>
            </w:r>
          </w:p>
        </w:tc>
        <w:tc>
          <w:tcPr>
            <w:tcW w:w="1559" w:type="dxa"/>
            <w:tcBorders>
              <w:top w:val="single" w:sz="24" w:space="0" w:color="auto"/>
              <w:left w:val="single" w:sz="24" w:space="0" w:color="auto"/>
              <w:bottom w:val="single" w:sz="4" w:space="0" w:color="000000"/>
              <w:right w:val="single" w:sz="4" w:space="0" w:color="000000"/>
              <w:tl2br w:val="single" w:sz="4" w:space="0" w:color="auto"/>
            </w:tcBorders>
            <w:shd w:val="clear" w:color="auto" w:fill="auto"/>
            <w:noWrap/>
            <w:vAlign w:val="center"/>
            <w:hideMark/>
          </w:tcPr>
          <w:p w14:paraId="3C15B5DA" w14:textId="77777777" w:rsidR="00D902D6" w:rsidRPr="00D902D6" w:rsidRDefault="00D902D6" w:rsidP="00EB6127">
            <w:pPr>
              <w:rPr>
                <w:color w:val="000000"/>
                <w:sz w:val="20"/>
                <w:szCs w:val="20"/>
              </w:rPr>
            </w:pPr>
            <w:r w:rsidRPr="00D902D6">
              <w:rPr>
                <w:color w:val="000000"/>
                <w:sz w:val="20"/>
                <w:szCs w:val="20"/>
              </w:rPr>
              <w:t> </w:t>
            </w:r>
          </w:p>
        </w:tc>
        <w:tc>
          <w:tcPr>
            <w:tcW w:w="1560" w:type="dxa"/>
            <w:tcBorders>
              <w:top w:val="single" w:sz="24" w:space="0" w:color="auto"/>
              <w:left w:val="nil"/>
              <w:bottom w:val="single" w:sz="4" w:space="0" w:color="000000"/>
              <w:right w:val="single" w:sz="4" w:space="0" w:color="000000"/>
            </w:tcBorders>
            <w:shd w:val="pct12" w:color="auto" w:fill="auto"/>
            <w:noWrap/>
            <w:vAlign w:val="center"/>
            <w:hideMark/>
          </w:tcPr>
          <w:p w14:paraId="27EE41B1" w14:textId="77777777" w:rsidR="00D902D6" w:rsidRPr="00D902D6" w:rsidRDefault="00D902D6" w:rsidP="00EB6127">
            <w:pPr>
              <w:jc w:val="center"/>
              <w:rPr>
                <w:color w:val="000000"/>
                <w:sz w:val="20"/>
                <w:szCs w:val="20"/>
              </w:rPr>
            </w:pPr>
            <w:r w:rsidRPr="00D902D6">
              <w:rPr>
                <w:color w:val="000000"/>
                <w:sz w:val="20"/>
                <w:szCs w:val="20"/>
              </w:rPr>
              <w:t>Not available </w:t>
            </w:r>
          </w:p>
        </w:tc>
      </w:tr>
      <w:tr w:rsidR="00D902D6" w:rsidRPr="00D902D6" w14:paraId="1C4F9760" w14:textId="77777777" w:rsidTr="00EB6127">
        <w:trPr>
          <w:trHeight w:val="85"/>
          <w:jc w:val="center"/>
        </w:trPr>
        <w:tc>
          <w:tcPr>
            <w:tcW w:w="56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B613149" w14:textId="77777777" w:rsidR="00D902D6" w:rsidRPr="00D902D6" w:rsidRDefault="00D902D6" w:rsidP="00EB6127">
            <w:pPr>
              <w:rPr>
                <w:b/>
                <w:bCs/>
                <w:color w:val="000000"/>
                <w:sz w:val="20"/>
                <w:szCs w:val="20"/>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2AAC7618" w14:textId="77777777" w:rsidR="00D902D6" w:rsidRPr="00D902D6" w:rsidRDefault="00D902D6" w:rsidP="00EB6127">
            <w:pPr>
              <w:jc w:val="center"/>
              <w:rPr>
                <w:b/>
                <w:bCs/>
                <w:color w:val="000000"/>
                <w:sz w:val="20"/>
                <w:szCs w:val="20"/>
              </w:rPr>
            </w:pPr>
            <w:r w:rsidRPr="00D902D6">
              <w:rPr>
                <w:b/>
                <w:bCs/>
                <w:color w:val="000000"/>
                <w:sz w:val="20"/>
                <w:szCs w:val="20"/>
              </w:rPr>
              <w:t>M</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14:paraId="353B2F84" w14:textId="77777777" w:rsidR="00D902D6" w:rsidRPr="00D902D6" w:rsidRDefault="00D902D6" w:rsidP="00EB6127">
            <w:pPr>
              <w:jc w:val="center"/>
              <w:rPr>
                <w:color w:val="000000"/>
                <w:sz w:val="20"/>
                <w:szCs w:val="20"/>
              </w:rPr>
            </w:pPr>
            <w:r w:rsidRPr="00D902D6">
              <w:rPr>
                <w:color w:val="000000"/>
                <w:sz w:val="20"/>
                <w:szCs w:val="20"/>
              </w:rPr>
              <w:t>-4.95</w:t>
            </w:r>
          </w:p>
          <w:p w14:paraId="3A9AA8A8" w14:textId="77777777" w:rsidR="00D902D6" w:rsidRPr="00D902D6" w:rsidRDefault="00D902D6" w:rsidP="00EB6127">
            <w:pPr>
              <w:jc w:val="center"/>
              <w:rPr>
                <w:color w:val="000000"/>
                <w:sz w:val="20"/>
                <w:szCs w:val="20"/>
              </w:rPr>
            </w:pPr>
            <w:r w:rsidRPr="00D902D6">
              <w:rPr>
                <w:color w:val="000000"/>
                <w:sz w:val="20"/>
                <w:szCs w:val="20"/>
              </w:rPr>
              <w:t>[-21.09, 11.26]</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14:paraId="5A44F65E" w14:textId="77777777" w:rsidR="00D902D6" w:rsidRPr="00D902D6" w:rsidRDefault="00D902D6" w:rsidP="00EB6127">
            <w:pPr>
              <w:jc w:val="center"/>
              <w:rPr>
                <w:color w:val="000000"/>
                <w:sz w:val="20"/>
                <w:szCs w:val="20"/>
              </w:rPr>
            </w:pPr>
            <w:r w:rsidRPr="00D902D6">
              <w:rPr>
                <w:color w:val="000000"/>
                <w:sz w:val="20"/>
                <w:szCs w:val="20"/>
              </w:rPr>
              <w:t>-4.69</w:t>
            </w:r>
          </w:p>
          <w:p w14:paraId="22AC5CFA" w14:textId="77777777" w:rsidR="00D902D6" w:rsidRPr="00D902D6" w:rsidRDefault="00D902D6" w:rsidP="00EB6127">
            <w:pPr>
              <w:jc w:val="center"/>
              <w:rPr>
                <w:color w:val="000000"/>
                <w:sz w:val="20"/>
                <w:szCs w:val="20"/>
              </w:rPr>
            </w:pPr>
            <w:r w:rsidRPr="00D902D6">
              <w:rPr>
                <w:color w:val="000000"/>
                <w:sz w:val="20"/>
                <w:szCs w:val="20"/>
              </w:rPr>
              <w:t>[-16.62, 7.11]</w:t>
            </w:r>
          </w:p>
        </w:tc>
        <w:tc>
          <w:tcPr>
            <w:tcW w:w="1560" w:type="dxa"/>
            <w:tcBorders>
              <w:top w:val="single" w:sz="4" w:space="0" w:color="auto"/>
              <w:left w:val="nil"/>
              <w:bottom w:val="single" w:sz="4" w:space="0" w:color="auto"/>
              <w:right w:val="single" w:sz="24" w:space="0" w:color="auto"/>
            </w:tcBorders>
            <w:shd w:val="clear" w:color="auto" w:fill="auto"/>
            <w:noWrap/>
            <w:vAlign w:val="center"/>
            <w:hideMark/>
          </w:tcPr>
          <w:p w14:paraId="49779AB7" w14:textId="77777777" w:rsidR="00D902D6" w:rsidRPr="00D902D6" w:rsidRDefault="00D902D6" w:rsidP="00EB6127">
            <w:pPr>
              <w:jc w:val="center"/>
              <w:rPr>
                <w:color w:val="000000"/>
                <w:sz w:val="20"/>
                <w:szCs w:val="20"/>
              </w:rPr>
            </w:pPr>
            <w:r w:rsidRPr="00D902D6">
              <w:rPr>
                <w:color w:val="000000"/>
                <w:sz w:val="20"/>
                <w:szCs w:val="20"/>
              </w:rPr>
              <w:t>-4.81</w:t>
            </w:r>
          </w:p>
          <w:p w14:paraId="0C774BA8" w14:textId="77777777" w:rsidR="00D902D6" w:rsidRPr="00D902D6" w:rsidRDefault="00D902D6" w:rsidP="00EB6127">
            <w:pPr>
              <w:jc w:val="center"/>
              <w:rPr>
                <w:color w:val="000000"/>
                <w:sz w:val="20"/>
                <w:szCs w:val="20"/>
              </w:rPr>
            </w:pPr>
            <w:r w:rsidRPr="00D902D6">
              <w:rPr>
                <w:color w:val="000000"/>
                <w:sz w:val="20"/>
                <w:szCs w:val="20"/>
              </w:rPr>
              <w:t>[-14.59, 4.83]</w:t>
            </w:r>
          </w:p>
        </w:tc>
        <w:tc>
          <w:tcPr>
            <w:tcW w:w="1701" w:type="dxa"/>
            <w:tcBorders>
              <w:top w:val="single" w:sz="24" w:space="0" w:color="auto"/>
              <w:left w:val="single" w:sz="24" w:space="0" w:color="auto"/>
              <w:bottom w:val="single" w:sz="24" w:space="0" w:color="auto"/>
              <w:right w:val="single" w:sz="24" w:space="0" w:color="auto"/>
            </w:tcBorders>
            <w:shd w:val="clear" w:color="auto" w:fill="auto"/>
            <w:noWrap/>
            <w:vAlign w:val="center"/>
            <w:hideMark/>
          </w:tcPr>
          <w:p w14:paraId="579E1218" w14:textId="77777777" w:rsidR="00D902D6" w:rsidRPr="00D902D6" w:rsidRDefault="00D902D6" w:rsidP="00EB6127">
            <w:pPr>
              <w:jc w:val="center"/>
              <w:rPr>
                <w:color w:val="000000"/>
                <w:sz w:val="20"/>
                <w:szCs w:val="20"/>
              </w:rPr>
            </w:pPr>
            <w:r w:rsidRPr="00D902D6">
              <w:rPr>
                <w:color w:val="000000"/>
                <w:sz w:val="20"/>
                <w:szCs w:val="20"/>
              </w:rPr>
              <w:t>-3.97</w:t>
            </w:r>
          </w:p>
          <w:p w14:paraId="6629070C" w14:textId="77777777" w:rsidR="00D902D6" w:rsidRPr="00D902D6" w:rsidRDefault="00D902D6" w:rsidP="00EB6127">
            <w:pPr>
              <w:jc w:val="center"/>
              <w:rPr>
                <w:color w:val="000000"/>
                <w:sz w:val="20"/>
                <w:szCs w:val="20"/>
              </w:rPr>
            </w:pPr>
            <w:r w:rsidRPr="00D902D6">
              <w:rPr>
                <w:color w:val="000000"/>
                <w:sz w:val="20"/>
                <w:szCs w:val="20"/>
              </w:rPr>
              <w:t>[-14.3, 6.20]</w:t>
            </w:r>
          </w:p>
        </w:tc>
        <w:tc>
          <w:tcPr>
            <w:tcW w:w="1559" w:type="dxa"/>
            <w:tcBorders>
              <w:top w:val="single" w:sz="4" w:space="0" w:color="auto"/>
              <w:left w:val="single" w:sz="24" w:space="0" w:color="auto"/>
              <w:bottom w:val="single" w:sz="4" w:space="0" w:color="auto"/>
              <w:right w:val="single" w:sz="24" w:space="0" w:color="auto"/>
            </w:tcBorders>
            <w:shd w:val="clear" w:color="auto" w:fill="auto"/>
            <w:noWrap/>
            <w:vAlign w:val="center"/>
            <w:hideMark/>
          </w:tcPr>
          <w:p w14:paraId="4F003984" w14:textId="77777777" w:rsidR="00D902D6" w:rsidRPr="00D902D6" w:rsidRDefault="00D902D6" w:rsidP="00EB6127">
            <w:pPr>
              <w:jc w:val="center"/>
              <w:rPr>
                <w:color w:val="000000"/>
                <w:sz w:val="20"/>
                <w:szCs w:val="20"/>
              </w:rPr>
            </w:pPr>
            <w:r w:rsidRPr="00D902D6">
              <w:rPr>
                <w:color w:val="000000"/>
                <w:sz w:val="20"/>
                <w:szCs w:val="20"/>
              </w:rPr>
              <w:t>---</w:t>
            </w:r>
          </w:p>
        </w:tc>
        <w:tc>
          <w:tcPr>
            <w:tcW w:w="1559" w:type="dxa"/>
            <w:tcBorders>
              <w:top w:val="single" w:sz="24" w:space="0" w:color="auto"/>
              <w:left w:val="single" w:sz="24" w:space="0" w:color="auto"/>
              <w:bottom w:val="single" w:sz="24" w:space="0" w:color="auto"/>
              <w:right w:val="single" w:sz="24" w:space="0" w:color="auto"/>
            </w:tcBorders>
            <w:shd w:val="clear" w:color="auto" w:fill="auto"/>
            <w:noWrap/>
            <w:vAlign w:val="center"/>
            <w:hideMark/>
          </w:tcPr>
          <w:p w14:paraId="56AB54D8" w14:textId="77777777" w:rsidR="00D902D6" w:rsidRPr="00D902D6" w:rsidRDefault="00D902D6" w:rsidP="00EB6127">
            <w:pPr>
              <w:jc w:val="center"/>
              <w:rPr>
                <w:color w:val="000000"/>
                <w:sz w:val="20"/>
                <w:szCs w:val="20"/>
              </w:rPr>
            </w:pPr>
            <w:r w:rsidRPr="00D902D6">
              <w:rPr>
                <w:color w:val="000000"/>
                <w:sz w:val="20"/>
                <w:szCs w:val="20"/>
              </w:rPr>
              <w:t>-3.18</w:t>
            </w:r>
          </w:p>
          <w:p w14:paraId="05E2BEC9" w14:textId="77777777" w:rsidR="00D902D6" w:rsidRPr="00D902D6" w:rsidRDefault="00D902D6" w:rsidP="00EB6127">
            <w:pPr>
              <w:jc w:val="center"/>
              <w:rPr>
                <w:color w:val="000000"/>
                <w:sz w:val="20"/>
                <w:szCs w:val="20"/>
              </w:rPr>
            </w:pPr>
            <w:r w:rsidRPr="00D902D6">
              <w:rPr>
                <w:color w:val="000000"/>
                <w:sz w:val="20"/>
                <w:szCs w:val="20"/>
              </w:rPr>
              <w:t>[-11.32, 4.76]</w:t>
            </w:r>
          </w:p>
        </w:tc>
        <w:tc>
          <w:tcPr>
            <w:tcW w:w="1559" w:type="dxa"/>
            <w:tcBorders>
              <w:top w:val="single" w:sz="4" w:space="0" w:color="auto"/>
              <w:left w:val="single" w:sz="24" w:space="0" w:color="auto"/>
              <w:bottom w:val="single" w:sz="4" w:space="0" w:color="auto"/>
              <w:right w:val="single" w:sz="4" w:space="0" w:color="000000"/>
            </w:tcBorders>
            <w:shd w:val="clear" w:color="auto" w:fill="auto"/>
            <w:noWrap/>
            <w:vAlign w:val="center"/>
            <w:hideMark/>
          </w:tcPr>
          <w:p w14:paraId="66BDD01A" w14:textId="77777777" w:rsidR="00D902D6" w:rsidRPr="00D902D6" w:rsidRDefault="00D902D6" w:rsidP="00EB6127">
            <w:pPr>
              <w:jc w:val="center"/>
              <w:rPr>
                <w:color w:val="000000"/>
                <w:sz w:val="20"/>
                <w:szCs w:val="20"/>
              </w:rPr>
            </w:pPr>
            <w:r w:rsidRPr="00D902D6">
              <w:rPr>
                <w:color w:val="000000"/>
                <w:sz w:val="20"/>
                <w:szCs w:val="20"/>
              </w:rPr>
              <w:t>-2.56</w:t>
            </w:r>
          </w:p>
          <w:p w14:paraId="1AE5604C" w14:textId="77777777" w:rsidR="00D902D6" w:rsidRPr="00D902D6" w:rsidRDefault="00D902D6" w:rsidP="00EB6127">
            <w:pPr>
              <w:jc w:val="center"/>
              <w:rPr>
                <w:color w:val="000000"/>
                <w:sz w:val="20"/>
                <w:szCs w:val="20"/>
              </w:rPr>
            </w:pPr>
            <w:r w:rsidRPr="00D902D6">
              <w:rPr>
                <w:color w:val="000000"/>
                <w:sz w:val="20"/>
                <w:szCs w:val="20"/>
              </w:rPr>
              <w:t>[-18.71, 13.54]</w:t>
            </w:r>
          </w:p>
        </w:tc>
        <w:tc>
          <w:tcPr>
            <w:tcW w:w="1560" w:type="dxa"/>
            <w:tcBorders>
              <w:top w:val="single" w:sz="4" w:space="0" w:color="000000"/>
              <w:left w:val="single" w:sz="4" w:space="0" w:color="auto"/>
              <w:bottom w:val="single" w:sz="4" w:space="0" w:color="auto"/>
              <w:right w:val="single" w:sz="4" w:space="0" w:color="000000"/>
              <w:tl2br w:val="single" w:sz="4" w:space="0" w:color="auto"/>
            </w:tcBorders>
            <w:shd w:val="clear" w:color="auto" w:fill="auto"/>
            <w:noWrap/>
            <w:vAlign w:val="center"/>
            <w:hideMark/>
          </w:tcPr>
          <w:p w14:paraId="6CABF7D5" w14:textId="77777777" w:rsidR="00D902D6" w:rsidRPr="00D902D6" w:rsidRDefault="00D902D6" w:rsidP="00EB6127">
            <w:pPr>
              <w:jc w:val="center"/>
              <w:rPr>
                <w:color w:val="000000"/>
                <w:sz w:val="20"/>
                <w:szCs w:val="20"/>
              </w:rPr>
            </w:pPr>
            <w:r w:rsidRPr="00D902D6">
              <w:rPr>
                <w:color w:val="000000"/>
                <w:sz w:val="20"/>
                <w:szCs w:val="20"/>
              </w:rPr>
              <w:t> </w:t>
            </w:r>
          </w:p>
        </w:tc>
      </w:tr>
    </w:tbl>
    <w:p w14:paraId="346EEE0E" w14:textId="77777777" w:rsidR="00D902D6" w:rsidRDefault="00D902D6" w:rsidP="00D902D6">
      <w:pPr>
        <w:rPr>
          <w:sz w:val="20"/>
          <w:szCs w:val="20"/>
        </w:rPr>
      </w:pPr>
    </w:p>
    <w:p w14:paraId="1EAF610F" w14:textId="77777777" w:rsidR="00D902D6" w:rsidRPr="007A1DD4" w:rsidRDefault="00D902D6" w:rsidP="00D902D6">
      <w:pPr>
        <w:rPr>
          <w:sz w:val="20"/>
          <w:szCs w:val="20"/>
        </w:rPr>
      </w:pPr>
      <w:r w:rsidRPr="007A1DD4">
        <w:rPr>
          <w:sz w:val="20"/>
          <w:szCs w:val="20"/>
        </w:rPr>
        <w:t>FE=Fixed</w:t>
      </w:r>
      <w:r>
        <w:rPr>
          <w:sz w:val="20"/>
          <w:szCs w:val="20"/>
        </w:rPr>
        <w:t xml:space="preserve"> E</w:t>
      </w:r>
      <w:r w:rsidRPr="007A1DD4">
        <w:rPr>
          <w:sz w:val="20"/>
          <w:szCs w:val="20"/>
        </w:rPr>
        <w:t xml:space="preserve">ffects; </w:t>
      </w:r>
      <w:r>
        <w:rPr>
          <w:sz w:val="20"/>
          <w:szCs w:val="20"/>
        </w:rPr>
        <w:t xml:space="preserve">GAD=Generalised Anxiety Disorder; </w:t>
      </w:r>
      <w:r w:rsidRPr="007A1DD4">
        <w:rPr>
          <w:sz w:val="20"/>
          <w:szCs w:val="20"/>
        </w:rPr>
        <w:t>M=medication; NI=No intervention; RE=Random</w:t>
      </w:r>
      <w:r>
        <w:rPr>
          <w:sz w:val="20"/>
          <w:szCs w:val="20"/>
        </w:rPr>
        <w:t xml:space="preserve"> E</w:t>
      </w:r>
      <w:r w:rsidRPr="007A1DD4">
        <w:rPr>
          <w:sz w:val="20"/>
          <w:szCs w:val="20"/>
        </w:rPr>
        <w:t>ffects; SDC=Supported Digital Control; SDI=Supported Digital Intervention; SNoDI=Supported Non-digital intervention; UDC=Unsupported Digital Control; UDI=Unsupported Digital Intervention.</w:t>
      </w:r>
    </w:p>
    <w:p w14:paraId="492B4B59" w14:textId="77777777" w:rsidR="00D902D6" w:rsidRDefault="00D902D6" w:rsidP="00D902D6"/>
    <w:p w14:paraId="1CF67970" w14:textId="77777777" w:rsidR="00D902D6" w:rsidRDefault="00D902D6" w:rsidP="00D902D6">
      <w:r w:rsidRPr="007A1DD4">
        <w:t>*Non-pooled data for when n=1</w:t>
      </w:r>
      <w:r>
        <w:t>.</w:t>
      </w:r>
    </w:p>
    <w:p w14:paraId="369D8AF1" w14:textId="77777777" w:rsidR="00D902D6" w:rsidRPr="007A1DD4" w:rsidRDefault="00D902D6" w:rsidP="00D902D6">
      <w:r w:rsidRPr="007A1DD4">
        <w:t>**Pairwise</w:t>
      </w:r>
      <w:r w:rsidRPr="007A1DD4">
        <w:rPr>
          <w:rFonts w:eastAsia="MS Mincho"/>
          <w:lang w:eastAsia="ja-JP"/>
        </w:rPr>
        <w:t xml:space="preserve"> ANCOVA RE meta-analysis for when n&gt;3</w:t>
      </w:r>
      <w:r>
        <w:rPr>
          <w:rFonts w:eastAsia="MS Mincho"/>
          <w:lang w:eastAsia="ja-JP"/>
        </w:rPr>
        <w:t xml:space="preserve"> for contrasts with intervention SDI</w:t>
      </w:r>
      <w:r w:rsidRPr="007A1DD4">
        <w:t xml:space="preserve">. </w:t>
      </w:r>
    </w:p>
    <w:p w14:paraId="54E7FD71" w14:textId="77777777" w:rsidR="00D902D6" w:rsidRDefault="00D902D6" w:rsidP="00D902D6"/>
    <w:p w14:paraId="62F2B33D" w14:textId="77777777" w:rsidR="00D902D6" w:rsidRPr="007A1DD4" w:rsidRDefault="00D902D6" w:rsidP="00D902D6">
      <w:r w:rsidRPr="007A1DD4">
        <w:t>Lower left triangle: Network Meta-Analysis Results (ANCOVA RE); Upper right triangle (shaded area): Direct Pairwise Meta-Analysis Results (ANCOVA FE)</w:t>
      </w:r>
      <w:r>
        <w:t>; Cells with thick black perimeter: available comparisons between digital interventions (supported and unsupported) and alternatives</w:t>
      </w:r>
      <w:r w:rsidRPr="007A1DD4">
        <w:tab/>
      </w:r>
      <w:r w:rsidRPr="007A1DD4">
        <w:tab/>
      </w:r>
    </w:p>
    <w:p w14:paraId="13D3072D" w14:textId="77777777" w:rsidR="00D902D6" w:rsidRPr="001F0117" w:rsidRDefault="00D902D6" w:rsidP="00D902D6">
      <w:r>
        <w:tab/>
      </w:r>
      <w:r>
        <w:tab/>
      </w:r>
      <w:r>
        <w:tab/>
      </w:r>
      <w:r>
        <w:tab/>
      </w:r>
      <w:r>
        <w:tab/>
      </w:r>
    </w:p>
    <w:p w14:paraId="4B3C13C3" w14:textId="6D491258" w:rsidR="00467466" w:rsidRDefault="00467466">
      <w:pPr>
        <w:rPr>
          <w:rFonts w:eastAsia="MS Mincho"/>
          <w:b/>
          <w:lang w:eastAsia="ja-JP"/>
        </w:rPr>
      </w:pPr>
      <w:r>
        <w:rPr>
          <w:rFonts w:eastAsia="MS Mincho"/>
          <w:b/>
          <w:lang w:eastAsia="ja-JP"/>
        </w:rPr>
        <w:br w:type="page"/>
      </w:r>
    </w:p>
    <w:p w14:paraId="375720B4" w14:textId="77777777" w:rsidR="00213816" w:rsidRDefault="00213816" w:rsidP="00467466">
      <w:pPr>
        <w:pStyle w:val="Heading1"/>
        <w:spacing w:before="0"/>
        <w:rPr>
          <w:rFonts w:eastAsia="MS Mincho"/>
          <w:sz w:val="24"/>
          <w:szCs w:val="24"/>
          <w:lang w:eastAsia="ja-JP"/>
        </w:rPr>
        <w:sectPr w:rsidR="00213816" w:rsidSect="00EB6127">
          <w:footerReference w:type="default" r:id="rId10"/>
          <w:pgSz w:w="16838" w:h="11906" w:orient="landscape"/>
          <w:pgMar w:top="1440" w:right="1440" w:bottom="1440" w:left="1440" w:header="708" w:footer="708" w:gutter="0"/>
          <w:cols w:space="708"/>
          <w:docGrid w:linePitch="360"/>
        </w:sectPr>
      </w:pPr>
    </w:p>
    <w:p w14:paraId="1D447A0C" w14:textId="582FA844" w:rsidR="00467466" w:rsidRPr="00467466" w:rsidRDefault="00467466" w:rsidP="00467466">
      <w:pPr>
        <w:pStyle w:val="Heading1"/>
        <w:spacing w:before="0"/>
        <w:rPr>
          <w:rFonts w:eastAsia="MS Mincho"/>
          <w:sz w:val="24"/>
          <w:szCs w:val="24"/>
          <w:lang w:eastAsia="ja-JP"/>
        </w:rPr>
      </w:pPr>
      <w:r w:rsidRPr="00467466">
        <w:rPr>
          <w:rFonts w:eastAsia="MS Mincho"/>
          <w:sz w:val="24"/>
          <w:szCs w:val="24"/>
          <w:lang w:eastAsia="ja-JP"/>
        </w:rPr>
        <w:t>Figures</w:t>
      </w:r>
    </w:p>
    <w:p w14:paraId="2A119783" w14:textId="77777777" w:rsidR="00467466" w:rsidRDefault="00467466" w:rsidP="00467466">
      <w:pPr>
        <w:rPr>
          <w:b/>
          <w:bCs/>
        </w:rPr>
      </w:pPr>
    </w:p>
    <w:p w14:paraId="04D04234" w14:textId="46C31D91" w:rsidR="00467466" w:rsidRPr="00284E38" w:rsidRDefault="00467466" w:rsidP="00467466">
      <w:pPr>
        <w:rPr>
          <w:b/>
          <w:bCs/>
        </w:rPr>
      </w:pPr>
      <w:r>
        <w:rPr>
          <w:b/>
          <w:bCs/>
        </w:rPr>
        <w:t>Fig. 1</w:t>
      </w:r>
      <w:r w:rsidRPr="00284E38">
        <w:rPr>
          <w:b/>
          <w:bCs/>
        </w:rPr>
        <w:t>- PRISMA diagram for the identification and selection of clinical trials relating to digital interventions for generalised anxiety disorder (GAD)</w:t>
      </w:r>
    </w:p>
    <w:p w14:paraId="2751B66D" w14:textId="3F22009E" w:rsidR="00D902D6" w:rsidRDefault="00D902D6" w:rsidP="00CD4AB7">
      <w:pPr>
        <w:rPr>
          <w:rFonts w:eastAsia="MS Mincho"/>
          <w:b/>
          <w:lang w:eastAsia="ja-JP"/>
        </w:rPr>
      </w:pPr>
    </w:p>
    <w:p w14:paraId="11616674" w14:textId="77777777" w:rsidR="00C04DF6" w:rsidRPr="009C42F1" w:rsidRDefault="00C04DF6" w:rsidP="00C04DF6">
      <w:pPr>
        <w:pStyle w:val="Footer"/>
        <w:rPr>
          <w:sz w:val="20"/>
          <w:szCs w:val="20"/>
        </w:rPr>
      </w:pPr>
      <w:r>
        <w:rPr>
          <w:sz w:val="20"/>
          <w:szCs w:val="20"/>
        </w:rPr>
        <w:t>Adapted f</w:t>
      </w:r>
      <w:r w:rsidRPr="009C42F1">
        <w:rPr>
          <w:sz w:val="20"/>
          <w:szCs w:val="20"/>
        </w:rPr>
        <w:t>rom:  Moher D, Liberati A, Tetzlaff J, Altman DG, The PRISMA Group (2009). Preferred Reporting Items for Systematic Reviews and Meta-Analyses: The PRISMA Statement. PLoS Med 6(7): e1000097. doi:10.1371/journal.pmed1000097</w:t>
      </w:r>
    </w:p>
    <w:p w14:paraId="167E9687" w14:textId="77777777" w:rsidR="00C04DF6" w:rsidRDefault="00C04DF6" w:rsidP="00CD4AB7">
      <w:pPr>
        <w:rPr>
          <w:rFonts w:eastAsia="MS Mincho"/>
          <w:b/>
          <w:lang w:eastAsia="ja-JP"/>
        </w:rPr>
      </w:pPr>
    </w:p>
    <w:p w14:paraId="62E67BA3" w14:textId="77777777" w:rsidR="00C04DF6" w:rsidRDefault="00C04DF6" w:rsidP="00CD4AB7">
      <w:pPr>
        <w:rPr>
          <w:rFonts w:eastAsia="MS Mincho"/>
          <w:b/>
          <w:lang w:eastAsia="ja-JP"/>
        </w:rPr>
      </w:pPr>
    </w:p>
    <w:p w14:paraId="3D7F2EE1" w14:textId="77777777" w:rsidR="00C04DF6" w:rsidRDefault="00C04DF6" w:rsidP="00CD4AB7">
      <w:pPr>
        <w:rPr>
          <w:rFonts w:eastAsia="MS Mincho"/>
          <w:b/>
          <w:lang w:eastAsia="ja-JP"/>
        </w:rPr>
      </w:pPr>
    </w:p>
    <w:p w14:paraId="0CDC831C" w14:textId="77777777" w:rsidR="00213816" w:rsidRDefault="00A007BD" w:rsidP="00CD4AB7">
      <w:pPr>
        <w:rPr>
          <w:rFonts w:eastAsia="MS Mincho"/>
          <w:b/>
          <w:lang w:eastAsia="ja-JP"/>
        </w:rPr>
      </w:pPr>
      <w:r w:rsidRPr="00A007BD">
        <w:rPr>
          <w:rFonts w:eastAsia="MS Mincho"/>
          <w:b/>
          <w:lang w:eastAsia="ja-JP"/>
        </w:rPr>
        <w:t>Fig. 2- Network plot for comparisons between all interventions and controls for GAD populations in RCTs with GAD-7 score</w:t>
      </w:r>
    </w:p>
    <w:p w14:paraId="6556A575" w14:textId="4DF57D8E" w:rsidR="002634D8" w:rsidRDefault="002634D8" w:rsidP="00CD4AB7">
      <w:pPr>
        <w:rPr>
          <w:rFonts w:eastAsia="MS Mincho"/>
          <w:b/>
          <w:lang w:eastAsia="ja-JP"/>
        </w:rPr>
      </w:pPr>
    </w:p>
    <w:p w14:paraId="3FF24C6E" w14:textId="77777777" w:rsidR="00C04DF6" w:rsidRPr="005154FA" w:rsidRDefault="00C04DF6" w:rsidP="00C04DF6">
      <w:pPr>
        <w:rPr>
          <w:sz w:val="20"/>
        </w:rPr>
      </w:pPr>
      <w:r w:rsidRPr="005154FA">
        <w:rPr>
          <w:sz w:val="20"/>
        </w:rPr>
        <w:t>GAD=Generalised Anxiety Disorder; M=medication; NI=No intervention; SDC=Supported Digital Control; SDI=Supported Digital Intervention; SNoDI=Supported Non-digital intervention; UDC=Unsupported Digital Control; UDI=Unsupported Digital Intervention.</w:t>
      </w:r>
    </w:p>
    <w:p w14:paraId="4D6AF313" w14:textId="77777777" w:rsidR="00C04DF6" w:rsidRPr="005154FA" w:rsidRDefault="00C04DF6" w:rsidP="00C04DF6"/>
    <w:p w14:paraId="1AFBF4F3" w14:textId="77777777" w:rsidR="00C04DF6" w:rsidRPr="00C04DF6" w:rsidRDefault="00C04DF6" w:rsidP="00C04DF6">
      <w:pPr>
        <w:pStyle w:val="ListParagraph"/>
        <w:numPr>
          <w:ilvl w:val="0"/>
          <w:numId w:val="46"/>
        </w:numPr>
        <w:spacing w:after="160" w:line="259" w:lineRule="auto"/>
        <w:ind w:left="284" w:hanging="284"/>
        <w:rPr>
          <w:sz w:val="22"/>
        </w:rPr>
      </w:pPr>
      <w:r w:rsidRPr="00C04DF6">
        <w:rPr>
          <w:sz w:val="22"/>
        </w:rPr>
        <w:t>Line thickness around the node: proportional to the number of patients contributing to each intervention/control group</w:t>
      </w:r>
    </w:p>
    <w:p w14:paraId="440F02B4" w14:textId="77777777" w:rsidR="00C04DF6" w:rsidRPr="00C04DF6" w:rsidRDefault="00C04DF6" w:rsidP="00B32645">
      <w:pPr>
        <w:pStyle w:val="ListParagraph"/>
        <w:numPr>
          <w:ilvl w:val="0"/>
          <w:numId w:val="46"/>
        </w:numPr>
        <w:spacing w:after="160" w:line="259" w:lineRule="auto"/>
        <w:ind w:left="284" w:hanging="284"/>
        <w:rPr>
          <w:rFonts w:eastAsia="MS Mincho"/>
          <w:b/>
          <w:sz w:val="22"/>
          <w:lang w:eastAsia="ja-JP"/>
        </w:rPr>
      </w:pPr>
      <w:r w:rsidRPr="00C04DF6">
        <w:rPr>
          <w:sz w:val="22"/>
        </w:rPr>
        <w:t>Line thickness connecting nodes: proportional to the number of patients contributing to each pairwise comparison between interventions/controls</w:t>
      </w:r>
    </w:p>
    <w:p w14:paraId="5DDE9B22" w14:textId="31BD3E62" w:rsidR="00C04DF6" w:rsidRPr="00C04DF6" w:rsidRDefault="00C04DF6" w:rsidP="00B32645">
      <w:pPr>
        <w:pStyle w:val="ListParagraph"/>
        <w:numPr>
          <w:ilvl w:val="0"/>
          <w:numId w:val="46"/>
        </w:numPr>
        <w:spacing w:after="160" w:line="259" w:lineRule="auto"/>
        <w:ind w:left="284" w:hanging="284"/>
        <w:rPr>
          <w:rFonts w:eastAsia="MS Mincho"/>
          <w:b/>
          <w:sz w:val="22"/>
          <w:lang w:eastAsia="ja-JP"/>
        </w:rPr>
      </w:pPr>
      <w:r w:rsidRPr="00C04DF6">
        <w:rPr>
          <w:sz w:val="22"/>
        </w:rPr>
        <w:t>n= number of trials informing each comparison</w:t>
      </w:r>
    </w:p>
    <w:p w14:paraId="0893E859" w14:textId="13DECC77" w:rsidR="002634D8" w:rsidRDefault="002634D8" w:rsidP="00CD4AB7">
      <w:pPr>
        <w:rPr>
          <w:rFonts w:eastAsia="MS Mincho"/>
          <w:b/>
          <w:lang w:eastAsia="ja-JP"/>
        </w:rPr>
        <w:sectPr w:rsidR="002634D8" w:rsidSect="00213816">
          <w:pgSz w:w="11906" w:h="16838"/>
          <w:pgMar w:top="1440" w:right="1440" w:bottom="1440" w:left="1440" w:header="709" w:footer="709" w:gutter="0"/>
          <w:cols w:space="708"/>
          <w:docGrid w:linePitch="360"/>
        </w:sectPr>
      </w:pPr>
    </w:p>
    <w:p w14:paraId="19FB998B" w14:textId="77777777" w:rsidR="00213816" w:rsidRPr="00D902D6" w:rsidRDefault="00213816" w:rsidP="00CD4AB7">
      <w:pPr>
        <w:rPr>
          <w:rFonts w:eastAsia="MS Mincho"/>
          <w:b/>
          <w:lang w:eastAsia="ja-JP"/>
        </w:rPr>
      </w:pPr>
    </w:p>
    <w:sectPr w:rsidR="00213816" w:rsidRPr="00D902D6" w:rsidSect="00EB612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48505" w14:textId="77777777" w:rsidR="001C23BB" w:rsidRDefault="001C23BB" w:rsidP="009E0937">
      <w:r>
        <w:separator/>
      </w:r>
    </w:p>
  </w:endnote>
  <w:endnote w:type="continuationSeparator" w:id="0">
    <w:p w14:paraId="4DB678F1" w14:textId="77777777" w:rsidR="001C23BB" w:rsidRDefault="001C23BB" w:rsidP="009E0937">
      <w:r>
        <w:continuationSeparator/>
      </w:r>
    </w:p>
  </w:endnote>
  <w:endnote w:type="continuationNotice" w:id="1">
    <w:p w14:paraId="068ADD0D" w14:textId="77777777" w:rsidR="001C23BB" w:rsidRDefault="001C23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942269"/>
      <w:docPartObj>
        <w:docPartGallery w:val="Page Numbers (Bottom of Page)"/>
        <w:docPartUnique/>
      </w:docPartObj>
    </w:sdtPr>
    <w:sdtEndPr>
      <w:rPr>
        <w:noProof/>
      </w:rPr>
    </w:sdtEndPr>
    <w:sdtContent>
      <w:p w14:paraId="456B54C6" w14:textId="32008990" w:rsidR="00F61417" w:rsidRDefault="00F61417">
        <w:pPr>
          <w:pStyle w:val="Footer"/>
          <w:jc w:val="right"/>
        </w:pPr>
        <w:r>
          <w:fldChar w:fldCharType="begin"/>
        </w:r>
        <w:r>
          <w:instrText xml:space="preserve"> PAGE   \* MERGEFORMAT </w:instrText>
        </w:r>
        <w:r>
          <w:fldChar w:fldCharType="separate"/>
        </w:r>
        <w:r w:rsidR="002A25AE">
          <w:rPr>
            <w:noProof/>
          </w:rPr>
          <w:t>1</w:t>
        </w:r>
        <w:r>
          <w:rPr>
            <w:noProof/>
          </w:rPr>
          <w:fldChar w:fldCharType="end"/>
        </w:r>
      </w:p>
    </w:sdtContent>
  </w:sdt>
  <w:p w14:paraId="6D73E7BB" w14:textId="77777777" w:rsidR="00F61417" w:rsidRDefault="00F614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635908"/>
      <w:docPartObj>
        <w:docPartGallery w:val="Page Numbers (Bottom of Page)"/>
        <w:docPartUnique/>
      </w:docPartObj>
    </w:sdtPr>
    <w:sdtEndPr>
      <w:rPr>
        <w:noProof/>
      </w:rPr>
    </w:sdtEndPr>
    <w:sdtContent>
      <w:p w14:paraId="3640841D" w14:textId="7F09EB56" w:rsidR="00F61417" w:rsidRDefault="00F61417">
        <w:pPr>
          <w:pStyle w:val="Footer"/>
          <w:jc w:val="right"/>
        </w:pPr>
        <w:r>
          <w:fldChar w:fldCharType="begin"/>
        </w:r>
        <w:r>
          <w:instrText xml:space="preserve"> PAGE   \* MERGEFORMAT </w:instrText>
        </w:r>
        <w:r>
          <w:fldChar w:fldCharType="separate"/>
        </w:r>
        <w:r w:rsidR="002A25AE">
          <w:rPr>
            <w:noProof/>
          </w:rPr>
          <w:t>33</w:t>
        </w:r>
        <w:r>
          <w:rPr>
            <w:noProof/>
          </w:rPr>
          <w:fldChar w:fldCharType="end"/>
        </w:r>
      </w:p>
    </w:sdtContent>
  </w:sdt>
  <w:p w14:paraId="64191284" w14:textId="77777777" w:rsidR="00F61417" w:rsidRDefault="00F61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97D92" w14:textId="77777777" w:rsidR="001C23BB" w:rsidRDefault="001C23BB" w:rsidP="009E0937">
      <w:r>
        <w:separator/>
      </w:r>
    </w:p>
  </w:footnote>
  <w:footnote w:type="continuationSeparator" w:id="0">
    <w:p w14:paraId="565C6E0B" w14:textId="77777777" w:rsidR="001C23BB" w:rsidRDefault="001C23BB" w:rsidP="009E0937">
      <w:r>
        <w:continuationSeparator/>
      </w:r>
    </w:p>
  </w:footnote>
  <w:footnote w:type="continuationNotice" w:id="1">
    <w:p w14:paraId="384C33CA" w14:textId="77777777" w:rsidR="001C23BB" w:rsidRDefault="001C23B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35A76" w14:textId="77777777" w:rsidR="00027713" w:rsidRDefault="000277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A03"/>
    <w:multiLevelType w:val="hybridMultilevel"/>
    <w:tmpl w:val="F9FE06F8"/>
    <w:lvl w:ilvl="0" w:tplc="08090001">
      <w:start w:val="1"/>
      <w:numFmt w:val="bullet"/>
      <w:lvlText w:val=""/>
      <w:lvlJc w:val="left"/>
      <w:pPr>
        <w:ind w:left="207" w:hanging="360"/>
      </w:pPr>
      <w:rPr>
        <w:rFonts w:ascii="Symbol" w:hAnsi="Symbol" w:hint="default"/>
      </w:rPr>
    </w:lvl>
    <w:lvl w:ilvl="1" w:tplc="08090003">
      <w:start w:val="1"/>
      <w:numFmt w:val="bullet"/>
      <w:lvlText w:val="o"/>
      <w:lvlJc w:val="left"/>
      <w:pPr>
        <w:ind w:left="927" w:hanging="360"/>
      </w:pPr>
      <w:rPr>
        <w:rFonts w:ascii="Courier New" w:hAnsi="Courier New" w:cs="Courier New" w:hint="default"/>
      </w:rPr>
    </w:lvl>
    <w:lvl w:ilvl="2" w:tplc="08090005">
      <w:start w:val="1"/>
      <w:numFmt w:val="bullet"/>
      <w:lvlText w:val=""/>
      <w:lvlJc w:val="left"/>
      <w:pPr>
        <w:ind w:left="1647" w:hanging="360"/>
      </w:pPr>
      <w:rPr>
        <w:rFonts w:ascii="Wingdings" w:hAnsi="Wingdings" w:hint="default"/>
      </w:rPr>
    </w:lvl>
    <w:lvl w:ilvl="3" w:tplc="08090001" w:tentative="1">
      <w:start w:val="1"/>
      <w:numFmt w:val="bullet"/>
      <w:lvlText w:val=""/>
      <w:lvlJc w:val="left"/>
      <w:pPr>
        <w:ind w:left="2367" w:hanging="360"/>
      </w:pPr>
      <w:rPr>
        <w:rFonts w:ascii="Symbol" w:hAnsi="Symbol" w:hint="default"/>
      </w:rPr>
    </w:lvl>
    <w:lvl w:ilvl="4" w:tplc="08090003" w:tentative="1">
      <w:start w:val="1"/>
      <w:numFmt w:val="bullet"/>
      <w:lvlText w:val="o"/>
      <w:lvlJc w:val="left"/>
      <w:pPr>
        <w:ind w:left="3087" w:hanging="360"/>
      </w:pPr>
      <w:rPr>
        <w:rFonts w:ascii="Courier New" w:hAnsi="Courier New" w:cs="Courier New" w:hint="default"/>
      </w:rPr>
    </w:lvl>
    <w:lvl w:ilvl="5" w:tplc="08090005" w:tentative="1">
      <w:start w:val="1"/>
      <w:numFmt w:val="bullet"/>
      <w:lvlText w:val=""/>
      <w:lvlJc w:val="left"/>
      <w:pPr>
        <w:ind w:left="3807" w:hanging="360"/>
      </w:pPr>
      <w:rPr>
        <w:rFonts w:ascii="Wingdings" w:hAnsi="Wingdings" w:hint="default"/>
      </w:rPr>
    </w:lvl>
    <w:lvl w:ilvl="6" w:tplc="08090001" w:tentative="1">
      <w:start w:val="1"/>
      <w:numFmt w:val="bullet"/>
      <w:lvlText w:val=""/>
      <w:lvlJc w:val="left"/>
      <w:pPr>
        <w:ind w:left="4527" w:hanging="360"/>
      </w:pPr>
      <w:rPr>
        <w:rFonts w:ascii="Symbol" w:hAnsi="Symbol" w:hint="default"/>
      </w:rPr>
    </w:lvl>
    <w:lvl w:ilvl="7" w:tplc="08090003" w:tentative="1">
      <w:start w:val="1"/>
      <w:numFmt w:val="bullet"/>
      <w:lvlText w:val="o"/>
      <w:lvlJc w:val="left"/>
      <w:pPr>
        <w:ind w:left="5247" w:hanging="360"/>
      </w:pPr>
      <w:rPr>
        <w:rFonts w:ascii="Courier New" w:hAnsi="Courier New" w:cs="Courier New" w:hint="default"/>
      </w:rPr>
    </w:lvl>
    <w:lvl w:ilvl="8" w:tplc="08090005" w:tentative="1">
      <w:start w:val="1"/>
      <w:numFmt w:val="bullet"/>
      <w:lvlText w:val=""/>
      <w:lvlJc w:val="left"/>
      <w:pPr>
        <w:ind w:left="5967" w:hanging="360"/>
      </w:pPr>
      <w:rPr>
        <w:rFonts w:ascii="Wingdings" w:hAnsi="Wingdings" w:hint="default"/>
      </w:rPr>
    </w:lvl>
  </w:abstractNum>
  <w:abstractNum w:abstractNumId="1" w15:restartNumberingAfterBreak="0">
    <w:nsid w:val="04D91746"/>
    <w:multiLevelType w:val="hybridMultilevel"/>
    <w:tmpl w:val="3D707C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6652B0"/>
    <w:multiLevelType w:val="hybridMultilevel"/>
    <w:tmpl w:val="DE4C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97180B"/>
    <w:multiLevelType w:val="hybridMultilevel"/>
    <w:tmpl w:val="386AC2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1E50B9"/>
    <w:multiLevelType w:val="hybridMultilevel"/>
    <w:tmpl w:val="18D2B0DE"/>
    <w:lvl w:ilvl="0" w:tplc="903CC7CC">
      <w:start w:val="7"/>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4C7D8A"/>
    <w:multiLevelType w:val="hybridMultilevel"/>
    <w:tmpl w:val="E33ABC7C"/>
    <w:lvl w:ilvl="0" w:tplc="4A4E280C">
      <w:start w:val="1"/>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466DB7"/>
    <w:multiLevelType w:val="hybridMultilevel"/>
    <w:tmpl w:val="7A186E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0511C45"/>
    <w:multiLevelType w:val="hybridMultilevel"/>
    <w:tmpl w:val="8CFAE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A23728"/>
    <w:multiLevelType w:val="hybridMultilevel"/>
    <w:tmpl w:val="139EE4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2BA7B46"/>
    <w:multiLevelType w:val="hybridMultilevel"/>
    <w:tmpl w:val="F6AA6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603DC7"/>
    <w:multiLevelType w:val="hybridMultilevel"/>
    <w:tmpl w:val="98406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955939"/>
    <w:multiLevelType w:val="hybridMultilevel"/>
    <w:tmpl w:val="1CC65D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8D65A48"/>
    <w:multiLevelType w:val="hybridMultilevel"/>
    <w:tmpl w:val="B2608E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422B3B"/>
    <w:multiLevelType w:val="multilevel"/>
    <w:tmpl w:val="B19EA62C"/>
    <w:numStyleLink w:val="Style1"/>
  </w:abstractNum>
  <w:abstractNum w:abstractNumId="14" w15:restartNumberingAfterBreak="0">
    <w:nsid w:val="2C922333"/>
    <w:multiLevelType w:val="hybridMultilevel"/>
    <w:tmpl w:val="4C7CA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72105B"/>
    <w:multiLevelType w:val="hybridMultilevel"/>
    <w:tmpl w:val="29C4BC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ED148AE"/>
    <w:multiLevelType w:val="hybridMultilevel"/>
    <w:tmpl w:val="B43040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01713DE"/>
    <w:multiLevelType w:val="hybridMultilevel"/>
    <w:tmpl w:val="F45AC9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0E047F2"/>
    <w:multiLevelType w:val="hybridMultilevel"/>
    <w:tmpl w:val="C7ACCD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2897993"/>
    <w:multiLevelType w:val="hybridMultilevel"/>
    <w:tmpl w:val="336E6F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5A66182"/>
    <w:multiLevelType w:val="hybridMultilevel"/>
    <w:tmpl w:val="CF7C3D7C"/>
    <w:lvl w:ilvl="0" w:tplc="0582C9A8">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D50718"/>
    <w:multiLevelType w:val="hybridMultilevel"/>
    <w:tmpl w:val="AEB4B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1012CF"/>
    <w:multiLevelType w:val="hybridMultilevel"/>
    <w:tmpl w:val="EF38C7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2F906B3"/>
    <w:multiLevelType w:val="hybridMultilevel"/>
    <w:tmpl w:val="825A4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CA1117"/>
    <w:multiLevelType w:val="hybridMultilevel"/>
    <w:tmpl w:val="7DC201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DB54DC"/>
    <w:multiLevelType w:val="hybridMultilevel"/>
    <w:tmpl w:val="38080EFE"/>
    <w:lvl w:ilvl="0" w:tplc="0809000F">
      <w:start w:val="1"/>
      <w:numFmt w:val="decimal"/>
      <w:lvlText w:val="%1."/>
      <w:lvlJc w:val="left"/>
      <w:pPr>
        <w:ind w:left="360" w:hanging="360"/>
      </w:pPr>
      <w:rPr>
        <w:rFonts w:hint="default"/>
      </w:rPr>
    </w:lvl>
    <w:lvl w:ilvl="1" w:tplc="4A4E280C">
      <w:start w:val="1"/>
      <w:numFmt w:val="bullet"/>
      <w:lvlText w:val="-"/>
      <w:lvlJc w:val="left"/>
      <w:pPr>
        <w:ind w:left="1080" w:hanging="360"/>
      </w:pPr>
      <w:rPr>
        <w:rFonts w:ascii="Times New Roman" w:eastAsia="Times New Roman" w:hAnsi="Times New Roman"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C150964"/>
    <w:multiLevelType w:val="hybridMultilevel"/>
    <w:tmpl w:val="BF6059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C8010CD"/>
    <w:multiLevelType w:val="hybridMultilevel"/>
    <w:tmpl w:val="48D6D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D06656"/>
    <w:multiLevelType w:val="hybridMultilevel"/>
    <w:tmpl w:val="809C58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E8750CE"/>
    <w:multiLevelType w:val="hybridMultilevel"/>
    <w:tmpl w:val="139EE4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0256DC5"/>
    <w:multiLevelType w:val="hybridMultilevel"/>
    <w:tmpl w:val="BFDAA8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049438C"/>
    <w:multiLevelType w:val="hybridMultilevel"/>
    <w:tmpl w:val="48D6D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167354C"/>
    <w:multiLevelType w:val="hybridMultilevel"/>
    <w:tmpl w:val="E16EF3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7011748"/>
    <w:multiLevelType w:val="hybridMultilevel"/>
    <w:tmpl w:val="6FFEC0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B5509CC"/>
    <w:multiLevelType w:val="hybridMultilevel"/>
    <w:tmpl w:val="4F9466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D276E8A"/>
    <w:multiLevelType w:val="hybridMultilevel"/>
    <w:tmpl w:val="F50C90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2191951"/>
    <w:multiLevelType w:val="hybridMultilevel"/>
    <w:tmpl w:val="9FE6C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27313AB"/>
    <w:multiLevelType w:val="hybridMultilevel"/>
    <w:tmpl w:val="57AE06A0"/>
    <w:lvl w:ilvl="0" w:tplc="903CC7CC">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F043A3"/>
    <w:multiLevelType w:val="hybridMultilevel"/>
    <w:tmpl w:val="1BEEF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3B23B3"/>
    <w:multiLevelType w:val="hybridMultilevel"/>
    <w:tmpl w:val="0DBC43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F7F217A"/>
    <w:multiLevelType w:val="hybridMultilevel"/>
    <w:tmpl w:val="E3942F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12C75BF"/>
    <w:multiLevelType w:val="hybridMultilevel"/>
    <w:tmpl w:val="DC3C77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1970845"/>
    <w:multiLevelType w:val="hybridMultilevel"/>
    <w:tmpl w:val="DC02B9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B473631"/>
    <w:multiLevelType w:val="hybridMultilevel"/>
    <w:tmpl w:val="6C50B44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BEC503A"/>
    <w:multiLevelType w:val="multilevel"/>
    <w:tmpl w:val="B19EA62C"/>
    <w:styleLink w:val="Style1"/>
    <w:lvl w:ilvl="0">
      <w:start w:val="1"/>
      <w:numFmt w:val="decimal"/>
      <w:lvlText w:val="%1."/>
      <w:lvlJc w:val="left"/>
      <w:pPr>
        <w:tabs>
          <w:tab w:val="num" w:pos="360"/>
        </w:tabs>
        <w:ind w:left="360" w:hanging="360"/>
      </w:pPr>
      <w:rPr>
        <w:rFonts w:ascii="Arial" w:hAnsi="Arial" w:hint="default"/>
        <w:b/>
        <w:sz w:val="20"/>
      </w:rPr>
    </w:lvl>
    <w:lvl w:ilvl="1">
      <w:start w:val="1"/>
      <w:numFmt w:val="decimal"/>
      <w:lvlText w:val="%1.%2."/>
      <w:lvlJc w:val="left"/>
      <w:pPr>
        <w:tabs>
          <w:tab w:val="num" w:pos="792"/>
        </w:tabs>
        <w:ind w:left="792" w:hanging="792"/>
      </w:pPr>
      <w:rPr>
        <w:rFonts w:ascii="Arial" w:hAnsi="Arial" w:cs="Times New Roman" w:hint="default"/>
        <w:b/>
        <w:sz w:val="18"/>
      </w:rPr>
    </w:lvl>
    <w:lvl w:ilvl="2">
      <w:start w:val="1"/>
      <w:numFmt w:val="decimal"/>
      <w:lvlText w:val="%1.%2.%3."/>
      <w:lvlJc w:val="left"/>
      <w:pPr>
        <w:tabs>
          <w:tab w:val="num" w:pos="1224"/>
        </w:tabs>
        <w:ind w:left="1224" w:hanging="1224"/>
      </w:pPr>
      <w:rPr>
        <w:rFonts w:ascii="Arial" w:hAnsi="Arial" w:cs="Times New Roman" w:hint="default"/>
        <w:sz w:val="18"/>
      </w:rPr>
    </w:lvl>
    <w:lvl w:ilvl="3">
      <w:start w:val="1"/>
      <w:numFmt w:val="decimal"/>
      <w:lvlText w:val="%1.%2.%3.%4."/>
      <w:lvlJc w:val="left"/>
      <w:pPr>
        <w:tabs>
          <w:tab w:val="num" w:pos="1728"/>
        </w:tabs>
        <w:ind w:left="1728" w:hanging="1728"/>
      </w:pPr>
      <w:rPr>
        <w:rFonts w:ascii="Times New Roman" w:hAnsi="Times New Roman" w:cs="Times New Roman" w:hint="default"/>
      </w:rPr>
    </w:lvl>
    <w:lvl w:ilvl="4">
      <w:start w:val="1"/>
      <w:numFmt w:val="decimal"/>
      <w:lvlText w:val="%1.%2.%3.%4.%5."/>
      <w:lvlJc w:val="left"/>
      <w:pPr>
        <w:tabs>
          <w:tab w:val="num" w:pos="2232"/>
        </w:tabs>
        <w:ind w:left="2232" w:hanging="2232"/>
      </w:pPr>
      <w:rPr>
        <w:rFonts w:ascii="Times New Roman" w:hAnsi="Times New Roman" w:cs="Times New Roman" w:hint="default"/>
      </w:rPr>
    </w:lvl>
    <w:lvl w:ilvl="5">
      <w:start w:val="1"/>
      <w:numFmt w:val="decimal"/>
      <w:lvlText w:val="%1.%2.%3.%4.%5.%6."/>
      <w:lvlJc w:val="left"/>
      <w:pPr>
        <w:tabs>
          <w:tab w:val="num" w:pos="2736"/>
        </w:tabs>
        <w:ind w:left="2736" w:hanging="2736"/>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744"/>
        </w:tabs>
        <w:ind w:left="3744" w:hanging="1224"/>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45" w15:restartNumberingAfterBreak="0">
    <w:nsid w:val="7D5F0232"/>
    <w:multiLevelType w:val="hybridMultilevel"/>
    <w:tmpl w:val="C972A8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4"/>
  </w:num>
  <w:num w:numId="2">
    <w:abstractNumId w:val="13"/>
    <w:lvlOverride w:ilvl="0">
      <w:lvl w:ilvl="0">
        <w:start w:val="1"/>
        <w:numFmt w:val="decimal"/>
        <w:lvlText w:val="%1."/>
        <w:lvlJc w:val="left"/>
        <w:pPr>
          <w:tabs>
            <w:tab w:val="num" w:pos="360"/>
          </w:tabs>
          <w:ind w:left="360" w:hanging="360"/>
        </w:pPr>
        <w:rPr>
          <w:rFonts w:ascii="Times New Roman" w:hAnsi="Times New Roman" w:cs="Times New Roman" w:hint="default"/>
          <w:b/>
          <w:sz w:val="24"/>
        </w:rPr>
      </w:lvl>
    </w:lvlOverride>
    <w:lvlOverride w:ilvl="1">
      <w:lvl w:ilvl="1">
        <w:start w:val="1"/>
        <w:numFmt w:val="decimal"/>
        <w:lvlText w:val="%1.%2."/>
        <w:lvlJc w:val="left"/>
        <w:pPr>
          <w:tabs>
            <w:tab w:val="num" w:pos="792"/>
          </w:tabs>
          <w:ind w:left="792" w:hanging="792"/>
        </w:pPr>
        <w:rPr>
          <w:rFonts w:ascii="Times New Roman" w:hAnsi="Times New Roman" w:cs="Times New Roman" w:hint="default"/>
          <w:b/>
          <w:sz w:val="22"/>
        </w:rPr>
      </w:lvl>
    </w:lvlOverride>
  </w:num>
  <w:num w:numId="3">
    <w:abstractNumId w:val="14"/>
  </w:num>
  <w:num w:numId="4">
    <w:abstractNumId w:val="27"/>
  </w:num>
  <w:num w:numId="5">
    <w:abstractNumId w:val="24"/>
  </w:num>
  <w:num w:numId="6">
    <w:abstractNumId w:val="0"/>
  </w:num>
  <w:num w:numId="7">
    <w:abstractNumId w:val="10"/>
  </w:num>
  <w:num w:numId="8">
    <w:abstractNumId w:val="0"/>
  </w:num>
  <w:num w:numId="9">
    <w:abstractNumId w:val="37"/>
  </w:num>
  <w:num w:numId="10">
    <w:abstractNumId w:val="20"/>
  </w:num>
  <w:num w:numId="11">
    <w:abstractNumId w:val="9"/>
  </w:num>
  <w:num w:numId="12">
    <w:abstractNumId w:val="32"/>
  </w:num>
  <w:num w:numId="13">
    <w:abstractNumId w:val="35"/>
  </w:num>
  <w:num w:numId="14">
    <w:abstractNumId w:val="43"/>
  </w:num>
  <w:num w:numId="15">
    <w:abstractNumId w:val="25"/>
  </w:num>
  <w:num w:numId="16">
    <w:abstractNumId w:val="23"/>
  </w:num>
  <w:num w:numId="17">
    <w:abstractNumId w:val="19"/>
  </w:num>
  <w:num w:numId="18">
    <w:abstractNumId w:val="38"/>
  </w:num>
  <w:num w:numId="19">
    <w:abstractNumId w:val="5"/>
  </w:num>
  <w:num w:numId="20">
    <w:abstractNumId w:val="2"/>
  </w:num>
  <w:num w:numId="21">
    <w:abstractNumId w:val="21"/>
  </w:num>
  <w:num w:numId="22">
    <w:abstractNumId w:val="4"/>
  </w:num>
  <w:num w:numId="23">
    <w:abstractNumId w:val="36"/>
  </w:num>
  <w:num w:numId="24">
    <w:abstractNumId w:val="30"/>
  </w:num>
  <w:num w:numId="25">
    <w:abstractNumId w:val="18"/>
  </w:num>
  <w:num w:numId="26">
    <w:abstractNumId w:val="45"/>
  </w:num>
  <w:num w:numId="27">
    <w:abstractNumId w:val="1"/>
  </w:num>
  <w:num w:numId="28">
    <w:abstractNumId w:val="11"/>
  </w:num>
  <w:num w:numId="29">
    <w:abstractNumId w:val="22"/>
  </w:num>
  <w:num w:numId="30">
    <w:abstractNumId w:val="6"/>
  </w:num>
  <w:num w:numId="31">
    <w:abstractNumId w:val="41"/>
  </w:num>
  <w:num w:numId="32">
    <w:abstractNumId w:val="15"/>
  </w:num>
  <w:num w:numId="33">
    <w:abstractNumId w:val="34"/>
  </w:num>
  <w:num w:numId="34">
    <w:abstractNumId w:val="40"/>
  </w:num>
  <w:num w:numId="35">
    <w:abstractNumId w:val="42"/>
  </w:num>
  <w:num w:numId="36">
    <w:abstractNumId w:val="28"/>
  </w:num>
  <w:num w:numId="37">
    <w:abstractNumId w:val="16"/>
  </w:num>
  <w:num w:numId="38">
    <w:abstractNumId w:val="12"/>
  </w:num>
  <w:num w:numId="39">
    <w:abstractNumId w:val="33"/>
  </w:num>
  <w:num w:numId="40">
    <w:abstractNumId w:val="26"/>
  </w:num>
  <w:num w:numId="41">
    <w:abstractNumId w:val="3"/>
  </w:num>
  <w:num w:numId="42">
    <w:abstractNumId w:val="17"/>
  </w:num>
  <w:num w:numId="43">
    <w:abstractNumId w:val="39"/>
  </w:num>
  <w:num w:numId="44">
    <w:abstractNumId w:val="8"/>
  </w:num>
  <w:num w:numId="45">
    <w:abstractNumId w:val="29"/>
  </w:num>
  <w:num w:numId="46">
    <w:abstractNumId w:val="7"/>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BMJ Copy&lt;/Style&gt;&lt;LeftDelim&gt;{&lt;/LeftDelim&gt;&lt;RightDelim&gt;}&lt;/RightDelim&gt;&lt;FontName&gt;Calibri&lt;/FontName&gt;&lt;FontSize&gt;11&lt;/FontSize&gt;&lt;ReflistTitle&gt;&lt;/ReflistTitle&gt;&lt;StartingRefnum&gt;1&lt;/StartingRefnum&gt;&lt;FirstLineIndent&gt;0&lt;/FirstLineIndent&gt;&lt;HangingIndent&gt;566&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a5ds0wxqz22vgewfrp5xaddwztwpx5r2055&quot;&gt;CODI report and papers&lt;record-ids&gt;&lt;item&gt;1&lt;/item&gt;&lt;item&gt;2&lt;/item&gt;&lt;item&gt;76&lt;/item&gt;&lt;item&gt;112&lt;/item&gt;&lt;item&gt;113&lt;/item&gt;&lt;item&gt;120&lt;/item&gt;&lt;item&gt;128&lt;/item&gt;&lt;item&gt;129&lt;/item&gt;&lt;item&gt;130&lt;/item&gt;&lt;item&gt;133&lt;/item&gt;&lt;item&gt;138&lt;/item&gt;&lt;item&gt;140&lt;/item&gt;&lt;item&gt;141&lt;/item&gt;&lt;item&gt;148&lt;/item&gt;&lt;item&gt;150&lt;/item&gt;&lt;item&gt;151&lt;/item&gt;&lt;item&gt;152&lt;/item&gt;&lt;item&gt;153&lt;/item&gt;&lt;item&gt;154&lt;/item&gt;&lt;item&gt;155&lt;/item&gt;&lt;item&gt;156&lt;/item&gt;&lt;item&gt;161&lt;/item&gt;&lt;item&gt;175&lt;/item&gt;&lt;item&gt;177&lt;/item&gt;&lt;item&gt;227&lt;/item&gt;&lt;item&gt;228&lt;/item&gt;&lt;item&gt;231&lt;/item&gt;&lt;item&gt;233&lt;/item&gt;&lt;item&gt;241&lt;/item&gt;&lt;item&gt;248&lt;/item&gt;&lt;item&gt;249&lt;/item&gt;&lt;item&gt;253&lt;/item&gt;&lt;item&gt;274&lt;/item&gt;&lt;item&gt;275&lt;/item&gt;&lt;item&gt;278&lt;/item&gt;&lt;item&gt;282&lt;/item&gt;&lt;item&gt;340&lt;/item&gt;&lt;item&gt;438&lt;/item&gt;&lt;item&gt;456&lt;/item&gt;&lt;item&gt;562&lt;/item&gt;&lt;item&gt;572&lt;/item&gt;&lt;item&gt;591&lt;/item&gt;&lt;item&gt;598&lt;/item&gt;&lt;item&gt;708&lt;/item&gt;&lt;item&gt;735&lt;/item&gt;&lt;item&gt;851&lt;/item&gt;&lt;item&gt;854&lt;/item&gt;&lt;item&gt;871&lt;/item&gt;&lt;item&gt;945&lt;/item&gt;&lt;item&gt;947&lt;/item&gt;&lt;item&gt;1002&lt;/item&gt;&lt;item&gt;1003&lt;/item&gt;&lt;item&gt;1004&lt;/item&gt;&lt;item&gt;1005&lt;/item&gt;&lt;item&gt;1006&lt;/item&gt;&lt;item&gt;1007&lt;/item&gt;&lt;item&gt;1008&lt;/item&gt;&lt;item&gt;1009&lt;/item&gt;&lt;item&gt;1010&lt;/item&gt;&lt;item&gt;1011&lt;/item&gt;&lt;item&gt;1012&lt;/item&gt;&lt;item&gt;1013&lt;/item&gt;&lt;item&gt;1014&lt;/item&gt;&lt;item&gt;1015&lt;/item&gt;&lt;item&gt;1016&lt;/item&gt;&lt;item&gt;1017&lt;/item&gt;&lt;item&gt;1018&lt;/item&gt;&lt;item&gt;1019&lt;/item&gt;&lt;/record-ids&gt;&lt;/item&gt;&lt;/Libraries&gt;"/>
  </w:docVars>
  <w:rsids>
    <w:rsidRoot w:val="008F45E8"/>
    <w:rsid w:val="00000714"/>
    <w:rsid w:val="00000FFF"/>
    <w:rsid w:val="00001C61"/>
    <w:rsid w:val="00001C68"/>
    <w:rsid w:val="000020D0"/>
    <w:rsid w:val="00002FB8"/>
    <w:rsid w:val="000036D7"/>
    <w:rsid w:val="00003E4D"/>
    <w:rsid w:val="00003F60"/>
    <w:rsid w:val="000057EB"/>
    <w:rsid w:val="00005B3C"/>
    <w:rsid w:val="00005BF5"/>
    <w:rsid w:val="00006A5D"/>
    <w:rsid w:val="000073B5"/>
    <w:rsid w:val="00007ED5"/>
    <w:rsid w:val="0001098C"/>
    <w:rsid w:val="00011295"/>
    <w:rsid w:val="0001147B"/>
    <w:rsid w:val="00011EE2"/>
    <w:rsid w:val="000124AD"/>
    <w:rsid w:val="00012F95"/>
    <w:rsid w:val="00013D1A"/>
    <w:rsid w:val="00014B88"/>
    <w:rsid w:val="00016056"/>
    <w:rsid w:val="000163B2"/>
    <w:rsid w:val="00016521"/>
    <w:rsid w:val="00016D56"/>
    <w:rsid w:val="00016F76"/>
    <w:rsid w:val="00017582"/>
    <w:rsid w:val="00017F73"/>
    <w:rsid w:val="0002000C"/>
    <w:rsid w:val="00022453"/>
    <w:rsid w:val="0002275A"/>
    <w:rsid w:val="000229F6"/>
    <w:rsid w:val="00025B0B"/>
    <w:rsid w:val="0002605F"/>
    <w:rsid w:val="000275C8"/>
    <w:rsid w:val="00027713"/>
    <w:rsid w:val="00027EAE"/>
    <w:rsid w:val="00030EAC"/>
    <w:rsid w:val="000314FF"/>
    <w:rsid w:val="00031561"/>
    <w:rsid w:val="00031750"/>
    <w:rsid w:val="0003216E"/>
    <w:rsid w:val="00032933"/>
    <w:rsid w:val="00033006"/>
    <w:rsid w:val="0003362F"/>
    <w:rsid w:val="00033639"/>
    <w:rsid w:val="000339D5"/>
    <w:rsid w:val="00035519"/>
    <w:rsid w:val="00035576"/>
    <w:rsid w:val="00035994"/>
    <w:rsid w:val="00040A5E"/>
    <w:rsid w:val="000412FF"/>
    <w:rsid w:val="00042BB8"/>
    <w:rsid w:val="00043670"/>
    <w:rsid w:val="000440E6"/>
    <w:rsid w:val="00044D8D"/>
    <w:rsid w:val="00045676"/>
    <w:rsid w:val="000459E4"/>
    <w:rsid w:val="0004626B"/>
    <w:rsid w:val="00046938"/>
    <w:rsid w:val="00047119"/>
    <w:rsid w:val="00050B9A"/>
    <w:rsid w:val="00050EB8"/>
    <w:rsid w:val="00050F60"/>
    <w:rsid w:val="0005114B"/>
    <w:rsid w:val="00052775"/>
    <w:rsid w:val="00052BF2"/>
    <w:rsid w:val="00052E19"/>
    <w:rsid w:val="000548FC"/>
    <w:rsid w:val="00054D89"/>
    <w:rsid w:val="00055717"/>
    <w:rsid w:val="00055B30"/>
    <w:rsid w:val="00056515"/>
    <w:rsid w:val="00056FAD"/>
    <w:rsid w:val="00057255"/>
    <w:rsid w:val="00057A23"/>
    <w:rsid w:val="00057E72"/>
    <w:rsid w:val="0006001A"/>
    <w:rsid w:val="00060BB9"/>
    <w:rsid w:val="000610EE"/>
    <w:rsid w:val="00061465"/>
    <w:rsid w:val="00061778"/>
    <w:rsid w:val="000617B8"/>
    <w:rsid w:val="00062012"/>
    <w:rsid w:val="0006266B"/>
    <w:rsid w:val="00062F4B"/>
    <w:rsid w:val="000634CC"/>
    <w:rsid w:val="0006448B"/>
    <w:rsid w:val="00064851"/>
    <w:rsid w:val="000654CD"/>
    <w:rsid w:val="00065AB4"/>
    <w:rsid w:val="00067F3D"/>
    <w:rsid w:val="000707F3"/>
    <w:rsid w:val="00070904"/>
    <w:rsid w:val="00072254"/>
    <w:rsid w:val="00072824"/>
    <w:rsid w:val="00072877"/>
    <w:rsid w:val="00072A2C"/>
    <w:rsid w:val="00073997"/>
    <w:rsid w:val="000739D3"/>
    <w:rsid w:val="000740F4"/>
    <w:rsid w:val="00074A64"/>
    <w:rsid w:val="00074C1E"/>
    <w:rsid w:val="000756CD"/>
    <w:rsid w:val="00075949"/>
    <w:rsid w:val="0007679F"/>
    <w:rsid w:val="00077000"/>
    <w:rsid w:val="00077845"/>
    <w:rsid w:val="00080130"/>
    <w:rsid w:val="00081667"/>
    <w:rsid w:val="00081E1E"/>
    <w:rsid w:val="00082AD5"/>
    <w:rsid w:val="000837FA"/>
    <w:rsid w:val="00083F8E"/>
    <w:rsid w:val="00084183"/>
    <w:rsid w:val="00084713"/>
    <w:rsid w:val="00084EBE"/>
    <w:rsid w:val="0008603F"/>
    <w:rsid w:val="00086242"/>
    <w:rsid w:val="000862CE"/>
    <w:rsid w:val="000875B0"/>
    <w:rsid w:val="00090013"/>
    <w:rsid w:val="00091C0D"/>
    <w:rsid w:val="00091D43"/>
    <w:rsid w:val="00092363"/>
    <w:rsid w:val="00092CC8"/>
    <w:rsid w:val="00092FE4"/>
    <w:rsid w:val="000932B1"/>
    <w:rsid w:val="0009396E"/>
    <w:rsid w:val="000942D9"/>
    <w:rsid w:val="00094FB2"/>
    <w:rsid w:val="000955C4"/>
    <w:rsid w:val="00095CD4"/>
    <w:rsid w:val="00096688"/>
    <w:rsid w:val="00096AB3"/>
    <w:rsid w:val="00096D3F"/>
    <w:rsid w:val="000A0602"/>
    <w:rsid w:val="000A1207"/>
    <w:rsid w:val="000A192B"/>
    <w:rsid w:val="000A268A"/>
    <w:rsid w:val="000A285C"/>
    <w:rsid w:val="000A357F"/>
    <w:rsid w:val="000A37E8"/>
    <w:rsid w:val="000A386A"/>
    <w:rsid w:val="000A6753"/>
    <w:rsid w:val="000A78C2"/>
    <w:rsid w:val="000A7D99"/>
    <w:rsid w:val="000B12DE"/>
    <w:rsid w:val="000B3C39"/>
    <w:rsid w:val="000B4483"/>
    <w:rsid w:val="000B44C4"/>
    <w:rsid w:val="000B4ECC"/>
    <w:rsid w:val="000B5D0F"/>
    <w:rsid w:val="000B6C9E"/>
    <w:rsid w:val="000B6E8F"/>
    <w:rsid w:val="000B719C"/>
    <w:rsid w:val="000B7388"/>
    <w:rsid w:val="000B7C80"/>
    <w:rsid w:val="000C0634"/>
    <w:rsid w:val="000C0824"/>
    <w:rsid w:val="000C1954"/>
    <w:rsid w:val="000C1BDB"/>
    <w:rsid w:val="000C1F5D"/>
    <w:rsid w:val="000C3F8B"/>
    <w:rsid w:val="000C40BF"/>
    <w:rsid w:val="000C4F55"/>
    <w:rsid w:val="000C516E"/>
    <w:rsid w:val="000C51C1"/>
    <w:rsid w:val="000C5512"/>
    <w:rsid w:val="000C73B5"/>
    <w:rsid w:val="000D030A"/>
    <w:rsid w:val="000D03AB"/>
    <w:rsid w:val="000D0455"/>
    <w:rsid w:val="000D054D"/>
    <w:rsid w:val="000D10E6"/>
    <w:rsid w:val="000D1771"/>
    <w:rsid w:val="000D180D"/>
    <w:rsid w:val="000D2E16"/>
    <w:rsid w:val="000D2E30"/>
    <w:rsid w:val="000D715B"/>
    <w:rsid w:val="000D75F2"/>
    <w:rsid w:val="000D78A6"/>
    <w:rsid w:val="000E124D"/>
    <w:rsid w:val="000E1251"/>
    <w:rsid w:val="000E23B7"/>
    <w:rsid w:val="000E30AD"/>
    <w:rsid w:val="000E3DC3"/>
    <w:rsid w:val="000E418A"/>
    <w:rsid w:val="000E43E3"/>
    <w:rsid w:val="000E4430"/>
    <w:rsid w:val="000E5731"/>
    <w:rsid w:val="000E5C23"/>
    <w:rsid w:val="000E645C"/>
    <w:rsid w:val="000E65B1"/>
    <w:rsid w:val="000E7339"/>
    <w:rsid w:val="000E7426"/>
    <w:rsid w:val="000E7F38"/>
    <w:rsid w:val="000F27E2"/>
    <w:rsid w:val="000F3518"/>
    <w:rsid w:val="000F4D4A"/>
    <w:rsid w:val="000F4FA0"/>
    <w:rsid w:val="000F5C6D"/>
    <w:rsid w:val="000F652A"/>
    <w:rsid w:val="000F6FB8"/>
    <w:rsid w:val="000F7032"/>
    <w:rsid w:val="000F7C9D"/>
    <w:rsid w:val="000F7F42"/>
    <w:rsid w:val="00100548"/>
    <w:rsid w:val="00100C5F"/>
    <w:rsid w:val="00101496"/>
    <w:rsid w:val="0010284E"/>
    <w:rsid w:val="0010323E"/>
    <w:rsid w:val="001056CB"/>
    <w:rsid w:val="00105A07"/>
    <w:rsid w:val="00105B25"/>
    <w:rsid w:val="00106DA6"/>
    <w:rsid w:val="001102DE"/>
    <w:rsid w:val="00110B58"/>
    <w:rsid w:val="001111F4"/>
    <w:rsid w:val="00111C21"/>
    <w:rsid w:val="00111EDB"/>
    <w:rsid w:val="0011231B"/>
    <w:rsid w:val="00113057"/>
    <w:rsid w:val="00113254"/>
    <w:rsid w:val="00114BC7"/>
    <w:rsid w:val="00115896"/>
    <w:rsid w:val="00115D33"/>
    <w:rsid w:val="001160FD"/>
    <w:rsid w:val="00117044"/>
    <w:rsid w:val="00117447"/>
    <w:rsid w:val="00117BED"/>
    <w:rsid w:val="00122565"/>
    <w:rsid w:val="001230A4"/>
    <w:rsid w:val="00123EB5"/>
    <w:rsid w:val="001247D2"/>
    <w:rsid w:val="001247FE"/>
    <w:rsid w:val="00124F34"/>
    <w:rsid w:val="0012529B"/>
    <w:rsid w:val="0012557C"/>
    <w:rsid w:val="00125653"/>
    <w:rsid w:val="0012584E"/>
    <w:rsid w:val="0012661E"/>
    <w:rsid w:val="0012746F"/>
    <w:rsid w:val="001308E2"/>
    <w:rsid w:val="0013111A"/>
    <w:rsid w:val="00131175"/>
    <w:rsid w:val="0013168B"/>
    <w:rsid w:val="00132883"/>
    <w:rsid w:val="00133B4B"/>
    <w:rsid w:val="001341A2"/>
    <w:rsid w:val="00135447"/>
    <w:rsid w:val="001354D0"/>
    <w:rsid w:val="001357B1"/>
    <w:rsid w:val="00135A66"/>
    <w:rsid w:val="0013684C"/>
    <w:rsid w:val="0013715E"/>
    <w:rsid w:val="001375FB"/>
    <w:rsid w:val="0014004F"/>
    <w:rsid w:val="00140741"/>
    <w:rsid w:val="001419BA"/>
    <w:rsid w:val="00141C4D"/>
    <w:rsid w:val="00142377"/>
    <w:rsid w:val="00142BA7"/>
    <w:rsid w:val="00144A2C"/>
    <w:rsid w:val="001455C3"/>
    <w:rsid w:val="00146739"/>
    <w:rsid w:val="00146831"/>
    <w:rsid w:val="00146AC4"/>
    <w:rsid w:val="00147F27"/>
    <w:rsid w:val="001509D3"/>
    <w:rsid w:val="001512DD"/>
    <w:rsid w:val="00151A7E"/>
    <w:rsid w:val="00151E62"/>
    <w:rsid w:val="0015285D"/>
    <w:rsid w:val="0015389F"/>
    <w:rsid w:val="00154577"/>
    <w:rsid w:val="001548CE"/>
    <w:rsid w:val="00154B96"/>
    <w:rsid w:val="00154F61"/>
    <w:rsid w:val="00155EF4"/>
    <w:rsid w:val="001560D5"/>
    <w:rsid w:val="001563AB"/>
    <w:rsid w:val="0015717E"/>
    <w:rsid w:val="001579EC"/>
    <w:rsid w:val="00157BF9"/>
    <w:rsid w:val="00160137"/>
    <w:rsid w:val="00160A2E"/>
    <w:rsid w:val="00160D9E"/>
    <w:rsid w:val="0016101E"/>
    <w:rsid w:val="00161638"/>
    <w:rsid w:val="00161D70"/>
    <w:rsid w:val="001625EF"/>
    <w:rsid w:val="001632DC"/>
    <w:rsid w:val="0016495D"/>
    <w:rsid w:val="001653FA"/>
    <w:rsid w:val="00166021"/>
    <w:rsid w:val="001663A8"/>
    <w:rsid w:val="001666E9"/>
    <w:rsid w:val="00167380"/>
    <w:rsid w:val="00167C30"/>
    <w:rsid w:val="0017285F"/>
    <w:rsid w:val="001735DB"/>
    <w:rsid w:val="00174611"/>
    <w:rsid w:val="0017501F"/>
    <w:rsid w:val="001758E7"/>
    <w:rsid w:val="00176642"/>
    <w:rsid w:val="00176EF0"/>
    <w:rsid w:val="001771AA"/>
    <w:rsid w:val="00177879"/>
    <w:rsid w:val="00177CCA"/>
    <w:rsid w:val="001804A4"/>
    <w:rsid w:val="00181A75"/>
    <w:rsid w:val="001821BF"/>
    <w:rsid w:val="0018255F"/>
    <w:rsid w:val="00182FE8"/>
    <w:rsid w:val="001844E9"/>
    <w:rsid w:val="001847BD"/>
    <w:rsid w:val="00184A35"/>
    <w:rsid w:val="00184B02"/>
    <w:rsid w:val="00184FD3"/>
    <w:rsid w:val="00185749"/>
    <w:rsid w:val="00185A9A"/>
    <w:rsid w:val="00185C6A"/>
    <w:rsid w:val="00186EEC"/>
    <w:rsid w:val="001918CC"/>
    <w:rsid w:val="00191F5E"/>
    <w:rsid w:val="001922E8"/>
    <w:rsid w:val="00192723"/>
    <w:rsid w:val="00192AA6"/>
    <w:rsid w:val="0019495A"/>
    <w:rsid w:val="00194CDF"/>
    <w:rsid w:val="001961F7"/>
    <w:rsid w:val="0019687B"/>
    <w:rsid w:val="00196939"/>
    <w:rsid w:val="0019737F"/>
    <w:rsid w:val="001A0DAE"/>
    <w:rsid w:val="001A10C5"/>
    <w:rsid w:val="001A193C"/>
    <w:rsid w:val="001A1F14"/>
    <w:rsid w:val="001A22F7"/>
    <w:rsid w:val="001A2332"/>
    <w:rsid w:val="001A2395"/>
    <w:rsid w:val="001A23C5"/>
    <w:rsid w:val="001A2816"/>
    <w:rsid w:val="001A2949"/>
    <w:rsid w:val="001A2DD7"/>
    <w:rsid w:val="001A308C"/>
    <w:rsid w:val="001A316A"/>
    <w:rsid w:val="001A319F"/>
    <w:rsid w:val="001A3CC4"/>
    <w:rsid w:val="001A3DC7"/>
    <w:rsid w:val="001A4425"/>
    <w:rsid w:val="001A4F1C"/>
    <w:rsid w:val="001A51D2"/>
    <w:rsid w:val="001A56E9"/>
    <w:rsid w:val="001A6209"/>
    <w:rsid w:val="001A6281"/>
    <w:rsid w:val="001A6E3B"/>
    <w:rsid w:val="001A7190"/>
    <w:rsid w:val="001A7E82"/>
    <w:rsid w:val="001B133F"/>
    <w:rsid w:val="001B13D7"/>
    <w:rsid w:val="001B21C2"/>
    <w:rsid w:val="001B27D0"/>
    <w:rsid w:val="001B3254"/>
    <w:rsid w:val="001B3DB7"/>
    <w:rsid w:val="001B4A18"/>
    <w:rsid w:val="001B4B29"/>
    <w:rsid w:val="001B4EFB"/>
    <w:rsid w:val="001B675F"/>
    <w:rsid w:val="001C030B"/>
    <w:rsid w:val="001C1C95"/>
    <w:rsid w:val="001C23BB"/>
    <w:rsid w:val="001C2688"/>
    <w:rsid w:val="001C29F0"/>
    <w:rsid w:val="001C44A6"/>
    <w:rsid w:val="001C4F22"/>
    <w:rsid w:val="001C4F3B"/>
    <w:rsid w:val="001C5402"/>
    <w:rsid w:val="001C56C3"/>
    <w:rsid w:val="001C5D45"/>
    <w:rsid w:val="001C683E"/>
    <w:rsid w:val="001D34B0"/>
    <w:rsid w:val="001D393C"/>
    <w:rsid w:val="001D40AA"/>
    <w:rsid w:val="001D4307"/>
    <w:rsid w:val="001D4505"/>
    <w:rsid w:val="001D4B61"/>
    <w:rsid w:val="001D5C2A"/>
    <w:rsid w:val="001D7903"/>
    <w:rsid w:val="001E23B8"/>
    <w:rsid w:val="001E2CD5"/>
    <w:rsid w:val="001E2E02"/>
    <w:rsid w:val="001E3462"/>
    <w:rsid w:val="001E5DE9"/>
    <w:rsid w:val="001E60E2"/>
    <w:rsid w:val="001E6D1D"/>
    <w:rsid w:val="001E7A70"/>
    <w:rsid w:val="001E7B40"/>
    <w:rsid w:val="001E7C08"/>
    <w:rsid w:val="001F0173"/>
    <w:rsid w:val="001F077E"/>
    <w:rsid w:val="001F1215"/>
    <w:rsid w:val="001F13B9"/>
    <w:rsid w:val="001F177A"/>
    <w:rsid w:val="001F249C"/>
    <w:rsid w:val="001F349B"/>
    <w:rsid w:val="001F38F2"/>
    <w:rsid w:val="001F4CA2"/>
    <w:rsid w:val="001F4D87"/>
    <w:rsid w:val="001F51A8"/>
    <w:rsid w:val="001F54AD"/>
    <w:rsid w:val="001F58D1"/>
    <w:rsid w:val="001F6624"/>
    <w:rsid w:val="001F6EFF"/>
    <w:rsid w:val="001F70D9"/>
    <w:rsid w:val="001F7266"/>
    <w:rsid w:val="001F7283"/>
    <w:rsid w:val="001F748B"/>
    <w:rsid w:val="002000FC"/>
    <w:rsid w:val="00200B0F"/>
    <w:rsid w:val="00200E70"/>
    <w:rsid w:val="00201360"/>
    <w:rsid w:val="002013D7"/>
    <w:rsid w:val="00202475"/>
    <w:rsid w:val="00202A8C"/>
    <w:rsid w:val="0020370C"/>
    <w:rsid w:val="00204032"/>
    <w:rsid w:val="00204DCF"/>
    <w:rsid w:val="0020581C"/>
    <w:rsid w:val="00205A1F"/>
    <w:rsid w:val="00205D88"/>
    <w:rsid w:val="00206AE9"/>
    <w:rsid w:val="0020722D"/>
    <w:rsid w:val="0021150E"/>
    <w:rsid w:val="00211593"/>
    <w:rsid w:val="002117D9"/>
    <w:rsid w:val="00212E96"/>
    <w:rsid w:val="00213143"/>
    <w:rsid w:val="00213816"/>
    <w:rsid w:val="00213883"/>
    <w:rsid w:val="00213ACF"/>
    <w:rsid w:val="00213FE8"/>
    <w:rsid w:val="00214BD6"/>
    <w:rsid w:val="00215F99"/>
    <w:rsid w:val="002160B5"/>
    <w:rsid w:val="00216370"/>
    <w:rsid w:val="00217BDA"/>
    <w:rsid w:val="00217D0A"/>
    <w:rsid w:val="00220A18"/>
    <w:rsid w:val="00221E5D"/>
    <w:rsid w:val="002220B5"/>
    <w:rsid w:val="00223C9A"/>
    <w:rsid w:val="00223D4D"/>
    <w:rsid w:val="002240AA"/>
    <w:rsid w:val="00225173"/>
    <w:rsid w:val="00225223"/>
    <w:rsid w:val="0022555E"/>
    <w:rsid w:val="00225719"/>
    <w:rsid w:val="00225BE6"/>
    <w:rsid w:val="00226469"/>
    <w:rsid w:val="00227C56"/>
    <w:rsid w:val="00227D9A"/>
    <w:rsid w:val="00231061"/>
    <w:rsid w:val="002312B9"/>
    <w:rsid w:val="0023178A"/>
    <w:rsid w:val="00232C63"/>
    <w:rsid w:val="00233798"/>
    <w:rsid w:val="00234ACD"/>
    <w:rsid w:val="00234B5E"/>
    <w:rsid w:val="00234C26"/>
    <w:rsid w:val="00234CCB"/>
    <w:rsid w:val="00234FAE"/>
    <w:rsid w:val="00234FFC"/>
    <w:rsid w:val="00235814"/>
    <w:rsid w:val="00235FFF"/>
    <w:rsid w:val="00237AC4"/>
    <w:rsid w:val="00237BB3"/>
    <w:rsid w:val="00237E2C"/>
    <w:rsid w:val="0024060D"/>
    <w:rsid w:val="0024152D"/>
    <w:rsid w:val="00242AD3"/>
    <w:rsid w:val="00242E11"/>
    <w:rsid w:val="00243F0E"/>
    <w:rsid w:val="0024401D"/>
    <w:rsid w:val="00245119"/>
    <w:rsid w:val="002464AA"/>
    <w:rsid w:val="00247019"/>
    <w:rsid w:val="00247D78"/>
    <w:rsid w:val="00250945"/>
    <w:rsid w:val="00250EF0"/>
    <w:rsid w:val="0025172F"/>
    <w:rsid w:val="00252529"/>
    <w:rsid w:val="0025283B"/>
    <w:rsid w:val="00252999"/>
    <w:rsid w:val="002530C7"/>
    <w:rsid w:val="002535A4"/>
    <w:rsid w:val="002559D9"/>
    <w:rsid w:val="00255AD3"/>
    <w:rsid w:val="00256459"/>
    <w:rsid w:val="00256E22"/>
    <w:rsid w:val="00257565"/>
    <w:rsid w:val="0025784B"/>
    <w:rsid w:val="00257A6C"/>
    <w:rsid w:val="00260C9E"/>
    <w:rsid w:val="00261812"/>
    <w:rsid w:val="00262228"/>
    <w:rsid w:val="0026291D"/>
    <w:rsid w:val="002634D8"/>
    <w:rsid w:val="00263790"/>
    <w:rsid w:val="00263FB8"/>
    <w:rsid w:val="00264125"/>
    <w:rsid w:val="00264D07"/>
    <w:rsid w:val="002653B2"/>
    <w:rsid w:val="0026540F"/>
    <w:rsid w:val="00266C6C"/>
    <w:rsid w:val="002676A4"/>
    <w:rsid w:val="00267E52"/>
    <w:rsid w:val="00270F8D"/>
    <w:rsid w:val="002716B0"/>
    <w:rsid w:val="00272103"/>
    <w:rsid w:val="00272430"/>
    <w:rsid w:val="00272B68"/>
    <w:rsid w:val="0027300E"/>
    <w:rsid w:val="002731F6"/>
    <w:rsid w:val="00273D95"/>
    <w:rsid w:val="00274A14"/>
    <w:rsid w:val="00275DEC"/>
    <w:rsid w:val="00276DF3"/>
    <w:rsid w:val="00277F59"/>
    <w:rsid w:val="002815CB"/>
    <w:rsid w:val="0028298B"/>
    <w:rsid w:val="00282A01"/>
    <w:rsid w:val="0028362B"/>
    <w:rsid w:val="00283897"/>
    <w:rsid w:val="00283A7B"/>
    <w:rsid w:val="00284AF7"/>
    <w:rsid w:val="00284B33"/>
    <w:rsid w:val="00284E38"/>
    <w:rsid w:val="00285E9F"/>
    <w:rsid w:val="002875B9"/>
    <w:rsid w:val="002876F0"/>
    <w:rsid w:val="00287CD3"/>
    <w:rsid w:val="00287F52"/>
    <w:rsid w:val="002902F8"/>
    <w:rsid w:val="00290314"/>
    <w:rsid w:val="0029054A"/>
    <w:rsid w:val="0029172C"/>
    <w:rsid w:val="00291D7A"/>
    <w:rsid w:val="0029255F"/>
    <w:rsid w:val="00292B33"/>
    <w:rsid w:val="002932E7"/>
    <w:rsid w:val="00293A54"/>
    <w:rsid w:val="00294650"/>
    <w:rsid w:val="00295CDF"/>
    <w:rsid w:val="002970C5"/>
    <w:rsid w:val="002A151E"/>
    <w:rsid w:val="002A1C36"/>
    <w:rsid w:val="002A1C8E"/>
    <w:rsid w:val="002A1E3C"/>
    <w:rsid w:val="002A2452"/>
    <w:rsid w:val="002A25AE"/>
    <w:rsid w:val="002A4BC0"/>
    <w:rsid w:val="002A5057"/>
    <w:rsid w:val="002A50F8"/>
    <w:rsid w:val="002A5345"/>
    <w:rsid w:val="002A5CBF"/>
    <w:rsid w:val="002A65BA"/>
    <w:rsid w:val="002A777F"/>
    <w:rsid w:val="002B0298"/>
    <w:rsid w:val="002B2429"/>
    <w:rsid w:val="002B32BA"/>
    <w:rsid w:val="002B402E"/>
    <w:rsid w:val="002B4140"/>
    <w:rsid w:val="002B4932"/>
    <w:rsid w:val="002B5DD1"/>
    <w:rsid w:val="002B68BB"/>
    <w:rsid w:val="002B6F9A"/>
    <w:rsid w:val="002B7699"/>
    <w:rsid w:val="002B7775"/>
    <w:rsid w:val="002B7F6D"/>
    <w:rsid w:val="002C0019"/>
    <w:rsid w:val="002C192D"/>
    <w:rsid w:val="002C19AE"/>
    <w:rsid w:val="002C23D4"/>
    <w:rsid w:val="002C27D6"/>
    <w:rsid w:val="002C2A2C"/>
    <w:rsid w:val="002C2AFA"/>
    <w:rsid w:val="002C3163"/>
    <w:rsid w:val="002C3622"/>
    <w:rsid w:val="002C367E"/>
    <w:rsid w:val="002C3814"/>
    <w:rsid w:val="002C399C"/>
    <w:rsid w:val="002C478D"/>
    <w:rsid w:val="002C500D"/>
    <w:rsid w:val="002C53FD"/>
    <w:rsid w:val="002C554C"/>
    <w:rsid w:val="002C5AFA"/>
    <w:rsid w:val="002C5DE3"/>
    <w:rsid w:val="002C6D05"/>
    <w:rsid w:val="002C6D65"/>
    <w:rsid w:val="002C6EC4"/>
    <w:rsid w:val="002D0A1E"/>
    <w:rsid w:val="002D1E20"/>
    <w:rsid w:val="002D1E5B"/>
    <w:rsid w:val="002D1F7C"/>
    <w:rsid w:val="002D201B"/>
    <w:rsid w:val="002D2A77"/>
    <w:rsid w:val="002D2B2B"/>
    <w:rsid w:val="002D3D3A"/>
    <w:rsid w:val="002D3DF8"/>
    <w:rsid w:val="002D4AB2"/>
    <w:rsid w:val="002D6AC6"/>
    <w:rsid w:val="002D6B35"/>
    <w:rsid w:val="002D6F3C"/>
    <w:rsid w:val="002D747B"/>
    <w:rsid w:val="002D78AB"/>
    <w:rsid w:val="002E0978"/>
    <w:rsid w:val="002E1013"/>
    <w:rsid w:val="002E1214"/>
    <w:rsid w:val="002E23EE"/>
    <w:rsid w:val="002E2EBE"/>
    <w:rsid w:val="002E2EF0"/>
    <w:rsid w:val="002E30A8"/>
    <w:rsid w:val="002E3764"/>
    <w:rsid w:val="002E3A03"/>
    <w:rsid w:val="002E4464"/>
    <w:rsid w:val="002E65B6"/>
    <w:rsid w:val="002E6D4C"/>
    <w:rsid w:val="002F07F6"/>
    <w:rsid w:val="002F0FF8"/>
    <w:rsid w:val="002F283B"/>
    <w:rsid w:val="002F2A2C"/>
    <w:rsid w:val="002F31A8"/>
    <w:rsid w:val="002F35C7"/>
    <w:rsid w:val="002F4808"/>
    <w:rsid w:val="002F4E5A"/>
    <w:rsid w:val="002F51DB"/>
    <w:rsid w:val="002F5C85"/>
    <w:rsid w:val="002F648E"/>
    <w:rsid w:val="002F6AE0"/>
    <w:rsid w:val="002F6BFD"/>
    <w:rsid w:val="002F6C96"/>
    <w:rsid w:val="002F777C"/>
    <w:rsid w:val="002F7DB8"/>
    <w:rsid w:val="002F7FA4"/>
    <w:rsid w:val="00300450"/>
    <w:rsid w:val="003028CC"/>
    <w:rsid w:val="00302C53"/>
    <w:rsid w:val="00303096"/>
    <w:rsid w:val="0030381D"/>
    <w:rsid w:val="00304A1A"/>
    <w:rsid w:val="00304C8E"/>
    <w:rsid w:val="00306D7B"/>
    <w:rsid w:val="00310260"/>
    <w:rsid w:val="00310B4C"/>
    <w:rsid w:val="0031192B"/>
    <w:rsid w:val="003125A0"/>
    <w:rsid w:val="003127A2"/>
    <w:rsid w:val="00315648"/>
    <w:rsid w:val="0031619B"/>
    <w:rsid w:val="0031676E"/>
    <w:rsid w:val="00317762"/>
    <w:rsid w:val="0031794D"/>
    <w:rsid w:val="00317F78"/>
    <w:rsid w:val="00317FA0"/>
    <w:rsid w:val="003203B3"/>
    <w:rsid w:val="00320DD1"/>
    <w:rsid w:val="00321D05"/>
    <w:rsid w:val="003225CC"/>
    <w:rsid w:val="00322866"/>
    <w:rsid w:val="00322CC8"/>
    <w:rsid w:val="00324137"/>
    <w:rsid w:val="003243F8"/>
    <w:rsid w:val="00325485"/>
    <w:rsid w:val="0032577E"/>
    <w:rsid w:val="00325D08"/>
    <w:rsid w:val="00326572"/>
    <w:rsid w:val="00326C75"/>
    <w:rsid w:val="00327B79"/>
    <w:rsid w:val="0033000C"/>
    <w:rsid w:val="0033118A"/>
    <w:rsid w:val="00331AD8"/>
    <w:rsid w:val="00331FA7"/>
    <w:rsid w:val="00332DB7"/>
    <w:rsid w:val="00333088"/>
    <w:rsid w:val="0033348D"/>
    <w:rsid w:val="0033383B"/>
    <w:rsid w:val="00333937"/>
    <w:rsid w:val="00333FA2"/>
    <w:rsid w:val="003340A4"/>
    <w:rsid w:val="003356E3"/>
    <w:rsid w:val="00335766"/>
    <w:rsid w:val="0033647F"/>
    <w:rsid w:val="00337569"/>
    <w:rsid w:val="00341A68"/>
    <w:rsid w:val="00342AF4"/>
    <w:rsid w:val="00342BDB"/>
    <w:rsid w:val="00343045"/>
    <w:rsid w:val="00343432"/>
    <w:rsid w:val="00343A36"/>
    <w:rsid w:val="0034478A"/>
    <w:rsid w:val="00344DBB"/>
    <w:rsid w:val="003451CF"/>
    <w:rsid w:val="0034699D"/>
    <w:rsid w:val="00347E89"/>
    <w:rsid w:val="003506DC"/>
    <w:rsid w:val="00352483"/>
    <w:rsid w:val="00352574"/>
    <w:rsid w:val="003528C0"/>
    <w:rsid w:val="00352CD6"/>
    <w:rsid w:val="00353FFF"/>
    <w:rsid w:val="00354BC5"/>
    <w:rsid w:val="0035533C"/>
    <w:rsid w:val="00356A15"/>
    <w:rsid w:val="00356BD1"/>
    <w:rsid w:val="00356D17"/>
    <w:rsid w:val="00360BB9"/>
    <w:rsid w:val="00361143"/>
    <w:rsid w:val="003622AB"/>
    <w:rsid w:val="003622BE"/>
    <w:rsid w:val="0036255A"/>
    <w:rsid w:val="0036341D"/>
    <w:rsid w:val="0036363B"/>
    <w:rsid w:val="00363BB8"/>
    <w:rsid w:val="003648B6"/>
    <w:rsid w:val="00364C46"/>
    <w:rsid w:val="0036613C"/>
    <w:rsid w:val="0036744D"/>
    <w:rsid w:val="00367723"/>
    <w:rsid w:val="0037139E"/>
    <w:rsid w:val="00371405"/>
    <w:rsid w:val="003728A5"/>
    <w:rsid w:val="00373544"/>
    <w:rsid w:val="00373E35"/>
    <w:rsid w:val="00374320"/>
    <w:rsid w:val="0037548D"/>
    <w:rsid w:val="00375DAA"/>
    <w:rsid w:val="00377247"/>
    <w:rsid w:val="003778BE"/>
    <w:rsid w:val="0038036A"/>
    <w:rsid w:val="0038056F"/>
    <w:rsid w:val="003820F8"/>
    <w:rsid w:val="0038340B"/>
    <w:rsid w:val="003849CF"/>
    <w:rsid w:val="003852D9"/>
    <w:rsid w:val="0038533B"/>
    <w:rsid w:val="00385887"/>
    <w:rsid w:val="00386044"/>
    <w:rsid w:val="0038641D"/>
    <w:rsid w:val="00386959"/>
    <w:rsid w:val="00386F80"/>
    <w:rsid w:val="003879D4"/>
    <w:rsid w:val="00387A45"/>
    <w:rsid w:val="00387B62"/>
    <w:rsid w:val="003902EA"/>
    <w:rsid w:val="00390F38"/>
    <w:rsid w:val="00391F20"/>
    <w:rsid w:val="003923C6"/>
    <w:rsid w:val="00392F9E"/>
    <w:rsid w:val="00393317"/>
    <w:rsid w:val="0039361F"/>
    <w:rsid w:val="00393A13"/>
    <w:rsid w:val="00394519"/>
    <w:rsid w:val="0039616C"/>
    <w:rsid w:val="00396393"/>
    <w:rsid w:val="003969C4"/>
    <w:rsid w:val="00396EB6"/>
    <w:rsid w:val="00396EE2"/>
    <w:rsid w:val="00397611"/>
    <w:rsid w:val="003977B1"/>
    <w:rsid w:val="00397FAC"/>
    <w:rsid w:val="003A03F7"/>
    <w:rsid w:val="003A06EE"/>
    <w:rsid w:val="003A0BB3"/>
    <w:rsid w:val="003A0E62"/>
    <w:rsid w:val="003A0FDE"/>
    <w:rsid w:val="003A1E0C"/>
    <w:rsid w:val="003A1FB0"/>
    <w:rsid w:val="003A2135"/>
    <w:rsid w:val="003A2905"/>
    <w:rsid w:val="003A2AEC"/>
    <w:rsid w:val="003A2BAC"/>
    <w:rsid w:val="003A4249"/>
    <w:rsid w:val="003A4F09"/>
    <w:rsid w:val="003A642E"/>
    <w:rsid w:val="003A64B1"/>
    <w:rsid w:val="003A66E2"/>
    <w:rsid w:val="003A6C6D"/>
    <w:rsid w:val="003A7A84"/>
    <w:rsid w:val="003B052C"/>
    <w:rsid w:val="003B0FA5"/>
    <w:rsid w:val="003B10A7"/>
    <w:rsid w:val="003B1463"/>
    <w:rsid w:val="003B209E"/>
    <w:rsid w:val="003B258F"/>
    <w:rsid w:val="003B4FAF"/>
    <w:rsid w:val="003B5BF7"/>
    <w:rsid w:val="003B5CA5"/>
    <w:rsid w:val="003B66E2"/>
    <w:rsid w:val="003B66EF"/>
    <w:rsid w:val="003B7575"/>
    <w:rsid w:val="003C0FB3"/>
    <w:rsid w:val="003C1545"/>
    <w:rsid w:val="003C196F"/>
    <w:rsid w:val="003C250E"/>
    <w:rsid w:val="003C25AA"/>
    <w:rsid w:val="003C29DC"/>
    <w:rsid w:val="003C3015"/>
    <w:rsid w:val="003C3F9D"/>
    <w:rsid w:val="003C41B4"/>
    <w:rsid w:val="003C4501"/>
    <w:rsid w:val="003C60E3"/>
    <w:rsid w:val="003C6B89"/>
    <w:rsid w:val="003C7984"/>
    <w:rsid w:val="003C7E73"/>
    <w:rsid w:val="003D033A"/>
    <w:rsid w:val="003D172C"/>
    <w:rsid w:val="003D1CE6"/>
    <w:rsid w:val="003D1F2C"/>
    <w:rsid w:val="003D297A"/>
    <w:rsid w:val="003D4A6B"/>
    <w:rsid w:val="003D5E28"/>
    <w:rsid w:val="003D60A4"/>
    <w:rsid w:val="003D669A"/>
    <w:rsid w:val="003D6B31"/>
    <w:rsid w:val="003D71E0"/>
    <w:rsid w:val="003D795D"/>
    <w:rsid w:val="003D7EBC"/>
    <w:rsid w:val="003E080C"/>
    <w:rsid w:val="003E1894"/>
    <w:rsid w:val="003E1C8D"/>
    <w:rsid w:val="003E392E"/>
    <w:rsid w:val="003E3EDD"/>
    <w:rsid w:val="003E5FE4"/>
    <w:rsid w:val="003E6A15"/>
    <w:rsid w:val="003E75E5"/>
    <w:rsid w:val="003E785B"/>
    <w:rsid w:val="003E7A4B"/>
    <w:rsid w:val="003F010C"/>
    <w:rsid w:val="003F0ED1"/>
    <w:rsid w:val="003F1450"/>
    <w:rsid w:val="003F1503"/>
    <w:rsid w:val="003F1C8D"/>
    <w:rsid w:val="003F1F69"/>
    <w:rsid w:val="003F2176"/>
    <w:rsid w:val="003F2408"/>
    <w:rsid w:val="003F2A18"/>
    <w:rsid w:val="003F2B0B"/>
    <w:rsid w:val="003F4397"/>
    <w:rsid w:val="003F459C"/>
    <w:rsid w:val="003F46C0"/>
    <w:rsid w:val="003F485D"/>
    <w:rsid w:val="003F4AB0"/>
    <w:rsid w:val="003F4D96"/>
    <w:rsid w:val="003F4F2B"/>
    <w:rsid w:val="003F5005"/>
    <w:rsid w:val="003F5459"/>
    <w:rsid w:val="003F5D9D"/>
    <w:rsid w:val="003F5DD4"/>
    <w:rsid w:val="003F6412"/>
    <w:rsid w:val="003F6749"/>
    <w:rsid w:val="003F69EA"/>
    <w:rsid w:val="003F7865"/>
    <w:rsid w:val="003F7A6F"/>
    <w:rsid w:val="00400861"/>
    <w:rsid w:val="00401405"/>
    <w:rsid w:val="004017AC"/>
    <w:rsid w:val="00402046"/>
    <w:rsid w:val="004026BE"/>
    <w:rsid w:val="004032EC"/>
    <w:rsid w:val="004035DC"/>
    <w:rsid w:val="00403AF2"/>
    <w:rsid w:val="00403B54"/>
    <w:rsid w:val="00403FAA"/>
    <w:rsid w:val="0040406D"/>
    <w:rsid w:val="00404807"/>
    <w:rsid w:val="00407634"/>
    <w:rsid w:val="0040767C"/>
    <w:rsid w:val="004077C1"/>
    <w:rsid w:val="00407A2C"/>
    <w:rsid w:val="0041030B"/>
    <w:rsid w:val="004103E9"/>
    <w:rsid w:val="0041172F"/>
    <w:rsid w:val="00411A56"/>
    <w:rsid w:val="00412071"/>
    <w:rsid w:val="00412F23"/>
    <w:rsid w:val="00413155"/>
    <w:rsid w:val="004134EB"/>
    <w:rsid w:val="004138D0"/>
    <w:rsid w:val="004146F7"/>
    <w:rsid w:val="004154D7"/>
    <w:rsid w:val="00416C96"/>
    <w:rsid w:val="004175ED"/>
    <w:rsid w:val="00417A01"/>
    <w:rsid w:val="00420236"/>
    <w:rsid w:val="00420A9B"/>
    <w:rsid w:val="00420BF5"/>
    <w:rsid w:val="004218F8"/>
    <w:rsid w:val="004220DF"/>
    <w:rsid w:val="00422806"/>
    <w:rsid w:val="00423996"/>
    <w:rsid w:val="00423A01"/>
    <w:rsid w:val="004257A0"/>
    <w:rsid w:val="00425F56"/>
    <w:rsid w:val="0042603F"/>
    <w:rsid w:val="00426A8D"/>
    <w:rsid w:val="00426D84"/>
    <w:rsid w:val="00426F5D"/>
    <w:rsid w:val="00427F94"/>
    <w:rsid w:val="0043178F"/>
    <w:rsid w:val="00431807"/>
    <w:rsid w:val="00432133"/>
    <w:rsid w:val="0043269D"/>
    <w:rsid w:val="00432A74"/>
    <w:rsid w:val="004333B6"/>
    <w:rsid w:val="00433668"/>
    <w:rsid w:val="004336DB"/>
    <w:rsid w:val="00433AF4"/>
    <w:rsid w:val="00433EDF"/>
    <w:rsid w:val="00435428"/>
    <w:rsid w:val="00435EE1"/>
    <w:rsid w:val="00436393"/>
    <w:rsid w:val="004367A1"/>
    <w:rsid w:val="00436B77"/>
    <w:rsid w:val="0044239C"/>
    <w:rsid w:val="0044244B"/>
    <w:rsid w:val="00443833"/>
    <w:rsid w:val="0044390F"/>
    <w:rsid w:val="0044430F"/>
    <w:rsid w:val="0044609D"/>
    <w:rsid w:val="004464E5"/>
    <w:rsid w:val="004465BE"/>
    <w:rsid w:val="004466ED"/>
    <w:rsid w:val="0044698F"/>
    <w:rsid w:val="00446EAC"/>
    <w:rsid w:val="004479EA"/>
    <w:rsid w:val="00451223"/>
    <w:rsid w:val="00451395"/>
    <w:rsid w:val="00451BDC"/>
    <w:rsid w:val="00451D7A"/>
    <w:rsid w:val="004522BA"/>
    <w:rsid w:val="004522BF"/>
    <w:rsid w:val="00452333"/>
    <w:rsid w:val="0045392A"/>
    <w:rsid w:val="004539EE"/>
    <w:rsid w:val="00454611"/>
    <w:rsid w:val="00455945"/>
    <w:rsid w:val="00455C7F"/>
    <w:rsid w:val="00455FD8"/>
    <w:rsid w:val="004566F7"/>
    <w:rsid w:val="00456AE3"/>
    <w:rsid w:val="00456FFD"/>
    <w:rsid w:val="00457780"/>
    <w:rsid w:val="00460E08"/>
    <w:rsid w:val="004615F2"/>
    <w:rsid w:val="004622D4"/>
    <w:rsid w:val="004628DD"/>
    <w:rsid w:val="00462A2C"/>
    <w:rsid w:val="00463077"/>
    <w:rsid w:val="00463A45"/>
    <w:rsid w:val="00463D9C"/>
    <w:rsid w:val="004641C7"/>
    <w:rsid w:val="0046480E"/>
    <w:rsid w:val="00466343"/>
    <w:rsid w:val="00466A92"/>
    <w:rsid w:val="00467187"/>
    <w:rsid w:val="0046725F"/>
    <w:rsid w:val="00467466"/>
    <w:rsid w:val="0046787B"/>
    <w:rsid w:val="00467E39"/>
    <w:rsid w:val="004713FB"/>
    <w:rsid w:val="00471AAE"/>
    <w:rsid w:val="004722BF"/>
    <w:rsid w:val="0047377A"/>
    <w:rsid w:val="00473B48"/>
    <w:rsid w:val="00474A33"/>
    <w:rsid w:val="00474C66"/>
    <w:rsid w:val="00475388"/>
    <w:rsid w:val="004771F4"/>
    <w:rsid w:val="00477660"/>
    <w:rsid w:val="0047781F"/>
    <w:rsid w:val="00477BA3"/>
    <w:rsid w:val="00477DC0"/>
    <w:rsid w:val="00477DFE"/>
    <w:rsid w:val="00480383"/>
    <w:rsid w:val="00481134"/>
    <w:rsid w:val="00481485"/>
    <w:rsid w:val="00481B03"/>
    <w:rsid w:val="00481B6F"/>
    <w:rsid w:val="0048237D"/>
    <w:rsid w:val="00482C2A"/>
    <w:rsid w:val="00483665"/>
    <w:rsid w:val="00483F0C"/>
    <w:rsid w:val="00484472"/>
    <w:rsid w:val="0048498C"/>
    <w:rsid w:val="00484DFA"/>
    <w:rsid w:val="004855F6"/>
    <w:rsid w:val="004856AA"/>
    <w:rsid w:val="004856FD"/>
    <w:rsid w:val="004859F8"/>
    <w:rsid w:val="004863C2"/>
    <w:rsid w:val="00486CC9"/>
    <w:rsid w:val="00487098"/>
    <w:rsid w:val="00487406"/>
    <w:rsid w:val="00487622"/>
    <w:rsid w:val="00487D03"/>
    <w:rsid w:val="00490A92"/>
    <w:rsid w:val="00490C38"/>
    <w:rsid w:val="004912A2"/>
    <w:rsid w:val="004918EE"/>
    <w:rsid w:val="00492B39"/>
    <w:rsid w:val="00494287"/>
    <w:rsid w:val="004948CF"/>
    <w:rsid w:val="00495BE7"/>
    <w:rsid w:val="00495F77"/>
    <w:rsid w:val="00496404"/>
    <w:rsid w:val="00497904"/>
    <w:rsid w:val="004A090E"/>
    <w:rsid w:val="004A1069"/>
    <w:rsid w:val="004A10FE"/>
    <w:rsid w:val="004A12EA"/>
    <w:rsid w:val="004A17DC"/>
    <w:rsid w:val="004A1AFB"/>
    <w:rsid w:val="004A1B5C"/>
    <w:rsid w:val="004A3023"/>
    <w:rsid w:val="004A3603"/>
    <w:rsid w:val="004A399C"/>
    <w:rsid w:val="004A3ACD"/>
    <w:rsid w:val="004A4A0D"/>
    <w:rsid w:val="004A4A81"/>
    <w:rsid w:val="004A717B"/>
    <w:rsid w:val="004A7CAF"/>
    <w:rsid w:val="004A7F28"/>
    <w:rsid w:val="004B13E9"/>
    <w:rsid w:val="004B2BDD"/>
    <w:rsid w:val="004B2D30"/>
    <w:rsid w:val="004B32B9"/>
    <w:rsid w:val="004B5245"/>
    <w:rsid w:val="004B5452"/>
    <w:rsid w:val="004B65FD"/>
    <w:rsid w:val="004B6940"/>
    <w:rsid w:val="004B6BC3"/>
    <w:rsid w:val="004C037B"/>
    <w:rsid w:val="004C0AB1"/>
    <w:rsid w:val="004C0DF2"/>
    <w:rsid w:val="004C1269"/>
    <w:rsid w:val="004C1449"/>
    <w:rsid w:val="004C152A"/>
    <w:rsid w:val="004C35BD"/>
    <w:rsid w:val="004C396F"/>
    <w:rsid w:val="004C3A95"/>
    <w:rsid w:val="004C3D30"/>
    <w:rsid w:val="004C4329"/>
    <w:rsid w:val="004C4A77"/>
    <w:rsid w:val="004C56D0"/>
    <w:rsid w:val="004C57F4"/>
    <w:rsid w:val="004C5CC6"/>
    <w:rsid w:val="004C6CE8"/>
    <w:rsid w:val="004C6EF7"/>
    <w:rsid w:val="004C7943"/>
    <w:rsid w:val="004D0055"/>
    <w:rsid w:val="004D0D2C"/>
    <w:rsid w:val="004D2A04"/>
    <w:rsid w:val="004D3EA6"/>
    <w:rsid w:val="004D4733"/>
    <w:rsid w:val="004D4902"/>
    <w:rsid w:val="004D54EF"/>
    <w:rsid w:val="004D5BA9"/>
    <w:rsid w:val="004D615B"/>
    <w:rsid w:val="004D619D"/>
    <w:rsid w:val="004D6294"/>
    <w:rsid w:val="004D646A"/>
    <w:rsid w:val="004D6F3C"/>
    <w:rsid w:val="004D7543"/>
    <w:rsid w:val="004D7753"/>
    <w:rsid w:val="004E06BE"/>
    <w:rsid w:val="004E09D5"/>
    <w:rsid w:val="004E0EDA"/>
    <w:rsid w:val="004E161F"/>
    <w:rsid w:val="004E1B7C"/>
    <w:rsid w:val="004E1DA2"/>
    <w:rsid w:val="004E243F"/>
    <w:rsid w:val="004E2DEC"/>
    <w:rsid w:val="004E30AE"/>
    <w:rsid w:val="004E3EB9"/>
    <w:rsid w:val="004E3FA0"/>
    <w:rsid w:val="004E47FC"/>
    <w:rsid w:val="004E51FB"/>
    <w:rsid w:val="004E6C1F"/>
    <w:rsid w:val="004E712E"/>
    <w:rsid w:val="004E7230"/>
    <w:rsid w:val="004F04F6"/>
    <w:rsid w:val="004F096E"/>
    <w:rsid w:val="004F30BC"/>
    <w:rsid w:val="004F36D4"/>
    <w:rsid w:val="004F3D3C"/>
    <w:rsid w:val="004F5175"/>
    <w:rsid w:val="004F5329"/>
    <w:rsid w:val="004F6301"/>
    <w:rsid w:val="004F6D70"/>
    <w:rsid w:val="004F6E6F"/>
    <w:rsid w:val="004F71D5"/>
    <w:rsid w:val="00500102"/>
    <w:rsid w:val="0050049A"/>
    <w:rsid w:val="00500529"/>
    <w:rsid w:val="005008F6"/>
    <w:rsid w:val="00502303"/>
    <w:rsid w:val="00503B1F"/>
    <w:rsid w:val="00503C62"/>
    <w:rsid w:val="005043B6"/>
    <w:rsid w:val="00504505"/>
    <w:rsid w:val="0050463F"/>
    <w:rsid w:val="0050482A"/>
    <w:rsid w:val="00504C46"/>
    <w:rsid w:val="00504D72"/>
    <w:rsid w:val="005054D4"/>
    <w:rsid w:val="00505781"/>
    <w:rsid w:val="00505A7F"/>
    <w:rsid w:val="005063B8"/>
    <w:rsid w:val="0050709B"/>
    <w:rsid w:val="00507678"/>
    <w:rsid w:val="00507ECA"/>
    <w:rsid w:val="005100E0"/>
    <w:rsid w:val="00510127"/>
    <w:rsid w:val="005107E7"/>
    <w:rsid w:val="00510A55"/>
    <w:rsid w:val="005111AB"/>
    <w:rsid w:val="005111B8"/>
    <w:rsid w:val="00511BFE"/>
    <w:rsid w:val="00512ADF"/>
    <w:rsid w:val="00513525"/>
    <w:rsid w:val="00514C97"/>
    <w:rsid w:val="00514CB1"/>
    <w:rsid w:val="00514DAE"/>
    <w:rsid w:val="005150B7"/>
    <w:rsid w:val="005159E4"/>
    <w:rsid w:val="00515CC0"/>
    <w:rsid w:val="00516F08"/>
    <w:rsid w:val="00517288"/>
    <w:rsid w:val="0051764E"/>
    <w:rsid w:val="00521BE4"/>
    <w:rsid w:val="00522663"/>
    <w:rsid w:val="00522AB8"/>
    <w:rsid w:val="00522BB4"/>
    <w:rsid w:val="00522DED"/>
    <w:rsid w:val="00522FB3"/>
    <w:rsid w:val="0052465B"/>
    <w:rsid w:val="005247C6"/>
    <w:rsid w:val="005270AE"/>
    <w:rsid w:val="005279CA"/>
    <w:rsid w:val="005309BE"/>
    <w:rsid w:val="00530DDE"/>
    <w:rsid w:val="005315E6"/>
    <w:rsid w:val="005318F2"/>
    <w:rsid w:val="0053210F"/>
    <w:rsid w:val="00533DFB"/>
    <w:rsid w:val="00533E62"/>
    <w:rsid w:val="0053533D"/>
    <w:rsid w:val="00536D72"/>
    <w:rsid w:val="00537394"/>
    <w:rsid w:val="00540425"/>
    <w:rsid w:val="00540E92"/>
    <w:rsid w:val="00541CC8"/>
    <w:rsid w:val="00541FCA"/>
    <w:rsid w:val="0054383C"/>
    <w:rsid w:val="005438DD"/>
    <w:rsid w:val="00543DB1"/>
    <w:rsid w:val="005444F4"/>
    <w:rsid w:val="005448B8"/>
    <w:rsid w:val="0054679A"/>
    <w:rsid w:val="00547532"/>
    <w:rsid w:val="00547762"/>
    <w:rsid w:val="0055040F"/>
    <w:rsid w:val="00551AEB"/>
    <w:rsid w:val="005527D8"/>
    <w:rsid w:val="00552CC7"/>
    <w:rsid w:val="005533B1"/>
    <w:rsid w:val="005539AE"/>
    <w:rsid w:val="00554517"/>
    <w:rsid w:val="00555153"/>
    <w:rsid w:val="005562B3"/>
    <w:rsid w:val="00556867"/>
    <w:rsid w:val="005574C8"/>
    <w:rsid w:val="00560E76"/>
    <w:rsid w:val="005614C3"/>
    <w:rsid w:val="00562129"/>
    <w:rsid w:val="00563374"/>
    <w:rsid w:val="005634C3"/>
    <w:rsid w:val="005634FD"/>
    <w:rsid w:val="00563DA8"/>
    <w:rsid w:val="00564989"/>
    <w:rsid w:val="00565142"/>
    <w:rsid w:val="00565317"/>
    <w:rsid w:val="005656FC"/>
    <w:rsid w:val="005669AF"/>
    <w:rsid w:val="00570640"/>
    <w:rsid w:val="0057067F"/>
    <w:rsid w:val="00570722"/>
    <w:rsid w:val="00570AD2"/>
    <w:rsid w:val="005714B3"/>
    <w:rsid w:val="00571CD0"/>
    <w:rsid w:val="00571D93"/>
    <w:rsid w:val="00571F07"/>
    <w:rsid w:val="00572478"/>
    <w:rsid w:val="00573295"/>
    <w:rsid w:val="0057359A"/>
    <w:rsid w:val="00575356"/>
    <w:rsid w:val="00575719"/>
    <w:rsid w:val="005761C0"/>
    <w:rsid w:val="00577105"/>
    <w:rsid w:val="005778F8"/>
    <w:rsid w:val="00582288"/>
    <w:rsid w:val="005826A8"/>
    <w:rsid w:val="005835FD"/>
    <w:rsid w:val="005836E7"/>
    <w:rsid w:val="0058570F"/>
    <w:rsid w:val="00587021"/>
    <w:rsid w:val="00587899"/>
    <w:rsid w:val="005904D7"/>
    <w:rsid w:val="00590E89"/>
    <w:rsid w:val="00591A5B"/>
    <w:rsid w:val="00591D6B"/>
    <w:rsid w:val="00591E8C"/>
    <w:rsid w:val="005931D4"/>
    <w:rsid w:val="00593855"/>
    <w:rsid w:val="00593953"/>
    <w:rsid w:val="00593C74"/>
    <w:rsid w:val="0059413A"/>
    <w:rsid w:val="0059568F"/>
    <w:rsid w:val="00595BC2"/>
    <w:rsid w:val="00596D97"/>
    <w:rsid w:val="005A05F5"/>
    <w:rsid w:val="005A09FA"/>
    <w:rsid w:val="005A1125"/>
    <w:rsid w:val="005A15E3"/>
    <w:rsid w:val="005A2351"/>
    <w:rsid w:val="005A3117"/>
    <w:rsid w:val="005A4193"/>
    <w:rsid w:val="005A4429"/>
    <w:rsid w:val="005A44B2"/>
    <w:rsid w:val="005A4685"/>
    <w:rsid w:val="005A482B"/>
    <w:rsid w:val="005A4D51"/>
    <w:rsid w:val="005A5DC1"/>
    <w:rsid w:val="005A60AF"/>
    <w:rsid w:val="005A620F"/>
    <w:rsid w:val="005B0095"/>
    <w:rsid w:val="005B111C"/>
    <w:rsid w:val="005B13E7"/>
    <w:rsid w:val="005B1D87"/>
    <w:rsid w:val="005B2689"/>
    <w:rsid w:val="005B2A3A"/>
    <w:rsid w:val="005B2FF4"/>
    <w:rsid w:val="005B304D"/>
    <w:rsid w:val="005B30CB"/>
    <w:rsid w:val="005B33CC"/>
    <w:rsid w:val="005B46E4"/>
    <w:rsid w:val="005B4894"/>
    <w:rsid w:val="005B544D"/>
    <w:rsid w:val="005B5CB9"/>
    <w:rsid w:val="005B6833"/>
    <w:rsid w:val="005C02A9"/>
    <w:rsid w:val="005C05C7"/>
    <w:rsid w:val="005C176B"/>
    <w:rsid w:val="005C213C"/>
    <w:rsid w:val="005C3C9E"/>
    <w:rsid w:val="005C3FD7"/>
    <w:rsid w:val="005C407C"/>
    <w:rsid w:val="005C4589"/>
    <w:rsid w:val="005C4F47"/>
    <w:rsid w:val="005C6216"/>
    <w:rsid w:val="005C6B7A"/>
    <w:rsid w:val="005C7701"/>
    <w:rsid w:val="005C7990"/>
    <w:rsid w:val="005C7A68"/>
    <w:rsid w:val="005D04FE"/>
    <w:rsid w:val="005D1169"/>
    <w:rsid w:val="005D17BC"/>
    <w:rsid w:val="005D1AC6"/>
    <w:rsid w:val="005D2CB1"/>
    <w:rsid w:val="005D2F58"/>
    <w:rsid w:val="005D6B4B"/>
    <w:rsid w:val="005D7196"/>
    <w:rsid w:val="005D7A4F"/>
    <w:rsid w:val="005D7BFC"/>
    <w:rsid w:val="005E0501"/>
    <w:rsid w:val="005E228D"/>
    <w:rsid w:val="005E2A1D"/>
    <w:rsid w:val="005E3799"/>
    <w:rsid w:val="005E3868"/>
    <w:rsid w:val="005E3F9C"/>
    <w:rsid w:val="005E50A4"/>
    <w:rsid w:val="005E756F"/>
    <w:rsid w:val="005E7E4D"/>
    <w:rsid w:val="005F0383"/>
    <w:rsid w:val="005F1FC7"/>
    <w:rsid w:val="005F20D1"/>
    <w:rsid w:val="005F2C90"/>
    <w:rsid w:val="005F3468"/>
    <w:rsid w:val="005F3C05"/>
    <w:rsid w:val="005F413C"/>
    <w:rsid w:val="005F49B8"/>
    <w:rsid w:val="005F49E1"/>
    <w:rsid w:val="005F4BBA"/>
    <w:rsid w:val="005F632D"/>
    <w:rsid w:val="005F750D"/>
    <w:rsid w:val="00600165"/>
    <w:rsid w:val="00601097"/>
    <w:rsid w:val="006013A2"/>
    <w:rsid w:val="006015E2"/>
    <w:rsid w:val="00602D59"/>
    <w:rsid w:val="0060399F"/>
    <w:rsid w:val="00603D0E"/>
    <w:rsid w:val="00604C67"/>
    <w:rsid w:val="00605A8B"/>
    <w:rsid w:val="00605F8F"/>
    <w:rsid w:val="00606873"/>
    <w:rsid w:val="006068E1"/>
    <w:rsid w:val="00606E31"/>
    <w:rsid w:val="0060733C"/>
    <w:rsid w:val="006078A2"/>
    <w:rsid w:val="00607A01"/>
    <w:rsid w:val="00607FC2"/>
    <w:rsid w:val="00610939"/>
    <w:rsid w:val="00610EEE"/>
    <w:rsid w:val="00611885"/>
    <w:rsid w:val="00611ABD"/>
    <w:rsid w:val="00611E65"/>
    <w:rsid w:val="00611FA1"/>
    <w:rsid w:val="00612E94"/>
    <w:rsid w:val="00613A73"/>
    <w:rsid w:val="00613FB3"/>
    <w:rsid w:val="0061415F"/>
    <w:rsid w:val="006157A5"/>
    <w:rsid w:val="0061591D"/>
    <w:rsid w:val="00615A51"/>
    <w:rsid w:val="00616D51"/>
    <w:rsid w:val="00620288"/>
    <w:rsid w:val="00620535"/>
    <w:rsid w:val="00620E74"/>
    <w:rsid w:val="00621906"/>
    <w:rsid w:val="00621AAA"/>
    <w:rsid w:val="00623574"/>
    <w:rsid w:val="006241F7"/>
    <w:rsid w:val="00624AF7"/>
    <w:rsid w:val="00624CF6"/>
    <w:rsid w:val="006253EF"/>
    <w:rsid w:val="006257CD"/>
    <w:rsid w:val="00625865"/>
    <w:rsid w:val="00625AC7"/>
    <w:rsid w:val="006267E5"/>
    <w:rsid w:val="00626938"/>
    <w:rsid w:val="00627F69"/>
    <w:rsid w:val="00630401"/>
    <w:rsid w:val="006307FE"/>
    <w:rsid w:val="00630CAC"/>
    <w:rsid w:val="006316E5"/>
    <w:rsid w:val="00632269"/>
    <w:rsid w:val="006323A5"/>
    <w:rsid w:val="00632D28"/>
    <w:rsid w:val="00633175"/>
    <w:rsid w:val="006337B2"/>
    <w:rsid w:val="00633D8E"/>
    <w:rsid w:val="00635664"/>
    <w:rsid w:val="00635A6C"/>
    <w:rsid w:val="00635AD1"/>
    <w:rsid w:val="006368E5"/>
    <w:rsid w:val="00637A99"/>
    <w:rsid w:val="00637D4F"/>
    <w:rsid w:val="006436D5"/>
    <w:rsid w:val="006438A6"/>
    <w:rsid w:val="006441C0"/>
    <w:rsid w:val="0064472B"/>
    <w:rsid w:val="00644C79"/>
    <w:rsid w:val="00644CD2"/>
    <w:rsid w:val="00645A84"/>
    <w:rsid w:val="00645ECE"/>
    <w:rsid w:val="00646CEB"/>
    <w:rsid w:val="00646FF9"/>
    <w:rsid w:val="006501C6"/>
    <w:rsid w:val="00650D68"/>
    <w:rsid w:val="00650E2B"/>
    <w:rsid w:val="006513FD"/>
    <w:rsid w:val="00651A3E"/>
    <w:rsid w:val="0065210C"/>
    <w:rsid w:val="006522D1"/>
    <w:rsid w:val="006526BF"/>
    <w:rsid w:val="0065277B"/>
    <w:rsid w:val="006529D2"/>
    <w:rsid w:val="00652A47"/>
    <w:rsid w:val="00653A10"/>
    <w:rsid w:val="006544E6"/>
    <w:rsid w:val="00654546"/>
    <w:rsid w:val="006549AB"/>
    <w:rsid w:val="00654B05"/>
    <w:rsid w:val="006557C3"/>
    <w:rsid w:val="0065648E"/>
    <w:rsid w:val="006577CC"/>
    <w:rsid w:val="006578D3"/>
    <w:rsid w:val="00660E0C"/>
    <w:rsid w:val="00661154"/>
    <w:rsid w:val="00661172"/>
    <w:rsid w:val="006616D1"/>
    <w:rsid w:val="00661A2A"/>
    <w:rsid w:val="00661C05"/>
    <w:rsid w:val="00662F41"/>
    <w:rsid w:val="006634DC"/>
    <w:rsid w:val="00664FFE"/>
    <w:rsid w:val="006667F4"/>
    <w:rsid w:val="00667DE2"/>
    <w:rsid w:val="00670980"/>
    <w:rsid w:val="00671062"/>
    <w:rsid w:val="00671E51"/>
    <w:rsid w:val="006720A3"/>
    <w:rsid w:val="00672663"/>
    <w:rsid w:val="00672CDF"/>
    <w:rsid w:val="00674257"/>
    <w:rsid w:val="00674516"/>
    <w:rsid w:val="00674790"/>
    <w:rsid w:val="0067571E"/>
    <w:rsid w:val="00676C9C"/>
    <w:rsid w:val="00677C01"/>
    <w:rsid w:val="00680AEE"/>
    <w:rsid w:val="0068182B"/>
    <w:rsid w:val="006832D9"/>
    <w:rsid w:val="00683589"/>
    <w:rsid w:val="00683E6F"/>
    <w:rsid w:val="006842AD"/>
    <w:rsid w:val="006845D7"/>
    <w:rsid w:val="00684A20"/>
    <w:rsid w:val="00684B35"/>
    <w:rsid w:val="006856AB"/>
    <w:rsid w:val="0068603A"/>
    <w:rsid w:val="00687F53"/>
    <w:rsid w:val="00691718"/>
    <w:rsid w:val="00691CE3"/>
    <w:rsid w:val="006926FB"/>
    <w:rsid w:val="00692C7A"/>
    <w:rsid w:val="00693124"/>
    <w:rsid w:val="006939D0"/>
    <w:rsid w:val="00694C3A"/>
    <w:rsid w:val="00696003"/>
    <w:rsid w:val="00696E83"/>
    <w:rsid w:val="00696F90"/>
    <w:rsid w:val="006A0D5F"/>
    <w:rsid w:val="006A100C"/>
    <w:rsid w:val="006A114A"/>
    <w:rsid w:val="006A19D1"/>
    <w:rsid w:val="006A27BD"/>
    <w:rsid w:val="006A3031"/>
    <w:rsid w:val="006A3629"/>
    <w:rsid w:val="006A423F"/>
    <w:rsid w:val="006A42BA"/>
    <w:rsid w:val="006A5A0E"/>
    <w:rsid w:val="006A619B"/>
    <w:rsid w:val="006A6E31"/>
    <w:rsid w:val="006B0201"/>
    <w:rsid w:val="006B0398"/>
    <w:rsid w:val="006B05BB"/>
    <w:rsid w:val="006B0B33"/>
    <w:rsid w:val="006B0B40"/>
    <w:rsid w:val="006B0B5E"/>
    <w:rsid w:val="006B0FF2"/>
    <w:rsid w:val="006B11F3"/>
    <w:rsid w:val="006B1690"/>
    <w:rsid w:val="006B17CD"/>
    <w:rsid w:val="006B19A9"/>
    <w:rsid w:val="006B1C1E"/>
    <w:rsid w:val="006B1EE5"/>
    <w:rsid w:val="006B234C"/>
    <w:rsid w:val="006B27FA"/>
    <w:rsid w:val="006B43B8"/>
    <w:rsid w:val="006B4A4A"/>
    <w:rsid w:val="006B5B3F"/>
    <w:rsid w:val="006B5D68"/>
    <w:rsid w:val="006B5DDF"/>
    <w:rsid w:val="006B6FD4"/>
    <w:rsid w:val="006B721C"/>
    <w:rsid w:val="006B7679"/>
    <w:rsid w:val="006B77C2"/>
    <w:rsid w:val="006B7E1B"/>
    <w:rsid w:val="006C00E3"/>
    <w:rsid w:val="006C0145"/>
    <w:rsid w:val="006C0CCF"/>
    <w:rsid w:val="006C1166"/>
    <w:rsid w:val="006C1657"/>
    <w:rsid w:val="006C275A"/>
    <w:rsid w:val="006C37C6"/>
    <w:rsid w:val="006C3930"/>
    <w:rsid w:val="006C45A9"/>
    <w:rsid w:val="006C4B36"/>
    <w:rsid w:val="006C6427"/>
    <w:rsid w:val="006C646A"/>
    <w:rsid w:val="006C6BD3"/>
    <w:rsid w:val="006C774C"/>
    <w:rsid w:val="006D05B1"/>
    <w:rsid w:val="006D0BD6"/>
    <w:rsid w:val="006D0DAA"/>
    <w:rsid w:val="006D24B8"/>
    <w:rsid w:val="006D2562"/>
    <w:rsid w:val="006D2ADD"/>
    <w:rsid w:val="006D39E7"/>
    <w:rsid w:val="006D4054"/>
    <w:rsid w:val="006D5E43"/>
    <w:rsid w:val="006D5FAB"/>
    <w:rsid w:val="006D6697"/>
    <w:rsid w:val="006D6F2B"/>
    <w:rsid w:val="006E1614"/>
    <w:rsid w:val="006E195A"/>
    <w:rsid w:val="006E1C34"/>
    <w:rsid w:val="006E2562"/>
    <w:rsid w:val="006E25F9"/>
    <w:rsid w:val="006E2EAA"/>
    <w:rsid w:val="006E3CBD"/>
    <w:rsid w:val="006E3DA0"/>
    <w:rsid w:val="006E3DA3"/>
    <w:rsid w:val="006E3E50"/>
    <w:rsid w:val="006E4867"/>
    <w:rsid w:val="006E5340"/>
    <w:rsid w:val="006E5CC5"/>
    <w:rsid w:val="006E614C"/>
    <w:rsid w:val="006E6221"/>
    <w:rsid w:val="006E6331"/>
    <w:rsid w:val="006E692F"/>
    <w:rsid w:val="006E69D2"/>
    <w:rsid w:val="006E71B0"/>
    <w:rsid w:val="006F0BBD"/>
    <w:rsid w:val="006F0F72"/>
    <w:rsid w:val="006F1071"/>
    <w:rsid w:val="006F173A"/>
    <w:rsid w:val="006F18AA"/>
    <w:rsid w:val="006F20BD"/>
    <w:rsid w:val="006F2916"/>
    <w:rsid w:val="006F2CC5"/>
    <w:rsid w:val="006F33EF"/>
    <w:rsid w:val="006F492D"/>
    <w:rsid w:val="006F4D1A"/>
    <w:rsid w:val="006F5DA0"/>
    <w:rsid w:val="006F68AC"/>
    <w:rsid w:val="006F6EC3"/>
    <w:rsid w:val="006F72F4"/>
    <w:rsid w:val="006F7B26"/>
    <w:rsid w:val="006F7F5F"/>
    <w:rsid w:val="00700E84"/>
    <w:rsid w:val="00701046"/>
    <w:rsid w:val="00701672"/>
    <w:rsid w:val="00702525"/>
    <w:rsid w:val="00703444"/>
    <w:rsid w:val="00703C52"/>
    <w:rsid w:val="00704512"/>
    <w:rsid w:val="00704DAF"/>
    <w:rsid w:val="00705051"/>
    <w:rsid w:val="00705375"/>
    <w:rsid w:val="00705B60"/>
    <w:rsid w:val="00705F43"/>
    <w:rsid w:val="007065E0"/>
    <w:rsid w:val="00707397"/>
    <w:rsid w:val="00710F48"/>
    <w:rsid w:val="007115F8"/>
    <w:rsid w:val="0071163A"/>
    <w:rsid w:val="00713360"/>
    <w:rsid w:val="00713C82"/>
    <w:rsid w:val="00714443"/>
    <w:rsid w:val="00714492"/>
    <w:rsid w:val="00715539"/>
    <w:rsid w:val="0071557F"/>
    <w:rsid w:val="00715BE4"/>
    <w:rsid w:val="00715DAF"/>
    <w:rsid w:val="00716620"/>
    <w:rsid w:val="00716BBB"/>
    <w:rsid w:val="00717130"/>
    <w:rsid w:val="007177EA"/>
    <w:rsid w:val="007205D1"/>
    <w:rsid w:val="00722625"/>
    <w:rsid w:val="00722702"/>
    <w:rsid w:val="007228ED"/>
    <w:rsid w:val="00723544"/>
    <w:rsid w:val="007237AF"/>
    <w:rsid w:val="00724B35"/>
    <w:rsid w:val="0072542E"/>
    <w:rsid w:val="00725BED"/>
    <w:rsid w:val="007261C1"/>
    <w:rsid w:val="007266B2"/>
    <w:rsid w:val="00730D8E"/>
    <w:rsid w:val="00731F77"/>
    <w:rsid w:val="0073255B"/>
    <w:rsid w:val="00732D1D"/>
    <w:rsid w:val="00733066"/>
    <w:rsid w:val="0073345C"/>
    <w:rsid w:val="00733A50"/>
    <w:rsid w:val="00734F0D"/>
    <w:rsid w:val="007353E3"/>
    <w:rsid w:val="007354B9"/>
    <w:rsid w:val="00737DE3"/>
    <w:rsid w:val="007404AE"/>
    <w:rsid w:val="007408CD"/>
    <w:rsid w:val="0074096B"/>
    <w:rsid w:val="007409AF"/>
    <w:rsid w:val="00740C63"/>
    <w:rsid w:val="007411E4"/>
    <w:rsid w:val="00741D60"/>
    <w:rsid w:val="00741E97"/>
    <w:rsid w:val="00743B9A"/>
    <w:rsid w:val="00744A3F"/>
    <w:rsid w:val="00744C4D"/>
    <w:rsid w:val="00745808"/>
    <w:rsid w:val="00745BCC"/>
    <w:rsid w:val="007466E5"/>
    <w:rsid w:val="007477FA"/>
    <w:rsid w:val="00747BA1"/>
    <w:rsid w:val="00750BA4"/>
    <w:rsid w:val="007513EE"/>
    <w:rsid w:val="00752CB4"/>
    <w:rsid w:val="007537A4"/>
    <w:rsid w:val="0075686E"/>
    <w:rsid w:val="0075691D"/>
    <w:rsid w:val="00757CC2"/>
    <w:rsid w:val="00757F9F"/>
    <w:rsid w:val="007607E2"/>
    <w:rsid w:val="00760F8F"/>
    <w:rsid w:val="007611E8"/>
    <w:rsid w:val="00761ACC"/>
    <w:rsid w:val="00762477"/>
    <w:rsid w:val="00762725"/>
    <w:rsid w:val="00763177"/>
    <w:rsid w:val="007631D9"/>
    <w:rsid w:val="007636CC"/>
    <w:rsid w:val="00765405"/>
    <w:rsid w:val="00765C5C"/>
    <w:rsid w:val="00765F8E"/>
    <w:rsid w:val="0076633E"/>
    <w:rsid w:val="007672B4"/>
    <w:rsid w:val="007713A0"/>
    <w:rsid w:val="0077189F"/>
    <w:rsid w:val="007737A7"/>
    <w:rsid w:val="00773E83"/>
    <w:rsid w:val="00773E91"/>
    <w:rsid w:val="007741AB"/>
    <w:rsid w:val="00774486"/>
    <w:rsid w:val="0077457C"/>
    <w:rsid w:val="0077497A"/>
    <w:rsid w:val="00774A9F"/>
    <w:rsid w:val="0077653F"/>
    <w:rsid w:val="00776BDD"/>
    <w:rsid w:val="00776E12"/>
    <w:rsid w:val="0077738C"/>
    <w:rsid w:val="0077762F"/>
    <w:rsid w:val="00781064"/>
    <w:rsid w:val="007811EA"/>
    <w:rsid w:val="00781B8F"/>
    <w:rsid w:val="00781C64"/>
    <w:rsid w:val="007825B2"/>
    <w:rsid w:val="00784087"/>
    <w:rsid w:val="00784724"/>
    <w:rsid w:val="007854CC"/>
    <w:rsid w:val="007874F6"/>
    <w:rsid w:val="0078767E"/>
    <w:rsid w:val="007900DC"/>
    <w:rsid w:val="0079016F"/>
    <w:rsid w:val="00790284"/>
    <w:rsid w:val="007903A6"/>
    <w:rsid w:val="00790610"/>
    <w:rsid w:val="00790846"/>
    <w:rsid w:val="007910C8"/>
    <w:rsid w:val="007911D5"/>
    <w:rsid w:val="007911F8"/>
    <w:rsid w:val="007914EF"/>
    <w:rsid w:val="0079158B"/>
    <w:rsid w:val="00791E62"/>
    <w:rsid w:val="007920AF"/>
    <w:rsid w:val="0079247F"/>
    <w:rsid w:val="00792858"/>
    <w:rsid w:val="00792C80"/>
    <w:rsid w:val="00793B68"/>
    <w:rsid w:val="007949BA"/>
    <w:rsid w:val="0079519D"/>
    <w:rsid w:val="00795430"/>
    <w:rsid w:val="00795AB4"/>
    <w:rsid w:val="0079630A"/>
    <w:rsid w:val="007964D0"/>
    <w:rsid w:val="0079650F"/>
    <w:rsid w:val="0079671A"/>
    <w:rsid w:val="00796847"/>
    <w:rsid w:val="00796B94"/>
    <w:rsid w:val="007971E1"/>
    <w:rsid w:val="00797E42"/>
    <w:rsid w:val="007A031D"/>
    <w:rsid w:val="007A1050"/>
    <w:rsid w:val="007A1555"/>
    <w:rsid w:val="007A24E1"/>
    <w:rsid w:val="007A29BB"/>
    <w:rsid w:val="007A3119"/>
    <w:rsid w:val="007A3CBF"/>
    <w:rsid w:val="007A41AD"/>
    <w:rsid w:val="007A4C87"/>
    <w:rsid w:val="007A4D9D"/>
    <w:rsid w:val="007A56A0"/>
    <w:rsid w:val="007A584A"/>
    <w:rsid w:val="007A75BD"/>
    <w:rsid w:val="007B0972"/>
    <w:rsid w:val="007B1073"/>
    <w:rsid w:val="007B2124"/>
    <w:rsid w:val="007B25C2"/>
    <w:rsid w:val="007B261E"/>
    <w:rsid w:val="007B30E2"/>
    <w:rsid w:val="007B3218"/>
    <w:rsid w:val="007B45E5"/>
    <w:rsid w:val="007B4E4B"/>
    <w:rsid w:val="007B6A59"/>
    <w:rsid w:val="007B7C84"/>
    <w:rsid w:val="007C0332"/>
    <w:rsid w:val="007C0927"/>
    <w:rsid w:val="007C0BD5"/>
    <w:rsid w:val="007C1506"/>
    <w:rsid w:val="007C2189"/>
    <w:rsid w:val="007C30C3"/>
    <w:rsid w:val="007C3BB8"/>
    <w:rsid w:val="007C45CE"/>
    <w:rsid w:val="007C4F89"/>
    <w:rsid w:val="007C5808"/>
    <w:rsid w:val="007C69FC"/>
    <w:rsid w:val="007D0B2D"/>
    <w:rsid w:val="007D1397"/>
    <w:rsid w:val="007D1E04"/>
    <w:rsid w:val="007D2222"/>
    <w:rsid w:val="007D27B8"/>
    <w:rsid w:val="007D3DBD"/>
    <w:rsid w:val="007D4158"/>
    <w:rsid w:val="007D543E"/>
    <w:rsid w:val="007D6337"/>
    <w:rsid w:val="007D6730"/>
    <w:rsid w:val="007D70B8"/>
    <w:rsid w:val="007D7865"/>
    <w:rsid w:val="007D79DF"/>
    <w:rsid w:val="007E157F"/>
    <w:rsid w:val="007E1732"/>
    <w:rsid w:val="007E2ADE"/>
    <w:rsid w:val="007E356C"/>
    <w:rsid w:val="007E4ED2"/>
    <w:rsid w:val="007E5839"/>
    <w:rsid w:val="007E608D"/>
    <w:rsid w:val="007E6561"/>
    <w:rsid w:val="007E7140"/>
    <w:rsid w:val="007E74C9"/>
    <w:rsid w:val="007E77A4"/>
    <w:rsid w:val="007F043D"/>
    <w:rsid w:val="007F0BFA"/>
    <w:rsid w:val="007F10A4"/>
    <w:rsid w:val="007F1590"/>
    <w:rsid w:val="007F1A34"/>
    <w:rsid w:val="007F1D50"/>
    <w:rsid w:val="007F1F7B"/>
    <w:rsid w:val="007F340E"/>
    <w:rsid w:val="007F4090"/>
    <w:rsid w:val="007F4226"/>
    <w:rsid w:val="007F42DF"/>
    <w:rsid w:val="007F5434"/>
    <w:rsid w:val="007F7166"/>
    <w:rsid w:val="007F7688"/>
    <w:rsid w:val="00800AA0"/>
    <w:rsid w:val="00800E46"/>
    <w:rsid w:val="00801DD9"/>
    <w:rsid w:val="00801F86"/>
    <w:rsid w:val="008023B9"/>
    <w:rsid w:val="00802A0C"/>
    <w:rsid w:val="00802E89"/>
    <w:rsid w:val="008038CD"/>
    <w:rsid w:val="00803BE9"/>
    <w:rsid w:val="00803BF5"/>
    <w:rsid w:val="008041D1"/>
    <w:rsid w:val="008065B8"/>
    <w:rsid w:val="008065ED"/>
    <w:rsid w:val="00806FAE"/>
    <w:rsid w:val="00807A62"/>
    <w:rsid w:val="00807B09"/>
    <w:rsid w:val="008102E0"/>
    <w:rsid w:val="00810586"/>
    <w:rsid w:val="008106B8"/>
    <w:rsid w:val="00811416"/>
    <w:rsid w:val="00812B12"/>
    <w:rsid w:val="008130AB"/>
    <w:rsid w:val="00813E21"/>
    <w:rsid w:val="0081405E"/>
    <w:rsid w:val="00814872"/>
    <w:rsid w:val="00815151"/>
    <w:rsid w:val="008154C9"/>
    <w:rsid w:val="0081652A"/>
    <w:rsid w:val="00816ADA"/>
    <w:rsid w:val="00816E74"/>
    <w:rsid w:val="00816EEF"/>
    <w:rsid w:val="00817A64"/>
    <w:rsid w:val="00817CC6"/>
    <w:rsid w:val="00821FA9"/>
    <w:rsid w:val="00822217"/>
    <w:rsid w:val="0082435A"/>
    <w:rsid w:val="00824EF2"/>
    <w:rsid w:val="0082506D"/>
    <w:rsid w:val="008252D6"/>
    <w:rsid w:val="00825D6C"/>
    <w:rsid w:val="00826269"/>
    <w:rsid w:val="00826458"/>
    <w:rsid w:val="008266DE"/>
    <w:rsid w:val="00826F9A"/>
    <w:rsid w:val="008324BA"/>
    <w:rsid w:val="0083256B"/>
    <w:rsid w:val="00834D17"/>
    <w:rsid w:val="00834EFC"/>
    <w:rsid w:val="00835224"/>
    <w:rsid w:val="00835472"/>
    <w:rsid w:val="00836164"/>
    <w:rsid w:val="008361D8"/>
    <w:rsid w:val="008362CE"/>
    <w:rsid w:val="008427AF"/>
    <w:rsid w:val="008429E2"/>
    <w:rsid w:val="00842D68"/>
    <w:rsid w:val="008440E7"/>
    <w:rsid w:val="00844B79"/>
    <w:rsid w:val="00844C91"/>
    <w:rsid w:val="0084511A"/>
    <w:rsid w:val="008462F2"/>
    <w:rsid w:val="00846F41"/>
    <w:rsid w:val="00850868"/>
    <w:rsid w:val="00850B63"/>
    <w:rsid w:val="00853CD1"/>
    <w:rsid w:val="00854560"/>
    <w:rsid w:val="00855AAA"/>
    <w:rsid w:val="00857BD2"/>
    <w:rsid w:val="0086038C"/>
    <w:rsid w:val="008611BB"/>
    <w:rsid w:val="00861A4F"/>
    <w:rsid w:val="00861AE4"/>
    <w:rsid w:val="008620CB"/>
    <w:rsid w:val="00862220"/>
    <w:rsid w:val="00862814"/>
    <w:rsid w:val="0086357B"/>
    <w:rsid w:val="0086387F"/>
    <w:rsid w:val="00863BF5"/>
    <w:rsid w:val="008642CD"/>
    <w:rsid w:val="0086635F"/>
    <w:rsid w:val="008664FE"/>
    <w:rsid w:val="008668DF"/>
    <w:rsid w:val="008677D5"/>
    <w:rsid w:val="00867B70"/>
    <w:rsid w:val="0087011D"/>
    <w:rsid w:val="0087013B"/>
    <w:rsid w:val="00870805"/>
    <w:rsid w:val="00870E45"/>
    <w:rsid w:val="008714DC"/>
    <w:rsid w:val="00871C91"/>
    <w:rsid w:val="00872A76"/>
    <w:rsid w:val="00872A96"/>
    <w:rsid w:val="008739A3"/>
    <w:rsid w:val="00874930"/>
    <w:rsid w:val="00874EEB"/>
    <w:rsid w:val="00875138"/>
    <w:rsid w:val="00875464"/>
    <w:rsid w:val="008754A0"/>
    <w:rsid w:val="008754E2"/>
    <w:rsid w:val="008757EA"/>
    <w:rsid w:val="00875934"/>
    <w:rsid w:val="00876DEB"/>
    <w:rsid w:val="00877426"/>
    <w:rsid w:val="00877E2C"/>
    <w:rsid w:val="00880810"/>
    <w:rsid w:val="0088185D"/>
    <w:rsid w:val="008821C4"/>
    <w:rsid w:val="008822D9"/>
    <w:rsid w:val="00884659"/>
    <w:rsid w:val="00885D45"/>
    <w:rsid w:val="00886073"/>
    <w:rsid w:val="00886EB3"/>
    <w:rsid w:val="00887F8E"/>
    <w:rsid w:val="00890AFD"/>
    <w:rsid w:val="00890B27"/>
    <w:rsid w:val="00891407"/>
    <w:rsid w:val="008918AF"/>
    <w:rsid w:val="00892F40"/>
    <w:rsid w:val="00893340"/>
    <w:rsid w:val="008946B6"/>
    <w:rsid w:val="00894E4E"/>
    <w:rsid w:val="00895798"/>
    <w:rsid w:val="00896321"/>
    <w:rsid w:val="00896687"/>
    <w:rsid w:val="008967D9"/>
    <w:rsid w:val="00896BFA"/>
    <w:rsid w:val="00897171"/>
    <w:rsid w:val="008973CD"/>
    <w:rsid w:val="008A0245"/>
    <w:rsid w:val="008A0BAA"/>
    <w:rsid w:val="008A0F99"/>
    <w:rsid w:val="008A11C9"/>
    <w:rsid w:val="008A145E"/>
    <w:rsid w:val="008A1DD3"/>
    <w:rsid w:val="008A2591"/>
    <w:rsid w:val="008A2CD1"/>
    <w:rsid w:val="008A3066"/>
    <w:rsid w:val="008A3171"/>
    <w:rsid w:val="008A3A2C"/>
    <w:rsid w:val="008A3A35"/>
    <w:rsid w:val="008A597D"/>
    <w:rsid w:val="008A5CC7"/>
    <w:rsid w:val="008A65C1"/>
    <w:rsid w:val="008A6DD2"/>
    <w:rsid w:val="008B019F"/>
    <w:rsid w:val="008B06BC"/>
    <w:rsid w:val="008B1137"/>
    <w:rsid w:val="008B2028"/>
    <w:rsid w:val="008B31D3"/>
    <w:rsid w:val="008B3473"/>
    <w:rsid w:val="008B3568"/>
    <w:rsid w:val="008B4C17"/>
    <w:rsid w:val="008B5498"/>
    <w:rsid w:val="008B594F"/>
    <w:rsid w:val="008B635F"/>
    <w:rsid w:val="008B682E"/>
    <w:rsid w:val="008B68A0"/>
    <w:rsid w:val="008B721B"/>
    <w:rsid w:val="008B777D"/>
    <w:rsid w:val="008C021E"/>
    <w:rsid w:val="008C2CE4"/>
    <w:rsid w:val="008C2E17"/>
    <w:rsid w:val="008C2EC4"/>
    <w:rsid w:val="008C48FB"/>
    <w:rsid w:val="008C4F3C"/>
    <w:rsid w:val="008C5011"/>
    <w:rsid w:val="008C5225"/>
    <w:rsid w:val="008C5614"/>
    <w:rsid w:val="008C5DEB"/>
    <w:rsid w:val="008D02FE"/>
    <w:rsid w:val="008D0357"/>
    <w:rsid w:val="008D12BC"/>
    <w:rsid w:val="008D4BA5"/>
    <w:rsid w:val="008D4CCC"/>
    <w:rsid w:val="008D57CE"/>
    <w:rsid w:val="008D6064"/>
    <w:rsid w:val="008E0EFA"/>
    <w:rsid w:val="008E14DA"/>
    <w:rsid w:val="008E16ED"/>
    <w:rsid w:val="008E1935"/>
    <w:rsid w:val="008E1C83"/>
    <w:rsid w:val="008E2B23"/>
    <w:rsid w:val="008E38C6"/>
    <w:rsid w:val="008E4142"/>
    <w:rsid w:val="008E434D"/>
    <w:rsid w:val="008E459B"/>
    <w:rsid w:val="008E6539"/>
    <w:rsid w:val="008E6FD4"/>
    <w:rsid w:val="008E773A"/>
    <w:rsid w:val="008E78E4"/>
    <w:rsid w:val="008F021F"/>
    <w:rsid w:val="008F060E"/>
    <w:rsid w:val="008F0A28"/>
    <w:rsid w:val="008F1607"/>
    <w:rsid w:val="008F184A"/>
    <w:rsid w:val="008F2678"/>
    <w:rsid w:val="008F2BB2"/>
    <w:rsid w:val="008F313E"/>
    <w:rsid w:val="008F45E8"/>
    <w:rsid w:val="008F5A2D"/>
    <w:rsid w:val="008F5C39"/>
    <w:rsid w:val="008F7FFE"/>
    <w:rsid w:val="00900B78"/>
    <w:rsid w:val="00900B97"/>
    <w:rsid w:val="009020E8"/>
    <w:rsid w:val="00903AED"/>
    <w:rsid w:val="00903E74"/>
    <w:rsid w:val="00904142"/>
    <w:rsid w:val="009046A3"/>
    <w:rsid w:val="00904A24"/>
    <w:rsid w:val="00905913"/>
    <w:rsid w:val="00905AD6"/>
    <w:rsid w:val="00905CBE"/>
    <w:rsid w:val="00905EC4"/>
    <w:rsid w:val="00910172"/>
    <w:rsid w:val="009101E0"/>
    <w:rsid w:val="009110FD"/>
    <w:rsid w:val="009112D3"/>
    <w:rsid w:val="009118B5"/>
    <w:rsid w:val="00911ED8"/>
    <w:rsid w:val="009123A6"/>
    <w:rsid w:val="00912499"/>
    <w:rsid w:val="00912B2A"/>
    <w:rsid w:val="00912D4E"/>
    <w:rsid w:val="009134FF"/>
    <w:rsid w:val="009143E6"/>
    <w:rsid w:val="00914EA9"/>
    <w:rsid w:val="00914FD8"/>
    <w:rsid w:val="009156A6"/>
    <w:rsid w:val="00916B22"/>
    <w:rsid w:val="00917063"/>
    <w:rsid w:val="00917352"/>
    <w:rsid w:val="00917603"/>
    <w:rsid w:val="00920056"/>
    <w:rsid w:val="00920307"/>
    <w:rsid w:val="009207AE"/>
    <w:rsid w:val="00920F37"/>
    <w:rsid w:val="009223F6"/>
    <w:rsid w:val="00922521"/>
    <w:rsid w:val="00922CAD"/>
    <w:rsid w:val="0092354C"/>
    <w:rsid w:val="009246B2"/>
    <w:rsid w:val="009249CB"/>
    <w:rsid w:val="00924B0A"/>
    <w:rsid w:val="00924BD9"/>
    <w:rsid w:val="00926011"/>
    <w:rsid w:val="009267E7"/>
    <w:rsid w:val="00927405"/>
    <w:rsid w:val="00927D95"/>
    <w:rsid w:val="00930149"/>
    <w:rsid w:val="0093026A"/>
    <w:rsid w:val="009303B1"/>
    <w:rsid w:val="009305B3"/>
    <w:rsid w:val="0093064A"/>
    <w:rsid w:val="009317E5"/>
    <w:rsid w:val="00931914"/>
    <w:rsid w:val="00931B52"/>
    <w:rsid w:val="00932B6E"/>
    <w:rsid w:val="00932D67"/>
    <w:rsid w:val="00932E24"/>
    <w:rsid w:val="009330C5"/>
    <w:rsid w:val="009334F6"/>
    <w:rsid w:val="0093366F"/>
    <w:rsid w:val="0093497F"/>
    <w:rsid w:val="00934AD3"/>
    <w:rsid w:val="00935232"/>
    <w:rsid w:val="009355FE"/>
    <w:rsid w:val="00935BD8"/>
    <w:rsid w:val="009401E1"/>
    <w:rsid w:val="00940E9E"/>
    <w:rsid w:val="00941AAA"/>
    <w:rsid w:val="009421D0"/>
    <w:rsid w:val="009424A1"/>
    <w:rsid w:val="0094276E"/>
    <w:rsid w:val="00942FDC"/>
    <w:rsid w:val="0094359A"/>
    <w:rsid w:val="00943E3A"/>
    <w:rsid w:val="00944486"/>
    <w:rsid w:val="00944CBF"/>
    <w:rsid w:val="0094684D"/>
    <w:rsid w:val="009470D8"/>
    <w:rsid w:val="009471F1"/>
    <w:rsid w:val="00947323"/>
    <w:rsid w:val="0095026E"/>
    <w:rsid w:val="00950A93"/>
    <w:rsid w:val="00951970"/>
    <w:rsid w:val="00952141"/>
    <w:rsid w:val="0095447F"/>
    <w:rsid w:val="00954702"/>
    <w:rsid w:val="00954A0A"/>
    <w:rsid w:val="00954B24"/>
    <w:rsid w:val="009554DD"/>
    <w:rsid w:val="009560B8"/>
    <w:rsid w:val="0095791B"/>
    <w:rsid w:val="00960175"/>
    <w:rsid w:val="00960870"/>
    <w:rsid w:val="009618CA"/>
    <w:rsid w:val="00962430"/>
    <w:rsid w:val="00962E4D"/>
    <w:rsid w:val="00963095"/>
    <w:rsid w:val="00963917"/>
    <w:rsid w:val="009642F9"/>
    <w:rsid w:val="00964471"/>
    <w:rsid w:val="00964B29"/>
    <w:rsid w:val="00964BF7"/>
    <w:rsid w:val="00965171"/>
    <w:rsid w:val="00965203"/>
    <w:rsid w:val="0096681F"/>
    <w:rsid w:val="00967531"/>
    <w:rsid w:val="0096790F"/>
    <w:rsid w:val="00967BEF"/>
    <w:rsid w:val="00967EB8"/>
    <w:rsid w:val="00970404"/>
    <w:rsid w:val="00970535"/>
    <w:rsid w:val="009705F7"/>
    <w:rsid w:val="009725E8"/>
    <w:rsid w:val="0097289B"/>
    <w:rsid w:val="0097298A"/>
    <w:rsid w:val="00972F89"/>
    <w:rsid w:val="00972F8E"/>
    <w:rsid w:val="009743B4"/>
    <w:rsid w:val="009743BF"/>
    <w:rsid w:val="00974C11"/>
    <w:rsid w:val="00974F7A"/>
    <w:rsid w:val="0097554B"/>
    <w:rsid w:val="0097590F"/>
    <w:rsid w:val="00975CC1"/>
    <w:rsid w:val="009772AA"/>
    <w:rsid w:val="00980672"/>
    <w:rsid w:val="00980BAC"/>
    <w:rsid w:val="00981D04"/>
    <w:rsid w:val="0098201E"/>
    <w:rsid w:val="00982376"/>
    <w:rsid w:val="00983105"/>
    <w:rsid w:val="009835EE"/>
    <w:rsid w:val="009844C5"/>
    <w:rsid w:val="00984E5F"/>
    <w:rsid w:val="00985991"/>
    <w:rsid w:val="00986264"/>
    <w:rsid w:val="00986332"/>
    <w:rsid w:val="0098706E"/>
    <w:rsid w:val="00987524"/>
    <w:rsid w:val="00987544"/>
    <w:rsid w:val="00987694"/>
    <w:rsid w:val="00987F53"/>
    <w:rsid w:val="00990A2F"/>
    <w:rsid w:val="0099186C"/>
    <w:rsid w:val="009919CB"/>
    <w:rsid w:val="00991E4B"/>
    <w:rsid w:val="009926F6"/>
    <w:rsid w:val="0099307A"/>
    <w:rsid w:val="00993461"/>
    <w:rsid w:val="00994AC3"/>
    <w:rsid w:val="00994E30"/>
    <w:rsid w:val="009953E3"/>
    <w:rsid w:val="00995C5E"/>
    <w:rsid w:val="00995D87"/>
    <w:rsid w:val="00996C71"/>
    <w:rsid w:val="00996F3D"/>
    <w:rsid w:val="009971E0"/>
    <w:rsid w:val="009A016A"/>
    <w:rsid w:val="009A26AD"/>
    <w:rsid w:val="009A271E"/>
    <w:rsid w:val="009A27DC"/>
    <w:rsid w:val="009A2C75"/>
    <w:rsid w:val="009A2D41"/>
    <w:rsid w:val="009A4096"/>
    <w:rsid w:val="009A40D3"/>
    <w:rsid w:val="009A4443"/>
    <w:rsid w:val="009A5B51"/>
    <w:rsid w:val="009A63CF"/>
    <w:rsid w:val="009A6E15"/>
    <w:rsid w:val="009A75FA"/>
    <w:rsid w:val="009A7C0E"/>
    <w:rsid w:val="009A7E67"/>
    <w:rsid w:val="009B09FD"/>
    <w:rsid w:val="009B1DAF"/>
    <w:rsid w:val="009B2E2C"/>
    <w:rsid w:val="009B431B"/>
    <w:rsid w:val="009B4F7C"/>
    <w:rsid w:val="009B59AD"/>
    <w:rsid w:val="009B6041"/>
    <w:rsid w:val="009B60A9"/>
    <w:rsid w:val="009B7BE5"/>
    <w:rsid w:val="009C01CD"/>
    <w:rsid w:val="009C0997"/>
    <w:rsid w:val="009C1586"/>
    <w:rsid w:val="009C1BFA"/>
    <w:rsid w:val="009C1E6B"/>
    <w:rsid w:val="009C2504"/>
    <w:rsid w:val="009C2533"/>
    <w:rsid w:val="009C273F"/>
    <w:rsid w:val="009C29FE"/>
    <w:rsid w:val="009C3307"/>
    <w:rsid w:val="009C3B89"/>
    <w:rsid w:val="009C3D0B"/>
    <w:rsid w:val="009C4EAC"/>
    <w:rsid w:val="009C5166"/>
    <w:rsid w:val="009C53AC"/>
    <w:rsid w:val="009C5BEE"/>
    <w:rsid w:val="009C5FD8"/>
    <w:rsid w:val="009C6781"/>
    <w:rsid w:val="009C7179"/>
    <w:rsid w:val="009C74DC"/>
    <w:rsid w:val="009C7A15"/>
    <w:rsid w:val="009D0915"/>
    <w:rsid w:val="009D0DA0"/>
    <w:rsid w:val="009D10AB"/>
    <w:rsid w:val="009D1126"/>
    <w:rsid w:val="009D1135"/>
    <w:rsid w:val="009D185C"/>
    <w:rsid w:val="009D22C8"/>
    <w:rsid w:val="009D291B"/>
    <w:rsid w:val="009D3418"/>
    <w:rsid w:val="009D3F29"/>
    <w:rsid w:val="009D3FEC"/>
    <w:rsid w:val="009D4021"/>
    <w:rsid w:val="009D5A90"/>
    <w:rsid w:val="009D5BDD"/>
    <w:rsid w:val="009D5D67"/>
    <w:rsid w:val="009D5E53"/>
    <w:rsid w:val="009D6471"/>
    <w:rsid w:val="009D6B0E"/>
    <w:rsid w:val="009D71FA"/>
    <w:rsid w:val="009D72EE"/>
    <w:rsid w:val="009D75E8"/>
    <w:rsid w:val="009E0095"/>
    <w:rsid w:val="009E05B8"/>
    <w:rsid w:val="009E0937"/>
    <w:rsid w:val="009E12C6"/>
    <w:rsid w:val="009E20BF"/>
    <w:rsid w:val="009E2302"/>
    <w:rsid w:val="009E2B44"/>
    <w:rsid w:val="009E2CAD"/>
    <w:rsid w:val="009E319A"/>
    <w:rsid w:val="009E3993"/>
    <w:rsid w:val="009E421E"/>
    <w:rsid w:val="009E59A2"/>
    <w:rsid w:val="009E608A"/>
    <w:rsid w:val="009E65F7"/>
    <w:rsid w:val="009E7CCE"/>
    <w:rsid w:val="009E7F5E"/>
    <w:rsid w:val="009E7FB5"/>
    <w:rsid w:val="009F08D1"/>
    <w:rsid w:val="009F0A08"/>
    <w:rsid w:val="009F1148"/>
    <w:rsid w:val="009F1E6B"/>
    <w:rsid w:val="009F1EC3"/>
    <w:rsid w:val="009F2B56"/>
    <w:rsid w:val="009F2D1B"/>
    <w:rsid w:val="009F3D0B"/>
    <w:rsid w:val="009F4095"/>
    <w:rsid w:val="009F4BF2"/>
    <w:rsid w:val="009F4C8C"/>
    <w:rsid w:val="009F554D"/>
    <w:rsid w:val="009F5B05"/>
    <w:rsid w:val="009F650E"/>
    <w:rsid w:val="009F672C"/>
    <w:rsid w:val="009F77C5"/>
    <w:rsid w:val="009F7CC2"/>
    <w:rsid w:val="00A002AB"/>
    <w:rsid w:val="00A007BD"/>
    <w:rsid w:val="00A00A15"/>
    <w:rsid w:val="00A01C9B"/>
    <w:rsid w:val="00A027AB"/>
    <w:rsid w:val="00A02BDF"/>
    <w:rsid w:val="00A035C5"/>
    <w:rsid w:val="00A0370A"/>
    <w:rsid w:val="00A0385E"/>
    <w:rsid w:val="00A041BA"/>
    <w:rsid w:val="00A0447E"/>
    <w:rsid w:val="00A060A7"/>
    <w:rsid w:val="00A06214"/>
    <w:rsid w:val="00A06C86"/>
    <w:rsid w:val="00A07726"/>
    <w:rsid w:val="00A1066C"/>
    <w:rsid w:val="00A10C92"/>
    <w:rsid w:val="00A10D2E"/>
    <w:rsid w:val="00A115D8"/>
    <w:rsid w:val="00A11716"/>
    <w:rsid w:val="00A11B2F"/>
    <w:rsid w:val="00A12FE8"/>
    <w:rsid w:val="00A14897"/>
    <w:rsid w:val="00A14EE2"/>
    <w:rsid w:val="00A15259"/>
    <w:rsid w:val="00A15854"/>
    <w:rsid w:val="00A15D65"/>
    <w:rsid w:val="00A16114"/>
    <w:rsid w:val="00A16920"/>
    <w:rsid w:val="00A16A22"/>
    <w:rsid w:val="00A16D1B"/>
    <w:rsid w:val="00A16DB6"/>
    <w:rsid w:val="00A215D8"/>
    <w:rsid w:val="00A21746"/>
    <w:rsid w:val="00A223DB"/>
    <w:rsid w:val="00A22CC5"/>
    <w:rsid w:val="00A22EC5"/>
    <w:rsid w:val="00A23335"/>
    <w:rsid w:val="00A2386B"/>
    <w:rsid w:val="00A260CB"/>
    <w:rsid w:val="00A266C4"/>
    <w:rsid w:val="00A268D8"/>
    <w:rsid w:val="00A26E37"/>
    <w:rsid w:val="00A26EF4"/>
    <w:rsid w:val="00A30470"/>
    <w:rsid w:val="00A30A36"/>
    <w:rsid w:val="00A30F53"/>
    <w:rsid w:val="00A311E4"/>
    <w:rsid w:val="00A31508"/>
    <w:rsid w:val="00A319C6"/>
    <w:rsid w:val="00A326F8"/>
    <w:rsid w:val="00A3324B"/>
    <w:rsid w:val="00A332FF"/>
    <w:rsid w:val="00A33967"/>
    <w:rsid w:val="00A345A2"/>
    <w:rsid w:val="00A34DF8"/>
    <w:rsid w:val="00A34EEA"/>
    <w:rsid w:val="00A35301"/>
    <w:rsid w:val="00A35410"/>
    <w:rsid w:val="00A354B5"/>
    <w:rsid w:val="00A35ACD"/>
    <w:rsid w:val="00A35E9C"/>
    <w:rsid w:val="00A35FE4"/>
    <w:rsid w:val="00A36380"/>
    <w:rsid w:val="00A3646A"/>
    <w:rsid w:val="00A37676"/>
    <w:rsid w:val="00A37772"/>
    <w:rsid w:val="00A40347"/>
    <w:rsid w:val="00A40A1D"/>
    <w:rsid w:val="00A4111C"/>
    <w:rsid w:val="00A441DB"/>
    <w:rsid w:val="00A45048"/>
    <w:rsid w:val="00A4662B"/>
    <w:rsid w:val="00A46745"/>
    <w:rsid w:val="00A47B48"/>
    <w:rsid w:val="00A50D19"/>
    <w:rsid w:val="00A512A7"/>
    <w:rsid w:val="00A519FB"/>
    <w:rsid w:val="00A51FB2"/>
    <w:rsid w:val="00A5258B"/>
    <w:rsid w:val="00A52688"/>
    <w:rsid w:val="00A52C12"/>
    <w:rsid w:val="00A5343C"/>
    <w:rsid w:val="00A534C1"/>
    <w:rsid w:val="00A5374C"/>
    <w:rsid w:val="00A537F6"/>
    <w:rsid w:val="00A5476C"/>
    <w:rsid w:val="00A54820"/>
    <w:rsid w:val="00A54FF1"/>
    <w:rsid w:val="00A55346"/>
    <w:rsid w:val="00A5579C"/>
    <w:rsid w:val="00A5599B"/>
    <w:rsid w:val="00A56597"/>
    <w:rsid w:val="00A5682D"/>
    <w:rsid w:val="00A56A37"/>
    <w:rsid w:val="00A5720A"/>
    <w:rsid w:val="00A572C1"/>
    <w:rsid w:val="00A577CB"/>
    <w:rsid w:val="00A60375"/>
    <w:rsid w:val="00A61596"/>
    <w:rsid w:val="00A6208F"/>
    <w:rsid w:val="00A620BE"/>
    <w:rsid w:val="00A62D34"/>
    <w:rsid w:val="00A63441"/>
    <w:rsid w:val="00A634E2"/>
    <w:rsid w:val="00A639B9"/>
    <w:rsid w:val="00A65501"/>
    <w:rsid w:val="00A658A0"/>
    <w:rsid w:val="00A66491"/>
    <w:rsid w:val="00A66609"/>
    <w:rsid w:val="00A66873"/>
    <w:rsid w:val="00A66A90"/>
    <w:rsid w:val="00A66C6E"/>
    <w:rsid w:val="00A66DA6"/>
    <w:rsid w:val="00A670CB"/>
    <w:rsid w:val="00A7033F"/>
    <w:rsid w:val="00A72265"/>
    <w:rsid w:val="00A7242B"/>
    <w:rsid w:val="00A728E4"/>
    <w:rsid w:val="00A735E4"/>
    <w:rsid w:val="00A73A5C"/>
    <w:rsid w:val="00A742BB"/>
    <w:rsid w:val="00A74E58"/>
    <w:rsid w:val="00A75B6D"/>
    <w:rsid w:val="00A774B0"/>
    <w:rsid w:val="00A7750D"/>
    <w:rsid w:val="00A775FD"/>
    <w:rsid w:val="00A777BB"/>
    <w:rsid w:val="00A777C9"/>
    <w:rsid w:val="00A77F7B"/>
    <w:rsid w:val="00A80193"/>
    <w:rsid w:val="00A8068E"/>
    <w:rsid w:val="00A80ACB"/>
    <w:rsid w:val="00A81C8E"/>
    <w:rsid w:val="00A8208A"/>
    <w:rsid w:val="00A82842"/>
    <w:rsid w:val="00A845B2"/>
    <w:rsid w:val="00A852AF"/>
    <w:rsid w:val="00A858BB"/>
    <w:rsid w:val="00A86028"/>
    <w:rsid w:val="00A86422"/>
    <w:rsid w:val="00A870E9"/>
    <w:rsid w:val="00A906A1"/>
    <w:rsid w:val="00A91324"/>
    <w:rsid w:val="00A9269A"/>
    <w:rsid w:val="00A92AC8"/>
    <w:rsid w:val="00A92C9F"/>
    <w:rsid w:val="00A92EBD"/>
    <w:rsid w:val="00A9309F"/>
    <w:rsid w:val="00A934D5"/>
    <w:rsid w:val="00A93950"/>
    <w:rsid w:val="00A93AEF"/>
    <w:rsid w:val="00A94D87"/>
    <w:rsid w:val="00A95615"/>
    <w:rsid w:val="00A9567D"/>
    <w:rsid w:val="00A96319"/>
    <w:rsid w:val="00A96381"/>
    <w:rsid w:val="00A96504"/>
    <w:rsid w:val="00A96BD6"/>
    <w:rsid w:val="00A96EE7"/>
    <w:rsid w:val="00AA00D2"/>
    <w:rsid w:val="00AA1086"/>
    <w:rsid w:val="00AA1424"/>
    <w:rsid w:val="00AA18FC"/>
    <w:rsid w:val="00AA1C9F"/>
    <w:rsid w:val="00AA22A4"/>
    <w:rsid w:val="00AA23F4"/>
    <w:rsid w:val="00AA2996"/>
    <w:rsid w:val="00AA3372"/>
    <w:rsid w:val="00AA34AE"/>
    <w:rsid w:val="00AA366D"/>
    <w:rsid w:val="00AA4D56"/>
    <w:rsid w:val="00AA6BD0"/>
    <w:rsid w:val="00AA71E6"/>
    <w:rsid w:val="00AB078A"/>
    <w:rsid w:val="00AB1146"/>
    <w:rsid w:val="00AB11F9"/>
    <w:rsid w:val="00AB1F01"/>
    <w:rsid w:val="00AB20DB"/>
    <w:rsid w:val="00AB24F1"/>
    <w:rsid w:val="00AB2C71"/>
    <w:rsid w:val="00AB3295"/>
    <w:rsid w:val="00AB41A3"/>
    <w:rsid w:val="00AB425E"/>
    <w:rsid w:val="00AB52D4"/>
    <w:rsid w:val="00AB5F83"/>
    <w:rsid w:val="00AB706A"/>
    <w:rsid w:val="00AB74AE"/>
    <w:rsid w:val="00AB7598"/>
    <w:rsid w:val="00AC0129"/>
    <w:rsid w:val="00AC0ABB"/>
    <w:rsid w:val="00AC0C30"/>
    <w:rsid w:val="00AC173B"/>
    <w:rsid w:val="00AC3025"/>
    <w:rsid w:val="00AC3455"/>
    <w:rsid w:val="00AC3C35"/>
    <w:rsid w:val="00AC4B78"/>
    <w:rsid w:val="00AC4DA3"/>
    <w:rsid w:val="00AC4ED1"/>
    <w:rsid w:val="00AC5A88"/>
    <w:rsid w:val="00AC5DA8"/>
    <w:rsid w:val="00AC7105"/>
    <w:rsid w:val="00AC78C0"/>
    <w:rsid w:val="00AD00DF"/>
    <w:rsid w:val="00AD0A4A"/>
    <w:rsid w:val="00AD1367"/>
    <w:rsid w:val="00AD150E"/>
    <w:rsid w:val="00AD1744"/>
    <w:rsid w:val="00AD226F"/>
    <w:rsid w:val="00AD26DB"/>
    <w:rsid w:val="00AD71BC"/>
    <w:rsid w:val="00AD7207"/>
    <w:rsid w:val="00AD7EF5"/>
    <w:rsid w:val="00AE1808"/>
    <w:rsid w:val="00AE1F1A"/>
    <w:rsid w:val="00AE21BC"/>
    <w:rsid w:val="00AE2C36"/>
    <w:rsid w:val="00AE3C75"/>
    <w:rsid w:val="00AE4D04"/>
    <w:rsid w:val="00AE5D1A"/>
    <w:rsid w:val="00AE617B"/>
    <w:rsid w:val="00AE69BB"/>
    <w:rsid w:val="00AE6E66"/>
    <w:rsid w:val="00AE6E9A"/>
    <w:rsid w:val="00AE70D7"/>
    <w:rsid w:val="00AE7507"/>
    <w:rsid w:val="00AE7EBE"/>
    <w:rsid w:val="00AF0407"/>
    <w:rsid w:val="00AF0713"/>
    <w:rsid w:val="00AF0746"/>
    <w:rsid w:val="00AF0C44"/>
    <w:rsid w:val="00AF1000"/>
    <w:rsid w:val="00AF1D50"/>
    <w:rsid w:val="00AF278A"/>
    <w:rsid w:val="00AF2E17"/>
    <w:rsid w:val="00AF3742"/>
    <w:rsid w:val="00AF3ADC"/>
    <w:rsid w:val="00AF4847"/>
    <w:rsid w:val="00AF59B0"/>
    <w:rsid w:val="00AF5ED7"/>
    <w:rsid w:val="00AF6FBC"/>
    <w:rsid w:val="00B003F7"/>
    <w:rsid w:val="00B00E9D"/>
    <w:rsid w:val="00B018F2"/>
    <w:rsid w:val="00B01C1C"/>
    <w:rsid w:val="00B01DAA"/>
    <w:rsid w:val="00B022E6"/>
    <w:rsid w:val="00B03648"/>
    <w:rsid w:val="00B04779"/>
    <w:rsid w:val="00B050C1"/>
    <w:rsid w:val="00B053B1"/>
    <w:rsid w:val="00B05712"/>
    <w:rsid w:val="00B05CBF"/>
    <w:rsid w:val="00B05ED0"/>
    <w:rsid w:val="00B0609C"/>
    <w:rsid w:val="00B0612D"/>
    <w:rsid w:val="00B10734"/>
    <w:rsid w:val="00B108C1"/>
    <w:rsid w:val="00B10ADA"/>
    <w:rsid w:val="00B10DC1"/>
    <w:rsid w:val="00B11414"/>
    <w:rsid w:val="00B11FE7"/>
    <w:rsid w:val="00B1364E"/>
    <w:rsid w:val="00B13834"/>
    <w:rsid w:val="00B14344"/>
    <w:rsid w:val="00B1563F"/>
    <w:rsid w:val="00B1639E"/>
    <w:rsid w:val="00B1656C"/>
    <w:rsid w:val="00B1681F"/>
    <w:rsid w:val="00B175A6"/>
    <w:rsid w:val="00B175C4"/>
    <w:rsid w:val="00B17622"/>
    <w:rsid w:val="00B213DB"/>
    <w:rsid w:val="00B215E1"/>
    <w:rsid w:val="00B21740"/>
    <w:rsid w:val="00B21B3B"/>
    <w:rsid w:val="00B2252A"/>
    <w:rsid w:val="00B25148"/>
    <w:rsid w:val="00B26422"/>
    <w:rsid w:val="00B269CA"/>
    <w:rsid w:val="00B26C9A"/>
    <w:rsid w:val="00B26E26"/>
    <w:rsid w:val="00B2708A"/>
    <w:rsid w:val="00B304D0"/>
    <w:rsid w:val="00B31FBC"/>
    <w:rsid w:val="00B32645"/>
    <w:rsid w:val="00B33485"/>
    <w:rsid w:val="00B35461"/>
    <w:rsid w:val="00B370F1"/>
    <w:rsid w:val="00B37D4C"/>
    <w:rsid w:val="00B4119B"/>
    <w:rsid w:val="00B411C4"/>
    <w:rsid w:val="00B4265C"/>
    <w:rsid w:val="00B433F7"/>
    <w:rsid w:val="00B436C4"/>
    <w:rsid w:val="00B43A19"/>
    <w:rsid w:val="00B4486C"/>
    <w:rsid w:val="00B4490E"/>
    <w:rsid w:val="00B44BDF"/>
    <w:rsid w:val="00B451D1"/>
    <w:rsid w:val="00B459F7"/>
    <w:rsid w:val="00B46F3C"/>
    <w:rsid w:val="00B47C03"/>
    <w:rsid w:val="00B47D21"/>
    <w:rsid w:val="00B50042"/>
    <w:rsid w:val="00B5061E"/>
    <w:rsid w:val="00B50A24"/>
    <w:rsid w:val="00B50E68"/>
    <w:rsid w:val="00B51726"/>
    <w:rsid w:val="00B518B7"/>
    <w:rsid w:val="00B51932"/>
    <w:rsid w:val="00B52303"/>
    <w:rsid w:val="00B536C5"/>
    <w:rsid w:val="00B5383E"/>
    <w:rsid w:val="00B54127"/>
    <w:rsid w:val="00B5460E"/>
    <w:rsid w:val="00B55456"/>
    <w:rsid w:val="00B5598C"/>
    <w:rsid w:val="00B56332"/>
    <w:rsid w:val="00B56415"/>
    <w:rsid w:val="00B56629"/>
    <w:rsid w:val="00B5682F"/>
    <w:rsid w:val="00B569A2"/>
    <w:rsid w:val="00B56AF3"/>
    <w:rsid w:val="00B56C16"/>
    <w:rsid w:val="00B6002F"/>
    <w:rsid w:val="00B602E4"/>
    <w:rsid w:val="00B603DB"/>
    <w:rsid w:val="00B610F5"/>
    <w:rsid w:val="00B613E2"/>
    <w:rsid w:val="00B61D0A"/>
    <w:rsid w:val="00B61E68"/>
    <w:rsid w:val="00B62025"/>
    <w:rsid w:val="00B62524"/>
    <w:rsid w:val="00B62AEF"/>
    <w:rsid w:val="00B63B3D"/>
    <w:rsid w:val="00B640D7"/>
    <w:rsid w:val="00B6419D"/>
    <w:rsid w:val="00B64698"/>
    <w:rsid w:val="00B65E73"/>
    <w:rsid w:val="00B66C15"/>
    <w:rsid w:val="00B66FE6"/>
    <w:rsid w:val="00B70203"/>
    <w:rsid w:val="00B709FF"/>
    <w:rsid w:val="00B70AF2"/>
    <w:rsid w:val="00B7100D"/>
    <w:rsid w:val="00B714CC"/>
    <w:rsid w:val="00B71C1D"/>
    <w:rsid w:val="00B73500"/>
    <w:rsid w:val="00B7382F"/>
    <w:rsid w:val="00B73AB8"/>
    <w:rsid w:val="00B748EB"/>
    <w:rsid w:val="00B76AAE"/>
    <w:rsid w:val="00B76C94"/>
    <w:rsid w:val="00B77066"/>
    <w:rsid w:val="00B77E60"/>
    <w:rsid w:val="00B8199B"/>
    <w:rsid w:val="00B81DE7"/>
    <w:rsid w:val="00B826D2"/>
    <w:rsid w:val="00B82C58"/>
    <w:rsid w:val="00B82DE7"/>
    <w:rsid w:val="00B83776"/>
    <w:rsid w:val="00B838F2"/>
    <w:rsid w:val="00B843BA"/>
    <w:rsid w:val="00B8445A"/>
    <w:rsid w:val="00B84CDF"/>
    <w:rsid w:val="00B85D65"/>
    <w:rsid w:val="00B86B82"/>
    <w:rsid w:val="00B91FA0"/>
    <w:rsid w:val="00B9288E"/>
    <w:rsid w:val="00B93781"/>
    <w:rsid w:val="00B93E57"/>
    <w:rsid w:val="00B94B27"/>
    <w:rsid w:val="00B94E19"/>
    <w:rsid w:val="00B95451"/>
    <w:rsid w:val="00B95876"/>
    <w:rsid w:val="00BA0A89"/>
    <w:rsid w:val="00BA0FA7"/>
    <w:rsid w:val="00BA1210"/>
    <w:rsid w:val="00BA159C"/>
    <w:rsid w:val="00BA2A79"/>
    <w:rsid w:val="00BA2D57"/>
    <w:rsid w:val="00BA3225"/>
    <w:rsid w:val="00BA355D"/>
    <w:rsid w:val="00BA3A7C"/>
    <w:rsid w:val="00BA435D"/>
    <w:rsid w:val="00BA49B1"/>
    <w:rsid w:val="00BA5584"/>
    <w:rsid w:val="00BA5A0C"/>
    <w:rsid w:val="00BA5B43"/>
    <w:rsid w:val="00BA795F"/>
    <w:rsid w:val="00BA7CA1"/>
    <w:rsid w:val="00BB20B3"/>
    <w:rsid w:val="00BB2EA5"/>
    <w:rsid w:val="00BB2F58"/>
    <w:rsid w:val="00BB3777"/>
    <w:rsid w:val="00BB3AB5"/>
    <w:rsid w:val="00BB3DD9"/>
    <w:rsid w:val="00BB4A6B"/>
    <w:rsid w:val="00BB4B7A"/>
    <w:rsid w:val="00BB4CCF"/>
    <w:rsid w:val="00BB69C3"/>
    <w:rsid w:val="00BC0361"/>
    <w:rsid w:val="00BC0427"/>
    <w:rsid w:val="00BC0F96"/>
    <w:rsid w:val="00BC136E"/>
    <w:rsid w:val="00BC218F"/>
    <w:rsid w:val="00BC2F4E"/>
    <w:rsid w:val="00BC2FCF"/>
    <w:rsid w:val="00BC318C"/>
    <w:rsid w:val="00BC36DA"/>
    <w:rsid w:val="00BC3DEF"/>
    <w:rsid w:val="00BC4829"/>
    <w:rsid w:val="00BC4968"/>
    <w:rsid w:val="00BC5257"/>
    <w:rsid w:val="00BC6CB6"/>
    <w:rsid w:val="00BC710C"/>
    <w:rsid w:val="00BD055D"/>
    <w:rsid w:val="00BD06B1"/>
    <w:rsid w:val="00BD16BB"/>
    <w:rsid w:val="00BD1B65"/>
    <w:rsid w:val="00BD2180"/>
    <w:rsid w:val="00BD24A3"/>
    <w:rsid w:val="00BD3167"/>
    <w:rsid w:val="00BD326F"/>
    <w:rsid w:val="00BD346A"/>
    <w:rsid w:val="00BD3B13"/>
    <w:rsid w:val="00BD3C54"/>
    <w:rsid w:val="00BD43F8"/>
    <w:rsid w:val="00BD5071"/>
    <w:rsid w:val="00BD5FF3"/>
    <w:rsid w:val="00BD629A"/>
    <w:rsid w:val="00BD66BC"/>
    <w:rsid w:val="00BD6FED"/>
    <w:rsid w:val="00BD7208"/>
    <w:rsid w:val="00BD7396"/>
    <w:rsid w:val="00BD796B"/>
    <w:rsid w:val="00BE07BA"/>
    <w:rsid w:val="00BE09B9"/>
    <w:rsid w:val="00BE1C1A"/>
    <w:rsid w:val="00BE1EB3"/>
    <w:rsid w:val="00BE2192"/>
    <w:rsid w:val="00BE25ED"/>
    <w:rsid w:val="00BE353F"/>
    <w:rsid w:val="00BE3C38"/>
    <w:rsid w:val="00BE4542"/>
    <w:rsid w:val="00BE4B00"/>
    <w:rsid w:val="00BE5217"/>
    <w:rsid w:val="00BE570A"/>
    <w:rsid w:val="00BE6CE3"/>
    <w:rsid w:val="00BE6E8B"/>
    <w:rsid w:val="00BE7D2E"/>
    <w:rsid w:val="00BF0FE7"/>
    <w:rsid w:val="00BF124B"/>
    <w:rsid w:val="00BF203B"/>
    <w:rsid w:val="00BF2E83"/>
    <w:rsid w:val="00BF3619"/>
    <w:rsid w:val="00BF376A"/>
    <w:rsid w:val="00BF4269"/>
    <w:rsid w:val="00BF42A0"/>
    <w:rsid w:val="00BF4C61"/>
    <w:rsid w:val="00BF5F1B"/>
    <w:rsid w:val="00BF630C"/>
    <w:rsid w:val="00C0025D"/>
    <w:rsid w:val="00C01A7F"/>
    <w:rsid w:val="00C02553"/>
    <w:rsid w:val="00C02FE2"/>
    <w:rsid w:val="00C040FF"/>
    <w:rsid w:val="00C04321"/>
    <w:rsid w:val="00C04DF6"/>
    <w:rsid w:val="00C052A1"/>
    <w:rsid w:val="00C0613E"/>
    <w:rsid w:val="00C0689E"/>
    <w:rsid w:val="00C0694E"/>
    <w:rsid w:val="00C06C5E"/>
    <w:rsid w:val="00C0748B"/>
    <w:rsid w:val="00C077D2"/>
    <w:rsid w:val="00C07927"/>
    <w:rsid w:val="00C079E5"/>
    <w:rsid w:val="00C07B2B"/>
    <w:rsid w:val="00C102A9"/>
    <w:rsid w:val="00C1080C"/>
    <w:rsid w:val="00C11F68"/>
    <w:rsid w:val="00C127EB"/>
    <w:rsid w:val="00C12BDA"/>
    <w:rsid w:val="00C12C55"/>
    <w:rsid w:val="00C12F6B"/>
    <w:rsid w:val="00C1322F"/>
    <w:rsid w:val="00C13728"/>
    <w:rsid w:val="00C14042"/>
    <w:rsid w:val="00C1460F"/>
    <w:rsid w:val="00C14874"/>
    <w:rsid w:val="00C14D81"/>
    <w:rsid w:val="00C15D1B"/>
    <w:rsid w:val="00C15FF1"/>
    <w:rsid w:val="00C162F5"/>
    <w:rsid w:val="00C164C9"/>
    <w:rsid w:val="00C168B6"/>
    <w:rsid w:val="00C16CB7"/>
    <w:rsid w:val="00C17FBA"/>
    <w:rsid w:val="00C2073B"/>
    <w:rsid w:val="00C207A2"/>
    <w:rsid w:val="00C21373"/>
    <w:rsid w:val="00C2208D"/>
    <w:rsid w:val="00C22E7C"/>
    <w:rsid w:val="00C22FA3"/>
    <w:rsid w:val="00C2577B"/>
    <w:rsid w:val="00C26CD4"/>
    <w:rsid w:val="00C27DA6"/>
    <w:rsid w:val="00C30644"/>
    <w:rsid w:val="00C33FE4"/>
    <w:rsid w:val="00C35E41"/>
    <w:rsid w:val="00C363EE"/>
    <w:rsid w:val="00C36A03"/>
    <w:rsid w:val="00C37BDB"/>
    <w:rsid w:val="00C4044D"/>
    <w:rsid w:val="00C40FE5"/>
    <w:rsid w:val="00C41A1A"/>
    <w:rsid w:val="00C423CE"/>
    <w:rsid w:val="00C42586"/>
    <w:rsid w:val="00C42C94"/>
    <w:rsid w:val="00C42F8C"/>
    <w:rsid w:val="00C431AE"/>
    <w:rsid w:val="00C445B8"/>
    <w:rsid w:val="00C44EDE"/>
    <w:rsid w:val="00C45D3C"/>
    <w:rsid w:val="00C462FD"/>
    <w:rsid w:val="00C470A8"/>
    <w:rsid w:val="00C47BF6"/>
    <w:rsid w:val="00C47CE9"/>
    <w:rsid w:val="00C501B1"/>
    <w:rsid w:val="00C507E2"/>
    <w:rsid w:val="00C50EBE"/>
    <w:rsid w:val="00C51A3F"/>
    <w:rsid w:val="00C51BAE"/>
    <w:rsid w:val="00C51FA2"/>
    <w:rsid w:val="00C53487"/>
    <w:rsid w:val="00C54145"/>
    <w:rsid w:val="00C55D80"/>
    <w:rsid w:val="00C55DCE"/>
    <w:rsid w:val="00C57458"/>
    <w:rsid w:val="00C574D5"/>
    <w:rsid w:val="00C57753"/>
    <w:rsid w:val="00C57D8B"/>
    <w:rsid w:val="00C57E3E"/>
    <w:rsid w:val="00C57F2A"/>
    <w:rsid w:val="00C6001C"/>
    <w:rsid w:val="00C6017A"/>
    <w:rsid w:val="00C60577"/>
    <w:rsid w:val="00C60887"/>
    <w:rsid w:val="00C60ED4"/>
    <w:rsid w:val="00C61B99"/>
    <w:rsid w:val="00C61CA6"/>
    <w:rsid w:val="00C630F8"/>
    <w:rsid w:val="00C634AE"/>
    <w:rsid w:val="00C63B44"/>
    <w:rsid w:val="00C63BA7"/>
    <w:rsid w:val="00C63ECC"/>
    <w:rsid w:val="00C641B8"/>
    <w:rsid w:val="00C646E2"/>
    <w:rsid w:val="00C64D46"/>
    <w:rsid w:val="00C64E44"/>
    <w:rsid w:val="00C650FF"/>
    <w:rsid w:val="00C65475"/>
    <w:rsid w:val="00C66756"/>
    <w:rsid w:val="00C66A1D"/>
    <w:rsid w:val="00C66D29"/>
    <w:rsid w:val="00C67392"/>
    <w:rsid w:val="00C6775B"/>
    <w:rsid w:val="00C7017C"/>
    <w:rsid w:val="00C702A4"/>
    <w:rsid w:val="00C70984"/>
    <w:rsid w:val="00C72A7C"/>
    <w:rsid w:val="00C72D73"/>
    <w:rsid w:val="00C73177"/>
    <w:rsid w:val="00C73465"/>
    <w:rsid w:val="00C7370D"/>
    <w:rsid w:val="00C7391C"/>
    <w:rsid w:val="00C73BA6"/>
    <w:rsid w:val="00C7400A"/>
    <w:rsid w:val="00C742FC"/>
    <w:rsid w:val="00C74699"/>
    <w:rsid w:val="00C74BE7"/>
    <w:rsid w:val="00C74EE2"/>
    <w:rsid w:val="00C750D4"/>
    <w:rsid w:val="00C75327"/>
    <w:rsid w:val="00C7555B"/>
    <w:rsid w:val="00C75C59"/>
    <w:rsid w:val="00C76708"/>
    <w:rsid w:val="00C7714E"/>
    <w:rsid w:val="00C771D5"/>
    <w:rsid w:val="00C806CF"/>
    <w:rsid w:val="00C80A18"/>
    <w:rsid w:val="00C81B21"/>
    <w:rsid w:val="00C81EBE"/>
    <w:rsid w:val="00C823E6"/>
    <w:rsid w:val="00C8263A"/>
    <w:rsid w:val="00C83804"/>
    <w:rsid w:val="00C8441F"/>
    <w:rsid w:val="00C860ED"/>
    <w:rsid w:val="00C8666A"/>
    <w:rsid w:val="00C874CF"/>
    <w:rsid w:val="00C90D8A"/>
    <w:rsid w:val="00C924EB"/>
    <w:rsid w:val="00C926CA"/>
    <w:rsid w:val="00C92A9E"/>
    <w:rsid w:val="00C92D3E"/>
    <w:rsid w:val="00C92F71"/>
    <w:rsid w:val="00C94BEE"/>
    <w:rsid w:val="00C954FC"/>
    <w:rsid w:val="00C96484"/>
    <w:rsid w:val="00C969EC"/>
    <w:rsid w:val="00C96C69"/>
    <w:rsid w:val="00CA0563"/>
    <w:rsid w:val="00CA060D"/>
    <w:rsid w:val="00CA15CF"/>
    <w:rsid w:val="00CA17BF"/>
    <w:rsid w:val="00CA1E7B"/>
    <w:rsid w:val="00CA2D7E"/>
    <w:rsid w:val="00CA2F21"/>
    <w:rsid w:val="00CA437C"/>
    <w:rsid w:val="00CA45F8"/>
    <w:rsid w:val="00CA4BD8"/>
    <w:rsid w:val="00CA5754"/>
    <w:rsid w:val="00CA631B"/>
    <w:rsid w:val="00CB0848"/>
    <w:rsid w:val="00CB1B5C"/>
    <w:rsid w:val="00CB2436"/>
    <w:rsid w:val="00CB26EC"/>
    <w:rsid w:val="00CB2B5E"/>
    <w:rsid w:val="00CB3020"/>
    <w:rsid w:val="00CB36DB"/>
    <w:rsid w:val="00CB3A8D"/>
    <w:rsid w:val="00CB3D1C"/>
    <w:rsid w:val="00CB405E"/>
    <w:rsid w:val="00CB42A6"/>
    <w:rsid w:val="00CB43C4"/>
    <w:rsid w:val="00CB60B5"/>
    <w:rsid w:val="00CB6349"/>
    <w:rsid w:val="00CB6957"/>
    <w:rsid w:val="00CB6B7A"/>
    <w:rsid w:val="00CC08F3"/>
    <w:rsid w:val="00CC137B"/>
    <w:rsid w:val="00CC1B40"/>
    <w:rsid w:val="00CC1D80"/>
    <w:rsid w:val="00CC2898"/>
    <w:rsid w:val="00CC452B"/>
    <w:rsid w:val="00CC5ACF"/>
    <w:rsid w:val="00CC5D89"/>
    <w:rsid w:val="00CC66C2"/>
    <w:rsid w:val="00CD006C"/>
    <w:rsid w:val="00CD06A0"/>
    <w:rsid w:val="00CD084D"/>
    <w:rsid w:val="00CD08B6"/>
    <w:rsid w:val="00CD0C8E"/>
    <w:rsid w:val="00CD17AC"/>
    <w:rsid w:val="00CD1EAA"/>
    <w:rsid w:val="00CD2129"/>
    <w:rsid w:val="00CD2214"/>
    <w:rsid w:val="00CD2B77"/>
    <w:rsid w:val="00CD2FD4"/>
    <w:rsid w:val="00CD30C0"/>
    <w:rsid w:val="00CD4AB7"/>
    <w:rsid w:val="00CD53A6"/>
    <w:rsid w:val="00CD575E"/>
    <w:rsid w:val="00CD58AC"/>
    <w:rsid w:val="00CD5A84"/>
    <w:rsid w:val="00CD6A5B"/>
    <w:rsid w:val="00CD7E33"/>
    <w:rsid w:val="00CE1AC4"/>
    <w:rsid w:val="00CE20C8"/>
    <w:rsid w:val="00CE2270"/>
    <w:rsid w:val="00CE2CF4"/>
    <w:rsid w:val="00CE2F5D"/>
    <w:rsid w:val="00CE31F2"/>
    <w:rsid w:val="00CE3229"/>
    <w:rsid w:val="00CE3343"/>
    <w:rsid w:val="00CE3652"/>
    <w:rsid w:val="00CE397A"/>
    <w:rsid w:val="00CE3EBD"/>
    <w:rsid w:val="00CE4CDE"/>
    <w:rsid w:val="00CE5196"/>
    <w:rsid w:val="00CE527C"/>
    <w:rsid w:val="00CE6D94"/>
    <w:rsid w:val="00CF0A93"/>
    <w:rsid w:val="00CF2E36"/>
    <w:rsid w:val="00CF319E"/>
    <w:rsid w:val="00CF33F5"/>
    <w:rsid w:val="00CF3CF6"/>
    <w:rsid w:val="00CF3DA2"/>
    <w:rsid w:val="00CF3E11"/>
    <w:rsid w:val="00CF4E57"/>
    <w:rsid w:val="00CF4EEF"/>
    <w:rsid w:val="00CF5498"/>
    <w:rsid w:val="00CF5625"/>
    <w:rsid w:val="00CF5797"/>
    <w:rsid w:val="00CF7F71"/>
    <w:rsid w:val="00CF7FBB"/>
    <w:rsid w:val="00D00F94"/>
    <w:rsid w:val="00D0157B"/>
    <w:rsid w:val="00D0206F"/>
    <w:rsid w:val="00D03115"/>
    <w:rsid w:val="00D03F9F"/>
    <w:rsid w:val="00D03FC1"/>
    <w:rsid w:val="00D04D9C"/>
    <w:rsid w:val="00D07AB8"/>
    <w:rsid w:val="00D07F44"/>
    <w:rsid w:val="00D10972"/>
    <w:rsid w:val="00D1136E"/>
    <w:rsid w:val="00D115EA"/>
    <w:rsid w:val="00D1172D"/>
    <w:rsid w:val="00D11F35"/>
    <w:rsid w:val="00D12515"/>
    <w:rsid w:val="00D12AD6"/>
    <w:rsid w:val="00D13B93"/>
    <w:rsid w:val="00D13EC6"/>
    <w:rsid w:val="00D14B0E"/>
    <w:rsid w:val="00D16F0C"/>
    <w:rsid w:val="00D207A1"/>
    <w:rsid w:val="00D20B3C"/>
    <w:rsid w:val="00D229BE"/>
    <w:rsid w:val="00D22ACC"/>
    <w:rsid w:val="00D22BBF"/>
    <w:rsid w:val="00D231FC"/>
    <w:rsid w:val="00D233CE"/>
    <w:rsid w:val="00D23680"/>
    <w:rsid w:val="00D23A34"/>
    <w:rsid w:val="00D23A63"/>
    <w:rsid w:val="00D24C9D"/>
    <w:rsid w:val="00D25081"/>
    <w:rsid w:val="00D2579D"/>
    <w:rsid w:val="00D263C3"/>
    <w:rsid w:val="00D265A9"/>
    <w:rsid w:val="00D270CA"/>
    <w:rsid w:val="00D27725"/>
    <w:rsid w:val="00D27F21"/>
    <w:rsid w:val="00D307A9"/>
    <w:rsid w:val="00D31716"/>
    <w:rsid w:val="00D31CA3"/>
    <w:rsid w:val="00D329B6"/>
    <w:rsid w:val="00D32DB2"/>
    <w:rsid w:val="00D33460"/>
    <w:rsid w:val="00D33FA1"/>
    <w:rsid w:val="00D34230"/>
    <w:rsid w:val="00D356BE"/>
    <w:rsid w:val="00D35B80"/>
    <w:rsid w:val="00D35D1A"/>
    <w:rsid w:val="00D378C0"/>
    <w:rsid w:val="00D400BB"/>
    <w:rsid w:val="00D4031D"/>
    <w:rsid w:val="00D4039C"/>
    <w:rsid w:val="00D40441"/>
    <w:rsid w:val="00D410CF"/>
    <w:rsid w:val="00D4128D"/>
    <w:rsid w:val="00D419D4"/>
    <w:rsid w:val="00D4289E"/>
    <w:rsid w:val="00D42ACD"/>
    <w:rsid w:val="00D42B60"/>
    <w:rsid w:val="00D42FD1"/>
    <w:rsid w:val="00D43912"/>
    <w:rsid w:val="00D43E51"/>
    <w:rsid w:val="00D43F14"/>
    <w:rsid w:val="00D4460B"/>
    <w:rsid w:val="00D448E5"/>
    <w:rsid w:val="00D451C4"/>
    <w:rsid w:val="00D4629D"/>
    <w:rsid w:val="00D462CD"/>
    <w:rsid w:val="00D46B06"/>
    <w:rsid w:val="00D46DAF"/>
    <w:rsid w:val="00D47A98"/>
    <w:rsid w:val="00D50043"/>
    <w:rsid w:val="00D504DD"/>
    <w:rsid w:val="00D5092B"/>
    <w:rsid w:val="00D50CC9"/>
    <w:rsid w:val="00D52157"/>
    <w:rsid w:val="00D5241A"/>
    <w:rsid w:val="00D52737"/>
    <w:rsid w:val="00D53228"/>
    <w:rsid w:val="00D54D62"/>
    <w:rsid w:val="00D5629A"/>
    <w:rsid w:val="00D56899"/>
    <w:rsid w:val="00D5700E"/>
    <w:rsid w:val="00D57585"/>
    <w:rsid w:val="00D60549"/>
    <w:rsid w:val="00D61CCC"/>
    <w:rsid w:val="00D61EE6"/>
    <w:rsid w:val="00D6261B"/>
    <w:rsid w:val="00D629B9"/>
    <w:rsid w:val="00D62B66"/>
    <w:rsid w:val="00D62B8A"/>
    <w:rsid w:val="00D62D3E"/>
    <w:rsid w:val="00D6334B"/>
    <w:rsid w:val="00D640DE"/>
    <w:rsid w:val="00D64760"/>
    <w:rsid w:val="00D64B44"/>
    <w:rsid w:val="00D655AA"/>
    <w:rsid w:val="00D65E24"/>
    <w:rsid w:val="00D65F22"/>
    <w:rsid w:val="00D66B26"/>
    <w:rsid w:val="00D678A5"/>
    <w:rsid w:val="00D67A0E"/>
    <w:rsid w:val="00D70356"/>
    <w:rsid w:val="00D71149"/>
    <w:rsid w:val="00D7174E"/>
    <w:rsid w:val="00D722A0"/>
    <w:rsid w:val="00D745D4"/>
    <w:rsid w:val="00D754A0"/>
    <w:rsid w:val="00D757AF"/>
    <w:rsid w:val="00D76DF1"/>
    <w:rsid w:val="00D77267"/>
    <w:rsid w:val="00D778E1"/>
    <w:rsid w:val="00D800B7"/>
    <w:rsid w:val="00D80568"/>
    <w:rsid w:val="00D8216D"/>
    <w:rsid w:val="00D826E7"/>
    <w:rsid w:val="00D82D54"/>
    <w:rsid w:val="00D83399"/>
    <w:rsid w:val="00D834C7"/>
    <w:rsid w:val="00D837C2"/>
    <w:rsid w:val="00D8467D"/>
    <w:rsid w:val="00D84C20"/>
    <w:rsid w:val="00D852C7"/>
    <w:rsid w:val="00D852CC"/>
    <w:rsid w:val="00D854A3"/>
    <w:rsid w:val="00D85ACA"/>
    <w:rsid w:val="00D85CC1"/>
    <w:rsid w:val="00D864D0"/>
    <w:rsid w:val="00D86ACA"/>
    <w:rsid w:val="00D87626"/>
    <w:rsid w:val="00D877C9"/>
    <w:rsid w:val="00D9004E"/>
    <w:rsid w:val="00D902D6"/>
    <w:rsid w:val="00D90935"/>
    <w:rsid w:val="00D912E4"/>
    <w:rsid w:val="00D91D93"/>
    <w:rsid w:val="00D935EE"/>
    <w:rsid w:val="00D93A71"/>
    <w:rsid w:val="00D94088"/>
    <w:rsid w:val="00D9448E"/>
    <w:rsid w:val="00D9461F"/>
    <w:rsid w:val="00D9478D"/>
    <w:rsid w:val="00D94F5B"/>
    <w:rsid w:val="00D950D2"/>
    <w:rsid w:val="00D9556A"/>
    <w:rsid w:val="00D9574C"/>
    <w:rsid w:val="00D957F7"/>
    <w:rsid w:val="00D9586D"/>
    <w:rsid w:val="00D958C4"/>
    <w:rsid w:val="00D9620D"/>
    <w:rsid w:val="00D96989"/>
    <w:rsid w:val="00D96E4E"/>
    <w:rsid w:val="00D979BF"/>
    <w:rsid w:val="00D97D3D"/>
    <w:rsid w:val="00DA026B"/>
    <w:rsid w:val="00DA0282"/>
    <w:rsid w:val="00DA0567"/>
    <w:rsid w:val="00DA0740"/>
    <w:rsid w:val="00DA07F8"/>
    <w:rsid w:val="00DA0A28"/>
    <w:rsid w:val="00DA132E"/>
    <w:rsid w:val="00DA1A61"/>
    <w:rsid w:val="00DA1A90"/>
    <w:rsid w:val="00DA2878"/>
    <w:rsid w:val="00DA2C7C"/>
    <w:rsid w:val="00DA3CB4"/>
    <w:rsid w:val="00DA41BB"/>
    <w:rsid w:val="00DA4478"/>
    <w:rsid w:val="00DA4F2D"/>
    <w:rsid w:val="00DA5109"/>
    <w:rsid w:val="00DA69C8"/>
    <w:rsid w:val="00DA6FAC"/>
    <w:rsid w:val="00DA7A72"/>
    <w:rsid w:val="00DB0C5E"/>
    <w:rsid w:val="00DB1539"/>
    <w:rsid w:val="00DB3C72"/>
    <w:rsid w:val="00DB3CD2"/>
    <w:rsid w:val="00DB44CB"/>
    <w:rsid w:val="00DB5772"/>
    <w:rsid w:val="00DB61EC"/>
    <w:rsid w:val="00DB6FA6"/>
    <w:rsid w:val="00DB6FCA"/>
    <w:rsid w:val="00DB71B4"/>
    <w:rsid w:val="00DB725C"/>
    <w:rsid w:val="00DB725E"/>
    <w:rsid w:val="00DB766F"/>
    <w:rsid w:val="00DC1AF0"/>
    <w:rsid w:val="00DC1B1E"/>
    <w:rsid w:val="00DC24FA"/>
    <w:rsid w:val="00DC32C1"/>
    <w:rsid w:val="00DC33E6"/>
    <w:rsid w:val="00DC3430"/>
    <w:rsid w:val="00DC344D"/>
    <w:rsid w:val="00DC44AC"/>
    <w:rsid w:val="00DC4635"/>
    <w:rsid w:val="00DC5B4C"/>
    <w:rsid w:val="00DC5EB0"/>
    <w:rsid w:val="00DC61CF"/>
    <w:rsid w:val="00DC723C"/>
    <w:rsid w:val="00DC79B8"/>
    <w:rsid w:val="00DC7E94"/>
    <w:rsid w:val="00DD034F"/>
    <w:rsid w:val="00DD0D2F"/>
    <w:rsid w:val="00DD1783"/>
    <w:rsid w:val="00DD1E02"/>
    <w:rsid w:val="00DD259F"/>
    <w:rsid w:val="00DD2F2D"/>
    <w:rsid w:val="00DD32DE"/>
    <w:rsid w:val="00DD36C9"/>
    <w:rsid w:val="00DD3CFF"/>
    <w:rsid w:val="00DD4166"/>
    <w:rsid w:val="00DD4C3B"/>
    <w:rsid w:val="00DD4E3B"/>
    <w:rsid w:val="00DD629B"/>
    <w:rsid w:val="00DD639D"/>
    <w:rsid w:val="00DD692F"/>
    <w:rsid w:val="00DD6FCF"/>
    <w:rsid w:val="00DD756A"/>
    <w:rsid w:val="00DE15E2"/>
    <w:rsid w:val="00DE1A9F"/>
    <w:rsid w:val="00DE1D09"/>
    <w:rsid w:val="00DE1E1A"/>
    <w:rsid w:val="00DE32B8"/>
    <w:rsid w:val="00DE3376"/>
    <w:rsid w:val="00DE37E4"/>
    <w:rsid w:val="00DE3A7A"/>
    <w:rsid w:val="00DE3D37"/>
    <w:rsid w:val="00DE5560"/>
    <w:rsid w:val="00DE579C"/>
    <w:rsid w:val="00DE674F"/>
    <w:rsid w:val="00DE6D6E"/>
    <w:rsid w:val="00DE78CA"/>
    <w:rsid w:val="00DF0C1C"/>
    <w:rsid w:val="00DF1849"/>
    <w:rsid w:val="00DF2075"/>
    <w:rsid w:val="00DF23BF"/>
    <w:rsid w:val="00DF24B1"/>
    <w:rsid w:val="00DF2CDE"/>
    <w:rsid w:val="00DF409C"/>
    <w:rsid w:val="00DF5095"/>
    <w:rsid w:val="00DF53F4"/>
    <w:rsid w:val="00DF5919"/>
    <w:rsid w:val="00DF5F9D"/>
    <w:rsid w:val="00DF60CB"/>
    <w:rsid w:val="00DF6636"/>
    <w:rsid w:val="00DF6CF0"/>
    <w:rsid w:val="00DF6DCD"/>
    <w:rsid w:val="00E000E5"/>
    <w:rsid w:val="00E00564"/>
    <w:rsid w:val="00E00D9F"/>
    <w:rsid w:val="00E023D9"/>
    <w:rsid w:val="00E037FB"/>
    <w:rsid w:val="00E03E7E"/>
    <w:rsid w:val="00E04192"/>
    <w:rsid w:val="00E04356"/>
    <w:rsid w:val="00E04CD3"/>
    <w:rsid w:val="00E0501B"/>
    <w:rsid w:val="00E056E6"/>
    <w:rsid w:val="00E05BA8"/>
    <w:rsid w:val="00E05CDB"/>
    <w:rsid w:val="00E06A81"/>
    <w:rsid w:val="00E07108"/>
    <w:rsid w:val="00E071DB"/>
    <w:rsid w:val="00E07C24"/>
    <w:rsid w:val="00E100F9"/>
    <w:rsid w:val="00E10E42"/>
    <w:rsid w:val="00E10EF9"/>
    <w:rsid w:val="00E10FC8"/>
    <w:rsid w:val="00E11534"/>
    <w:rsid w:val="00E11DE8"/>
    <w:rsid w:val="00E11F90"/>
    <w:rsid w:val="00E137BA"/>
    <w:rsid w:val="00E140E6"/>
    <w:rsid w:val="00E1435B"/>
    <w:rsid w:val="00E14F14"/>
    <w:rsid w:val="00E14FE9"/>
    <w:rsid w:val="00E14FF2"/>
    <w:rsid w:val="00E154E0"/>
    <w:rsid w:val="00E15C87"/>
    <w:rsid w:val="00E15CB5"/>
    <w:rsid w:val="00E1610B"/>
    <w:rsid w:val="00E16ACA"/>
    <w:rsid w:val="00E2006B"/>
    <w:rsid w:val="00E202EF"/>
    <w:rsid w:val="00E2072C"/>
    <w:rsid w:val="00E20AE1"/>
    <w:rsid w:val="00E20CBF"/>
    <w:rsid w:val="00E220FF"/>
    <w:rsid w:val="00E22326"/>
    <w:rsid w:val="00E22A17"/>
    <w:rsid w:val="00E22CA4"/>
    <w:rsid w:val="00E2322B"/>
    <w:rsid w:val="00E235AA"/>
    <w:rsid w:val="00E236B8"/>
    <w:rsid w:val="00E23C6A"/>
    <w:rsid w:val="00E23E25"/>
    <w:rsid w:val="00E246D8"/>
    <w:rsid w:val="00E2579B"/>
    <w:rsid w:val="00E261D1"/>
    <w:rsid w:val="00E2638D"/>
    <w:rsid w:val="00E266BC"/>
    <w:rsid w:val="00E26A2C"/>
    <w:rsid w:val="00E26F98"/>
    <w:rsid w:val="00E30699"/>
    <w:rsid w:val="00E32CEA"/>
    <w:rsid w:val="00E33303"/>
    <w:rsid w:val="00E33F99"/>
    <w:rsid w:val="00E34180"/>
    <w:rsid w:val="00E35044"/>
    <w:rsid w:val="00E35600"/>
    <w:rsid w:val="00E36774"/>
    <w:rsid w:val="00E3762C"/>
    <w:rsid w:val="00E37E73"/>
    <w:rsid w:val="00E37E78"/>
    <w:rsid w:val="00E37EE7"/>
    <w:rsid w:val="00E40240"/>
    <w:rsid w:val="00E41817"/>
    <w:rsid w:val="00E42F4F"/>
    <w:rsid w:val="00E43547"/>
    <w:rsid w:val="00E44041"/>
    <w:rsid w:val="00E446A5"/>
    <w:rsid w:val="00E44A04"/>
    <w:rsid w:val="00E44DED"/>
    <w:rsid w:val="00E45C93"/>
    <w:rsid w:val="00E46097"/>
    <w:rsid w:val="00E47384"/>
    <w:rsid w:val="00E5165B"/>
    <w:rsid w:val="00E526DE"/>
    <w:rsid w:val="00E52A8A"/>
    <w:rsid w:val="00E541FD"/>
    <w:rsid w:val="00E55569"/>
    <w:rsid w:val="00E55B3E"/>
    <w:rsid w:val="00E56530"/>
    <w:rsid w:val="00E577E6"/>
    <w:rsid w:val="00E60330"/>
    <w:rsid w:val="00E60663"/>
    <w:rsid w:val="00E60A62"/>
    <w:rsid w:val="00E62B9C"/>
    <w:rsid w:val="00E63024"/>
    <w:rsid w:val="00E63160"/>
    <w:rsid w:val="00E6364D"/>
    <w:rsid w:val="00E651CD"/>
    <w:rsid w:val="00E654EF"/>
    <w:rsid w:val="00E65884"/>
    <w:rsid w:val="00E66724"/>
    <w:rsid w:val="00E675F4"/>
    <w:rsid w:val="00E67749"/>
    <w:rsid w:val="00E71AFA"/>
    <w:rsid w:val="00E71BB3"/>
    <w:rsid w:val="00E71E23"/>
    <w:rsid w:val="00E72C5C"/>
    <w:rsid w:val="00E73590"/>
    <w:rsid w:val="00E75468"/>
    <w:rsid w:val="00E77656"/>
    <w:rsid w:val="00E77EC3"/>
    <w:rsid w:val="00E8033F"/>
    <w:rsid w:val="00E8076B"/>
    <w:rsid w:val="00E8232B"/>
    <w:rsid w:val="00E8326C"/>
    <w:rsid w:val="00E84EF2"/>
    <w:rsid w:val="00E84F40"/>
    <w:rsid w:val="00E86358"/>
    <w:rsid w:val="00E86409"/>
    <w:rsid w:val="00E873BF"/>
    <w:rsid w:val="00E90DA4"/>
    <w:rsid w:val="00E91BAA"/>
    <w:rsid w:val="00E91D63"/>
    <w:rsid w:val="00E91E4B"/>
    <w:rsid w:val="00E91F0D"/>
    <w:rsid w:val="00E9257E"/>
    <w:rsid w:val="00E92F74"/>
    <w:rsid w:val="00E9326D"/>
    <w:rsid w:val="00E9424F"/>
    <w:rsid w:val="00E947FE"/>
    <w:rsid w:val="00E94E25"/>
    <w:rsid w:val="00E9652C"/>
    <w:rsid w:val="00E96C16"/>
    <w:rsid w:val="00E977FF"/>
    <w:rsid w:val="00EA0124"/>
    <w:rsid w:val="00EA08F4"/>
    <w:rsid w:val="00EA26DA"/>
    <w:rsid w:val="00EA3430"/>
    <w:rsid w:val="00EA3451"/>
    <w:rsid w:val="00EA358F"/>
    <w:rsid w:val="00EA3A53"/>
    <w:rsid w:val="00EA3EB7"/>
    <w:rsid w:val="00EA455B"/>
    <w:rsid w:val="00EA4E31"/>
    <w:rsid w:val="00EA5C7D"/>
    <w:rsid w:val="00EA64E9"/>
    <w:rsid w:val="00EA7622"/>
    <w:rsid w:val="00EB031D"/>
    <w:rsid w:val="00EB0E83"/>
    <w:rsid w:val="00EB1321"/>
    <w:rsid w:val="00EB1F9F"/>
    <w:rsid w:val="00EB20DC"/>
    <w:rsid w:val="00EB2E36"/>
    <w:rsid w:val="00EB336A"/>
    <w:rsid w:val="00EB3CEB"/>
    <w:rsid w:val="00EB4154"/>
    <w:rsid w:val="00EB46E9"/>
    <w:rsid w:val="00EB59FB"/>
    <w:rsid w:val="00EB5F19"/>
    <w:rsid w:val="00EB6127"/>
    <w:rsid w:val="00EB63A0"/>
    <w:rsid w:val="00EB6C9F"/>
    <w:rsid w:val="00EB6CC7"/>
    <w:rsid w:val="00EC061A"/>
    <w:rsid w:val="00EC0645"/>
    <w:rsid w:val="00EC24EF"/>
    <w:rsid w:val="00EC2848"/>
    <w:rsid w:val="00EC2891"/>
    <w:rsid w:val="00EC2AE4"/>
    <w:rsid w:val="00EC2D89"/>
    <w:rsid w:val="00EC2FEB"/>
    <w:rsid w:val="00EC35BA"/>
    <w:rsid w:val="00EC3652"/>
    <w:rsid w:val="00EC4386"/>
    <w:rsid w:val="00EC5B21"/>
    <w:rsid w:val="00EC6380"/>
    <w:rsid w:val="00EC64F7"/>
    <w:rsid w:val="00EC6E6E"/>
    <w:rsid w:val="00ED0036"/>
    <w:rsid w:val="00ED0409"/>
    <w:rsid w:val="00ED1A12"/>
    <w:rsid w:val="00ED1B06"/>
    <w:rsid w:val="00ED1D02"/>
    <w:rsid w:val="00ED26BB"/>
    <w:rsid w:val="00ED292F"/>
    <w:rsid w:val="00ED2DFD"/>
    <w:rsid w:val="00ED3650"/>
    <w:rsid w:val="00ED3974"/>
    <w:rsid w:val="00ED445F"/>
    <w:rsid w:val="00ED45C9"/>
    <w:rsid w:val="00ED57A9"/>
    <w:rsid w:val="00ED6D97"/>
    <w:rsid w:val="00ED7956"/>
    <w:rsid w:val="00EE1660"/>
    <w:rsid w:val="00EE2349"/>
    <w:rsid w:val="00EE2D32"/>
    <w:rsid w:val="00EE3945"/>
    <w:rsid w:val="00EE3F69"/>
    <w:rsid w:val="00EE4333"/>
    <w:rsid w:val="00EE4436"/>
    <w:rsid w:val="00EE450D"/>
    <w:rsid w:val="00EE4BE1"/>
    <w:rsid w:val="00EE4F85"/>
    <w:rsid w:val="00EE5208"/>
    <w:rsid w:val="00EE55B2"/>
    <w:rsid w:val="00EE628C"/>
    <w:rsid w:val="00EE77A4"/>
    <w:rsid w:val="00EE7AD6"/>
    <w:rsid w:val="00EE7C10"/>
    <w:rsid w:val="00EF0C3B"/>
    <w:rsid w:val="00EF14E5"/>
    <w:rsid w:val="00EF19FA"/>
    <w:rsid w:val="00EF1A33"/>
    <w:rsid w:val="00EF1F62"/>
    <w:rsid w:val="00EF2243"/>
    <w:rsid w:val="00EF2275"/>
    <w:rsid w:val="00EF2662"/>
    <w:rsid w:val="00EF27E1"/>
    <w:rsid w:val="00EF3391"/>
    <w:rsid w:val="00EF4053"/>
    <w:rsid w:val="00EF4CC9"/>
    <w:rsid w:val="00EF508E"/>
    <w:rsid w:val="00EF5266"/>
    <w:rsid w:val="00EF5350"/>
    <w:rsid w:val="00EF5A68"/>
    <w:rsid w:val="00EF6981"/>
    <w:rsid w:val="00EF7735"/>
    <w:rsid w:val="00F004CB"/>
    <w:rsid w:val="00F004F4"/>
    <w:rsid w:val="00F013C8"/>
    <w:rsid w:val="00F02441"/>
    <w:rsid w:val="00F024FE"/>
    <w:rsid w:val="00F0262A"/>
    <w:rsid w:val="00F02BC4"/>
    <w:rsid w:val="00F02DAB"/>
    <w:rsid w:val="00F02DAD"/>
    <w:rsid w:val="00F03970"/>
    <w:rsid w:val="00F044A8"/>
    <w:rsid w:val="00F04D53"/>
    <w:rsid w:val="00F04F01"/>
    <w:rsid w:val="00F04F19"/>
    <w:rsid w:val="00F06396"/>
    <w:rsid w:val="00F0660D"/>
    <w:rsid w:val="00F07529"/>
    <w:rsid w:val="00F07822"/>
    <w:rsid w:val="00F07B53"/>
    <w:rsid w:val="00F07B54"/>
    <w:rsid w:val="00F10258"/>
    <w:rsid w:val="00F11ECE"/>
    <w:rsid w:val="00F13D6A"/>
    <w:rsid w:val="00F13DB1"/>
    <w:rsid w:val="00F146F7"/>
    <w:rsid w:val="00F15102"/>
    <w:rsid w:val="00F1529E"/>
    <w:rsid w:val="00F15E1C"/>
    <w:rsid w:val="00F15FED"/>
    <w:rsid w:val="00F163AF"/>
    <w:rsid w:val="00F168AA"/>
    <w:rsid w:val="00F16FC8"/>
    <w:rsid w:val="00F17444"/>
    <w:rsid w:val="00F17B29"/>
    <w:rsid w:val="00F20770"/>
    <w:rsid w:val="00F209B4"/>
    <w:rsid w:val="00F20F83"/>
    <w:rsid w:val="00F21B20"/>
    <w:rsid w:val="00F21B9F"/>
    <w:rsid w:val="00F22BD9"/>
    <w:rsid w:val="00F22F36"/>
    <w:rsid w:val="00F232B7"/>
    <w:rsid w:val="00F2365C"/>
    <w:rsid w:val="00F2393E"/>
    <w:rsid w:val="00F240D0"/>
    <w:rsid w:val="00F24A96"/>
    <w:rsid w:val="00F24CF2"/>
    <w:rsid w:val="00F2561C"/>
    <w:rsid w:val="00F3042B"/>
    <w:rsid w:val="00F307D6"/>
    <w:rsid w:val="00F30942"/>
    <w:rsid w:val="00F31182"/>
    <w:rsid w:val="00F314A1"/>
    <w:rsid w:val="00F31A8C"/>
    <w:rsid w:val="00F31C9D"/>
    <w:rsid w:val="00F32770"/>
    <w:rsid w:val="00F32BBA"/>
    <w:rsid w:val="00F32E3E"/>
    <w:rsid w:val="00F3396E"/>
    <w:rsid w:val="00F34CF6"/>
    <w:rsid w:val="00F35920"/>
    <w:rsid w:val="00F3726D"/>
    <w:rsid w:val="00F37EA5"/>
    <w:rsid w:val="00F413D8"/>
    <w:rsid w:val="00F413F7"/>
    <w:rsid w:val="00F4270C"/>
    <w:rsid w:val="00F433BF"/>
    <w:rsid w:val="00F44411"/>
    <w:rsid w:val="00F44F6B"/>
    <w:rsid w:val="00F45438"/>
    <w:rsid w:val="00F460C4"/>
    <w:rsid w:val="00F4706B"/>
    <w:rsid w:val="00F50966"/>
    <w:rsid w:val="00F5112D"/>
    <w:rsid w:val="00F5127C"/>
    <w:rsid w:val="00F5253D"/>
    <w:rsid w:val="00F5255E"/>
    <w:rsid w:val="00F537C6"/>
    <w:rsid w:val="00F53AC1"/>
    <w:rsid w:val="00F53E34"/>
    <w:rsid w:val="00F54101"/>
    <w:rsid w:val="00F543AE"/>
    <w:rsid w:val="00F56E56"/>
    <w:rsid w:val="00F56F90"/>
    <w:rsid w:val="00F6001F"/>
    <w:rsid w:val="00F6003C"/>
    <w:rsid w:val="00F60051"/>
    <w:rsid w:val="00F600F6"/>
    <w:rsid w:val="00F603DB"/>
    <w:rsid w:val="00F6070C"/>
    <w:rsid w:val="00F61417"/>
    <w:rsid w:val="00F619F0"/>
    <w:rsid w:val="00F62805"/>
    <w:rsid w:val="00F62B5C"/>
    <w:rsid w:val="00F632AD"/>
    <w:rsid w:val="00F647A8"/>
    <w:rsid w:val="00F647D8"/>
    <w:rsid w:val="00F64B0A"/>
    <w:rsid w:val="00F65175"/>
    <w:rsid w:val="00F67362"/>
    <w:rsid w:val="00F7016F"/>
    <w:rsid w:val="00F70272"/>
    <w:rsid w:val="00F70707"/>
    <w:rsid w:val="00F70EDC"/>
    <w:rsid w:val="00F71C48"/>
    <w:rsid w:val="00F71FB5"/>
    <w:rsid w:val="00F7223A"/>
    <w:rsid w:val="00F729B2"/>
    <w:rsid w:val="00F7335A"/>
    <w:rsid w:val="00F73BE5"/>
    <w:rsid w:val="00F74093"/>
    <w:rsid w:val="00F7413B"/>
    <w:rsid w:val="00F74480"/>
    <w:rsid w:val="00F75030"/>
    <w:rsid w:val="00F750A1"/>
    <w:rsid w:val="00F75302"/>
    <w:rsid w:val="00F75745"/>
    <w:rsid w:val="00F777B5"/>
    <w:rsid w:val="00F803CE"/>
    <w:rsid w:val="00F80A99"/>
    <w:rsid w:val="00F80ABE"/>
    <w:rsid w:val="00F826F3"/>
    <w:rsid w:val="00F829BA"/>
    <w:rsid w:val="00F82F10"/>
    <w:rsid w:val="00F83578"/>
    <w:rsid w:val="00F83B3F"/>
    <w:rsid w:val="00F83B55"/>
    <w:rsid w:val="00F83FCC"/>
    <w:rsid w:val="00F8518B"/>
    <w:rsid w:val="00F8622A"/>
    <w:rsid w:val="00F8713D"/>
    <w:rsid w:val="00F8748D"/>
    <w:rsid w:val="00F90599"/>
    <w:rsid w:val="00F9077E"/>
    <w:rsid w:val="00F9103B"/>
    <w:rsid w:val="00F91572"/>
    <w:rsid w:val="00F92064"/>
    <w:rsid w:val="00F929F9"/>
    <w:rsid w:val="00F92AA0"/>
    <w:rsid w:val="00F9301B"/>
    <w:rsid w:val="00F93368"/>
    <w:rsid w:val="00F9381A"/>
    <w:rsid w:val="00F9416C"/>
    <w:rsid w:val="00F9432D"/>
    <w:rsid w:val="00F94378"/>
    <w:rsid w:val="00F9438C"/>
    <w:rsid w:val="00F94464"/>
    <w:rsid w:val="00F95069"/>
    <w:rsid w:val="00F952F2"/>
    <w:rsid w:val="00F957D2"/>
    <w:rsid w:val="00F97E75"/>
    <w:rsid w:val="00FA02EC"/>
    <w:rsid w:val="00FA0434"/>
    <w:rsid w:val="00FA12A3"/>
    <w:rsid w:val="00FA1630"/>
    <w:rsid w:val="00FA193E"/>
    <w:rsid w:val="00FA27FC"/>
    <w:rsid w:val="00FA386C"/>
    <w:rsid w:val="00FA3DCB"/>
    <w:rsid w:val="00FA3EA8"/>
    <w:rsid w:val="00FA3F99"/>
    <w:rsid w:val="00FA4544"/>
    <w:rsid w:val="00FA4CA2"/>
    <w:rsid w:val="00FA565C"/>
    <w:rsid w:val="00FA56A1"/>
    <w:rsid w:val="00FA6B49"/>
    <w:rsid w:val="00FA6C87"/>
    <w:rsid w:val="00FA6CB5"/>
    <w:rsid w:val="00FA7943"/>
    <w:rsid w:val="00FA7EF2"/>
    <w:rsid w:val="00FA7F66"/>
    <w:rsid w:val="00FB1CB4"/>
    <w:rsid w:val="00FB1D28"/>
    <w:rsid w:val="00FB1F29"/>
    <w:rsid w:val="00FB1FBA"/>
    <w:rsid w:val="00FB234E"/>
    <w:rsid w:val="00FB391B"/>
    <w:rsid w:val="00FB39FE"/>
    <w:rsid w:val="00FB3C7B"/>
    <w:rsid w:val="00FB42D5"/>
    <w:rsid w:val="00FB524E"/>
    <w:rsid w:val="00FB5DDD"/>
    <w:rsid w:val="00FB769A"/>
    <w:rsid w:val="00FB7F1C"/>
    <w:rsid w:val="00FC08D8"/>
    <w:rsid w:val="00FC0997"/>
    <w:rsid w:val="00FC10B0"/>
    <w:rsid w:val="00FC16B9"/>
    <w:rsid w:val="00FC20AA"/>
    <w:rsid w:val="00FC2766"/>
    <w:rsid w:val="00FC2784"/>
    <w:rsid w:val="00FC2ABA"/>
    <w:rsid w:val="00FC2BFE"/>
    <w:rsid w:val="00FC35F6"/>
    <w:rsid w:val="00FC3D43"/>
    <w:rsid w:val="00FC3D85"/>
    <w:rsid w:val="00FC3DD4"/>
    <w:rsid w:val="00FC4A23"/>
    <w:rsid w:val="00FC55BB"/>
    <w:rsid w:val="00FC56F4"/>
    <w:rsid w:val="00FC6389"/>
    <w:rsid w:val="00FC6693"/>
    <w:rsid w:val="00FC6E31"/>
    <w:rsid w:val="00FC7894"/>
    <w:rsid w:val="00FD0C63"/>
    <w:rsid w:val="00FD143E"/>
    <w:rsid w:val="00FD1513"/>
    <w:rsid w:val="00FD2A0C"/>
    <w:rsid w:val="00FD32D0"/>
    <w:rsid w:val="00FD444D"/>
    <w:rsid w:val="00FD4923"/>
    <w:rsid w:val="00FD580C"/>
    <w:rsid w:val="00FD593F"/>
    <w:rsid w:val="00FD59D5"/>
    <w:rsid w:val="00FD6AF1"/>
    <w:rsid w:val="00FD6C67"/>
    <w:rsid w:val="00FD72D9"/>
    <w:rsid w:val="00FD7BB3"/>
    <w:rsid w:val="00FE32C4"/>
    <w:rsid w:val="00FE3957"/>
    <w:rsid w:val="00FE3D6D"/>
    <w:rsid w:val="00FE4906"/>
    <w:rsid w:val="00FE49D2"/>
    <w:rsid w:val="00FE554A"/>
    <w:rsid w:val="00FE71D8"/>
    <w:rsid w:val="00FE728B"/>
    <w:rsid w:val="00FE7DD0"/>
    <w:rsid w:val="00FE7F3F"/>
    <w:rsid w:val="00FF04F4"/>
    <w:rsid w:val="00FF105F"/>
    <w:rsid w:val="00FF1F29"/>
    <w:rsid w:val="00FF3046"/>
    <w:rsid w:val="00FF336F"/>
    <w:rsid w:val="00FF4133"/>
    <w:rsid w:val="00FF42BF"/>
    <w:rsid w:val="00FF4C82"/>
    <w:rsid w:val="00FF4ECB"/>
    <w:rsid w:val="00FF531E"/>
    <w:rsid w:val="00FF5507"/>
    <w:rsid w:val="00FF5C91"/>
    <w:rsid w:val="00FF61F3"/>
    <w:rsid w:val="00FF6D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C1261E"/>
  <w15:docId w15:val="{50009F77-DF00-4CA0-B395-863C0AB8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5E8"/>
    <w:rPr>
      <w:sz w:val="24"/>
      <w:szCs w:val="24"/>
    </w:rPr>
  </w:style>
  <w:style w:type="paragraph" w:styleId="Heading1">
    <w:name w:val="heading 1"/>
    <w:basedOn w:val="Normal"/>
    <w:next w:val="Normal"/>
    <w:link w:val="Heading1Char"/>
    <w:qFormat/>
    <w:rsid w:val="003D297A"/>
    <w:pPr>
      <w:keepNext/>
      <w:keepLines/>
      <w:spacing w:before="480"/>
      <w:outlineLvl w:val="0"/>
    </w:pPr>
    <w:rPr>
      <w:b/>
      <w:bCs/>
      <w:sz w:val="28"/>
      <w:szCs w:val="28"/>
    </w:rPr>
  </w:style>
  <w:style w:type="paragraph" w:styleId="Heading2">
    <w:name w:val="heading 2"/>
    <w:basedOn w:val="Normal"/>
    <w:next w:val="Normal"/>
    <w:link w:val="Heading2Char"/>
    <w:semiHidden/>
    <w:unhideWhenUsed/>
    <w:qFormat/>
    <w:rsid w:val="00E932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8F45E8"/>
    <w:pPr>
      <w:numPr>
        <w:numId w:val="1"/>
      </w:numPr>
    </w:pPr>
  </w:style>
  <w:style w:type="paragraph" w:styleId="NormalWeb">
    <w:name w:val="Normal (Web)"/>
    <w:basedOn w:val="Normal"/>
    <w:uiPriority w:val="99"/>
    <w:unhideWhenUsed/>
    <w:rsid w:val="008F45E8"/>
    <w:pPr>
      <w:spacing w:before="100" w:beforeAutospacing="1" w:after="100" w:afterAutospacing="1"/>
    </w:pPr>
  </w:style>
  <w:style w:type="character" w:customStyle="1" w:styleId="apple-converted-space">
    <w:name w:val="apple-converted-space"/>
    <w:basedOn w:val="DefaultParagraphFont"/>
    <w:rsid w:val="008F45E8"/>
  </w:style>
  <w:style w:type="character" w:customStyle="1" w:styleId="Heading1Char">
    <w:name w:val="Heading 1 Char"/>
    <w:link w:val="Heading1"/>
    <w:rsid w:val="003D297A"/>
    <w:rPr>
      <w:rFonts w:eastAsia="Times New Roman" w:cs="Times New Roman"/>
      <w:b/>
      <w:bCs/>
      <w:sz w:val="28"/>
      <w:szCs w:val="28"/>
    </w:rPr>
  </w:style>
  <w:style w:type="paragraph" w:customStyle="1" w:styleId="EndNoteBibliographyTitle">
    <w:name w:val="EndNote Bibliography Title"/>
    <w:basedOn w:val="Normal"/>
    <w:link w:val="EndNoteBibliographyTitleChar"/>
    <w:rsid w:val="00F5255E"/>
    <w:pPr>
      <w:jc w:val="center"/>
    </w:pPr>
    <w:rPr>
      <w:rFonts w:ascii="Calibri" w:hAnsi="Calibri" w:cs="Calibri"/>
      <w:noProof/>
      <w:sz w:val="22"/>
    </w:rPr>
  </w:style>
  <w:style w:type="character" w:customStyle="1" w:styleId="EndNoteBibliographyTitleChar">
    <w:name w:val="EndNote Bibliography Title Char"/>
    <w:link w:val="EndNoteBibliographyTitle"/>
    <w:rsid w:val="00F5255E"/>
    <w:rPr>
      <w:rFonts w:ascii="Calibri" w:hAnsi="Calibri" w:cs="Calibri"/>
      <w:noProof/>
      <w:sz w:val="22"/>
      <w:szCs w:val="24"/>
    </w:rPr>
  </w:style>
  <w:style w:type="paragraph" w:customStyle="1" w:styleId="EndNoteBibliography">
    <w:name w:val="EndNote Bibliography"/>
    <w:basedOn w:val="Normal"/>
    <w:link w:val="EndNoteBibliographyChar"/>
    <w:rsid w:val="00F5255E"/>
    <w:rPr>
      <w:rFonts w:ascii="Calibri" w:hAnsi="Calibri" w:cs="Calibri"/>
      <w:noProof/>
      <w:sz w:val="22"/>
    </w:rPr>
  </w:style>
  <w:style w:type="character" w:customStyle="1" w:styleId="EndNoteBibliographyChar">
    <w:name w:val="EndNote Bibliography Char"/>
    <w:link w:val="EndNoteBibliography"/>
    <w:rsid w:val="00F5255E"/>
    <w:rPr>
      <w:rFonts w:ascii="Calibri" w:hAnsi="Calibri" w:cs="Calibri"/>
      <w:noProof/>
      <w:sz w:val="22"/>
      <w:szCs w:val="24"/>
    </w:rPr>
  </w:style>
  <w:style w:type="character" w:styleId="Hyperlink">
    <w:name w:val="Hyperlink"/>
    <w:rsid w:val="00F5255E"/>
    <w:rPr>
      <w:color w:val="0000FF"/>
      <w:u w:val="single"/>
    </w:rPr>
  </w:style>
  <w:style w:type="paragraph" w:styleId="Header">
    <w:name w:val="header"/>
    <w:basedOn w:val="Normal"/>
    <w:link w:val="HeaderChar"/>
    <w:rsid w:val="009E0937"/>
    <w:pPr>
      <w:tabs>
        <w:tab w:val="center" w:pos="4513"/>
        <w:tab w:val="right" w:pos="9026"/>
      </w:tabs>
    </w:pPr>
  </w:style>
  <w:style w:type="character" w:customStyle="1" w:styleId="HeaderChar">
    <w:name w:val="Header Char"/>
    <w:link w:val="Header"/>
    <w:rsid w:val="009E0937"/>
    <w:rPr>
      <w:sz w:val="24"/>
      <w:szCs w:val="24"/>
    </w:rPr>
  </w:style>
  <w:style w:type="paragraph" w:styleId="Footer">
    <w:name w:val="footer"/>
    <w:basedOn w:val="Normal"/>
    <w:link w:val="FooterChar"/>
    <w:uiPriority w:val="99"/>
    <w:rsid w:val="009E0937"/>
    <w:pPr>
      <w:tabs>
        <w:tab w:val="center" w:pos="4513"/>
        <w:tab w:val="right" w:pos="9026"/>
      </w:tabs>
    </w:pPr>
  </w:style>
  <w:style w:type="character" w:customStyle="1" w:styleId="FooterChar">
    <w:name w:val="Footer Char"/>
    <w:link w:val="Footer"/>
    <w:uiPriority w:val="99"/>
    <w:rsid w:val="009E0937"/>
    <w:rPr>
      <w:sz w:val="24"/>
      <w:szCs w:val="24"/>
    </w:rPr>
  </w:style>
  <w:style w:type="paragraph" w:styleId="FootnoteText">
    <w:name w:val="footnote text"/>
    <w:basedOn w:val="Normal"/>
    <w:link w:val="FootnoteTextChar"/>
    <w:uiPriority w:val="99"/>
    <w:rsid w:val="00092CC8"/>
    <w:rPr>
      <w:sz w:val="20"/>
      <w:szCs w:val="20"/>
    </w:rPr>
  </w:style>
  <w:style w:type="character" w:customStyle="1" w:styleId="FootnoteTextChar">
    <w:name w:val="Footnote Text Char"/>
    <w:basedOn w:val="DefaultParagraphFont"/>
    <w:link w:val="FootnoteText"/>
    <w:uiPriority w:val="99"/>
    <w:rsid w:val="00092CC8"/>
  </w:style>
  <w:style w:type="character" w:styleId="FootnoteReference">
    <w:name w:val="footnote reference"/>
    <w:uiPriority w:val="99"/>
    <w:rsid w:val="00092CC8"/>
    <w:rPr>
      <w:vertAlign w:val="superscript"/>
    </w:rPr>
  </w:style>
  <w:style w:type="character" w:styleId="PlaceholderText">
    <w:name w:val="Placeholder Text"/>
    <w:uiPriority w:val="99"/>
    <w:semiHidden/>
    <w:rsid w:val="00CD58AC"/>
    <w:rPr>
      <w:color w:val="808080"/>
    </w:rPr>
  </w:style>
  <w:style w:type="paragraph" w:styleId="BalloonText">
    <w:name w:val="Balloon Text"/>
    <w:basedOn w:val="Normal"/>
    <w:link w:val="BalloonTextChar"/>
    <w:rsid w:val="00CD58AC"/>
    <w:rPr>
      <w:rFonts w:ascii="Tahoma" w:hAnsi="Tahoma" w:cs="Tahoma"/>
      <w:sz w:val="16"/>
      <w:szCs w:val="16"/>
    </w:rPr>
  </w:style>
  <w:style w:type="character" w:customStyle="1" w:styleId="BalloonTextChar">
    <w:name w:val="Balloon Text Char"/>
    <w:link w:val="BalloonText"/>
    <w:rsid w:val="00CD58AC"/>
    <w:rPr>
      <w:rFonts w:ascii="Tahoma" w:hAnsi="Tahoma" w:cs="Tahoma"/>
      <w:sz w:val="16"/>
      <w:szCs w:val="16"/>
    </w:rPr>
  </w:style>
  <w:style w:type="paragraph" w:styleId="BodyText2">
    <w:name w:val="Body Text 2"/>
    <w:basedOn w:val="Normal"/>
    <w:link w:val="BodyText2Char"/>
    <w:rsid w:val="008A3171"/>
    <w:pPr>
      <w:spacing w:after="120" w:line="360" w:lineRule="auto"/>
    </w:pPr>
  </w:style>
  <w:style w:type="character" w:customStyle="1" w:styleId="BodyText2Char">
    <w:name w:val="Body Text 2 Char"/>
    <w:link w:val="BodyText2"/>
    <w:rsid w:val="008A3171"/>
    <w:rPr>
      <w:sz w:val="24"/>
      <w:szCs w:val="24"/>
    </w:rPr>
  </w:style>
  <w:style w:type="paragraph" w:styleId="EndnoteText">
    <w:name w:val="endnote text"/>
    <w:basedOn w:val="Normal"/>
    <w:link w:val="EndnoteTextChar"/>
    <w:rsid w:val="008A3171"/>
    <w:rPr>
      <w:sz w:val="20"/>
      <w:szCs w:val="20"/>
    </w:rPr>
  </w:style>
  <w:style w:type="character" w:customStyle="1" w:styleId="EndnoteTextChar">
    <w:name w:val="Endnote Text Char"/>
    <w:basedOn w:val="DefaultParagraphFont"/>
    <w:link w:val="EndnoteText"/>
    <w:rsid w:val="008A3171"/>
  </w:style>
  <w:style w:type="character" w:styleId="EndnoteReference">
    <w:name w:val="endnote reference"/>
    <w:rsid w:val="008A3171"/>
    <w:rPr>
      <w:vertAlign w:val="superscript"/>
    </w:rPr>
  </w:style>
  <w:style w:type="paragraph" w:styleId="Revision">
    <w:name w:val="Revision"/>
    <w:hidden/>
    <w:uiPriority w:val="99"/>
    <w:semiHidden/>
    <w:rsid w:val="00AD150E"/>
    <w:rPr>
      <w:sz w:val="24"/>
      <w:szCs w:val="24"/>
    </w:rPr>
  </w:style>
  <w:style w:type="table" w:styleId="TableGrid">
    <w:name w:val="Table Grid"/>
    <w:basedOn w:val="TableNormal"/>
    <w:uiPriority w:val="39"/>
    <w:rsid w:val="00CC0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86358"/>
    <w:pPr>
      <w:spacing w:after="200"/>
    </w:pPr>
    <w:rPr>
      <w:rFonts w:eastAsia="MS Mincho"/>
      <w:b/>
      <w:bCs/>
      <w:color w:val="4F81BD"/>
      <w:sz w:val="18"/>
      <w:szCs w:val="18"/>
      <w:lang w:eastAsia="ja-JP"/>
    </w:rPr>
  </w:style>
  <w:style w:type="character" w:styleId="CommentReference">
    <w:name w:val="annotation reference"/>
    <w:basedOn w:val="DefaultParagraphFont"/>
    <w:uiPriority w:val="99"/>
    <w:rsid w:val="00F15FED"/>
    <w:rPr>
      <w:sz w:val="16"/>
      <w:szCs w:val="16"/>
    </w:rPr>
  </w:style>
  <w:style w:type="paragraph" w:styleId="CommentText">
    <w:name w:val="annotation text"/>
    <w:basedOn w:val="Normal"/>
    <w:link w:val="CommentTextChar"/>
    <w:uiPriority w:val="99"/>
    <w:rsid w:val="00F15FED"/>
    <w:rPr>
      <w:sz w:val="20"/>
      <w:szCs w:val="20"/>
    </w:rPr>
  </w:style>
  <w:style w:type="character" w:customStyle="1" w:styleId="CommentTextChar">
    <w:name w:val="Comment Text Char"/>
    <w:basedOn w:val="DefaultParagraphFont"/>
    <w:link w:val="CommentText"/>
    <w:uiPriority w:val="99"/>
    <w:rsid w:val="00F15FED"/>
  </w:style>
  <w:style w:type="paragraph" w:styleId="CommentSubject">
    <w:name w:val="annotation subject"/>
    <w:basedOn w:val="CommentText"/>
    <w:next w:val="CommentText"/>
    <w:link w:val="CommentSubjectChar"/>
    <w:rsid w:val="00F15FED"/>
    <w:rPr>
      <w:b/>
      <w:bCs/>
    </w:rPr>
  </w:style>
  <w:style w:type="character" w:customStyle="1" w:styleId="CommentSubjectChar">
    <w:name w:val="Comment Subject Char"/>
    <w:basedOn w:val="CommentTextChar"/>
    <w:link w:val="CommentSubject"/>
    <w:rsid w:val="00F15FED"/>
    <w:rPr>
      <w:b/>
      <w:bCs/>
    </w:rPr>
  </w:style>
  <w:style w:type="paragraph" w:styleId="ListParagraph">
    <w:name w:val="List Paragraph"/>
    <w:basedOn w:val="Normal"/>
    <w:uiPriority w:val="34"/>
    <w:qFormat/>
    <w:rsid w:val="007672B4"/>
    <w:pPr>
      <w:ind w:left="720"/>
      <w:contextualSpacing/>
    </w:pPr>
  </w:style>
  <w:style w:type="character" w:styleId="FollowedHyperlink">
    <w:name w:val="FollowedHyperlink"/>
    <w:basedOn w:val="DefaultParagraphFont"/>
    <w:rsid w:val="00AB74AE"/>
    <w:rPr>
      <w:color w:val="800080" w:themeColor="followedHyperlink"/>
      <w:u w:val="single"/>
    </w:rPr>
  </w:style>
  <w:style w:type="paragraph" w:styleId="DocumentMap">
    <w:name w:val="Document Map"/>
    <w:basedOn w:val="Normal"/>
    <w:link w:val="DocumentMapChar"/>
    <w:rsid w:val="00AB2C71"/>
    <w:rPr>
      <w:rFonts w:ascii="Lucida Grande" w:hAnsi="Lucida Grande"/>
    </w:rPr>
  </w:style>
  <w:style w:type="character" w:customStyle="1" w:styleId="DocumentMapChar">
    <w:name w:val="Document Map Char"/>
    <w:basedOn w:val="DefaultParagraphFont"/>
    <w:link w:val="DocumentMap"/>
    <w:rsid w:val="00AB2C71"/>
    <w:rPr>
      <w:rFonts w:ascii="Lucida Grande" w:hAnsi="Lucida Grande"/>
      <w:sz w:val="24"/>
      <w:szCs w:val="24"/>
    </w:rPr>
  </w:style>
  <w:style w:type="character" w:styleId="LineNumber">
    <w:name w:val="line number"/>
    <w:basedOn w:val="DefaultParagraphFont"/>
    <w:rsid w:val="00616D51"/>
  </w:style>
  <w:style w:type="character" w:customStyle="1" w:styleId="Heading2Char">
    <w:name w:val="Heading 2 Char"/>
    <w:basedOn w:val="DefaultParagraphFont"/>
    <w:link w:val="Heading2"/>
    <w:semiHidden/>
    <w:rsid w:val="00E9326D"/>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2220B5"/>
    <w:rPr>
      <w:color w:val="605E5C"/>
      <w:shd w:val="clear" w:color="auto" w:fill="E1DFDD"/>
    </w:rPr>
  </w:style>
  <w:style w:type="character" w:styleId="Strong">
    <w:name w:val="Strong"/>
    <w:uiPriority w:val="22"/>
    <w:qFormat/>
    <w:rsid w:val="00CD4A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15730">
      <w:bodyDiv w:val="1"/>
      <w:marLeft w:val="0"/>
      <w:marRight w:val="0"/>
      <w:marTop w:val="0"/>
      <w:marBottom w:val="0"/>
      <w:divBdr>
        <w:top w:val="none" w:sz="0" w:space="0" w:color="auto"/>
        <w:left w:val="none" w:sz="0" w:space="0" w:color="auto"/>
        <w:bottom w:val="none" w:sz="0" w:space="0" w:color="auto"/>
        <w:right w:val="none" w:sz="0" w:space="0" w:color="auto"/>
      </w:divBdr>
    </w:div>
    <w:div w:id="107900125">
      <w:bodyDiv w:val="1"/>
      <w:marLeft w:val="0"/>
      <w:marRight w:val="0"/>
      <w:marTop w:val="0"/>
      <w:marBottom w:val="0"/>
      <w:divBdr>
        <w:top w:val="none" w:sz="0" w:space="0" w:color="auto"/>
        <w:left w:val="none" w:sz="0" w:space="0" w:color="auto"/>
        <w:bottom w:val="none" w:sz="0" w:space="0" w:color="auto"/>
        <w:right w:val="none" w:sz="0" w:space="0" w:color="auto"/>
      </w:divBdr>
    </w:div>
    <w:div w:id="118887229">
      <w:bodyDiv w:val="1"/>
      <w:marLeft w:val="0"/>
      <w:marRight w:val="0"/>
      <w:marTop w:val="0"/>
      <w:marBottom w:val="0"/>
      <w:divBdr>
        <w:top w:val="none" w:sz="0" w:space="0" w:color="auto"/>
        <w:left w:val="none" w:sz="0" w:space="0" w:color="auto"/>
        <w:bottom w:val="none" w:sz="0" w:space="0" w:color="auto"/>
        <w:right w:val="none" w:sz="0" w:space="0" w:color="auto"/>
      </w:divBdr>
    </w:div>
    <w:div w:id="206263753">
      <w:bodyDiv w:val="1"/>
      <w:marLeft w:val="0"/>
      <w:marRight w:val="0"/>
      <w:marTop w:val="0"/>
      <w:marBottom w:val="0"/>
      <w:divBdr>
        <w:top w:val="none" w:sz="0" w:space="0" w:color="auto"/>
        <w:left w:val="none" w:sz="0" w:space="0" w:color="auto"/>
        <w:bottom w:val="none" w:sz="0" w:space="0" w:color="auto"/>
        <w:right w:val="none" w:sz="0" w:space="0" w:color="auto"/>
      </w:divBdr>
    </w:div>
    <w:div w:id="218519640">
      <w:bodyDiv w:val="1"/>
      <w:marLeft w:val="0"/>
      <w:marRight w:val="0"/>
      <w:marTop w:val="0"/>
      <w:marBottom w:val="0"/>
      <w:divBdr>
        <w:top w:val="none" w:sz="0" w:space="0" w:color="auto"/>
        <w:left w:val="none" w:sz="0" w:space="0" w:color="auto"/>
        <w:bottom w:val="none" w:sz="0" w:space="0" w:color="auto"/>
        <w:right w:val="none" w:sz="0" w:space="0" w:color="auto"/>
      </w:divBdr>
    </w:div>
    <w:div w:id="295137428">
      <w:bodyDiv w:val="1"/>
      <w:marLeft w:val="0"/>
      <w:marRight w:val="0"/>
      <w:marTop w:val="0"/>
      <w:marBottom w:val="0"/>
      <w:divBdr>
        <w:top w:val="none" w:sz="0" w:space="0" w:color="auto"/>
        <w:left w:val="none" w:sz="0" w:space="0" w:color="auto"/>
        <w:bottom w:val="none" w:sz="0" w:space="0" w:color="auto"/>
        <w:right w:val="none" w:sz="0" w:space="0" w:color="auto"/>
      </w:divBdr>
    </w:div>
    <w:div w:id="346374856">
      <w:bodyDiv w:val="1"/>
      <w:marLeft w:val="0"/>
      <w:marRight w:val="0"/>
      <w:marTop w:val="0"/>
      <w:marBottom w:val="0"/>
      <w:divBdr>
        <w:top w:val="none" w:sz="0" w:space="0" w:color="auto"/>
        <w:left w:val="none" w:sz="0" w:space="0" w:color="auto"/>
        <w:bottom w:val="none" w:sz="0" w:space="0" w:color="auto"/>
        <w:right w:val="none" w:sz="0" w:space="0" w:color="auto"/>
      </w:divBdr>
    </w:div>
    <w:div w:id="362023646">
      <w:bodyDiv w:val="1"/>
      <w:marLeft w:val="0"/>
      <w:marRight w:val="0"/>
      <w:marTop w:val="0"/>
      <w:marBottom w:val="0"/>
      <w:divBdr>
        <w:top w:val="none" w:sz="0" w:space="0" w:color="auto"/>
        <w:left w:val="none" w:sz="0" w:space="0" w:color="auto"/>
        <w:bottom w:val="none" w:sz="0" w:space="0" w:color="auto"/>
        <w:right w:val="none" w:sz="0" w:space="0" w:color="auto"/>
      </w:divBdr>
    </w:div>
    <w:div w:id="421338434">
      <w:bodyDiv w:val="1"/>
      <w:marLeft w:val="0"/>
      <w:marRight w:val="0"/>
      <w:marTop w:val="0"/>
      <w:marBottom w:val="0"/>
      <w:divBdr>
        <w:top w:val="none" w:sz="0" w:space="0" w:color="auto"/>
        <w:left w:val="none" w:sz="0" w:space="0" w:color="auto"/>
        <w:bottom w:val="none" w:sz="0" w:space="0" w:color="auto"/>
        <w:right w:val="none" w:sz="0" w:space="0" w:color="auto"/>
      </w:divBdr>
    </w:div>
    <w:div w:id="492916526">
      <w:bodyDiv w:val="1"/>
      <w:marLeft w:val="0"/>
      <w:marRight w:val="0"/>
      <w:marTop w:val="0"/>
      <w:marBottom w:val="0"/>
      <w:divBdr>
        <w:top w:val="none" w:sz="0" w:space="0" w:color="auto"/>
        <w:left w:val="none" w:sz="0" w:space="0" w:color="auto"/>
        <w:bottom w:val="none" w:sz="0" w:space="0" w:color="auto"/>
        <w:right w:val="none" w:sz="0" w:space="0" w:color="auto"/>
      </w:divBdr>
    </w:div>
    <w:div w:id="504902029">
      <w:bodyDiv w:val="1"/>
      <w:marLeft w:val="0"/>
      <w:marRight w:val="0"/>
      <w:marTop w:val="0"/>
      <w:marBottom w:val="0"/>
      <w:divBdr>
        <w:top w:val="none" w:sz="0" w:space="0" w:color="auto"/>
        <w:left w:val="none" w:sz="0" w:space="0" w:color="auto"/>
        <w:bottom w:val="none" w:sz="0" w:space="0" w:color="auto"/>
        <w:right w:val="none" w:sz="0" w:space="0" w:color="auto"/>
      </w:divBdr>
    </w:div>
    <w:div w:id="583874594">
      <w:bodyDiv w:val="1"/>
      <w:marLeft w:val="0"/>
      <w:marRight w:val="0"/>
      <w:marTop w:val="0"/>
      <w:marBottom w:val="0"/>
      <w:divBdr>
        <w:top w:val="none" w:sz="0" w:space="0" w:color="auto"/>
        <w:left w:val="none" w:sz="0" w:space="0" w:color="auto"/>
        <w:bottom w:val="none" w:sz="0" w:space="0" w:color="auto"/>
        <w:right w:val="none" w:sz="0" w:space="0" w:color="auto"/>
      </w:divBdr>
    </w:div>
    <w:div w:id="597758751">
      <w:bodyDiv w:val="1"/>
      <w:marLeft w:val="0"/>
      <w:marRight w:val="0"/>
      <w:marTop w:val="0"/>
      <w:marBottom w:val="0"/>
      <w:divBdr>
        <w:top w:val="none" w:sz="0" w:space="0" w:color="auto"/>
        <w:left w:val="none" w:sz="0" w:space="0" w:color="auto"/>
        <w:bottom w:val="none" w:sz="0" w:space="0" w:color="auto"/>
        <w:right w:val="none" w:sz="0" w:space="0" w:color="auto"/>
      </w:divBdr>
    </w:div>
    <w:div w:id="606692727">
      <w:bodyDiv w:val="1"/>
      <w:marLeft w:val="0"/>
      <w:marRight w:val="0"/>
      <w:marTop w:val="0"/>
      <w:marBottom w:val="0"/>
      <w:divBdr>
        <w:top w:val="none" w:sz="0" w:space="0" w:color="auto"/>
        <w:left w:val="none" w:sz="0" w:space="0" w:color="auto"/>
        <w:bottom w:val="none" w:sz="0" w:space="0" w:color="auto"/>
        <w:right w:val="none" w:sz="0" w:space="0" w:color="auto"/>
      </w:divBdr>
    </w:div>
    <w:div w:id="621423907">
      <w:bodyDiv w:val="1"/>
      <w:marLeft w:val="0"/>
      <w:marRight w:val="0"/>
      <w:marTop w:val="0"/>
      <w:marBottom w:val="0"/>
      <w:divBdr>
        <w:top w:val="none" w:sz="0" w:space="0" w:color="auto"/>
        <w:left w:val="none" w:sz="0" w:space="0" w:color="auto"/>
        <w:bottom w:val="none" w:sz="0" w:space="0" w:color="auto"/>
        <w:right w:val="none" w:sz="0" w:space="0" w:color="auto"/>
      </w:divBdr>
    </w:div>
    <w:div w:id="684331054">
      <w:bodyDiv w:val="1"/>
      <w:marLeft w:val="0"/>
      <w:marRight w:val="0"/>
      <w:marTop w:val="0"/>
      <w:marBottom w:val="0"/>
      <w:divBdr>
        <w:top w:val="none" w:sz="0" w:space="0" w:color="auto"/>
        <w:left w:val="none" w:sz="0" w:space="0" w:color="auto"/>
        <w:bottom w:val="none" w:sz="0" w:space="0" w:color="auto"/>
        <w:right w:val="none" w:sz="0" w:space="0" w:color="auto"/>
      </w:divBdr>
    </w:div>
    <w:div w:id="685130981">
      <w:bodyDiv w:val="1"/>
      <w:marLeft w:val="0"/>
      <w:marRight w:val="0"/>
      <w:marTop w:val="0"/>
      <w:marBottom w:val="0"/>
      <w:divBdr>
        <w:top w:val="none" w:sz="0" w:space="0" w:color="auto"/>
        <w:left w:val="none" w:sz="0" w:space="0" w:color="auto"/>
        <w:bottom w:val="none" w:sz="0" w:space="0" w:color="auto"/>
        <w:right w:val="none" w:sz="0" w:space="0" w:color="auto"/>
      </w:divBdr>
    </w:div>
    <w:div w:id="694893320">
      <w:bodyDiv w:val="1"/>
      <w:marLeft w:val="0"/>
      <w:marRight w:val="0"/>
      <w:marTop w:val="0"/>
      <w:marBottom w:val="0"/>
      <w:divBdr>
        <w:top w:val="none" w:sz="0" w:space="0" w:color="auto"/>
        <w:left w:val="none" w:sz="0" w:space="0" w:color="auto"/>
        <w:bottom w:val="none" w:sz="0" w:space="0" w:color="auto"/>
        <w:right w:val="none" w:sz="0" w:space="0" w:color="auto"/>
      </w:divBdr>
    </w:div>
    <w:div w:id="729769061">
      <w:bodyDiv w:val="1"/>
      <w:marLeft w:val="0"/>
      <w:marRight w:val="0"/>
      <w:marTop w:val="0"/>
      <w:marBottom w:val="0"/>
      <w:divBdr>
        <w:top w:val="none" w:sz="0" w:space="0" w:color="auto"/>
        <w:left w:val="none" w:sz="0" w:space="0" w:color="auto"/>
        <w:bottom w:val="none" w:sz="0" w:space="0" w:color="auto"/>
        <w:right w:val="none" w:sz="0" w:space="0" w:color="auto"/>
      </w:divBdr>
    </w:div>
    <w:div w:id="747575232">
      <w:bodyDiv w:val="1"/>
      <w:marLeft w:val="0"/>
      <w:marRight w:val="0"/>
      <w:marTop w:val="0"/>
      <w:marBottom w:val="0"/>
      <w:divBdr>
        <w:top w:val="none" w:sz="0" w:space="0" w:color="auto"/>
        <w:left w:val="none" w:sz="0" w:space="0" w:color="auto"/>
        <w:bottom w:val="none" w:sz="0" w:space="0" w:color="auto"/>
        <w:right w:val="none" w:sz="0" w:space="0" w:color="auto"/>
      </w:divBdr>
    </w:div>
    <w:div w:id="765272333">
      <w:bodyDiv w:val="1"/>
      <w:marLeft w:val="0"/>
      <w:marRight w:val="0"/>
      <w:marTop w:val="0"/>
      <w:marBottom w:val="0"/>
      <w:divBdr>
        <w:top w:val="none" w:sz="0" w:space="0" w:color="auto"/>
        <w:left w:val="none" w:sz="0" w:space="0" w:color="auto"/>
        <w:bottom w:val="none" w:sz="0" w:space="0" w:color="auto"/>
        <w:right w:val="none" w:sz="0" w:space="0" w:color="auto"/>
      </w:divBdr>
    </w:div>
    <w:div w:id="769937983">
      <w:bodyDiv w:val="1"/>
      <w:marLeft w:val="0"/>
      <w:marRight w:val="0"/>
      <w:marTop w:val="0"/>
      <w:marBottom w:val="0"/>
      <w:divBdr>
        <w:top w:val="none" w:sz="0" w:space="0" w:color="auto"/>
        <w:left w:val="none" w:sz="0" w:space="0" w:color="auto"/>
        <w:bottom w:val="none" w:sz="0" w:space="0" w:color="auto"/>
        <w:right w:val="none" w:sz="0" w:space="0" w:color="auto"/>
      </w:divBdr>
    </w:div>
    <w:div w:id="834880833">
      <w:bodyDiv w:val="1"/>
      <w:marLeft w:val="0"/>
      <w:marRight w:val="0"/>
      <w:marTop w:val="0"/>
      <w:marBottom w:val="0"/>
      <w:divBdr>
        <w:top w:val="none" w:sz="0" w:space="0" w:color="auto"/>
        <w:left w:val="none" w:sz="0" w:space="0" w:color="auto"/>
        <w:bottom w:val="none" w:sz="0" w:space="0" w:color="auto"/>
        <w:right w:val="none" w:sz="0" w:space="0" w:color="auto"/>
      </w:divBdr>
    </w:div>
    <w:div w:id="841892214">
      <w:bodyDiv w:val="1"/>
      <w:marLeft w:val="0"/>
      <w:marRight w:val="0"/>
      <w:marTop w:val="0"/>
      <w:marBottom w:val="0"/>
      <w:divBdr>
        <w:top w:val="none" w:sz="0" w:space="0" w:color="auto"/>
        <w:left w:val="none" w:sz="0" w:space="0" w:color="auto"/>
        <w:bottom w:val="none" w:sz="0" w:space="0" w:color="auto"/>
        <w:right w:val="none" w:sz="0" w:space="0" w:color="auto"/>
      </w:divBdr>
    </w:div>
    <w:div w:id="915826703">
      <w:bodyDiv w:val="1"/>
      <w:marLeft w:val="0"/>
      <w:marRight w:val="0"/>
      <w:marTop w:val="0"/>
      <w:marBottom w:val="0"/>
      <w:divBdr>
        <w:top w:val="none" w:sz="0" w:space="0" w:color="auto"/>
        <w:left w:val="none" w:sz="0" w:space="0" w:color="auto"/>
        <w:bottom w:val="none" w:sz="0" w:space="0" w:color="auto"/>
        <w:right w:val="none" w:sz="0" w:space="0" w:color="auto"/>
      </w:divBdr>
    </w:div>
    <w:div w:id="936055794">
      <w:bodyDiv w:val="1"/>
      <w:marLeft w:val="0"/>
      <w:marRight w:val="0"/>
      <w:marTop w:val="0"/>
      <w:marBottom w:val="0"/>
      <w:divBdr>
        <w:top w:val="none" w:sz="0" w:space="0" w:color="auto"/>
        <w:left w:val="none" w:sz="0" w:space="0" w:color="auto"/>
        <w:bottom w:val="none" w:sz="0" w:space="0" w:color="auto"/>
        <w:right w:val="none" w:sz="0" w:space="0" w:color="auto"/>
      </w:divBdr>
    </w:div>
    <w:div w:id="946816080">
      <w:bodyDiv w:val="1"/>
      <w:marLeft w:val="0"/>
      <w:marRight w:val="0"/>
      <w:marTop w:val="0"/>
      <w:marBottom w:val="0"/>
      <w:divBdr>
        <w:top w:val="none" w:sz="0" w:space="0" w:color="auto"/>
        <w:left w:val="none" w:sz="0" w:space="0" w:color="auto"/>
        <w:bottom w:val="none" w:sz="0" w:space="0" w:color="auto"/>
        <w:right w:val="none" w:sz="0" w:space="0" w:color="auto"/>
      </w:divBdr>
    </w:div>
    <w:div w:id="992102848">
      <w:bodyDiv w:val="1"/>
      <w:marLeft w:val="0"/>
      <w:marRight w:val="0"/>
      <w:marTop w:val="0"/>
      <w:marBottom w:val="0"/>
      <w:divBdr>
        <w:top w:val="none" w:sz="0" w:space="0" w:color="auto"/>
        <w:left w:val="none" w:sz="0" w:space="0" w:color="auto"/>
        <w:bottom w:val="none" w:sz="0" w:space="0" w:color="auto"/>
        <w:right w:val="none" w:sz="0" w:space="0" w:color="auto"/>
      </w:divBdr>
    </w:div>
    <w:div w:id="1035235791">
      <w:bodyDiv w:val="1"/>
      <w:marLeft w:val="0"/>
      <w:marRight w:val="0"/>
      <w:marTop w:val="0"/>
      <w:marBottom w:val="0"/>
      <w:divBdr>
        <w:top w:val="none" w:sz="0" w:space="0" w:color="auto"/>
        <w:left w:val="none" w:sz="0" w:space="0" w:color="auto"/>
        <w:bottom w:val="none" w:sz="0" w:space="0" w:color="auto"/>
        <w:right w:val="none" w:sz="0" w:space="0" w:color="auto"/>
      </w:divBdr>
    </w:div>
    <w:div w:id="1040865475">
      <w:bodyDiv w:val="1"/>
      <w:marLeft w:val="0"/>
      <w:marRight w:val="0"/>
      <w:marTop w:val="0"/>
      <w:marBottom w:val="0"/>
      <w:divBdr>
        <w:top w:val="none" w:sz="0" w:space="0" w:color="auto"/>
        <w:left w:val="none" w:sz="0" w:space="0" w:color="auto"/>
        <w:bottom w:val="none" w:sz="0" w:space="0" w:color="auto"/>
        <w:right w:val="none" w:sz="0" w:space="0" w:color="auto"/>
      </w:divBdr>
    </w:div>
    <w:div w:id="1100754989">
      <w:bodyDiv w:val="1"/>
      <w:marLeft w:val="0"/>
      <w:marRight w:val="0"/>
      <w:marTop w:val="0"/>
      <w:marBottom w:val="0"/>
      <w:divBdr>
        <w:top w:val="none" w:sz="0" w:space="0" w:color="auto"/>
        <w:left w:val="none" w:sz="0" w:space="0" w:color="auto"/>
        <w:bottom w:val="none" w:sz="0" w:space="0" w:color="auto"/>
        <w:right w:val="none" w:sz="0" w:space="0" w:color="auto"/>
      </w:divBdr>
    </w:div>
    <w:div w:id="1153641484">
      <w:bodyDiv w:val="1"/>
      <w:marLeft w:val="0"/>
      <w:marRight w:val="0"/>
      <w:marTop w:val="0"/>
      <w:marBottom w:val="0"/>
      <w:divBdr>
        <w:top w:val="none" w:sz="0" w:space="0" w:color="auto"/>
        <w:left w:val="none" w:sz="0" w:space="0" w:color="auto"/>
        <w:bottom w:val="none" w:sz="0" w:space="0" w:color="auto"/>
        <w:right w:val="none" w:sz="0" w:space="0" w:color="auto"/>
      </w:divBdr>
    </w:div>
    <w:div w:id="1177040865">
      <w:bodyDiv w:val="1"/>
      <w:marLeft w:val="0"/>
      <w:marRight w:val="0"/>
      <w:marTop w:val="0"/>
      <w:marBottom w:val="0"/>
      <w:divBdr>
        <w:top w:val="none" w:sz="0" w:space="0" w:color="auto"/>
        <w:left w:val="none" w:sz="0" w:space="0" w:color="auto"/>
        <w:bottom w:val="none" w:sz="0" w:space="0" w:color="auto"/>
        <w:right w:val="none" w:sz="0" w:space="0" w:color="auto"/>
      </w:divBdr>
    </w:div>
    <w:div w:id="1214805269">
      <w:bodyDiv w:val="1"/>
      <w:marLeft w:val="0"/>
      <w:marRight w:val="0"/>
      <w:marTop w:val="0"/>
      <w:marBottom w:val="0"/>
      <w:divBdr>
        <w:top w:val="none" w:sz="0" w:space="0" w:color="auto"/>
        <w:left w:val="none" w:sz="0" w:space="0" w:color="auto"/>
        <w:bottom w:val="none" w:sz="0" w:space="0" w:color="auto"/>
        <w:right w:val="none" w:sz="0" w:space="0" w:color="auto"/>
      </w:divBdr>
    </w:div>
    <w:div w:id="1321424644">
      <w:bodyDiv w:val="1"/>
      <w:marLeft w:val="0"/>
      <w:marRight w:val="0"/>
      <w:marTop w:val="0"/>
      <w:marBottom w:val="0"/>
      <w:divBdr>
        <w:top w:val="none" w:sz="0" w:space="0" w:color="auto"/>
        <w:left w:val="none" w:sz="0" w:space="0" w:color="auto"/>
        <w:bottom w:val="none" w:sz="0" w:space="0" w:color="auto"/>
        <w:right w:val="none" w:sz="0" w:space="0" w:color="auto"/>
      </w:divBdr>
    </w:div>
    <w:div w:id="1337490876">
      <w:bodyDiv w:val="1"/>
      <w:marLeft w:val="0"/>
      <w:marRight w:val="0"/>
      <w:marTop w:val="0"/>
      <w:marBottom w:val="0"/>
      <w:divBdr>
        <w:top w:val="none" w:sz="0" w:space="0" w:color="auto"/>
        <w:left w:val="none" w:sz="0" w:space="0" w:color="auto"/>
        <w:bottom w:val="none" w:sz="0" w:space="0" w:color="auto"/>
        <w:right w:val="none" w:sz="0" w:space="0" w:color="auto"/>
      </w:divBdr>
    </w:div>
    <w:div w:id="1423144710">
      <w:bodyDiv w:val="1"/>
      <w:marLeft w:val="0"/>
      <w:marRight w:val="0"/>
      <w:marTop w:val="0"/>
      <w:marBottom w:val="0"/>
      <w:divBdr>
        <w:top w:val="none" w:sz="0" w:space="0" w:color="auto"/>
        <w:left w:val="none" w:sz="0" w:space="0" w:color="auto"/>
        <w:bottom w:val="none" w:sz="0" w:space="0" w:color="auto"/>
        <w:right w:val="none" w:sz="0" w:space="0" w:color="auto"/>
      </w:divBdr>
    </w:div>
    <w:div w:id="1465928281">
      <w:bodyDiv w:val="1"/>
      <w:marLeft w:val="0"/>
      <w:marRight w:val="0"/>
      <w:marTop w:val="0"/>
      <w:marBottom w:val="0"/>
      <w:divBdr>
        <w:top w:val="none" w:sz="0" w:space="0" w:color="auto"/>
        <w:left w:val="none" w:sz="0" w:space="0" w:color="auto"/>
        <w:bottom w:val="none" w:sz="0" w:space="0" w:color="auto"/>
        <w:right w:val="none" w:sz="0" w:space="0" w:color="auto"/>
      </w:divBdr>
    </w:div>
    <w:div w:id="1489859192">
      <w:bodyDiv w:val="1"/>
      <w:marLeft w:val="0"/>
      <w:marRight w:val="0"/>
      <w:marTop w:val="0"/>
      <w:marBottom w:val="0"/>
      <w:divBdr>
        <w:top w:val="none" w:sz="0" w:space="0" w:color="auto"/>
        <w:left w:val="none" w:sz="0" w:space="0" w:color="auto"/>
        <w:bottom w:val="none" w:sz="0" w:space="0" w:color="auto"/>
        <w:right w:val="none" w:sz="0" w:space="0" w:color="auto"/>
      </w:divBdr>
    </w:div>
    <w:div w:id="1535384313">
      <w:bodyDiv w:val="1"/>
      <w:marLeft w:val="0"/>
      <w:marRight w:val="0"/>
      <w:marTop w:val="0"/>
      <w:marBottom w:val="0"/>
      <w:divBdr>
        <w:top w:val="none" w:sz="0" w:space="0" w:color="auto"/>
        <w:left w:val="none" w:sz="0" w:space="0" w:color="auto"/>
        <w:bottom w:val="none" w:sz="0" w:space="0" w:color="auto"/>
        <w:right w:val="none" w:sz="0" w:space="0" w:color="auto"/>
      </w:divBdr>
    </w:div>
    <w:div w:id="1545562570">
      <w:bodyDiv w:val="1"/>
      <w:marLeft w:val="0"/>
      <w:marRight w:val="0"/>
      <w:marTop w:val="0"/>
      <w:marBottom w:val="0"/>
      <w:divBdr>
        <w:top w:val="none" w:sz="0" w:space="0" w:color="auto"/>
        <w:left w:val="none" w:sz="0" w:space="0" w:color="auto"/>
        <w:bottom w:val="none" w:sz="0" w:space="0" w:color="auto"/>
        <w:right w:val="none" w:sz="0" w:space="0" w:color="auto"/>
      </w:divBdr>
    </w:div>
    <w:div w:id="1550721758">
      <w:bodyDiv w:val="1"/>
      <w:marLeft w:val="0"/>
      <w:marRight w:val="0"/>
      <w:marTop w:val="0"/>
      <w:marBottom w:val="0"/>
      <w:divBdr>
        <w:top w:val="none" w:sz="0" w:space="0" w:color="auto"/>
        <w:left w:val="none" w:sz="0" w:space="0" w:color="auto"/>
        <w:bottom w:val="none" w:sz="0" w:space="0" w:color="auto"/>
        <w:right w:val="none" w:sz="0" w:space="0" w:color="auto"/>
      </w:divBdr>
    </w:div>
    <w:div w:id="1588153221">
      <w:bodyDiv w:val="1"/>
      <w:marLeft w:val="0"/>
      <w:marRight w:val="0"/>
      <w:marTop w:val="0"/>
      <w:marBottom w:val="0"/>
      <w:divBdr>
        <w:top w:val="none" w:sz="0" w:space="0" w:color="auto"/>
        <w:left w:val="none" w:sz="0" w:space="0" w:color="auto"/>
        <w:bottom w:val="none" w:sz="0" w:space="0" w:color="auto"/>
        <w:right w:val="none" w:sz="0" w:space="0" w:color="auto"/>
      </w:divBdr>
    </w:div>
    <w:div w:id="1642267405">
      <w:bodyDiv w:val="1"/>
      <w:marLeft w:val="0"/>
      <w:marRight w:val="0"/>
      <w:marTop w:val="0"/>
      <w:marBottom w:val="0"/>
      <w:divBdr>
        <w:top w:val="none" w:sz="0" w:space="0" w:color="auto"/>
        <w:left w:val="none" w:sz="0" w:space="0" w:color="auto"/>
        <w:bottom w:val="none" w:sz="0" w:space="0" w:color="auto"/>
        <w:right w:val="none" w:sz="0" w:space="0" w:color="auto"/>
      </w:divBdr>
    </w:div>
    <w:div w:id="1670208857">
      <w:bodyDiv w:val="1"/>
      <w:marLeft w:val="0"/>
      <w:marRight w:val="0"/>
      <w:marTop w:val="0"/>
      <w:marBottom w:val="0"/>
      <w:divBdr>
        <w:top w:val="none" w:sz="0" w:space="0" w:color="auto"/>
        <w:left w:val="none" w:sz="0" w:space="0" w:color="auto"/>
        <w:bottom w:val="none" w:sz="0" w:space="0" w:color="auto"/>
        <w:right w:val="none" w:sz="0" w:space="0" w:color="auto"/>
      </w:divBdr>
    </w:div>
    <w:div w:id="1735007132">
      <w:bodyDiv w:val="1"/>
      <w:marLeft w:val="0"/>
      <w:marRight w:val="0"/>
      <w:marTop w:val="0"/>
      <w:marBottom w:val="0"/>
      <w:divBdr>
        <w:top w:val="none" w:sz="0" w:space="0" w:color="auto"/>
        <w:left w:val="none" w:sz="0" w:space="0" w:color="auto"/>
        <w:bottom w:val="none" w:sz="0" w:space="0" w:color="auto"/>
        <w:right w:val="none" w:sz="0" w:space="0" w:color="auto"/>
      </w:divBdr>
    </w:div>
    <w:div w:id="1772436797">
      <w:bodyDiv w:val="1"/>
      <w:marLeft w:val="0"/>
      <w:marRight w:val="0"/>
      <w:marTop w:val="0"/>
      <w:marBottom w:val="0"/>
      <w:divBdr>
        <w:top w:val="none" w:sz="0" w:space="0" w:color="auto"/>
        <w:left w:val="none" w:sz="0" w:space="0" w:color="auto"/>
        <w:bottom w:val="none" w:sz="0" w:space="0" w:color="auto"/>
        <w:right w:val="none" w:sz="0" w:space="0" w:color="auto"/>
      </w:divBdr>
    </w:div>
    <w:div w:id="1843162327">
      <w:bodyDiv w:val="1"/>
      <w:marLeft w:val="0"/>
      <w:marRight w:val="0"/>
      <w:marTop w:val="0"/>
      <w:marBottom w:val="0"/>
      <w:divBdr>
        <w:top w:val="none" w:sz="0" w:space="0" w:color="auto"/>
        <w:left w:val="none" w:sz="0" w:space="0" w:color="auto"/>
        <w:bottom w:val="none" w:sz="0" w:space="0" w:color="auto"/>
        <w:right w:val="none" w:sz="0" w:space="0" w:color="auto"/>
      </w:divBdr>
      <w:divsChild>
        <w:div w:id="227425467">
          <w:marLeft w:val="0"/>
          <w:marRight w:val="0"/>
          <w:marTop w:val="0"/>
          <w:marBottom w:val="0"/>
          <w:divBdr>
            <w:top w:val="none" w:sz="0" w:space="0" w:color="auto"/>
            <w:left w:val="none" w:sz="0" w:space="0" w:color="auto"/>
            <w:bottom w:val="none" w:sz="0" w:space="0" w:color="auto"/>
            <w:right w:val="none" w:sz="0" w:space="0" w:color="auto"/>
          </w:divBdr>
        </w:div>
        <w:div w:id="330110104">
          <w:marLeft w:val="0"/>
          <w:marRight w:val="0"/>
          <w:marTop w:val="0"/>
          <w:marBottom w:val="0"/>
          <w:divBdr>
            <w:top w:val="none" w:sz="0" w:space="0" w:color="auto"/>
            <w:left w:val="none" w:sz="0" w:space="0" w:color="auto"/>
            <w:bottom w:val="none" w:sz="0" w:space="0" w:color="auto"/>
            <w:right w:val="none" w:sz="0" w:space="0" w:color="auto"/>
          </w:divBdr>
        </w:div>
        <w:div w:id="375160381">
          <w:marLeft w:val="0"/>
          <w:marRight w:val="0"/>
          <w:marTop w:val="0"/>
          <w:marBottom w:val="0"/>
          <w:divBdr>
            <w:top w:val="none" w:sz="0" w:space="0" w:color="auto"/>
            <w:left w:val="none" w:sz="0" w:space="0" w:color="auto"/>
            <w:bottom w:val="none" w:sz="0" w:space="0" w:color="auto"/>
            <w:right w:val="none" w:sz="0" w:space="0" w:color="auto"/>
          </w:divBdr>
        </w:div>
        <w:div w:id="963737105">
          <w:marLeft w:val="0"/>
          <w:marRight w:val="0"/>
          <w:marTop w:val="0"/>
          <w:marBottom w:val="0"/>
          <w:divBdr>
            <w:top w:val="none" w:sz="0" w:space="0" w:color="auto"/>
            <w:left w:val="none" w:sz="0" w:space="0" w:color="auto"/>
            <w:bottom w:val="none" w:sz="0" w:space="0" w:color="auto"/>
            <w:right w:val="none" w:sz="0" w:space="0" w:color="auto"/>
          </w:divBdr>
        </w:div>
        <w:div w:id="1683774649">
          <w:marLeft w:val="0"/>
          <w:marRight w:val="0"/>
          <w:marTop w:val="0"/>
          <w:marBottom w:val="0"/>
          <w:divBdr>
            <w:top w:val="none" w:sz="0" w:space="0" w:color="auto"/>
            <w:left w:val="none" w:sz="0" w:space="0" w:color="auto"/>
            <w:bottom w:val="none" w:sz="0" w:space="0" w:color="auto"/>
            <w:right w:val="none" w:sz="0" w:space="0" w:color="auto"/>
          </w:divBdr>
        </w:div>
      </w:divsChild>
    </w:div>
    <w:div w:id="1857957458">
      <w:bodyDiv w:val="1"/>
      <w:marLeft w:val="0"/>
      <w:marRight w:val="0"/>
      <w:marTop w:val="0"/>
      <w:marBottom w:val="0"/>
      <w:divBdr>
        <w:top w:val="none" w:sz="0" w:space="0" w:color="auto"/>
        <w:left w:val="none" w:sz="0" w:space="0" w:color="auto"/>
        <w:bottom w:val="none" w:sz="0" w:space="0" w:color="auto"/>
        <w:right w:val="none" w:sz="0" w:space="0" w:color="auto"/>
      </w:divBdr>
    </w:div>
    <w:div w:id="1862816210">
      <w:bodyDiv w:val="1"/>
      <w:marLeft w:val="0"/>
      <w:marRight w:val="0"/>
      <w:marTop w:val="0"/>
      <w:marBottom w:val="0"/>
      <w:divBdr>
        <w:top w:val="none" w:sz="0" w:space="0" w:color="auto"/>
        <w:left w:val="none" w:sz="0" w:space="0" w:color="auto"/>
        <w:bottom w:val="none" w:sz="0" w:space="0" w:color="auto"/>
        <w:right w:val="none" w:sz="0" w:space="0" w:color="auto"/>
      </w:divBdr>
    </w:div>
    <w:div w:id="1895458882">
      <w:bodyDiv w:val="1"/>
      <w:marLeft w:val="0"/>
      <w:marRight w:val="0"/>
      <w:marTop w:val="0"/>
      <w:marBottom w:val="0"/>
      <w:divBdr>
        <w:top w:val="none" w:sz="0" w:space="0" w:color="auto"/>
        <w:left w:val="none" w:sz="0" w:space="0" w:color="auto"/>
        <w:bottom w:val="none" w:sz="0" w:space="0" w:color="auto"/>
        <w:right w:val="none" w:sz="0" w:space="0" w:color="auto"/>
      </w:divBdr>
    </w:div>
    <w:div w:id="2058890332">
      <w:bodyDiv w:val="1"/>
      <w:marLeft w:val="0"/>
      <w:marRight w:val="0"/>
      <w:marTop w:val="0"/>
      <w:marBottom w:val="0"/>
      <w:divBdr>
        <w:top w:val="none" w:sz="0" w:space="0" w:color="auto"/>
        <w:left w:val="none" w:sz="0" w:space="0" w:color="auto"/>
        <w:bottom w:val="none" w:sz="0" w:space="0" w:color="auto"/>
        <w:right w:val="none" w:sz="0" w:space="0" w:color="auto"/>
      </w:divBdr>
      <w:divsChild>
        <w:div w:id="775175906">
          <w:marLeft w:val="0"/>
          <w:marRight w:val="0"/>
          <w:marTop w:val="0"/>
          <w:marBottom w:val="0"/>
          <w:divBdr>
            <w:top w:val="none" w:sz="0" w:space="0" w:color="auto"/>
            <w:left w:val="none" w:sz="0" w:space="0" w:color="auto"/>
            <w:bottom w:val="none" w:sz="0" w:space="0" w:color="auto"/>
            <w:right w:val="none" w:sz="0" w:space="0" w:color="auto"/>
          </w:divBdr>
        </w:div>
        <w:div w:id="986474654">
          <w:marLeft w:val="0"/>
          <w:marRight w:val="0"/>
          <w:marTop w:val="0"/>
          <w:marBottom w:val="0"/>
          <w:divBdr>
            <w:top w:val="none" w:sz="0" w:space="0" w:color="auto"/>
            <w:left w:val="none" w:sz="0" w:space="0" w:color="auto"/>
            <w:bottom w:val="none" w:sz="0" w:space="0" w:color="auto"/>
            <w:right w:val="none" w:sz="0" w:space="0" w:color="auto"/>
          </w:divBdr>
        </w:div>
      </w:divsChild>
    </w:div>
    <w:div w:id="2082287732">
      <w:bodyDiv w:val="1"/>
      <w:marLeft w:val="0"/>
      <w:marRight w:val="0"/>
      <w:marTop w:val="0"/>
      <w:marBottom w:val="0"/>
      <w:divBdr>
        <w:top w:val="none" w:sz="0" w:space="0" w:color="auto"/>
        <w:left w:val="none" w:sz="0" w:space="0" w:color="auto"/>
        <w:bottom w:val="none" w:sz="0" w:space="0" w:color="auto"/>
        <w:right w:val="none" w:sz="0" w:space="0" w:color="auto"/>
      </w:divBdr>
    </w:div>
    <w:div w:id="2111123894">
      <w:bodyDiv w:val="1"/>
      <w:marLeft w:val="0"/>
      <w:marRight w:val="0"/>
      <w:marTop w:val="0"/>
      <w:marBottom w:val="0"/>
      <w:divBdr>
        <w:top w:val="none" w:sz="0" w:space="0" w:color="auto"/>
        <w:left w:val="none" w:sz="0" w:space="0" w:color="auto"/>
        <w:bottom w:val="none" w:sz="0" w:space="0" w:color="auto"/>
        <w:right w:val="none" w:sz="0" w:space="0" w:color="auto"/>
      </w:divBdr>
    </w:div>
    <w:div w:id="214272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62D90-7399-4437-90B5-192F7BE6D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12727</Words>
  <Characters>79433</Characters>
  <Application>Microsoft Office Word</Application>
  <DocSecurity>0</DocSecurity>
  <Lines>661</Lines>
  <Paragraphs>183</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91977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Saramago Goncalves</dc:creator>
  <cp:lastModifiedBy>Orchard, J.</cp:lastModifiedBy>
  <cp:revision>2</cp:revision>
  <cp:lastPrinted>2021-06-16T11:44:00Z</cp:lastPrinted>
  <dcterms:created xsi:type="dcterms:W3CDTF">2021-12-06T14:30:00Z</dcterms:created>
  <dcterms:modified xsi:type="dcterms:W3CDTF">2021-12-06T14:30:00Z</dcterms:modified>
</cp:coreProperties>
</file>