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6D805" w14:textId="77777777" w:rsidR="00BE1B83" w:rsidRDefault="00633980">
      <w:pPr>
        <w:jc w:val="center"/>
        <w:rPr>
          <w:rFonts w:ascii="Garamond" w:eastAsia="Garamond" w:hAnsi="Garamond" w:cs="Garamond"/>
          <w:b/>
          <w:sz w:val="32"/>
          <w:szCs w:val="32"/>
        </w:rPr>
      </w:pPr>
      <w:bookmarkStart w:id="0" w:name="_GoBack"/>
      <w:bookmarkEnd w:id="0"/>
      <w:r>
        <w:rPr>
          <w:rFonts w:ascii="Garamond" w:eastAsia="Garamond" w:hAnsi="Garamond" w:cs="Garamond"/>
          <w:b/>
          <w:sz w:val="32"/>
          <w:szCs w:val="32"/>
        </w:rPr>
        <w:t>Manuscript Article File</w:t>
      </w:r>
    </w:p>
    <w:p w14:paraId="5C6A27AF" w14:textId="77777777" w:rsidR="00BE1B83" w:rsidRDefault="00633980">
      <w:pPr>
        <w:rPr>
          <w:rFonts w:ascii="Garamond" w:eastAsia="Garamond" w:hAnsi="Garamond" w:cs="Garamond"/>
          <w:b/>
          <w:sz w:val="32"/>
          <w:szCs w:val="32"/>
        </w:rPr>
      </w:pPr>
      <w:r>
        <w:rPr>
          <w:rFonts w:ascii="Garamond" w:eastAsia="Garamond" w:hAnsi="Garamond" w:cs="Garamond"/>
          <w:b/>
          <w:sz w:val="32"/>
          <w:szCs w:val="32"/>
        </w:rPr>
        <w:t>Equity-informative methods of health services research</w:t>
      </w:r>
    </w:p>
    <w:p w14:paraId="6F8145AE" w14:textId="77777777" w:rsidR="00BE1B83" w:rsidRDefault="00633980">
      <w:pPr>
        <w:pStyle w:val="Heading1"/>
        <w:rPr>
          <w:sz w:val="24"/>
          <w:szCs w:val="24"/>
        </w:rPr>
      </w:pPr>
      <w:bookmarkStart w:id="1" w:name="_624isge8razt" w:colFirst="0" w:colLast="0"/>
      <w:bookmarkEnd w:id="1"/>
      <w:r>
        <w:rPr>
          <w:rFonts w:ascii="Garamond" w:eastAsia="Garamond" w:hAnsi="Garamond" w:cs="Garamond"/>
          <w:b/>
          <w:color w:val="000000"/>
          <w:sz w:val="28"/>
          <w:szCs w:val="28"/>
        </w:rPr>
        <w:t>Structured Abstract</w:t>
      </w:r>
      <w:r>
        <w:rPr>
          <w:sz w:val="24"/>
          <w:szCs w:val="24"/>
        </w:rPr>
        <w:t xml:space="preserve"> </w:t>
      </w:r>
    </w:p>
    <w:p w14:paraId="3D31A400" w14:textId="77777777" w:rsidR="008A4844" w:rsidRDefault="008A4844">
      <w:pPr>
        <w:rPr>
          <w:rFonts w:ascii="Garamond" w:eastAsia="Garamond" w:hAnsi="Garamond" w:cs="Garamond"/>
          <w:b/>
          <w:sz w:val="24"/>
          <w:szCs w:val="24"/>
        </w:rPr>
      </w:pPr>
    </w:p>
    <w:p w14:paraId="3926EF92" w14:textId="5AA9BFD8" w:rsidR="00BE1B83" w:rsidRDefault="00633980">
      <w:pPr>
        <w:rPr>
          <w:rFonts w:ascii="Garamond" w:eastAsia="Garamond" w:hAnsi="Garamond" w:cs="Garamond"/>
          <w:b/>
          <w:sz w:val="24"/>
          <w:szCs w:val="24"/>
        </w:rPr>
      </w:pPr>
      <w:r>
        <w:rPr>
          <w:rFonts w:ascii="Garamond" w:eastAsia="Garamond" w:hAnsi="Garamond" w:cs="Garamond"/>
          <w:b/>
          <w:sz w:val="24"/>
          <w:szCs w:val="24"/>
        </w:rPr>
        <w:t>Purpose</w:t>
      </w:r>
    </w:p>
    <w:p w14:paraId="25C18736" w14:textId="0E386600" w:rsidR="00BE1B83" w:rsidRDefault="00633980">
      <w:pPr>
        <w:rPr>
          <w:rFonts w:ascii="Garamond" w:eastAsia="Garamond" w:hAnsi="Garamond" w:cs="Garamond"/>
          <w:sz w:val="24"/>
          <w:szCs w:val="24"/>
        </w:rPr>
      </w:pPr>
      <w:r>
        <w:rPr>
          <w:rFonts w:ascii="Garamond" w:eastAsia="Garamond" w:hAnsi="Garamond" w:cs="Garamond"/>
          <w:sz w:val="24"/>
          <w:szCs w:val="24"/>
        </w:rPr>
        <w:t xml:space="preserve">We review quantitative methods for analysing the equity impacts of healthcare and public health </w:t>
      </w:r>
      <w:r w:rsidR="00BA4FD6">
        <w:rPr>
          <w:rFonts w:ascii="Garamond" w:eastAsia="Garamond" w:hAnsi="Garamond" w:cs="Garamond"/>
          <w:sz w:val="24"/>
          <w:szCs w:val="24"/>
        </w:rPr>
        <w:t>interventions</w:t>
      </w:r>
      <w:r>
        <w:rPr>
          <w:rFonts w:ascii="Garamond" w:eastAsia="Garamond" w:hAnsi="Garamond" w:cs="Garamond"/>
          <w:sz w:val="24"/>
          <w:szCs w:val="24"/>
        </w:rPr>
        <w:t xml:space="preserve">: who benefits most and who bears the largest burdens (opportunity costs)?  </w:t>
      </w:r>
      <w:r w:rsidDel="00BA4FD6">
        <w:rPr>
          <w:rFonts w:ascii="Garamond" w:eastAsia="Garamond" w:hAnsi="Garamond" w:cs="Garamond"/>
          <w:sz w:val="24"/>
          <w:szCs w:val="24"/>
        </w:rPr>
        <w:t xml:space="preserve">Mainstream health services research focuses on effectiveness and </w:t>
      </w:r>
      <w:proofErr w:type="gramStart"/>
      <w:r w:rsidDel="00BA4FD6">
        <w:rPr>
          <w:rFonts w:ascii="Garamond" w:eastAsia="Garamond" w:hAnsi="Garamond" w:cs="Garamond"/>
          <w:sz w:val="24"/>
          <w:szCs w:val="24"/>
        </w:rPr>
        <w:t>efficiency</w:t>
      </w:r>
      <w:proofErr w:type="gramEnd"/>
      <w:r w:rsidDel="00BA4FD6">
        <w:rPr>
          <w:rFonts w:ascii="Garamond" w:eastAsia="Garamond" w:hAnsi="Garamond" w:cs="Garamond"/>
          <w:sz w:val="24"/>
          <w:szCs w:val="24"/>
        </w:rPr>
        <w:t xml:space="preserve"> but decision makers also need information about equity.   </w:t>
      </w:r>
    </w:p>
    <w:p w14:paraId="0C6CEDEC" w14:textId="77777777" w:rsidR="00BE1B83" w:rsidRDefault="00633980">
      <w:pPr>
        <w:rPr>
          <w:rFonts w:ascii="Garamond" w:eastAsia="Garamond" w:hAnsi="Garamond" w:cs="Garamond"/>
          <w:b/>
          <w:sz w:val="24"/>
          <w:szCs w:val="24"/>
        </w:rPr>
      </w:pPr>
      <w:r>
        <w:rPr>
          <w:rFonts w:ascii="Garamond" w:eastAsia="Garamond" w:hAnsi="Garamond" w:cs="Garamond"/>
          <w:b/>
          <w:sz w:val="24"/>
          <w:szCs w:val="24"/>
        </w:rPr>
        <w:t>Approach</w:t>
      </w:r>
    </w:p>
    <w:p w14:paraId="49F03F44" w14:textId="77777777" w:rsidR="00BE1B83" w:rsidRDefault="00633980">
      <w:pPr>
        <w:rPr>
          <w:rFonts w:ascii="Garamond" w:eastAsia="Garamond" w:hAnsi="Garamond" w:cs="Garamond"/>
          <w:sz w:val="24"/>
          <w:szCs w:val="24"/>
        </w:rPr>
      </w:pPr>
      <w:r>
        <w:rPr>
          <w:rFonts w:ascii="Garamond" w:eastAsia="Garamond" w:hAnsi="Garamond" w:cs="Garamond"/>
          <w:sz w:val="24"/>
          <w:szCs w:val="24"/>
        </w:rPr>
        <w:t>We review equity-informative methods of quantitative data analysis in three core areas of health services research: effectiveness analysis, cost-effectiveness analysis, and performance measurement.  An appendix includes further readings and resources.</w:t>
      </w:r>
    </w:p>
    <w:p w14:paraId="20B7E6F3" w14:textId="77777777" w:rsidR="00BE1B83" w:rsidRDefault="00633980">
      <w:pPr>
        <w:rPr>
          <w:rFonts w:ascii="Garamond" w:eastAsia="Garamond" w:hAnsi="Garamond" w:cs="Garamond"/>
          <w:b/>
          <w:sz w:val="24"/>
          <w:szCs w:val="24"/>
        </w:rPr>
      </w:pPr>
      <w:r>
        <w:rPr>
          <w:rFonts w:ascii="Garamond" w:eastAsia="Garamond" w:hAnsi="Garamond" w:cs="Garamond"/>
          <w:b/>
          <w:sz w:val="24"/>
          <w:szCs w:val="24"/>
        </w:rPr>
        <w:t>Findings</w:t>
      </w:r>
    </w:p>
    <w:p w14:paraId="4A23CA8C" w14:textId="77777777" w:rsidR="00BE1B83" w:rsidRDefault="00633980">
      <w:pPr>
        <w:rPr>
          <w:rFonts w:ascii="Garamond" w:eastAsia="Garamond" w:hAnsi="Garamond" w:cs="Garamond"/>
          <w:sz w:val="24"/>
          <w:szCs w:val="24"/>
        </w:rPr>
      </w:pPr>
      <w:r>
        <w:rPr>
          <w:rFonts w:ascii="Garamond" w:eastAsia="Garamond" w:hAnsi="Garamond" w:cs="Garamond"/>
          <w:sz w:val="24"/>
          <w:szCs w:val="24"/>
        </w:rPr>
        <w:t>Researchers seeking to analyse health equity impacts now have a practical and flexible set of methods at their disposal which builds on the standard health services research toolkit.  Some of the more advanced methods require specialised skills, but basic equity-informative methods can be used by any health services researcher with appropriate skills in the three core areas.</w:t>
      </w:r>
    </w:p>
    <w:p w14:paraId="5A1E47A2" w14:textId="77777777" w:rsidR="00BE1B83" w:rsidRDefault="00633980">
      <w:pPr>
        <w:rPr>
          <w:rFonts w:ascii="Garamond" w:eastAsia="Garamond" w:hAnsi="Garamond" w:cs="Garamond"/>
          <w:b/>
          <w:sz w:val="24"/>
          <w:szCs w:val="24"/>
        </w:rPr>
      </w:pPr>
      <w:r>
        <w:rPr>
          <w:rFonts w:ascii="Garamond" w:eastAsia="Garamond" w:hAnsi="Garamond" w:cs="Garamond"/>
          <w:b/>
          <w:sz w:val="24"/>
          <w:szCs w:val="24"/>
        </w:rPr>
        <w:t>Value</w:t>
      </w:r>
    </w:p>
    <w:p w14:paraId="56AEE578" w14:textId="77777777" w:rsidR="00BE1B83" w:rsidRDefault="00633980">
      <w:pPr>
        <w:rPr>
          <w:rFonts w:ascii="Garamond" w:eastAsia="Garamond" w:hAnsi="Garamond" w:cs="Garamond"/>
          <w:b/>
          <w:sz w:val="28"/>
          <w:szCs w:val="28"/>
        </w:rPr>
      </w:pPr>
      <w:r>
        <w:rPr>
          <w:rFonts w:ascii="Garamond" w:eastAsia="Garamond" w:hAnsi="Garamond" w:cs="Garamond"/>
          <w:sz w:val="24"/>
          <w:szCs w:val="24"/>
        </w:rPr>
        <w:t>We hope that this review article will raise awareness of equity-informative methods of health services research and facilitate their entry into the mainstream so that health policy makers are routinely presented with information about who gains and who loses from their decisions.</w:t>
      </w:r>
    </w:p>
    <w:p w14:paraId="0EA621B6" w14:textId="7A06ECC0" w:rsidR="00BE1B83" w:rsidRDefault="00633980">
      <w:pPr>
        <w:rPr>
          <w:rFonts w:ascii="Garamond" w:eastAsia="Garamond" w:hAnsi="Garamond" w:cs="Garamond"/>
          <w:i/>
          <w:sz w:val="24"/>
          <w:szCs w:val="24"/>
        </w:rPr>
      </w:pPr>
      <w:r>
        <w:rPr>
          <w:rFonts w:ascii="Garamond" w:eastAsia="Garamond" w:hAnsi="Garamond" w:cs="Garamond"/>
          <w:b/>
          <w:sz w:val="28"/>
          <w:szCs w:val="28"/>
        </w:rPr>
        <w:t xml:space="preserve">Keywords: </w:t>
      </w:r>
      <w:r>
        <w:rPr>
          <w:rFonts w:ascii="Garamond" w:eastAsia="Garamond" w:hAnsi="Garamond" w:cs="Garamond"/>
          <w:sz w:val="24"/>
          <w:szCs w:val="24"/>
        </w:rPr>
        <w:t>(</w:t>
      </w:r>
      <w:r>
        <w:rPr>
          <w:rFonts w:ascii="Garamond" w:eastAsia="Garamond" w:hAnsi="Garamond" w:cs="Garamond"/>
          <w:i/>
          <w:sz w:val="24"/>
          <w:szCs w:val="24"/>
        </w:rPr>
        <w:t>only 6 allowed by the</w:t>
      </w:r>
      <w:r w:rsidR="008A4844">
        <w:rPr>
          <w:rFonts w:ascii="Garamond" w:eastAsia="Garamond" w:hAnsi="Garamond" w:cs="Garamond"/>
          <w:i/>
          <w:sz w:val="24"/>
          <w:szCs w:val="24"/>
        </w:rPr>
        <w:t xml:space="preserve"> Emerald web submission</w:t>
      </w:r>
      <w:r>
        <w:rPr>
          <w:rFonts w:ascii="Garamond" w:eastAsia="Garamond" w:hAnsi="Garamond" w:cs="Garamond"/>
          <w:i/>
          <w:sz w:val="24"/>
          <w:szCs w:val="24"/>
        </w:rPr>
        <w:t xml:space="preserve"> system - suggested in yellow highlight; where possible have used terms suggested by the system e.g. Cost/Benefit Analysis, Inequality and terms that health researchers are likely to search for e.g. Subgroup Analysis rather than Conditional Average Treatment Effects.</w:t>
      </w:r>
    </w:p>
    <w:p w14:paraId="1667F2ED" w14:textId="77777777" w:rsidR="00BE1B83" w:rsidRDefault="00633980">
      <w:pPr>
        <w:rPr>
          <w:rFonts w:ascii="Garamond" w:eastAsia="Garamond" w:hAnsi="Garamond" w:cs="Garamond"/>
          <w:b/>
          <w:sz w:val="28"/>
          <w:szCs w:val="28"/>
        </w:rPr>
      </w:pPr>
      <w:r>
        <w:rPr>
          <w:rFonts w:ascii="Garamond" w:eastAsia="Garamond" w:hAnsi="Garamond" w:cs="Garamond"/>
          <w:sz w:val="24"/>
          <w:szCs w:val="24"/>
        </w:rPr>
        <w:t xml:space="preserve">Conditional Average Treatment Effects, </w:t>
      </w:r>
      <w:r>
        <w:rPr>
          <w:rFonts w:ascii="Garamond" w:eastAsia="Garamond" w:hAnsi="Garamond" w:cs="Garamond"/>
          <w:sz w:val="24"/>
          <w:szCs w:val="24"/>
          <w:highlight w:val="yellow"/>
        </w:rPr>
        <w:t>Cost/Benefit Analysis</w:t>
      </w:r>
      <w:r>
        <w:rPr>
          <w:rFonts w:ascii="Garamond" w:eastAsia="Garamond" w:hAnsi="Garamond" w:cs="Garamond"/>
          <w:sz w:val="24"/>
          <w:szCs w:val="24"/>
        </w:rPr>
        <w:t xml:space="preserve">, </w:t>
      </w:r>
      <w:r>
        <w:rPr>
          <w:rFonts w:ascii="Garamond" w:eastAsia="Garamond" w:hAnsi="Garamond" w:cs="Garamond"/>
          <w:sz w:val="24"/>
          <w:szCs w:val="24"/>
          <w:highlight w:val="yellow"/>
        </w:rPr>
        <w:t>Distributional Cost-Effectiveness Analysis,</w:t>
      </w:r>
      <w:r>
        <w:rPr>
          <w:rFonts w:ascii="Garamond" w:eastAsia="Garamond" w:hAnsi="Garamond" w:cs="Garamond"/>
          <w:sz w:val="24"/>
          <w:szCs w:val="24"/>
        </w:rPr>
        <w:t xml:space="preserve"> </w:t>
      </w:r>
      <w:r>
        <w:rPr>
          <w:rFonts w:ascii="Garamond" w:eastAsia="Garamond" w:hAnsi="Garamond" w:cs="Garamond"/>
          <w:sz w:val="24"/>
          <w:szCs w:val="24"/>
          <w:highlight w:val="yellow"/>
        </w:rPr>
        <w:t>Equity, Inequality</w:t>
      </w:r>
      <w:r>
        <w:rPr>
          <w:rFonts w:ascii="Garamond" w:eastAsia="Garamond" w:hAnsi="Garamond" w:cs="Garamond"/>
          <w:sz w:val="24"/>
          <w:szCs w:val="24"/>
        </w:rPr>
        <w:t xml:space="preserve">, Randomised Controlled Trials, </w:t>
      </w:r>
      <w:r>
        <w:rPr>
          <w:rFonts w:ascii="Garamond" w:eastAsia="Garamond" w:hAnsi="Garamond" w:cs="Garamond"/>
          <w:sz w:val="24"/>
          <w:szCs w:val="24"/>
          <w:highlight w:val="yellow"/>
        </w:rPr>
        <w:t>Quality Improvement,</w:t>
      </w:r>
      <w:r>
        <w:rPr>
          <w:rFonts w:ascii="Garamond" w:eastAsia="Garamond" w:hAnsi="Garamond" w:cs="Garamond"/>
          <w:sz w:val="24"/>
          <w:szCs w:val="24"/>
        </w:rPr>
        <w:t xml:space="preserve"> Quality Indicators, Quasi Experimental Designs, Socioeconomic Factors, Small-Area analysis, </w:t>
      </w:r>
      <w:r>
        <w:rPr>
          <w:rFonts w:ascii="Garamond" w:eastAsia="Garamond" w:hAnsi="Garamond" w:cs="Garamond"/>
          <w:sz w:val="24"/>
          <w:szCs w:val="24"/>
          <w:highlight w:val="yellow"/>
        </w:rPr>
        <w:t>Subgroup Analysis</w:t>
      </w:r>
      <w:r>
        <w:rPr>
          <w:rFonts w:ascii="Garamond" w:eastAsia="Garamond" w:hAnsi="Garamond" w:cs="Garamond"/>
          <w:sz w:val="24"/>
          <w:szCs w:val="24"/>
        </w:rPr>
        <w:t>.</w:t>
      </w:r>
    </w:p>
    <w:p w14:paraId="2CDF1D3B" w14:textId="77777777" w:rsidR="00BE1B83" w:rsidRDefault="00633980">
      <w:pPr>
        <w:rPr>
          <w:rFonts w:ascii="Garamond" w:eastAsia="Garamond" w:hAnsi="Garamond" w:cs="Garamond"/>
          <w:sz w:val="24"/>
          <w:szCs w:val="24"/>
        </w:rPr>
      </w:pPr>
      <w:r>
        <w:rPr>
          <w:rFonts w:ascii="Garamond" w:eastAsia="Garamond" w:hAnsi="Garamond" w:cs="Garamond"/>
          <w:b/>
          <w:sz w:val="28"/>
          <w:szCs w:val="28"/>
        </w:rPr>
        <w:t xml:space="preserve">Article classification:  </w:t>
      </w:r>
      <w:r>
        <w:rPr>
          <w:rFonts w:ascii="Garamond" w:eastAsia="Garamond" w:hAnsi="Garamond" w:cs="Garamond"/>
          <w:sz w:val="24"/>
          <w:szCs w:val="24"/>
        </w:rPr>
        <w:t>General review</w:t>
      </w:r>
    </w:p>
    <w:p w14:paraId="06711D94" w14:textId="77777777" w:rsidR="00BE1B83" w:rsidRDefault="00BE1B83">
      <w:pPr>
        <w:rPr>
          <w:rFonts w:ascii="Garamond" w:eastAsia="Garamond" w:hAnsi="Garamond" w:cs="Garamond"/>
          <w:sz w:val="24"/>
          <w:szCs w:val="24"/>
        </w:rPr>
      </w:pPr>
    </w:p>
    <w:p w14:paraId="3C8872A2" w14:textId="77777777" w:rsidR="00BE1B83" w:rsidRDefault="00633980">
      <w:pPr>
        <w:rPr>
          <w:rFonts w:ascii="Garamond" w:eastAsia="Garamond" w:hAnsi="Garamond" w:cs="Garamond"/>
          <w:b/>
          <w:sz w:val="24"/>
          <w:szCs w:val="24"/>
        </w:rPr>
      </w:pPr>
      <w:r>
        <w:br w:type="page"/>
      </w:r>
    </w:p>
    <w:p w14:paraId="59A28FB6" w14:textId="77777777" w:rsidR="00BE1B83" w:rsidRDefault="00633980">
      <w:pPr>
        <w:rPr>
          <w:rFonts w:ascii="Garamond" w:eastAsia="Garamond" w:hAnsi="Garamond" w:cs="Garamond"/>
          <w:b/>
          <w:sz w:val="24"/>
          <w:szCs w:val="24"/>
        </w:rPr>
      </w:pPr>
      <w:r>
        <w:rPr>
          <w:rFonts w:ascii="Garamond" w:eastAsia="Garamond" w:hAnsi="Garamond" w:cs="Garamond"/>
          <w:b/>
          <w:sz w:val="24"/>
          <w:szCs w:val="24"/>
        </w:rPr>
        <w:lastRenderedPageBreak/>
        <w:t>Plain Language Summary for “Kudos” platform:</w:t>
      </w:r>
    </w:p>
    <w:p w14:paraId="4C70114F" w14:textId="24ADB68A" w:rsidR="00BE1B83" w:rsidRDefault="00633980">
      <w:pPr>
        <w:rPr>
          <w:rFonts w:ascii="Garamond" w:eastAsia="Garamond" w:hAnsi="Garamond" w:cs="Garamond"/>
          <w:sz w:val="24"/>
          <w:szCs w:val="24"/>
        </w:rPr>
      </w:pPr>
      <w:r>
        <w:rPr>
          <w:rFonts w:ascii="Garamond" w:eastAsia="Garamond" w:hAnsi="Garamond" w:cs="Garamond"/>
          <w:sz w:val="24"/>
          <w:szCs w:val="24"/>
        </w:rPr>
        <w:t xml:space="preserve">This article reviews research methods for analysing the equity impacts of healthcare and public health </w:t>
      </w:r>
      <w:r w:rsidR="000141B6">
        <w:rPr>
          <w:rFonts w:ascii="Garamond" w:eastAsia="Garamond" w:hAnsi="Garamond" w:cs="Garamond"/>
          <w:sz w:val="24"/>
          <w:szCs w:val="24"/>
        </w:rPr>
        <w:t>interventions</w:t>
      </w:r>
      <w:r>
        <w:rPr>
          <w:rFonts w:ascii="Garamond" w:eastAsia="Garamond" w:hAnsi="Garamond" w:cs="Garamond"/>
          <w:sz w:val="24"/>
          <w:szCs w:val="24"/>
        </w:rPr>
        <w:t>: who benefits most and who bears the largest burdens (opportunity costs)?  More widespread use of these “equity-informative” methods could help decision makers make fairer decisions with better health outcomes.</w:t>
      </w:r>
    </w:p>
    <w:p w14:paraId="0254D586" w14:textId="77777777" w:rsidR="00BE1B83" w:rsidRDefault="00633980">
      <w:pPr>
        <w:rPr>
          <w:rFonts w:ascii="Times New Roman" w:eastAsia="Times New Roman" w:hAnsi="Times New Roman" w:cs="Times New Roman"/>
          <w:b/>
          <w:color w:val="000000"/>
          <w:sz w:val="24"/>
          <w:szCs w:val="24"/>
        </w:rPr>
      </w:pPr>
      <w:r>
        <w:br w:type="page"/>
      </w:r>
    </w:p>
    <w:p w14:paraId="0B9036A5" w14:textId="1A99800B" w:rsidR="00BE1B83" w:rsidRDefault="00633980" w:rsidP="000141B6">
      <w:pPr>
        <w:pStyle w:val="Heading1"/>
        <w:numPr>
          <w:ilvl w:val="0"/>
          <w:numId w:val="8"/>
        </w:numPr>
        <w:spacing w:line="480" w:lineRule="auto"/>
        <w:rPr>
          <w:rFonts w:ascii="Garamond" w:eastAsia="Garamond" w:hAnsi="Garamond" w:cs="Garamond"/>
          <w:b/>
          <w:color w:val="000000"/>
          <w:sz w:val="28"/>
          <w:szCs w:val="28"/>
        </w:rPr>
      </w:pPr>
      <w:bookmarkStart w:id="2" w:name="_30j0zll" w:colFirst="0" w:colLast="0"/>
      <w:bookmarkEnd w:id="2"/>
      <w:r>
        <w:rPr>
          <w:rFonts w:ascii="Garamond" w:eastAsia="Garamond" w:hAnsi="Garamond" w:cs="Garamond"/>
          <w:b/>
          <w:color w:val="000000"/>
          <w:sz w:val="28"/>
          <w:szCs w:val="28"/>
        </w:rPr>
        <w:lastRenderedPageBreak/>
        <w:t>Introduction</w:t>
      </w:r>
    </w:p>
    <w:p w14:paraId="5EC1F097" w14:textId="42D7CC7B" w:rsidR="00BE1B83" w:rsidRDefault="00633980" w:rsidP="008A4844">
      <w:pPr>
        <w:spacing w:line="480" w:lineRule="auto"/>
        <w:rPr>
          <w:rFonts w:ascii="Garamond" w:eastAsia="Garamond" w:hAnsi="Garamond" w:cs="Garamond"/>
          <w:sz w:val="24"/>
          <w:szCs w:val="24"/>
        </w:rPr>
      </w:pPr>
      <w:r>
        <w:rPr>
          <w:rFonts w:ascii="Garamond" w:eastAsia="Garamond" w:hAnsi="Garamond" w:cs="Garamond"/>
          <w:sz w:val="24"/>
          <w:szCs w:val="24"/>
        </w:rPr>
        <w:t xml:space="preserve">Healthcare and public health decision makers are increasingly concerned about inequalities between advantaged and disadvantaged groups in health, health service use, and financial hardship resulting from </w:t>
      </w:r>
      <w:r w:rsidR="00044403">
        <w:rPr>
          <w:rFonts w:ascii="Garamond" w:eastAsia="Garamond" w:hAnsi="Garamond" w:cs="Garamond"/>
          <w:sz w:val="24"/>
          <w:szCs w:val="24"/>
        </w:rPr>
        <w:t xml:space="preserve">use of those </w:t>
      </w:r>
      <w:r>
        <w:rPr>
          <w:rFonts w:ascii="Garamond" w:eastAsia="Garamond" w:hAnsi="Garamond" w:cs="Garamond"/>
          <w:sz w:val="24"/>
          <w:szCs w:val="24"/>
        </w:rPr>
        <w:t>servic</w:t>
      </w:r>
      <w:r w:rsidR="00044403">
        <w:rPr>
          <w:rFonts w:ascii="Garamond" w:eastAsia="Garamond" w:hAnsi="Garamond" w:cs="Garamond"/>
          <w:sz w:val="24"/>
          <w:szCs w:val="24"/>
        </w:rPr>
        <w:t>es</w:t>
      </w:r>
      <w:r>
        <w:rPr>
          <w:rFonts w:ascii="Garamond" w:eastAsia="Garamond" w:hAnsi="Garamond" w:cs="Garamond"/>
          <w:sz w:val="24"/>
          <w:szCs w:val="24"/>
        </w:rPr>
        <w:t xml:space="preserve"> (for example, out-of-pocket costs) </w:t>
      </w:r>
      <w:hyperlink r:id="rId8">
        <w:r w:rsidRPr="008E28E0">
          <w:rPr>
            <w:rFonts w:ascii="Garamond" w:eastAsia="Garamond" w:hAnsi="Garamond" w:cs="Garamond"/>
            <w:color w:val="000000"/>
            <w:sz w:val="24"/>
            <w:szCs w:val="24"/>
          </w:rPr>
          <w:t>(</w:t>
        </w:r>
        <w:proofErr w:type="spellStart"/>
        <w:r w:rsidRPr="008E28E0">
          <w:rPr>
            <w:rFonts w:ascii="Garamond" w:eastAsia="Garamond" w:hAnsi="Garamond" w:cs="Garamond"/>
            <w:color w:val="000000"/>
            <w:sz w:val="24"/>
            <w:szCs w:val="24"/>
          </w:rPr>
          <w:t>Ottersen</w:t>
        </w:r>
        <w:proofErr w:type="spellEnd"/>
        <w:r w:rsidRPr="008E28E0">
          <w:rPr>
            <w:rFonts w:ascii="Garamond" w:eastAsia="Garamond" w:hAnsi="Garamond" w:cs="Garamond"/>
            <w:color w:val="000000"/>
            <w:sz w:val="24"/>
            <w:szCs w:val="24"/>
          </w:rPr>
          <w:t xml:space="preserve"> et al., 2014</w:t>
        </w:r>
        <w:r w:rsidR="00257B8A" w:rsidRPr="008E28E0">
          <w:rPr>
            <w:rFonts w:ascii="Garamond" w:eastAsia="Garamond" w:hAnsi="Garamond" w:cs="Garamond"/>
            <w:color w:val="000000"/>
            <w:sz w:val="24"/>
            <w:szCs w:val="24"/>
          </w:rPr>
          <w:t xml:space="preserve">, </w:t>
        </w:r>
      </w:hyperlink>
      <w:hyperlink r:id="rId9">
        <w:r w:rsidRPr="008E28E0">
          <w:rPr>
            <w:rFonts w:ascii="Garamond" w:eastAsia="Garamond" w:hAnsi="Garamond" w:cs="Garamond"/>
            <w:color w:val="000000"/>
            <w:sz w:val="24"/>
            <w:szCs w:val="24"/>
          </w:rPr>
          <w:t>Jamison et al., 2013</w:t>
        </w:r>
      </w:hyperlink>
      <w:r w:rsidR="00257B8A" w:rsidRPr="008E28E0">
        <w:rPr>
          <w:rFonts w:ascii="Garamond" w:hAnsi="Garamond"/>
          <w:sz w:val="24"/>
          <w:szCs w:val="24"/>
        </w:rPr>
        <w:t xml:space="preserve">, </w:t>
      </w:r>
      <w:hyperlink r:id="rId10">
        <w:proofErr w:type="spellStart"/>
        <w:r w:rsidRPr="008E28E0">
          <w:rPr>
            <w:rFonts w:ascii="Garamond" w:hAnsi="Garamond"/>
            <w:color w:val="000000"/>
            <w:sz w:val="24"/>
            <w:szCs w:val="24"/>
          </w:rPr>
          <w:t>Ottersen</w:t>
        </w:r>
        <w:proofErr w:type="spellEnd"/>
        <w:r w:rsidRPr="008E28E0">
          <w:rPr>
            <w:rFonts w:ascii="Garamond" w:hAnsi="Garamond"/>
            <w:color w:val="000000"/>
            <w:sz w:val="24"/>
            <w:szCs w:val="24"/>
          </w:rPr>
          <w:t xml:space="preserve"> et al., 2014</w:t>
        </w:r>
        <w:r w:rsidR="00257B8A" w:rsidRPr="008E28E0">
          <w:rPr>
            <w:rFonts w:ascii="Garamond" w:hAnsi="Garamond"/>
            <w:color w:val="000000"/>
            <w:sz w:val="24"/>
            <w:szCs w:val="24"/>
          </w:rPr>
          <w:t xml:space="preserve">, </w:t>
        </w:r>
      </w:hyperlink>
      <w:hyperlink r:id="rId11">
        <w:r w:rsidRPr="008E28E0">
          <w:rPr>
            <w:rFonts w:ascii="Garamond" w:eastAsia="Garamond" w:hAnsi="Garamond" w:cs="Garamond"/>
            <w:color w:val="000000"/>
            <w:sz w:val="24"/>
            <w:szCs w:val="24"/>
          </w:rPr>
          <w:t>Marmot et al., 2008</w:t>
        </w:r>
        <w:r w:rsidR="00257B8A" w:rsidRPr="008E28E0">
          <w:rPr>
            <w:rFonts w:ascii="Garamond" w:eastAsia="Garamond" w:hAnsi="Garamond" w:cs="Garamond"/>
            <w:color w:val="000000"/>
            <w:sz w:val="24"/>
            <w:szCs w:val="24"/>
          </w:rPr>
          <w:t xml:space="preserve">, </w:t>
        </w:r>
      </w:hyperlink>
      <w:hyperlink r:id="rId12">
        <w:r w:rsidRPr="008E28E0">
          <w:rPr>
            <w:rFonts w:ascii="Garamond" w:hAnsi="Garamond"/>
            <w:color w:val="000000"/>
            <w:sz w:val="24"/>
            <w:szCs w:val="24"/>
          </w:rPr>
          <w:t>World Health Organization, 2015)</w:t>
        </w:r>
      </w:hyperlink>
      <w:r>
        <w:rPr>
          <w:rFonts w:ascii="Garamond" w:eastAsia="Garamond" w:hAnsi="Garamond" w:cs="Garamond"/>
          <w:sz w:val="24"/>
          <w:szCs w:val="24"/>
        </w:rPr>
        <w:t>.  Systematic and substantial differences in health-related outcomes of this kind have been documented in relation to numerous equity-relevant variables, including social variables such as socioeconomic status, ethnicity and geographical location and disease categories such as disability and severe mental illness.  Long-standing concern</w:t>
      </w:r>
      <w:r w:rsidR="00044403">
        <w:rPr>
          <w:rFonts w:ascii="Garamond" w:eastAsia="Garamond" w:hAnsi="Garamond" w:cs="Garamond"/>
          <w:sz w:val="24"/>
          <w:szCs w:val="24"/>
        </w:rPr>
        <w:t>s</w:t>
      </w:r>
      <w:r>
        <w:rPr>
          <w:rFonts w:ascii="Garamond" w:eastAsia="Garamond" w:hAnsi="Garamond" w:cs="Garamond"/>
          <w:sz w:val="24"/>
          <w:szCs w:val="24"/>
        </w:rPr>
        <w:t xml:space="preserve"> about </w:t>
      </w:r>
      <w:r w:rsidR="00D852A3">
        <w:rPr>
          <w:rFonts w:ascii="Garamond" w:eastAsia="Garamond" w:hAnsi="Garamond" w:cs="Garamond"/>
          <w:sz w:val="24"/>
          <w:szCs w:val="24"/>
        </w:rPr>
        <w:t xml:space="preserve">unfair </w:t>
      </w:r>
      <w:r>
        <w:rPr>
          <w:rFonts w:ascii="Garamond" w:eastAsia="Garamond" w:hAnsi="Garamond" w:cs="Garamond"/>
          <w:sz w:val="24"/>
          <w:szCs w:val="24"/>
        </w:rPr>
        <w:t xml:space="preserve">health inequalities </w:t>
      </w:r>
      <w:r w:rsidR="00044403">
        <w:rPr>
          <w:rFonts w:ascii="Garamond" w:eastAsia="Garamond" w:hAnsi="Garamond" w:cs="Garamond"/>
          <w:sz w:val="24"/>
          <w:szCs w:val="24"/>
        </w:rPr>
        <w:t xml:space="preserve">have </w:t>
      </w:r>
      <w:r>
        <w:rPr>
          <w:rFonts w:ascii="Garamond" w:eastAsia="Garamond" w:hAnsi="Garamond" w:cs="Garamond"/>
          <w:sz w:val="24"/>
          <w:szCs w:val="24"/>
        </w:rPr>
        <w:t xml:space="preserve">been given further impetus in recent years by evidence of rising “deaths of despair” from suicide, drug overdose and alcoholic liver disease </w:t>
      </w:r>
      <w:hyperlink r:id="rId13">
        <w:r>
          <w:rPr>
            <w:rFonts w:ascii="Garamond" w:eastAsia="Garamond" w:hAnsi="Garamond" w:cs="Garamond"/>
            <w:color w:val="000000"/>
            <w:sz w:val="24"/>
            <w:szCs w:val="24"/>
          </w:rPr>
          <w:t>(Case and Deaton, 2020)</w:t>
        </w:r>
      </w:hyperlink>
      <w:r>
        <w:rPr>
          <w:rFonts w:ascii="Garamond" w:eastAsia="Garamond" w:hAnsi="Garamond" w:cs="Garamond"/>
          <w:sz w:val="24"/>
          <w:szCs w:val="24"/>
        </w:rPr>
        <w:t xml:space="preserve"> and inequalities in coronavirus infection and mortality rates related to ethnicity </w:t>
      </w:r>
      <w:hyperlink r:id="rId14">
        <w:r>
          <w:rPr>
            <w:rFonts w:ascii="Garamond" w:eastAsia="Garamond" w:hAnsi="Garamond" w:cs="Garamond"/>
            <w:color w:val="000000"/>
            <w:sz w:val="24"/>
            <w:szCs w:val="24"/>
          </w:rPr>
          <w:t>(Galea and Abdalla, 2020)</w:t>
        </w:r>
      </w:hyperlink>
      <w:r>
        <w:rPr>
          <w:rFonts w:ascii="Garamond" w:eastAsia="Garamond" w:hAnsi="Garamond" w:cs="Garamond"/>
          <w:sz w:val="24"/>
          <w:szCs w:val="24"/>
        </w:rPr>
        <w:t>.</w:t>
      </w:r>
    </w:p>
    <w:p w14:paraId="19BE8C35" w14:textId="71CC03F5" w:rsidR="00A06990" w:rsidRPr="008E28E0" w:rsidRDefault="00A06990" w:rsidP="00A06990">
      <w:pPr>
        <w:spacing w:line="480" w:lineRule="auto"/>
        <w:rPr>
          <w:rFonts w:ascii="Garamond" w:eastAsia="Garamond" w:hAnsi="Garamond" w:cs="Garamond"/>
          <w:sz w:val="24"/>
          <w:szCs w:val="24"/>
        </w:rPr>
      </w:pPr>
      <w:bookmarkStart w:id="3" w:name="_1fob9te" w:colFirst="0" w:colLast="0"/>
      <w:bookmarkEnd w:id="3"/>
      <w:r w:rsidRPr="008E28E0">
        <w:rPr>
          <w:rFonts w:ascii="Garamond" w:eastAsia="Garamond" w:hAnsi="Garamond" w:cs="Garamond"/>
          <w:sz w:val="24"/>
          <w:szCs w:val="24"/>
        </w:rPr>
        <w:t xml:space="preserve">Decision makers are increasingly motivated to address these concerns about health inequalities, but often poorly informed about the equity impacts of their decisions. This situation has arisen partly because different research disciplines </w:t>
      </w:r>
      <w:r w:rsidRPr="00B244F6">
        <w:rPr>
          <w:rFonts w:ascii="Garamond" w:eastAsia="Garamond" w:hAnsi="Garamond" w:cs="Garamond"/>
          <w:noProof/>
          <w:sz w:val="24"/>
          <w:szCs w:val="24"/>
        </w:rPr>
        <w:t xml:space="preserve">often </w:t>
      </w:r>
      <w:r w:rsidRPr="00B244F6">
        <w:rPr>
          <w:rFonts w:ascii="Garamond" w:eastAsia="Garamond" w:hAnsi="Garamond" w:cs="Garamond"/>
          <w:sz w:val="24"/>
          <w:szCs w:val="24"/>
        </w:rPr>
        <w:t xml:space="preserve">take narrow and contradictory approaches to </w:t>
      </w:r>
      <w:r w:rsidR="006C32AA">
        <w:rPr>
          <w:rFonts w:ascii="Garamond" w:eastAsia="Garamond" w:hAnsi="Garamond" w:cs="Garamond"/>
          <w:sz w:val="24"/>
          <w:szCs w:val="24"/>
        </w:rPr>
        <w:t>evidence informed decision making</w:t>
      </w:r>
      <w:r w:rsidRPr="00B244F6">
        <w:rPr>
          <w:rFonts w:ascii="Garamond" w:eastAsia="Garamond" w:hAnsi="Garamond" w:cs="Garamond"/>
          <w:sz w:val="24"/>
          <w:szCs w:val="24"/>
        </w:rPr>
        <w:t>. Mainstream health services research tends to prioritise effectiveness and efficiency over equity, focusing on average outcomes and providing little or no information about how those outcomes are distributed</w:t>
      </w:r>
      <w:r w:rsidR="00004212" w:rsidRPr="008E28E0">
        <w:rPr>
          <w:rFonts w:ascii="Garamond" w:eastAsia="Garamond" w:hAnsi="Garamond" w:cs="Garamond"/>
          <w:sz w:val="24"/>
          <w:szCs w:val="24"/>
        </w:rPr>
        <w:t xml:space="preserve">, </w:t>
      </w:r>
      <w:r w:rsidRPr="008E28E0">
        <w:rPr>
          <w:rFonts w:ascii="Garamond" w:eastAsia="Garamond" w:hAnsi="Garamond" w:cs="Garamond"/>
          <w:sz w:val="24"/>
          <w:szCs w:val="24"/>
        </w:rPr>
        <w:t>i.e. who benefits most and who bears the largest burdens</w:t>
      </w:r>
      <w:r w:rsidR="00004212" w:rsidRPr="008E28E0">
        <w:rPr>
          <w:rFonts w:ascii="Garamond" w:eastAsia="Garamond" w:hAnsi="Garamond" w:cs="Garamond"/>
          <w:sz w:val="24"/>
          <w:szCs w:val="24"/>
        </w:rPr>
        <w:t xml:space="preserve"> (opportunity costs</w:t>
      </w:r>
      <w:r w:rsidRPr="008E28E0">
        <w:rPr>
          <w:rFonts w:ascii="Garamond" w:eastAsia="Garamond" w:hAnsi="Garamond" w:cs="Garamond"/>
          <w:sz w:val="24"/>
          <w:szCs w:val="24"/>
        </w:rPr>
        <w:t>)</w:t>
      </w:r>
      <w:r w:rsidR="00004212" w:rsidRPr="008E28E0">
        <w:rPr>
          <w:rFonts w:ascii="Garamond" w:eastAsia="Garamond" w:hAnsi="Garamond" w:cs="Garamond"/>
          <w:sz w:val="24"/>
          <w:szCs w:val="24"/>
        </w:rPr>
        <w:t xml:space="preserve">. This </w:t>
      </w:r>
      <w:r w:rsidRPr="008E28E0">
        <w:rPr>
          <w:rFonts w:ascii="Garamond" w:eastAsia="Garamond" w:hAnsi="Garamond" w:cs="Garamond"/>
          <w:sz w:val="24"/>
          <w:szCs w:val="24"/>
        </w:rPr>
        <w:t>run</w:t>
      </w:r>
      <w:r w:rsidR="00004212" w:rsidRPr="008E28E0">
        <w:rPr>
          <w:rFonts w:ascii="Garamond" w:eastAsia="Garamond" w:hAnsi="Garamond" w:cs="Garamond"/>
          <w:sz w:val="24"/>
          <w:szCs w:val="24"/>
        </w:rPr>
        <w:t xml:space="preserve">s </w:t>
      </w:r>
      <w:r w:rsidRPr="008E28E0">
        <w:rPr>
          <w:rFonts w:ascii="Garamond" w:eastAsia="Garamond" w:hAnsi="Garamond" w:cs="Garamond"/>
          <w:sz w:val="24"/>
          <w:szCs w:val="24"/>
        </w:rPr>
        <w:t xml:space="preserve">the risk of adopting interventions that are effective on </w:t>
      </w:r>
      <w:proofErr w:type="gramStart"/>
      <w:r w:rsidRPr="008E28E0">
        <w:rPr>
          <w:rFonts w:ascii="Garamond" w:eastAsia="Garamond" w:hAnsi="Garamond" w:cs="Garamond"/>
          <w:sz w:val="24"/>
          <w:szCs w:val="24"/>
        </w:rPr>
        <w:t>average</w:t>
      </w:r>
      <w:proofErr w:type="gramEnd"/>
      <w:r w:rsidRPr="008E28E0">
        <w:rPr>
          <w:rFonts w:ascii="Garamond" w:eastAsia="Garamond" w:hAnsi="Garamond" w:cs="Garamond"/>
          <w:sz w:val="24"/>
          <w:szCs w:val="24"/>
        </w:rPr>
        <w:t xml:space="preserve"> but which widen inequalities. In contrast, health inequality researchers focus on equity rather than efficiency, emphasising variations in outcomes between groups, often </w:t>
      </w:r>
      <w:proofErr w:type="gramStart"/>
      <w:r w:rsidRPr="008E28E0">
        <w:rPr>
          <w:rFonts w:ascii="Garamond" w:eastAsia="Garamond" w:hAnsi="Garamond" w:cs="Garamond"/>
          <w:sz w:val="24"/>
          <w:szCs w:val="24"/>
        </w:rPr>
        <w:t>assuming that</w:t>
      </w:r>
      <w:proofErr w:type="gramEnd"/>
      <w:r w:rsidRPr="008E28E0">
        <w:rPr>
          <w:rFonts w:ascii="Garamond" w:eastAsia="Garamond" w:hAnsi="Garamond" w:cs="Garamond"/>
          <w:sz w:val="24"/>
          <w:szCs w:val="24"/>
        </w:rPr>
        <w:t xml:space="preserve"> reducing health inequalities will </w:t>
      </w:r>
      <w:r w:rsidR="008E28E0">
        <w:rPr>
          <w:rFonts w:ascii="Garamond" w:eastAsia="Garamond" w:hAnsi="Garamond" w:cs="Garamond"/>
          <w:sz w:val="24"/>
          <w:szCs w:val="24"/>
        </w:rPr>
        <w:t xml:space="preserve">always </w:t>
      </w:r>
      <w:r w:rsidRPr="008E28E0">
        <w:rPr>
          <w:rFonts w:ascii="Garamond" w:eastAsia="Garamond" w:hAnsi="Garamond" w:cs="Garamond"/>
          <w:sz w:val="24"/>
          <w:szCs w:val="24"/>
        </w:rPr>
        <w:t xml:space="preserve">generate net health gains for the whole population. </w:t>
      </w:r>
    </w:p>
    <w:p w14:paraId="53F9A094" w14:textId="77777777" w:rsidR="006C32AA" w:rsidRDefault="00A06990" w:rsidP="00A06990">
      <w:pPr>
        <w:spacing w:line="480" w:lineRule="auto"/>
        <w:rPr>
          <w:rFonts w:ascii="Garamond" w:eastAsia="Garamond" w:hAnsi="Garamond" w:cs="Garamond"/>
          <w:sz w:val="24"/>
          <w:szCs w:val="24"/>
        </w:rPr>
      </w:pPr>
      <w:r w:rsidRPr="008E28E0">
        <w:rPr>
          <w:rFonts w:ascii="Garamond" w:eastAsia="Garamond" w:hAnsi="Garamond" w:cs="Garamond"/>
          <w:sz w:val="24"/>
          <w:szCs w:val="24"/>
        </w:rPr>
        <w:t xml:space="preserve">Both approaches miss important perspectives that the other provides. The consequences of this are unimportant if a policy decision is both efficient and equitable, i.e. if it improves overall </w:t>
      </w:r>
      <w:r w:rsidRPr="008E28E0">
        <w:rPr>
          <w:rFonts w:ascii="Garamond" w:eastAsia="Garamond" w:hAnsi="Garamond" w:cs="Garamond"/>
          <w:sz w:val="24"/>
          <w:szCs w:val="24"/>
        </w:rPr>
        <w:lastRenderedPageBreak/>
        <w:t xml:space="preserve">health and simultaneously reduces inequality. Unfortunately, improving equity may reduce efficiency or vice versa, and researchers and policy makers may be unaware of this problem.  Health inequality researchers therefore need to join forces with health services researchers to find new ways of evaluating and monitoring health inequality solutions that explicitly address trade-offs between efficiency (improving total population health) and equity (reducing inequalities). </w:t>
      </w:r>
    </w:p>
    <w:p w14:paraId="3E158108" w14:textId="0D91C899" w:rsidR="00A06990" w:rsidRDefault="00A06990" w:rsidP="00A06990">
      <w:pPr>
        <w:spacing w:line="480" w:lineRule="auto"/>
        <w:rPr>
          <w:rFonts w:ascii="Garamond" w:eastAsia="Garamond" w:hAnsi="Garamond" w:cs="Garamond"/>
          <w:sz w:val="24"/>
          <w:szCs w:val="24"/>
        </w:rPr>
      </w:pPr>
      <w:r w:rsidRPr="008E28E0">
        <w:rPr>
          <w:rFonts w:ascii="Garamond" w:eastAsia="Garamond" w:hAnsi="Garamond" w:cs="Garamond"/>
          <w:sz w:val="24"/>
          <w:szCs w:val="24"/>
        </w:rPr>
        <w:t xml:space="preserve">In that spirit, this article reviews some of the many “equity-informative” methods of health services research that now exist for analysing the health equity impacts of interventions and organisations.  We focus on three core areas of health services research: effectiveness analysis, cost-effectiveness analysis, and performance measurement.  We focus on introducing the basic concepts needed by policy advisers (e.g. health departments and reimbursement agencies) and research </w:t>
      </w:r>
      <w:r w:rsidR="000141B6">
        <w:rPr>
          <w:rFonts w:ascii="Garamond" w:eastAsia="Garamond" w:hAnsi="Garamond" w:cs="Garamond"/>
          <w:sz w:val="24"/>
          <w:szCs w:val="24"/>
        </w:rPr>
        <w:t>funders</w:t>
      </w:r>
      <w:r w:rsidRPr="008E28E0">
        <w:rPr>
          <w:rFonts w:ascii="Garamond" w:eastAsia="Garamond" w:hAnsi="Garamond" w:cs="Garamond"/>
          <w:sz w:val="24"/>
          <w:szCs w:val="24"/>
        </w:rPr>
        <w:t xml:space="preserve"> to understand and use equity-informative health services research, with further readings and resources for researchers in an appendix. Although some of the methods require specialised skills, simple and useful equity-informative methods can be applied by any health services researcher with skills in effectiveness analysis, cost-effectiveness analysis and/or performance measurement.</w:t>
      </w:r>
    </w:p>
    <w:p w14:paraId="73E2B6B5" w14:textId="77777777" w:rsidR="00BE1B83" w:rsidRDefault="00633980" w:rsidP="000141B6">
      <w:pPr>
        <w:pStyle w:val="Heading1"/>
        <w:numPr>
          <w:ilvl w:val="0"/>
          <w:numId w:val="8"/>
        </w:numPr>
        <w:spacing w:line="480" w:lineRule="auto"/>
        <w:rPr>
          <w:rFonts w:ascii="Garamond" w:eastAsia="Garamond" w:hAnsi="Garamond" w:cs="Garamond"/>
          <w:b/>
          <w:color w:val="000000"/>
          <w:sz w:val="28"/>
          <w:szCs w:val="28"/>
        </w:rPr>
      </w:pPr>
      <w:bookmarkStart w:id="4" w:name="_7zagttxqh792" w:colFirst="0" w:colLast="0"/>
      <w:bookmarkEnd w:id="4"/>
      <w:r>
        <w:rPr>
          <w:rFonts w:ascii="Garamond" w:eastAsia="Garamond" w:hAnsi="Garamond" w:cs="Garamond"/>
          <w:b/>
          <w:color w:val="000000"/>
          <w:sz w:val="28"/>
          <w:szCs w:val="28"/>
        </w:rPr>
        <w:t>Equity-informative effectiveness analysis</w:t>
      </w:r>
    </w:p>
    <w:p w14:paraId="5B88363D" w14:textId="2CC93D98" w:rsidR="00BE1B83" w:rsidRDefault="00633980" w:rsidP="008A4844">
      <w:pPr>
        <w:spacing w:line="480" w:lineRule="auto"/>
        <w:rPr>
          <w:rFonts w:ascii="Garamond" w:eastAsia="Garamond" w:hAnsi="Garamond" w:cs="Garamond"/>
          <w:sz w:val="24"/>
          <w:szCs w:val="24"/>
        </w:rPr>
      </w:pPr>
      <w:r>
        <w:rPr>
          <w:rFonts w:ascii="Garamond" w:eastAsia="Garamond" w:hAnsi="Garamond" w:cs="Garamond"/>
          <w:sz w:val="24"/>
          <w:szCs w:val="24"/>
        </w:rPr>
        <w:t>The “gold standard” method of effectiveness analysis is the randomised controlled trial (RCT). However, quasi-experiments or natural experiments are also common – for example, regression discontinuity designs (RDD), interrupted time series (ITS) and difference-in-differences (</w:t>
      </w:r>
      <w:proofErr w:type="spellStart"/>
      <w:r>
        <w:rPr>
          <w:rFonts w:ascii="Garamond" w:eastAsia="Garamond" w:hAnsi="Garamond" w:cs="Garamond"/>
          <w:sz w:val="24"/>
          <w:szCs w:val="24"/>
        </w:rPr>
        <w:t>DiD</w:t>
      </w:r>
      <w:proofErr w:type="spellEnd"/>
      <w:r>
        <w:rPr>
          <w:rFonts w:ascii="Garamond" w:eastAsia="Garamond" w:hAnsi="Garamond" w:cs="Garamond"/>
          <w:sz w:val="24"/>
          <w:szCs w:val="24"/>
        </w:rPr>
        <w:t xml:space="preserve">); the latter often combined with matching or weighting methods for selecting comparable control and treatment  groups, such as propensity score matching and synthetic controls </w:t>
      </w:r>
      <w:hyperlink r:id="rId15">
        <w:r>
          <w:rPr>
            <w:rFonts w:ascii="Garamond" w:eastAsia="Garamond" w:hAnsi="Garamond" w:cs="Garamond"/>
            <w:color w:val="000000"/>
            <w:sz w:val="24"/>
            <w:szCs w:val="24"/>
          </w:rPr>
          <w:t>(Bedoya et al., 2017)</w:t>
        </w:r>
      </w:hyperlink>
      <w:r>
        <w:rPr>
          <w:rFonts w:ascii="Garamond" w:eastAsia="Garamond" w:hAnsi="Garamond" w:cs="Garamond"/>
          <w:sz w:val="24"/>
          <w:szCs w:val="24"/>
        </w:rPr>
        <w:t xml:space="preserve">.  Methods of systematic review and </w:t>
      </w:r>
      <w:r w:rsidR="000C672D">
        <w:rPr>
          <w:rFonts w:ascii="Garamond" w:eastAsia="Garamond" w:hAnsi="Garamond" w:cs="Garamond"/>
          <w:sz w:val="24"/>
          <w:szCs w:val="24"/>
        </w:rPr>
        <w:t xml:space="preserve">meta-analysis </w:t>
      </w:r>
      <w:r>
        <w:rPr>
          <w:rFonts w:ascii="Garamond" w:eastAsia="Garamond" w:hAnsi="Garamond" w:cs="Garamond"/>
          <w:sz w:val="24"/>
          <w:szCs w:val="24"/>
        </w:rPr>
        <w:t xml:space="preserve">can then be used to combine effectiveness evidence from multiple effectiveness studies </w:t>
      </w:r>
      <w:hyperlink r:id="rId16">
        <w:r>
          <w:rPr>
            <w:rFonts w:ascii="Garamond" w:eastAsia="Garamond" w:hAnsi="Garamond" w:cs="Garamond"/>
            <w:color w:val="000000"/>
            <w:sz w:val="24"/>
            <w:szCs w:val="24"/>
          </w:rPr>
          <w:t>(O’Neill et al., 2014)</w:t>
        </w:r>
      </w:hyperlink>
      <w:r>
        <w:rPr>
          <w:rFonts w:ascii="Garamond" w:eastAsia="Garamond" w:hAnsi="Garamond" w:cs="Garamond"/>
          <w:sz w:val="24"/>
          <w:szCs w:val="24"/>
        </w:rPr>
        <w:t>.</w:t>
      </w:r>
    </w:p>
    <w:p w14:paraId="13959F00" w14:textId="7F723476" w:rsidR="00BE1B83" w:rsidRDefault="00633980" w:rsidP="008A4844">
      <w:pPr>
        <w:spacing w:line="480" w:lineRule="auto"/>
        <w:rPr>
          <w:rFonts w:ascii="Garamond" w:eastAsia="Garamond" w:hAnsi="Garamond" w:cs="Garamond"/>
          <w:sz w:val="24"/>
          <w:szCs w:val="24"/>
        </w:rPr>
      </w:pPr>
      <w:r>
        <w:rPr>
          <w:rFonts w:ascii="Garamond" w:eastAsia="Garamond" w:hAnsi="Garamond" w:cs="Garamond"/>
          <w:sz w:val="24"/>
          <w:szCs w:val="24"/>
        </w:rPr>
        <w:lastRenderedPageBreak/>
        <w:t xml:space="preserve">The purpose of all these approaches is to estimate “treatment effects” that measure the causal effect of an intervention on an outcome of interest.  The intervention does not necessarily have to be a medical treatment (e.g. a drug, device or surgical procedure) – it might be a health prevention programme or indeed any decision option compared with an alternative.  Typically, researchers estimate the Average Treatment Effect (ATE) which identifies the difference in the mean (average) outcome between the “treatment” group who receive the intervention and the “control” group who do not.  </w:t>
      </w:r>
      <w:r w:rsidR="009434FC">
        <w:rPr>
          <w:rFonts w:ascii="Garamond" w:eastAsia="Garamond" w:hAnsi="Garamond" w:cs="Garamond"/>
          <w:sz w:val="24"/>
          <w:szCs w:val="24"/>
        </w:rPr>
        <w:t xml:space="preserve">In the special case of interventions targeted exclusively </w:t>
      </w:r>
      <w:r>
        <w:rPr>
          <w:rFonts w:ascii="Garamond" w:eastAsia="Garamond" w:hAnsi="Garamond" w:cs="Garamond"/>
          <w:sz w:val="24"/>
          <w:szCs w:val="24"/>
        </w:rPr>
        <w:t xml:space="preserve">towards a disadvantaged population, the average treatment effect can provide some useful partial information about equity </w:t>
      </w:r>
      <w:r w:rsidR="00A5591A">
        <w:rPr>
          <w:rFonts w:ascii="Garamond" w:eastAsia="Garamond" w:hAnsi="Garamond" w:cs="Garamond"/>
          <w:sz w:val="24"/>
          <w:szCs w:val="24"/>
        </w:rPr>
        <w:t>–</w:t>
      </w:r>
      <w:r>
        <w:rPr>
          <w:rFonts w:ascii="Garamond" w:eastAsia="Garamond" w:hAnsi="Garamond" w:cs="Garamond"/>
          <w:sz w:val="24"/>
          <w:szCs w:val="24"/>
        </w:rPr>
        <w:t xml:space="preserve"> it tells us whether, on average, the intervention benefits this disadvantaged population</w:t>
      </w:r>
      <w:r w:rsidR="009434FC">
        <w:rPr>
          <w:rFonts w:ascii="Garamond" w:eastAsia="Garamond" w:hAnsi="Garamond" w:cs="Garamond"/>
          <w:sz w:val="24"/>
          <w:szCs w:val="24"/>
        </w:rPr>
        <w:t xml:space="preserve"> (Welch et al. 2017)</w:t>
      </w:r>
      <w:r>
        <w:rPr>
          <w:rFonts w:ascii="Garamond" w:eastAsia="Garamond" w:hAnsi="Garamond" w:cs="Garamond"/>
          <w:sz w:val="24"/>
          <w:szCs w:val="24"/>
        </w:rPr>
        <w:t xml:space="preserve">.  More generally, however, average treatment effects fail to provide useful information about </w:t>
      </w:r>
      <w:r w:rsidR="009434FC">
        <w:rPr>
          <w:rFonts w:ascii="Garamond" w:eastAsia="Garamond" w:hAnsi="Garamond" w:cs="Garamond"/>
          <w:sz w:val="24"/>
          <w:szCs w:val="24"/>
        </w:rPr>
        <w:t>equity</w:t>
      </w:r>
      <w:r>
        <w:rPr>
          <w:rFonts w:ascii="Garamond" w:eastAsia="Garamond" w:hAnsi="Garamond" w:cs="Garamond"/>
          <w:sz w:val="24"/>
          <w:szCs w:val="24"/>
        </w:rPr>
        <w:t xml:space="preserve">. This section reviews methods for providing such information – known as “Conditional Average Treatment Effects” (CATEs), “Quantile Treatment Effects” (QTEs) and “Inequality Treatment Effects” (ITEs).  The estimation of CATEs is more commonly known as “subgroup analysis” in health </w:t>
      </w:r>
      <w:r w:rsidR="009434FC">
        <w:rPr>
          <w:rFonts w:ascii="Garamond" w:eastAsia="Garamond" w:hAnsi="Garamond" w:cs="Garamond"/>
          <w:sz w:val="24"/>
          <w:szCs w:val="24"/>
        </w:rPr>
        <w:t>services research</w:t>
      </w:r>
      <w:r>
        <w:rPr>
          <w:rFonts w:ascii="Garamond" w:eastAsia="Garamond" w:hAnsi="Garamond" w:cs="Garamond"/>
          <w:sz w:val="24"/>
          <w:szCs w:val="24"/>
        </w:rPr>
        <w:t xml:space="preserve">, but we use the treatment effect terminology </w:t>
      </w:r>
      <w:r w:rsidR="009434FC">
        <w:rPr>
          <w:rFonts w:ascii="Garamond" w:eastAsia="Garamond" w:hAnsi="Garamond" w:cs="Garamond"/>
          <w:sz w:val="24"/>
          <w:szCs w:val="24"/>
        </w:rPr>
        <w:t xml:space="preserve">from </w:t>
      </w:r>
      <w:r w:rsidR="001F046F">
        <w:rPr>
          <w:rFonts w:ascii="Garamond" w:eastAsia="Garamond" w:hAnsi="Garamond" w:cs="Garamond"/>
          <w:sz w:val="24"/>
          <w:szCs w:val="24"/>
        </w:rPr>
        <w:t xml:space="preserve">the general literature on statistical methods of causal inference </w:t>
      </w:r>
      <w:r>
        <w:rPr>
          <w:rFonts w:ascii="Garamond" w:eastAsia="Garamond" w:hAnsi="Garamond" w:cs="Garamond"/>
          <w:sz w:val="24"/>
          <w:szCs w:val="24"/>
        </w:rPr>
        <w:t>to help explain the relationship between these three different approaches.</w:t>
      </w:r>
    </w:p>
    <w:p w14:paraId="6E01787F" w14:textId="33A5DC53" w:rsidR="00BE1B83" w:rsidRDefault="002215EF" w:rsidP="008A4844">
      <w:pPr>
        <w:spacing w:line="480" w:lineRule="auto"/>
        <w:rPr>
          <w:rFonts w:ascii="Garamond" w:eastAsia="Garamond" w:hAnsi="Garamond" w:cs="Garamond"/>
          <w:b/>
          <w:sz w:val="24"/>
          <w:szCs w:val="24"/>
        </w:rPr>
      </w:pPr>
      <w:r>
        <w:rPr>
          <w:rFonts w:ascii="Garamond" w:eastAsia="Garamond" w:hAnsi="Garamond" w:cs="Garamond"/>
          <w:b/>
          <w:sz w:val="24"/>
          <w:szCs w:val="24"/>
        </w:rPr>
        <w:t xml:space="preserve">2.1 </w:t>
      </w:r>
      <w:r w:rsidR="00633980">
        <w:rPr>
          <w:rFonts w:ascii="Garamond" w:eastAsia="Garamond" w:hAnsi="Garamond" w:cs="Garamond"/>
          <w:b/>
          <w:sz w:val="24"/>
          <w:szCs w:val="24"/>
        </w:rPr>
        <w:t>Average Treatment Effect (ATE)</w:t>
      </w:r>
    </w:p>
    <w:p w14:paraId="14C84A5A" w14:textId="13BE588F" w:rsidR="00AA79FE" w:rsidRDefault="00633980" w:rsidP="00B43965">
      <w:pPr>
        <w:spacing w:line="480" w:lineRule="auto"/>
        <w:rPr>
          <w:rFonts w:ascii="Garamond" w:eastAsia="Garamond" w:hAnsi="Garamond" w:cs="Garamond"/>
          <w:i/>
          <w:sz w:val="24"/>
          <w:szCs w:val="24"/>
        </w:rPr>
      </w:pPr>
      <w:r>
        <w:rPr>
          <w:rFonts w:ascii="Garamond" w:eastAsia="Garamond" w:hAnsi="Garamond" w:cs="Garamond"/>
          <w:sz w:val="24"/>
          <w:szCs w:val="24"/>
        </w:rPr>
        <w:t xml:space="preserve">Figure 1 shows the </w:t>
      </w:r>
      <w:r w:rsidR="00AA79FE" w:rsidRPr="00AA79FE">
        <w:rPr>
          <w:rFonts w:ascii="Garamond" w:eastAsia="Garamond" w:hAnsi="Garamond" w:cs="Garamond"/>
          <w:sz w:val="24"/>
          <w:szCs w:val="24"/>
        </w:rPr>
        <w:t xml:space="preserve">effects on birthweight of a hypothetical antenatal dietary education and supplementation </w:t>
      </w:r>
      <w:r w:rsidR="007B7CBF">
        <w:rPr>
          <w:rFonts w:ascii="Garamond" w:eastAsia="Garamond" w:hAnsi="Garamond" w:cs="Garamond"/>
          <w:sz w:val="24"/>
          <w:szCs w:val="24"/>
        </w:rPr>
        <w:t xml:space="preserve">programme for </w:t>
      </w:r>
      <w:r w:rsidR="00AA79FE" w:rsidRPr="00AA79FE">
        <w:rPr>
          <w:rFonts w:ascii="Garamond" w:eastAsia="Garamond" w:hAnsi="Garamond" w:cs="Garamond"/>
          <w:sz w:val="24"/>
          <w:szCs w:val="24"/>
        </w:rPr>
        <w:t xml:space="preserve">a </w:t>
      </w:r>
      <w:r w:rsidR="00AA79FE">
        <w:rPr>
          <w:rFonts w:ascii="Garamond" w:eastAsia="Garamond" w:hAnsi="Garamond" w:cs="Garamond"/>
          <w:sz w:val="24"/>
          <w:szCs w:val="24"/>
        </w:rPr>
        <w:t>low</w:t>
      </w:r>
      <w:r w:rsidR="00A5591A">
        <w:rPr>
          <w:rFonts w:ascii="Garamond" w:eastAsia="Garamond" w:hAnsi="Garamond" w:cs="Garamond"/>
          <w:sz w:val="24"/>
          <w:szCs w:val="24"/>
        </w:rPr>
        <w:t>-</w:t>
      </w:r>
      <w:r w:rsidR="00AA79FE">
        <w:rPr>
          <w:rFonts w:ascii="Garamond" w:eastAsia="Garamond" w:hAnsi="Garamond" w:cs="Garamond"/>
          <w:sz w:val="24"/>
          <w:szCs w:val="24"/>
        </w:rPr>
        <w:t xml:space="preserve">income </w:t>
      </w:r>
      <w:r w:rsidR="007B7CBF">
        <w:rPr>
          <w:rFonts w:ascii="Garamond" w:eastAsia="Garamond" w:hAnsi="Garamond" w:cs="Garamond"/>
          <w:sz w:val="24"/>
          <w:szCs w:val="24"/>
        </w:rPr>
        <w:t>country population</w:t>
      </w:r>
      <w:r w:rsidR="006B77B2">
        <w:rPr>
          <w:rFonts w:ascii="Garamond" w:eastAsia="Garamond" w:hAnsi="Garamond" w:cs="Garamond"/>
          <w:sz w:val="24"/>
          <w:szCs w:val="24"/>
        </w:rPr>
        <w:t xml:space="preserve">.  </w:t>
      </w:r>
      <w:r w:rsidR="00105B1A">
        <w:rPr>
          <w:rFonts w:ascii="Garamond" w:eastAsia="Garamond" w:hAnsi="Garamond" w:cs="Garamond"/>
          <w:sz w:val="24"/>
          <w:szCs w:val="24"/>
        </w:rPr>
        <w:t xml:space="preserve">We use a </w:t>
      </w:r>
      <w:r w:rsidR="00B36978">
        <w:rPr>
          <w:rFonts w:ascii="Garamond" w:eastAsia="Garamond" w:hAnsi="Garamond" w:cs="Garamond"/>
          <w:sz w:val="24"/>
          <w:szCs w:val="24"/>
        </w:rPr>
        <w:t xml:space="preserve">control group </w:t>
      </w:r>
      <w:r w:rsidR="00105B1A">
        <w:rPr>
          <w:rFonts w:ascii="Garamond" w:eastAsia="Garamond" w:hAnsi="Garamond" w:cs="Garamond"/>
          <w:sz w:val="24"/>
          <w:szCs w:val="24"/>
        </w:rPr>
        <w:t xml:space="preserve">distribution of birthweight </w:t>
      </w:r>
      <w:r w:rsidR="00B36978">
        <w:rPr>
          <w:rFonts w:ascii="Garamond" w:eastAsia="Garamond" w:hAnsi="Garamond" w:cs="Garamond"/>
          <w:sz w:val="24"/>
          <w:szCs w:val="24"/>
        </w:rPr>
        <w:t xml:space="preserve">that is typical for many low-income countries, with a mean birthweight of </w:t>
      </w:r>
      <w:r w:rsidR="006F08F6">
        <w:rPr>
          <w:rFonts w:ascii="Garamond" w:eastAsia="Garamond" w:hAnsi="Garamond" w:cs="Garamond"/>
          <w:sz w:val="24"/>
          <w:szCs w:val="24"/>
        </w:rPr>
        <w:t>2.98</w:t>
      </w:r>
      <w:r w:rsidR="00B36978">
        <w:rPr>
          <w:rFonts w:ascii="Garamond" w:eastAsia="Garamond" w:hAnsi="Garamond" w:cs="Garamond"/>
          <w:sz w:val="24"/>
          <w:szCs w:val="24"/>
        </w:rPr>
        <w:t xml:space="preserve">kg and a low birthweight (&lt; 2.5kg) rate of </w:t>
      </w:r>
      <w:r w:rsidR="006F08F6">
        <w:rPr>
          <w:rFonts w:ascii="Garamond" w:eastAsia="Garamond" w:hAnsi="Garamond" w:cs="Garamond"/>
          <w:sz w:val="24"/>
          <w:szCs w:val="24"/>
        </w:rPr>
        <w:t>12.</w:t>
      </w:r>
      <w:r w:rsidR="00201B3F">
        <w:rPr>
          <w:rFonts w:ascii="Garamond" w:eastAsia="Garamond" w:hAnsi="Garamond" w:cs="Garamond"/>
          <w:sz w:val="24"/>
          <w:szCs w:val="24"/>
        </w:rPr>
        <w:t>7</w:t>
      </w:r>
      <w:r w:rsidR="00B36978">
        <w:rPr>
          <w:rFonts w:ascii="Garamond" w:eastAsia="Garamond" w:hAnsi="Garamond" w:cs="Garamond"/>
          <w:sz w:val="24"/>
          <w:szCs w:val="24"/>
        </w:rPr>
        <w:t>%</w:t>
      </w:r>
      <w:r w:rsidR="006B77B2">
        <w:rPr>
          <w:rFonts w:ascii="Garamond" w:eastAsia="Garamond" w:hAnsi="Garamond" w:cs="Garamond"/>
          <w:sz w:val="24"/>
          <w:szCs w:val="24"/>
        </w:rPr>
        <w:t xml:space="preserve"> </w:t>
      </w:r>
      <w:r w:rsidR="00105B1A">
        <w:rPr>
          <w:rFonts w:ascii="Garamond" w:eastAsia="Garamond" w:hAnsi="Garamond" w:cs="Garamond"/>
          <w:sz w:val="24"/>
          <w:szCs w:val="24"/>
        </w:rPr>
        <w:t>(</w:t>
      </w:r>
      <w:proofErr w:type="spellStart"/>
      <w:r w:rsidR="00105B1A">
        <w:rPr>
          <w:rFonts w:ascii="Garamond" w:eastAsia="Garamond" w:hAnsi="Garamond" w:cs="Garamond"/>
          <w:sz w:val="24"/>
          <w:szCs w:val="24"/>
        </w:rPr>
        <w:t>Blencowe</w:t>
      </w:r>
      <w:proofErr w:type="spellEnd"/>
      <w:r w:rsidR="00105B1A">
        <w:rPr>
          <w:rFonts w:ascii="Garamond" w:eastAsia="Garamond" w:hAnsi="Garamond" w:cs="Garamond"/>
          <w:sz w:val="24"/>
          <w:szCs w:val="24"/>
        </w:rPr>
        <w:t xml:space="preserve"> et al. 2019)</w:t>
      </w:r>
      <w:r w:rsidR="00B36978">
        <w:rPr>
          <w:rFonts w:ascii="Garamond" w:eastAsia="Garamond" w:hAnsi="Garamond" w:cs="Garamond"/>
          <w:sz w:val="24"/>
          <w:szCs w:val="24"/>
        </w:rPr>
        <w:t xml:space="preserve">, </w:t>
      </w:r>
      <w:r w:rsidR="00105B1A">
        <w:rPr>
          <w:rFonts w:ascii="Garamond" w:eastAsia="Garamond" w:hAnsi="Garamond" w:cs="Garamond"/>
          <w:sz w:val="24"/>
          <w:szCs w:val="24"/>
        </w:rPr>
        <w:t xml:space="preserve">and assume </w:t>
      </w:r>
      <w:r w:rsidR="007B7CBF">
        <w:rPr>
          <w:rFonts w:ascii="Garamond" w:eastAsia="Garamond" w:hAnsi="Garamond" w:cs="Garamond"/>
          <w:sz w:val="24"/>
          <w:szCs w:val="24"/>
        </w:rPr>
        <w:t xml:space="preserve">the programme delivers </w:t>
      </w:r>
      <w:r w:rsidR="00D06134">
        <w:rPr>
          <w:rFonts w:ascii="Garamond" w:eastAsia="Garamond" w:hAnsi="Garamond" w:cs="Garamond"/>
          <w:sz w:val="24"/>
          <w:szCs w:val="24"/>
        </w:rPr>
        <w:t xml:space="preserve">an average increase in birthweight </w:t>
      </w:r>
      <w:r w:rsidR="00105B1A">
        <w:rPr>
          <w:rFonts w:ascii="Garamond" w:eastAsia="Garamond" w:hAnsi="Garamond" w:cs="Garamond"/>
          <w:sz w:val="24"/>
          <w:szCs w:val="24"/>
        </w:rPr>
        <w:t xml:space="preserve">of </w:t>
      </w:r>
      <w:r w:rsidR="00D06134">
        <w:rPr>
          <w:rFonts w:ascii="Garamond" w:eastAsia="Garamond" w:hAnsi="Garamond" w:cs="Garamond"/>
          <w:sz w:val="24"/>
          <w:szCs w:val="24"/>
        </w:rPr>
        <w:t xml:space="preserve"> </w:t>
      </w:r>
      <w:r w:rsidR="006F08F6">
        <w:rPr>
          <w:rFonts w:ascii="Garamond" w:eastAsia="Garamond" w:hAnsi="Garamond" w:cs="Garamond"/>
          <w:sz w:val="24"/>
          <w:szCs w:val="24"/>
        </w:rPr>
        <w:t>0.</w:t>
      </w:r>
      <w:r w:rsidR="00201B3F">
        <w:rPr>
          <w:rFonts w:ascii="Garamond" w:eastAsia="Garamond" w:hAnsi="Garamond" w:cs="Garamond"/>
          <w:sz w:val="24"/>
          <w:szCs w:val="24"/>
        </w:rPr>
        <w:t>29</w:t>
      </w:r>
      <w:r w:rsidR="006F08F6">
        <w:rPr>
          <w:rFonts w:ascii="Garamond" w:eastAsia="Garamond" w:hAnsi="Garamond" w:cs="Garamond"/>
          <w:sz w:val="24"/>
          <w:szCs w:val="24"/>
        </w:rPr>
        <w:t>k</w:t>
      </w:r>
      <w:r w:rsidR="00D06134">
        <w:rPr>
          <w:rFonts w:ascii="Garamond" w:eastAsia="Garamond" w:hAnsi="Garamond" w:cs="Garamond"/>
          <w:sz w:val="24"/>
          <w:szCs w:val="24"/>
        </w:rPr>
        <w:t>g</w:t>
      </w:r>
      <w:r w:rsidR="00105B1A">
        <w:rPr>
          <w:rFonts w:ascii="Garamond" w:eastAsia="Garamond" w:hAnsi="Garamond" w:cs="Garamond"/>
          <w:sz w:val="24"/>
          <w:szCs w:val="24"/>
        </w:rPr>
        <w:t xml:space="preserve"> (Ota et al. 2015)</w:t>
      </w:r>
      <w:r w:rsidR="00D06134">
        <w:rPr>
          <w:rFonts w:ascii="Garamond" w:eastAsia="Garamond" w:hAnsi="Garamond" w:cs="Garamond"/>
          <w:sz w:val="24"/>
          <w:szCs w:val="24"/>
        </w:rPr>
        <w:t xml:space="preserve">.  </w:t>
      </w:r>
      <w:r w:rsidR="00A5591A">
        <w:rPr>
          <w:rFonts w:ascii="Garamond" w:eastAsia="Garamond" w:hAnsi="Garamond" w:cs="Garamond"/>
          <w:sz w:val="24"/>
          <w:szCs w:val="24"/>
        </w:rPr>
        <w:t>F</w:t>
      </w:r>
      <w:r>
        <w:rPr>
          <w:rFonts w:ascii="Garamond" w:eastAsia="Garamond" w:hAnsi="Garamond" w:cs="Garamond"/>
          <w:sz w:val="24"/>
          <w:szCs w:val="24"/>
        </w:rPr>
        <w:t xml:space="preserve">igure </w:t>
      </w:r>
      <w:r w:rsidR="00A5591A">
        <w:rPr>
          <w:rFonts w:ascii="Garamond" w:eastAsia="Garamond" w:hAnsi="Garamond" w:cs="Garamond"/>
          <w:sz w:val="24"/>
          <w:szCs w:val="24"/>
        </w:rPr>
        <w:t xml:space="preserve">1 shows a </w:t>
      </w:r>
      <w:r>
        <w:rPr>
          <w:rFonts w:ascii="Garamond" w:eastAsia="Garamond" w:hAnsi="Garamond" w:cs="Garamond"/>
          <w:sz w:val="24"/>
          <w:szCs w:val="24"/>
        </w:rPr>
        <w:t xml:space="preserve">post-treatment follow-up, in which the intervention has been delivered to a ‘treated’ group </w:t>
      </w:r>
      <w:r w:rsidR="002D77A8">
        <w:rPr>
          <w:rFonts w:ascii="Garamond" w:eastAsia="Garamond" w:hAnsi="Garamond" w:cs="Garamond"/>
          <w:sz w:val="24"/>
          <w:szCs w:val="24"/>
        </w:rPr>
        <w:t xml:space="preserve">of expectant mothers </w:t>
      </w:r>
      <w:r>
        <w:rPr>
          <w:rFonts w:ascii="Garamond" w:eastAsia="Garamond" w:hAnsi="Garamond" w:cs="Garamond"/>
          <w:sz w:val="24"/>
          <w:szCs w:val="24"/>
        </w:rPr>
        <w:t xml:space="preserve">but not a ‘control’ group. The outcome of interest, </w:t>
      </w:r>
      <w:r>
        <w:rPr>
          <w:rFonts w:ascii="Garamond" w:eastAsia="Garamond" w:hAnsi="Garamond" w:cs="Garamond"/>
          <w:i/>
          <w:sz w:val="24"/>
          <w:szCs w:val="24"/>
        </w:rPr>
        <w:t>y</w:t>
      </w:r>
      <w:r>
        <w:rPr>
          <w:rFonts w:ascii="Garamond" w:eastAsia="Garamond" w:hAnsi="Garamond" w:cs="Garamond"/>
          <w:sz w:val="24"/>
          <w:szCs w:val="24"/>
        </w:rPr>
        <w:t xml:space="preserve">, is </w:t>
      </w:r>
      <w:r w:rsidR="007B7CBF">
        <w:rPr>
          <w:rFonts w:ascii="Garamond" w:eastAsia="Garamond" w:hAnsi="Garamond" w:cs="Garamond"/>
          <w:sz w:val="24"/>
          <w:szCs w:val="24"/>
        </w:rPr>
        <w:lastRenderedPageBreak/>
        <w:t>birthweight</w:t>
      </w:r>
      <w:r>
        <w:rPr>
          <w:rFonts w:ascii="Garamond" w:eastAsia="Garamond" w:hAnsi="Garamond" w:cs="Garamond"/>
          <w:sz w:val="24"/>
          <w:szCs w:val="24"/>
        </w:rPr>
        <w:t xml:space="preserve">.  The distribution of </w:t>
      </w:r>
      <w:r w:rsidR="007B7CBF">
        <w:rPr>
          <w:rFonts w:ascii="Garamond" w:eastAsia="Garamond" w:hAnsi="Garamond" w:cs="Garamond"/>
          <w:sz w:val="24"/>
          <w:szCs w:val="24"/>
        </w:rPr>
        <w:t xml:space="preserve">birthweight </w:t>
      </w:r>
      <w:r>
        <w:rPr>
          <w:rFonts w:ascii="Garamond" w:eastAsia="Garamond" w:hAnsi="Garamond" w:cs="Garamond"/>
          <w:sz w:val="24"/>
          <w:szCs w:val="24"/>
        </w:rPr>
        <w:t xml:space="preserve">within the control and treated groups is shown in the left </w:t>
      </w:r>
      <w:r w:rsidR="007B7CBF">
        <w:rPr>
          <w:rFonts w:ascii="Garamond" w:eastAsia="Garamond" w:hAnsi="Garamond" w:cs="Garamond"/>
          <w:sz w:val="24"/>
          <w:szCs w:val="24"/>
        </w:rPr>
        <w:t xml:space="preserve">panel, with </w:t>
      </w:r>
      <w:r>
        <w:rPr>
          <w:rFonts w:ascii="Garamond" w:eastAsia="Garamond" w:hAnsi="Garamond" w:cs="Garamond"/>
          <w:sz w:val="24"/>
          <w:szCs w:val="24"/>
        </w:rPr>
        <w:t xml:space="preserve">mean </w:t>
      </w:r>
      <w:r w:rsidR="007B7CBF">
        <w:rPr>
          <w:rFonts w:ascii="Garamond" w:eastAsia="Garamond" w:hAnsi="Garamond" w:cs="Garamond"/>
          <w:sz w:val="24"/>
          <w:szCs w:val="24"/>
        </w:rPr>
        <w:t xml:space="preserve">birthweight </w:t>
      </w:r>
      <w:r>
        <w:rPr>
          <w:rFonts w:ascii="Garamond" w:eastAsia="Garamond" w:hAnsi="Garamond" w:cs="Garamond"/>
          <w:sz w:val="24"/>
          <w:szCs w:val="24"/>
        </w:rPr>
        <w:t>shown by the dotted line</w:t>
      </w:r>
      <w:r w:rsidR="007B7CBF">
        <w:rPr>
          <w:rFonts w:ascii="Garamond" w:eastAsia="Garamond" w:hAnsi="Garamond" w:cs="Garamond"/>
          <w:sz w:val="24"/>
          <w:szCs w:val="24"/>
        </w:rPr>
        <w:t>s</w:t>
      </w:r>
      <w:r>
        <w:rPr>
          <w:rFonts w:ascii="Garamond" w:eastAsia="Garamond" w:hAnsi="Garamond" w:cs="Garamond"/>
          <w:sz w:val="24"/>
          <w:szCs w:val="24"/>
        </w:rPr>
        <w:t xml:space="preserve">. The ATE is simply the difference between these averages: </w:t>
      </w:r>
      <w:r w:rsidR="006F08F6">
        <w:rPr>
          <w:rFonts w:ascii="Garamond" w:eastAsia="Garamond" w:hAnsi="Garamond" w:cs="Garamond"/>
          <w:sz w:val="24"/>
          <w:szCs w:val="24"/>
        </w:rPr>
        <w:t>0.</w:t>
      </w:r>
      <w:r w:rsidR="00201B3F">
        <w:rPr>
          <w:rFonts w:ascii="Garamond" w:eastAsia="Garamond" w:hAnsi="Garamond" w:cs="Garamond"/>
          <w:sz w:val="24"/>
          <w:szCs w:val="24"/>
        </w:rPr>
        <w:t>29</w:t>
      </w:r>
      <w:r w:rsidR="006F08F6">
        <w:rPr>
          <w:rFonts w:ascii="Garamond" w:eastAsia="Garamond" w:hAnsi="Garamond" w:cs="Garamond"/>
          <w:sz w:val="24"/>
          <w:szCs w:val="24"/>
        </w:rPr>
        <w:t>k</w:t>
      </w:r>
      <w:r w:rsidR="007B7CBF">
        <w:rPr>
          <w:rFonts w:ascii="Garamond" w:eastAsia="Garamond" w:hAnsi="Garamond" w:cs="Garamond"/>
          <w:sz w:val="24"/>
          <w:szCs w:val="24"/>
        </w:rPr>
        <w:t>g</w:t>
      </w:r>
      <w:r>
        <w:rPr>
          <w:rFonts w:ascii="Garamond" w:eastAsia="Garamond" w:hAnsi="Garamond" w:cs="Garamond"/>
          <w:sz w:val="24"/>
          <w:szCs w:val="24"/>
        </w:rPr>
        <w:t xml:space="preserve">. </w:t>
      </w:r>
      <w:r w:rsidR="00C82A0E">
        <w:rPr>
          <w:rFonts w:ascii="Garamond" w:eastAsia="Garamond" w:hAnsi="Garamond" w:cs="Garamond"/>
          <w:sz w:val="24"/>
          <w:szCs w:val="24"/>
        </w:rPr>
        <w:t xml:space="preserve">This </w:t>
      </w:r>
      <w:r>
        <w:rPr>
          <w:rFonts w:ascii="Garamond" w:eastAsia="Garamond" w:hAnsi="Garamond" w:cs="Garamond"/>
          <w:sz w:val="24"/>
          <w:szCs w:val="24"/>
        </w:rPr>
        <w:t xml:space="preserve">is shown in the right panel, with 95% confidence intervals. </w:t>
      </w:r>
    </w:p>
    <w:p w14:paraId="0E744DB2" w14:textId="5B1587DF" w:rsidR="00201B3F" w:rsidRDefault="00201B3F" w:rsidP="00201B3F">
      <w:pPr>
        <w:spacing w:line="480" w:lineRule="auto"/>
        <w:jc w:val="center"/>
        <w:rPr>
          <w:rFonts w:ascii="Garamond" w:eastAsia="Garamond" w:hAnsi="Garamond" w:cs="Garamond"/>
          <w:i/>
          <w:sz w:val="24"/>
          <w:szCs w:val="24"/>
        </w:rPr>
      </w:pPr>
      <w:r>
        <w:rPr>
          <w:noProof/>
          <w:lang w:val="en-AU" w:eastAsia="en-AU"/>
        </w:rPr>
        <w:drawing>
          <wp:anchor distT="0" distB="0" distL="114300" distR="114300" simplePos="0" relativeHeight="251664384" behindDoc="1" locked="0" layoutInCell="1" allowOverlap="1" wp14:anchorId="519D2079" wp14:editId="28AEEAA8">
            <wp:simplePos x="0" y="0"/>
            <wp:positionH relativeFrom="column">
              <wp:posOffset>0</wp:posOffset>
            </wp:positionH>
            <wp:positionV relativeFrom="paragraph">
              <wp:posOffset>315201</wp:posOffset>
            </wp:positionV>
            <wp:extent cx="5731510" cy="2865755"/>
            <wp:effectExtent l="0" t="0" r="2540" b="0"/>
            <wp:wrapTight wrapText="bothSides">
              <wp:wrapPolygon edited="0">
                <wp:start x="0" y="0"/>
                <wp:lineTo x="0" y="21394"/>
                <wp:lineTo x="21538" y="21394"/>
                <wp:lineTo x="21538" y="0"/>
                <wp:lineTo x="0" y="0"/>
              </wp:wrapPolygon>
            </wp:wrapTight>
            <wp:docPr id="17" name="Picture 17"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TE.png"/>
                    <pic:cNvPicPr/>
                  </pic:nvPicPr>
                  <pic:blipFill>
                    <a:blip r:embed="rId17">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anchor>
        </w:drawing>
      </w:r>
      <w:r w:rsidR="00633980">
        <w:rPr>
          <w:rFonts w:ascii="Garamond" w:eastAsia="Garamond" w:hAnsi="Garamond" w:cs="Garamond"/>
          <w:i/>
          <w:sz w:val="24"/>
          <w:szCs w:val="24"/>
        </w:rPr>
        <w:t>Figure 1: Average Treatment Effect</w:t>
      </w:r>
    </w:p>
    <w:p w14:paraId="04122B2E" w14:textId="0B0EA4F1" w:rsidR="006F08F6" w:rsidRPr="00496FAF" w:rsidRDefault="006F08F6" w:rsidP="00C0790C">
      <w:pPr>
        <w:spacing w:line="240" w:lineRule="auto"/>
        <w:jc w:val="center"/>
        <w:rPr>
          <w:rFonts w:ascii="Garamond" w:eastAsia="Garamond" w:hAnsi="Garamond" w:cs="Garamond"/>
          <w:i/>
          <w:sz w:val="24"/>
          <w:szCs w:val="24"/>
        </w:rPr>
      </w:pPr>
      <w:r w:rsidRPr="00496FAF">
        <w:rPr>
          <w:rFonts w:ascii="Garamond" w:eastAsia="Garamond" w:hAnsi="Garamond" w:cs="Garamond"/>
          <w:i/>
          <w:sz w:val="24"/>
          <w:szCs w:val="24"/>
        </w:rPr>
        <w:t xml:space="preserve">Note: </w:t>
      </w:r>
      <w:r w:rsidRPr="00C0790C">
        <w:rPr>
          <w:rFonts w:ascii="Garamond" w:eastAsia="Garamond" w:hAnsi="Garamond" w:cs="Garamond"/>
          <w:i/>
          <w:sz w:val="24"/>
          <w:szCs w:val="24"/>
        </w:rPr>
        <w:t xml:space="preserve">The left panel shows the distribution of birthweight for the control and treated groups. The dashed vertical lines show the </w:t>
      </w:r>
      <w:r w:rsidR="00496FAF">
        <w:rPr>
          <w:rFonts w:ascii="Garamond" w:eastAsia="Garamond" w:hAnsi="Garamond" w:cs="Garamond"/>
          <w:i/>
          <w:sz w:val="24"/>
          <w:szCs w:val="24"/>
        </w:rPr>
        <w:t xml:space="preserve">mean </w:t>
      </w:r>
      <w:r w:rsidRPr="00C0790C">
        <w:rPr>
          <w:rFonts w:ascii="Garamond" w:eastAsia="Garamond" w:hAnsi="Garamond" w:cs="Garamond"/>
          <w:i/>
          <w:sz w:val="24"/>
          <w:szCs w:val="24"/>
        </w:rPr>
        <w:t>birthweights for each group: 2.98kg for the control and 3.2</w:t>
      </w:r>
      <w:r w:rsidR="00201B3F" w:rsidRPr="00C0790C">
        <w:rPr>
          <w:rFonts w:ascii="Garamond" w:eastAsia="Garamond" w:hAnsi="Garamond" w:cs="Garamond"/>
          <w:i/>
          <w:sz w:val="24"/>
          <w:szCs w:val="24"/>
        </w:rPr>
        <w:t>7</w:t>
      </w:r>
      <w:r w:rsidRPr="00C0790C">
        <w:rPr>
          <w:rFonts w:ascii="Garamond" w:eastAsia="Garamond" w:hAnsi="Garamond" w:cs="Garamond"/>
          <w:i/>
          <w:sz w:val="24"/>
          <w:szCs w:val="24"/>
        </w:rPr>
        <w:t>kg for the treated. The dotted vertical lines show low (2.5kg) and very low (1.5kg) birthweights. The area under the curve to the left of these lines show</w:t>
      </w:r>
      <w:r w:rsidR="00496FAF">
        <w:rPr>
          <w:rFonts w:ascii="Garamond" w:eastAsia="Garamond" w:hAnsi="Garamond" w:cs="Garamond"/>
          <w:i/>
          <w:sz w:val="24"/>
          <w:szCs w:val="24"/>
        </w:rPr>
        <w:t>s</w:t>
      </w:r>
      <w:r w:rsidRPr="00C0790C">
        <w:rPr>
          <w:rFonts w:ascii="Garamond" w:eastAsia="Garamond" w:hAnsi="Garamond" w:cs="Garamond"/>
          <w:i/>
          <w:sz w:val="24"/>
          <w:szCs w:val="24"/>
        </w:rPr>
        <w:t xml:space="preserve"> the percentage of low and very low birthweights: 12.7% and 1.8%, for the control, and </w:t>
      </w:r>
      <w:r w:rsidR="00201B3F" w:rsidRPr="00C0790C">
        <w:rPr>
          <w:rFonts w:ascii="Garamond" w:eastAsia="Garamond" w:hAnsi="Garamond" w:cs="Garamond"/>
          <w:i/>
          <w:sz w:val="24"/>
          <w:szCs w:val="24"/>
        </w:rPr>
        <w:t>7</w:t>
      </w:r>
      <w:r w:rsidRPr="00C0790C">
        <w:rPr>
          <w:rFonts w:ascii="Garamond" w:eastAsia="Garamond" w:hAnsi="Garamond" w:cs="Garamond"/>
          <w:i/>
          <w:sz w:val="24"/>
          <w:szCs w:val="24"/>
        </w:rPr>
        <w:t xml:space="preserve">.4% and </w:t>
      </w:r>
      <w:r w:rsidR="006F44D8" w:rsidRPr="00C0790C">
        <w:rPr>
          <w:rFonts w:ascii="Garamond" w:eastAsia="Garamond" w:hAnsi="Garamond" w:cs="Garamond"/>
          <w:i/>
          <w:sz w:val="24"/>
          <w:szCs w:val="24"/>
        </w:rPr>
        <w:t>1</w:t>
      </w:r>
      <w:r w:rsidRPr="00C0790C">
        <w:rPr>
          <w:rFonts w:ascii="Garamond" w:eastAsia="Garamond" w:hAnsi="Garamond" w:cs="Garamond"/>
          <w:i/>
          <w:sz w:val="24"/>
          <w:szCs w:val="24"/>
        </w:rPr>
        <w:t>.</w:t>
      </w:r>
      <w:r w:rsidR="006F44D8" w:rsidRPr="00C0790C">
        <w:rPr>
          <w:rFonts w:ascii="Garamond" w:eastAsia="Garamond" w:hAnsi="Garamond" w:cs="Garamond"/>
          <w:i/>
          <w:sz w:val="24"/>
          <w:szCs w:val="24"/>
        </w:rPr>
        <w:t>2</w:t>
      </w:r>
      <w:r w:rsidRPr="00C0790C">
        <w:rPr>
          <w:rFonts w:ascii="Garamond" w:eastAsia="Garamond" w:hAnsi="Garamond" w:cs="Garamond"/>
          <w:i/>
          <w:sz w:val="24"/>
          <w:szCs w:val="24"/>
        </w:rPr>
        <w:t xml:space="preserve">% for the treated. </w:t>
      </w:r>
      <w:r w:rsidR="00457291" w:rsidRPr="00C0790C">
        <w:rPr>
          <w:rFonts w:ascii="Garamond" w:eastAsia="Garamond" w:hAnsi="Garamond" w:cs="Garamond"/>
          <w:i/>
          <w:sz w:val="24"/>
          <w:szCs w:val="24"/>
        </w:rPr>
        <w:t>T</w:t>
      </w:r>
      <w:r w:rsidRPr="00C0790C">
        <w:rPr>
          <w:rFonts w:ascii="Garamond" w:eastAsia="Garamond" w:hAnsi="Garamond" w:cs="Garamond"/>
          <w:i/>
          <w:sz w:val="24"/>
          <w:szCs w:val="24"/>
        </w:rPr>
        <w:t xml:space="preserve">he right panel </w:t>
      </w:r>
      <w:r w:rsidR="00457291" w:rsidRPr="00C0790C">
        <w:rPr>
          <w:rFonts w:ascii="Garamond" w:eastAsia="Garamond" w:hAnsi="Garamond" w:cs="Garamond"/>
          <w:i/>
          <w:sz w:val="24"/>
          <w:szCs w:val="24"/>
        </w:rPr>
        <w:t xml:space="preserve">shows the </w:t>
      </w:r>
      <w:r w:rsidRPr="00C0790C">
        <w:rPr>
          <w:rFonts w:ascii="Garamond" w:eastAsia="Garamond" w:hAnsi="Garamond" w:cs="Garamond"/>
          <w:i/>
          <w:sz w:val="24"/>
          <w:szCs w:val="24"/>
        </w:rPr>
        <w:t>average treatment effect</w:t>
      </w:r>
      <w:r w:rsidR="00457291" w:rsidRPr="00C0790C">
        <w:rPr>
          <w:rFonts w:ascii="Garamond" w:eastAsia="Garamond" w:hAnsi="Garamond" w:cs="Garamond"/>
          <w:i/>
          <w:sz w:val="24"/>
          <w:szCs w:val="24"/>
        </w:rPr>
        <w:t>:</w:t>
      </w:r>
      <w:r w:rsidRPr="00C0790C">
        <w:rPr>
          <w:rFonts w:ascii="Garamond" w:eastAsia="Garamond" w:hAnsi="Garamond" w:cs="Garamond"/>
          <w:i/>
          <w:sz w:val="24"/>
          <w:szCs w:val="24"/>
        </w:rPr>
        <w:t xml:space="preserve"> 0.</w:t>
      </w:r>
      <w:r w:rsidR="006F44D8" w:rsidRPr="00C0790C">
        <w:rPr>
          <w:rFonts w:ascii="Garamond" w:eastAsia="Garamond" w:hAnsi="Garamond" w:cs="Garamond"/>
          <w:i/>
          <w:sz w:val="24"/>
          <w:szCs w:val="24"/>
        </w:rPr>
        <w:t>29</w:t>
      </w:r>
      <w:r w:rsidRPr="00C0790C">
        <w:rPr>
          <w:rFonts w:ascii="Garamond" w:eastAsia="Garamond" w:hAnsi="Garamond" w:cs="Garamond"/>
          <w:i/>
          <w:sz w:val="24"/>
          <w:szCs w:val="24"/>
        </w:rPr>
        <w:t>kg</w:t>
      </w:r>
      <w:r w:rsidR="00457291" w:rsidRPr="00C0790C">
        <w:rPr>
          <w:rFonts w:ascii="Garamond" w:eastAsia="Garamond" w:hAnsi="Garamond" w:cs="Garamond"/>
          <w:i/>
          <w:sz w:val="24"/>
          <w:szCs w:val="24"/>
        </w:rPr>
        <w:t>, by the height of the bar, and 95% confidence intervals by the error bars.</w:t>
      </w:r>
    </w:p>
    <w:p w14:paraId="58613154" w14:textId="4BDA7177" w:rsidR="00BE1B83" w:rsidRDefault="00BE1B83" w:rsidP="008A4844">
      <w:pPr>
        <w:spacing w:line="480" w:lineRule="auto"/>
        <w:jc w:val="center"/>
        <w:rPr>
          <w:rFonts w:ascii="Garamond" w:eastAsia="Garamond" w:hAnsi="Garamond" w:cs="Garamond"/>
          <w:i/>
          <w:sz w:val="24"/>
          <w:szCs w:val="24"/>
        </w:rPr>
      </w:pPr>
    </w:p>
    <w:p w14:paraId="23AE3F28" w14:textId="46B1C137" w:rsidR="00BE1B83" w:rsidRDefault="00633980" w:rsidP="008A4844">
      <w:pPr>
        <w:spacing w:line="480" w:lineRule="auto"/>
        <w:rPr>
          <w:rFonts w:ascii="Garamond" w:eastAsia="Garamond" w:hAnsi="Garamond" w:cs="Garamond"/>
          <w:sz w:val="24"/>
          <w:szCs w:val="24"/>
        </w:rPr>
      </w:pPr>
      <w:r>
        <w:rPr>
          <w:rFonts w:ascii="Garamond" w:eastAsia="Garamond" w:hAnsi="Garamond" w:cs="Garamond"/>
          <w:sz w:val="24"/>
          <w:szCs w:val="24"/>
        </w:rPr>
        <w:t xml:space="preserve">However, the ATE ignores </w:t>
      </w:r>
      <w:r w:rsidR="00454218">
        <w:rPr>
          <w:rFonts w:ascii="Garamond" w:eastAsia="Garamond" w:hAnsi="Garamond" w:cs="Garamond"/>
          <w:sz w:val="24"/>
          <w:szCs w:val="24"/>
        </w:rPr>
        <w:t xml:space="preserve">important </w:t>
      </w:r>
      <w:r>
        <w:rPr>
          <w:rFonts w:ascii="Garamond" w:eastAsia="Garamond" w:hAnsi="Garamond" w:cs="Garamond"/>
          <w:sz w:val="24"/>
          <w:szCs w:val="24"/>
        </w:rPr>
        <w:t>effect</w:t>
      </w:r>
      <w:r w:rsidR="00454218">
        <w:rPr>
          <w:rFonts w:ascii="Garamond" w:eastAsia="Garamond" w:hAnsi="Garamond" w:cs="Garamond"/>
          <w:sz w:val="24"/>
          <w:szCs w:val="24"/>
        </w:rPr>
        <w:t xml:space="preserve">s </w:t>
      </w:r>
      <w:r>
        <w:rPr>
          <w:rFonts w:ascii="Garamond" w:eastAsia="Garamond" w:hAnsi="Garamond" w:cs="Garamond"/>
          <w:sz w:val="24"/>
          <w:szCs w:val="24"/>
        </w:rPr>
        <w:t xml:space="preserve">on the distribution of </w:t>
      </w:r>
      <w:r w:rsidR="00454218">
        <w:rPr>
          <w:rFonts w:ascii="Garamond" w:eastAsia="Garamond" w:hAnsi="Garamond" w:cs="Garamond"/>
          <w:sz w:val="24"/>
          <w:szCs w:val="24"/>
        </w:rPr>
        <w:t>birthweight</w:t>
      </w:r>
      <w:r>
        <w:rPr>
          <w:rFonts w:ascii="Garamond" w:eastAsia="Garamond" w:hAnsi="Garamond" w:cs="Garamond"/>
          <w:sz w:val="24"/>
          <w:szCs w:val="24"/>
        </w:rPr>
        <w:t xml:space="preserve">. Below we illustrate methods to investigate this further. </w:t>
      </w:r>
    </w:p>
    <w:p w14:paraId="6EB99AA0" w14:textId="4FD16803" w:rsidR="00BE1B83" w:rsidRPr="00445C14" w:rsidRDefault="002215EF" w:rsidP="008A4844">
      <w:pPr>
        <w:spacing w:line="480" w:lineRule="auto"/>
        <w:rPr>
          <w:rFonts w:ascii="Garamond" w:eastAsia="Garamond" w:hAnsi="Garamond" w:cs="Garamond"/>
          <w:b/>
          <w:bCs/>
          <w:sz w:val="24"/>
          <w:szCs w:val="24"/>
        </w:rPr>
      </w:pPr>
      <w:r w:rsidRPr="000141B6">
        <w:rPr>
          <w:rFonts w:ascii="Garamond" w:eastAsia="Garamond" w:hAnsi="Garamond" w:cs="Garamond"/>
          <w:b/>
          <w:bCs/>
          <w:sz w:val="24"/>
          <w:szCs w:val="24"/>
        </w:rPr>
        <w:t xml:space="preserve">2.2 </w:t>
      </w:r>
      <w:r w:rsidR="00633980" w:rsidRPr="00505F01">
        <w:rPr>
          <w:rFonts w:ascii="Garamond" w:eastAsia="Garamond" w:hAnsi="Garamond" w:cs="Garamond"/>
          <w:b/>
          <w:bCs/>
          <w:sz w:val="24"/>
          <w:szCs w:val="24"/>
        </w:rPr>
        <w:t>Conditional Average Treatment Effects (aka Subgroup Analysis)</w:t>
      </w:r>
    </w:p>
    <w:p w14:paraId="616DD5B2" w14:textId="60BBDE5B" w:rsidR="00BE1B83" w:rsidRDefault="00633980" w:rsidP="008A4844">
      <w:pPr>
        <w:spacing w:line="480" w:lineRule="auto"/>
        <w:rPr>
          <w:rFonts w:ascii="Garamond" w:eastAsia="Garamond" w:hAnsi="Garamond" w:cs="Garamond"/>
          <w:sz w:val="24"/>
          <w:szCs w:val="24"/>
        </w:rPr>
      </w:pPr>
      <w:r>
        <w:rPr>
          <w:rFonts w:ascii="Garamond" w:eastAsia="Garamond" w:hAnsi="Garamond" w:cs="Garamond"/>
          <w:sz w:val="24"/>
          <w:szCs w:val="24"/>
        </w:rPr>
        <w:t xml:space="preserve">Decision makers are often concerned about inequalities in health outcomes associated with equity-relevant social variables (e.g. socioeconomic status, ethnicity, geographical location), disease categories (e.g. severity of illness, disability) and risk factors (e.g. blood pressure, obesity, smoking).  We can estimate how intervention effects depend upon observed equity-relevant </w:t>
      </w:r>
      <w:r>
        <w:rPr>
          <w:rFonts w:ascii="Garamond" w:eastAsia="Garamond" w:hAnsi="Garamond" w:cs="Garamond"/>
          <w:sz w:val="24"/>
          <w:szCs w:val="24"/>
        </w:rPr>
        <w:lastRenderedPageBreak/>
        <w:t xml:space="preserve">variables using subgroup analysis or conditional average treatment effects (CATEs).  The term </w:t>
      </w:r>
      <w:r w:rsidR="00A5591A">
        <w:rPr>
          <w:rFonts w:ascii="Garamond" w:eastAsia="Garamond" w:hAnsi="Garamond" w:cs="Garamond"/>
          <w:sz w:val="24"/>
          <w:szCs w:val="24"/>
        </w:rPr>
        <w:t>‘</w:t>
      </w:r>
      <w:r>
        <w:rPr>
          <w:rFonts w:ascii="Garamond" w:eastAsia="Garamond" w:hAnsi="Garamond" w:cs="Garamond"/>
          <w:sz w:val="24"/>
          <w:szCs w:val="24"/>
        </w:rPr>
        <w:t>conditional average treatment effects</w:t>
      </w:r>
      <w:r w:rsidR="00A5591A">
        <w:rPr>
          <w:rFonts w:ascii="Garamond" w:eastAsia="Garamond" w:hAnsi="Garamond" w:cs="Garamond"/>
          <w:sz w:val="24"/>
          <w:szCs w:val="24"/>
        </w:rPr>
        <w:t>’</w:t>
      </w:r>
      <w:r>
        <w:rPr>
          <w:rFonts w:ascii="Garamond" w:eastAsia="Garamond" w:hAnsi="Garamond" w:cs="Garamond"/>
          <w:sz w:val="24"/>
          <w:szCs w:val="24"/>
        </w:rPr>
        <w:t xml:space="preserve"> is slightly more general than </w:t>
      </w:r>
      <w:r w:rsidR="00A5591A">
        <w:rPr>
          <w:rFonts w:ascii="Garamond" w:eastAsia="Garamond" w:hAnsi="Garamond" w:cs="Garamond"/>
          <w:sz w:val="24"/>
          <w:szCs w:val="24"/>
        </w:rPr>
        <w:t>‘</w:t>
      </w:r>
      <w:r>
        <w:rPr>
          <w:rFonts w:ascii="Garamond" w:eastAsia="Garamond" w:hAnsi="Garamond" w:cs="Garamond"/>
          <w:sz w:val="24"/>
          <w:szCs w:val="24"/>
        </w:rPr>
        <w:t>subgroup analysis</w:t>
      </w:r>
      <w:r w:rsidR="00A5591A">
        <w:rPr>
          <w:rFonts w:ascii="Garamond" w:eastAsia="Garamond" w:hAnsi="Garamond" w:cs="Garamond"/>
          <w:sz w:val="24"/>
          <w:szCs w:val="24"/>
        </w:rPr>
        <w:t>’</w:t>
      </w:r>
      <w:r>
        <w:rPr>
          <w:rFonts w:ascii="Garamond" w:eastAsia="Garamond" w:hAnsi="Garamond" w:cs="Garamond"/>
          <w:sz w:val="24"/>
          <w:szCs w:val="24"/>
        </w:rPr>
        <w:t xml:space="preserve">, since the ‘conditioning’ variables of interest can include continuous variables like income as well as </w:t>
      </w:r>
      <w:r w:rsidR="00496FAF">
        <w:rPr>
          <w:rFonts w:ascii="Garamond" w:eastAsia="Garamond" w:hAnsi="Garamond" w:cs="Garamond"/>
          <w:sz w:val="24"/>
          <w:szCs w:val="24"/>
        </w:rPr>
        <w:t xml:space="preserve">subgroups </w:t>
      </w:r>
      <w:r>
        <w:rPr>
          <w:rFonts w:ascii="Garamond" w:eastAsia="Garamond" w:hAnsi="Garamond" w:cs="Garamond"/>
          <w:sz w:val="24"/>
          <w:szCs w:val="24"/>
        </w:rPr>
        <w:t xml:space="preserve">like income </w:t>
      </w:r>
      <w:r w:rsidR="00496FAF">
        <w:rPr>
          <w:rFonts w:ascii="Garamond" w:eastAsia="Garamond" w:hAnsi="Garamond" w:cs="Garamond"/>
          <w:sz w:val="24"/>
          <w:szCs w:val="24"/>
        </w:rPr>
        <w:t>quantile group</w:t>
      </w:r>
      <w:r>
        <w:rPr>
          <w:rFonts w:ascii="Garamond" w:eastAsia="Garamond" w:hAnsi="Garamond" w:cs="Garamond"/>
          <w:sz w:val="24"/>
          <w:szCs w:val="24"/>
        </w:rPr>
        <w:t>.</w:t>
      </w:r>
    </w:p>
    <w:p w14:paraId="4DAC0B51" w14:textId="57239A6E" w:rsidR="00BE1B83" w:rsidRDefault="00633980" w:rsidP="008A4844">
      <w:pPr>
        <w:spacing w:line="480" w:lineRule="auto"/>
        <w:rPr>
          <w:rFonts w:ascii="Garamond" w:eastAsia="Garamond" w:hAnsi="Garamond" w:cs="Garamond"/>
          <w:sz w:val="24"/>
          <w:szCs w:val="24"/>
        </w:rPr>
      </w:pPr>
      <w:r>
        <w:rPr>
          <w:rFonts w:ascii="Garamond" w:eastAsia="Garamond" w:hAnsi="Garamond" w:cs="Garamond"/>
          <w:sz w:val="24"/>
          <w:szCs w:val="24"/>
        </w:rPr>
        <w:t xml:space="preserve">The left panel of Figure 2 shows how </w:t>
      </w:r>
      <w:r w:rsidR="00454218">
        <w:rPr>
          <w:rFonts w:ascii="Garamond" w:eastAsia="Garamond" w:hAnsi="Garamond" w:cs="Garamond"/>
          <w:sz w:val="24"/>
          <w:szCs w:val="24"/>
        </w:rPr>
        <w:t xml:space="preserve">birthweight is related to </w:t>
      </w:r>
      <w:r w:rsidR="00457291">
        <w:rPr>
          <w:rFonts w:ascii="Garamond" w:eastAsia="Garamond" w:hAnsi="Garamond" w:cs="Garamond"/>
          <w:sz w:val="24"/>
          <w:szCs w:val="24"/>
        </w:rPr>
        <w:t xml:space="preserve">household </w:t>
      </w:r>
      <w:r>
        <w:rPr>
          <w:rFonts w:ascii="Garamond" w:eastAsia="Garamond" w:hAnsi="Garamond" w:cs="Garamond"/>
          <w:sz w:val="24"/>
          <w:szCs w:val="24"/>
        </w:rPr>
        <w:t xml:space="preserve">income rank, for both control and treated groups. Each dot represents one </w:t>
      </w:r>
      <w:r w:rsidR="00454218">
        <w:rPr>
          <w:rFonts w:ascii="Garamond" w:eastAsia="Garamond" w:hAnsi="Garamond" w:cs="Garamond"/>
          <w:sz w:val="24"/>
          <w:szCs w:val="24"/>
        </w:rPr>
        <w:t>baby</w:t>
      </w:r>
      <w:r>
        <w:rPr>
          <w:rFonts w:ascii="Garamond" w:eastAsia="Garamond" w:hAnsi="Garamond" w:cs="Garamond"/>
          <w:sz w:val="24"/>
          <w:szCs w:val="24"/>
        </w:rPr>
        <w:t xml:space="preserve">, with a </w:t>
      </w:r>
      <w:proofErr w:type="gramStart"/>
      <w:r>
        <w:rPr>
          <w:rFonts w:ascii="Garamond" w:eastAsia="Garamond" w:hAnsi="Garamond" w:cs="Garamond"/>
          <w:sz w:val="24"/>
          <w:szCs w:val="24"/>
        </w:rPr>
        <w:t xml:space="preserve">particular </w:t>
      </w:r>
      <w:r w:rsidR="00454218">
        <w:rPr>
          <w:rFonts w:ascii="Garamond" w:eastAsia="Garamond" w:hAnsi="Garamond" w:cs="Garamond"/>
          <w:sz w:val="24"/>
          <w:szCs w:val="24"/>
        </w:rPr>
        <w:t>birthweight</w:t>
      </w:r>
      <w:proofErr w:type="gramEnd"/>
      <w:r>
        <w:rPr>
          <w:rFonts w:ascii="Garamond" w:eastAsia="Garamond" w:hAnsi="Garamond" w:cs="Garamond"/>
          <w:sz w:val="24"/>
          <w:szCs w:val="24"/>
        </w:rPr>
        <w:t xml:space="preserve"> and </w:t>
      </w:r>
      <w:r w:rsidR="00BE36F6" w:rsidRPr="00496FAF">
        <w:rPr>
          <w:rFonts w:ascii="Garamond" w:eastAsia="Garamond" w:hAnsi="Garamond" w:cs="Garamond"/>
          <w:sz w:val="24"/>
          <w:szCs w:val="24"/>
        </w:rPr>
        <w:t>household</w:t>
      </w:r>
      <w:r w:rsidR="00C82A0E" w:rsidRPr="00496FAF">
        <w:rPr>
          <w:rFonts w:ascii="Garamond" w:eastAsia="Garamond" w:hAnsi="Garamond" w:cs="Garamond"/>
          <w:sz w:val="24"/>
          <w:szCs w:val="24"/>
        </w:rPr>
        <w:t xml:space="preserve"> </w:t>
      </w:r>
      <w:r>
        <w:rPr>
          <w:rFonts w:ascii="Garamond" w:eastAsia="Garamond" w:hAnsi="Garamond" w:cs="Garamond"/>
          <w:sz w:val="24"/>
          <w:szCs w:val="24"/>
        </w:rPr>
        <w:t xml:space="preserve">income rank. </w:t>
      </w:r>
      <w:r w:rsidR="005B4894">
        <w:rPr>
          <w:rFonts w:ascii="Garamond" w:eastAsia="Garamond" w:hAnsi="Garamond" w:cs="Garamond"/>
          <w:sz w:val="24"/>
          <w:szCs w:val="24"/>
        </w:rPr>
        <w:t>For each group t</w:t>
      </w:r>
      <w:r>
        <w:rPr>
          <w:rFonts w:ascii="Garamond" w:eastAsia="Garamond" w:hAnsi="Garamond" w:cs="Garamond"/>
          <w:sz w:val="24"/>
          <w:szCs w:val="24"/>
        </w:rPr>
        <w:t xml:space="preserve">he mean </w:t>
      </w:r>
      <w:r w:rsidR="00454218">
        <w:rPr>
          <w:rFonts w:ascii="Garamond" w:eastAsia="Garamond" w:hAnsi="Garamond" w:cs="Garamond"/>
          <w:sz w:val="24"/>
          <w:szCs w:val="24"/>
        </w:rPr>
        <w:t>birthweight</w:t>
      </w:r>
      <w:r>
        <w:rPr>
          <w:rFonts w:ascii="Garamond" w:eastAsia="Garamond" w:hAnsi="Garamond" w:cs="Garamond"/>
          <w:sz w:val="24"/>
          <w:szCs w:val="24"/>
        </w:rPr>
        <w:t xml:space="preserve">, conditional on income rank, is shown by the </w:t>
      </w:r>
      <w:r w:rsidR="00AA58A5">
        <w:rPr>
          <w:rFonts w:ascii="Garamond" w:eastAsia="Garamond" w:hAnsi="Garamond" w:cs="Garamond"/>
          <w:sz w:val="24"/>
          <w:szCs w:val="24"/>
        </w:rPr>
        <w:t xml:space="preserve">blue </w:t>
      </w:r>
      <w:r>
        <w:rPr>
          <w:rFonts w:ascii="Garamond" w:eastAsia="Garamond" w:hAnsi="Garamond" w:cs="Garamond"/>
          <w:sz w:val="24"/>
          <w:szCs w:val="24"/>
        </w:rPr>
        <w:t xml:space="preserve">lines.  The relationship shown in the control group is typical: there is a steep </w:t>
      </w:r>
      <w:r w:rsidR="00A5591A">
        <w:rPr>
          <w:rFonts w:ascii="Garamond" w:eastAsia="Garamond" w:hAnsi="Garamond" w:cs="Garamond"/>
          <w:sz w:val="24"/>
          <w:szCs w:val="24"/>
        </w:rPr>
        <w:t>‘</w:t>
      </w:r>
      <w:r>
        <w:rPr>
          <w:rFonts w:ascii="Garamond" w:eastAsia="Garamond" w:hAnsi="Garamond" w:cs="Garamond"/>
          <w:sz w:val="24"/>
          <w:szCs w:val="24"/>
        </w:rPr>
        <w:t>social gradient</w:t>
      </w:r>
      <w:r w:rsidR="00A5591A">
        <w:rPr>
          <w:rFonts w:ascii="Garamond" w:eastAsia="Garamond" w:hAnsi="Garamond" w:cs="Garamond"/>
          <w:sz w:val="24"/>
          <w:szCs w:val="24"/>
        </w:rPr>
        <w:t>’</w:t>
      </w:r>
      <w:r>
        <w:rPr>
          <w:rFonts w:ascii="Garamond" w:eastAsia="Garamond" w:hAnsi="Garamond" w:cs="Garamond"/>
          <w:sz w:val="24"/>
          <w:szCs w:val="24"/>
        </w:rPr>
        <w:t xml:space="preserve"> in health, whereby </w:t>
      </w:r>
      <w:r w:rsidR="00454218">
        <w:rPr>
          <w:rFonts w:ascii="Garamond" w:eastAsia="Garamond" w:hAnsi="Garamond" w:cs="Garamond"/>
          <w:sz w:val="24"/>
          <w:szCs w:val="24"/>
        </w:rPr>
        <w:t>on average</w:t>
      </w:r>
      <w:r w:rsidR="00BE36F6">
        <w:rPr>
          <w:rFonts w:ascii="Garamond" w:eastAsia="Garamond" w:hAnsi="Garamond" w:cs="Garamond"/>
          <w:sz w:val="24"/>
          <w:szCs w:val="24"/>
        </w:rPr>
        <w:t>,</w:t>
      </w:r>
      <w:r w:rsidR="00454218">
        <w:rPr>
          <w:rFonts w:ascii="Garamond" w:eastAsia="Garamond" w:hAnsi="Garamond" w:cs="Garamond"/>
          <w:sz w:val="24"/>
          <w:szCs w:val="24"/>
        </w:rPr>
        <w:t xml:space="preserve"> babies </w:t>
      </w:r>
      <w:r>
        <w:rPr>
          <w:rFonts w:ascii="Garamond" w:eastAsia="Garamond" w:hAnsi="Garamond" w:cs="Garamond"/>
          <w:sz w:val="24"/>
          <w:szCs w:val="24"/>
        </w:rPr>
        <w:t xml:space="preserve">with a higher income rank </w:t>
      </w:r>
      <w:r w:rsidR="00454218">
        <w:rPr>
          <w:rFonts w:ascii="Garamond" w:eastAsia="Garamond" w:hAnsi="Garamond" w:cs="Garamond"/>
          <w:sz w:val="24"/>
          <w:szCs w:val="24"/>
        </w:rPr>
        <w:t>tend to have a larger birthweight</w:t>
      </w:r>
      <w:r>
        <w:rPr>
          <w:rFonts w:ascii="Garamond" w:eastAsia="Garamond" w:hAnsi="Garamond" w:cs="Garamond"/>
          <w:sz w:val="24"/>
          <w:szCs w:val="24"/>
        </w:rPr>
        <w:t>.  In the treated group, however, this social gradient is reduced</w:t>
      </w:r>
      <w:r w:rsidR="006C32AA">
        <w:rPr>
          <w:rFonts w:ascii="Garamond" w:eastAsia="Garamond" w:hAnsi="Garamond" w:cs="Garamond"/>
          <w:sz w:val="24"/>
          <w:szCs w:val="24"/>
        </w:rPr>
        <w:t>,</w:t>
      </w:r>
      <w:r w:rsidR="00BF1BDF">
        <w:rPr>
          <w:rFonts w:ascii="Garamond" w:eastAsia="Garamond" w:hAnsi="Garamond" w:cs="Garamond"/>
          <w:sz w:val="24"/>
          <w:szCs w:val="24"/>
        </w:rPr>
        <w:t xml:space="preserve"> suggesting that </w:t>
      </w:r>
      <w:r w:rsidR="00454218">
        <w:rPr>
          <w:rFonts w:ascii="Garamond" w:eastAsia="Garamond" w:hAnsi="Garamond" w:cs="Garamond"/>
          <w:sz w:val="24"/>
          <w:szCs w:val="24"/>
        </w:rPr>
        <w:t xml:space="preserve">babies </w:t>
      </w:r>
      <w:r w:rsidR="00BF1BDF">
        <w:rPr>
          <w:rFonts w:ascii="Garamond" w:eastAsia="Garamond" w:hAnsi="Garamond" w:cs="Garamond"/>
          <w:sz w:val="24"/>
          <w:szCs w:val="24"/>
        </w:rPr>
        <w:t xml:space="preserve">from lower </w:t>
      </w:r>
      <w:r>
        <w:rPr>
          <w:rFonts w:ascii="Garamond" w:eastAsia="Garamond" w:hAnsi="Garamond" w:cs="Garamond"/>
          <w:sz w:val="24"/>
          <w:szCs w:val="24"/>
        </w:rPr>
        <w:t xml:space="preserve">income </w:t>
      </w:r>
      <w:r w:rsidR="00BF1BDF">
        <w:rPr>
          <w:rFonts w:ascii="Garamond" w:eastAsia="Garamond" w:hAnsi="Garamond" w:cs="Garamond"/>
          <w:sz w:val="24"/>
          <w:szCs w:val="24"/>
        </w:rPr>
        <w:t xml:space="preserve">households </w:t>
      </w:r>
      <w:r>
        <w:rPr>
          <w:rFonts w:ascii="Garamond" w:eastAsia="Garamond" w:hAnsi="Garamond" w:cs="Garamond"/>
          <w:sz w:val="24"/>
          <w:szCs w:val="24"/>
        </w:rPr>
        <w:t>benefit</w:t>
      </w:r>
      <w:r w:rsidR="00BF1BDF">
        <w:rPr>
          <w:rFonts w:ascii="Garamond" w:eastAsia="Garamond" w:hAnsi="Garamond" w:cs="Garamond"/>
          <w:sz w:val="24"/>
          <w:szCs w:val="24"/>
        </w:rPr>
        <w:t xml:space="preserve"> more</w:t>
      </w:r>
      <w:r>
        <w:rPr>
          <w:rFonts w:ascii="Garamond" w:eastAsia="Garamond" w:hAnsi="Garamond" w:cs="Garamond"/>
          <w:sz w:val="24"/>
          <w:szCs w:val="24"/>
        </w:rPr>
        <w:t xml:space="preserve"> </w:t>
      </w:r>
      <w:r w:rsidR="00BF1BDF">
        <w:rPr>
          <w:rFonts w:ascii="Garamond" w:eastAsia="Garamond" w:hAnsi="Garamond" w:cs="Garamond"/>
          <w:sz w:val="24"/>
          <w:szCs w:val="24"/>
        </w:rPr>
        <w:t xml:space="preserve">from the intervention </w:t>
      </w:r>
      <w:r>
        <w:rPr>
          <w:rFonts w:ascii="Garamond" w:eastAsia="Garamond" w:hAnsi="Garamond" w:cs="Garamond"/>
          <w:sz w:val="24"/>
          <w:szCs w:val="24"/>
        </w:rPr>
        <w:t xml:space="preserve">than those </w:t>
      </w:r>
      <w:r w:rsidR="00BF1BDF">
        <w:rPr>
          <w:rFonts w:ascii="Garamond" w:eastAsia="Garamond" w:hAnsi="Garamond" w:cs="Garamond"/>
          <w:sz w:val="24"/>
          <w:szCs w:val="24"/>
        </w:rPr>
        <w:t xml:space="preserve">from </w:t>
      </w:r>
      <w:r>
        <w:rPr>
          <w:rFonts w:ascii="Garamond" w:eastAsia="Garamond" w:hAnsi="Garamond" w:cs="Garamond"/>
          <w:sz w:val="24"/>
          <w:szCs w:val="24"/>
        </w:rPr>
        <w:t>high</w:t>
      </w:r>
      <w:r w:rsidR="00BF1BDF">
        <w:rPr>
          <w:rFonts w:ascii="Garamond" w:eastAsia="Garamond" w:hAnsi="Garamond" w:cs="Garamond"/>
          <w:sz w:val="24"/>
          <w:szCs w:val="24"/>
        </w:rPr>
        <w:t>er</w:t>
      </w:r>
      <w:r>
        <w:rPr>
          <w:rFonts w:ascii="Garamond" w:eastAsia="Garamond" w:hAnsi="Garamond" w:cs="Garamond"/>
          <w:sz w:val="24"/>
          <w:szCs w:val="24"/>
        </w:rPr>
        <w:t xml:space="preserve"> income </w:t>
      </w:r>
      <w:r w:rsidR="00BF1BDF">
        <w:rPr>
          <w:rFonts w:ascii="Garamond" w:eastAsia="Garamond" w:hAnsi="Garamond" w:cs="Garamond"/>
          <w:sz w:val="24"/>
          <w:szCs w:val="24"/>
        </w:rPr>
        <w:t>households</w:t>
      </w:r>
      <w:r>
        <w:rPr>
          <w:rFonts w:ascii="Garamond" w:eastAsia="Garamond" w:hAnsi="Garamond" w:cs="Garamond"/>
          <w:sz w:val="24"/>
          <w:szCs w:val="24"/>
        </w:rPr>
        <w:t xml:space="preserve">. The intervention is therefore </w:t>
      </w:r>
      <w:r w:rsidR="000C672D">
        <w:rPr>
          <w:rFonts w:ascii="Garamond" w:eastAsia="Garamond" w:hAnsi="Garamond" w:cs="Garamond"/>
          <w:sz w:val="24"/>
          <w:szCs w:val="24"/>
        </w:rPr>
        <w:t>pro-poo</w:t>
      </w:r>
      <w:r w:rsidR="009B0136">
        <w:rPr>
          <w:rFonts w:ascii="Garamond" w:eastAsia="Garamond" w:hAnsi="Garamond" w:cs="Garamond"/>
          <w:sz w:val="24"/>
          <w:szCs w:val="24"/>
        </w:rPr>
        <w:t>r: it has greater benefits for poorer individuals</w:t>
      </w:r>
      <w:r>
        <w:rPr>
          <w:rFonts w:ascii="Garamond" w:eastAsia="Garamond" w:hAnsi="Garamond" w:cs="Garamond"/>
          <w:sz w:val="24"/>
          <w:szCs w:val="24"/>
        </w:rPr>
        <w:t>.</w:t>
      </w:r>
      <w:r w:rsidR="000C672D">
        <w:rPr>
          <w:rFonts w:ascii="Garamond" w:eastAsia="Garamond" w:hAnsi="Garamond" w:cs="Garamond"/>
          <w:sz w:val="24"/>
          <w:szCs w:val="24"/>
        </w:rPr>
        <w:t xml:space="preserve">  </w:t>
      </w:r>
    </w:p>
    <w:p w14:paraId="66853444" w14:textId="48846FB7" w:rsidR="00767641" w:rsidRDefault="00633980" w:rsidP="00B43965">
      <w:pPr>
        <w:spacing w:line="480" w:lineRule="auto"/>
        <w:rPr>
          <w:rFonts w:ascii="Garamond" w:eastAsia="Garamond" w:hAnsi="Garamond" w:cs="Garamond"/>
          <w:i/>
          <w:sz w:val="24"/>
          <w:szCs w:val="24"/>
        </w:rPr>
      </w:pPr>
      <w:r>
        <w:rPr>
          <w:rFonts w:ascii="Garamond" w:eastAsia="Garamond" w:hAnsi="Garamond" w:cs="Garamond"/>
          <w:sz w:val="24"/>
          <w:szCs w:val="24"/>
        </w:rPr>
        <w:t>To quantify these differential effects, researchers can estimate Conditional Average Treatment Effects (CATEs). CATEs show the expected difference in the outcome between control and treated group, conditional on observable characteristics.</w:t>
      </w:r>
      <w:r>
        <w:rPr>
          <w:rFonts w:ascii="Garamond" w:eastAsia="Garamond" w:hAnsi="Garamond" w:cs="Garamond"/>
          <w:sz w:val="24"/>
          <w:szCs w:val="24"/>
          <w:vertAlign w:val="superscript"/>
        </w:rPr>
        <w:t xml:space="preserve"> </w:t>
      </w:r>
      <w:r>
        <w:rPr>
          <w:rFonts w:ascii="Garamond" w:eastAsia="Garamond" w:hAnsi="Garamond" w:cs="Garamond"/>
          <w:sz w:val="24"/>
          <w:szCs w:val="24"/>
        </w:rPr>
        <w:t>The right panel of Figure 2 shows CATEs estimated conditionally on belonging to one of three income subgroups: the poorest, middle and richest thirds of the population</w:t>
      </w:r>
      <w:r w:rsidR="009B0136">
        <w:rPr>
          <w:rFonts w:ascii="Garamond" w:eastAsia="Garamond" w:hAnsi="Garamond" w:cs="Garamond"/>
          <w:sz w:val="24"/>
          <w:szCs w:val="24"/>
        </w:rPr>
        <w:t xml:space="preserve"> (i.e. </w:t>
      </w:r>
      <w:r w:rsidR="009B0136" w:rsidRPr="009B0136">
        <w:rPr>
          <w:rFonts w:ascii="Garamond" w:eastAsia="Garamond" w:hAnsi="Garamond" w:cs="Garamond"/>
          <w:sz w:val="24"/>
          <w:szCs w:val="24"/>
        </w:rPr>
        <w:t xml:space="preserve">0.00-0.33 income rank </w:t>
      </w:r>
      <w:r w:rsidR="00A5591A">
        <w:rPr>
          <w:rFonts w:ascii="Garamond" w:eastAsia="Garamond" w:hAnsi="Garamond" w:cs="Garamond"/>
          <w:sz w:val="24"/>
          <w:szCs w:val="24"/>
        </w:rPr>
        <w:t>‘</w:t>
      </w:r>
      <w:r w:rsidR="009B0136" w:rsidRPr="009B0136">
        <w:rPr>
          <w:rFonts w:ascii="Garamond" w:eastAsia="Garamond" w:hAnsi="Garamond" w:cs="Garamond"/>
          <w:sz w:val="24"/>
          <w:szCs w:val="24"/>
        </w:rPr>
        <w:t>poor</w:t>
      </w:r>
      <w:r w:rsidR="009B0136">
        <w:rPr>
          <w:rFonts w:ascii="Garamond" w:eastAsia="Garamond" w:hAnsi="Garamond" w:cs="Garamond"/>
          <w:sz w:val="24"/>
          <w:szCs w:val="24"/>
        </w:rPr>
        <w:t>est</w:t>
      </w:r>
      <w:r w:rsidR="00A5591A">
        <w:rPr>
          <w:rFonts w:ascii="Garamond" w:eastAsia="Garamond" w:hAnsi="Garamond" w:cs="Garamond"/>
          <w:sz w:val="24"/>
          <w:szCs w:val="24"/>
        </w:rPr>
        <w:t>’</w:t>
      </w:r>
      <w:r w:rsidR="009B0136" w:rsidRPr="009B0136">
        <w:rPr>
          <w:rFonts w:ascii="Garamond" w:eastAsia="Garamond" w:hAnsi="Garamond" w:cs="Garamond"/>
          <w:sz w:val="24"/>
          <w:szCs w:val="24"/>
        </w:rPr>
        <w:t xml:space="preserve">, 0.34 to 0.66 </w:t>
      </w:r>
      <w:r w:rsidR="00A5591A">
        <w:rPr>
          <w:rFonts w:ascii="Garamond" w:eastAsia="Garamond" w:hAnsi="Garamond" w:cs="Garamond"/>
          <w:sz w:val="24"/>
          <w:szCs w:val="24"/>
        </w:rPr>
        <w:t>‘</w:t>
      </w:r>
      <w:r w:rsidR="009B0136" w:rsidRPr="009B0136">
        <w:rPr>
          <w:rFonts w:ascii="Garamond" w:eastAsia="Garamond" w:hAnsi="Garamond" w:cs="Garamond"/>
          <w:sz w:val="24"/>
          <w:szCs w:val="24"/>
        </w:rPr>
        <w:t>middle</w:t>
      </w:r>
      <w:r w:rsidR="00A5591A">
        <w:rPr>
          <w:rFonts w:ascii="Garamond" w:eastAsia="Garamond" w:hAnsi="Garamond" w:cs="Garamond"/>
          <w:sz w:val="24"/>
          <w:szCs w:val="24"/>
        </w:rPr>
        <w:t>’</w:t>
      </w:r>
      <w:r w:rsidR="009B0136">
        <w:rPr>
          <w:rFonts w:ascii="Garamond" w:eastAsia="Garamond" w:hAnsi="Garamond" w:cs="Garamond"/>
          <w:sz w:val="24"/>
          <w:szCs w:val="24"/>
        </w:rPr>
        <w:t xml:space="preserve">, and </w:t>
      </w:r>
      <w:r w:rsidR="009B0136" w:rsidRPr="009B0136">
        <w:rPr>
          <w:rFonts w:ascii="Garamond" w:eastAsia="Garamond" w:hAnsi="Garamond" w:cs="Garamond"/>
          <w:sz w:val="24"/>
          <w:szCs w:val="24"/>
        </w:rPr>
        <w:t xml:space="preserve">0.67 to 1.00 </w:t>
      </w:r>
      <w:r w:rsidR="00A5591A">
        <w:rPr>
          <w:rFonts w:ascii="Garamond" w:eastAsia="Garamond" w:hAnsi="Garamond" w:cs="Garamond"/>
          <w:sz w:val="24"/>
          <w:szCs w:val="24"/>
        </w:rPr>
        <w:t>‘</w:t>
      </w:r>
      <w:r w:rsidR="009B0136" w:rsidRPr="009B0136">
        <w:rPr>
          <w:rFonts w:ascii="Garamond" w:eastAsia="Garamond" w:hAnsi="Garamond" w:cs="Garamond"/>
          <w:sz w:val="24"/>
          <w:szCs w:val="24"/>
        </w:rPr>
        <w:t>rich</w:t>
      </w:r>
      <w:r w:rsidR="009B0136">
        <w:rPr>
          <w:rFonts w:ascii="Garamond" w:eastAsia="Garamond" w:hAnsi="Garamond" w:cs="Garamond"/>
          <w:sz w:val="24"/>
          <w:szCs w:val="24"/>
        </w:rPr>
        <w:t>est</w:t>
      </w:r>
      <w:r w:rsidR="00A5591A">
        <w:rPr>
          <w:rFonts w:ascii="Garamond" w:eastAsia="Garamond" w:hAnsi="Garamond" w:cs="Garamond"/>
          <w:sz w:val="24"/>
          <w:szCs w:val="24"/>
        </w:rPr>
        <w:t>’</w:t>
      </w:r>
      <w:r w:rsidR="009B0136" w:rsidRPr="009B0136">
        <w:rPr>
          <w:rFonts w:ascii="Garamond" w:eastAsia="Garamond" w:hAnsi="Garamond" w:cs="Garamond"/>
          <w:sz w:val="24"/>
          <w:szCs w:val="24"/>
        </w:rPr>
        <w:t>)</w:t>
      </w:r>
      <w:r>
        <w:rPr>
          <w:rFonts w:ascii="Garamond" w:eastAsia="Garamond" w:hAnsi="Garamond" w:cs="Garamond"/>
          <w:sz w:val="24"/>
          <w:szCs w:val="24"/>
        </w:rPr>
        <w:t xml:space="preserve">. </w:t>
      </w:r>
      <w:r w:rsidR="009D3176">
        <w:rPr>
          <w:rFonts w:ascii="Garamond" w:eastAsia="Garamond" w:hAnsi="Garamond" w:cs="Garamond"/>
          <w:sz w:val="24"/>
          <w:szCs w:val="24"/>
        </w:rPr>
        <w:t xml:space="preserve"> </w:t>
      </w:r>
      <w:r w:rsidR="00767641">
        <w:rPr>
          <w:rFonts w:ascii="Garamond" w:eastAsia="Garamond" w:hAnsi="Garamond" w:cs="Garamond"/>
          <w:sz w:val="24"/>
          <w:szCs w:val="24"/>
        </w:rPr>
        <w:t xml:space="preserve">The CATEs for each income rank are the vertical distances between the averaged lines in the left panel of Figure 2.  </w:t>
      </w:r>
      <w:r w:rsidR="00454218">
        <w:rPr>
          <w:rFonts w:ascii="Garamond" w:eastAsia="Garamond" w:hAnsi="Garamond" w:cs="Garamond"/>
          <w:sz w:val="24"/>
          <w:szCs w:val="24"/>
        </w:rPr>
        <w:t>T</w:t>
      </w:r>
      <w:r>
        <w:rPr>
          <w:rFonts w:ascii="Garamond" w:eastAsia="Garamond" w:hAnsi="Garamond" w:cs="Garamond"/>
          <w:sz w:val="24"/>
          <w:szCs w:val="24"/>
        </w:rPr>
        <w:t xml:space="preserve">he effects are largest on the poorest income group, with an expected increase of </w:t>
      </w:r>
      <w:r w:rsidR="00457291">
        <w:rPr>
          <w:rFonts w:ascii="Garamond" w:eastAsia="Garamond" w:hAnsi="Garamond" w:cs="Garamond"/>
          <w:sz w:val="24"/>
          <w:szCs w:val="24"/>
        </w:rPr>
        <w:t>0.5</w:t>
      </w:r>
      <w:r w:rsidR="006F44D8">
        <w:rPr>
          <w:rFonts w:ascii="Garamond" w:eastAsia="Garamond" w:hAnsi="Garamond" w:cs="Garamond"/>
          <w:sz w:val="24"/>
          <w:szCs w:val="24"/>
        </w:rPr>
        <w:t>2</w:t>
      </w:r>
      <w:r w:rsidR="00457291">
        <w:rPr>
          <w:rFonts w:ascii="Garamond" w:eastAsia="Garamond" w:hAnsi="Garamond" w:cs="Garamond"/>
          <w:sz w:val="24"/>
          <w:szCs w:val="24"/>
        </w:rPr>
        <w:t xml:space="preserve">kg </w:t>
      </w:r>
      <w:r>
        <w:rPr>
          <w:rFonts w:ascii="Garamond" w:eastAsia="Garamond" w:hAnsi="Garamond" w:cs="Garamond"/>
          <w:sz w:val="24"/>
          <w:szCs w:val="24"/>
        </w:rPr>
        <w:t xml:space="preserve">in </w:t>
      </w:r>
      <w:r w:rsidR="00454218">
        <w:rPr>
          <w:rFonts w:ascii="Garamond" w:eastAsia="Garamond" w:hAnsi="Garamond" w:cs="Garamond"/>
          <w:sz w:val="24"/>
          <w:szCs w:val="24"/>
        </w:rPr>
        <w:t>birthweight</w:t>
      </w:r>
      <w:r>
        <w:rPr>
          <w:rFonts w:ascii="Garamond" w:eastAsia="Garamond" w:hAnsi="Garamond" w:cs="Garamond"/>
          <w:sz w:val="24"/>
          <w:szCs w:val="24"/>
        </w:rPr>
        <w:t xml:space="preserve">. The richest group, on the other hand only sees an expected increase of </w:t>
      </w:r>
      <w:r w:rsidR="00457291">
        <w:rPr>
          <w:rFonts w:ascii="Garamond" w:eastAsia="Garamond" w:hAnsi="Garamond" w:cs="Garamond"/>
          <w:sz w:val="24"/>
          <w:szCs w:val="24"/>
        </w:rPr>
        <w:t>0.1</w:t>
      </w:r>
      <w:r w:rsidR="006F44D8">
        <w:rPr>
          <w:rFonts w:ascii="Garamond" w:eastAsia="Garamond" w:hAnsi="Garamond" w:cs="Garamond"/>
          <w:sz w:val="24"/>
          <w:szCs w:val="24"/>
        </w:rPr>
        <w:t>0</w:t>
      </w:r>
      <w:r w:rsidR="00457291">
        <w:rPr>
          <w:rFonts w:ascii="Garamond" w:eastAsia="Garamond" w:hAnsi="Garamond" w:cs="Garamond"/>
          <w:sz w:val="24"/>
          <w:szCs w:val="24"/>
        </w:rPr>
        <w:t>kg</w:t>
      </w:r>
      <w:r>
        <w:rPr>
          <w:rFonts w:ascii="Garamond" w:eastAsia="Garamond" w:hAnsi="Garamond" w:cs="Garamond"/>
          <w:sz w:val="24"/>
          <w:szCs w:val="24"/>
        </w:rPr>
        <w:t>. This effect is significantly lower</w:t>
      </w:r>
      <w:r w:rsidR="00AA58A5">
        <w:rPr>
          <w:rFonts w:ascii="Garamond" w:eastAsia="Garamond" w:hAnsi="Garamond" w:cs="Garamond"/>
          <w:sz w:val="24"/>
          <w:szCs w:val="24"/>
        </w:rPr>
        <w:t xml:space="preserve"> than</w:t>
      </w:r>
      <w:r>
        <w:rPr>
          <w:rFonts w:ascii="Garamond" w:eastAsia="Garamond" w:hAnsi="Garamond" w:cs="Garamond"/>
          <w:sz w:val="24"/>
          <w:szCs w:val="24"/>
        </w:rPr>
        <w:t xml:space="preserve"> that of the poorest. The intervention has, therefore, significantly reduced health inequalit</w:t>
      </w:r>
      <w:r w:rsidR="00767641">
        <w:rPr>
          <w:rFonts w:ascii="Garamond" w:eastAsia="Garamond" w:hAnsi="Garamond" w:cs="Garamond"/>
          <w:sz w:val="24"/>
          <w:szCs w:val="24"/>
        </w:rPr>
        <w:t>ies related to income</w:t>
      </w:r>
      <w:r>
        <w:rPr>
          <w:rFonts w:ascii="Garamond" w:eastAsia="Garamond" w:hAnsi="Garamond" w:cs="Garamond"/>
          <w:sz w:val="24"/>
          <w:szCs w:val="24"/>
        </w:rPr>
        <w:t>.  However, we do not know what happened to other kinds of inequality, for example inequality related to ethnicity, geographical location and gender.</w:t>
      </w:r>
    </w:p>
    <w:p w14:paraId="547F8273" w14:textId="12EDC26E" w:rsidR="00201B3F" w:rsidRDefault="00201B3F" w:rsidP="00201B3F">
      <w:pPr>
        <w:spacing w:line="240" w:lineRule="auto"/>
        <w:jc w:val="center"/>
        <w:rPr>
          <w:rFonts w:ascii="Garamond" w:eastAsia="Garamond" w:hAnsi="Garamond" w:cs="Garamond"/>
          <w:i/>
          <w:sz w:val="24"/>
          <w:szCs w:val="24"/>
        </w:rPr>
      </w:pPr>
      <w:r>
        <w:rPr>
          <w:noProof/>
          <w:lang w:val="en-AU" w:eastAsia="en-AU"/>
        </w:rPr>
        <w:lastRenderedPageBreak/>
        <w:drawing>
          <wp:anchor distT="0" distB="0" distL="114300" distR="114300" simplePos="0" relativeHeight="251665408" behindDoc="1" locked="0" layoutInCell="1" allowOverlap="1" wp14:anchorId="6E0EC9B3" wp14:editId="1101841F">
            <wp:simplePos x="0" y="0"/>
            <wp:positionH relativeFrom="column">
              <wp:posOffset>0</wp:posOffset>
            </wp:positionH>
            <wp:positionV relativeFrom="paragraph">
              <wp:posOffset>268605</wp:posOffset>
            </wp:positionV>
            <wp:extent cx="5731510" cy="2865755"/>
            <wp:effectExtent l="0" t="0" r="2540" b="0"/>
            <wp:wrapTight wrapText="bothSides">
              <wp:wrapPolygon edited="0">
                <wp:start x="0" y="0"/>
                <wp:lineTo x="0" y="21394"/>
                <wp:lineTo x="21538" y="21394"/>
                <wp:lineTo x="21538" y="0"/>
                <wp:lineTo x="0" y="0"/>
              </wp:wrapPolygon>
            </wp:wrapTight>
            <wp:docPr id="16" name="Picture 1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TE.png"/>
                    <pic:cNvPicPr/>
                  </pic:nvPicPr>
                  <pic:blipFill>
                    <a:blip r:embed="rId18">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anchor>
        </w:drawing>
      </w:r>
      <w:r w:rsidR="00633980">
        <w:rPr>
          <w:rFonts w:ascii="Garamond" w:eastAsia="Garamond" w:hAnsi="Garamond" w:cs="Garamond"/>
          <w:i/>
          <w:sz w:val="24"/>
          <w:szCs w:val="24"/>
        </w:rPr>
        <w:t>Figure 2: Conditional Average Treatment Effects</w:t>
      </w:r>
    </w:p>
    <w:p w14:paraId="2ACE9DB9" w14:textId="718EBE39" w:rsidR="00457291" w:rsidRPr="00376C25" w:rsidRDefault="00201B3F" w:rsidP="00201B3F">
      <w:pPr>
        <w:spacing w:line="240" w:lineRule="auto"/>
        <w:jc w:val="center"/>
        <w:rPr>
          <w:rFonts w:ascii="Garamond" w:eastAsia="Garamond" w:hAnsi="Garamond" w:cs="Garamond"/>
          <w:i/>
          <w:sz w:val="24"/>
          <w:szCs w:val="24"/>
        </w:rPr>
      </w:pPr>
      <w:r w:rsidRPr="00376C25">
        <w:rPr>
          <w:rFonts w:ascii="Garamond" w:eastAsia="Garamond" w:hAnsi="Garamond" w:cs="Garamond"/>
          <w:i/>
          <w:sz w:val="24"/>
          <w:szCs w:val="24"/>
        </w:rPr>
        <w:t>N</w:t>
      </w:r>
      <w:r w:rsidR="00457291" w:rsidRPr="00376C25">
        <w:rPr>
          <w:rFonts w:ascii="Garamond" w:eastAsia="Garamond" w:hAnsi="Garamond" w:cs="Garamond"/>
          <w:i/>
          <w:sz w:val="24"/>
          <w:szCs w:val="24"/>
        </w:rPr>
        <w:t>ote: The left panel shows a scatter plot of household income rank against birthweight, for the control (circles) and treated (triangles) groups. The lines show the average birthweights conditional on income rank, for each group. The vertical difference between these lines are the conditional average treatment effects (CATEs). The right panel summarises the CATEs for the poorest, middle and richest third of the population, with 0.5</w:t>
      </w:r>
      <w:r w:rsidR="006F44D8" w:rsidRPr="00376C25">
        <w:rPr>
          <w:rFonts w:ascii="Garamond" w:eastAsia="Garamond" w:hAnsi="Garamond" w:cs="Garamond"/>
          <w:i/>
          <w:sz w:val="24"/>
          <w:szCs w:val="24"/>
        </w:rPr>
        <w:t>2</w:t>
      </w:r>
      <w:r w:rsidR="00457291" w:rsidRPr="00376C25">
        <w:rPr>
          <w:rFonts w:ascii="Garamond" w:eastAsia="Garamond" w:hAnsi="Garamond" w:cs="Garamond"/>
          <w:i/>
          <w:sz w:val="24"/>
          <w:szCs w:val="24"/>
        </w:rPr>
        <w:t>kg, 0.2</w:t>
      </w:r>
      <w:r w:rsidR="006F44D8" w:rsidRPr="00376C25">
        <w:rPr>
          <w:rFonts w:ascii="Garamond" w:eastAsia="Garamond" w:hAnsi="Garamond" w:cs="Garamond"/>
          <w:i/>
          <w:sz w:val="24"/>
          <w:szCs w:val="24"/>
        </w:rPr>
        <w:t>5</w:t>
      </w:r>
      <w:r w:rsidR="00457291" w:rsidRPr="00376C25">
        <w:rPr>
          <w:rFonts w:ascii="Garamond" w:eastAsia="Garamond" w:hAnsi="Garamond" w:cs="Garamond"/>
          <w:i/>
          <w:sz w:val="24"/>
          <w:szCs w:val="24"/>
        </w:rPr>
        <w:t>kg and 0.1</w:t>
      </w:r>
      <w:r w:rsidR="006F44D8" w:rsidRPr="00376C25">
        <w:rPr>
          <w:rFonts w:ascii="Garamond" w:eastAsia="Garamond" w:hAnsi="Garamond" w:cs="Garamond"/>
          <w:i/>
          <w:sz w:val="24"/>
          <w:szCs w:val="24"/>
        </w:rPr>
        <w:t>0</w:t>
      </w:r>
      <w:r w:rsidR="00457291" w:rsidRPr="00376C25">
        <w:rPr>
          <w:rFonts w:ascii="Garamond" w:eastAsia="Garamond" w:hAnsi="Garamond" w:cs="Garamond"/>
          <w:i/>
          <w:sz w:val="24"/>
          <w:szCs w:val="24"/>
        </w:rPr>
        <w:t xml:space="preserve">kg, respectively. </w:t>
      </w:r>
      <w:r w:rsidR="002B35C2" w:rsidRPr="00376C25">
        <w:rPr>
          <w:rFonts w:ascii="Garamond" w:eastAsia="Garamond" w:hAnsi="Garamond" w:cs="Garamond"/>
          <w:i/>
          <w:sz w:val="24"/>
          <w:szCs w:val="24"/>
        </w:rPr>
        <w:t>The 95% confidence intervals are shown by the error bars.</w:t>
      </w:r>
    </w:p>
    <w:p w14:paraId="0C247A36" w14:textId="77777777" w:rsidR="00B43965" w:rsidRPr="00F14E39" w:rsidRDefault="00B43965" w:rsidP="00F14E39">
      <w:pPr>
        <w:spacing w:line="240" w:lineRule="auto"/>
        <w:jc w:val="center"/>
        <w:rPr>
          <w:rFonts w:ascii="Garamond" w:eastAsia="Garamond" w:hAnsi="Garamond" w:cs="Garamond"/>
          <w:i/>
        </w:rPr>
      </w:pPr>
    </w:p>
    <w:p w14:paraId="4D22F0B5" w14:textId="75153E72" w:rsidR="00BE1B83" w:rsidRDefault="00454218" w:rsidP="008A4844">
      <w:pPr>
        <w:spacing w:line="480" w:lineRule="auto"/>
        <w:rPr>
          <w:rFonts w:ascii="Garamond" w:eastAsia="Garamond" w:hAnsi="Garamond" w:cs="Garamond"/>
          <w:sz w:val="24"/>
          <w:szCs w:val="24"/>
        </w:rPr>
      </w:pPr>
      <w:r>
        <w:rPr>
          <w:rFonts w:ascii="Garamond" w:eastAsia="Garamond" w:hAnsi="Garamond" w:cs="Garamond"/>
          <w:sz w:val="24"/>
          <w:szCs w:val="24"/>
        </w:rPr>
        <w:t>T</w:t>
      </w:r>
      <w:r w:rsidR="00633980">
        <w:rPr>
          <w:rFonts w:ascii="Garamond" w:eastAsia="Garamond" w:hAnsi="Garamond" w:cs="Garamond"/>
          <w:sz w:val="24"/>
          <w:szCs w:val="24"/>
        </w:rPr>
        <w:t xml:space="preserve">his example shows a simple subgroup analysis which splits a continuous variable (income) into three subgroups and uses dummy interaction terms to estimate the CATEs. But there are many ways of splitting a population into subgroups and groups are often defined arbitrarily, in terms of both number and boundaries. Different splits can lead to differences in the estimated CATEs and can be potentially misleading if they mask or exaggerate important features of the underlying relationship. </w:t>
      </w:r>
      <w:r w:rsidR="006C32AA">
        <w:rPr>
          <w:rFonts w:ascii="Garamond" w:eastAsia="Garamond" w:hAnsi="Garamond" w:cs="Garamond"/>
          <w:sz w:val="24"/>
          <w:szCs w:val="24"/>
        </w:rPr>
        <w:t xml:space="preserve">More general </w:t>
      </w:r>
      <w:r w:rsidR="00633980">
        <w:rPr>
          <w:rFonts w:ascii="Garamond" w:eastAsia="Garamond" w:hAnsi="Garamond" w:cs="Garamond"/>
          <w:sz w:val="24"/>
          <w:szCs w:val="24"/>
        </w:rPr>
        <w:t>methods include parametric interaction models, which interact the treatment effect with the conditioning variable</w:t>
      </w:r>
      <w:r w:rsidR="006C32AA">
        <w:rPr>
          <w:rFonts w:ascii="Garamond" w:eastAsia="Garamond" w:hAnsi="Garamond" w:cs="Garamond"/>
          <w:sz w:val="24"/>
          <w:szCs w:val="24"/>
        </w:rPr>
        <w:t xml:space="preserve"> </w:t>
      </w:r>
      <w:r w:rsidR="002215EF">
        <w:rPr>
          <w:rFonts w:ascii="Garamond" w:eastAsia="Garamond" w:hAnsi="Garamond" w:cs="Garamond"/>
          <w:sz w:val="24"/>
          <w:szCs w:val="24"/>
        </w:rPr>
        <w:t xml:space="preserve">using a specific </w:t>
      </w:r>
      <w:r w:rsidR="006C32AA">
        <w:rPr>
          <w:rFonts w:ascii="Garamond" w:eastAsia="Garamond" w:hAnsi="Garamond" w:cs="Garamond"/>
          <w:sz w:val="24"/>
          <w:szCs w:val="24"/>
        </w:rPr>
        <w:t>functional form</w:t>
      </w:r>
      <w:r w:rsidR="00633980">
        <w:rPr>
          <w:rFonts w:ascii="Garamond" w:eastAsia="Garamond" w:hAnsi="Garamond" w:cs="Garamond"/>
          <w:sz w:val="24"/>
          <w:szCs w:val="24"/>
        </w:rPr>
        <w:t xml:space="preserve">, and semi-parametric methods, which </w:t>
      </w:r>
      <w:r w:rsidR="00767641">
        <w:rPr>
          <w:rFonts w:ascii="Garamond" w:eastAsia="Garamond" w:hAnsi="Garamond" w:cs="Garamond"/>
          <w:sz w:val="24"/>
          <w:szCs w:val="24"/>
        </w:rPr>
        <w:t xml:space="preserve">can </w:t>
      </w:r>
      <w:r w:rsidR="00633980">
        <w:rPr>
          <w:rFonts w:ascii="Garamond" w:eastAsia="Garamond" w:hAnsi="Garamond" w:cs="Garamond"/>
          <w:sz w:val="24"/>
          <w:szCs w:val="24"/>
        </w:rPr>
        <w:t xml:space="preserve">estimate </w:t>
      </w:r>
      <w:r w:rsidR="00767641">
        <w:rPr>
          <w:rFonts w:ascii="Garamond" w:eastAsia="Garamond" w:hAnsi="Garamond" w:cs="Garamond"/>
          <w:sz w:val="24"/>
          <w:szCs w:val="24"/>
        </w:rPr>
        <w:t xml:space="preserve">complex non-linear </w:t>
      </w:r>
      <w:r w:rsidR="00633980">
        <w:rPr>
          <w:rFonts w:ascii="Garamond" w:eastAsia="Garamond" w:hAnsi="Garamond" w:cs="Garamond"/>
          <w:sz w:val="24"/>
          <w:szCs w:val="24"/>
        </w:rPr>
        <w:t>CATEs using locally-weighted regressions (</w:t>
      </w:r>
      <w:hyperlink r:id="rId19">
        <w:r w:rsidR="00633980">
          <w:rPr>
            <w:rFonts w:ascii="Garamond" w:eastAsia="Garamond" w:hAnsi="Garamond" w:cs="Garamond"/>
            <w:color w:val="000000"/>
            <w:sz w:val="24"/>
            <w:szCs w:val="24"/>
          </w:rPr>
          <w:t>Robson et al., 2019)</w:t>
        </w:r>
      </w:hyperlink>
      <w:r w:rsidR="00633980">
        <w:rPr>
          <w:rFonts w:ascii="Garamond" w:eastAsia="Garamond" w:hAnsi="Garamond" w:cs="Garamond"/>
          <w:sz w:val="24"/>
          <w:szCs w:val="24"/>
        </w:rPr>
        <w:t xml:space="preserve">. </w:t>
      </w:r>
    </w:p>
    <w:p w14:paraId="50793DAC" w14:textId="2EE34504" w:rsidR="00BE1B83" w:rsidRDefault="002215EF" w:rsidP="008A4844">
      <w:pPr>
        <w:spacing w:line="480" w:lineRule="auto"/>
        <w:rPr>
          <w:rFonts w:ascii="Garamond" w:eastAsia="Garamond" w:hAnsi="Garamond" w:cs="Garamond"/>
          <w:b/>
          <w:sz w:val="24"/>
          <w:szCs w:val="24"/>
        </w:rPr>
      </w:pPr>
      <w:r>
        <w:rPr>
          <w:rFonts w:ascii="Garamond" w:eastAsia="Garamond" w:hAnsi="Garamond" w:cs="Garamond"/>
          <w:b/>
          <w:sz w:val="24"/>
          <w:szCs w:val="24"/>
        </w:rPr>
        <w:t xml:space="preserve">2.3 </w:t>
      </w:r>
      <w:r w:rsidR="00633980">
        <w:rPr>
          <w:rFonts w:ascii="Garamond" w:eastAsia="Garamond" w:hAnsi="Garamond" w:cs="Garamond"/>
          <w:b/>
          <w:sz w:val="24"/>
          <w:szCs w:val="24"/>
        </w:rPr>
        <w:t>Quantile Treatment Effects</w:t>
      </w:r>
    </w:p>
    <w:p w14:paraId="050F8DE4" w14:textId="3A844779" w:rsidR="002B35C2" w:rsidRDefault="00A1550F" w:rsidP="00257B8A">
      <w:pPr>
        <w:spacing w:line="480" w:lineRule="auto"/>
        <w:rPr>
          <w:rFonts w:ascii="Garamond" w:eastAsia="Garamond" w:hAnsi="Garamond" w:cs="Garamond"/>
          <w:sz w:val="24"/>
          <w:szCs w:val="24"/>
        </w:rPr>
      </w:pPr>
      <w:r>
        <w:rPr>
          <w:rFonts w:ascii="Garamond" w:eastAsia="Garamond" w:hAnsi="Garamond" w:cs="Garamond"/>
          <w:sz w:val="24"/>
          <w:szCs w:val="24"/>
        </w:rPr>
        <w:t xml:space="preserve">A different way of looking at equity impacts, which departs from the conventional focus on average health differences between socioeconomically disadvantaged groups, is to estimate </w:t>
      </w:r>
      <w:r w:rsidR="00633980">
        <w:rPr>
          <w:rFonts w:ascii="Garamond" w:eastAsia="Garamond" w:hAnsi="Garamond" w:cs="Garamond"/>
          <w:sz w:val="24"/>
          <w:szCs w:val="24"/>
        </w:rPr>
        <w:lastRenderedPageBreak/>
        <w:t>Quantile Treatment Effects (QTEs)</w:t>
      </w:r>
      <w:r w:rsidR="00454218">
        <w:rPr>
          <w:rFonts w:ascii="Garamond" w:eastAsia="Garamond" w:hAnsi="Garamond" w:cs="Garamond"/>
          <w:sz w:val="24"/>
          <w:szCs w:val="24"/>
        </w:rPr>
        <w:t xml:space="preserve">. </w:t>
      </w:r>
      <w:r>
        <w:rPr>
          <w:rFonts w:ascii="Garamond" w:eastAsia="Garamond" w:hAnsi="Garamond" w:cs="Garamond"/>
          <w:sz w:val="24"/>
          <w:szCs w:val="24"/>
        </w:rPr>
        <w:t xml:space="preserve">Rather than focus on </w:t>
      </w:r>
      <w:r w:rsidR="009745B9">
        <w:rPr>
          <w:rFonts w:ascii="Garamond" w:eastAsia="Garamond" w:hAnsi="Garamond" w:cs="Garamond"/>
          <w:sz w:val="24"/>
          <w:szCs w:val="24"/>
        </w:rPr>
        <w:t xml:space="preserve">differences in treatment effects (i.e. impact on the health outcome) for different values of a predictor such as </w:t>
      </w:r>
      <w:r w:rsidR="00D21BB0">
        <w:rPr>
          <w:rFonts w:ascii="Garamond" w:eastAsia="Garamond" w:hAnsi="Garamond" w:cs="Garamond"/>
          <w:sz w:val="24"/>
          <w:szCs w:val="24"/>
        </w:rPr>
        <w:t>income</w:t>
      </w:r>
      <w:r w:rsidR="009745B9">
        <w:rPr>
          <w:rFonts w:ascii="Garamond" w:eastAsia="Garamond" w:hAnsi="Garamond" w:cs="Garamond"/>
          <w:sz w:val="24"/>
          <w:szCs w:val="24"/>
        </w:rPr>
        <w:t xml:space="preserve">, </w:t>
      </w:r>
      <w:r w:rsidR="00454218">
        <w:rPr>
          <w:rFonts w:ascii="Garamond" w:eastAsia="Garamond" w:hAnsi="Garamond" w:cs="Garamond"/>
          <w:sz w:val="24"/>
          <w:szCs w:val="24"/>
        </w:rPr>
        <w:t xml:space="preserve">QTEs </w:t>
      </w:r>
      <w:r w:rsidR="00633980">
        <w:rPr>
          <w:rFonts w:ascii="Garamond" w:eastAsia="Garamond" w:hAnsi="Garamond" w:cs="Garamond"/>
          <w:sz w:val="24"/>
          <w:szCs w:val="24"/>
        </w:rPr>
        <w:t xml:space="preserve">show the effect of the intervention </w:t>
      </w:r>
      <w:r w:rsidR="00D21BB0">
        <w:rPr>
          <w:rFonts w:ascii="Garamond" w:eastAsia="Garamond" w:hAnsi="Garamond" w:cs="Garamond"/>
          <w:sz w:val="24"/>
          <w:szCs w:val="24"/>
        </w:rPr>
        <w:t>at</w:t>
      </w:r>
      <w:r w:rsidR="009745B9">
        <w:rPr>
          <w:rFonts w:ascii="Garamond" w:eastAsia="Garamond" w:hAnsi="Garamond" w:cs="Garamond"/>
          <w:sz w:val="24"/>
          <w:szCs w:val="24"/>
        </w:rPr>
        <w:t xml:space="preserve"> </w:t>
      </w:r>
      <w:r w:rsidR="00BA3A62">
        <w:rPr>
          <w:rFonts w:ascii="Garamond" w:eastAsia="Garamond" w:hAnsi="Garamond" w:cs="Garamond"/>
          <w:sz w:val="24"/>
          <w:szCs w:val="24"/>
        </w:rPr>
        <w:t xml:space="preserve">different </w:t>
      </w:r>
      <w:r w:rsidR="00D21BB0">
        <w:rPr>
          <w:rFonts w:ascii="Garamond" w:eastAsia="Garamond" w:hAnsi="Garamond" w:cs="Garamond"/>
          <w:sz w:val="24"/>
          <w:szCs w:val="24"/>
        </w:rPr>
        <w:t>quantiles</w:t>
      </w:r>
      <w:r w:rsidR="00BA3A62">
        <w:rPr>
          <w:rFonts w:ascii="Garamond" w:eastAsia="Garamond" w:hAnsi="Garamond" w:cs="Garamond"/>
          <w:sz w:val="24"/>
          <w:szCs w:val="24"/>
        </w:rPr>
        <w:t xml:space="preserve"> </w:t>
      </w:r>
      <w:r w:rsidR="006A6193">
        <w:rPr>
          <w:rFonts w:ascii="Garamond" w:eastAsia="Garamond" w:hAnsi="Garamond" w:cs="Garamond"/>
          <w:sz w:val="24"/>
          <w:szCs w:val="24"/>
        </w:rPr>
        <w:t>of</w:t>
      </w:r>
      <w:r w:rsidR="00BA3A62">
        <w:rPr>
          <w:rFonts w:ascii="Garamond" w:eastAsia="Garamond" w:hAnsi="Garamond" w:cs="Garamond"/>
          <w:sz w:val="24"/>
          <w:szCs w:val="24"/>
        </w:rPr>
        <w:t xml:space="preserve"> </w:t>
      </w:r>
      <w:r w:rsidR="00633980">
        <w:rPr>
          <w:rFonts w:ascii="Garamond" w:eastAsia="Garamond" w:hAnsi="Garamond" w:cs="Garamond"/>
          <w:sz w:val="24"/>
          <w:szCs w:val="24"/>
        </w:rPr>
        <w:t xml:space="preserve">the health </w:t>
      </w:r>
      <w:r w:rsidR="00BA3A62">
        <w:rPr>
          <w:rFonts w:ascii="Garamond" w:eastAsia="Garamond" w:hAnsi="Garamond" w:cs="Garamond"/>
          <w:sz w:val="24"/>
          <w:szCs w:val="24"/>
        </w:rPr>
        <w:t>outcome</w:t>
      </w:r>
      <w:r w:rsidR="00633980">
        <w:rPr>
          <w:rFonts w:ascii="Garamond" w:eastAsia="Garamond" w:hAnsi="Garamond" w:cs="Garamond"/>
          <w:sz w:val="24"/>
          <w:szCs w:val="24"/>
        </w:rPr>
        <w:t xml:space="preserve">.  </w:t>
      </w:r>
    </w:p>
    <w:p w14:paraId="74610EEA" w14:textId="19827ECE" w:rsidR="0091542F" w:rsidRDefault="00454218" w:rsidP="00257B8A">
      <w:pPr>
        <w:spacing w:line="480" w:lineRule="auto"/>
        <w:rPr>
          <w:rFonts w:ascii="Garamond" w:eastAsia="Garamond" w:hAnsi="Garamond" w:cs="Garamond"/>
          <w:sz w:val="24"/>
          <w:szCs w:val="24"/>
        </w:rPr>
      </w:pPr>
      <w:r>
        <w:rPr>
          <w:rFonts w:ascii="Garamond" w:eastAsia="Garamond" w:hAnsi="Garamond" w:cs="Garamond"/>
          <w:sz w:val="24"/>
          <w:szCs w:val="24"/>
        </w:rPr>
        <w:t xml:space="preserve">In simple terms, </w:t>
      </w:r>
      <w:r w:rsidR="00BA3A62">
        <w:rPr>
          <w:rFonts w:ascii="Garamond" w:eastAsia="Garamond" w:hAnsi="Garamond" w:cs="Garamond"/>
          <w:sz w:val="24"/>
          <w:szCs w:val="24"/>
        </w:rPr>
        <w:t xml:space="preserve">CATEs tell us how far the intervention is </w:t>
      </w:r>
      <w:r w:rsidR="00A5591A">
        <w:rPr>
          <w:rFonts w:ascii="Garamond" w:eastAsia="Garamond" w:hAnsi="Garamond" w:cs="Garamond"/>
          <w:sz w:val="24"/>
          <w:szCs w:val="24"/>
        </w:rPr>
        <w:t>‘</w:t>
      </w:r>
      <w:r w:rsidR="00CA55F7">
        <w:rPr>
          <w:rFonts w:ascii="Garamond" w:eastAsia="Garamond" w:hAnsi="Garamond" w:cs="Garamond"/>
          <w:sz w:val="24"/>
          <w:szCs w:val="24"/>
        </w:rPr>
        <w:t>pro-poor</w:t>
      </w:r>
      <w:r w:rsidR="00A5591A">
        <w:rPr>
          <w:rFonts w:ascii="Garamond" w:eastAsia="Garamond" w:hAnsi="Garamond" w:cs="Garamond"/>
          <w:sz w:val="24"/>
          <w:szCs w:val="24"/>
        </w:rPr>
        <w:t>’</w:t>
      </w:r>
      <w:r w:rsidR="00396175">
        <w:rPr>
          <w:rFonts w:ascii="Garamond" w:eastAsia="Garamond" w:hAnsi="Garamond" w:cs="Garamond"/>
          <w:sz w:val="24"/>
          <w:szCs w:val="24"/>
        </w:rPr>
        <w:t>, wh</w:t>
      </w:r>
      <w:r w:rsidR="00BA3A62">
        <w:rPr>
          <w:rFonts w:ascii="Garamond" w:eastAsia="Garamond" w:hAnsi="Garamond" w:cs="Garamond"/>
          <w:sz w:val="24"/>
          <w:szCs w:val="24"/>
        </w:rPr>
        <w:t xml:space="preserve">ereas QTEs </w:t>
      </w:r>
      <w:r>
        <w:rPr>
          <w:rFonts w:ascii="Garamond" w:eastAsia="Garamond" w:hAnsi="Garamond" w:cs="Garamond"/>
          <w:sz w:val="24"/>
          <w:szCs w:val="24"/>
        </w:rPr>
        <w:t xml:space="preserve">tell us how far the intervention is </w:t>
      </w:r>
      <w:r w:rsidR="00A5591A">
        <w:rPr>
          <w:rFonts w:ascii="Garamond" w:eastAsia="Garamond" w:hAnsi="Garamond" w:cs="Garamond"/>
          <w:sz w:val="24"/>
          <w:szCs w:val="24"/>
        </w:rPr>
        <w:t>‘</w:t>
      </w:r>
      <w:r>
        <w:rPr>
          <w:rFonts w:ascii="Garamond" w:eastAsia="Garamond" w:hAnsi="Garamond" w:cs="Garamond"/>
          <w:sz w:val="24"/>
          <w:szCs w:val="24"/>
        </w:rPr>
        <w:t>pro-</w:t>
      </w:r>
      <w:r w:rsidR="00BA3A62">
        <w:rPr>
          <w:rFonts w:ascii="Garamond" w:eastAsia="Garamond" w:hAnsi="Garamond" w:cs="Garamond"/>
          <w:sz w:val="24"/>
          <w:szCs w:val="24"/>
        </w:rPr>
        <w:t>unhealthy</w:t>
      </w:r>
      <w:r w:rsidR="00A5591A">
        <w:rPr>
          <w:rFonts w:ascii="Garamond" w:eastAsia="Garamond" w:hAnsi="Garamond" w:cs="Garamond"/>
          <w:sz w:val="24"/>
          <w:szCs w:val="24"/>
        </w:rPr>
        <w:t>’</w:t>
      </w:r>
      <w:r w:rsidR="00BA3A62">
        <w:rPr>
          <w:rFonts w:ascii="Garamond" w:eastAsia="Garamond" w:hAnsi="Garamond" w:cs="Garamond"/>
          <w:sz w:val="24"/>
          <w:szCs w:val="24"/>
        </w:rPr>
        <w:t xml:space="preserve"> </w:t>
      </w:r>
      <w:r>
        <w:rPr>
          <w:rFonts w:ascii="Garamond" w:eastAsia="Garamond" w:hAnsi="Garamond" w:cs="Garamond"/>
          <w:sz w:val="24"/>
          <w:szCs w:val="24"/>
        </w:rPr>
        <w:t>– i.e. does it</w:t>
      </w:r>
      <w:r w:rsidR="007F0405">
        <w:rPr>
          <w:rFonts w:ascii="Garamond" w:eastAsia="Garamond" w:hAnsi="Garamond" w:cs="Garamond"/>
          <w:sz w:val="24"/>
          <w:szCs w:val="24"/>
        </w:rPr>
        <w:t xml:space="preserve"> </w:t>
      </w:r>
      <w:r>
        <w:rPr>
          <w:rFonts w:ascii="Garamond" w:eastAsia="Garamond" w:hAnsi="Garamond" w:cs="Garamond"/>
          <w:sz w:val="24"/>
          <w:szCs w:val="24"/>
        </w:rPr>
        <w:t>benefit</w:t>
      </w:r>
      <w:r w:rsidR="00BA3A62">
        <w:rPr>
          <w:rFonts w:ascii="Garamond" w:eastAsia="Garamond" w:hAnsi="Garamond" w:cs="Garamond"/>
          <w:sz w:val="24"/>
          <w:szCs w:val="24"/>
        </w:rPr>
        <w:t xml:space="preserve"> recipients </w:t>
      </w:r>
      <w:r>
        <w:rPr>
          <w:rFonts w:ascii="Garamond" w:eastAsia="Garamond" w:hAnsi="Garamond" w:cs="Garamond"/>
          <w:sz w:val="24"/>
          <w:szCs w:val="24"/>
        </w:rPr>
        <w:t xml:space="preserve">who are </w:t>
      </w:r>
      <w:r w:rsidR="00BA3A62">
        <w:rPr>
          <w:rFonts w:ascii="Garamond" w:eastAsia="Garamond" w:hAnsi="Garamond" w:cs="Garamond"/>
          <w:sz w:val="24"/>
          <w:szCs w:val="24"/>
        </w:rPr>
        <w:t>relatively un</w:t>
      </w:r>
      <w:r>
        <w:rPr>
          <w:rFonts w:ascii="Garamond" w:eastAsia="Garamond" w:hAnsi="Garamond" w:cs="Garamond"/>
          <w:sz w:val="24"/>
          <w:szCs w:val="24"/>
        </w:rPr>
        <w:t>health</w:t>
      </w:r>
      <w:r w:rsidR="00BA3A62">
        <w:rPr>
          <w:rFonts w:ascii="Garamond" w:eastAsia="Garamond" w:hAnsi="Garamond" w:cs="Garamond"/>
          <w:sz w:val="24"/>
          <w:szCs w:val="24"/>
        </w:rPr>
        <w:t>y more than those who are relatively healthy?</w:t>
      </w:r>
      <w:r w:rsidR="007F0405">
        <w:rPr>
          <w:rFonts w:ascii="Garamond" w:eastAsia="Garamond" w:hAnsi="Garamond" w:cs="Garamond"/>
          <w:sz w:val="24"/>
          <w:szCs w:val="24"/>
        </w:rPr>
        <w:t xml:space="preserve">  The two questions do not necessarily have the same answer.  Although </w:t>
      </w:r>
      <w:r w:rsidR="00396175">
        <w:rPr>
          <w:rFonts w:ascii="Garamond" w:eastAsia="Garamond" w:hAnsi="Garamond" w:cs="Garamond"/>
          <w:sz w:val="24"/>
          <w:szCs w:val="24"/>
        </w:rPr>
        <w:t xml:space="preserve">poorer groups </w:t>
      </w:r>
      <w:r w:rsidR="00AA58A5">
        <w:rPr>
          <w:rFonts w:ascii="Garamond" w:eastAsia="Garamond" w:hAnsi="Garamond" w:cs="Garamond"/>
          <w:sz w:val="24"/>
          <w:szCs w:val="24"/>
        </w:rPr>
        <w:t>may be</w:t>
      </w:r>
      <w:r w:rsidR="007F0405">
        <w:rPr>
          <w:rFonts w:ascii="Garamond" w:eastAsia="Garamond" w:hAnsi="Garamond" w:cs="Garamond"/>
          <w:sz w:val="24"/>
          <w:szCs w:val="24"/>
        </w:rPr>
        <w:t xml:space="preserve"> health</w:t>
      </w:r>
      <w:r w:rsidR="00A5591A">
        <w:rPr>
          <w:rFonts w:ascii="Garamond" w:eastAsia="Garamond" w:hAnsi="Garamond" w:cs="Garamond"/>
          <w:sz w:val="24"/>
          <w:szCs w:val="24"/>
        </w:rPr>
        <w:t xml:space="preserve">ier </w:t>
      </w:r>
      <w:r w:rsidR="007F0405">
        <w:rPr>
          <w:rFonts w:ascii="Garamond" w:eastAsia="Garamond" w:hAnsi="Garamond" w:cs="Garamond"/>
          <w:sz w:val="24"/>
          <w:szCs w:val="24"/>
        </w:rPr>
        <w:t xml:space="preserve">than </w:t>
      </w:r>
      <w:r w:rsidR="00396175">
        <w:rPr>
          <w:rFonts w:ascii="Garamond" w:eastAsia="Garamond" w:hAnsi="Garamond" w:cs="Garamond"/>
          <w:sz w:val="24"/>
          <w:szCs w:val="24"/>
        </w:rPr>
        <w:t>richer ones</w:t>
      </w:r>
      <w:r w:rsidR="002B35C2">
        <w:rPr>
          <w:rFonts w:ascii="Garamond" w:eastAsia="Garamond" w:hAnsi="Garamond" w:cs="Garamond"/>
          <w:sz w:val="24"/>
          <w:szCs w:val="24"/>
        </w:rPr>
        <w:t xml:space="preserve"> on average</w:t>
      </w:r>
      <w:r w:rsidR="007F0405">
        <w:rPr>
          <w:rFonts w:ascii="Garamond" w:eastAsia="Garamond" w:hAnsi="Garamond" w:cs="Garamond"/>
          <w:sz w:val="24"/>
          <w:szCs w:val="24"/>
        </w:rPr>
        <w:t xml:space="preserve">, many </w:t>
      </w:r>
      <w:r w:rsidR="00396175">
        <w:rPr>
          <w:rFonts w:ascii="Garamond" w:eastAsia="Garamond" w:hAnsi="Garamond" w:cs="Garamond"/>
          <w:sz w:val="24"/>
          <w:szCs w:val="24"/>
        </w:rPr>
        <w:t>poor</w:t>
      </w:r>
      <w:r w:rsidR="00CA55F7">
        <w:rPr>
          <w:rFonts w:ascii="Garamond" w:eastAsia="Garamond" w:hAnsi="Garamond" w:cs="Garamond"/>
          <w:sz w:val="24"/>
          <w:szCs w:val="24"/>
        </w:rPr>
        <w:t xml:space="preserve"> </w:t>
      </w:r>
      <w:r w:rsidR="007F0405">
        <w:rPr>
          <w:rFonts w:ascii="Garamond" w:eastAsia="Garamond" w:hAnsi="Garamond" w:cs="Garamond"/>
          <w:sz w:val="24"/>
          <w:szCs w:val="24"/>
        </w:rPr>
        <w:t xml:space="preserve">individuals are </w:t>
      </w:r>
      <w:proofErr w:type="gramStart"/>
      <w:r w:rsidR="007F0405">
        <w:rPr>
          <w:rFonts w:ascii="Garamond" w:eastAsia="Garamond" w:hAnsi="Garamond" w:cs="Garamond"/>
          <w:sz w:val="24"/>
          <w:szCs w:val="24"/>
        </w:rPr>
        <w:t>healthy</w:t>
      </w:r>
      <w:proofErr w:type="gramEnd"/>
      <w:r w:rsidR="007F0405">
        <w:rPr>
          <w:rFonts w:ascii="Garamond" w:eastAsia="Garamond" w:hAnsi="Garamond" w:cs="Garamond"/>
          <w:sz w:val="24"/>
          <w:szCs w:val="24"/>
        </w:rPr>
        <w:t xml:space="preserve"> and many </w:t>
      </w:r>
      <w:r w:rsidR="00396175">
        <w:rPr>
          <w:rFonts w:ascii="Garamond" w:eastAsia="Garamond" w:hAnsi="Garamond" w:cs="Garamond"/>
          <w:sz w:val="24"/>
          <w:szCs w:val="24"/>
        </w:rPr>
        <w:t xml:space="preserve">rich </w:t>
      </w:r>
      <w:r w:rsidR="007F0405">
        <w:rPr>
          <w:rFonts w:ascii="Garamond" w:eastAsia="Garamond" w:hAnsi="Garamond" w:cs="Garamond"/>
          <w:sz w:val="24"/>
          <w:szCs w:val="24"/>
        </w:rPr>
        <w:t>individuals are unhealthy</w:t>
      </w:r>
      <w:r w:rsidR="002B35C2">
        <w:rPr>
          <w:rFonts w:ascii="Garamond" w:eastAsia="Garamond" w:hAnsi="Garamond" w:cs="Garamond"/>
          <w:sz w:val="24"/>
          <w:szCs w:val="24"/>
        </w:rPr>
        <w:t xml:space="preserve"> (see Figure 2)</w:t>
      </w:r>
      <w:r w:rsidR="007F0405">
        <w:rPr>
          <w:rFonts w:ascii="Garamond" w:eastAsia="Garamond" w:hAnsi="Garamond" w:cs="Garamond"/>
          <w:sz w:val="24"/>
          <w:szCs w:val="24"/>
        </w:rPr>
        <w:t xml:space="preserve">.  Although this seems counter-intuitive, and may not happen often, it is possible for </w:t>
      </w:r>
      <w:r w:rsidR="00A5591A">
        <w:rPr>
          <w:rFonts w:ascii="Garamond" w:eastAsia="Garamond" w:hAnsi="Garamond" w:cs="Garamond"/>
          <w:sz w:val="24"/>
          <w:szCs w:val="24"/>
        </w:rPr>
        <w:t>‘</w:t>
      </w:r>
      <w:r w:rsidR="007F0405">
        <w:rPr>
          <w:rFonts w:ascii="Garamond" w:eastAsia="Garamond" w:hAnsi="Garamond" w:cs="Garamond"/>
          <w:sz w:val="24"/>
          <w:szCs w:val="24"/>
        </w:rPr>
        <w:t>pro-</w:t>
      </w:r>
      <w:r w:rsidR="00616E33">
        <w:rPr>
          <w:rFonts w:ascii="Garamond" w:eastAsia="Garamond" w:hAnsi="Garamond" w:cs="Garamond"/>
          <w:sz w:val="24"/>
          <w:szCs w:val="24"/>
        </w:rPr>
        <w:t>poor</w:t>
      </w:r>
      <w:r w:rsidR="00A5591A">
        <w:rPr>
          <w:rFonts w:ascii="Garamond" w:eastAsia="Garamond" w:hAnsi="Garamond" w:cs="Garamond"/>
          <w:sz w:val="24"/>
          <w:szCs w:val="24"/>
        </w:rPr>
        <w:t>’</w:t>
      </w:r>
      <w:r w:rsidR="007F0405">
        <w:rPr>
          <w:rFonts w:ascii="Garamond" w:eastAsia="Garamond" w:hAnsi="Garamond" w:cs="Garamond"/>
          <w:sz w:val="24"/>
          <w:szCs w:val="24"/>
        </w:rPr>
        <w:t xml:space="preserve"> interventions to be </w:t>
      </w:r>
      <w:r w:rsidR="00A5591A">
        <w:rPr>
          <w:rFonts w:ascii="Garamond" w:eastAsia="Garamond" w:hAnsi="Garamond" w:cs="Garamond"/>
          <w:sz w:val="24"/>
          <w:szCs w:val="24"/>
        </w:rPr>
        <w:t>‘</w:t>
      </w:r>
      <w:r w:rsidR="007F0405">
        <w:rPr>
          <w:rFonts w:ascii="Garamond" w:eastAsia="Garamond" w:hAnsi="Garamond" w:cs="Garamond"/>
          <w:sz w:val="24"/>
          <w:szCs w:val="24"/>
        </w:rPr>
        <w:t>pro-healthy</w:t>
      </w:r>
      <w:r w:rsidR="00A5591A">
        <w:rPr>
          <w:rFonts w:ascii="Garamond" w:eastAsia="Garamond" w:hAnsi="Garamond" w:cs="Garamond"/>
          <w:sz w:val="24"/>
          <w:szCs w:val="24"/>
        </w:rPr>
        <w:t>’</w:t>
      </w:r>
      <w:r w:rsidR="007F0405">
        <w:rPr>
          <w:rFonts w:ascii="Garamond" w:eastAsia="Garamond" w:hAnsi="Garamond" w:cs="Garamond"/>
          <w:sz w:val="24"/>
          <w:szCs w:val="24"/>
        </w:rPr>
        <w:t xml:space="preserve"> and thereby increase overall inequality in health</w:t>
      </w:r>
      <w:r w:rsidR="00396175">
        <w:rPr>
          <w:rFonts w:ascii="Garamond" w:eastAsia="Garamond" w:hAnsi="Garamond" w:cs="Garamond"/>
          <w:sz w:val="24"/>
          <w:szCs w:val="24"/>
        </w:rPr>
        <w:t xml:space="preserve">.  </w:t>
      </w:r>
      <w:r w:rsidR="0091542F">
        <w:rPr>
          <w:rFonts w:ascii="Garamond" w:eastAsia="Garamond" w:hAnsi="Garamond" w:cs="Garamond"/>
          <w:sz w:val="24"/>
          <w:szCs w:val="24"/>
        </w:rPr>
        <w:t>In relation to our hypothetical dietary programme, f</w:t>
      </w:r>
      <w:r w:rsidR="00816A86">
        <w:rPr>
          <w:rFonts w:ascii="Garamond" w:eastAsia="Garamond" w:hAnsi="Garamond" w:cs="Garamond"/>
          <w:sz w:val="24"/>
          <w:szCs w:val="24"/>
        </w:rPr>
        <w:t xml:space="preserve">or example, women with </w:t>
      </w:r>
      <w:r w:rsidR="00396175" w:rsidRPr="00396175">
        <w:rPr>
          <w:rFonts w:ascii="Garamond" w:eastAsia="Garamond" w:hAnsi="Garamond" w:cs="Garamond"/>
          <w:sz w:val="24"/>
          <w:szCs w:val="24"/>
        </w:rPr>
        <w:t xml:space="preserve">supportive families </w:t>
      </w:r>
      <w:r w:rsidR="00816A86">
        <w:rPr>
          <w:rFonts w:ascii="Garamond" w:eastAsia="Garamond" w:hAnsi="Garamond" w:cs="Garamond"/>
          <w:sz w:val="24"/>
          <w:szCs w:val="24"/>
        </w:rPr>
        <w:t xml:space="preserve">might </w:t>
      </w:r>
      <w:r w:rsidR="0091542F">
        <w:rPr>
          <w:rFonts w:ascii="Garamond" w:eastAsia="Garamond" w:hAnsi="Garamond" w:cs="Garamond"/>
          <w:sz w:val="24"/>
          <w:szCs w:val="24"/>
        </w:rPr>
        <w:t xml:space="preserve">tend to </w:t>
      </w:r>
      <w:r w:rsidR="00816A86">
        <w:rPr>
          <w:rFonts w:ascii="Garamond" w:eastAsia="Garamond" w:hAnsi="Garamond" w:cs="Garamond"/>
          <w:sz w:val="24"/>
          <w:szCs w:val="24"/>
        </w:rPr>
        <w:t xml:space="preserve">have </w:t>
      </w:r>
      <w:r w:rsidR="0091542F">
        <w:rPr>
          <w:rFonts w:ascii="Garamond" w:eastAsia="Garamond" w:hAnsi="Garamond" w:cs="Garamond"/>
          <w:sz w:val="24"/>
          <w:szCs w:val="24"/>
        </w:rPr>
        <w:t>better birth outcomes i</w:t>
      </w:r>
      <w:r w:rsidR="00816A86">
        <w:rPr>
          <w:rFonts w:ascii="Garamond" w:eastAsia="Garamond" w:hAnsi="Garamond" w:cs="Garamond"/>
          <w:sz w:val="24"/>
          <w:szCs w:val="24"/>
        </w:rPr>
        <w:t xml:space="preserve">n the control group and </w:t>
      </w:r>
      <w:r w:rsidR="0091542F">
        <w:rPr>
          <w:rFonts w:ascii="Garamond" w:eastAsia="Garamond" w:hAnsi="Garamond" w:cs="Garamond"/>
          <w:sz w:val="24"/>
          <w:szCs w:val="24"/>
        </w:rPr>
        <w:t xml:space="preserve">might also </w:t>
      </w:r>
      <w:r w:rsidR="00816A86">
        <w:rPr>
          <w:rFonts w:ascii="Garamond" w:eastAsia="Garamond" w:hAnsi="Garamond" w:cs="Garamond"/>
          <w:sz w:val="24"/>
          <w:szCs w:val="24"/>
        </w:rPr>
        <w:t xml:space="preserve">be </w:t>
      </w:r>
      <w:r w:rsidR="0064195A">
        <w:rPr>
          <w:rFonts w:ascii="Garamond" w:eastAsia="Garamond" w:hAnsi="Garamond" w:cs="Garamond"/>
          <w:sz w:val="24"/>
          <w:szCs w:val="24"/>
        </w:rPr>
        <w:t>better able to respond to a</w:t>
      </w:r>
      <w:r w:rsidR="00397BAC">
        <w:rPr>
          <w:rFonts w:ascii="Garamond" w:eastAsia="Garamond" w:hAnsi="Garamond" w:cs="Garamond"/>
          <w:sz w:val="24"/>
          <w:szCs w:val="24"/>
        </w:rPr>
        <w:t>ntenatal d</w:t>
      </w:r>
      <w:r w:rsidR="00396175">
        <w:rPr>
          <w:rFonts w:ascii="Garamond" w:eastAsia="Garamond" w:hAnsi="Garamond" w:cs="Garamond"/>
          <w:sz w:val="24"/>
          <w:szCs w:val="24"/>
        </w:rPr>
        <w:t xml:space="preserve">ietary </w:t>
      </w:r>
      <w:r w:rsidR="00397BAC">
        <w:rPr>
          <w:rFonts w:ascii="Garamond" w:eastAsia="Garamond" w:hAnsi="Garamond" w:cs="Garamond"/>
          <w:sz w:val="24"/>
          <w:szCs w:val="24"/>
        </w:rPr>
        <w:t>advice</w:t>
      </w:r>
      <w:r w:rsidR="00816A86">
        <w:rPr>
          <w:rFonts w:ascii="Garamond" w:eastAsia="Garamond" w:hAnsi="Garamond" w:cs="Garamond"/>
          <w:sz w:val="24"/>
          <w:szCs w:val="24"/>
        </w:rPr>
        <w:t xml:space="preserve"> in the treatment group.</w:t>
      </w:r>
      <w:r w:rsidR="0091542F">
        <w:rPr>
          <w:rFonts w:ascii="Garamond" w:eastAsia="Garamond" w:hAnsi="Garamond" w:cs="Garamond"/>
          <w:sz w:val="24"/>
          <w:szCs w:val="24"/>
        </w:rPr>
        <w:t xml:space="preserve">  The </w:t>
      </w:r>
      <w:r w:rsidR="0064195A">
        <w:rPr>
          <w:rFonts w:ascii="Garamond" w:eastAsia="Garamond" w:hAnsi="Garamond" w:cs="Garamond"/>
          <w:sz w:val="24"/>
          <w:szCs w:val="24"/>
        </w:rPr>
        <w:t xml:space="preserve">programme thus </w:t>
      </w:r>
      <w:r w:rsidR="00816A86">
        <w:rPr>
          <w:rFonts w:ascii="Garamond" w:eastAsia="Garamond" w:hAnsi="Garamond" w:cs="Garamond"/>
          <w:sz w:val="24"/>
          <w:szCs w:val="24"/>
        </w:rPr>
        <w:t xml:space="preserve">might have </w:t>
      </w:r>
      <w:r w:rsidR="0064195A">
        <w:rPr>
          <w:rFonts w:ascii="Garamond" w:eastAsia="Garamond" w:hAnsi="Garamond" w:cs="Garamond"/>
          <w:sz w:val="24"/>
          <w:szCs w:val="24"/>
        </w:rPr>
        <w:t xml:space="preserve">a stronger effect </w:t>
      </w:r>
      <w:r w:rsidR="0091542F">
        <w:rPr>
          <w:rFonts w:ascii="Garamond" w:eastAsia="Garamond" w:hAnsi="Garamond" w:cs="Garamond"/>
          <w:sz w:val="24"/>
          <w:szCs w:val="24"/>
        </w:rPr>
        <w:t xml:space="preserve">on birthweight not only in </w:t>
      </w:r>
      <w:r w:rsidR="00616E33">
        <w:rPr>
          <w:rFonts w:ascii="Garamond" w:eastAsia="Garamond" w:hAnsi="Garamond" w:cs="Garamond"/>
          <w:sz w:val="24"/>
          <w:szCs w:val="24"/>
        </w:rPr>
        <w:t>poorer</w:t>
      </w:r>
      <w:r w:rsidR="0091542F">
        <w:rPr>
          <w:rFonts w:ascii="Garamond" w:eastAsia="Garamond" w:hAnsi="Garamond" w:cs="Garamond"/>
          <w:sz w:val="24"/>
          <w:szCs w:val="24"/>
        </w:rPr>
        <w:t xml:space="preserve"> families (an observed risk factor) but also in more supportive families (an unobserved risk factor).</w:t>
      </w:r>
    </w:p>
    <w:p w14:paraId="327687F8" w14:textId="48E6C36E" w:rsidR="008A4844" w:rsidRDefault="007A0524" w:rsidP="000141B6">
      <w:pPr>
        <w:spacing w:line="480" w:lineRule="auto"/>
        <w:rPr>
          <w:rFonts w:ascii="Garamond" w:eastAsia="Garamond" w:hAnsi="Garamond" w:cs="Garamond"/>
          <w:i/>
          <w:sz w:val="24"/>
          <w:szCs w:val="24"/>
        </w:rPr>
      </w:pPr>
      <w:r>
        <w:rPr>
          <w:rFonts w:ascii="Garamond" w:eastAsia="Garamond" w:hAnsi="Garamond" w:cs="Garamond"/>
          <w:sz w:val="24"/>
          <w:szCs w:val="24"/>
        </w:rPr>
        <w:t xml:space="preserve">Figure 3 illustrates the resulting </w:t>
      </w:r>
      <w:r w:rsidR="00A5591A">
        <w:rPr>
          <w:rFonts w:ascii="Garamond" w:eastAsia="Garamond" w:hAnsi="Garamond" w:cs="Garamond"/>
          <w:sz w:val="24"/>
          <w:szCs w:val="24"/>
        </w:rPr>
        <w:t>‘</w:t>
      </w:r>
      <w:r>
        <w:rPr>
          <w:rFonts w:ascii="Garamond" w:eastAsia="Garamond" w:hAnsi="Garamond" w:cs="Garamond"/>
          <w:sz w:val="24"/>
          <w:szCs w:val="24"/>
        </w:rPr>
        <w:t>pro-healthy</w:t>
      </w:r>
      <w:r w:rsidR="00A5591A">
        <w:rPr>
          <w:rFonts w:ascii="Garamond" w:eastAsia="Garamond" w:hAnsi="Garamond" w:cs="Garamond"/>
          <w:sz w:val="24"/>
          <w:szCs w:val="24"/>
        </w:rPr>
        <w:t>’</w:t>
      </w:r>
      <w:r>
        <w:rPr>
          <w:rFonts w:ascii="Garamond" w:eastAsia="Garamond" w:hAnsi="Garamond" w:cs="Garamond"/>
          <w:sz w:val="24"/>
          <w:szCs w:val="24"/>
        </w:rPr>
        <w:t xml:space="preserve"> distribution of effects.</w:t>
      </w:r>
      <w:r>
        <w:rPr>
          <w:rStyle w:val="FootnoteReference"/>
          <w:rFonts w:ascii="Garamond" w:eastAsia="Garamond" w:hAnsi="Garamond" w:cs="Garamond"/>
          <w:sz w:val="24"/>
          <w:szCs w:val="24"/>
        </w:rPr>
        <w:footnoteReference w:id="1"/>
      </w:r>
      <w:r>
        <w:rPr>
          <w:rFonts w:ascii="Garamond" w:eastAsia="Garamond" w:hAnsi="Garamond" w:cs="Garamond"/>
          <w:sz w:val="24"/>
          <w:szCs w:val="24"/>
        </w:rPr>
        <w:t xml:space="preserve">  </w:t>
      </w:r>
      <w:r w:rsidR="00633980">
        <w:rPr>
          <w:rFonts w:ascii="Garamond" w:eastAsia="Garamond" w:hAnsi="Garamond" w:cs="Garamond"/>
          <w:sz w:val="24"/>
          <w:szCs w:val="24"/>
        </w:rPr>
        <w:t xml:space="preserve">The right panel shows QTEs </w:t>
      </w:r>
      <w:r w:rsidR="00131CF6">
        <w:rPr>
          <w:rFonts w:ascii="Garamond" w:eastAsia="Garamond" w:hAnsi="Garamond" w:cs="Garamond"/>
          <w:sz w:val="24"/>
          <w:szCs w:val="24"/>
        </w:rPr>
        <w:t xml:space="preserve">(i.e. gains in birthweight due to the intervention) </w:t>
      </w:r>
      <w:r w:rsidR="00633980">
        <w:rPr>
          <w:rFonts w:ascii="Garamond" w:eastAsia="Garamond" w:hAnsi="Garamond" w:cs="Garamond"/>
          <w:sz w:val="24"/>
          <w:szCs w:val="24"/>
        </w:rPr>
        <w:t>for five health quantile</w:t>
      </w:r>
      <w:r w:rsidR="00CA55F7">
        <w:rPr>
          <w:rFonts w:ascii="Garamond" w:eastAsia="Garamond" w:hAnsi="Garamond" w:cs="Garamond"/>
          <w:sz w:val="24"/>
          <w:szCs w:val="24"/>
        </w:rPr>
        <w:t xml:space="preserve"> point</w:t>
      </w:r>
      <w:r w:rsidR="00633980">
        <w:rPr>
          <w:rFonts w:ascii="Garamond" w:eastAsia="Garamond" w:hAnsi="Garamond" w:cs="Garamond"/>
          <w:sz w:val="24"/>
          <w:szCs w:val="24"/>
        </w:rPr>
        <w:t xml:space="preserve">s, where Quantile 3 (0.50) represents the effect at the middle of the health distribution (the median), Quantile 1 (0.10) the effect towards the bottom of the health distribution (the 10th percentile point), and Quantile 5 (0.90) the effect towards the top (the 90th percentile point).  The left panel plots the cumulative </w:t>
      </w:r>
      <w:r w:rsidR="00BA3A62">
        <w:rPr>
          <w:rFonts w:ascii="Garamond" w:eastAsia="Garamond" w:hAnsi="Garamond" w:cs="Garamond"/>
          <w:sz w:val="24"/>
          <w:szCs w:val="24"/>
        </w:rPr>
        <w:t xml:space="preserve">distributions </w:t>
      </w:r>
      <w:r w:rsidR="00633980">
        <w:rPr>
          <w:rFonts w:ascii="Garamond" w:eastAsia="Garamond" w:hAnsi="Garamond" w:cs="Garamond"/>
          <w:sz w:val="24"/>
          <w:szCs w:val="24"/>
        </w:rPr>
        <w:t>of the control and treated group</w:t>
      </w:r>
      <w:r w:rsidR="00BA3A62">
        <w:rPr>
          <w:rFonts w:ascii="Garamond" w:eastAsia="Garamond" w:hAnsi="Garamond" w:cs="Garamond"/>
          <w:sz w:val="24"/>
          <w:szCs w:val="24"/>
        </w:rPr>
        <w:t xml:space="preserve">, which </w:t>
      </w:r>
      <w:r w:rsidR="00633980">
        <w:rPr>
          <w:rFonts w:ascii="Garamond" w:eastAsia="Garamond" w:hAnsi="Garamond" w:cs="Garamond"/>
          <w:sz w:val="24"/>
          <w:szCs w:val="24"/>
        </w:rPr>
        <w:t>give</w:t>
      </w:r>
      <w:r w:rsidR="00131CF6">
        <w:rPr>
          <w:rFonts w:ascii="Garamond" w:eastAsia="Garamond" w:hAnsi="Garamond" w:cs="Garamond"/>
          <w:sz w:val="24"/>
          <w:szCs w:val="24"/>
        </w:rPr>
        <w:t>s</w:t>
      </w:r>
      <w:r w:rsidR="00633980">
        <w:rPr>
          <w:rFonts w:ascii="Garamond" w:eastAsia="Garamond" w:hAnsi="Garamond" w:cs="Garamond"/>
          <w:sz w:val="24"/>
          <w:szCs w:val="24"/>
        </w:rPr>
        <w:t xml:space="preserve"> the </w:t>
      </w:r>
      <w:r w:rsidR="00BA3A62">
        <w:rPr>
          <w:rFonts w:ascii="Garamond" w:eastAsia="Garamond" w:hAnsi="Garamond" w:cs="Garamond"/>
          <w:sz w:val="24"/>
          <w:szCs w:val="24"/>
        </w:rPr>
        <w:t xml:space="preserve">birthweight </w:t>
      </w:r>
      <w:r w:rsidR="00633980">
        <w:rPr>
          <w:rFonts w:ascii="Garamond" w:eastAsia="Garamond" w:hAnsi="Garamond" w:cs="Garamond"/>
          <w:sz w:val="24"/>
          <w:szCs w:val="24"/>
        </w:rPr>
        <w:t xml:space="preserve">at a given quantile. The QTE is the horizontal difference between these curves. For Q3 (0.50) (the median) this difference is </w:t>
      </w:r>
      <w:r w:rsidR="002B35C2">
        <w:rPr>
          <w:rFonts w:ascii="Garamond" w:eastAsia="Garamond" w:hAnsi="Garamond" w:cs="Garamond"/>
          <w:sz w:val="24"/>
          <w:szCs w:val="24"/>
        </w:rPr>
        <w:t>0.2</w:t>
      </w:r>
      <w:r w:rsidR="006F44D8">
        <w:rPr>
          <w:rFonts w:ascii="Garamond" w:eastAsia="Garamond" w:hAnsi="Garamond" w:cs="Garamond"/>
          <w:sz w:val="24"/>
          <w:szCs w:val="24"/>
        </w:rPr>
        <w:t>7</w:t>
      </w:r>
      <w:r w:rsidR="002B35C2">
        <w:rPr>
          <w:rFonts w:ascii="Garamond" w:eastAsia="Garamond" w:hAnsi="Garamond" w:cs="Garamond"/>
          <w:sz w:val="24"/>
          <w:szCs w:val="24"/>
        </w:rPr>
        <w:t>kg</w:t>
      </w:r>
      <w:r w:rsidR="00633980">
        <w:rPr>
          <w:rFonts w:ascii="Garamond" w:eastAsia="Garamond" w:hAnsi="Garamond" w:cs="Garamond"/>
          <w:sz w:val="24"/>
          <w:szCs w:val="24"/>
        </w:rPr>
        <w:t>.</w:t>
      </w:r>
    </w:p>
    <w:p w14:paraId="1A48E1B3" w14:textId="1618E9B3" w:rsidR="00201B3F" w:rsidRDefault="00201B3F" w:rsidP="00201B3F">
      <w:pPr>
        <w:spacing w:line="480" w:lineRule="auto"/>
        <w:jc w:val="center"/>
        <w:rPr>
          <w:rFonts w:ascii="Garamond" w:eastAsia="Garamond" w:hAnsi="Garamond" w:cs="Garamond"/>
          <w:i/>
          <w:sz w:val="24"/>
          <w:szCs w:val="24"/>
        </w:rPr>
      </w:pPr>
      <w:r>
        <w:rPr>
          <w:rFonts w:ascii="Garamond" w:eastAsia="Garamond" w:hAnsi="Garamond" w:cs="Garamond"/>
          <w:i/>
          <w:noProof/>
          <w:sz w:val="24"/>
          <w:szCs w:val="24"/>
          <w:lang w:val="en-AU" w:eastAsia="en-AU"/>
        </w:rPr>
        <w:lastRenderedPageBreak/>
        <w:drawing>
          <wp:anchor distT="0" distB="0" distL="114300" distR="114300" simplePos="0" relativeHeight="251666432" behindDoc="1" locked="0" layoutInCell="1" allowOverlap="1" wp14:anchorId="66EB2DF9" wp14:editId="64D84E11">
            <wp:simplePos x="0" y="0"/>
            <wp:positionH relativeFrom="column">
              <wp:posOffset>0</wp:posOffset>
            </wp:positionH>
            <wp:positionV relativeFrom="paragraph">
              <wp:posOffset>252116</wp:posOffset>
            </wp:positionV>
            <wp:extent cx="5731510" cy="2865755"/>
            <wp:effectExtent l="0" t="0" r="2540" b="0"/>
            <wp:wrapTight wrapText="bothSides">
              <wp:wrapPolygon edited="0">
                <wp:start x="0" y="0"/>
                <wp:lineTo x="0" y="21394"/>
                <wp:lineTo x="21538" y="21394"/>
                <wp:lineTo x="21538" y="0"/>
                <wp:lineTo x="0" y="0"/>
              </wp:wrapPolygon>
            </wp:wrapTight>
            <wp:docPr id="18" name="Picture 18"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QTE.png"/>
                    <pic:cNvPicPr/>
                  </pic:nvPicPr>
                  <pic:blipFill>
                    <a:blip r:embed="rId20">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anchor>
        </w:drawing>
      </w:r>
      <w:r w:rsidRPr="00201B3F">
        <w:rPr>
          <w:noProof/>
        </w:rPr>
        <w:t xml:space="preserve"> </w:t>
      </w:r>
      <w:r w:rsidR="00633980">
        <w:rPr>
          <w:rFonts w:ascii="Garamond" w:eastAsia="Garamond" w:hAnsi="Garamond" w:cs="Garamond"/>
          <w:i/>
          <w:sz w:val="24"/>
          <w:szCs w:val="24"/>
        </w:rPr>
        <w:t>Figure 3: Quantile Treatment Effects</w:t>
      </w:r>
    </w:p>
    <w:p w14:paraId="06F86093" w14:textId="40982A4F" w:rsidR="007317E5" w:rsidRDefault="00D21BB0" w:rsidP="00B244F6">
      <w:pPr>
        <w:spacing w:line="240" w:lineRule="auto"/>
        <w:jc w:val="center"/>
        <w:rPr>
          <w:rFonts w:ascii="Garamond" w:eastAsia="Garamond" w:hAnsi="Garamond" w:cs="Garamond"/>
          <w:i/>
          <w:sz w:val="24"/>
          <w:szCs w:val="24"/>
        </w:rPr>
      </w:pPr>
      <w:r w:rsidRPr="00B244F6">
        <w:rPr>
          <w:rFonts w:ascii="Garamond" w:eastAsia="Garamond" w:hAnsi="Garamond" w:cs="Garamond"/>
          <w:i/>
          <w:sz w:val="24"/>
          <w:szCs w:val="24"/>
        </w:rPr>
        <w:t>Note: The left panel shows the cumulative distribution curves of the control and treated groups. This shows the proportion of the population (quantile, q, on the y-axis) who have a birthweight (x-axis) below a certain level. The median birthweight (at q=0.5) is 3.0</w:t>
      </w:r>
      <w:r w:rsidR="006F44D8" w:rsidRPr="00B244F6">
        <w:rPr>
          <w:rFonts w:ascii="Garamond" w:eastAsia="Garamond" w:hAnsi="Garamond" w:cs="Garamond"/>
          <w:i/>
          <w:sz w:val="24"/>
          <w:szCs w:val="24"/>
        </w:rPr>
        <w:t>2</w:t>
      </w:r>
      <w:r w:rsidRPr="00B244F6">
        <w:rPr>
          <w:rFonts w:ascii="Garamond" w:eastAsia="Garamond" w:hAnsi="Garamond" w:cs="Garamond"/>
          <w:i/>
          <w:sz w:val="24"/>
          <w:szCs w:val="24"/>
        </w:rPr>
        <w:t>kg and 3.</w:t>
      </w:r>
      <w:r w:rsidR="006F44D8" w:rsidRPr="00B244F6">
        <w:rPr>
          <w:rFonts w:ascii="Garamond" w:eastAsia="Garamond" w:hAnsi="Garamond" w:cs="Garamond"/>
          <w:i/>
          <w:sz w:val="24"/>
          <w:szCs w:val="24"/>
        </w:rPr>
        <w:t>29</w:t>
      </w:r>
      <w:r w:rsidRPr="00B244F6">
        <w:rPr>
          <w:rFonts w:ascii="Garamond" w:eastAsia="Garamond" w:hAnsi="Garamond" w:cs="Garamond"/>
          <w:i/>
          <w:sz w:val="24"/>
          <w:szCs w:val="24"/>
        </w:rPr>
        <w:t>kg for the control and treated group, respectively.</w:t>
      </w:r>
      <w:r w:rsidR="007317E5" w:rsidRPr="00B244F6">
        <w:rPr>
          <w:rFonts w:ascii="Garamond" w:eastAsia="Garamond" w:hAnsi="Garamond" w:cs="Garamond"/>
          <w:i/>
          <w:sz w:val="24"/>
          <w:szCs w:val="24"/>
        </w:rPr>
        <w:t xml:space="preserve"> At a given quantile, the horizontal difference between these two curves gives the quantile treatment effect (QTE). The right panel shows the QTEs at five quintiles, where the QTEs equal 0.2</w:t>
      </w:r>
      <w:r w:rsidR="006F44D8" w:rsidRPr="00B244F6">
        <w:rPr>
          <w:rFonts w:ascii="Garamond" w:eastAsia="Garamond" w:hAnsi="Garamond" w:cs="Garamond"/>
          <w:i/>
          <w:sz w:val="24"/>
          <w:szCs w:val="24"/>
        </w:rPr>
        <w:t>2</w:t>
      </w:r>
      <w:r w:rsidR="007317E5" w:rsidRPr="00B244F6">
        <w:rPr>
          <w:rFonts w:ascii="Garamond" w:eastAsia="Garamond" w:hAnsi="Garamond" w:cs="Garamond"/>
          <w:i/>
          <w:sz w:val="24"/>
          <w:szCs w:val="24"/>
        </w:rPr>
        <w:t>kg, 0.2</w:t>
      </w:r>
      <w:r w:rsidR="006F44D8" w:rsidRPr="00B244F6">
        <w:rPr>
          <w:rFonts w:ascii="Garamond" w:eastAsia="Garamond" w:hAnsi="Garamond" w:cs="Garamond"/>
          <w:i/>
          <w:sz w:val="24"/>
          <w:szCs w:val="24"/>
        </w:rPr>
        <w:t>3</w:t>
      </w:r>
      <w:r w:rsidR="007317E5" w:rsidRPr="00B244F6">
        <w:rPr>
          <w:rFonts w:ascii="Garamond" w:eastAsia="Garamond" w:hAnsi="Garamond" w:cs="Garamond"/>
          <w:i/>
          <w:sz w:val="24"/>
          <w:szCs w:val="24"/>
        </w:rPr>
        <w:t>kg, 0.2</w:t>
      </w:r>
      <w:r w:rsidR="006F44D8" w:rsidRPr="00B244F6">
        <w:rPr>
          <w:rFonts w:ascii="Garamond" w:eastAsia="Garamond" w:hAnsi="Garamond" w:cs="Garamond"/>
          <w:i/>
          <w:sz w:val="24"/>
          <w:szCs w:val="24"/>
        </w:rPr>
        <w:t>7</w:t>
      </w:r>
      <w:r w:rsidR="007317E5" w:rsidRPr="00B244F6">
        <w:rPr>
          <w:rFonts w:ascii="Garamond" w:eastAsia="Garamond" w:hAnsi="Garamond" w:cs="Garamond"/>
          <w:i/>
          <w:sz w:val="24"/>
          <w:szCs w:val="24"/>
        </w:rPr>
        <w:t>kg, 0.3</w:t>
      </w:r>
      <w:r w:rsidR="006F44D8" w:rsidRPr="00B244F6">
        <w:rPr>
          <w:rFonts w:ascii="Garamond" w:eastAsia="Garamond" w:hAnsi="Garamond" w:cs="Garamond"/>
          <w:i/>
          <w:sz w:val="24"/>
          <w:szCs w:val="24"/>
        </w:rPr>
        <w:t>2</w:t>
      </w:r>
      <w:r w:rsidR="007317E5" w:rsidRPr="00B244F6">
        <w:rPr>
          <w:rFonts w:ascii="Garamond" w:eastAsia="Garamond" w:hAnsi="Garamond" w:cs="Garamond"/>
          <w:i/>
          <w:sz w:val="24"/>
          <w:szCs w:val="24"/>
        </w:rPr>
        <w:t>kg and 0.</w:t>
      </w:r>
      <w:r w:rsidR="006F44D8" w:rsidRPr="00B244F6">
        <w:rPr>
          <w:rFonts w:ascii="Garamond" w:eastAsia="Garamond" w:hAnsi="Garamond" w:cs="Garamond"/>
          <w:i/>
          <w:sz w:val="24"/>
          <w:szCs w:val="24"/>
        </w:rPr>
        <w:t>42</w:t>
      </w:r>
      <w:r w:rsidR="007317E5" w:rsidRPr="00B244F6">
        <w:rPr>
          <w:rFonts w:ascii="Garamond" w:eastAsia="Garamond" w:hAnsi="Garamond" w:cs="Garamond"/>
          <w:i/>
          <w:sz w:val="24"/>
          <w:szCs w:val="24"/>
        </w:rPr>
        <w:t>kg, for quantiles: 0.1, 0.3, 0.5, 0.7 and 0.9, respectively.</w:t>
      </w:r>
    </w:p>
    <w:p w14:paraId="6D35C1E8" w14:textId="289BDE89" w:rsidR="00BE1B83" w:rsidRDefault="00AA79FE" w:rsidP="00B244F6">
      <w:pPr>
        <w:spacing w:line="240" w:lineRule="auto"/>
        <w:jc w:val="center"/>
        <w:rPr>
          <w:rFonts w:ascii="Garamond" w:eastAsia="Garamond" w:hAnsi="Garamond" w:cs="Garamond"/>
          <w:i/>
          <w:sz w:val="24"/>
          <w:szCs w:val="24"/>
        </w:rPr>
      </w:pPr>
      <w:r w:rsidRPr="00AA79FE">
        <w:rPr>
          <w:noProof/>
        </w:rPr>
        <w:t xml:space="preserve"> </w:t>
      </w:r>
    </w:p>
    <w:p w14:paraId="49687B4A" w14:textId="0C3E98ED" w:rsidR="00A06990" w:rsidRDefault="00A06990" w:rsidP="00A06990">
      <w:pPr>
        <w:spacing w:after="0" w:line="480" w:lineRule="auto"/>
        <w:rPr>
          <w:rFonts w:ascii="Garamond" w:eastAsia="Garamond" w:hAnsi="Garamond" w:cs="Garamond"/>
          <w:sz w:val="24"/>
          <w:szCs w:val="24"/>
        </w:rPr>
      </w:pPr>
      <w:r w:rsidRPr="00B244F6">
        <w:rPr>
          <w:rFonts w:ascii="Garamond" w:eastAsia="Garamond" w:hAnsi="Garamond" w:cs="Garamond"/>
          <w:sz w:val="24"/>
          <w:szCs w:val="24"/>
        </w:rPr>
        <w:t xml:space="preserve">In this case, the effects are largest at the quantile with the highest birthweight, </w:t>
      </w:r>
      <w:proofErr w:type="gramStart"/>
      <w:r w:rsidRPr="00B244F6">
        <w:rPr>
          <w:rFonts w:ascii="Garamond" w:eastAsia="Garamond" w:hAnsi="Garamond" w:cs="Garamond"/>
          <w:sz w:val="24"/>
          <w:szCs w:val="24"/>
        </w:rPr>
        <w:t>QTE(</w:t>
      </w:r>
      <w:proofErr w:type="gramEnd"/>
      <w:r w:rsidRPr="00B244F6">
        <w:rPr>
          <w:rFonts w:ascii="Garamond" w:eastAsia="Garamond" w:hAnsi="Garamond" w:cs="Garamond"/>
          <w:sz w:val="24"/>
          <w:szCs w:val="24"/>
        </w:rPr>
        <w:t xml:space="preserve">0.9) = </w:t>
      </w:r>
      <w:r w:rsidR="00D21BB0" w:rsidRPr="00B244F6">
        <w:rPr>
          <w:rFonts w:ascii="Garamond" w:eastAsia="Garamond" w:hAnsi="Garamond" w:cs="Garamond"/>
          <w:sz w:val="24"/>
          <w:szCs w:val="24"/>
        </w:rPr>
        <w:t>0.</w:t>
      </w:r>
      <w:r w:rsidR="006F44D8" w:rsidRPr="00B244F6">
        <w:rPr>
          <w:rFonts w:ascii="Garamond" w:eastAsia="Garamond" w:hAnsi="Garamond" w:cs="Garamond"/>
          <w:sz w:val="24"/>
          <w:szCs w:val="24"/>
        </w:rPr>
        <w:t>42</w:t>
      </w:r>
      <w:r w:rsidR="00D21BB0" w:rsidRPr="00B244F6">
        <w:rPr>
          <w:rFonts w:ascii="Garamond" w:eastAsia="Garamond" w:hAnsi="Garamond" w:cs="Garamond"/>
          <w:sz w:val="24"/>
          <w:szCs w:val="24"/>
        </w:rPr>
        <w:t>kg</w:t>
      </w:r>
      <w:r w:rsidRPr="00B244F6">
        <w:rPr>
          <w:rFonts w:ascii="Garamond" w:eastAsia="Garamond" w:hAnsi="Garamond" w:cs="Garamond"/>
          <w:sz w:val="24"/>
          <w:szCs w:val="24"/>
        </w:rPr>
        <w:t>, and smallest at the quantile with lowest birthweight, QTE(0.</w:t>
      </w:r>
      <w:r w:rsidR="006F44D8" w:rsidRPr="00B244F6">
        <w:rPr>
          <w:rFonts w:ascii="Garamond" w:eastAsia="Garamond" w:hAnsi="Garamond" w:cs="Garamond"/>
          <w:sz w:val="24"/>
          <w:szCs w:val="24"/>
        </w:rPr>
        <w:t>1</w:t>
      </w:r>
      <w:r w:rsidRPr="00B244F6">
        <w:rPr>
          <w:rFonts w:ascii="Garamond" w:eastAsia="Garamond" w:hAnsi="Garamond" w:cs="Garamond"/>
          <w:sz w:val="24"/>
          <w:szCs w:val="24"/>
        </w:rPr>
        <w:t xml:space="preserve">) = </w:t>
      </w:r>
      <w:r w:rsidR="00D21BB0" w:rsidRPr="00B244F6">
        <w:rPr>
          <w:rFonts w:ascii="Garamond" w:eastAsia="Garamond" w:hAnsi="Garamond" w:cs="Garamond"/>
          <w:sz w:val="24"/>
          <w:szCs w:val="24"/>
        </w:rPr>
        <w:t>0.2</w:t>
      </w:r>
      <w:r w:rsidR="006F44D8" w:rsidRPr="00B244F6">
        <w:rPr>
          <w:rFonts w:ascii="Garamond" w:eastAsia="Garamond" w:hAnsi="Garamond" w:cs="Garamond"/>
          <w:sz w:val="24"/>
          <w:szCs w:val="24"/>
        </w:rPr>
        <w:t>2</w:t>
      </w:r>
      <w:r w:rsidR="00D21BB0" w:rsidRPr="00B244F6">
        <w:rPr>
          <w:rFonts w:ascii="Garamond" w:eastAsia="Garamond" w:hAnsi="Garamond" w:cs="Garamond"/>
          <w:sz w:val="24"/>
          <w:szCs w:val="24"/>
        </w:rPr>
        <w:t>kg</w:t>
      </w:r>
      <w:r w:rsidR="00A5591A">
        <w:rPr>
          <w:rFonts w:ascii="Garamond" w:eastAsia="Garamond" w:hAnsi="Garamond" w:cs="Garamond"/>
          <w:sz w:val="24"/>
          <w:szCs w:val="24"/>
        </w:rPr>
        <w:t>.  Th</w:t>
      </w:r>
      <w:r w:rsidRPr="00B244F6">
        <w:rPr>
          <w:rFonts w:ascii="Garamond" w:eastAsia="Garamond" w:hAnsi="Garamond" w:cs="Garamond"/>
          <w:sz w:val="24"/>
          <w:szCs w:val="24"/>
        </w:rPr>
        <w:t xml:space="preserve">e intervention generates larger increases in birthweight at the higher end of the spectrum, thereby increasing </w:t>
      </w:r>
      <w:r w:rsidR="00A5591A">
        <w:rPr>
          <w:rFonts w:ascii="Garamond" w:eastAsia="Garamond" w:hAnsi="Garamond" w:cs="Garamond"/>
          <w:sz w:val="24"/>
          <w:szCs w:val="24"/>
        </w:rPr>
        <w:t>‘</w:t>
      </w:r>
      <w:r w:rsidRPr="00B244F6">
        <w:rPr>
          <w:rFonts w:ascii="Garamond" w:eastAsia="Garamond" w:hAnsi="Garamond" w:cs="Garamond"/>
          <w:sz w:val="24"/>
          <w:szCs w:val="24"/>
        </w:rPr>
        <w:t>pure</w:t>
      </w:r>
      <w:r w:rsidR="00A5591A">
        <w:rPr>
          <w:rFonts w:ascii="Garamond" w:eastAsia="Garamond" w:hAnsi="Garamond" w:cs="Garamond"/>
          <w:sz w:val="24"/>
          <w:szCs w:val="24"/>
        </w:rPr>
        <w:t>’</w:t>
      </w:r>
      <w:r w:rsidRPr="00B244F6">
        <w:rPr>
          <w:rFonts w:ascii="Garamond" w:eastAsia="Garamond" w:hAnsi="Garamond" w:cs="Garamond"/>
          <w:sz w:val="24"/>
          <w:szCs w:val="24"/>
        </w:rPr>
        <w:t xml:space="preserve"> individual-level inequality in birthweight. Note that we are not comparing gains for individuals with different birthweights (babies are only born once); we are comparing the distributions of birthweights </w:t>
      </w:r>
      <w:r w:rsidR="002D77A8" w:rsidRPr="00B244F6">
        <w:rPr>
          <w:rFonts w:ascii="Garamond" w:eastAsia="Garamond" w:hAnsi="Garamond" w:cs="Garamond"/>
          <w:sz w:val="24"/>
          <w:szCs w:val="24"/>
        </w:rPr>
        <w:t xml:space="preserve">of babies born to </w:t>
      </w:r>
      <w:r w:rsidRPr="00B244F6">
        <w:rPr>
          <w:rFonts w:ascii="Garamond" w:eastAsia="Garamond" w:hAnsi="Garamond" w:cs="Garamond"/>
          <w:sz w:val="24"/>
          <w:szCs w:val="24"/>
        </w:rPr>
        <w:t xml:space="preserve">mothers in the treated and control groups, finding greater differences </w:t>
      </w:r>
      <w:r w:rsidR="00FC5F16" w:rsidRPr="00B244F6">
        <w:rPr>
          <w:rFonts w:ascii="Garamond" w:eastAsia="Garamond" w:hAnsi="Garamond" w:cs="Garamond"/>
          <w:sz w:val="24"/>
          <w:szCs w:val="24"/>
        </w:rPr>
        <w:t xml:space="preserve">between the groups </w:t>
      </w:r>
      <w:r w:rsidRPr="00B244F6">
        <w:rPr>
          <w:rFonts w:ascii="Garamond" w:eastAsia="Garamond" w:hAnsi="Garamond" w:cs="Garamond"/>
          <w:sz w:val="24"/>
          <w:szCs w:val="24"/>
        </w:rPr>
        <w:t>at the higher end of the birthweight range.</w:t>
      </w:r>
      <w:r>
        <w:rPr>
          <w:rFonts w:ascii="Garamond" w:eastAsia="Garamond" w:hAnsi="Garamond" w:cs="Garamond"/>
          <w:sz w:val="24"/>
          <w:szCs w:val="24"/>
        </w:rPr>
        <w:t xml:space="preserve"> </w:t>
      </w:r>
      <w:r w:rsidR="002B35C2">
        <w:rPr>
          <w:rFonts w:ascii="Garamond" w:eastAsia="Garamond" w:hAnsi="Garamond" w:cs="Garamond"/>
          <w:sz w:val="24"/>
          <w:szCs w:val="24"/>
        </w:rPr>
        <w:t>QTEs tell us about changes in the shape of the final distribution, not who precisely gains what.</w:t>
      </w:r>
    </w:p>
    <w:p w14:paraId="6D5B33C4" w14:textId="0CBFB6FD" w:rsidR="00A06990" w:rsidRDefault="00A06990" w:rsidP="008A4844">
      <w:pPr>
        <w:spacing w:line="480" w:lineRule="auto"/>
        <w:rPr>
          <w:rFonts w:ascii="Garamond" w:eastAsia="Garamond" w:hAnsi="Garamond" w:cs="Garamond"/>
          <w:sz w:val="24"/>
          <w:szCs w:val="24"/>
        </w:rPr>
      </w:pPr>
    </w:p>
    <w:p w14:paraId="31DBC0A2" w14:textId="77777777" w:rsidR="007317E5" w:rsidRDefault="007317E5" w:rsidP="008A4844">
      <w:pPr>
        <w:spacing w:line="480" w:lineRule="auto"/>
        <w:rPr>
          <w:rFonts w:ascii="Garamond" w:eastAsia="Garamond" w:hAnsi="Garamond" w:cs="Garamond"/>
          <w:sz w:val="24"/>
          <w:szCs w:val="24"/>
        </w:rPr>
      </w:pPr>
    </w:p>
    <w:p w14:paraId="04E663C8" w14:textId="77777777" w:rsidR="006F44D8" w:rsidRDefault="00633980" w:rsidP="008A4844">
      <w:pPr>
        <w:spacing w:line="480" w:lineRule="auto"/>
        <w:rPr>
          <w:rFonts w:ascii="Garamond" w:eastAsia="Garamond" w:hAnsi="Garamond" w:cs="Garamond"/>
          <w:sz w:val="24"/>
          <w:szCs w:val="24"/>
        </w:rPr>
      </w:pPr>
      <w:r>
        <w:rPr>
          <w:rFonts w:ascii="Garamond" w:eastAsia="Garamond" w:hAnsi="Garamond" w:cs="Garamond"/>
          <w:sz w:val="24"/>
          <w:szCs w:val="24"/>
        </w:rPr>
        <w:t xml:space="preserve"> </w:t>
      </w:r>
    </w:p>
    <w:p w14:paraId="007121BB" w14:textId="3AE26FEE" w:rsidR="00BE1B83" w:rsidRDefault="00BE1B83" w:rsidP="008A4844">
      <w:pPr>
        <w:spacing w:line="480" w:lineRule="auto"/>
        <w:rPr>
          <w:rFonts w:ascii="Garamond" w:eastAsia="Garamond" w:hAnsi="Garamond" w:cs="Garamond"/>
          <w:sz w:val="24"/>
          <w:szCs w:val="24"/>
        </w:rPr>
      </w:pPr>
    </w:p>
    <w:p w14:paraId="0F27A15C" w14:textId="18B8FFBE" w:rsidR="00BE1B83" w:rsidRDefault="002215EF" w:rsidP="008A4844">
      <w:pPr>
        <w:spacing w:line="480" w:lineRule="auto"/>
        <w:rPr>
          <w:rFonts w:ascii="Garamond" w:eastAsia="Garamond" w:hAnsi="Garamond" w:cs="Garamond"/>
          <w:b/>
          <w:sz w:val="24"/>
          <w:szCs w:val="24"/>
        </w:rPr>
      </w:pPr>
      <w:r>
        <w:rPr>
          <w:rFonts w:ascii="Garamond" w:eastAsia="Garamond" w:hAnsi="Garamond" w:cs="Garamond"/>
          <w:b/>
          <w:sz w:val="24"/>
          <w:szCs w:val="24"/>
        </w:rPr>
        <w:lastRenderedPageBreak/>
        <w:t xml:space="preserve">2.4 </w:t>
      </w:r>
      <w:r w:rsidR="00633980">
        <w:rPr>
          <w:rFonts w:ascii="Garamond" w:eastAsia="Garamond" w:hAnsi="Garamond" w:cs="Garamond"/>
          <w:b/>
          <w:sz w:val="24"/>
          <w:szCs w:val="24"/>
        </w:rPr>
        <w:t>Inequality Treatment Effects</w:t>
      </w:r>
    </w:p>
    <w:p w14:paraId="7E65F028" w14:textId="26735CA3" w:rsidR="00BE1B83" w:rsidRDefault="00633980" w:rsidP="006B6248">
      <w:pPr>
        <w:spacing w:line="480" w:lineRule="auto"/>
        <w:rPr>
          <w:rFonts w:ascii="Garamond" w:eastAsia="Garamond" w:hAnsi="Garamond" w:cs="Garamond"/>
          <w:sz w:val="24"/>
          <w:szCs w:val="24"/>
        </w:rPr>
      </w:pPr>
      <w:r>
        <w:rPr>
          <w:rFonts w:ascii="Garamond" w:eastAsia="Garamond" w:hAnsi="Garamond" w:cs="Garamond"/>
          <w:sz w:val="24"/>
          <w:szCs w:val="24"/>
        </w:rPr>
        <w:t>A</w:t>
      </w:r>
      <w:r w:rsidR="00A5591A">
        <w:rPr>
          <w:rFonts w:ascii="Garamond" w:eastAsia="Garamond" w:hAnsi="Garamond" w:cs="Garamond"/>
          <w:sz w:val="24"/>
          <w:szCs w:val="24"/>
        </w:rPr>
        <w:t xml:space="preserve"> third </w:t>
      </w:r>
      <w:r>
        <w:rPr>
          <w:rFonts w:ascii="Garamond" w:eastAsia="Garamond" w:hAnsi="Garamond" w:cs="Garamond"/>
          <w:sz w:val="24"/>
          <w:szCs w:val="24"/>
        </w:rPr>
        <w:t xml:space="preserve">approach is to estimate Inequality Treatment Effects (ITE), which compare the difference between summary indices of inequality within control and treatment groups.  </w:t>
      </w:r>
      <w:r w:rsidR="006B6248">
        <w:rPr>
          <w:rFonts w:ascii="Garamond" w:eastAsia="Garamond" w:hAnsi="Garamond" w:cs="Garamond"/>
          <w:sz w:val="24"/>
          <w:szCs w:val="24"/>
        </w:rPr>
        <w:t xml:space="preserve">This </w:t>
      </w:r>
      <w:r w:rsidR="00554368">
        <w:rPr>
          <w:rFonts w:ascii="Garamond" w:eastAsia="Garamond" w:hAnsi="Garamond" w:cs="Garamond"/>
          <w:sz w:val="24"/>
          <w:szCs w:val="24"/>
        </w:rPr>
        <w:t xml:space="preserve">approach is </w:t>
      </w:r>
      <w:r w:rsidR="00FC5F16">
        <w:rPr>
          <w:rFonts w:ascii="Garamond" w:eastAsia="Garamond" w:hAnsi="Garamond" w:cs="Garamond"/>
          <w:sz w:val="24"/>
          <w:szCs w:val="24"/>
        </w:rPr>
        <w:t>best used</w:t>
      </w:r>
      <w:r w:rsidR="00554368">
        <w:rPr>
          <w:rFonts w:ascii="Garamond" w:eastAsia="Garamond" w:hAnsi="Garamond" w:cs="Garamond"/>
          <w:sz w:val="24"/>
          <w:szCs w:val="24"/>
        </w:rPr>
        <w:t xml:space="preserve"> when</w:t>
      </w:r>
      <w:r>
        <w:rPr>
          <w:rFonts w:ascii="Garamond" w:eastAsia="Garamond" w:hAnsi="Garamond" w:cs="Garamond"/>
          <w:sz w:val="24"/>
          <w:szCs w:val="24"/>
        </w:rPr>
        <w:t xml:space="preserve"> the </w:t>
      </w:r>
      <w:r w:rsidR="006B6248">
        <w:rPr>
          <w:rFonts w:ascii="Garamond" w:eastAsia="Garamond" w:hAnsi="Garamond" w:cs="Garamond"/>
          <w:sz w:val="24"/>
          <w:szCs w:val="24"/>
        </w:rPr>
        <w:t xml:space="preserve">intervention is delivered across </w:t>
      </w:r>
      <w:r w:rsidR="00554368">
        <w:rPr>
          <w:rFonts w:ascii="Garamond" w:eastAsia="Garamond" w:hAnsi="Garamond" w:cs="Garamond"/>
          <w:sz w:val="24"/>
          <w:szCs w:val="24"/>
        </w:rPr>
        <w:t xml:space="preserve">a </w:t>
      </w:r>
      <w:r w:rsidR="006B6248">
        <w:rPr>
          <w:rFonts w:ascii="Garamond" w:eastAsia="Garamond" w:hAnsi="Garamond" w:cs="Garamond"/>
          <w:sz w:val="24"/>
          <w:szCs w:val="24"/>
        </w:rPr>
        <w:t>general population, or a representative sample thereof</w:t>
      </w:r>
      <w:r w:rsidR="00FC5F16">
        <w:rPr>
          <w:rFonts w:ascii="Garamond" w:eastAsia="Garamond" w:hAnsi="Garamond" w:cs="Garamond"/>
          <w:sz w:val="24"/>
          <w:szCs w:val="24"/>
        </w:rPr>
        <w:t>, o</w:t>
      </w:r>
      <w:r>
        <w:rPr>
          <w:rFonts w:ascii="Garamond" w:eastAsia="Garamond" w:hAnsi="Garamond" w:cs="Garamond"/>
          <w:sz w:val="24"/>
          <w:szCs w:val="24"/>
        </w:rPr>
        <w:t xml:space="preserve">therwise </w:t>
      </w:r>
      <w:r w:rsidR="00FC5F16">
        <w:rPr>
          <w:rFonts w:ascii="Garamond" w:eastAsia="Garamond" w:hAnsi="Garamond" w:cs="Garamond"/>
          <w:sz w:val="24"/>
          <w:szCs w:val="24"/>
        </w:rPr>
        <w:t>it</w:t>
      </w:r>
      <w:r w:rsidR="006B6248">
        <w:rPr>
          <w:rFonts w:ascii="Garamond" w:eastAsia="Garamond" w:hAnsi="Garamond" w:cs="Garamond"/>
          <w:sz w:val="24"/>
          <w:szCs w:val="24"/>
        </w:rPr>
        <w:t xml:space="preserve"> </w:t>
      </w:r>
      <w:r w:rsidR="00FC5F16">
        <w:rPr>
          <w:rFonts w:ascii="Garamond" w:eastAsia="Garamond" w:hAnsi="Garamond" w:cs="Garamond"/>
          <w:sz w:val="24"/>
          <w:szCs w:val="24"/>
        </w:rPr>
        <w:t xml:space="preserve">will only </w:t>
      </w:r>
      <w:r w:rsidR="00554368">
        <w:rPr>
          <w:rFonts w:ascii="Garamond" w:eastAsia="Garamond" w:hAnsi="Garamond" w:cs="Garamond"/>
          <w:sz w:val="24"/>
          <w:szCs w:val="24"/>
        </w:rPr>
        <w:t>measure</w:t>
      </w:r>
      <w:r w:rsidR="006B6248">
        <w:rPr>
          <w:rFonts w:ascii="Garamond" w:eastAsia="Garamond" w:hAnsi="Garamond" w:cs="Garamond"/>
          <w:sz w:val="24"/>
          <w:szCs w:val="24"/>
        </w:rPr>
        <w:t xml:space="preserve"> </w:t>
      </w:r>
      <w:r>
        <w:rPr>
          <w:rFonts w:ascii="Garamond" w:eastAsia="Garamond" w:hAnsi="Garamond" w:cs="Garamond"/>
          <w:sz w:val="24"/>
          <w:szCs w:val="24"/>
        </w:rPr>
        <w:t xml:space="preserve">inequality within </w:t>
      </w:r>
      <w:r w:rsidR="006B6248">
        <w:rPr>
          <w:rFonts w:ascii="Garamond" w:eastAsia="Garamond" w:hAnsi="Garamond" w:cs="Garamond"/>
          <w:sz w:val="24"/>
          <w:szCs w:val="24"/>
        </w:rPr>
        <w:t xml:space="preserve">a specific </w:t>
      </w:r>
      <w:r>
        <w:rPr>
          <w:rFonts w:ascii="Garamond" w:eastAsia="Garamond" w:hAnsi="Garamond" w:cs="Garamond"/>
          <w:sz w:val="24"/>
          <w:szCs w:val="24"/>
        </w:rPr>
        <w:t>recipient population</w:t>
      </w:r>
      <w:r w:rsidR="006B6248">
        <w:rPr>
          <w:rFonts w:ascii="Garamond" w:eastAsia="Garamond" w:hAnsi="Garamond" w:cs="Garamond"/>
          <w:sz w:val="24"/>
          <w:szCs w:val="24"/>
        </w:rPr>
        <w:t xml:space="preserve"> (</w:t>
      </w:r>
      <w:r>
        <w:rPr>
          <w:rFonts w:ascii="Garamond" w:eastAsia="Garamond" w:hAnsi="Garamond" w:cs="Garamond"/>
          <w:sz w:val="24"/>
          <w:szCs w:val="24"/>
        </w:rPr>
        <w:t>e.g. a</w:t>
      </w:r>
      <w:r w:rsidR="00554368">
        <w:rPr>
          <w:rFonts w:ascii="Garamond" w:eastAsia="Garamond" w:hAnsi="Garamond" w:cs="Garamond"/>
          <w:sz w:val="24"/>
          <w:szCs w:val="24"/>
        </w:rPr>
        <w:t xml:space="preserve"> target </w:t>
      </w:r>
      <w:r>
        <w:rPr>
          <w:rFonts w:ascii="Garamond" w:eastAsia="Garamond" w:hAnsi="Garamond" w:cs="Garamond"/>
          <w:sz w:val="24"/>
          <w:szCs w:val="24"/>
        </w:rPr>
        <w:t>age</w:t>
      </w:r>
      <w:r w:rsidR="00554368">
        <w:rPr>
          <w:rFonts w:ascii="Garamond" w:eastAsia="Garamond" w:hAnsi="Garamond" w:cs="Garamond"/>
          <w:sz w:val="24"/>
          <w:szCs w:val="24"/>
        </w:rPr>
        <w:t xml:space="preserve">, </w:t>
      </w:r>
      <w:r>
        <w:rPr>
          <w:rFonts w:ascii="Garamond" w:eastAsia="Garamond" w:hAnsi="Garamond" w:cs="Garamond"/>
          <w:sz w:val="24"/>
          <w:szCs w:val="24"/>
        </w:rPr>
        <w:t>disease</w:t>
      </w:r>
      <w:r w:rsidR="00554368">
        <w:rPr>
          <w:rFonts w:ascii="Garamond" w:eastAsia="Garamond" w:hAnsi="Garamond" w:cs="Garamond"/>
          <w:sz w:val="24"/>
          <w:szCs w:val="24"/>
        </w:rPr>
        <w:t xml:space="preserve">, </w:t>
      </w:r>
      <w:r>
        <w:rPr>
          <w:rFonts w:ascii="Garamond" w:eastAsia="Garamond" w:hAnsi="Garamond" w:cs="Garamond"/>
          <w:sz w:val="24"/>
          <w:szCs w:val="24"/>
        </w:rPr>
        <w:t>or risk factor group</w:t>
      </w:r>
      <w:r w:rsidR="006B6248">
        <w:rPr>
          <w:rFonts w:ascii="Garamond" w:eastAsia="Garamond" w:hAnsi="Garamond" w:cs="Garamond"/>
          <w:sz w:val="24"/>
          <w:szCs w:val="24"/>
        </w:rPr>
        <w:t xml:space="preserve">) </w:t>
      </w:r>
      <w:r w:rsidR="00554368">
        <w:rPr>
          <w:rFonts w:ascii="Garamond" w:eastAsia="Garamond" w:hAnsi="Garamond" w:cs="Garamond"/>
          <w:sz w:val="24"/>
          <w:szCs w:val="24"/>
        </w:rPr>
        <w:t>and</w:t>
      </w:r>
      <w:r w:rsidR="006B6248">
        <w:rPr>
          <w:rFonts w:ascii="Garamond" w:eastAsia="Garamond" w:hAnsi="Garamond" w:cs="Garamond"/>
          <w:sz w:val="24"/>
          <w:szCs w:val="24"/>
        </w:rPr>
        <w:t xml:space="preserve"> may </w:t>
      </w:r>
      <w:r w:rsidR="00554368">
        <w:rPr>
          <w:rFonts w:ascii="Garamond" w:eastAsia="Garamond" w:hAnsi="Garamond" w:cs="Garamond"/>
          <w:sz w:val="24"/>
          <w:szCs w:val="24"/>
        </w:rPr>
        <w:t>under- or over-estimate</w:t>
      </w:r>
      <w:r w:rsidR="006B6248">
        <w:rPr>
          <w:rFonts w:ascii="Garamond" w:eastAsia="Garamond" w:hAnsi="Garamond" w:cs="Garamond"/>
          <w:sz w:val="24"/>
          <w:szCs w:val="24"/>
        </w:rPr>
        <w:t xml:space="preserve"> the </w:t>
      </w:r>
      <w:r w:rsidR="00554368">
        <w:rPr>
          <w:rFonts w:ascii="Garamond" w:eastAsia="Garamond" w:hAnsi="Garamond" w:cs="Garamond"/>
          <w:sz w:val="24"/>
          <w:szCs w:val="24"/>
        </w:rPr>
        <w:t xml:space="preserve">impact on the </w:t>
      </w:r>
      <w:r>
        <w:rPr>
          <w:rFonts w:ascii="Garamond" w:eastAsia="Garamond" w:hAnsi="Garamond" w:cs="Garamond"/>
          <w:sz w:val="24"/>
          <w:szCs w:val="24"/>
        </w:rPr>
        <w:t xml:space="preserve">general population.  For example, smoking cessation programmes usually achieve greater quit success among rich smokers than poor smokers, and so can appear to have a pro-rich inequality impact if one only looks within the subpopulation of smokers.  However, there are far more poor smokers than rich smokers within the general population, and so smoking cessation programmes </w:t>
      </w:r>
      <w:r w:rsidR="00BF6917">
        <w:rPr>
          <w:rFonts w:ascii="Garamond" w:eastAsia="Garamond" w:hAnsi="Garamond" w:cs="Garamond"/>
          <w:sz w:val="24"/>
          <w:szCs w:val="24"/>
        </w:rPr>
        <w:t xml:space="preserve">may </w:t>
      </w:r>
      <w:r>
        <w:rPr>
          <w:rFonts w:ascii="Garamond" w:eastAsia="Garamond" w:hAnsi="Garamond" w:cs="Garamond"/>
          <w:sz w:val="24"/>
          <w:szCs w:val="24"/>
        </w:rPr>
        <w:t>have a pro-poor inequality impact within the general population.</w:t>
      </w:r>
    </w:p>
    <w:p w14:paraId="578BED33" w14:textId="2A0A2BDF" w:rsidR="007317E5" w:rsidRDefault="00633980" w:rsidP="008A4844">
      <w:pPr>
        <w:spacing w:line="480" w:lineRule="auto"/>
        <w:rPr>
          <w:rFonts w:ascii="Garamond" w:eastAsia="Garamond" w:hAnsi="Garamond" w:cs="Garamond"/>
          <w:sz w:val="24"/>
          <w:szCs w:val="24"/>
        </w:rPr>
      </w:pPr>
      <w:r>
        <w:rPr>
          <w:rFonts w:ascii="Garamond" w:eastAsia="Garamond" w:hAnsi="Garamond" w:cs="Garamond"/>
          <w:sz w:val="24"/>
          <w:szCs w:val="24"/>
        </w:rPr>
        <w:t>Inequality indices use a single numerical value to represent an entire distribution and many indices are available</w:t>
      </w:r>
      <w:r w:rsidR="006B77B2">
        <w:rPr>
          <w:rFonts w:ascii="Garamond" w:eastAsia="Garamond" w:hAnsi="Garamond" w:cs="Garamond"/>
          <w:sz w:val="24"/>
          <w:szCs w:val="24"/>
        </w:rPr>
        <w:t xml:space="preserve"> (</w:t>
      </w:r>
      <w:proofErr w:type="spellStart"/>
      <w:r w:rsidR="006B77B2">
        <w:rPr>
          <w:rFonts w:ascii="Garamond" w:eastAsia="Garamond" w:hAnsi="Garamond" w:cs="Garamond"/>
          <w:sz w:val="24"/>
          <w:szCs w:val="24"/>
        </w:rPr>
        <w:t>Kjellson</w:t>
      </w:r>
      <w:proofErr w:type="spellEnd"/>
      <w:r w:rsidR="006B77B2">
        <w:rPr>
          <w:rFonts w:ascii="Garamond" w:eastAsia="Garamond" w:hAnsi="Garamond" w:cs="Garamond"/>
          <w:sz w:val="24"/>
          <w:szCs w:val="24"/>
        </w:rPr>
        <w:t xml:space="preserve"> et al. 2015)</w:t>
      </w:r>
      <w:r>
        <w:rPr>
          <w:rFonts w:ascii="Garamond" w:eastAsia="Garamond" w:hAnsi="Garamond" w:cs="Garamond"/>
          <w:sz w:val="24"/>
          <w:szCs w:val="24"/>
        </w:rPr>
        <w:t xml:space="preserve">.  The ITE is the difference between these measures of inequality for the control and treated groups. In our above example, </w:t>
      </w:r>
      <w:r w:rsidR="006B6248">
        <w:rPr>
          <w:rFonts w:ascii="Garamond" w:eastAsia="Garamond" w:hAnsi="Garamond" w:cs="Garamond"/>
          <w:sz w:val="24"/>
          <w:szCs w:val="24"/>
        </w:rPr>
        <w:t xml:space="preserve">we </w:t>
      </w:r>
      <w:r w:rsidR="00E20B5C">
        <w:rPr>
          <w:rFonts w:ascii="Garamond" w:eastAsia="Garamond" w:hAnsi="Garamond" w:cs="Garamond"/>
          <w:sz w:val="24"/>
          <w:szCs w:val="24"/>
        </w:rPr>
        <w:t xml:space="preserve">use a Concentration Index to examine inequality in birthweight related to income, and a Gini Index to examine </w:t>
      </w:r>
      <w:r w:rsidR="00A5591A">
        <w:rPr>
          <w:rFonts w:ascii="Garamond" w:eastAsia="Garamond" w:hAnsi="Garamond" w:cs="Garamond"/>
          <w:sz w:val="24"/>
          <w:szCs w:val="24"/>
        </w:rPr>
        <w:t>‘</w:t>
      </w:r>
      <w:r w:rsidR="00E20B5C">
        <w:rPr>
          <w:rFonts w:ascii="Garamond" w:eastAsia="Garamond" w:hAnsi="Garamond" w:cs="Garamond"/>
          <w:sz w:val="24"/>
          <w:szCs w:val="24"/>
        </w:rPr>
        <w:t>pure</w:t>
      </w:r>
      <w:r w:rsidR="00A5591A">
        <w:rPr>
          <w:rFonts w:ascii="Garamond" w:eastAsia="Garamond" w:hAnsi="Garamond" w:cs="Garamond"/>
          <w:sz w:val="24"/>
          <w:szCs w:val="24"/>
        </w:rPr>
        <w:t>’</w:t>
      </w:r>
      <w:r w:rsidR="00E20B5C">
        <w:rPr>
          <w:rFonts w:ascii="Garamond" w:eastAsia="Garamond" w:hAnsi="Garamond" w:cs="Garamond"/>
          <w:sz w:val="24"/>
          <w:szCs w:val="24"/>
        </w:rPr>
        <w:t xml:space="preserve"> </w:t>
      </w:r>
      <w:r w:rsidR="006B77B2">
        <w:rPr>
          <w:rFonts w:ascii="Garamond" w:eastAsia="Garamond" w:hAnsi="Garamond" w:cs="Garamond"/>
          <w:sz w:val="24"/>
          <w:szCs w:val="24"/>
        </w:rPr>
        <w:t xml:space="preserve">individual-level </w:t>
      </w:r>
      <w:r w:rsidR="00E20B5C">
        <w:rPr>
          <w:rFonts w:ascii="Garamond" w:eastAsia="Garamond" w:hAnsi="Garamond" w:cs="Garamond"/>
          <w:sz w:val="24"/>
          <w:szCs w:val="24"/>
        </w:rPr>
        <w:t>inequality in birthweight</w:t>
      </w:r>
      <w:r w:rsidR="006B77B2">
        <w:rPr>
          <w:rFonts w:ascii="Garamond" w:eastAsia="Garamond" w:hAnsi="Garamond" w:cs="Garamond"/>
          <w:sz w:val="24"/>
          <w:szCs w:val="24"/>
        </w:rPr>
        <w:t xml:space="preserve">.  The Gini index is scaled from </w:t>
      </w:r>
      <w:r w:rsidR="00E20B5C">
        <w:rPr>
          <w:rFonts w:ascii="Garamond" w:eastAsia="Garamond" w:hAnsi="Garamond" w:cs="Garamond"/>
          <w:sz w:val="24"/>
          <w:szCs w:val="24"/>
        </w:rPr>
        <w:t xml:space="preserve">0 to 1, with 0 representing full equality and 1 representing maximum inequality.  </w:t>
      </w:r>
      <w:r w:rsidR="00FC5F16">
        <w:rPr>
          <w:rFonts w:ascii="Garamond" w:eastAsia="Garamond" w:hAnsi="Garamond" w:cs="Garamond"/>
          <w:sz w:val="24"/>
          <w:szCs w:val="24"/>
        </w:rPr>
        <w:t>For t</w:t>
      </w:r>
      <w:r w:rsidR="006B77B2">
        <w:rPr>
          <w:rFonts w:ascii="Garamond" w:eastAsia="Garamond" w:hAnsi="Garamond" w:cs="Garamond"/>
          <w:sz w:val="24"/>
          <w:szCs w:val="24"/>
        </w:rPr>
        <w:t>he Concentration Index</w:t>
      </w:r>
      <w:r w:rsidR="00FC5F16">
        <w:rPr>
          <w:rFonts w:ascii="Garamond" w:eastAsia="Garamond" w:hAnsi="Garamond" w:cs="Garamond"/>
          <w:sz w:val="24"/>
          <w:szCs w:val="24"/>
        </w:rPr>
        <w:t xml:space="preserve">, </w:t>
      </w:r>
      <w:r w:rsidR="006B77B2">
        <w:rPr>
          <w:rFonts w:ascii="Garamond" w:eastAsia="Garamond" w:hAnsi="Garamond" w:cs="Garamond"/>
          <w:sz w:val="24"/>
          <w:szCs w:val="24"/>
        </w:rPr>
        <w:t>0 represent</w:t>
      </w:r>
      <w:r w:rsidR="00FC5F16">
        <w:rPr>
          <w:rFonts w:ascii="Garamond" w:eastAsia="Garamond" w:hAnsi="Garamond" w:cs="Garamond"/>
          <w:sz w:val="24"/>
          <w:szCs w:val="24"/>
        </w:rPr>
        <w:t>s</w:t>
      </w:r>
      <w:r w:rsidR="006B77B2">
        <w:rPr>
          <w:rFonts w:ascii="Garamond" w:eastAsia="Garamond" w:hAnsi="Garamond" w:cs="Garamond"/>
          <w:sz w:val="24"/>
          <w:szCs w:val="24"/>
        </w:rPr>
        <w:t xml:space="preserve"> full equality, </w:t>
      </w:r>
      <w:r w:rsidR="00FA1737">
        <w:rPr>
          <w:rFonts w:ascii="Garamond" w:eastAsia="Garamond" w:hAnsi="Garamond" w:cs="Garamond"/>
          <w:sz w:val="24"/>
          <w:szCs w:val="24"/>
        </w:rPr>
        <w:t xml:space="preserve">positive values approaching 1 </w:t>
      </w:r>
      <w:r w:rsidR="006B77B2">
        <w:rPr>
          <w:rFonts w:ascii="Garamond" w:eastAsia="Garamond" w:hAnsi="Garamond" w:cs="Garamond"/>
          <w:sz w:val="24"/>
          <w:szCs w:val="24"/>
        </w:rPr>
        <w:t xml:space="preserve">represent pro-rich inequality and negative values </w:t>
      </w:r>
      <w:r w:rsidR="00FA1737">
        <w:rPr>
          <w:rFonts w:ascii="Garamond" w:eastAsia="Garamond" w:hAnsi="Garamond" w:cs="Garamond"/>
          <w:sz w:val="24"/>
          <w:szCs w:val="24"/>
        </w:rPr>
        <w:t xml:space="preserve">approaching </w:t>
      </w:r>
      <w:r w:rsidR="006B77B2">
        <w:rPr>
          <w:rFonts w:ascii="Garamond" w:eastAsia="Garamond" w:hAnsi="Garamond" w:cs="Garamond"/>
          <w:sz w:val="24"/>
          <w:szCs w:val="24"/>
        </w:rPr>
        <w:t xml:space="preserve">-1 represent pro-poor inequality.  </w:t>
      </w:r>
      <w:r w:rsidR="00E20B5C">
        <w:rPr>
          <w:rFonts w:ascii="Garamond" w:eastAsia="Garamond" w:hAnsi="Garamond" w:cs="Garamond"/>
          <w:sz w:val="24"/>
          <w:szCs w:val="24"/>
        </w:rPr>
        <w:t>The Concentration Index is 0.0</w:t>
      </w:r>
      <w:r w:rsidR="007317E5">
        <w:rPr>
          <w:rFonts w:ascii="Garamond" w:eastAsia="Garamond" w:hAnsi="Garamond" w:cs="Garamond"/>
          <w:sz w:val="24"/>
          <w:szCs w:val="24"/>
        </w:rPr>
        <w:t>5</w:t>
      </w:r>
      <w:r w:rsidR="006F44D8">
        <w:rPr>
          <w:rFonts w:ascii="Garamond" w:eastAsia="Garamond" w:hAnsi="Garamond" w:cs="Garamond"/>
          <w:sz w:val="24"/>
          <w:szCs w:val="24"/>
        </w:rPr>
        <w:t>4</w:t>
      </w:r>
      <w:r w:rsidR="00E20B5C">
        <w:rPr>
          <w:rFonts w:ascii="Garamond" w:eastAsia="Garamond" w:hAnsi="Garamond" w:cs="Garamond"/>
          <w:sz w:val="24"/>
          <w:szCs w:val="24"/>
        </w:rPr>
        <w:t xml:space="preserve"> for the control and 0.0</w:t>
      </w:r>
      <w:r w:rsidR="007317E5">
        <w:rPr>
          <w:rFonts w:ascii="Garamond" w:eastAsia="Garamond" w:hAnsi="Garamond" w:cs="Garamond"/>
          <w:sz w:val="24"/>
          <w:szCs w:val="24"/>
        </w:rPr>
        <w:t>1</w:t>
      </w:r>
      <w:r w:rsidR="006F44D8">
        <w:rPr>
          <w:rFonts w:ascii="Garamond" w:eastAsia="Garamond" w:hAnsi="Garamond" w:cs="Garamond"/>
          <w:sz w:val="24"/>
          <w:szCs w:val="24"/>
        </w:rPr>
        <w:t>7</w:t>
      </w:r>
      <w:r w:rsidR="00E20B5C">
        <w:rPr>
          <w:rFonts w:ascii="Garamond" w:eastAsia="Garamond" w:hAnsi="Garamond" w:cs="Garamond"/>
          <w:sz w:val="24"/>
          <w:szCs w:val="24"/>
        </w:rPr>
        <w:t xml:space="preserve"> for the treated</w:t>
      </w:r>
      <w:r w:rsidR="00554368">
        <w:rPr>
          <w:rFonts w:ascii="Garamond" w:eastAsia="Garamond" w:hAnsi="Garamond" w:cs="Garamond"/>
          <w:sz w:val="24"/>
          <w:szCs w:val="24"/>
        </w:rPr>
        <w:t xml:space="preserve">, </w:t>
      </w:r>
      <w:r w:rsidR="00E20B5C">
        <w:rPr>
          <w:rFonts w:ascii="Garamond" w:eastAsia="Garamond" w:hAnsi="Garamond" w:cs="Garamond"/>
          <w:sz w:val="24"/>
          <w:szCs w:val="24"/>
        </w:rPr>
        <w:t>showing a 0.0</w:t>
      </w:r>
      <w:r w:rsidR="006F44D8">
        <w:rPr>
          <w:rFonts w:ascii="Garamond" w:eastAsia="Garamond" w:hAnsi="Garamond" w:cs="Garamond"/>
          <w:sz w:val="24"/>
          <w:szCs w:val="24"/>
        </w:rPr>
        <w:t>37</w:t>
      </w:r>
      <w:r w:rsidR="00E20B5C">
        <w:rPr>
          <w:rFonts w:ascii="Garamond" w:eastAsia="Garamond" w:hAnsi="Garamond" w:cs="Garamond"/>
          <w:sz w:val="24"/>
          <w:szCs w:val="24"/>
        </w:rPr>
        <w:t xml:space="preserve"> decrease in inequality related to income</w:t>
      </w:r>
      <w:r w:rsidR="007317E5">
        <w:rPr>
          <w:rFonts w:ascii="Garamond" w:eastAsia="Garamond" w:hAnsi="Garamond" w:cs="Garamond"/>
          <w:sz w:val="24"/>
          <w:szCs w:val="24"/>
        </w:rPr>
        <w:t xml:space="preserve"> rank</w:t>
      </w:r>
      <w:r w:rsidR="00554368">
        <w:rPr>
          <w:rFonts w:ascii="Garamond" w:eastAsia="Garamond" w:hAnsi="Garamond" w:cs="Garamond"/>
          <w:sz w:val="24"/>
          <w:szCs w:val="24"/>
        </w:rPr>
        <w:t xml:space="preserve">. The </w:t>
      </w:r>
      <w:r w:rsidR="00E20B5C">
        <w:rPr>
          <w:rFonts w:ascii="Garamond" w:eastAsia="Garamond" w:hAnsi="Garamond" w:cs="Garamond"/>
          <w:sz w:val="24"/>
          <w:szCs w:val="24"/>
        </w:rPr>
        <w:t xml:space="preserve">Gini Index is </w:t>
      </w:r>
      <w:r>
        <w:rPr>
          <w:rFonts w:ascii="Garamond" w:eastAsia="Garamond" w:hAnsi="Garamond" w:cs="Garamond"/>
          <w:sz w:val="24"/>
          <w:szCs w:val="24"/>
        </w:rPr>
        <w:t>0.0</w:t>
      </w:r>
      <w:r w:rsidR="006F44D8">
        <w:rPr>
          <w:rFonts w:ascii="Garamond" w:eastAsia="Garamond" w:hAnsi="Garamond" w:cs="Garamond"/>
          <w:sz w:val="24"/>
          <w:szCs w:val="24"/>
        </w:rPr>
        <w:t>90</w:t>
      </w:r>
      <w:r>
        <w:rPr>
          <w:rFonts w:ascii="Garamond" w:eastAsia="Garamond" w:hAnsi="Garamond" w:cs="Garamond"/>
          <w:sz w:val="24"/>
          <w:szCs w:val="24"/>
        </w:rPr>
        <w:t xml:space="preserve"> for the control and 0.0</w:t>
      </w:r>
      <w:r w:rsidR="006F44D8">
        <w:rPr>
          <w:rFonts w:ascii="Garamond" w:eastAsia="Garamond" w:hAnsi="Garamond" w:cs="Garamond"/>
          <w:sz w:val="24"/>
          <w:szCs w:val="24"/>
        </w:rPr>
        <w:t>95</w:t>
      </w:r>
      <w:r>
        <w:rPr>
          <w:rFonts w:ascii="Garamond" w:eastAsia="Garamond" w:hAnsi="Garamond" w:cs="Garamond"/>
          <w:sz w:val="24"/>
          <w:szCs w:val="24"/>
        </w:rPr>
        <w:t xml:space="preserve"> for the treated</w:t>
      </w:r>
      <w:r w:rsidR="00554368">
        <w:rPr>
          <w:rFonts w:ascii="Garamond" w:eastAsia="Garamond" w:hAnsi="Garamond" w:cs="Garamond"/>
          <w:sz w:val="24"/>
          <w:szCs w:val="24"/>
        </w:rPr>
        <w:t>,</w:t>
      </w:r>
      <w:r>
        <w:rPr>
          <w:rFonts w:ascii="Garamond" w:eastAsia="Garamond" w:hAnsi="Garamond" w:cs="Garamond"/>
          <w:sz w:val="24"/>
          <w:szCs w:val="24"/>
        </w:rPr>
        <w:t xml:space="preserve"> showing a 0.0</w:t>
      </w:r>
      <w:r w:rsidR="006F44D8">
        <w:rPr>
          <w:rFonts w:ascii="Garamond" w:eastAsia="Garamond" w:hAnsi="Garamond" w:cs="Garamond"/>
          <w:sz w:val="24"/>
          <w:szCs w:val="24"/>
        </w:rPr>
        <w:t>05</w:t>
      </w:r>
      <w:r>
        <w:rPr>
          <w:rFonts w:ascii="Garamond" w:eastAsia="Garamond" w:hAnsi="Garamond" w:cs="Garamond"/>
          <w:sz w:val="24"/>
          <w:szCs w:val="24"/>
        </w:rPr>
        <w:t xml:space="preserve"> increase in</w:t>
      </w:r>
      <w:r w:rsidR="00E20B5C">
        <w:rPr>
          <w:rFonts w:ascii="Garamond" w:eastAsia="Garamond" w:hAnsi="Garamond" w:cs="Garamond"/>
          <w:sz w:val="24"/>
          <w:szCs w:val="24"/>
        </w:rPr>
        <w:t xml:space="preserve"> </w:t>
      </w:r>
      <w:r w:rsidR="00A5591A">
        <w:rPr>
          <w:rFonts w:ascii="Garamond" w:eastAsia="Garamond" w:hAnsi="Garamond" w:cs="Garamond"/>
          <w:sz w:val="24"/>
          <w:szCs w:val="24"/>
        </w:rPr>
        <w:t>‘</w:t>
      </w:r>
      <w:r w:rsidR="00E20B5C">
        <w:rPr>
          <w:rFonts w:ascii="Garamond" w:eastAsia="Garamond" w:hAnsi="Garamond" w:cs="Garamond"/>
          <w:sz w:val="24"/>
          <w:szCs w:val="24"/>
        </w:rPr>
        <w:t>pure</w:t>
      </w:r>
      <w:r w:rsidR="00A5591A">
        <w:rPr>
          <w:rFonts w:ascii="Garamond" w:eastAsia="Garamond" w:hAnsi="Garamond" w:cs="Garamond"/>
          <w:sz w:val="24"/>
          <w:szCs w:val="24"/>
        </w:rPr>
        <w:t>’</w:t>
      </w:r>
      <w:r w:rsidR="00E20B5C">
        <w:rPr>
          <w:rFonts w:ascii="Garamond" w:eastAsia="Garamond" w:hAnsi="Garamond" w:cs="Garamond"/>
          <w:sz w:val="24"/>
          <w:szCs w:val="24"/>
        </w:rPr>
        <w:t xml:space="preserve"> </w:t>
      </w:r>
      <w:r>
        <w:rPr>
          <w:rFonts w:ascii="Garamond" w:eastAsia="Garamond" w:hAnsi="Garamond" w:cs="Garamond"/>
          <w:sz w:val="24"/>
          <w:szCs w:val="24"/>
        </w:rPr>
        <w:t>inequality</w:t>
      </w:r>
      <w:r w:rsidR="00E20B5C">
        <w:rPr>
          <w:rFonts w:ascii="Garamond" w:eastAsia="Garamond" w:hAnsi="Garamond" w:cs="Garamond"/>
          <w:sz w:val="24"/>
          <w:szCs w:val="24"/>
        </w:rPr>
        <w:t xml:space="preserve"> in birthweight</w:t>
      </w:r>
      <w:r>
        <w:rPr>
          <w:rFonts w:ascii="Garamond" w:eastAsia="Garamond" w:hAnsi="Garamond" w:cs="Garamond"/>
          <w:sz w:val="24"/>
          <w:szCs w:val="24"/>
        </w:rPr>
        <w:t xml:space="preserve">. This provides confirmation that </w:t>
      </w:r>
      <w:r w:rsidR="00E20B5C">
        <w:rPr>
          <w:rFonts w:ascii="Garamond" w:eastAsia="Garamond" w:hAnsi="Garamond" w:cs="Garamond"/>
          <w:sz w:val="24"/>
          <w:szCs w:val="24"/>
        </w:rPr>
        <w:t xml:space="preserve">inequality in birthweight related to </w:t>
      </w:r>
      <w:r>
        <w:rPr>
          <w:rFonts w:ascii="Garamond" w:eastAsia="Garamond" w:hAnsi="Garamond" w:cs="Garamond"/>
          <w:sz w:val="24"/>
          <w:szCs w:val="24"/>
        </w:rPr>
        <w:t xml:space="preserve">income has reduced while </w:t>
      </w:r>
      <w:r w:rsidR="00E20B5C">
        <w:rPr>
          <w:rFonts w:ascii="Garamond" w:eastAsia="Garamond" w:hAnsi="Garamond" w:cs="Garamond"/>
          <w:sz w:val="24"/>
          <w:szCs w:val="24"/>
        </w:rPr>
        <w:t xml:space="preserve">pure </w:t>
      </w:r>
      <w:r>
        <w:rPr>
          <w:rFonts w:ascii="Garamond" w:eastAsia="Garamond" w:hAnsi="Garamond" w:cs="Garamond"/>
          <w:sz w:val="24"/>
          <w:szCs w:val="24"/>
        </w:rPr>
        <w:t xml:space="preserve">inequality </w:t>
      </w:r>
      <w:r w:rsidR="00E20B5C">
        <w:rPr>
          <w:rFonts w:ascii="Garamond" w:eastAsia="Garamond" w:hAnsi="Garamond" w:cs="Garamond"/>
          <w:sz w:val="24"/>
          <w:szCs w:val="24"/>
        </w:rPr>
        <w:t xml:space="preserve">in birthweight </w:t>
      </w:r>
      <w:r>
        <w:rPr>
          <w:rFonts w:ascii="Garamond" w:eastAsia="Garamond" w:hAnsi="Garamond" w:cs="Garamond"/>
          <w:sz w:val="24"/>
          <w:szCs w:val="24"/>
        </w:rPr>
        <w:t>has increased.</w:t>
      </w:r>
    </w:p>
    <w:p w14:paraId="60248FE0" w14:textId="77777777" w:rsidR="007317E5" w:rsidRDefault="007317E5" w:rsidP="008A4844">
      <w:pPr>
        <w:spacing w:line="480" w:lineRule="auto"/>
        <w:rPr>
          <w:rFonts w:ascii="Garamond" w:eastAsia="Garamond" w:hAnsi="Garamond" w:cs="Garamond"/>
          <w:sz w:val="24"/>
          <w:szCs w:val="24"/>
        </w:rPr>
      </w:pPr>
    </w:p>
    <w:p w14:paraId="27BB1A8B" w14:textId="4A3892E4" w:rsidR="00BE1B83" w:rsidRDefault="00BE1B83" w:rsidP="008A4844">
      <w:pPr>
        <w:spacing w:line="480" w:lineRule="auto"/>
        <w:rPr>
          <w:rFonts w:ascii="Garamond" w:eastAsia="Garamond" w:hAnsi="Garamond" w:cs="Garamond"/>
          <w:sz w:val="24"/>
          <w:szCs w:val="24"/>
        </w:rPr>
      </w:pPr>
    </w:p>
    <w:p w14:paraId="4FF606DC" w14:textId="7FBB7DC3" w:rsidR="00BE1B83" w:rsidRDefault="002215EF" w:rsidP="008A4844">
      <w:pPr>
        <w:spacing w:line="480" w:lineRule="auto"/>
        <w:rPr>
          <w:rFonts w:ascii="Garamond" w:eastAsia="Garamond" w:hAnsi="Garamond" w:cs="Garamond"/>
          <w:b/>
          <w:sz w:val="24"/>
          <w:szCs w:val="24"/>
        </w:rPr>
      </w:pPr>
      <w:r>
        <w:rPr>
          <w:rFonts w:ascii="Garamond" w:eastAsia="Garamond" w:hAnsi="Garamond" w:cs="Garamond"/>
          <w:b/>
          <w:sz w:val="24"/>
          <w:szCs w:val="24"/>
        </w:rPr>
        <w:lastRenderedPageBreak/>
        <w:t xml:space="preserve">2.5 </w:t>
      </w:r>
      <w:r w:rsidR="00633980">
        <w:rPr>
          <w:rFonts w:ascii="Garamond" w:eastAsia="Garamond" w:hAnsi="Garamond" w:cs="Garamond"/>
          <w:b/>
          <w:sz w:val="24"/>
          <w:szCs w:val="24"/>
        </w:rPr>
        <w:t>Discussion</w:t>
      </w:r>
    </w:p>
    <w:p w14:paraId="2C7200E3" w14:textId="564C45FF" w:rsidR="00BE1B83" w:rsidRDefault="00633980" w:rsidP="008A4844">
      <w:pPr>
        <w:spacing w:line="480" w:lineRule="auto"/>
        <w:rPr>
          <w:rFonts w:ascii="Garamond" w:eastAsia="Garamond" w:hAnsi="Garamond" w:cs="Garamond"/>
          <w:sz w:val="24"/>
          <w:szCs w:val="24"/>
        </w:rPr>
      </w:pPr>
      <w:r>
        <w:rPr>
          <w:rFonts w:ascii="Garamond" w:eastAsia="Garamond" w:hAnsi="Garamond" w:cs="Garamond"/>
          <w:sz w:val="24"/>
          <w:szCs w:val="24"/>
        </w:rPr>
        <w:t xml:space="preserve">In practice, the biggest challenge when conducting equity-informative effectiveness analysis is data availability and sample size.  Most RCTs are only designed and powered to estimate average treatment effects, and do not report information on equity-relevant covariates </w:t>
      </w:r>
      <w:hyperlink r:id="rId21">
        <w:r>
          <w:rPr>
            <w:rFonts w:ascii="Garamond" w:eastAsia="Garamond" w:hAnsi="Garamond" w:cs="Garamond"/>
            <w:color w:val="000000"/>
            <w:sz w:val="24"/>
            <w:szCs w:val="24"/>
          </w:rPr>
          <w:t>(Welch et al., 2017)</w:t>
        </w:r>
      </w:hyperlink>
      <w:r>
        <w:rPr>
          <w:rFonts w:ascii="Garamond" w:eastAsia="Garamond" w:hAnsi="Garamond" w:cs="Garamond"/>
          <w:sz w:val="24"/>
          <w:szCs w:val="24"/>
        </w:rPr>
        <w:t xml:space="preserve">. There is a danger of spurious findings if one goes on a post-hoc </w:t>
      </w:r>
      <w:r w:rsidR="00A5591A">
        <w:rPr>
          <w:rFonts w:ascii="Garamond" w:eastAsia="Garamond" w:hAnsi="Garamond" w:cs="Garamond"/>
          <w:sz w:val="24"/>
          <w:szCs w:val="24"/>
        </w:rPr>
        <w:t>‘</w:t>
      </w:r>
      <w:r>
        <w:rPr>
          <w:rFonts w:ascii="Garamond" w:eastAsia="Garamond" w:hAnsi="Garamond" w:cs="Garamond"/>
          <w:sz w:val="24"/>
          <w:szCs w:val="24"/>
        </w:rPr>
        <w:t>fishing expedition</w:t>
      </w:r>
      <w:r w:rsidR="00A5591A">
        <w:rPr>
          <w:rFonts w:ascii="Garamond" w:eastAsia="Garamond" w:hAnsi="Garamond" w:cs="Garamond"/>
          <w:sz w:val="24"/>
          <w:szCs w:val="24"/>
        </w:rPr>
        <w:t>’</w:t>
      </w:r>
      <w:r>
        <w:rPr>
          <w:rFonts w:ascii="Garamond" w:eastAsia="Garamond" w:hAnsi="Garamond" w:cs="Garamond"/>
          <w:sz w:val="24"/>
          <w:szCs w:val="24"/>
        </w:rPr>
        <w:t xml:space="preserve"> for equity effects</w:t>
      </w:r>
      <w:r w:rsidR="00547414">
        <w:rPr>
          <w:rFonts w:ascii="Garamond" w:eastAsia="Garamond" w:hAnsi="Garamond" w:cs="Garamond"/>
          <w:sz w:val="24"/>
          <w:szCs w:val="24"/>
        </w:rPr>
        <w:t xml:space="preserve"> </w:t>
      </w:r>
      <w:r w:rsidR="00FC5F16">
        <w:rPr>
          <w:rFonts w:ascii="Garamond" w:eastAsia="Garamond" w:hAnsi="Garamond" w:cs="Garamond"/>
          <w:sz w:val="24"/>
          <w:szCs w:val="24"/>
        </w:rPr>
        <w:t xml:space="preserve">(e.g. </w:t>
      </w:r>
      <w:r w:rsidR="00547414">
        <w:rPr>
          <w:rFonts w:ascii="Garamond" w:eastAsia="Garamond" w:hAnsi="Garamond" w:cs="Garamond"/>
          <w:sz w:val="24"/>
          <w:szCs w:val="24"/>
        </w:rPr>
        <w:t>false negatives due to inadequate power</w:t>
      </w:r>
      <w:r w:rsidR="00FC5F16">
        <w:rPr>
          <w:rFonts w:ascii="Garamond" w:eastAsia="Garamond" w:hAnsi="Garamond" w:cs="Garamond"/>
          <w:sz w:val="24"/>
          <w:szCs w:val="24"/>
        </w:rPr>
        <w:t xml:space="preserve">, </w:t>
      </w:r>
      <w:r w:rsidR="00517D6E">
        <w:rPr>
          <w:rFonts w:ascii="Garamond" w:eastAsia="Garamond" w:hAnsi="Garamond" w:cs="Garamond"/>
          <w:sz w:val="24"/>
          <w:szCs w:val="24"/>
        </w:rPr>
        <w:t xml:space="preserve">or </w:t>
      </w:r>
      <w:r w:rsidR="00547414">
        <w:rPr>
          <w:rFonts w:ascii="Garamond" w:eastAsia="Garamond" w:hAnsi="Garamond" w:cs="Garamond"/>
          <w:sz w:val="24"/>
          <w:szCs w:val="24"/>
        </w:rPr>
        <w:t>false positives due to multiple comparisons</w:t>
      </w:r>
      <w:r w:rsidR="00FC5F16">
        <w:rPr>
          <w:rFonts w:ascii="Garamond" w:eastAsia="Garamond" w:hAnsi="Garamond" w:cs="Garamond"/>
          <w:sz w:val="24"/>
          <w:szCs w:val="24"/>
        </w:rPr>
        <w:t>)</w:t>
      </w:r>
      <w:r w:rsidR="00547414">
        <w:rPr>
          <w:rFonts w:ascii="Garamond" w:eastAsia="Garamond" w:hAnsi="Garamond" w:cs="Garamond"/>
          <w:sz w:val="24"/>
          <w:szCs w:val="24"/>
        </w:rPr>
        <w:t xml:space="preserve"> </w:t>
      </w:r>
      <w:r>
        <w:rPr>
          <w:rFonts w:ascii="Garamond" w:eastAsia="Garamond" w:hAnsi="Garamond" w:cs="Garamond"/>
          <w:sz w:val="24"/>
          <w:szCs w:val="24"/>
        </w:rPr>
        <w:t>as there are numerous ways of splitting the data in search of apparently significant CATE</w:t>
      </w:r>
      <w:r w:rsidR="00547414">
        <w:rPr>
          <w:rFonts w:ascii="Garamond" w:eastAsia="Garamond" w:hAnsi="Garamond" w:cs="Garamond"/>
          <w:sz w:val="24"/>
          <w:szCs w:val="24"/>
        </w:rPr>
        <w:t>s</w:t>
      </w:r>
      <w:r>
        <w:rPr>
          <w:rFonts w:ascii="Garamond" w:eastAsia="Garamond" w:hAnsi="Garamond" w:cs="Garamond"/>
          <w:sz w:val="24"/>
          <w:szCs w:val="24"/>
        </w:rPr>
        <w:t>, QTE</w:t>
      </w:r>
      <w:r w:rsidR="00547414">
        <w:rPr>
          <w:rFonts w:ascii="Garamond" w:eastAsia="Garamond" w:hAnsi="Garamond" w:cs="Garamond"/>
          <w:sz w:val="24"/>
          <w:szCs w:val="24"/>
        </w:rPr>
        <w:t>s</w:t>
      </w:r>
      <w:r>
        <w:rPr>
          <w:rFonts w:ascii="Garamond" w:eastAsia="Garamond" w:hAnsi="Garamond" w:cs="Garamond"/>
          <w:sz w:val="24"/>
          <w:szCs w:val="24"/>
        </w:rPr>
        <w:t xml:space="preserve"> or ITEs </w:t>
      </w:r>
      <w:hyperlink r:id="rId22">
        <w:r>
          <w:rPr>
            <w:rFonts w:ascii="Garamond" w:eastAsia="Garamond" w:hAnsi="Garamond" w:cs="Garamond"/>
            <w:color w:val="000000"/>
            <w:sz w:val="24"/>
            <w:szCs w:val="24"/>
          </w:rPr>
          <w:t>(Inglis et al., 2018</w:t>
        </w:r>
        <w:r w:rsidR="00547414">
          <w:rPr>
            <w:rFonts w:ascii="Garamond" w:eastAsia="Garamond" w:hAnsi="Garamond" w:cs="Garamond"/>
            <w:color w:val="000000"/>
            <w:sz w:val="24"/>
            <w:szCs w:val="24"/>
          </w:rPr>
          <w:t>, Burke et al. 2015</w:t>
        </w:r>
        <w:r>
          <w:rPr>
            <w:rFonts w:ascii="Garamond" w:eastAsia="Garamond" w:hAnsi="Garamond" w:cs="Garamond"/>
            <w:color w:val="000000"/>
            <w:sz w:val="24"/>
            <w:szCs w:val="24"/>
          </w:rPr>
          <w:t>)</w:t>
        </w:r>
      </w:hyperlink>
      <w:r>
        <w:rPr>
          <w:rFonts w:ascii="Garamond" w:eastAsia="Garamond" w:hAnsi="Garamond" w:cs="Garamond"/>
          <w:sz w:val="24"/>
          <w:szCs w:val="24"/>
        </w:rPr>
        <w:t xml:space="preserve">. However, some RCTs do have large enough samples for equity analysis, as do many quasi-experimental studies based on population data, and sample size can be increased by individual-level pooling of data from </w:t>
      </w:r>
      <w:r w:rsidR="002215EF">
        <w:rPr>
          <w:rFonts w:ascii="Garamond" w:eastAsia="Garamond" w:hAnsi="Garamond" w:cs="Garamond"/>
          <w:sz w:val="24"/>
          <w:szCs w:val="24"/>
        </w:rPr>
        <w:t xml:space="preserve">many </w:t>
      </w:r>
      <w:r>
        <w:rPr>
          <w:rFonts w:ascii="Garamond" w:eastAsia="Garamond" w:hAnsi="Garamond" w:cs="Garamond"/>
          <w:sz w:val="24"/>
          <w:szCs w:val="24"/>
        </w:rPr>
        <w:t>studies.</w:t>
      </w:r>
    </w:p>
    <w:p w14:paraId="7CC68856" w14:textId="77777777" w:rsidR="00BE1B83" w:rsidRDefault="00633980" w:rsidP="008A4844">
      <w:pPr>
        <w:pStyle w:val="Heading1"/>
        <w:spacing w:line="480" w:lineRule="auto"/>
        <w:rPr>
          <w:rFonts w:ascii="Garamond" w:eastAsia="Garamond" w:hAnsi="Garamond" w:cs="Garamond"/>
          <w:b/>
          <w:color w:val="000000"/>
          <w:sz w:val="28"/>
          <w:szCs w:val="28"/>
        </w:rPr>
      </w:pPr>
      <w:bookmarkStart w:id="5" w:name="_ma8s0f9ne3af" w:colFirst="0" w:colLast="0"/>
      <w:bookmarkEnd w:id="5"/>
      <w:r>
        <w:br w:type="page"/>
      </w:r>
    </w:p>
    <w:p w14:paraId="67694573" w14:textId="6E820FEB" w:rsidR="00BE1B83" w:rsidRPr="000141B6" w:rsidRDefault="00633980" w:rsidP="000141B6">
      <w:pPr>
        <w:pStyle w:val="Heading1"/>
        <w:numPr>
          <w:ilvl w:val="0"/>
          <w:numId w:val="8"/>
        </w:numPr>
        <w:spacing w:line="480" w:lineRule="auto"/>
        <w:rPr>
          <w:b/>
        </w:rPr>
      </w:pPr>
      <w:bookmarkStart w:id="6" w:name="_clhcsw80fwmy" w:colFirst="0" w:colLast="0"/>
      <w:bookmarkEnd w:id="6"/>
      <w:r w:rsidRPr="002215EF">
        <w:rPr>
          <w:rFonts w:ascii="Garamond" w:eastAsia="Garamond" w:hAnsi="Garamond" w:cs="Garamond"/>
          <w:b/>
          <w:color w:val="000000"/>
          <w:sz w:val="28"/>
          <w:szCs w:val="28"/>
        </w:rPr>
        <w:lastRenderedPageBreak/>
        <w:t>Equity-informative cost effectiveness analysis</w:t>
      </w:r>
      <w:r w:rsidRPr="000141B6">
        <w:rPr>
          <w:b/>
        </w:rPr>
        <w:t xml:space="preserve"> </w:t>
      </w:r>
    </w:p>
    <w:p w14:paraId="4C9A3082" w14:textId="77777777" w:rsidR="00BE1B83" w:rsidRDefault="00633980" w:rsidP="008A4844">
      <w:pPr>
        <w:pBdr>
          <w:top w:val="nil"/>
          <w:left w:val="nil"/>
          <w:bottom w:val="nil"/>
          <w:right w:val="nil"/>
          <w:between w:val="nil"/>
        </w:pBdr>
        <w:spacing w:before="240" w:after="0" w:line="480" w:lineRule="auto"/>
        <w:jc w:val="both"/>
        <w:rPr>
          <w:rFonts w:ascii="Garamond" w:eastAsia="Garamond" w:hAnsi="Garamond" w:cs="Garamond"/>
          <w:sz w:val="24"/>
          <w:szCs w:val="24"/>
        </w:rPr>
      </w:pPr>
      <w:r>
        <w:rPr>
          <w:rFonts w:ascii="Garamond" w:eastAsia="Garamond" w:hAnsi="Garamond" w:cs="Garamond"/>
          <w:sz w:val="24"/>
          <w:szCs w:val="24"/>
        </w:rPr>
        <w:t>Equity-informative effectiveness studies often fail to address wider equity issues of interest to decision makers, such as:</w:t>
      </w:r>
    </w:p>
    <w:p w14:paraId="5243BC00" w14:textId="77777777" w:rsidR="00BE1B83" w:rsidRDefault="00633980" w:rsidP="008A4844">
      <w:pPr>
        <w:numPr>
          <w:ilvl w:val="0"/>
          <w:numId w:val="6"/>
        </w:numPr>
        <w:spacing w:after="0" w:line="480" w:lineRule="auto"/>
        <w:jc w:val="both"/>
        <w:rPr>
          <w:rFonts w:ascii="Garamond" w:eastAsia="Garamond" w:hAnsi="Garamond" w:cs="Garamond"/>
          <w:color w:val="000000"/>
          <w:sz w:val="24"/>
          <w:szCs w:val="24"/>
        </w:rPr>
      </w:pPr>
      <w:r>
        <w:rPr>
          <w:rFonts w:ascii="Garamond" w:eastAsia="Garamond" w:hAnsi="Garamond" w:cs="Garamond"/>
          <w:sz w:val="24"/>
          <w:szCs w:val="24"/>
        </w:rPr>
        <w:t>who bears the health opportunity costs of diverting scarce resources,</w:t>
      </w:r>
    </w:p>
    <w:p w14:paraId="0B901E80" w14:textId="77777777" w:rsidR="00BE1B83" w:rsidRDefault="00633980" w:rsidP="008A4844">
      <w:pPr>
        <w:numPr>
          <w:ilvl w:val="0"/>
          <w:numId w:val="6"/>
        </w:numPr>
        <w:spacing w:after="0" w:line="480" w:lineRule="auto"/>
        <w:jc w:val="both"/>
        <w:rPr>
          <w:rFonts w:ascii="Garamond" w:eastAsia="Garamond" w:hAnsi="Garamond" w:cs="Garamond"/>
          <w:color w:val="000000"/>
          <w:sz w:val="24"/>
          <w:szCs w:val="24"/>
        </w:rPr>
      </w:pPr>
      <w:r>
        <w:rPr>
          <w:rFonts w:ascii="Garamond" w:eastAsia="Garamond" w:hAnsi="Garamond" w:cs="Garamond"/>
          <w:sz w:val="24"/>
          <w:szCs w:val="24"/>
        </w:rPr>
        <w:t>impacts on health inequality within the general population, beyond the study population</w:t>
      </w:r>
    </w:p>
    <w:p w14:paraId="32EEC774" w14:textId="77777777" w:rsidR="00BE1B83" w:rsidRDefault="00633980" w:rsidP="008A4844">
      <w:pPr>
        <w:numPr>
          <w:ilvl w:val="0"/>
          <w:numId w:val="6"/>
        </w:numPr>
        <w:spacing w:after="0" w:line="480" w:lineRule="auto"/>
        <w:jc w:val="both"/>
        <w:rPr>
          <w:rFonts w:ascii="Garamond" w:eastAsia="Garamond" w:hAnsi="Garamond" w:cs="Garamond"/>
          <w:color w:val="000000"/>
          <w:sz w:val="24"/>
          <w:szCs w:val="24"/>
        </w:rPr>
      </w:pPr>
      <w:r>
        <w:rPr>
          <w:rFonts w:ascii="Garamond" w:eastAsia="Garamond" w:hAnsi="Garamond" w:cs="Garamond"/>
          <w:sz w:val="24"/>
          <w:szCs w:val="24"/>
        </w:rPr>
        <w:t>long-term health inequality impacts, beyond the study follow-up period</w:t>
      </w:r>
    </w:p>
    <w:p w14:paraId="0D667467" w14:textId="77777777" w:rsidR="00BE1B83" w:rsidRDefault="00633980" w:rsidP="008A4844">
      <w:pPr>
        <w:numPr>
          <w:ilvl w:val="0"/>
          <w:numId w:val="6"/>
        </w:numPr>
        <w:spacing w:after="0" w:line="480" w:lineRule="auto"/>
        <w:jc w:val="both"/>
        <w:rPr>
          <w:rFonts w:ascii="Garamond" w:eastAsia="Garamond" w:hAnsi="Garamond" w:cs="Garamond"/>
          <w:color w:val="000000"/>
          <w:sz w:val="24"/>
          <w:szCs w:val="24"/>
        </w:rPr>
      </w:pPr>
      <w:r>
        <w:rPr>
          <w:rFonts w:ascii="Garamond" w:eastAsia="Garamond" w:hAnsi="Garamond" w:cs="Garamond"/>
          <w:sz w:val="24"/>
          <w:szCs w:val="24"/>
        </w:rPr>
        <w:t>the size of health inequality impact compared with other programmes in other areas, and</w:t>
      </w:r>
    </w:p>
    <w:p w14:paraId="2E8C3CEE" w14:textId="77777777" w:rsidR="00BE1B83" w:rsidRDefault="00633980" w:rsidP="008A4844">
      <w:pPr>
        <w:numPr>
          <w:ilvl w:val="0"/>
          <w:numId w:val="6"/>
        </w:numPr>
        <w:spacing w:after="0" w:line="480" w:lineRule="auto"/>
        <w:jc w:val="both"/>
        <w:rPr>
          <w:rFonts w:ascii="Garamond" w:eastAsia="Garamond" w:hAnsi="Garamond" w:cs="Garamond"/>
          <w:color w:val="000000"/>
          <w:sz w:val="24"/>
          <w:szCs w:val="24"/>
        </w:rPr>
      </w:pPr>
      <w:r>
        <w:rPr>
          <w:rFonts w:ascii="Garamond" w:eastAsia="Garamond" w:hAnsi="Garamond" w:cs="Garamond"/>
          <w:sz w:val="24"/>
          <w:szCs w:val="24"/>
        </w:rPr>
        <w:t>trade-offs between equity and efficiency objectives.</w:t>
      </w:r>
    </w:p>
    <w:p w14:paraId="550A4210" w14:textId="77777777" w:rsidR="00BE1B83" w:rsidRDefault="00BE1B83" w:rsidP="008A4844">
      <w:pPr>
        <w:spacing w:after="0" w:line="480" w:lineRule="auto"/>
        <w:jc w:val="both"/>
        <w:rPr>
          <w:rFonts w:ascii="Garamond" w:eastAsia="Garamond" w:hAnsi="Garamond" w:cs="Garamond"/>
          <w:sz w:val="24"/>
          <w:szCs w:val="24"/>
        </w:rPr>
      </w:pPr>
    </w:p>
    <w:p w14:paraId="05954438" w14:textId="31794E17" w:rsidR="00BE1B83" w:rsidRDefault="00633980" w:rsidP="008A4844">
      <w:pPr>
        <w:spacing w:after="0" w:line="480" w:lineRule="auto"/>
        <w:jc w:val="both"/>
        <w:rPr>
          <w:rFonts w:ascii="Garamond" w:eastAsia="Garamond" w:hAnsi="Garamond" w:cs="Garamond"/>
          <w:sz w:val="24"/>
          <w:szCs w:val="24"/>
        </w:rPr>
      </w:pPr>
      <w:r>
        <w:rPr>
          <w:rFonts w:ascii="Garamond" w:eastAsia="Garamond" w:hAnsi="Garamond" w:cs="Garamond"/>
          <w:sz w:val="24"/>
          <w:szCs w:val="24"/>
        </w:rPr>
        <w:t xml:space="preserve">These issues can be addressed by equity-informative or </w:t>
      </w:r>
      <w:r w:rsidR="00A5591A">
        <w:rPr>
          <w:rFonts w:ascii="Garamond" w:eastAsia="Garamond" w:hAnsi="Garamond" w:cs="Garamond"/>
          <w:sz w:val="24"/>
          <w:szCs w:val="24"/>
        </w:rPr>
        <w:t>‘</w:t>
      </w:r>
      <w:r>
        <w:rPr>
          <w:rFonts w:ascii="Garamond" w:eastAsia="Garamond" w:hAnsi="Garamond" w:cs="Garamond"/>
          <w:sz w:val="24"/>
          <w:szCs w:val="24"/>
        </w:rPr>
        <w:t>distributional</w:t>
      </w:r>
      <w:r w:rsidR="00A5591A">
        <w:rPr>
          <w:rFonts w:ascii="Garamond" w:eastAsia="Garamond" w:hAnsi="Garamond" w:cs="Garamond"/>
          <w:sz w:val="24"/>
          <w:szCs w:val="24"/>
        </w:rPr>
        <w:t>’ c</w:t>
      </w:r>
      <w:r>
        <w:rPr>
          <w:rFonts w:ascii="Garamond" w:eastAsia="Garamond" w:hAnsi="Garamond" w:cs="Garamond"/>
          <w:sz w:val="24"/>
          <w:szCs w:val="24"/>
        </w:rPr>
        <w:t xml:space="preserve">ost-effectiveness analysis, which goes beyond standard cost-effectiveness analysis by using additional evidence and modelling to analyse equity impacts and trade-offs. Depending on the question in hand, the underpinning modelling can range from simple decision trees through to </w:t>
      </w:r>
      <w:r w:rsidR="00C92251">
        <w:rPr>
          <w:rFonts w:ascii="Garamond" w:eastAsia="Garamond" w:hAnsi="Garamond" w:cs="Garamond"/>
          <w:sz w:val="24"/>
          <w:szCs w:val="24"/>
        </w:rPr>
        <w:t xml:space="preserve">complex </w:t>
      </w:r>
      <w:r>
        <w:rPr>
          <w:rFonts w:ascii="Garamond" w:eastAsia="Garamond" w:hAnsi="Garamond" w:cs="Garamond"/>
          <w:sz w:val="24"/>
          <w:szCs w:val="24"/>
        </w:rPr>
        <w:t xml:space="preserve">microsimulation </w:t>
      </w:r>
      <w:hyperlink r:id="rId23">
        <w:r>
          <w:rPr>
            <w:rFonts w:ascii="Garamond" w:eastAsia="Garamond" w:hAnsi="Garamond" w:cs="Garamond"/>
            <w:color w:val="000000"/>
            <w:sz w:val="24"/>
            <w:szCs w:val="24"/>
          </w:rPr>
          <w:t>(</w:t>
        </w:r>
        <w:proofErr w:type="spellStart"/>
        <w:r>
          <w:rPr>
            <w:rFonts w:ascii="Garamond" w:eastAsia="Garamond" w:hAnsi="Garamond" w:cs="Garamond"/>
            <w:color w:val="000000"/>
            <w:sz w:val="24"/>
            <w:szCs w:val="24"/>
          </w:rPr>
          <w:t>Skarda</w:t>
        </w:r>
        <w:proofErr w:type="spellEnd"/>
        <w:r>
          <w:rPr>
            <w:rFonts w:ascii="Garamond" w:eastAsia="Garamond" w:hAnsi="Garamond" w:cs="Garamond"/>
            <w:color w:val="000000"/>
            <w:sz w:val="24"/>
            <w:szCs w:val="24"/>
          </w:rPr>
          <w:t xml:space="preserve">, I., Cookson, R., </w:t>
        </w:r>
        <w:proofErr w:type="spellStart"/>
        <w:r>
          <w:rPr>
            <w:rFonts w:ascii="Garamond" w:eastAsia="Garamond" w:hAnsi="Garamond" w:cs="Garamond"/>
            <w:color w:val="000000"/>
            <w:sz w:val="24"/>
            <w:szCs w:val="24"/>
          </w:rPr>
          <w:t>Asaria</w:t>
        </w:r>
        <w:proofErr w:type="spellEnd"/>
        <w:r>
          <w:rPr>
            <w:rFonts w:ascii="Garamond" w:eastAsia="Garamond" w:hAnsi="Garamond" w:cs="Garamond"/>
            <w:color w:val="000000"/>
            <w:sz w:val="24"/>
            <w:szCs w:val="24"/>
          </w:rPr>
          <w:t>, M, 2020)</w:t>
        </w:r>
      </w:hyperlink>
      <w:r>
        <w:rPr>
          <w:rFonts w:ascii="Garamond" w:eastAsia="Garamond" w:hAnsi="Garamond" w:cs="Garamond"/>
          <w:sz w:val="24"/>
          <w:szCs w:val="24"/>
        </w:rPr>
        <w:t>.</w:t>
      </w:r>
    </w:p>
    <w:p w14:paraId="4A66DB1B" w14:textId="77777777" w:rsidR="00BE1B83" w:rsidRDefault="00BE1B83" w:rsidP="008A4844">
      <w:pPr>
        <w:spacing w:after="0" w:line="480" w:lineRule="auto"/>
        <w:jc w:val="both"/>
        <w:rPr>
          <w:rFonts w:ascii="Garamond" w:eastAsia="Garamond" w:hAnsi="Garamond" w:cs="Garamond"/>
          <w:sz w:val="24"/>
          <w:szCs w:val="24"/>
        </w:rPr>
      </w:pPr>
    </w:p>
    <w:p w14:paraId="66F06E94" w14:textId="1C5B0492" w:rsidR="00BE1B83" w:rsidRDefault="00633980" w:rsidP="008A4844">
      <w:pPr>
        <w:spacing w:after="0" w:line="480" w:lineRule="auto"/>
        <w:jc w:val="both"/>
        <w:rPr>
          <w:rFonts w:ascii="Garamond" w:eastAsia="Garamond" w:hAnsi="Garamond" w:cs="Garamond"/>
          <w:sz w:val="24"/>
          <w:szCs w:val="24"/>
        </w:rPr>
      </w:pPr>
      <w:r>
        <w:rPr>
          <w:rFonts w:ascii="Garamond" w:eastAsia="Garamond" w:hAnsi="Garamond" w:cs="Garamond"/>
          <w:sz w:val="24"/>
          <w:szCs w:val="24"/>
        </w:rPr>
        <w:t xml:space="preserve">Distributional cost-effectiveness analysis (DCEA) is a broad umbrella term for studies that provide information about equity in the distribution of costs and effects as well as efficiency in terms of aggregate costs and effects </w:t>
      </w:r>
      <w:hyperlink r:id="rId24">
        <w:r>
          <w:rPr>
            <w:rFonts w:ascii="Garamond" w:eastAsia="Garamond" w:hAnsi="Garamond" w:cs="Garamond"/>
            <w:color w:val="000000"/>
            <w:sz w:val="24"/>
            <w:szCs w:val="24"/>
          </w:rPr>
          <w:t xml:space="preserve">(Cookson, R, Griffin, S, </w:t>
        </w:r>
        <w:proofErr w:type="spellStart"/>
        <w:r>
          <w:rPr>
            <w:rFonts w:ascii="Garamond" w:eastAsia="Garamond" w:hAnsi="Garamond" w:cs="Garamond"/>
            <w:color w:val="000000"/>
            <w:sz w:val="24"/>
            <w:szCs w:val="24"/>
          </w:rPr>
          <w:t>Norheim</w:t>
        </w:r>
        <w:proofErr w:type="spellEnd"/>
        <w:r>
          <w:rPr>
            <w:rFonts w:ascii="Garamond" w:eastAsia="Garamond" w:hAnsi="Garamond" w:cs="Garamond"/>
            <w:color w:val="000000"/>
            <w:sz w:val="24"/>
            <w:szCs w:val="24"/>
          </w:rPr>
          <w:t xml:space="preserve">, OF. and </w:t>
        </w:r>
        <w:proofErr w:type="spellStart"/>
        <w:r>
          <w:rPr>
            <w:rFonts w:ascii="Garamond" w:eastAsia="Garamond" w:hAnsi="Garamond" w:cs="Garamond"/>
            <w:color w:val="000000"/>
            <w:sz w:val="24"/>
            <w:szCs w:val="24"/>
          </w:rPr>
          <w:t>Culyer</w:t>
        </w:r>
        <w:proofErr w:type="spellEnd"/>
        <w:r>
          <w:rPr>
            <w:rFonts w:ascii="Garamond" w:eastAsia="Garamond" w:hAnsi="Garamond" w:cs="Garamond"/>
            <w:color w:val="000000"/>
            <w:sz w:val="24"/>
            <w:szCs w:val="24"/>
          </w:rPr>
          <w:t>, AJ, 2020)</w:t>
        </w:r>
      </w:hyperlink>
      <w:r>
        <w:rPr>
          <w:rFonts w:ascii="Garamond" w:eastAsia="Garamond" w:hAnsi="Garamond" w:cs="Garamond"/>
          <w:sz w:val="24"/>
          <w:szCs w:val="24"/>
        </w:rPr>
        <w:t xml:space="preserve">.  DCEA can involve simply exploring the implications of giving special priority or </w:t>
      </w:r>
      <w:r w:rsidR="00A5591A">
        <w:rPr>
          <w:rFonts w:ascii="Garamond" w:eastAsia="Garamond" w:hAnsi="Garamond" w:cs="Garamond"/>
          <w:sz w:val="24"/>
          <w:szCs w:val="24"/>
        </w:rPr>
        <w:t>‘</w:t>
      </w:r>
      <w:r>
        <w:rPr>
          <w:rFonts w:ascii="Garamond" w:eastAsia="Garamond" w:hAnsi="Garamond" w:cs="Garamond"/>
          <w:sz w:val="24"/>
          <w:szCs w:val="24"/>
        </w:rPr>
        <w:t>equity weight</w:t>
      </w:r>
      <w:r w:rsidR="00A5591A">
        <w:rPr>
          <w:rFonts w:ascii="Garamond" w:eastAsia="Garamond" w:hAnsi="Garamond" w:cs="Garamond"/>
          <w:sz w:val="24"/>
          <w:szCs w:val="24"/>
        </w:rPr>
        <w:t>’</w:t>
      </w:r>
      <w:r>
        <w:rPr>
          <w:rFonts w:ascii="Garamond" w:eastAsia="Garamond" w:hAnsi="Garamond" w:cs="Garamond"/>
          <w:sz w:val="24"/>
          <w:szCs w:val="24"/>
        </w:rPr>
        <w:t xml:space="preserve"> to improving the health of programme recipients compared with non-recipients.  It can also involve more detailed analysis of the distribution of health benefits and burdens within the general population by equity-relevant social variables (e.g. socioeconomic status, geographical location, indigenous status, ethnicity, gender, age), disease variables (e.g. disease classification, severity of illness, proximity to death, rarity of condition) or risk factors. It can also involve analysing distributional consequences for non-health outcomes, such as income or financial protection from </w:t>
      </w:r>
      <w:r>
        <w:rPr>
          <w:rFonts w:ascii="Garamond" w:eastAsia="Garamond" w:hAnsi="Garamond" w:cs="Garamond"/>
          <w:sz w:val="24"/>
          <w:szCs w:val="24"/>
        </w:rPr>
        <w:lastRenderedPageBreak/>
        <w:t>out-of-pocket health care costs, and evaluation of potential trade-offs between equity and efficiency objectives</w:t>
      </w:r>
      <w:r w:rsidR="00F07853">
        <w:rPr>
          <w:rFonts w:ascii="Garamond" w:eastAsia="Garamond" w:hAnsi="Garamond" w:cs="Garamond"/>
          <w:sz w:val="24"/>
          <w:szCs w:val="24"/>
        </w:rPr>
        <w:t xml:space="preserve">.  </w:t>
      </w:r>
    </w:p>
    <w:p w14:paraId="30CF0074" w14:textId="77777777" w:rsidR="00BE1B83" w:rsidRDefault="00BE1B83" w:rsidP="008A4844">
      <w:pPr>
        <w:spacing w:after="0" w:line="480" w:lineRule="auto"/>
        <w:jc w:val="both"/>
        <w:rPr>
          <w:rFonts w:ascii="Garamond" w:eastAsia="Garamond" w:hAnsi="Garamond" w:cs="Garamond"/>
          <w:sz w:val="24"/>
          <w:szCs w:val="24"/>
        </w:rPr>
      </w:pPr>
    </w:p>
    <w:p w14:paraId="53E02739" w14:textId="25418F1D" w:rsidR="00BE1B83" w:rsidRPr="00505F01" w:rsidRDefault="002215EF" w:rsidP="008A4844">
      <w:pPr>
        <w:spacing w:before="240" w:after="0" w:line="480" w:lineRule="auto"/>
        <w:rPr>
          <w:rFonts w:ascii="Garamond" w:eastAsia="Garamond" w:hAnsi="Garamond" w:cs="Garamond"/>
          <w:b/>
          <w:bCs/>
          <w:sz w:val="24"/>
          <w:szCs w:val="24"/>
        </w:rPr>
      </w:pPr>
      <w:r w:rsidRPr="000141B6">
        <w:rPr>
          <w:rFonts w:ascii="Garamond" w:eastAsia="Garamond" w:hAnsi="Garamond" w:cs="Garamond"/>
          <w:b/>
          <w:bCs/>
          <w:sz w:val="24"/>
          <w:szCs w:val="24"/>
        </w:rPr>
        <w:t xml:space="preserve">3.1 </w:t>
      </w:r>
      <w:r w:rsidR="00633980" w:rsidRPr="00505F01">
        <w:rPr>
          <w:rFonts w:ascii="Garamond" w:eastAsia="Garamond" w:hAnsi="Garamond" w:cs="Garamond"/>
          <w:b/>
          <w:bCs/>
          <w:sz w:val="24"/>
          <w:szCs w:val="24"/>
        </w:rPr>
        <w:t>Equity-Efficiency Impact Plane</w:t>
      </w:r>
    </w:p>
    <w:p w14:paraId="594D8B6D" w14:textId="09F470B5" w:rsidR="00BE1B83" w:rsidRDefault="00633980" w:rsidP="008A4844">
      <w:pPr>
        <w:spacing w:before="240" w:after="0" w:line="480" w:lineRule="auto"/>
        <w:rPr>
          <w:rFonts w:ascii="Garamond" w:eastAsia="Garamond" w:hAnsi="Garamond" w:cs="Garamond"/>
          <w:sz w:val="24"/>
          <w:szCs w:val="24"/>
        </w:rPr>
      </w:pPr>
      <w:r>
        <w:rPr>
          <w:rFonts w:ascii="Garamond" w:eastAsia="Garamond" w:hAnsi="Garamond" w:cs="Garamond"/>
          <w:sz w:val="24"/>
          <w:szCs w:val="24"/>
        </w:rPr>
        <w:t xml:space="preserve">The equity-efficiency impact plane </w:t>
      </w:r>
      <w:r w:rsidR="003817F6">
        <w:rPr>
          <w:rFonts w:ascii="Garamond" w:eastAsia="Garamond" w:hAnsi="Garamond" w:cs="Garamond"/>
          <w:sz w:val="24"/>
          <w:szCs w:val="24"/>
        </w:rPr>
        <w:t>is a device to</w:t>
      </w:r>
      <w:r>
        <w:rPr>
          <w:rFonts w:ascii="Garamond" w:eastAsia="Garamond" w:hAnsi="Garamond" w:cs="Garamond"/>
          <w:sz w:val="24"/>
          <w:szCs w:val="24"/>
        </w:rPr>
        <w:t xml:space="preserve"> help analysts to think about trade-offs between efficiency and equity, and </w:t>
      </w:r>
      <w:r w:rsidR="00F07853">
        <w:rPr>
          <w:rFonts w:ascii="Garamond" w:eastAsia="Garamond" w:hAnsi="Garamond" w:cs="Garamond"/>
          <w:sz w:val="24"/>
          <w:szCs w:val="24"/>
        </w:rPr>
        <w:t xml:space="preserve">to </w:t>
      </w:r>
      <w:r>
        <w:rPr>
          <w:rFonts w:ascii="Garamond" w:eastAsia="Garamond" w:hAnsi="Garamond" w:cs="Garamond"/>
          <w:sz w:val="24"/>
          <w:szCs w:val="24"/>
        </w:rPr>
        <w:t xml:space="preserve">consider whether </w:t>
      </w:r>
      <w:r w:rsidR="00F07853">
        <w:rPr>
          <w:rFonts w:ascii="Garamond" w:eastAsia="Garamond" w:hAnsi="Garamond" w:cs="Garamond"/>
          <w:sz w:val="24"/>
          <w:szCs w:val="24"/>
        </w:rPr>
        <w:t xml:space="preserve">more </w:t>
      </w:r>
      <w:r>
        <w:rPr>
          <w:rFonts w:ascii="Garamond" w:eastAsia="Garamond" w:hAnsi="Garamond" w:cs="Garamond"/>
          <w:sz w:val="24"/>
          <w:szCs w:val="24"/>
        </w:rPr>
        <w:t>detailed equity analysis</w:t>
      </w:r>
      <w:r w:rsidR="00F07853">
        <w:rPr>
          <w:rFonts w:ascii="Garamond" w:eastAsia="Garamond" w:hAnsi="Garamond" w:cs="Garamond"/>
          <w:sz w:val="24"/>
          <w:szCs w:val="24"/>
        </w:rPr>
        <w:t xml:space="preserve"> is necessary</w:t>
      </w:r>
      <w:r>
        <w:rPr>
          <w:rFonts w:ascii="Garamond" w:eastAsia="Garamond" w:hAnsi="Garamond" w:cs="Garamond"/>
          <w:sz w:val="24"/>
          <w:szCs w:val="24"/>
        </w:rPr>
        <w:t xml:space="preserve">.  It can also be used for visualising the findings of a DCEA study </w:t>
      </w:r>
      <w:hyperlink r:id="rId25">
        <w:r>
          <w:rPr>
            <w:rFonts w:ascii="Garamond" w:eastAsia="Garamond" w:hAnsi="Garamond" w:cs="Garamond"/>
            <w:color w:val="000000"/>
            <w:sz w:val="24"/>
            <w:szCs w:val="24"/>
          </w:rPr>
          <w:t>(</w:t>
        </w:r>
        <w:proofErr w:type="spellStart"/>
        <w:r>
          <w:rPr>
            <w:rFonts w:ascii="Garamond" w:eastAsia="Garamond" w:hAnsi="Garamond" w:cs="Garamond"/>
            <w:color w:val="000000"/>
            <w:sz w:val="24"/>
            <w:szCs w:val="24"/>
          </w:rPr>
          <w:t>Kypridemos</w:t>
        </w:r>
        <w:proofErr w:type="spellEnd"/>
        <w:r>
          <w:rPr>
            <w:rFonts w:ascii="Garamond" w:eastAsia="Garamond" w:hAnsi="Garamond" w:cs="Garamond"/>
            <w:color w:val="000000"/>
            <w:sz w:val="24"/>
            <w:szCs w:val="24"/>
          </w:rPr>
          <w:t xml:space="preserve"> et al., 2016)</w:t>
        </w:r>
      </w:hyperlink>
      <w:r>
        <w:rPr>
          <w:rFonts w:ascii="Garamond" w:eastAsia="Garamond" w:hAnsi="Garamond" w:cs="Garamond"/>
          <w:sz w:val="24"/>
          <w:szCs w:val="24"/>
        </w:rPr>
        <w:t xml:space="preserve"> and to help </w:t>
      </w:r>
      <w:r w:rsidR="003817F6">
        <w:rPr>
          <w:rFonts w:ascii="Garamond" w:eastAsia="Garamond" w:hAnsi="Garamond" w:cs="Garamond"/>
          <w:sz w:val="24"/>
          <w:szCs w:val="24"/>
        </w:rPr>
        <w:t>decision makers</w:t>
      </w:r>
      <w:r>
        <w:rPr>
          <w:rFonts w:ascii="Garamond" w:eastAsia="Garamond" w:hAnsi="Garamond" w:cs="Garamond"/>
          <w:sz w:val="24"/>
          <w:szCs w:val="24"/>
        </w:rPr>
        <w:t xml:space="preserve"> keep both equity and efficiency objectives in sight.</w:t>
      </w:r>
    </w:p>
    <w:p w14:paraId="0EEAB482" w14:textId="23DE9406" w:rsidR="00BE1B83" w:rsidRDefault="00E20B5C" w:rsidP="008A4844">
      <w:pPr>
        <w:spacing w:before="240" w:after="0" w:line="480" w:lineRule="auto"/>
        <w:rPr>
          <w:rFonts w:ascii="Garamond" w:eastAsia="Garamond" w:hAnsi="Garamond" w:cs="Garamond"/>
          <w:i/>
          <w:sz w:val="24"/>
          <w:szCs w:val="24"/>
        </w:rPr>
      </w:pPr>
      <w:r>
        <w:rPr>
          <w:rFonts w:ascii="Garamond" w:eastAsia="Garamond" w:hAnsi="Garamond" w:cs="Garamond"/>
          <w:sz w:val="24"/>
          <w:szCs w:val="24"/>
        </w:rPr>
        <w:t>A</w:t>
      </w:r>
      <w:r w:rsidR="00633980">
        <w:rPr>
          <w:rFonts w:ascii="Garamond" w:eastAsia="Garamond" w:hAnsi="Garamond" w:cs="Garamond"/>
          <w:sz w:val="24"/>
          <w:szCs w:val="24"/>
        </w:rPr>
        <w:t xml:space="preserve"> programme is cost-effective if its health benefit is greater than its health opportunity cost </w:t>
      </w:r>
      <w:hyperlink r:id="rId26">
        <w:r w:rsidR="00633980">
          <w:rPr>
            <w:rFonts w:ascii="Garamond" w:eastAsia="Garamond" w:hAnsi="Garamond" w:cs="Garamond"/>
            <w:color w:val="000000"/>
            <w:sz w:val="24"/>
            <w:szCs w:val="24"/>
          </w:rPr>
          <w:t>(Drummond et al., 2015)</w:t>
        </w:r>
      </w:hyperlink>
      <w:r w:rsidR="00633980">
        <w:rPr>
          <w:rFonts w:ascii="Garamond" w:eastAsia="Garamond" w:hAnsi="Garamond" w:cs="Garamond"/>
          <w:sz w:val="24"/>
          <w:szCs w:val="24"/>
        </w:rPr>
        <w:t xml:space="preserve">.  However, if it harms equity then a cost-effective programme might not be worth implementing.  </w:t>
      </w:r>
      <w:r w:rsidR="00C55723">
        <w:rPr>
          <w:rFonts w:ascii="Garamond" w:eastAsia="Garamond" w:hAnsi="Garamond" w:cs="Garamond"/>
          <w:sz w:val="24"/>
          <w:szCs w:val="24"/>
        </w:rPr>
        <w:t xml:space="preserve">Conversely, </w:t>
      </w:r>
      <w:r w:rsidR="00633980">
        <w:rPr>
          <w:rFonts w:ascii="Garamond" w:eastAsia="Garamond" w:hAnsi="Garamond" w:cs="Garamond"/>
          <w:sz w:val="24"/>
          <w:szCs w:val="24"/>
        </w:rPr>
        <w:t xml:space="preserve">if a cost-ineffective programme improves equity, then it might be worth implementing.  The equity-efficiency impact plane in </w:t>
      </w:r>
      <w:r w:rsidR="00486BE9">
        <w:rPr>
          <w:rFonts w:ascii="Garamond" w:eastAsia="Garamond" w:hAnsi="Garamond" w:cs="Garamond"/>
          <w:sz w:val="24"/>
          <w:szCs w:val="24"/>
        </w:rPr>
        <w:t>F</w:t>
      </w:r>
      <w:r w:rsidR="00633980">
        <w:rPr>
          <w:rFonts w:ascii="Garamond" w:eastAsia="Garamond" w:hAnsi="Garamond" w:cs="Garamond"/>
          <w:sz w:val="24"/>
          <w:szCs w:val="24"/>
        </w:rPr>
        <w:t>igure 4 sets out the four logical possibilities in a systematic manner.</w:t>
      </w:r>
    </w:p>
    <w:p w14:paraId="0BE6DBDE" w14:textId="77777777" w:rsidR="007D77C0" w:rsidRDefault="007D77C0">
      <w:pPr>
        <w:rPr>
          <w:rFonts w:ascii="Garamond" w:eastAsia="Garamond" w:hAnsi="Garamond" w:cs="Garamond"/>
          <w:i/>
          <w:sz w:val="24"/>
          <w:szCs w:val="24"/>
        </w:rPr>
      </w:pPr>
      <w:r>
        <w:rPr>
          <w:rFonts w:ascii="Garamond" w:eastAsia="Garamond" w:hAnsi="Garamond" w:cs="Garamond"/>
          <w:i/>
          <w:sz w:val="24"/>
          <w:szCs w:val="24"/>
        </w:rPr>
        <w:br w:type="page"/>
      </w:r>
    </w:p>
    <w:p w14:paraId="5D1BA5E2" w14:textId="45E20BAE" w:rsidR="00BE1B83" w:rsidRDefault="00633980" w:rsidP="008A4844">
      <w:pPr>
        <w:spacing w:line="480" w:lineRule="auto"/>
        <w:jc w:val="center"/>
        <w:rPr>
          <w:rFonts w:ascii="Garamond" w:eastAsia="Garamond" w:hAnsi="Garamond" w:cs="Garamond"/>
          <w:i/>
          <w:sz w:val="24"/>
          <w:szCs w:val="24"/>
        </w:rPr>
      </w:pPr>
      <w:r>
        <w:rPr>
          <w:rFonts w:ascii="Garamond" w:eastAsia="Garamond" w:hAnsi="Garamond" w:cs="Garamond"/>
          <w:i/>
          <w:sz w:val="24"/>
          <w:szCs w:val="24"/>
        </w:rPr>
        <w:lastRenderedPageBreak/>
        <w:t>Figure 4: Equity-Efficiency Impact Plane</w:t>
      </w:r>
    </w:p>
    <w:p w14:paraId="08B7B3F5" w14:textId="77777777" w:rsidR="00BE1B83" w:rsidRDefault="00633980" w:rsidP="008A4844">
      <w:pPr>
        <w:spacing w:before="240" w:after="0" w:line="480" w:lineRule="auto"/>
        <w:jc w:val="center"/>
        <w:rPr>
          <w:rFonts w:ascii="Garamond" w:eastAsia="Garamond" w:hAnsi="Garamond" w:cs="Garamond"/>
          <w:sz w:val="24"/>
          <w:szCs w:val="24"/>
        </w:rPr>
      </w:pPr>
      <w:r>
        <w:rPr>
          <w:rFonts w:ascii="Garamond" w:eastAsia="Garamond" w:hAnsi="Garamond" w:cs="Garamond"/>
          <w:noProof/>
          <w:sz w:val="24"/>
          <w:szCs w:val="24"/>
          <w:lang w:val="en-AU" w:eastAsia="en-AU"/>
        </w:rPr>
        <w:drawing>
          <wp:inline distT="114300" distB="114300" distL="114300" distR="114300" wp14:anchorId="4633BB29" wp14:editId="499FF8BF">
            <wp:extent cx="5715000" cy="346392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7"/>
                    <a:srcRect t="12592" b="6524"/>
                    <a:stretch>
                      <a:fillRect/>
                    </a:stretch>
                  </pic:blipFill>
                  <pic:spPr>
                    <a:xfrm>
                      <a:off x="0" y="0"/>
                      <a:ext cx="5715000" cy="3463925"/>
                    </a:xfrm>
                    <a:prstGeom prst="rect">
                      <a:avLst/>
                    </a:prstGeom>
                    <a:ln/>
                  </pic:spPr>
                </pic:pic>
              </a:graphicData>
            </a:graphic>
          </wp:inline>
        </w:drawing>
      </w:r>
    </w:p>
    <w:p w14:paraId="4ED0F0AD" w14:textId="35691418" w:rsidR="00BE1B83" w:rsidRDefault="00E20B5C" w:rsidP="008A4844">
      <w:pPr>
        <w:spacing w:before="240" w:after="0" w:line="480" w:lineRule="auto"/>
        <w:rPr>
          <w:rFonts w:ascii="Garamond" w:eastAsia="Garamond" w:hAnsi="Garamond" w:cs="Garamond"/>
          <w:sz w:val="24"/>
          <w:szCs w:val="24"/>
        </w:rPr>
      </w:pPr>
      <w:r>
        <w:rPr>
          <w:rFonts w:ascii="Garamond" w:eastAsia="Garamond" w:hAnsi="Garamond" w:cs="Garamond"/>
          <w:sz w:val="24"/>
          <w:szCs w:val="24"/>
        </w:rPr>
        <w:t xml:space="preserve">Both efficiency impact and equity impact can be measured in various ways, according to the objectives of the relevant decision maker. </w:t>
      </w:r>
    </w:p>
    <w:p w14:paraId="40AE02FA" w14:textId="21144540" w:rsidR="00BE1B83" w:rsidRDefault="00633980" w:rsidP="008A4844">
      <w:pPr>
        <w:spacing w:before="240" w:after="240" w:line="480" w:lineRule="auto"/>
        <w:rPr>
          <w:rFonts w:ascii="Garamond" w:eastAsia="Garamond" w:hAnsi="Garamond" w:cs="Garamond"/>
          <w:sz w:val="24"/>
          <w:szCs w:val="24"/>
        </w:rPr>
      </w:pPr>
      <w:r>
        <w:rPr>
          <w:rFonts w:ascii="Garamond" w:eastAsia="Garamond" w:hAnsi="Garamond" w:cs="Garamond"/>
          <w:sz w:val="24"/>
          <w:szCs w:val="24"/>
        </w:rPr>
        <w:t xml:space="preserve">A policy that falls in the </w:t>
      </w:r>
      <w:r w:rsidR="00A5591A">
        <w:rPr>
          <w:rFonts w:ascii="Garamond" w:eastAsia="Garamond" w:hAnsi="Garamond" w:cs="Garamond"/>
          <w:sz w:val="24"/>
          <w:szCs w:val="24"/>
        </w:rPr>
        <w:t>‘</w:t>
      </w:r>
      <w:r>
        <w:rPr>
          <w:rFonts w:ascii="Garamond" w:eastAsia="Garamond" w:hAnsi="Garamond" w:cs="Garamond"/>
          <w:sz w:val="24"/>
          <w:szCs w:val="24"/>
        </w:rPr>
        <w:t>win-win</w:t>
      </w:r>
      <w:r w:rsidR="00A5591A">
        <w:rPr>
          <w:rFonts w:ascii="Garamond" w:eastAsia="Garamond" w:hAnsi="Garamond" w:cs="Garamond"/>
          <w:sz w:val="24"/>
          <w:szCs w:val="24"/>
        </w:rPr>
        <w:t>’</w:t>
      </w:r>
      <w:r>
        <w:rPr>
          <w:rFonts w:ascii="Garamond" w:eastAsia="Garamond" w:hAnsi="Garamond" w:cs="Garamond"/>
          <w:sz w:val="24"/>
          <w:szCs w:val="24"/>
        </w:rPr>
        <w:t xml:space="preserve"> quadrant improves both total health and health equity, and one that falls in the </w:t>
      </w:r>
      <w:r w:rsidR="00A5591A">
        <w:rPr>
          <w:rFonts w:ascii="Garamond" w:eastAsia="Garamond" w:hAnsi="Garamond" w:cs="Garamond"/>
          <w:sz w:val="24"/>
          <w:szCs w:val="24"/>
        </w:rPr>
        <w:t>‘</w:t>
      </w:r>
      <w:r>
        <w:rPr>
          <w:rFonts w:ascii="Garamond" w:eastAsia="Garamond" w:hAnsi="Garamond" w:cs="Garamond"/>
          <w:sz w:val="24"/>
          <w:szCs w:val="24"/>
        </w:rPr>
        <w:t>lose-lose</w:t>
      </w:r>
      <w:r w:rsidR="00A5591A">
        <w:rPr>
          <w:rFonts w:ascii="Garamond" w:eastAsia="Garamond" w:hAnsi="Garamond" w:cs="Garamond"/>
          <w:sz w:val="24"/>
          <w:szCs w:val="24"/>
        </w:rPr>
        <w:t>’</w:t>
      </w:r>
      <w:r>
        <w:rPr>
          <w:rFonts w:ascii="Garamond" w:eastAsia="Garamond" w:hAnsi="Garamond" w:cs="Garamond"/>
          <w:sz w:val="24"/>
          <w:szCs w:val="24"/>
        </w:rPr>
        <w:t xml:space="preserve"> quadrant harms both.  In low- and middle-income countries,  vaccination </w:t>
      </w:r>
      <w:r w:rsidR="00C55723">
        <w:rPr>
          <w:rFonts w:ascii="Garamond" w:eastAsia="Garamond" w:hAnsi="Garamond" w:cs="Garamond"/>
          <w:sz w:val="24"/>
          <w:szCs w:val="24"/>
        </w:rPr>
        <w:t xml:space="preserve">and other infectious disease control programs often fall into the </w:t>
      </w:r>
      <w:r w:rsidR="00A5591A">
        <w:rPr>
          <w:rFonts w:ascii="Garamond" w:eastAsia="Garamond" w:hAnsi="Garamond" w:cs="Garamond"/>
          <w:sz w:val="24"/>
          <w:szCs w:val="24"/>
        </w:rPr>
        <w:t>‘</w:t>
      </w:r>
      <w:r w:rsidR="00C55723">
        <w:rPr>
          <w:rFonts w:ascii="Garamond" w:eastAsia="Garamond" w:hAnsi="Garamond" w:cs="Garamond"/>
          <w:sz w:val="24"/>
          <w:szCs w:val="24"/>
        </w:rPr>
        <w:t>win-win</w:t>
      </w:r>
      <w:r w:rsidR="00A5591A">
        <w:rPr>
          <w:rFonts w:ascii="Garamond" w:eastAsia="Garamond" w:hAnsi="Garamond" w:cs="Garamond"/>
          <w:sz w:val="24"/>
          <w:szCs w:val="24"/>
        </w:rPr>
        <w:t>’</w:t>
      </w:r>
      <w:r w:rsidR="00C55723">
        <w:rPr>
          <w:rFonts w:ascii="Garamond" w:eastAsia="Garamond" w:hAnsi="Garamond" w:cs="Garamond"/>
          <w:sz w:val="24"/>
          <w:szCs w:val="24"/>
        </w:rPr>
        <w:t xml:space="preserve"> quadrant </w:t>
      </w:r>
      <w:hyperlink r:id="rId28">
        <w:r>
          <w:rPr>
            <w:rFonts w:ascii="Garamond" w:eastAsia="Garamond" w:hAnsi="Garamond" w:cs="Garamond"/>
            <w:color w:val="000000"/>
            <w:sz w:val="24"/>
            <w:szCs w:val="24"/>
          </w:rPr>
          <w:t>(</w:t>
        </w:r>
        <w:proofErr w:type="spellStart"/>
        <w:r>
          <w:rPr>
            <w:rFonts w:ascii="Garamond" w:eastAsia="Garamond" w:hAnsi="Garamond" w:cs="Garamond"/>
            <w:color w:val="000000"/>
            <w:sz w:val="24"/>
            <w:szCs w:val="24"/>
          </w:rPr>
          <w:t>Verguet</w:t>
        </w:r>
        <w:proofErr w:type="spellEnd"/>
        <w:r>
          <w:rPr>
            <w:rFonts w:ascii="Garamond" w:eastAsia="Garamond" w:hAnsi="Garamond" w:cs="Garamond"/>
            <w:color w:val="000000"/>
            <w:sz w:val="24"/>
            <w:szCs w:val="24"/>
          </w:rPr>
          <w:t xml:space="preserve"> et al., 2013</w:t>
        </w:r>
      </w:hyperlink>
      <w:r w:rsidR="007D77C0">
        <w:rPr>
          <w:rFonts w:ascii="Garamond" w:eastAsia="Garamond" w:hAnsi="Garamond" w:cs="Garamond"/>
          <w:sz w:val="24"/>
          <w:szCs w:val="24"/>
        </w:rPr>
        <w:t xml:space="preserve">, </w:t>
      </w:r>
      <w:hyperlink r:id="rId29">
        <w:proofErr w:type="spellStart"/>
        <w:r>
          <w:rPr>
            <w:rFonts w:ascii="Garamond" w:eastAsia="Garamond" w:hAnsi="Garamond" w:cs="Garamond"/>
            <w:color w:val="000000"/>
            <w:sz w:val="24"/>
            <w:szCs w:val="24"/>
          </w:rPr>
          <w:t>Verguet</w:t>
        </w:r>
        <w:proofErr w:type="spellEnd"/>
        <w:r>
          <w:rPr>
            <w:rFonts w:ascii="Garamond" w:eastAsia="Garamond" w:hAnsi="Garamond" w:cs="Garamond"/>
            <w:color w:val="000000"/>
            <w:sz w:val="24"/>
            <w:szCs w:val="24"/>
          </w:rPr>
          <w:t xml:space="preserve"> et al., 2015)</w:t>
        </w:r>
      </w:hyperlink>
      <w:r>
        <w:rPr>
          <w:rFonts w:ascii="Garamond" w:eastAsia="Garamond" w:hAnsi="Garamond" w:cs="Garamond"/>
          <w:sz w:val="24"/>
          <w:szCs w:val="24"/>
        </w:rPr>
        <w:t xml:space="preserve">, as they typically deliver large health gains per unit cost and disproportionately benefit socially disadvantaged groups.  By contrast, investments in high-cost treatments for late-stage chronic disease may fall into the </w:t>
      </w:r>
      <w:r w:rsidR="00A5591A">
        <w:rPr>
          <w:rFonts w:ascii="Garamond" w:eastAsia="Garamond" w:hAnsi="Garamond" w:cs="Garamond"/>
          <w:sz w:val="24"/>
          <w:szCs w:val="24"/>
        </w:rPr>
        <w:t>‘</w:t>
      </w:r>
      <w:r>
        <w:rPr>
          <w:rFonts w:ascii="Garamond" w:eastAsia="Garamond" w:hAnsi="Garamond" w:cs="Garamond"/>
          <w:sz w:val="24"/>
          <w:szCs w:val="24"/>
        </w:rPr>
        <w:t>lose-lose</w:t>
      </w:r>
      <w:r w:rsidR="00A5591A">
        <w:rPr>
          <w:rFonts w:ascii="Garamond" w:eastAsia="Garamond" w:hAnsi="Garamond" w:cs="Garamond"/>
          <w:sz w:val="24"/>
          <w:szCs w:val="24"/>
        </w:rPr>
        <w:t>’</w:t>
      </w:r>
      <w:r>
        <w:rPr>
          <w:rFonts w:ascii="Garamond" w:eastAsia="Garamond" w:hAnsi="Garamond" w:cs="Garamond"/>
          <w:sz w:val="24"/>
          <w:szCs w:val="24"/>
        </w:rPr>
        <w:t xml:space="preserve"> quadrant of being neither cost-effective nor likely to </w:t>
      </w:r>
      <w:r w:rsidR="007D0E3B">
        <w:rPr>
          <w:rFonts w:ascii="Garamond" w:eastAsia="Garamond" w:hAnsi="Garamond" w:cs="Garamond"/>
          <w:sz w:val="24"/>
          <w:szCs w:val="24"/>
        </w:rPr>
        <w:t xml:space="preserve">reduce social inequality in </w:t>
      </w:r>
      <w:r>
        <w:rPr>
          <w:rFonts w:ascii="Garamond" w:eastAsia="Garamond" w:hAnsi="Garamond" w:cs="Garamond"/>
          <w:sz w:val="24"/>
          <w:szCs w:val="24"/>
        </w:rPr>
        <w:t xml:space="preserve">health  </w:t>
      </w:r>
      <w:r w:rsidR="007D0E3B">
        <w:rPr>
          <w:rFonts w:ascii="Garamond" w:eastAsia="Garamond" w:hAnsi="Garamond" w:cs="Garamond"/>
          <w:sz w:val="24"/>
          <w:szCs w:val="24"/>
        </w:rPr>
        <w:t xml:space="preserve">– in which case other ethical or political arguments are needed to justify funding </w:t>
      </w:r>
      <w:hyperlink r:id="rId30">
        <w:r>
          <w:rPr>
            <w:rFonts w:ascii="Garamond" w:eastAsia="Garamond" w:hAnsi="Garamond" w:cs="Garamond"/>
            <w:color w:val="000000"/>
            <w:sz w:val="24"/>
            <w:szCs w:val="24"/>
          </w:rPr>
          <w:t>(Asante et al., 2016)</w:t>
        </w:r>
      </w:hyperlink>
      <w:r>
        <w:rPr>
          <w:rFonts w:ascii="Garamond" w:eastAsia="Garamond" w:hAnsi="Garamond" w:cs="Garamond"/>
          <w:sz w:val="24"/>
          <w:szCs w:val="24"/>
        </w:rPr>
        <w:t>.</w:t>
      </w:r>
    </w:p>
    <w:p w14:paraId="6EB4FA66" w14:textId="13C44AE3" w:rsidR="00BE1B83" w:rsidRDefault="00633980" w:rsidP="008A4844">
      <w:pPr>
        <w:spacing w:before="240" w:after="240" w:line="480" w:lineRule="auto"/>
        <w:rPr>
          <w:rFonts w:ascii="Times New Roman" w:eastAsia="Times New Roman" w:hAnsi="Times New Roman" w:cs="Times New Roman"/>
          <w:sz w:val="24"/>
          <w:szCs w:val="24"/>
        </w:rPr>
      </w:pPr>
      <w:r>
        <w:rPr>
          <w:rFonts w:ascii="Garamond" w:eastAsia="Garamond" w:hAnsi="Garamond" w:cs="Garamond"/>
          <w:sz w:val="24"/>
          <w:szCs w:val="24"/>
        </w:rPr>
        <w:t xml:space="preserve">Equity and efficiency impacts may also be opposed.  In NW </w:t>
      </w:r>
      <w:r w:rsidR="00A5591A">
        <w:rPr>
          <w:rFonts w:ascii="Garamond" w:eastAsia="Garamond" w:hAnsi="Garamond" w:cs="Garamond"/>
          <w:sz w:val="24"/>
          <w:szCs w:val="24"/>
        </w:rPr>
        <w:t>‘</w:t>
      </w:r>
      <w:r>
        <w:rPr>
          <w:rFonts w:ascii="Garamond" w:eastAsia="Garamond" w:hAnsi="Garamond" w:cs="Garamond"/>
          <w:sz w:val="24"/>
          <w:szCs w:val="24"/>
        </w:rPr>
        <w:t>win-lose</w:t>
      </w:r>
      <w:r w:rsidR="00A5591A">
        <w:rPr>
          <w:rFonts w:ascii="Garamond" w:eastAsia="Garamond" w:hAnsi="Garamond" w:cs="Garamond"/>
          <w:sz w:val="24"/>
          <w:szCs w:val="24"/>
        </w:rPr>
        <w:t>’</w:t>
      </w:r>
      <w:r>
        <w:rPr>
          <w:rFonts w:ascii="Garamond" w:eastAsia="Garamond" w:hAnsi="Garamond" w:cs="Garamond"/>
          <w:sz w:val="24"/>
          <w:szCs w:val="24"/>
        </w:rPr>
        <w:t xml:space="preserve"> quadrant, the option is </w:t>
      </w:r>
      <w:r w:rsidR="005E57C5">
        <w:rPr>
          <w:rFonts w:ascii="Garamond" w:eastAsia="Garamond" w:hAnsi="Garamond" w:cs="Garamond"/>
          <w:sz w:val="24"/>
          <w:szCs w:val="24"/>
        </w:rPr>
        <w:t xml:space="preserve">cost-effective (i.e. is improves </w:t>
      </w:r>
      <w:r>
        <w:rPr>
          <w:rFonts w:ascii="Garamond" w:eastAsia="Garamond" w:hAnsi="Garamond" w:cs="Garamond"/>
          <w:sz w:val="24"/>
          <w:szCs w:val="24"/>
        </w:rPr>
        <w:t>total health</w:t>
      </w:r>
      <w:r w:rsidR="005E57C5">
        <w:rPr>
          <w:rFonts w:ascii="Garamond" w:eastAsia="Garamond" w:hAnsi="Garamond" w:cs="Garamond"/>
          <w:sz w:val="24"/>
          <w:szCs w:val="24"/>
        </w:rPr>
        <w:t>)</w:t>
      </w:r>
      <w:r>
        <w:rPr>
          <w:rFonts w:ascii="Garamond" w:eastAsia="Garamond" w:hAnsi="Garamond" w:cs="Garamond"/>
          <w:sz w:val="24"/>
          <w:szCs w:val="24"/>
        </w:rPr>
        <w:t xml:space="preserve"> but </w:t>
      </w:r>
      <w:r w:rsidR="005E57C5">
        <w:rPr>
          <w:rFonts w:ascii="Garamond" w:eastAsia="Garamond" w:hAnsi="Garamond" w:cs="Garamond"/>
          <w:sz w:val="24"/>
          <w:szCs w:val="24"/>
        </w:rPr>
        <w:t>harms</w:t>
      </w:r>
      <w:r>
        <w:rPr>
          <w:rFonts w:ascii="Garamond" w:eastAsia="Garamond" w:hAnsi="Garamond" w:cs="Garamond"/>
          <w:sz w:val="24"/>
          <w:szCs w:val="24"/>
        </w:rPr>
        <w:t xml:space="preserve"> equity, and in the SE </w:t>
      </w:r>
      <w:r w:rsidR="00A5591A">
        <w:rPr>
          <w:rFonts w:ascii="Garamond" w:eastAsia="Garamond" w:hAnsi="Garamond" w:cs="Garamond"/>
          <w:sz w:val="24"/>
          <w:szCs w:val="24"/>
        </w:rPr>
        <w:t>‘</w:t>
      </w:r>
      <w:r>
        <w:rPr>
          <w:rFonts w:ascii="Garamond" w:eastAsia="Garamond" w:hAnsi="Garamond" w:cs="Garamond"/>
          <w:sz w:val="24"/>
          <w:szCs w:val="24"/>
        </w:rPr>
        <w:t>lose-win</w:t>
      </w:r>
      <w:r w:rsidR="00A5591A">
        <w:rPr>
          <w:rFonts w:ascii="Garamond" w:eastAsia="Garamond" w:hAnsi="Garamond" w:cs="Garamond"/>
          <w:sz w:val="24"/>
          <w:szCs w:val="24"/>
        </w:rPr>
        <w:t>’</w:t>
      </w:r>
      <w:r>
        <w:rPr>
          <w:rFonts w:ascii="Garamond" w:eastAsia="Garamond" w:hAnsi="Garamond" w:cs="Garamond"/>
          <w:sz w:val="24"/>
          <w:szCs w:val="24"/>
        </w:rPr>
        <w:t xml:space="preserve"> quadrant, </w:t>
      </w:r>
      <w:r>
        <w:rPr>
          <w:rFonts w:ascii="Garamond" w:eastAsia="Garamond" w:hAnsi="Garamond" w:cs="Garamond"/>
          <w:sz w:val="24"/>
          <w:szCs w:val="24"/>
        </w:rPr>
        <w:lastRenderedPageBreak/>
        <w:t xml:space="preserve">the option is </w:t>
      </w:r>
      <w:r w:rsidR="005E57C5">
        <w:rPr>
          <w:rFonts w:ascii="Garamond" w:eastAsia="Garamond" w:hAnsi="Garamond" w:cs="Garamond"/>
          <w:sz w:val="24"/>
          <w:szCs w:val="24"/>
        </w:rPr>
        <w:t xml:space="preserve">not cost-effective (i.e. is harms </w:t>
      </w:r>
      <w:r>
        <w:rPr>
          <w:rFonts w:ascii="Garamond" w:eastAsia="Garamond" w:hAnsi="Garamond" w:cs="Garamond"/>
          <w:sz w:val="24"/>
          <w:szCs w:val="24"/>
        </w:rPr>
        <w:t>total health</w:t>
      </w:r>
      <w:r w:rsidR="005E57C5">
        <w:rPr>
          <w:rFonts w:ascii="Garamond" w:eastAsia="Garamond" w:hAnsi="Garamond" w:cs="Garamond"/>
          <w:sz w:val="24"/>
          <w:szCs w:val="24"/>
        </w:rPr>
        <w:t>)</w:t>
      </w:r>
      <w:r>
        <w:rPr>
          <w:rFonts w:ascii="Garamond" w:eastAsia="Garamond" w:hAnsi="Garamond" w:cs="Garamond"/>
          <w:sz w:val="24"/>
          <w:szCs w:val="24"/>
        </w:rPr>
        <w:t xml:space="preserve"> but </w:t>
      </w:r>
      <w:r w:rsidR="005E57C5">
        <w:rPr>
          <w:rFonts w:ascii="Garamond" w:eastAsia="Garamond" w:hAnsi="Garamond" w:cs="Garamond"/>
          <w:sz w:val="24"/>
          <w:szCs w:val="24"/>
        </w:rPr>
        <w:t xml:space="preserve">improves </w:t>
      </w:r>
      <w:r>
        <w:rPr>
          <w:rFonts w:ascii="Garamond" w:eastAsia="Garamond" w:hAnsi="Garamond" w:cs="Garamond"/>
          <w:sz w:val="24"/>
          <w:szCs w:val="24"/>
        </w:rPr>
        <w:t xml:space="preserve">equity. </w:t>
      </w:r>
      <w:r w:rsidR="007D0E3B">
        <w:rPr>
          <w:rFonts w:ascii="Garamond" w:eastAsia="Garamond" w:hAnsi="Garamond" w:cs="Garamond"/>
          <w:sz w:val="24"/>
          <w:szCs w:val="24"/>
        </w:rPr>
        <w:t xml:space="preserve">When interventions fall in the </w:t>
      </w:r>
      <w:r w:rsidR="00A5591A">
        <w:rPr>
          <w:rFonts w:ascii="Garamond" w:eastAsia="Garamond" w:hAnsi="Garamond" w:cs="Garamond"/>
          <w:sz w:val="24"/>
          <w:szCs w:val="24"/>
        </w:rPr>
        <w:t>‘</w:t>
      </w:r>
      <w:r w:rsidR="00245F37">
        <w:rPr>
          <w:rFonts w:ascii="Garamond" w:eastAsia="Garamond" w:hAnsi="Garamond" w:cs="Garamond"/>
          <w:sz w:val="24"/>
          <w:szCs w:val="24"/>
        </w:rPr>
        <w:t>win-lose</w:t>
      </w:r>
      <w:r w:rsidR="00A5591A">
        <w:rPr>
          <w:rFonts w:ascii="Garamond" w:eastAsia="Garamond" w:hAnsi="Garamond" w:cs="Garamond"/>
          <w:sz w:val="24"/>
          <w:szCs w:val="24"/>
        </w:rPr>
        <w:t>’</w:t>
      </w:r>
      <w:r w:rsidR="00245F37">
        <w:rPr>
          <w:rFonts w:ascii="Garamond" w:eastAsia="Garamond" w:hAnsi="Garamond" w:cs="Garamond"/>
          <w:sz w:val="24"/>
          <w:szCs w:val="24"/>
        </w:rPr>
        <w:t xml:space="preserve"> or </w:t>
      </w:r>
      <w:r w:rsidR="00A5591A">
        <w:rPr>
          <w:rFonts w:ascii="Garamond" w:eastAsia="Garamond" w:hAnsi="Garamond" w:cs="Garamond"/>
          <w:sz w:val="24"/>
          <w:szCs w:val="24"/>
        </w:rPr>
        <w:t>‘</w:t>
      </w:r>
      <w:r w:rsidR="00245F37">
        <w:rPr>
          <w:rFonts w:ascii="Garamond" w:eastAsia="Garamond" w:hAnsi="Garamond" w:cs="Garamond"/>
          <w:sz w:val="24"/>
          <w:szCs w:val="24"/>
        </w:rPr>
        <w:t>lose-win</w:t>
      </w:r>
      <w:r w:rsidR="00A5591A">
        <w:rPr>
          <w:rFonts w:ascii="Garamond" w:eastAsia="Garamond" w:hAnsi="Garamond" w:cs="Garamond"/>
          <w:sz w:val="24"/>
          <w:szCs w:val="24"/>
        </w:rPr>
        <w:t>’</w:t>
      </w:r>
      <w:r w:rsidR="00245F37">
        <w:rPr>
          <w:rFonts w:ascii="Garamond" w:eastAsia="Garamond" w:hAnsi="Garamond" w:cs="Garamond"/>
          <w:sz w:val="24"/>
          <w:szCs w:val="24"/>
        </w:rPr>
        <w:t xml:space="preserve"> </w:t>
      </w:r>
      <w:r w:rsidR="007D0E3B">
        <w:rPr>
          <w:rFonts w:ascii="Garamond" w:eastAsia="Garamond" w:hAnsi="Garamond" w:cs="Garamond"/>
          <w:sz w:val="24"/>
          <w:szCs w:val="24"/>
        </w:rPr>
        <w:t xml:space="preserve">quadrant, it may be worth considering re-designing them to move closer to the </w:t>
      </w:r>
      <w:r w:rsidR="00A5591A">
        <w:rPr>
          <w:rFonts w:ascii="Garamond" w:eastAsia="Garamond" w:hAnsi="Garamond" w:cs="Garamond"/>
          <w:sz w:val="24"/>
          <w:szCs w:val="24"/>
        </w:rPr>
        <w:t>‘</w:t>
      </w:r>
      <w:r w:rsidR="007D0E3B">
        <w:rPr>
          <w:rFonts w:ascii="Garamond" w:eastAsia="Garamond" w:hAnsi="Garamond" w:cs="Garamond"/>
          <w:sz w:val="24"/>
          <w:szCs w:val="24"/>
        </w:rPr>
        <w:t>win-win</w:t>
      </w:r>
      <w:r w:rsidR="00A5591A">
        <w:rPr>
          <w:rFonts w:ascii="Garamond" w:eastAsia="Garamond" w:hAnsi="Garamond" w:cs="Garamond"/>
          <w:sz w:val="24"/>
          <w:szCs w:val="24"/>
        </w:rPr>
        <w:t>’</w:t>
      </w:r>
      <w:r w:rsidR="007D0E3B">
        <w:rPr>
          <w:rFonts w:ascii="Garamond" w:eastAsia="Garamond" w:hAnsi="Garamond" w:cs="Garamond"/>
          <w:sz w:val="24"/>
          <w:szCs w:val="24"/>
        </w:rPr>
        <w:t xml:space="preserve"> quadrant.  For example, </w:t>
      </w:r>
      <w:r w:rsidR="00C76CB9">
        <w:rPr>
          <w:rFonts w:ascii="Garamond" w:eastAsia="Garamond" w:hAnsi="Garamond" w:cs="Garamond"/>
          <w:sz w:val="24"/>
          <w:szCs w:val="24"/>
        </w:rPr>
        <w:t xml:space="preserve">if </w:t>
      </w:r>
      <w:r>
        <w:rPr>
          <w:rFonts w:ascii="Garamond" w:eastAsia="Garamond" w:hAnsi="Garamond" w:cs="Garamond"/>
          <w:sz w:val="24"/>
          <w:szCs w:val="24"/>
        </w:rPr>
        <w:t>socially disadvantaged groups gain less than advantaged groups from a decision to fund a medical technology due to unequal access</w:t>
      </w:r>
      <w:r w:rsidR="002F5712">
        <w:rPr>
          <w:rFonts w:ascii="Garamond" w:eastAsia="Garamond" w:hAnsi="Garamond" w:cs="Garamond"/>
          <w:sz w:val="24"/>
          <w:szCs w:val="24"/>
        </w:rPr>
        <w:t xml:space="preserve"> –  </w:t>
      </w:r>
      <w:r w:rsidR="007D0E3B">
        <w:rPr>
          <w:rFonts w:ascii="Garamond" w:eastAsia="Garamond" w:hAnsi="Garamond" w:cs="Garamond"/>
          <w:sz w:val="24"/>
          <w:szCs w:val="24"/>
        </w:rPr>
        <w:t xml:space="preserve">placing </w:t>
      </w:r>
      <w:r w:rsidR="002F5712">
        <w:rPr>
          <w:rFonts w:ascii="Garamond" w:eastAsia="Garamond" w:hAnsi="Garamond" w:cs="Garamond"/>
          <w:sz w:val="24"/>
          <w:szCs w:val="24"/>
        </w:rPr>
        <w:t>the</w:t>
      </w:r>
      <w:r w:rsidR="007D0E3B">
        <w:rPr>
          <w:rFonts w:ascii="Garamond" w:eastAsia="Garamond" w:hAnsi="Garamond" w:cs="Garamond"/>
          <w:sz w:val="24"/>
          <w:szCs w:val="24"/>
        </w:rPr>
        <w:t xml:space="preserve"> </w:t>
      </w:r>
      <w:r w:rsidR="002F5712">
        <w:rPr>
          <w:rFonts w:ascii="Garamond" w:eastAsia="Garamond" w:hAnsi="Garamond" w:cs="Garamond"/>
          <w:sz w:val="24"/>
          <w:szCs w:val="24"/>
        </w:rPr>
        <w:t>intervention</w:t>
      </w:r>
      <w:r w:rsidR="007D0E3B">
        <w:rPr>
          <w:rFonts w:ascii="Garamond" w:eastAsia="Garamond" w:hAnsi="Garamond" w:cs="Garamond"/>
          <w:sz w:val="24"/>
          <w:szCs w:val="24"/>
        </w:rPr>
        <w:t xml:space="preserve"> in the </w:t>
      </w:r>
      <w:r w:rsidR="00A5591A">
        <w:rPr>
          <w:rFonts w:ascii="Garamond" w:eastAsia="Garamond" w:hAnsi="Garamond" w:cs="Garamond"/>
          <w:sz w:val="24"/>
          <w:szCs w:val="24"/>
        </w:rPr>
        <w:t>‘w</w:t>
      </w:r>
      <w:r w:rsidR="002F5712">
        <w:rPr>
          <w:rFonts w:ascii="Garamond" w:eastAsia="Garamond" w:hAnsi="Garamond" w:cs="Garamond"/>
          <w:sz w:val="24"/>
          <w:szCs w:val="24"/>
        </w:rPr>
        <w:t>in-lose</w:t>
      </w:r>
      <w:r w:rsidR="00A5591A">
        <w:rPr>
          <w:rFonts w:ascii="Garamond" w:eastAsia="Garamond" w:hAnsi="Garamond" w:cs="Garamond"/>
          <w:sz w:val="24"/>
          <w:szCs w:val="24"/>
        </w:rPr>
        <w:t>’</w:t>
      </w:r>
      <w:r w:rsidR="007D0E3B">
        <w:rPr>
          <w:rFonts w:ascii="Garamond" w:eastAsia="Garamond" w:hAnsi="Garamond" w:cs="Garamond"/>
          <w:sz w:val="24"/>
          <w:szCs w:val="24"/>
        </w:rPr>
        <w:t xml:space="preserve"> quadrant</w:t>
      </w:r>
      <w:r w:rsidR="002F5712">
        <w:rPr>
          <w:rFonts w:ascii="Garamond" w:eastAsia="Garamond" w:hAnsi="Garamond" w:cs="Garamond"/>
          <w:sz w:val="24"/>
          <w:szCs w:val="24"/>
        </w:rPr>
        <w:t xml:space="preserve"> – </w:t>
      </w:r>
      <w:r w:rsidR="007D0E3B">
        <w:rPr>
          <w:rFonts w:ascii="Garamond" w:eastAsia="Garamond" w:hAnsi="Garamond" w:cs="Garamond"/>
          <w:sz w:val="24"/>
          <w:szCs w:val="24"/>
        </w:rPr>
        <w:t xml:space="preserve">additional investment to improve access for disadvantaged groups </w:t>
      </w:r>
      <w:r w:rsidR="00C76CB9">
        <w:rPr>
          <w:rFonts w:ascii="Garamond" w:eastAsia="Garamond" w:hAnsi="Garamond" w:cs="Garamond"/>
          <w:sz w:val="24"/>
          <w:szCs w:val="24"/>
        </w:rPr>
        <w:t>might improve the equity impact</w:t>
      </w:r>
      <w:r w:rsidR="002F5712">
        <w:rPr>
          <w:rFonts w:ascii="Garamond" w:eastAsia="Garamond" w:hAnsi="Garamond" w:cs="Garamond"/>
          <w:sz w:val="24"/>
          <w:szCs w:val="24"/>
        </w:rPr>
        <w:t xml:space="preserve"> (i.e. shifting the intervention to the right on the equity impact axis) but </w:t>
      </w:r>
      <w:r w:rsidR="00C76CB9">
        <w:rPr>
          <w:rFonts w:ascii="Garamond" w:eastAsia="Garamond" w:hAnsi="Garamond" w:cs="Garamond"/>
          <w:sz w:val="24"/>
          <w:szCs w:val="24"/>
        </w:rPr>
        <w:t>it could also increase total programme costs</w:t>
      </w:r>
      <w:r w:rsidR="002F5712">
        <w:rPr>
          <w:rFonts w:ascii="Garamond" w:eastAsia="Garamond" w:hAnsi="Garamond" w:cs="Garamond"/>
          <w:sz w:val="24"/>
          <w:szCs w:val="24"/>
        </w:rPr>
        <w:t xml:space="preserve"> (i.e. shifting the intervention downwards on the efficiency impact axis)</w:t>
      </w:r>
      <w:r w:rsidR="00C76CB9">
        <w:rPr>
          <w:rFonts w:ascii="Garamond" w:eastAsia="Garamond" w:hAnsi="Garamond" w:cs="Garamond"/>
          <w:sz w:val="24"/>
          <w:szCs w:val="24"/>
        </w:rPr>
        <w:t>. W</w:t>
      </w:r>
      <w:r w:rsidR="007D0E3B">
        <w:rPr>
          <w:rFonts w:ascii="Garamond" w:eastAsia="Garamond" w:hAnsi="Garamond" w:cs="Garamond"/>
          <w:sz w:val="24"/>
          <w:szCs w:val="24"/>
        </w:rPr>
        <w:t xml:space="preserve">hether </w:t>
      </w:r>
      <w:r w:rsidR="00C76CB9">
        <w:rPr>
          <w:rFonts w:ascii="Garamond" w:eastAsia="Garamond" w:hAnsi="Garamond" w:cs="Garamond"/>
          <w:sz w:val="24"/>
          <w:szCs w:val="24"/>
        </w:rPr>
        <w:t xml:space="preserve">this re-design moves the intervention into the </w:t>
      </w:r>
      <w:r w:rsidR="00A5591A">
        <w:rPr>
          <w:rFonts w:ascii="Garamond" w:eastAsia="Garamond" w:hAnsi="Garamond" w:cs="Garamond"/>
          <w:sz w:val="24"/>
          <w:szCs w:val="24"/>
        </w:rPr>
        <w:t>‘</w:t>
      </w:r>
      <w:r w:rsidR="00C76CB9">
        <w:rPr>
          <w:rFonts w:ascii="Garamond" w:eastAsia="Garamond" w:hAnsi="Garamond" w:cs="Garamond"/>
          <w:sz w:val="24"/>
          <w:szCs w:val="24"/>
        </w:rPr>
        <w:t>win-</w:t>
      </w:r>
      <w:r w:rsidR="00A5591A">
        <w:rPr>
          <w:rFonts w:ascii="Garamond" w:eastAsia="Garamond" w:hAnsi="Garamond" w:cs="Garamond"/>
          <w:sz w:val="24"/>
          <w:szCs w:val="24"/>
        </w:rPr>
        <w:t>w</w:t>
      </w:r>
      <w:r w:rsidR="00C76CB9">
        <w:rPr>
          <w:rFonts w:ascii="Garamond" w:eastAsia="Garamond" w:hAnsi="Garamond" w:cs="Garamond"/>
          <w:sz w:val="24"/>
          <w:szCs w:val="24"/>
        </w:rPr>
        <w:t>in</w:t>
      </w:r>
      <w:r w:rsidR="00A5591A">
        <w:rPr>
          <w:rFonts w:ascii="Garamond" w:eastAsia="Garamond" w:hAnsi="Garamond" w:cs="Garamond"/>
          <w:sz w:val="24"/>
          <w:szCs w:val="24"/>
        </w:rPr>
        <w:t>’</w:t>
      </w:r>
      <w:r w:rsidR="00C76CB9">
        <w:rPr>
          <w:rFonts w:ascii="Garamond" w:eastAsia="Garamond" w:hAnsi="Garamond" w:cs="Garamond"/>
          <w:sz w:val="24"/>
          <w:szCs w:val="24"/>
        </w:rPr>
        <w:t xml:space="preserve"> quadrant </w:t>
      </w:r>
      <w:r w:rsidR="007D0E3B">
        <w:rPr>
          <w:rFonts w:ascii="Garamond" w:eastAsia="Garamond" w:hAnsi="Garamond" w:cs="Garamond"/>
          <w:sz w:val="24"/>
          <w:szCs w:val="24"/>
        </w:rPr>
        <w:t>would need careful analysis.</w:t>
      </w:r>
    </w:p>
    <w:p w14:paraId="2FF70322" w14:textId="7FF59249" w:rsidR="00BE1B83" w:rsidRDefault="002215EF" w:rsidP="008A4844">
      <w:pPr>
        <w:spacing w:before="240" w:after="240" w:line="480" w:lineRule="auto"/>
        <w:rPr>
          <w:rFonts w:ascii="Garamond" w:eastAsia="Garamond" w:hAnsi="Garamond" w:cs="Garamond"/>
          <w:b/>
          <w:sz w:val="24"/>
          <w:szCs w:val="24"/>
        </w:rPr>
      </w:pPr>
      <w:r>
        <w:rPr>
          <w:rFonts w:ascii="Garamond" w:eastAsia="Garamond" w:hAnsi="Garamond" w:cs="Garamond"/>
          <w:b/>
          <w:sz w:val="24"/>
          <w:szCs w:val="24"/>
        </w:rPr>
        <w:t xml:space="preserve">3.2 </w:t>
      </w:r>
      <w:r w:rsidR="00633980">
        <w:rPr>
          <w:rFonts w:ascii="Garamond" w:eastAsia="Garamond" w:hAnsi="Garamond" w:cs="Garamond"/>
          <w:b/>
          <w:sz w:val="24"/>
          <w:szCs w:val="24"/>
        </w:rPr>
        <w:t>Analysing Equity Impacts and Trade-Offs</w:t>
      </w:r>
    </w:p>
    <w:p w14:paraId="5AB0E2DC" w14:textId="3FB00DDB" w:rsidR="00BE1B83" w:rsidRDefault="00633980" w:rsidP="007D77C0">
      <w:pPr>
        <w:widowControl w:val="0"/>
        <w:spacing w:after="0" w:line="480" w:lineRule="auto"/>
        <w:rPr>
          <w:rFonts w:ascii="Garamond" w:eastAsia="Garamond" w:hAnsi="Garamond" w:cs="Garamond"/>
          <w:i/>
          <w:sz w:val="24"/>
          <w:szCs w:val="24"/>
        </w:rPr>
      </w:pPr>
      <w:r>
        <w:rPr>
          <w:rFonts w:ascii="Garamond" w:eastAsia="Garamond" w:hAnsi="Garamond" w:cs="Garamond"/>
          <w:sz w:val="24"/>
          <w:szCs w:val="24"/>
        </w:rPr>
        <w:t xml:space="preserve">In the </w:t>
      </w:r>
      <w:r w:rsidR="00A5591A">
        <w:rPr>
          <w:rFonts w:ascii="Garamond" w:eastAsia="Garamond" w:hAnsi="Garamond" w:cs="Garamond"/>
          <w:sz w:val="24"/>
          <w:szCs w:val="24"/>
        </w:rPr>
        <w:t>‘</w:t>
      </w:r>
      <w:r>
        <w:rPr>
          <w:rFonts w:ascii="Garamond" w:eastAsia="Garamond" w:hAnsi="Garamond" w:cs="Garamond"/>
          <w:sz w:val="24"/>
          <w:szCs w:val="24"/>
        </w:rPr>
        <w:t>win-lose</w:t>
      </w:r>
      <w:r w:rsidR="00A5591A">
        <w:rPr>
          <w:rFonts w:ascii="Garamond" w:eastAsia="Garamond" w:hAnsi="Garamond" w:cs="Garamond"/>
          <w:sz w:val="24"/>
          <w:szCs w:val="24"/>
        </w:rPr>
        <w:t>’</w:t>
      </w:r>
      <w:r>
        <w:rPr>
          <w:rFonts w:ascii="Garamond" w:eastAsia="Garamond" w:hAnsi="Garamond" w:cs="Garamond"/>
          <w:sz w:val="24"/>
          <w:szCs w:val="24"/>
        </w:rPr>
        <w:t xml:space="preserve"> and </w:t>
      </w:r>
      <w:r w:rsidR="00A5591A">
        <w:rPr>
          <w:rFonts w:ascii="Garamond" w:eastAsia="Garamond" w:hAnsi="Garamond" w:cs="Garamond"/>
          <w:sz w:val="24"/>
          <w:szCs w:val="24"/>
        </w:rPr>
        <w:t>‘</w:t>
      </w:r>
      <w:r>
        <w:rPr>
          <w:rFonts w:ascii="Garamond" w:eastAsia="Garamond" w:hAnsi="Garamond" w:cs="Garamond"/>
          <w:sz w:val="24"/>
          <w:szCs w:val="24"/>
        </w:rPr>
        <w:t>lose-win</w:t>
      </w:r>
      <w:r w:rsidR="00A5591A">
        <w:rPr>
          <w:rFonts w:ascii="Garamond" w:eastAsia="Garamond" w:hAnsi="Garamond" w:cs="Garamond"/>
          <w:sz w:val="24"/>
          <w:szCs w:val="24"/>
        </w:rPr>
        <w:t>’</w:t>
      </w:r>
      <w:r>
        <w:rPr>
          <w:rFonts w:ascii="Garamond" w:eastAsia="Garamond" w:hAnsi="Garamond" w:cs="Garamond"/>
          <w:sz w:val="24"/>
          <w:szCs w:val="24"/>
        </w:rPr>
        <w:t xml:space="preserve"> cases, equity trade-off analysis is required to address the questions: which policy is fairer, which policy is better for total health, and which policy is better overall?  This analysis can be done informally by making intuitive judgements based on the pre- and post-policy distributions.  It can also be done formally</w:t>
      </w:r>
      <w:r w:rsidR="007D77C0">
        <w:rPr>
          <w:rFonts w:ascii="Garamond" w:eastAsia="Garamond" w:hAnsi="Garamond" w:cs="Garamond"/>
          <w:sz w:val="24"/>
          <w:szCs w:val="24"/>
        </w:rPr>
        <w:t xml:space="preserve">, for example by </w:t>
      </w:r>
      <w:r>
        <w:rPr>
          <w:rFonts w:ascii="Garamond" w:eastAsia="Garamond" w:hAnsi="Garamond" w:cs="Garamond"/>
          <w:sz w:val="24"/>
          <w:szCs w:val="24"/>
        </w:rPr>
        <w:t>quantifying equity impact</w:t>
      </w:r>
      <w:r w:rsidR="007D77C0">
        <w:rPr>
          <w:rFonts w:ascii="Garamond" w:eastAsia="Garamond" w:hAnsi="Garamond" w:cs="Garamond"/>
          <w:sz w:val="24"/>
          <w:szCs w:val="24"/>
        </w:rPr>
        <w:t>s</w:t>
      </w:r>
      <w:r>
        <w:rPr>
          <w:rFonts w:ascii="Garamond" w:eastAsia="Garamond" w:hAnsi="Garamond" w:cs="Garamond"/>
          <w:sz w:val="24"/>
          <w:szCs w:val="24"/>
        </w:rPr>
        <w:t xml:space="preserve"> using specific inequality indices</w:t>
      </w:r>
      <w:r w:rsidR="007D77C0">
        <w:rPr>
          <w:rFonts w:ascii="Garamond" w:eastAsia="Garamond" w:hAnsi="Garamond" w:cs="Garamond"/>
          <w:sz w:val="24"/>
          <w:szCs w:val="24"/>
        </w:rPr>
        <w:t xml:space="preserve"> or weighting benefits for certain groups.</w:t>
      </w:r>
      <w:r w:rsidR="00C76C10">
        <w:rPr>
          <w:rFonts w:ascii="Garamond" w:eastAsia="Garamond" w:hAnsi="Garamond" w:cs="Garamond"/>
          <w:sz w:val="24"/>
          <w:szCs w:val="24"/>
        </w:rPr>
        <w:t xml:space="preserve">  T</w:t>
      </w:r>
      <w:r>
        <w:rPr>
          <w:rFonts w:ascii="Garamond" w:eastAsia="Garamond" w:hAnsi="Garamond" w:cs="Garamond"/>
          <w:sz w:val="24"/>
          <w:szCs w:val="24"/>
        </w:rPr>
        <w:t>raining resources on how to apply these methods are provided in the appendix.</w:t>
      </w:r>
    </w:p>
    <w:p w14:paraId="359B3AF5" w14:textId="0B5D317F" w:rsidR="00BE1B83" w:rsidRPr="002215EF" w:rsidRDefault="00633980" w:rsidP="000141B6">
      <w:pPr>
        <w:pStyle w:val="Heading1"/>
        <w:numPr>
          <w:ilvl w:val="0"/>
          <w:numId w:val="8"/>
        </w:numPr>
        <w:spacing w:line="480" w:lineRule="auto"/>
        <w:rPr>
          <w:rFonts w:ascii="Garamond" w:eastAsia="Garamond" w:hAnsi="Garamond" w:cs="Garamond"/>
          <w:b/>
          <w:color w:val="000000"/>
          <w:sz w:val="28"/>
          <w:szCs w:val="28"/>
        </w:rPr>
      </w:pPr>
      <w:bookmarkStart w:id="7" w:name="_ximvinw6rekh" w:colFirst="0" w:colLast="0"/>
      <w:bookmarkStart w:id="8" w:name="_ints9serwjgl" w:colFirst="0" w:colLast="0"/>
      <w:bookmarkEnd w:id="7"/>
      <w:bookmarkEnd w:id="8"/>
      <w:r w:rsidRPr="002215EF">
        <w:rPr>
          <w:rFonts w:ascii="Garamond" w:eastAsia="Garamond" w:hAnsi="Garamond" w:cs="Garamond"/>
          <w:b/>
          <w:color w:val="000000"/>
          <w:sz w:val="28"/>
          <w:szCs w:val="28"/>
        </w:rPr>
        <w:t>Equity-Informative Performance Measurement</w:t>
      </w:r>
    </w:p>
    <w:p w14:paraId="1F31889F" w14:textId="77777777" w:rsidR="00BE1B83" w:rsidRDefault="00633980" w:rsidP="008A4844">
      <w:pPr>
        <w:spacing w:after="0" w:line="480" w:lineRule="auto"/>
        <w:rPr>
          <w:rFonts w:ascii="Garamond" w:eastAsia="Garamond" w:hAnsi="Garamond" w:cs="Garamond"/>
          <w:sz w:val="24"/>
          <w:szCs w:val="24"/>
        </w:rPr>
      </w:pPr>
      <w:r>
        <w:rPr>
          <w:rFonts w:ascii="Garamond" w:eastAsia="Garamond" w:hAnsi="Garamond" w:cs="Garamond"/>
          <w:sz w:val="24"/>
          <w:szCs w:val="24"/>
        </w:rPr>
        <w:t xml:space="preserve">Performance measurement is a core area of health services research and quality indicators are routinely used for quality improvement and accountability purposes </w:t>
      </w:r>
      <w:hyperlink r:id="rId31">
        <w:r>
          <w:rPr>
            <w:rFonts w:ascii="Garamond" w:eastAsia="Garamond" w:hAnsi="Garamond" w:cs="Garamond"/>
            <w:color w:val="000000"/>
            <w:sz w:val="24"/>
            <w:szCs w:val="24"/>
          </w:rPr>
          <w:t>(Smith et al., 2009)</w:t>
        </w:r>
      </w:hyperlink>
      <w:r>
        <w:rPr>
          <w:rFonts w:ascii="Garamond" w:eastAsia="Garamond" w:hAnsi="Garamond" w:cs="Garamond"/>
          <w:sz w:val="24"/>
          <w:szCs w:val="24"/>
        </w:rPr>
        <w:t xml:space="preserve">.  However, health inequality monitoring is often isolated from mainstream system-level, organisation-level and clinician-level healthcare performance monitoring and quality assurance processes. National reports on inequalities in health and healthcare are produced from time to time, but equity performance indicators are not routinely used to inform healthcare decision making or to hold healthcare planners, managers and clinicians accountable </w:t>
      </w:r>
      <w:hyperlink r:id="rId32">
        <w:r>
          <w:rPr>
            <w:rFonts w:ascii="Garamond" w:eastAsia="Garamond" w:hAnsi="Garamond" w:cs="Garamond"/>
            <w:color w:val="000000"/>
            <w:sz w:val="24"/>
            <w:szCs w:val="24"/>
          </w:rPr>
          <w:t xml:space="preserve">(Cookson et al., </w:t>
        </w:r>
        <w:r>
          <w:rPr>
            <w:rFonts w:ascii="Garamond" w:eastAsia="Garamond" w:hAnsi="Garamond" w:cs="Garamond"/>
            <w:color w:val="000000"/>
            <w:sz w:val="24"/>
            <w:szCs w:val="24"/>
          </w:rPr>
          <w:lastRenderedPageBreak/>
          <w:t>2018)</w:t>
        </w:r>
      </w:hyperlink>
      <w:r>
        <w:rPr>
          <w:rFonts w:ascii="Garamond" w:eastAsia="Garamond" w:hAnsi="Garamond" w:cs="Garamond"/>
          <w:sz w:val="24"/>
          <w:szCs w:val="24"/>
        </w:rPr>
        <w:t xml:space="preserve">. As a result, health service planners, managers and clinicians remain ill-informed about inequalities in the quality of care within their own area of responsibility, despite becoming increasingly well-informed about quality of care for the average patient. </w:t>
      </w:r>
    </w:p>
    <w:p w14:paraId="4A52F768" w14:textId="0D566F06" w:rsidR="00BE1B83" w:rsidRDefault="00633980" w:rsidP="008A4844">
      <w:pPr>
        <w:spacing w:before="240" w:after="0" w:line="480" w:lineRule="auto"/>
        <w:rPr>
          <w:rFonts w:ascii="Garamond" w:eastAsia="Garamond" w:hAnsi="Garamond" w:cs="Garamond"/>
          <w:sz w:val="24"/>
          <w:szCs w:val="24"/>
        </w:rPr>
      </w:pPr>
      <w:r>
        <w:rPr>
          <w:rFonts w:ascii="Garamond" w:eastAsia="Garamond" w:hAnsi="Garamond" w:cs="Garamond"/>
          <w:sz w:val="24"/>
          <w:szCs w:val="24"/>
        </w:rPr>
        <w:t xml:space="preserve">One problem has been the focus on </w:t>
      </w:r>
      <w:r w:rsidR="00626436">
        <w:rPr>
          <w:rFonts w:ascii="Garamond" w:eastAsia="Garamond" w:hAnsi="Garamond" w:cs="Garamond"/>
          <w:sz w:val="24"/>
          <w:szCs w:val="24"/>
        </w:rPr>
        <w:t>‘</w:t>
      </w:r>
      <w:r>
        <w:rPr>
          <w:rFonts w:ascii="Garamond" w:eastAsia="Garamond" w:hAnsi="Garamond" w:cs="Garamond"/>
          <w:sz w:val="24"/>
          <w:szCs w:val="24"/>
        </w:rPr>
        <w:t>sluggish</w:t>
      </w:r>
      <w:r w:rsidR="00626436">
        <w:rPr>
          <w:rFonts w:ascii="Garamond" w:eastAsia="Garamond" w:hAnsi="Garamond" w:cs="Garamond"/>
          <w:sz w:val="24"/>
          <w:szCs w:val="24"/>
        </w:rPr>
        <w:t>’</w:t>
      </w:r>
      <w:r>
        <w:rPr>
          <w:rFonts w:ascii="Garamond" w:eastAsia="Garamond" w:hAnsi="Garamond" w:cs="Garamond"/>
          <w:sz w:val="24"/>
          <w:szCs w:val="24"/>
        </w:rPr>
        <w:t xml:space="preserve"> equity performance indicators like inequality in life expectancy, which are relatively unresponsive to short-term changes in health service delivery and are often several years out-of-date by the time they are reported.  However, the major obstacle has been a lack of sufficiently granular analysis and reporting of equity performance.  Indicators of inequality in health and healthcare have tended to be produced at the level of national or regional populations comprising millions of people.  This allows inequality to be measured using a full range of standard quality indicators, including age-specific and disease-specific outcomes that are relatively rare within the general population, such as infant mortality or the recovery rate from psychological therapy. This can be useful for national and regional accountability purposes, especially in jurisdictions with a high degree of centralised control over national and regional health service planning. However, national and regional equity indicators do not speak directly to local health system planners responsible for healthcare purchasing, planning and delivery, or to the managers of hospitals, primary care practices and other health care provider organisations, or to clinicians themselves.  They cannot be used to inform decision making by local planners, managers and clinicians or to hold them accountable.  </w:t>
      </w:r>
    </w:p>
    <w:p w14:paraId="6BEA1ABC" w14:textId="4EEB2244" w:rsidR="00BE1B83" w:rsidRDefault="00633980" w:rsidP="008A4844">
      <w:pPr>
        <w:spacing w:before="240" w:after="0" w:line="480" w:lineRule="auto"/>
        <w:rPr>
          <w:rFonts w:ascii="Garamond" w:eastAsia="Garamond" w:hAnsi="Garamond" w:cs="Garamond"/>
          <w:sz w:val="24"/>
          <w:szCs w:val="24"/>
        </w:rPr>
      </w:pPr>
      <w:r>
        <w:rPr>
          <w:rFonts w:ascii="Garamond" w:eastAsia="Garamond" w:hAnsi="Garamond" w:cs="Garamond"/>
          <w:sz w:val="24"/>
          <w:szCs w:val="24"/>
        </w:rPr>
        <w:t xml:space="preserve">A recent focus of research, therefore, has been to develop more granular equity performance indicators that are more relevant to local decision makers. At present, indicators exist that can be used for monitoring equity in healthcare within </w:t>
      </w:r>
      <w:proofErr w:type="gramStart"/>
      <w:r>
        <w:rPr>
          <w:rFonts w:ascii="Garamond" w:eastAsia="Garamond" w:hAnsi="Garamond" w:cs="Garamond"/>
          <w:sz w:val="24"/>
          <w:szCs w:val="24"/>
        </w:rPr>
        <w:t>geographically-defined</w:t>
      </w:r>
      <w:proofErr w:type="gramEnd"/>
      <w:r>
        <w:rPr>
          <w:rFonts w:ascii="Garamond" w:eastAsia="Garamond" w:hAnsi="Garamond" w:cs="Garamond"/>
          <w:sz w:val="24"/>
          <w:szCs w:val="24"/>
        </w:rPr>
        <w:t xml:space="preserve"> local health systems comprising populations of a few hundred thousand general population.  This approach cannot be applied to age- and disease-specific quality indicators, since comparing different social subgroups then runs up against </w:t>
      </w:r>
      <w:r w:rsidR="00626436">
        <w:rPr>
          <w:rFonts w:ascii="Garamond" w:eastAsia="Garamond" w:hAnsi="Garamond" w:cs="Garamond"/>
          <w:sz w:val="24"/>
          <w:szCs w:val="24"/>
        </w:rPr>
        <w:t>‘</w:t>
      </w:r>
      <w:r>
        <w:rPr>
          <w:rFonts w:ascii="Garamond" w:eastAsia="Garamond" w:hAnsi="Garamond" w:cs="Garamond"/>
          <w:sz w:val="24"/>
          <w:szCs w:val="24"/>
        </w:rPr>
        <w:t>small numbers</w:t>
      </w:r>
      <w:r w:rsidR="00626436">
        <w:rPr>
          <w:rFonts w:ascii="Garamond" w:eastAsia="Garamond" w:hAnsi="Garamond" w:cs="Garamond"/>
          <w:sz w:val="24"/>
          <w:szCs w:val="24"/>
        </w:rPr>
        <w:t>’</w:t>
      </w:r>
      <w:r>
        <w:rPr>
          <w:rFonts w:ascii="Garamond" w:eastAsia="Garamond" w:hAnsi="Garamond" w:cs="Garamond"/>
          <w:sz w:val="24"/>
          <w:szCs w:val="24"/>
        </w:rPr>
        <w:t xml:space="preserve"> problems of instability and lack of statistical power.  However,  it can be applied to several general indicators of healthcare structure, process </w:t>
      </w:r>
      <w:r>
        <w:rPr>
          <w:rFonts w:ascii="Garamond" w:eastAsia="Garamond" w:hAnsi="Garamond" w:cs="Garamond"/>
          <w:sz w:val="24"/>
          <w:szCs w:val="24"/>
        </w:rPr>
        <w:lastRenderedPageBreak/>
        <w:t xml:space="preserve">and outcome quality including – but not limited to – primary care supply, primary care process quality, hospital waiting times, hospital admissions, hospital mortality, and mortality considered amenable to health care </w:t>
      </w:r>
      <w:hyperlink r:id="rId33">
        <w:r>
          <w:rPr>
            <w:rFonts w:ascii="Garamond" w:eastAsia="Garamond" w:hAnsi="Garamond" w:cs="Garamond"/>
            <w:color w:val="000000"/>
            <w:sz w:val="24"/>
            <w:szCs w:val="24"/>
          </w:rPr>
          <w:t>(Cookson et al., 2016)</w:t>
        </w:r>
      </w:hyperlink>
      <w:r>
        <w:rPr>
          <w:rFonts w:ascii="Garamond" w:eastAsia="Garamond" w:hAnsi="Garamond" w:cs="Garamond"/>
          <w:sz w:val="24"/>
          <w:szCs w:val="24"/>
        </w:rPr>
        <w:t xml:space="preserve">.  The next phase of research will be to refine these indicators and develop new indicators for monitoring the equity performance of provider organizations and individual clinicians.  Equity performance monitoring is still in its infancy, and equity indicators are not yet sufficiently well developed and understood to be used for </w:t>
      </w:r>
      <w:r w:rsidR="00626436">
        <w:rPr>
          <w:rFonts w:ascii="Garamond" w:eastAsia="Garamond" w:hAnsi="Garamond" w:cs="Garamond"/>
          <w:sz w:val="24"/>
          <w:szCs w:val="24"/>
        </w:rPr>
        <w:t>‘</w:t>
      </w:r>
      <w:r>
        <w:rPr>
          <w:rFonts w:ascii="Garamond" w:eastAsia="Garamond" w:hAnsi="Garamond" w:cs="Garamond"/>
          <w:sz w:val="24"/>
          <w:szCs w:val="24"/>
        </w:rPr>
        <w:t>performance management</w:t>
      </w:r>
      <w:r w:rsidR="00626436">
        <w:rPr>
          <w:rFonts w:ascii="Garamond" w:eastAsia="Garamond" w:hAnsi="Garamond" w:cs="Garamond"/>
          <w:sz w:val="24"/>
          <w:szCs w:val="24"/>
        </w:rPr>
        <w:t>’</w:t>
      </w:r>
      <w:r>
        <w:rPr>
          <w:rFonts w:ascii="Garamond" w:eastAsia="Garamond" w:hAnsi="Garamond" w:cs="Garamond"/>
          <w:sz w:val="24"/>
          <w:szCs w:val="24"/>
        </w:rPr>
        <w:t xml:space="preserve"> and </w:t>
      </w:r>
      <w:r w:rsidR="00626436">
        <w:rPr>
          <w:rFonts w:ascii="Garamond" w:eastAsia="Garamond" w:hAnsi="Garamond" w:cs="Garamond"/>
          <w:sz w:val="24"/>
          <w:szCs w:val="24"/>
        </w:rPr>
        <w:t>‘</w:t>
      </w:r>
      <w:r>
        <w:rPr>
          <w:rFonts w:ascii="Garamond" w:eastAsia="Garamond" w:hAnsi="Garamond" w:cs="Garamond"/>
          <w:sz w:val="24"/>
          <w:szCs w:val="24"/>
        </w:rPr>
        <w:t>pay for performance</w:t>
      </w:r>
      <w:r w:rsidR="00626436">
        <w:rPr>
          <w:rFonts w:ascii="Garamond" w:eastAsia="Garamond" w:hAnsi="Garamond" w:cs="Garamond"/>
          <w:sz w:val="24"/>
          <w:szCs w:val="24"/>
        </w:rPr>
        <w:t>’</w:t>
      </w:r>
      <w:r>
        <w:rPr>
          <w:rFonts w:ascii="Garamond" w:eastAsia="Garamond" w:hAnsi="Garamond" w:cs="Garamond"/>
          <w:sz w:val="24"/>
          <w:szCs w:val="24"/>
        </w:rPr>
        <w:t xml:space="preserve"> purposes involving high powered punishments and rewards.  However, it is now possible to start using equity indicators for quality improvement and accountability purposes, to help monitor progress in improving equity, to spot potential emerging problems requiring further investigation, to learn lessons, and to provide a data analytical platform for evaluation studies.</w:t>
      </w:r>
    </w:p>
    <w:p w14:paraId="0F1082DB" w14:textId="5FBB4635" w:rsidR="00BE1B83" w:rsidRDefault="00633980" w:rsidP="008A4844">
      <w:pPr>
        <w:spacing w:before="240" w:after="0" w:line="480" w:lineRule="auto"/>
        <w:rPr>
          <w:rFonts w:ascii="Garamond" w:eastAsia="Garamond" w:hAnsi="Garamond" w:cs="Garamond"/>
          <w:sz w:val="24"/>
          <w:szCs w:val="24"/>
        </w:rPr>
      </w:pPr>
      <w:r>
        <w:rPr>
          <w:rFonts w:ascii="Garamond" w:eastAsia="Garamond" w:hAnsi="Garamond" w:cs="Garamond"/>
          <w:sz w:val="24"/>
          <w:szCs w:val="24"/>
        </w:rPr>
        <w:t>In what follows, we present a general conceptual framework that can in principle be applied to equity performance comparisons at any population level.  The basic idea is to measure social inequality in the quality of care within the population served by the relevant healthcare decision maker, benchmark this against similar populations served by similar decision makers, and monitor change over time.  We illustrate the approach using an indicator that is widely used to assess the quality of care coordination between primary, community and acute settings: emergency inpatient hospital admissions for ambulatory care sensitive chronic conditions (</w:t>
      </w:r>
      <w:r w:rsidR="00626436">
        <w:rPr>
          <w:rFonts w:ascii="Garamond" w:eastAsia="Garamond" w:hAnsi="Garamond" w:cs="Garamond"/>
          <w:sz w:val="24"/>
          <w:szCs w:val="24"/>
        </w:rPr>
        <w:t>‘</w:t>
      </w:r>
      <w:r>
        <w:rPr>
          <w:rFonts w:ascii="Garamond" w:eastAsia="Garamond" w:hAnsi="Garamond" w:cs="Garamond"/>
          <w:sz w:val="24"/>
          <w:szCs w:val="24"/>
        </w:rPr>
        <w:t>potentially avoidable emergency admissions</w:t>
      </w:r>
      <w:r w:rsidR="00626436">
        <w:rPr>
          <w:rFonts w:ascii="Garamond" w:eastAsia="Garamond" w:hAnsi="Garamond" w:cs="Garamond"/>
          <w:sz w:val="24"/>
          <w:szCs w:val="24"/>
        </w:rPr>
        <w:t>’</w:t>
      </w:r>
      <w:r>
        <w:rPr>
          <w:rFonts w:ascii="Garamond" w:eastAsia="Garamond" w:hAnsi="Garamond" w:cs="Garamond"/>
          <w:sz w:val="24"/>
          <w:szCs w:val="24"/>
        </w:rPr>
        <w:t xml:space="preserve">, for short).  Many other care quality indicators can be used, but this is a useful headline indicator for national, regional and local health system monitoring that can be measured using readily available administrative data on hospital activity and updated annually (or quarterly with an annual moving average).  The NHS in England has used an equity indicator of this kind since 2016 </w:t>
      </w:r>
      <w:hyperlink r:id="rId34">
        <w:r>
          <w:rPr>
            <w:rFonts w:ascii="Garamond" w:eastAsia="Garamond" w:hAnsi="Garamond" w:cs="Garamond"/>
            <w:color w:val="000000"/>
            <w:sz w:val="24"/>
            <w:szCs w:val="24"/>
          </w:rPr>
          <w:t>(Cookson et al., 2016)</w:t>
        </w:r>
      </w:hyperlink>
      <w:r>
        <w:rPr>
          <w:rFonts w:ascii="Garamond" w:eastAsia="Garamond" w:hAnsi="Garamond" w:cs="Garamond"/>
          <w:sz w:val="24"/>
          <w:szCs w:val="24"/>
        </w:rPr>
        <w:t xml:space="preserve">.  The basic conceptual framework is illustrated in </w:t>
      </w:r>
      <w:r w:rsidR="00486BE9">
        <w:rPr>
          <w:rFonts w:ascii="Garamond" w:eastAsia="Garamond" w:hAnsi="Garamond" w:cs="Garamond"/>
          <w:sz w:val="24"/>
          <w:szCs w:val="24"/>
        </w:rPr>
        <w:t>F</w:t>
      </w:r>
      <w:r>
        <w:rPr>
          <w:rFonts w:ascii="Garamond" w:eastAsia="Garamond" w:hAnsi="Garamond" w:cs="Garamond"/>
          <w:sz w:val="24"/>
          <w:szCs w:val="24"/>
        </w:rPr>
        <w:t xml:space="preserve">igure </w:t>
      </w:r>
      <w:r w:rsidR="0087017B">
        <w:rPr>
          <w:rFonts w:ascii="Garamond" w:eastAsia="Garamond" w:hAnsi="Garamond" w:cs="Garamond"/>
          <w:sz w:val="24"/>
          <w:szCs w:val="24"/>
        </w:rPr>
        <w:t>5</w:t>
      </w:r>
      <w:r>
        <w:rPr>
          <w:rFonts w:ascii="Garamond" w:eastAsia="Garamond" w:hAnsi="Garamond" w:cs="Garamond"/>
          <w:sz w:val="24"/>
          <w:szCs w:val="24"/>
        </w:rPr>
        <w:t>.</w:t>
      </w:r>
    </w:p>
    <w:p w14:paraId="0778B60C" w14:textId="19C3DC58" w:rsidR="00BE1B83" w:rsidRDefault="00633980" w:rsidP="008A4844">
      <w:pPr>
        <w:spacing w:before="240" w:after="0" w:line="480" w:lineRule="auto"/>
        <w:jc w:val="center"/>
        <w:rPr>
          <w:rFonts w:ascii="Garamond" w:eastAsia="Garamond" w:hAnsi="Garamond" w:cs="Garamond"/>
          <w:b/>
          <w:i/>
          <w:sz w:val="24"/>
          <w:szCs w:val="24"/>
        </w:rPr>
      </w:pPr>
      <w:r>
        <w:rPr>
          <w:rFonts w:ascii="Garamond" w:eastAsia="Garamond" w:hAnsi="Garamond" w:cs="Garamond"/>
          <w:i/>
          <w:sz w:val="24"/>
          <w:szCs w:val="24"/>
        </w:rPr>
        <w:lastRenderedPageBreak/>
        <w:t xml:space="preserve">Figure </w:t>
      </w:r>
      <w:r w:rsidR="0087017B">
        <w:rPr>
          <w:rFonts w:ascii="Garamond" w:eastAsia="Garamond" w:hAnsi="Garamond" w:cs="Garamond"/>
          <w:i/>
          <w:sz w:val="24"/>
          <w:szCs w:val="24"/>
        </w:rPr>
        <w:t>5</w:t>
      </w:r>
      <w:r>
        <w:rPr>
          <w:rFonts w:ascii="Garamond" w:eastAsia="Garamond" w:hAnsi="Garamond" w:cs="Garamond"/>
          <w:i/>
          <w:sz w:val="24"/>
          <w:szCs w:val="24"/>
        </w:rPr>
        <w:t>: Equity Performance Measurement: Conceptual Framework</w:t>
      </w:r>
      <w:r>
        <w:rPr>
          <w:rFonts w:ascii="Garamond" w:eastAsia="Garamond" w:hAnsi="Garamond" w:cs="Garamond"/>
          <w:noProof/>
          <w:sz w:val="24"/>
          <w:szCs w:val="24"/>
          <w:lang w:val="en-AU" w:eastAsia="en-AU"/>
        </w:rPr>
        <w:drawing>
          <wp:inline distT="114300" distB="114300" distL="114300" distR="114300" wp14:anchorId="5ECDCE14" wp14:editId="1867B46D">
            <wp:extent cx="5715000" cy="30480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5"/>
                    <a:srcRect t="4444" b="24444"/>
                    <a:stretch>
                      <a:fillRect/>
                    </a:stretch>
                  </pic:blipFill>
                  <pic:spPr>
                    <a:xfrm>
                      <a:off x="0" y="0"/>
                      <a:ext cx="5715000" cy="3048000"/>
                    </a:xfrm>
                    <a:prstGeom prst="rect">
                      <a:avLst/>
                    </a:prstGeom>
                    <a:ln/>
                  </pic:spPr>
                </pic:pic>
              </a:graphicData>
            </a:graphic>
          </wp:inline>
        </w:drawing>
      </w:r>
      <w:r>
        <w:rPr>
          <w:rFonts w:ascii="Garamond" w:eastAsia="Garamond" w:hAnsi="Garamond" w:cs="Garamond"/>
          <w:b/>
          <w:i/>
          <w:sz w:val="24"/>
          <w:szCs w:val="24"/>
        </w:rPr>
        <w:t xml:space="preserve"> </w:t>
      </w:r>
    </w:p>
    <w:p w14:paraId="5C618D0F" w14:textId="2251DF03" w:rsidR="00BE1B83" w:rsidRPr="006A7A37" w:rsidRDefault="00633980" w:rsidP="006A7A37">
      <w:pPr>
        <w:spacing w:after="0" w:line="480" w:lineRule="auto"/>
        <w:jc w:val="center"/>
        <w:rPr>
          <w:rFonts w:ascii="Garamond" w:eastAsia="Garamond" w:hAnsi="Garamond" w:cs="Garamond"/>
          <w:i/>
          <w:iCs/>
          <w:color w:val="1155CC"/>
          <w:u w:val="single"/>
        </w:rPr>
      </w:pPr>
      <w:r w:rsidRPr="006A7A37">
        <w:rPr>
          <w:rFonts w:ascii="Garamond" w:eastAsia="Garamond" w:hAnsi="Garamond" w:cs="Garamond"/>
          <w:i/>
        </w:rPr>
        <w:t>Note:</w:t>
      </w:r>
      <w:r w:rsidRPr="006A7A37">
        <w:rPr>
          <w:rFonts w:ascii="Garamond" w:eastAsia="Garamond" w:hAnsi="Garamond" w:cs="Garamond"/>
        </w:rPr>
        <w:t xml:space="preserve"> </w:t>
      </w:r>
      <w:r w:rsidRPr="006A7A37">
        <w:rPr>
          <w:rFonts w:ascii="Garamond" w:eastAsia="Garamond" w:hAnsi="Garamond" w:cs="Garamond"/>
          <w:i/>
          <w:iCs/>
        </w:rPr>
        <w:t>Rate of emergency admissions for ambulatory care sensitive conditions (e.g. heart and lung disease, diabetes, dementia) in each small area neighbourhood within the local health system, indirectly age-sex adjusted.</w:t>
      </w:r>
      <w:r w:rsidR="00D4348D" w:rsidRPr="006A7A37">
        <w:rPr>
          <w:rFonts w:ascii="Garamond" w:eastAsia="Garamond" w:hAnsi="Garamond" w:cs="Garamond"/>
          <w:i/>
          <w:iCs/>
        </w:rPr>
        <w:t xml:space="preserve">  The assumption is </w:t>
      </w:r>
      <w:r w:rsidR="0087017B" w:rsidRPr="006A7A37">
        <w:rPr>
          <w:rFonts w:ascii="Garamond" w:eastAsia="Garamond" w:hAnsi="Garamond" w:cs="Garamond"/>
          <w:i/>
          <w:iCs/>
        </w:rPr>
        <w:t xml:space="preserve">these </w:t>
      </w:r>
      <w:r w:rsidR="00D4348D" w:rsidRPr="006A7A37">
        <w:rPr>
          <w:rFonts w:ascii="Garamond" w:eastAsia="Garamond" w:hAnsi="Garamond" w:cs="Garamond"/>
          <w:i/>
          <w:iCs/>
        </w:rPr>
        <w:t xml:space="preserve">admissions are </w:t>
      </w:r>
      <w:r w:rsidR="0087017B" w:rsidRPr="006A7A37">
        <w:rPr>
          <w:rFonts w:ascii="Garamond" w:eastAsia="Garamond" w:hAnsi="Garamond" w:cs="Garamond"/>
          <w:i/>
          <w:iCs/>
        </w:rPr>
        <w:t xml:space="preserve">potentially </w:t>
      </w:r>
      <w:r w:rsidR="00D4348D" w:rsidRPr="006A7A37">
        <w:rPr>
          <w:rFonts w:ascii="Garamond" w:eastAsia="Garamond" w:hAnsi="Garamond" w:cs="Garamond"/>
          <w:i/>
          <w:iCs/>
        </w:rPr>
        <w:t>avoidable through high quality care</w:t>
      </w:r>
      <w:r w:rsidR="0087017B" w:rsidRPr="006A7A37">
        <w:rPr>
          <w:rFonts w:ascii="Garamond" w:eastAsia="Garamond" w:hAnsi="Garamond" w:cs="Garamond"/>
          <w:i/>
          <w:iCs/>
        </w:rPr>
        <w:t xml:space="preserve">, and hence more is worse – </w:t>
      </w:r>
      <w:r w:rsidR="00D4348D" w:rsidRPr="006A7A37">
        <w:rPr>
          <w:rFonts w:ascii="Garamond" w:eastAsia="Garamond" w:hAnsi="Garamond" w:cs="Garamond"/>
          <w:i/>
          <w:iCs/>
        </w:rPr>
        <w:t xml:space="preserve">though of course some emergency admissions are unavoidable </w:t>
      </w:r>
      <w:r w:rsidR="0087017B" w:rsidRPr="006A7A37">
        <w:rPr>
          <w:rFonts w:ascii="Garamond" w:eastAsia="Garamond" w:hAnsi="Garamond" w:cs="Garamond"/>
          <w:i/>
          <w:iCs/>
        </w:rPr>
        <w:t xml:space="preserve">and </w:t>
      </w:r>
      <w:r w:rsidR="00AF1C34" w:rsidRPr="006A7A37">
        <w:rPr>
          <w:rFonts w:ascii="Garamond" w:eastAsia="Garamond" w:hAnsi="Garamond" w:cs="Garamond"/>
          <w:i/>
          <w:iCs/>
        </w:rPr>
        <w:t xml:space="preserve">even </w:t>
      </w:r>
      <w:r w:rsidR="00D4348D" w:rsidRPr="006A7A37">
        <w:rPr>
          <w:rFonts w:ascii="Garamond" w:eastAsia="Garamond" w:hAnsi="Garamond" w:cs="Garamond"/>
          <w:i/>
          <w:iCs/>
        </w:rPr>
        <w:t>desirable.</w:t>
      </w:r>
      <w:r w:rsidR="006A7A37">
        <w:rPr>
          <w:rFonts w:ascii="Garamond" w:eastAsia="Garamond" w:hAnsi="Garamond" w:cs="Garamond"/>
          <w:i/>
          <w:iCs/>
        </w:rPr>
        <w:t xml:space="preserve">  </w:t>
      </w:r>
      <w:r w:rsidRPr="006A7A37">
        <w:rPr>
          <w:rFonts w:ascii="Garamond" w:eastAsia="Garamond" w:hAnsi="Garamond" w:cs="Garamond"/>
          <w:i/>
          <w:iCs/>
        </w:rPr>
        <w:t>Source:</w:t>
      </w:r>
      <w:hyperlink r:id="rId36">
        <w:r w:rsidRPr="006A7A37">
          <w:rPr>
            <w:rFonts w:ascii="Garamond" w:eastAsia="Garamond" w:hAnsi="Garamond" w:cs="Garamond"/>
            <w:i/>
            <w:iCs/>
          </w:rPr>
          <w:t xml:space="preserve"> </w:t>
        </w:r>
      </w:hyperlink>
      <w:hyperlink r:id="rId37">
        <w:r w:rsidRPr="006A7A37">
          <w:rPr>
            <w:rFonts w:ascii="Garamond" w:eastAsia="Garamond" w:hAnsi="Garamond" w:cs="Garamond"/>
            <w:i/>
            <w:iCs/>
            <w:color w:val="1155CC"/>
            <w:u w:val="single"/>
          </w:rPr>
          <w:t>https://shiny.york.ac.uk/ccg_equity/</w:t>
        </w:r>
      </w:hyperlink>
    </w:p>
    <w:p w14:paraId="256D6672" w14:textId="77777777" w:rsidR="00BE1B83" w:rsidRDefault="00633980" w:rsidP="008A4844">
      <w:pPr>
        <w:spacing w:after="0" w:line="480" w:lineRule="auto"/>
        <w:ind w:left="720"/>
        <w:rPr>
          <w:rFonts w:ascii="Garamond" w:eastAsia="Garamond" w:hAnsi="Garamond" w:cs="Garamond"/>
          <w:b/>
          <w:i/>
          <w:sz w:val="24"/>
          <w:szCs w:val="24"/>
        </w:rPr>
      </w:pPr>
      <w:r>
        <w:rPr>
          <w:rFonts w:ascii="Garamond" w:eastAsia="Garamond" w:hAnsi="Garamond" w:cs="Garamond"/>
          <w:b/>
          <w:i/>
          <w:sz w:val="24"/>
          <w:szCs w:val="24"/>
        </w:rPr>
        <w:t xml:space="preserve"> </w:t>
      </w:r>
    </w:p>
    <w:p w14:paraId="70FFEFC3" w14:textId="2F6C7466" w:rsidR="00BE1B83" w:rsidRDefault="00633980" w:rsidP="008A4844">
      <w:pPr>
        <w:spacing w:before="240" w:after="0" w:line="480" w:lineRule="auto"/>
        <w:rPr>
          <w:rFonts w:ascii="Garamond" w:eastAsia="Garamond" w:hAnsi="Garamond" w:cs="Garamond"/>
          <w:sz w:val="24"/>
          <w:szCs w:val="24"/>
        </w:rPr>
      </w:pPr>
      <w:r>
        <w:rPr>
          <w:rFonts w:ascii="Garamond" w:eastAsia="Garamond" w:hAnsi="Garamond" w:cs="Garamond"/>
          <w:sz w:val="24"/>
          <w:szCs w:val="24"/>
        </w:rPr>
        <w:t xml:space="preserve">Equity performance is compared between the population served by the relevant healthcare decision making unit </w:t>
      </w:r>
      <w:r w:rsidR="00626436">
        <w:rPr>
          <w:rFonts w:ascii="Garamond" w:eastAsia="Garamond" w:hAnsi="Garamond" w:cs="Garamond"/>
          <w:sz w:val="24"/>
          <w:szCs w:val="24"/>
        </w:rPr>
        <w:t>–</w:t>
      </w:r>
      <w:r>
        <w:rPr>
          <w:rFonts w:ascii="Garamond" w:eastAsia="Garamond" w:hAnsi="Garamond" w:cs="Garamond"/>
          <w:sz w:val="24"/>
          <w:szCs w:val="24"/>
        </w:rPr>
        <w:t xml:space="preserve"> labelled “your” population in </w:t>
      </w:r>
      <w:r w:rsidR="00486BE9">
        <w:rPr>
          <w:rFonts w:ascii="Garamond" w:eastAsia="Garamond" w:hAnsi="Garamond" w:cs="Garamond"/>
          <w:sz w:val="24"/>
          <w:szCs w:val="24"/>
        </w:rPr>
        <w:t>F</w:t>
      </w:r>
      <w:r>
        <w:rPr>
          <w:rFonts w:ascii="Garamond" w:eastAsia="Garamond" w:hAnsi="Garamond" w:cs="Garamond"/>
          <w:sz w:val="24"/>
          <w:szCs w:val="24"/>
        </w:rPr>
        <w:t xml:space="preserve">igure 6 </w:t>
      </w:r>
      <w:r w:rsidR="00626436">
        <w:rPr>
          <w:rFonts w:ascii="Garamond" w:eastAsia="Garamond" w:hAnsi="Garamond" w:cs="Garamond"/>
          <w:sz w:val="24"/>
          <w:szCs w:val="24"/>
        </w:rPr>
        <w:t>–</w:t>
      </w:r>
      <w:r>
        <w:rPr>
          <w:rFonts w:ascii="Garamond" w:eastAsia="Garamond" w:hAnsi="Garamond" w:cs="Garamond"/>
          <w:sz w:val="24"/>
          <w:szCs w:val="24"/>
        </w:rPr>
        <w:t xml:space="preserve"> and similar benchmark populations.  Benchmarking against similar populations is crucial, because some of the observed inequality in healthcare quality and outcomes may be due to underlying social variation in health risk factors outside the control of the healthcare decision making unit.  In this example, the healthcare decision making units are 209 health care planning areas in England (“clinical commissioning groups”) with a mean population of 272,000.  Inequality is measured by analy</w:t>
      </w:r>
      <w:r w:rsidR="0060538D">
        <w:rPr>
          <w:rFonts w:ascii="Garamond" w:eastAsia="Garamond" w:hAnsi="Garamond" w:cs="Garamond"/>
          <w:sz w:val="24"/>
          <w:szCs w:val="24"/>
        </w:rPr>
        <w:t>s</w:t>
      </w:r>
      <w:r>
        <w:rPr>
          <w:rFonts w:ascii="Garamond" w:eastAsia="Garamond" w:hAnsi="Garamond" w:cs="Garamond"/>
          <w:sz w:val="24"/>
          <w:szCs w:val="24"/>
        </w:rPr>
        <w:t xml:space="preserve">ing social variation in care quality within the relevant population </w:t>
      </w:r>
      <w:r w:rsidR="00626436">
        <w:rPr>
          <w:rFonts w:ascii="Garamond" w:eastAsia="Garamond" w:hAnsi="Garamond" w:cs="Garamond"/>
          <w:sz w:val="24"/>
          <w:szCs w:val="24"/>
        </w:rPr>
        <w:t>–</w:t>
      </w:r>
      <w:r>
        <w:rPr>
          <w:rFonts w:ascii="Garamond" w:eastAsia="Garamond" w:hAnsi="Garamond" w:cs="Garamond"/>
          <w:sz w:val="24"/>
          <w:szCs w:val="24"/>
        </w:rPr>
        <w:t xml:space="preserve"> in this example, small-area variation between neighbourhoods with a mean population of 1,500. An index of inequality is estimated based on the association between care quality and a nationally comparable index of </w:t>
      </w:r>
      <w:r>
        <w:rPr>
          <w:rFonts w:ascii="Garamond" w:eastAsia="Garamond" w:hAnsi="Garamond" w:cs="Garamond"/>
          <w:sz w:val="24"/>
          <w:szCs w:val="24"/>
        </w:rPr>
        <w:lastRenderedPageBreak/>
        <w:t>social disadvantage – in this case, the English index of multiple deprivation</w:t>
      </w:r>
      <w:r w:rsidR="00AD58C5">
        <w:rPr>
          <w:rFonts w:ascii="Garamond" w:eastAsia="Garamond" w:hAnsi="Garamond" w:cs="Garamond"/>
          <w:sz w:val="24"/>
          <w:szCs w:val="24"/>
        </w:rPr>
        <w:t>, which is analogous to the Australian Socio-Economic Indexes for Areas</w:t>
      </w:r>
      <w:r w:rsidR="00AF1C34">
        <w:rPr>
          <w:rFonts w:ascii="Garamond" w:eastAsia="Garamond" w:hAnsi="Garamond" w:cs="Garamond"/>
          <w:sz w:val="24"/>
          <w:szCs w:val="24"/>
        </w:rPr>
        <w:t>.</w:t>
      </w:r>
      <w:r w:rsidR="00AD58C5">
        <w:rPr>
          <w:rFonts w:ascii="Garamond" w:eastAsia="Garamond" w:hAnsi="Garamond" w:cs="Garamond"/>
          <w:sz w:val="24"/>
          <w:szCs w:val="24"/>
        </w:rPr>
        <w:t xml:space="preserve">  </w:t>
      </w:r>
      <w:r>
        <w:rPr>
          <w:rFonts w:ascii="Garamond" w:eastAsia="Garamond" w:hAnsi="Garamond" w:cs="Garamond"/>
          <w:sz w:val="24"/>
          <w:szCs w:val="24"/>
        </w:rPr>
        <w:t xml:space="preserve">The use of a nationally comparable index of social disadvantage is crucial, because it means that estimated inequality gradients are then comparable between different sub-national populations with different mixtures of advantaged and disadvantaged people.  Sub-national gradients can then be thought of as modelled estimates of the national gradient, if the nation had the same distribution of health outcomes as your population.  We highlight this by using non-standard labels for sub-national inequality indices – for example, we use the term </w:t>
      </w:r>
      <w:r w:rsidR="00626436">
        <w:rPr>
          <w:rFonts w:ascii="Garamond" w:eastAsia="Garamond" w:hAnsi="Garamond" w:cs="Garamond"/>
          <w:sz w:val="24"/>
          <w:szCs w:val="24"/>
        </w:rPr>
        <w:t>‘</w:t>
      </w:r>
      <w:r>
        <w:rPr>
          <w:rFonts w:ascii="Garamond" w:eastAsia="Garamond" w:hAnsi="Garamond" w:cs="Garamond"/>
          <w:sz w:val="24"/>
          <w:szCs w:val="24"/>
        </w:rPr>
        <w:t>Absolute Gradient Index</w:t>
      </w:r>
      <w:r w:rsidR="00626436">
        <w:rPr>
          <w:rFonts w:ascii="Garamond" w:eastAsia="Garamond" w:hAnsi="Garamond" w:cs="Garamond"/>
          <w:sz w:val="24"/>
          <w:szCs w:val="24"/>
        </w:rPr>
        <w:t>’</w:t>
      </w:r>
      <w:r>
        <w:rPr>
          <w:rFonts w:ascii="Garamond" w:eastAsia="Garamond" w:hAnsi="Garamond" w:cs="Garamond"/>
          <w:sz w:val="24"/>
          <w:szCs w:val="24"/>
        </w:rPr>
        <w:t xml:space="preserve"> (AGI) to denote the sub-national estimate of the national </w:t>
      </w:r>
      <w:r w:rsidR="00626436">
        <w:rPr>
          <w:rFonts w:ascii="Garamond" w:eastAsia="Garamond" w:hAnsi="Garamond" w:cs="Garamond"/>
          <w:sz w:val="24"/>
          <w:szCs w:val="24"/>
        </w:rPr>
        <w:t>‘</w:t>
      </w:r>
      <w:r>
        <w:rPr>
          <w:rFonts w:ascii="Garamond" w:eastAsia="Garamond" w:hAnsi="Garamond" w:cs="Garamond"/>
          <w:sz w:val="24"/>
          <w:szCs w:val="24"/>
        </w:rPr>
        <w:t>Slope Index of Inequality</w:t>
      </w:r>
      <w:r w:rsidR="00626436">
        <w:rPr>
          <w:rFonts w:ascii="Garamond" w:eastAsia="Garamond" w:hAnsi="Garamond" w:cs="Garamond"/>
          <w:sz w:val="24"/>
          <w:szCs w:val="24"/>
        </w:rPr>
        <w:t>’</w:t>
      </w:r>
      <w:r>
        <w:rPr>
          <w:rFonts w:ascii="Garamond" w:eastAsia="Garamond" w:hAnsi="Garamond" w:cs="Garamond"/>
          <w:sz w:val="24"/>
          <w:szCs w:val="24"/>
        </w:rPr>
        <w:t xml:space="preserve"> (SII).  Equity performance can then be assessed by comparing inequality in your population with two performance benchmarks: inequality in </w:t>
      </w:r>
      <w:r w:rsidR="00626436">
        <w:rPr>
          <w:rFonts w:ascii="Garamond" w:eastAsia="Garamond" w:hAnsi="Garamond" w:cs="Garamond"/>
          <w:sz w:val="24"/>
          <w:szCs w:val="24"/>
        </w:rPr>
        <w:t>‘</w:t>
      </w:r>
      <w:r>
        <w:rPr>
          <w:rFonts w:ascii="Garamond" w:eastAsia="Garamond" w:hAnsi="Garamond" w:cs="Garamond"/>
          <w:sz w:val="24"/>
          <w:szCs w:val="24"/>
        </w:rPr>
        <w:t>similar</w:t>
      </w:r>
      <w:r w:rsidR="00626436">
        <w:rPr>
          <w:rFonts w:ascii="Garamond" w:eastAsia="Garamond" w:hAnsi="Garamond" w:cs="Garamond"/>
          <w:sz w:val="24"/>
          <w:szCs w:val="24"/>
        </w:rPr>
        <w:t>’</w:t>
      </w:r>
      <w:r>
        <w:rPr>
          <w:rFonts w:ascii="Garamond" w:eastAsia="Garamond" w:hAnsi="Garamond" w:cs="Garamond"/>
          <w:sz w:val="24"/>
          <w:szCs w:val="24"/>
        </w:rPr>
        <w:t xml:space="preserve"> populations and national inequality.  The </w:t>
      </w:r>
      <w:r w:rsidR="00626436">
        <w:rPr>
          <w:rFonts w:ascii="Garamond" w:eastAsia="Garamond" w:hAnsi="Garamond" w:cs="Garamond"/>
          <w:sz w:val="24"/>
          <w:szCs w:val="24"/>
        </w:rPr>
        <w:t>‘</w:t>
      </w:r>
      <w:r>
        <w:rPr>
          <w:rFonts w:ascii="Garamond" w:eastAsia="Garamond" w:hAnsi="Garamond" w:cs="Garamond"/>
          <w:sz w:val="24"/>
          <w:szCs w:val="24"/>
        </w:rPr>
        <w:t>similar</w:t>
      </w:r>
      <w:r w:rsidR="00626436">
        <w:rPr>
          <w:rFonts w:ascii="Garamond" w:eastAsia="Garamond" w:hAnsi="Garamond" w:cs="Garamond"/>
          <w:sz w:val="24"/>
          <w:szCs w:val="24"/>
        </w:rPr>
        <w:t>’</w:t>
      </w:r>
      <w:r>
        <w:rPr>
          <w:rFonts w:ascii="Garamond" w:eastAsia="Garamond" w:hAnsi="Garamond" w:cs="Garamond"/>
          <w:sz w:val="24"/>
          <w:szCs w:val="24"/>
        </w:rPr>
        <w:t xml:space="preserve"> populations can be selected using algorithms based on population characteristics, or by asking the healthcare decision maker to select their own comparison populations.</w:t>
      </w:r>
    </w:p>
    <w:p w14:paraId="259E0F91" w14:textId="7A6CBA4D" w:rsidR="00BE1B83" w:rsidRDefault="00633980" w:rsidP="008A4844">
      <w:pPr>
        <w:spacing w:before="240" w:after="0" w:line="480" w:lineRule="auto"/>
        <w:rPr>
          <w:rFonts w:ascii="Garamond" w:eastAsia="Garamond" w:hAnsi="Garamond" w:cs="Garamond"/>
          <w:b/>
          <w:i/>
          <w:sz w:val="24"/>
          <w:szCs w:val="24"/>
        </w:rPr>
      </w:pPr>
      <w:r>
        <w:rPr>
          <w:rFonts w:ascii="Garamond" w:eastAsia="Garamond" w:hAnsi="Garamond" w:cs="Garamond"/>
          <w:sz w:val="24"/>
          <w:szCs w:val="24"/>
        </w:rPr>
        <w:t xml:space="preserve">Equity performance can then be compared in cross section between different healthcare decision making units, for example using caterpillar plots of the kind illustrated in </w:t>
      </w:r>
      <w:r w:rsidR="00486BE9">
        <w:rPr>
          <w:rFonts w:ascii="Garamond" w:eastAsia="Garamond" w:hAnsi="Garamond" w:cs="Garamond"/>
          <w:sz w:val="24"/>
          <w:szCs w:val="24"/>
        </w:rPr>
        <w:t>F</w:t>
      </w:r>
      <w:r>
        <w:rPr>
          <w:rFonts w:ascii="Garamond" w:eastAsia="Garamond" w:hAnsi="Garamond" w:cs="Garamond"/>
          <w:sz w:val="24"/>
          <w:szCs w:val="24"/>
        </w:rPr>
        <w:t>igure 7.</w:t>
      </w:r>
    </w:p>
    <w:p w14:paraId="5DC00864" w14:textId="77777777" w:rsidR="008A4844" w:rsidRDefault="008A4844">
      <w:pPr>
        <w:rPr>
          <w:rFonts w:ascii="Garamond" w:eastAsia="Garamond" w:hAnsi="Garamond" w:cs="Garamond"/>
          <w:i/>
          <w:sz w:val="24"/>
          <w:szCs w:val="24"/>
        </w:rPr>
      </w:pPr>
      <w:r>
        <w:rPr>
          <w:rFonts w:ascii="Garamond" w:eastAsia="Garamond" w:hAnsi="Garamond" w:cs="Garamond"/>
          <w:i/>
          <w:sz w:val="24"/>
          <w:szCs w:val="24"/>
        </w:rPr>
        <w:br w:type="page"/>
      </w:r>
    </w:p>
    <w:p w14:paraId="3BC7EDBD" w14:textId="0FD37EDA" w:rsidR="00BE1B83" w:rsidRDefault="00633980" w:rsidP="008A4844">
      <w:pPr>
        <w:spacing w:before="240" w:after="0" w:line="480" w:lineRule="auto"/>
        <w:jc w:val="center"/>
        <w:rPr>
          <w:rFonts w:ascii="Garamond" w:eastAsia="Garamond" w:hAnsi="Garamond" w:cs="Garamond"/>
          <w:i/>
          <w:sz w:val="24"/>
          <w:szCs w:val="24"/>
        </w:rPr>
      </w:pPr>
      <w:r>
        <w:rPr>
          <w:rFonts w:ascii="Garamond" w:eastAsia="Garamond" w:hAnsi="Garamond" w:cs="Garamond"/>
          <w:i/>
          <w:sz w:val="24"/>
          <w:szCs w:val="24"/>
        </w:rPr>
        <w:lastRenderedPageBreak/>
        <w:t xml:space="preserve">Figure </w:t>
      </w:r>
      <w:r w:rsidR="0087017B">
        <w:rPr>
          <w:rFonts w:ascii="Garamond" w:eastAsia="Garamond" w:hAnsi="Garamond" w:cs="Garamond"/>
          <w:i/>
          <w:sz w:val="24"/>
          <w:szCs w:val="24"/>
        </w:rPr>
        <w:t>6</w:t>
      </w:r>
      <w:r>
        <w:rPr>
          <w:rFonts w:ascii="Garamond" w:eastAsia="Garamond" w:hAnsi="Garamond" w:cs="Garamond"/>
          <w:i/>
          <w:sz w:val="24"/>
          <w:szCs w:val="24"/>
        </w:rPr>
        <w:t>: Equity Performance Comparison, With 95% Confidence Intervals</w:t>
      </w:r>
    </w:p>
    <w:p w14:paraId="7FF8511C" w14:textId="77777777" w:rsidR="00BE1B83" w:rsidRDefault="00633980" w:rsidP="008A4844">
      <w:pPr>
        <w:spacing w:before="240" w:after="0" w:line="480" w:lineRule="auto"/>
        <w:jc w:val="center"/>
        <w:rPr>
          <w:rFonts w:ascii="Garamond" w:eastAsia="Garamond" w:hAnsi="Garamond" w:cs="Garamond"/>
          <w:b/>
          <w:i/>
          <w:sz w:val="24"/>
          <w:szCs w:val="24"/>
        </w:rPr>
      </w:pPr>
      <w:r>
        <w:rPr>
          <w:rFonts w:ascii="Garamond" w:eastAsia="Garamond" w:hAnsi="Garamond" w:cs="Garamond"/>
          <w:b/>
          <w:i/>
          <w:noProof/>
          <w:sz w:val="24"/>
          <w:szCs w:val="24"/>
          <w:lang w:val="en-AU" w:eastAsia="en-AU"/>
        </w:rPr>
        <w:drawing>
          <wp:inline distT="114300" distB="114300" distL="114300" distR="114300" wp14:anchorId="5D81874C" wp14:editId="4D30564F">
            <wp:extent cx="5731200" cy="3086100"/>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8"/>
                    <a:srcRect/>
                    <a:stretch>
                      <a:fillRect/>
                    </a:stretch>
                  </pic:blipFill>
                  <pic:spPr>
                    <a:xfrm>
                      <a:off x="0" y="0"/>
                      <a:ext cx="5731200" cy="3086100"/>
                    </a:xfrm>
                    <a:prstGeom prst="rect">
                      <a:avLst/>
                    </a:prstGeom>
                    <a:ln/>
                  </pic:spPr>
                </pic:pic>
              </a:graphicData>
            </a:graphic>
          </wp:inline>
        </w:drawing>
      </w:r>
    </w:p>
    <w:p w14:paraId="3A34BB81" w14:textId="2BF35DC0" w:rsidR="00BE1B83" w:rsidRPr="006A7A37" w:rsidRDefault="00633980" w:rsidP="006A7A37">
      <w:pPr>
        <w:spacing w:after="0" w:line="480" w:lineRule="auto"/>
        <w:jc w:val="center"/>
        <w:rPr>
          <w:rFonts w:ascii="Garamond" w:eastAsia="Garamond" w:hAnsi="Garamond" w:cs="Garamond"/>
          <w:i/>
          <w:color w:val="1155CC"/>
          <w:u w:val="single"/>
        </w:rPr>
      </w:pPr>
      <w:r w:rsidRPr="006A7A37">
        <w:rPr>
          <w:rFonts w:ascii="Garamond" w:eastAsia="Garamond" w:hAnsi="Garamond" w:cs="Garamond"/>
          <w:i/>
        </w:rPr>
        <w:t>Note:   Comparison between 209 English local health planning areas in 2015, based the Absolute Gradient Index (AGI) of deprivation-related inequality in avoidable emergency hospitalisation.</w:t>
      </w:r>
      <w:r w:rsidR="0087017B" w:rsidRPr="006A7A37">
        <w:rPr>
          <w:rFonts w:ascii="Garamond" w:eastAsia="Garamond" w:hAnsi="Garamond" w:cs="Garamond"/>
          <w:i/>
        </w:rPr>
        <w:t xml:space="preserve">  As before, a higher rate of potentially avoidable emergency admissions is presumed to indicate worse quality ambulatory care, so long as one is comparing similar populations with similar levels of morbidity and risk factors.</w:t>
      </w:r>
      <w:r w:rsidR="006A7A37" w:rsidRPr="006A7A37">
        <w:rPr>
          <w:rFonts w:ascii="Garamond" w:eastAsia="Garamond" w:hAnsi="Garamond" w:cs="Garamond"/>
          <w:i/>
        </w:rPr>
        <w:t xml:space="preserve"> </w:t>
      </w:r>
      <w:r w:rsidRPr="006A7A37">
        <w:rPr>
          <w:rFonts w:ascii="Garamond" w:eastAsia="Garamond" w:hAnsi="Garamond" w:cs="Garamond"/>
          <w:i/>
        </w:rPr>
        <w:t>Source:</w:t>
      </w:r>
      <w:hyperlink r:id="rId39">
        <w:r w:rsidRPr="006A7A37">
          <w:rPr>
            <w:rFonts w:ascii="Garamond" w:eastAsia="Garamond" w:hAnsi="Garamond" w:cs="Garamond"/>
            <w:i/>
          </w:rPr>
          <w:t xml:space="preserve"> </w:t>
        </w:r>
      </w:hyperlink>
      <w:hyperlink r:id="rId40">
        <w:r w:rsidRPr="006A7A37">
          <w:rPr>
            <w:rFonts w:ascii="Garamond" w:eastAsia="Garamond" w:hAnsi="Garamond" w:cs="Garamond"/>
            <w:i/>
            <w:color w:val="1155CC"/>
            <w:u w:val="single"/>
          </w:rPr>
          <w:t>https://shiny.york.ac.uk/ccg_equity/</w:t>
        </w:r>
      </w:hyperlink>
    </w:p>
    <w:p w14:paraId="140A067A" w14:textId="41328737" w:rsidR="00BE1B83" w:rsidRDefault="00633980" w:rsidP="008A4844">
      <w:pPr>
        <w:spacing w:before="240" w:after="0" w:line="480" w:lineRule="auto"/>
        <w:rPr>
          <w:rFonts w:ascii="Garamond" w:eastAsia="Garamond" w:hAnsi="Garamond" w:cs="Garamond"/>
          <w:b/>
          <w:i/>
          <w:sz w:val="24"/>
          <w:szCs w:val="24"/>
        </w:rPr>
      </w:pPr>
      <w:r>
        <w:rPr>
          <w:rFonts w:ascii="Garamond" w:eastAsia="Garamond" w:hAnsi="Garamond" w:cs="Garamond"/>
          <w:sz w:val="24"/>
          <w:szCs w:val="24"/>
        </w:rPr>
        <w:t>Equity performance can also be compared over time for the same decision</w:t>
      </w:r>
      <w:r w:rsidR="00626436">
        <w:rPr>
          <w:rFonts w:ascii="Garamond" w:eastAsia="Garamond" w:hAnsi="Garamond" w:cs="Garamond"/>
          <w:sz w:val="24"/>
          <w:szCs w:val="24"/>
        </w:rPr>
        <w:t>-</w:t>
      </w:r>
      <w:r>
        <w:rPr>
          <w:rFonts w:ascii="Garamond" w:eastAsia="Garamond" w:hAnsi="Garamond" w:cs="Garamond"/>
          <w:sz w:val="24"/>
          <w:szCs w:val="24"/>
        </w:rPr>
        <w:t xml:space="preserve">making unit using time series plots of the kind illustrated in </w:t>
      </w:r>
      <w:r w:rsidR="00486BE9">
        <w:rPr>
          <w:rFonts w:ascii="Garamond" w:eastAsia="Garamond" w:hAnsi="Garamond" w:cs="Garamond"/>
          <w:sz w:val="24"/>
          <w:szCs w:val="24"/>
        </w:rPr>
        <w:t>F</w:t>
      </w:r>
      <w:r>
        <w:rPr>
          <w:rFonts w:ascii="Garamond" w:eastAsia="Garamond" w:hAnsi="Garamond" w:cs="Garamond"/>
          <w:sz w:val="24"/>
          <w:szCs w:val="24"/>
        </w:rPr>
        <w:t xml:space="preserve">igure </w:t>
      </w:r>
      <w:r w:rsidR="0087017B">
        <w:rPr>
          <w:rFonts w:ascii="Garamond" w:eastAsia="Garamond" w:hAnsi="Garamond" w:cs="Garamond"/>
          <w:sz w:val="24"/>
          <w:szCs w:val="24"/>
        </w:rPr>
        <w:t>7</w:t>
      </w:r>
      <w:r>
        <w:rPr>
          <w:rFonts w:ascii="Garamond" w:eastAsia="Garamond" w:hAnsi="Garamond" w:cs="Garamond"/>
          <w:sz w:val="24"/>
          <w:szCs w:val="24"/>
        </w:rPr>
        <w:t>.</w:t>
      </w:r>
    </w:p>
    <w:p w14:paraId="5FA73C27" w14:textId="4C83CB4F" w:rsidR="00BE1B83" w:rsidRDefault="00633980" w:rsidP="008A4844">
      <w:pPr>
        <w:spacing w:before="240" w:after="0" w:line="480" w:lineRule="auto"/>
        <w:jc w:val="center"/>
        <w:rPr>
          <w:rFonts w:ascii="Garamond" w:eastAsia="Garamond" w:hAnsi="Garamond" w:cs="Garamond"/>
          <w:i/>
          <w:sz w:val="24"/>
          <w:szCs w:val="24"/>
        </w:rPr>
      </w:pPr>
      <w:r>
        <w:rPr>
          <w:rFonts w:ascii="Garamond" w:eastAsia="Garamond" w:hAnsi="Garamond" w:cs="Garamond"/>
          <w:i/>
          <w:sz w:val="24"/>
          <w:szCs w:val="24"/>
        </w:rPr>
        <w:lastRenderedPageBreak/>
        <w:t xml:space="preserve">Figure </w:t>
      </w:r>
      <w:r w:rsidR="0087017B">
        <w:rPr>
          <w:rFonts w:ascii="Garamond" w:eastAsia="Garamond" w:hAnsi="Garamond" w:cs="Garamond"/>
          <w:i/>
          <w:sz w:val="24"/>
          <w:szCs w:val="24"/>
        </w:rPr>
        <w:t>7</w:t>
      </w:r>
      <w:r>
        <w:rPr>
          <w:rFonts w:ascii="Garamond" w:eastAsia="Garamond" w:hAnsi="Garamond" w:cs="Garamond"/>
          <w:i/>
          <w:sz w:val="24"/>
          <w:szCs w:val="24"/>
        </w:rPr>
        <w:t>: Equity Performance Trends, With 95% Confidence Intervals</w:t>
      </w:r>
      <w:r>
        <w:rPr>
          <w:rFonts w:ascii="Garamond" w:eastAsia="Garamond" w:hAnsi="Garamond" w:cs="Garamond"/>
          <w:i/>
          <w:noProof/>
          <w:sz w:val="24"/>
          <w:szCs w:val="24"/>
          <w:lang w:val="en-AU" w:eastAsia="en-AU"/>
        </w:rPr>
        <w:drawing>
          <wp:inline distT="114300" distB="114300" distL="114300" distR="114300" wp14:anchorId="526BFD86" wp14:editId="13E9DBF1">
            <wp:extent cx="5731200" cy="4165600"/>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1"/>
                    <a:srcRect/>
                    <a:stretch>
                      <a:fillRect/>
                    </a:stretch>
                  </pic:blipFill>
                  <pic:spPr>
                    <a:xfrm>
                      <a:off x="0" y="0"/>
                      <a:ext cx="5731200" cy="4165600"/>
                    </a:xfrm>
                    <a:prstGeom prst="rect">
                      <a:avLst/>
                    </a:prstGeom>
                    <a:ln/>
                  </pic:spPr>
                </pic:pic>
              </a:graphicData>
            </a:graphic>
          </wp:inline>
        </w:drawing>
      </w:r>
    </w:p>
    <w:p w14:paraId="0E875143" w14:textId="3FA448CE" w:rsidR="00BE1B83" w:rsidRPr="006A7A37" w:rsidRDefault="00633980" w:rsidP="006A7A37">
      <w:pPr>
        <w:spacing w:line="480" w:lineRule="auto"/>
        <w:jc w:val="center"/>
        <w:rPr>
          <w:rFonts w:ascii="Garamond" w:eastAsia="Garamond" w:hAnsi="Garamond" w:cs="Garamond"/>
          <w:i/>
        </w:rPr>
      </w:pPr>
      <w:r w:rsidRPr="006A7A37">
        <w:rPr>
          <w:rFonts w:ascii="Garamond" w:eastAsia="Garamond" w:hAnsi="Garamond" w:cs="Garamond"/>
          <w:i/>
        </w:rPr>
        <w:t>Note: This shows equity performance trends for a single local NHS planning area in England, from 2008 to 2018</w:t>
      </w:r>
      <w:r w:rsidR="006A7A37" w:rsidRPr="006A7A37">
        <w:rPr>
          <w:rFonts w:ascii="Garamond" w:eastAsia="Garamond" w:hAnsi="Garamond" w:cs="Garamond"/>
          <w:i/>
        </w:rPr>
        <w:t xml:space="preserve">.  </w:t>
      </w:r>
      <w:r w:rsidRPr="006A7A37">
        <w:rPr>
          <w:rFonts w:ascii="Garamond" w:eastAsia="Garamond" w:hAnsi="Garamond" w:cs="Garamond"/>
          <w:i/>
        </w:rPr>
        <w:t>Source:</w:t>
      </w:r>
      <w:hyperlink r:id="rId42">
        <w:r w:rsidRPr="006A7A37">
          <w:rPr>
            <w:rFonts w:ascii="Garamond" w:eastAsia="Garamond" w:hAnsi="Garamond" w:cs="Garamond"/>
            <w:i/>
          </w:rPr>
          <w:t xml:space="preserve"> </w:t>
        </w:r>
      </w:hyperlink>
      <w:hyperlink r:id="rId43">
        <w:r w:rsidRPr="006A7A37">
          <w:rPr>
            <w:rFonts w:ascii="Garamond" w:eastAsia="Garamond" w:hAnsi="Garamond" w:cs="Garamond"/>
            <w:i/>
            <w:color w:val="1155CC"/>
            <w:u w:val="single"/>
          </w:rPr>
          <w:t>https://www.york.ac.uk/che/research/equity/monitoring/packs/</w:t>
        </w:r>
      </w:hyperlink>
    </w:p>
    <w:p w14:paraId="78452E42" w14:textId="38F3EB71" w:rsidR="00BE1B83" w:rsidRDefault="00633980" w:rsidP="008A4844">
      <w:pPr>
        <w:pBdr>
          <w:top w:val="nil"/>
          <w:left w:val="nil"/>
          <w:bottom w:val="nil"/>
          <w:right w:val="nil"/>
          <w:between w:val="nil"/>
        </w:pBdr>
        <w:spacing w:line="480" w:lineRule="auto"/>
        <w:rPr>
          <w:rFonts w:ascii="Garamond" w:eastAsia="Garamond" w:hAnsi="Garamond" w:cs="Garamond"/>
          <w:sz w:val="24"/>
          <w:szCs w:val="24"/>
        </w:rPr>
      </w:pPr>
      <w:r>
        <w:rPr>
          <w:rFonts w:ascii="Garamond" w:eastAsia="Garamond" w:hAnsi="Garamond" w:cs="Garamond"/>
          <w:sz w:val="24"/>
          <w:szCs w:val="24"/>
        </w:rPr>
        <w:t>Equity trend data of this kind can then be used to learn quality improvement lessons, by conducting case studies of decision</w:t>
      </w:r>
      <w:r w:rsidR="00AF1C34">
        <w:rPr>
          <w:rFonts w:ascii="Garamond" w:eastAsia="Garamond" w:hAnsi="Garamond" w:cs="Garamond"/>
          <w:sz w:val="24"/>
          <w:szCs w:val="24"/>
        </w:rPr>
        <w:t>-</w:t>
      </w:r>
      <w:r>
        <w:rPr>
          <w:rFonts w:ascii="Garamond" w:eastAsia="Garamond" w:hAnsi="Garamond" w:cs="Garamond"/>
          <w:sz w:val="24"/>
          <w:szCs w:val="24"/>
        </w:rPr>
        <w:t>making units which have shown sustained improvement or worsening of equity over time.  As with all performance measurement exercises, however, caution must be taken as there is a risk of spurious findings due to data artefacts and multiple comparisons.  Administrative data are vulnerable to bias and instability due to coding errors and changes in data collection processes</w:t>
      </w:r>
      <w:r w:rsidR="00AF1C34">
        <w:rPr>
          <w:rFonts w:ascii="Garamond" w:eastAsia="Garamond" w:hAnsi="Garamond" w:cs="Garamond"/>
          <w:sz w:val="24"/>
          <w:szCs w:val="24"/>
        </w:rPr>
        <w:t xml:space="preserve">, </w:t>
      </w:r>
      <w:r>
        <w:rPr>
          <w:rFonts w:ascii="Garamond" w:eastAsia="Garamond" w:hAnsi="Garamond" w:cs="Garamond"/>
          <w:sz w:val="24"/>
          <w:szCs w:val="24"/>
        </w:rPr>
        <w:t xml:space="preserve">and it is not possible reliably to estimate social gradients within populations with limited social variation </w:t>
      </w:r>
      <w:r w:rsidR="00626436">
        <w:rPr>
          <w:rFonts w:ascii="Garamond" w:eastAsia="Garamond" w:hAnsi="Garamond" w:cs="Garamond"/>
          <w:sz w:val="24"/>
          <w:szCs w:val="24"/>
        </w:rPr>
        <w:t>–</w:t>
      </w:r>
      <w:r>
        <w:rPr>
          <w:rFonts w:ascii="Garamond" w:eastAsia="Garamond" w:hAnsi="Garamond" w:cs="Garamond"/>
          <w:sz w:val="24"/>
          <w:szCs w:val="24"/>
        </w:rPr>
        <w:t xml:space="preserve"> for example, populations in which almost everyone is either rich or poor.  Furthermore, with a 95% confidence interval we would expect 1 in 20 decision making units to show abnormal equity performance.  In the case of equity performance, the scope for multiple comparisons is increased further by the multiplicity of </w:t>
      </w:r>
      <w:r>
        <w:rPr>
          <w:rFonts w:ascii="Garamond" w:eastAsia="Garamond" w:hAnsi="Garamond" w:cs="Garamond"/>
          <w:sz w:val="24"/>
          <w:szCs w:val="24"/>
        </w:rPr>
        <w:lastRenderedPageBreak/>
        <w:t xml:space="preserve">different inequality indices that are available. For example, as well as the AGI index one could estimate its relative inequality counterpart, the </w:t>
      </w:r>
      <w:r w:rsidR="00626436">
        <w:rPr>
          <w:rFonts w:ascii="Garamond" w:eastAsia="Garamond" w:hAnsi="Garamond" w:cs="Garamond"/>
          <w:sz w:val="24"/>
          <w:szCs w:val="24"/>
        </w:rPr>
        <w:t>‘</w:t>
      </w:r>
      <w:r>
        <w:rPr>
          <w:rFonts w:ascii="Garamond" w:eastAsia="Garamond" w:hAnsi="Garamond" w:cs="Garamond"/>
          <w:sz w:val="24"/>
          <w:szCs w:val="24"/>
        </w:rPr>
        <w:t>Relative Gradient Index</w:t>
      </w:r>
      <w:r w:rsidR="00626436">
        <w:rPr>
          <w:rFonts w:ascii="Garamond" w:eastAsia="Garamond" w:hAnsi="Garamond" w:cs="Garamond"/>
          <w:sz w:val="24"/>
          <w:szCs w:val="24"/>
        </w:rPr>
        <w:t>’</w:t>
      </w:r>
      <w:r>
        <w:rPr>
          <w:rFonts w:ascii="Garamond" w:eastAsia="Garamond" w:hAnsi="Garamond" w:cs="Garamond"/>
          <w:sz w:val="24"/>
          <w:szCs w:val="24"/>
        </w:rPr>
        <w:t xml:space="preserve">, or one could look at simple gap indices such as the difference between the top and bottom social group, or indeed any number of other weird and wonderful inequality indices that are available  </w:t>
      </w:r>
      <w:hyperlink r:id="rId44">
        <w:r>
          <w:rPr>
            <w:rFonts w:ascii="Garamond" w:eastAsia="Garamond" w:hAnsi="Garamond" w:cs="Garamond"/>
            <w:color w:val="000000"/>
            <w:sz w:val="24"/>
            <w:szCs w:val="24"/>
          </w:rPr>
          <w:t>(</w:t>
        </w:r>
        <w:proofErr w:type="spellStart"/>
        <w:r>
          <w:rPr>
            <w:rFonts w:ascii="Garamond" w:eastAsia="Garamond" w:hAnsi="Garamond" w:cs="Garamond"/>
            <w:color w:val="000000"/>
            <w:sz w:val="24"/>
            <w:szCs w:val="24"/>
          </w:rPr>
          <w:t>Kjellsson</w:t>
        </w:r>
        <w:proofErr w:type="spellEnd"/>
        <w:r>
          <w:rPr>
            <w:rFonts w:ascii="Garamond" w:eastAsia="Garamond" w:hAnsi="Garamond" w:cs="Garamond"/>
            <w:color w:val="000000"/>
            <w:sz w:val="24"/>
            <w:szCs w:val="24"/>
          </w:rPr>
          <w:t xml:space="preserve"> et al., 2015)</w:t>
        </w:r>
      </w:hyperlink>
      <w:r>
        <w:rPr>
          <w:rFonts w:ascii="Garamond" w:eastAsia="Garamond" w:hAnsi="Garamond" w:cs="Garamond"/>
          <w:sz w:val="24"/>
          <w:szCs w:val="24"/>
        </w:rPr>
        <w:t xml:space="preserve">.  However, if a population shows a clear, sustained, and statistically significant improvement or worsening in an equity performance indicator there is at least a </w:t>
      </w:r>
      <w:r>
        <w:rPr>
          <w:rFonts w:ascii="Garamond" w:eastAsia="Garamond" w:hAnsi="Garamond" w:cs="Garamond"/>
          <w:i/>
          <w:sz w:val="24"/>
          <w:szCs w:val="24"/>
        </w:rPr>
        <w:t>prima facie</w:t>
      </w:r>
      <w:r>
        <w:rPr>
          <w:rFonts w:ascii="Garamond" w:eastAsia="Garamond" w:hAnsi="Garamond" w:cs="Garamond"/>
          <w:sz w:val="24"/>
          <w:szCs w:val="24"/>
        </w:rPr>
        <w:t xml:space="preserve"> case for further investigation.</w:t>
      </w:r>
    </w:p>
    <w:p w14:paraId="110C9FA7" w14:textId="57D3E709" w:rsidR="00BE1B83" w:rsidRDefault="00633980" w:rsidP="008A4844">
      <w:pPr>
        <w:spacing w:before="240" w:after="0" w:line="480" w:lineRule="auto"/>
        <w:rPr>
          <w:rFonts w:ascii="Garamond" w:eastAsia="Garamond" w:hAnsi="Garamond" w:cs="Garamond"/>
          <w:sz w:val="24"/>
          <w:szCs w:val="24"/>
        </w:rPr>
      </w:pPr>
      <w:r>
        <w:rPr>
          <w:rFonts w:ascii="Garamond" w:eastAsia="Garamond" w:hAnsi="Garamond" w:cs="Garamond"/>
          <w:sz w:val="24"/>
          <w:szCs w:val="24"/>
        </w:rPr>
        <w:t xml:space="preserve">Where suitably granular and high-quality data are available, this approach could be extended to other indicators of social disadvantage </w:t>
      </w:r>
      <w:r w:rsidR="00626436">
        <w:rPr>
          <w:rFonts w:ascii="Garamond" w:eastAsia="Garamond" w:hAnsi="Garamond" w:cs="Garamond"/>
          <w:sz w:val="24"/>
          <w:szCs w:val="24"/>
        </w:rPr>
        <w:t>–</w:t>
      </w:r>
      <w:r>
        <w:rPr>
          <w:rFonts w:ascii="Garamond" w:eastAsia="Garamond" w:hAnsi="Garamond" w:cs="Garamond"/>
          <w:sz w:val="24"/>
          <w:szCs w:val="24"/>
        </w:rPr>
        <w:t xml:space="preserve"> such as gender, ethnicity and rurality </w:t>
      </w:r>
      <w:r w:rsidR="00626436">
        <w:rPr>
          <w:rFonts w:ascii="Garamond" w:eastAsia="Garamond" w:hAnsi="Garamond" w:cs="Garamond"/>
          <w:sz w:val="24"/>
          <w:szCs w:val="24"/>
        </w:rPr>
        <w:t>–</w:t>
      </w:r>
      <w:r>
        <w:rPr>
          <w:rFonts w:ascii="Garamond" w:eastAsia="Garamond" w:hAnsi="Garamond" w:cs="Garamond"/>
          <w:sz w:val="24"/>
          <w:szCs w:val="24"/>
        </w:rPr>
        <w:t xml:space="preserve"> and could be applied to data on individual-level variations in care quality as well as small-area variations.   Current applications have focused on equity performance comparisons between the general populations served by </w:t>
      </w:r>
      <w:proofErr w:type="gramStart"/>
      <w:r>
        <w:rPr>
          <w:rFonts w:ascii="Garamond" w:eastAsia="Garamond" w:hAnsi="Garamond" w:cs="Garamond"/>
          <w:sz w:val="24"/>
          <w:szCs w:val="24"/>
        </w:rPr>
        <w:t>geographically-defined</w:t>
      </w:r>
      <w:proofErr w:type="gramEnd"/>
      <w:r>
        <w:rPr>
          <w:rFonts w:ascii="Garamond" w:eastAsia="Garamond" w:hAnsi="Garamond" w:cs="Garamond"/>
          <w:sz w:val="24"/>
          <w:szCs w:val="24"/>
        </w:rPr>
        <w:t xml:space="preserve"> national, regional or local health system planners.  In principle, however, this approach could be used for equity performance comparisons between the spec</w:t>
      </w:r>
      <w:r w:rsidR="00487654">
        <w:rPr>
          <w:rFonts w:ascii="Garamond" w:eastAsia="Garamond" w:hAnsi="Garamond" w:cs="Garamond"/>
          <w:sz w:val="24"/>
          <w:szCs w:val="24"/>
        </w:rPr>
        <w:t>i</w:t>
      </w:r>
      <w:r w:rsidR="00C76C10">
        <w:rPr>
          <w:rFonts w:ascii="Garamond" w:eastAsia="Garamond" w:hAnsi="Garamond" w:cs="Garamond"/>
          <w:sz w:val="24"/>
          <w:szCs w:val="24"/>
        </w:rPr>
        <w:t>fic</w:t>
      </w:r>
      <w:r>
        <w:rPr>
          <w:rFonts w:ascii="Garamond" w:eastAsia="Garamond" w:hAnsi="Garamond" w:cs="Garamond"/>
          <w:sz w:val="24"/>
          <w:szCs w:val="24"/>
        </w:rPr>
        <w:t xml:space="preserve"> populations served by health plans, provider organisations and individual clinicians. This will be essential in fragmented health systems without a </w:t>
      </w:r>
      <w:r w:rsidR="00626436">
        <w:rPr>
          <w:rFonts w:ascii="Garamond" w:eastAsia="Garamond" w:hAnsi="Garamond" w:cs="Garamond"/>
          <w:sz w:val="24"/>
          <w:szCs w:val="24"/>
        </w:rPr>
        <w:t>‘</w:t>
      </w:r>
      <w:r>
        <w:rPr>
          <w:rFonts w:ascii="Garamond" w:eastAsia="Garamond" w:hAnsi="Garamond" w:cs="Garamond"/>
          <w:sz w:val="24"/>
          <w:szCs w:val="24"/>
        </w:rPr>
        <w:t>single payer</w:t>
      </w:r>
      <w:r w:rsidR="00626436">
        <w:rPr>
          <w:rFonts w:ascii="Garamond" w:eastAsia="Garamond" w:hAnsi="Garamond" w:cs="Garamond"/>
          <w:sz w:val="24"/>
          <w:szCs w:val="24"/>
        </w:rPr>
        <w:t>’</w:t>
      </w:r>
      <w:r>
        <w:rPr>
          <w:rFonts w:ascii="Garamond" w:eastAsia="Garamond" w:hAnsi="Garamond" w:cs="Garamond"/>
          <w:sz w:val="24"/>
          <w:szCs w:val="24"/>
        </w:rPr>
        <w:t xml:space="preserve"> responsible for general population health coverage, and is an important challenge even within single payer systems since hospitals and other provider organisations have considerable power and influence and equity improvement is not possible without their cooperation.  Comparing equity performance between non-general populations makes it more difficult to select appropriate </w:t>
      </w:r>
      <w:r w:rsidR="00626436">
        <w:rPr>
          <w:rFonts w:ascii="Garamond" w:eastAsia="Garamond" w:hAnsi="Garamond" w:cs="Garamond"/>
          <w:sz w:val="24"/>
          <w:szCs w:val="24"/>
        </w:rPr>
        <w:t>‘</w:t>
      </w:r>
      <w:r>
        <w:rPr>
          <w:rFonts w:ascii="Garamond" w:eastAsia="Garamond" w:hAnsi="Garamond" w:cs="Garamond"/>
          <w:sz w:val="24"/>
          <w:szCs w:val="24"/>
        </w:rPr>
        <w:t>similar</w:t>
      </w:r>
      <w:r w:rsidR="00626436">
        <w:rPr>
          <w:rFonts w:ascii="Garamond" w:eastAsia="Garamond" w:hAnsi="Garamond" w:cs="Garamond"/>
          <w:sz w:val="24"/>
          <w:szCs w:val="24"/>
        </w:rPr>
        <w:t>’</w:t>
      </w:r>
      <w:r>
        <w:rPr>
          <w:rFonts w:ascii="Garamond" w:eastAsia="Garamond" w:hAnsi="Garamond" w:cs="Garamond"/>
          <w:sz w:val="24"/>
          <w:szCs w:val="24"/>
        </w:rPr>
        <w:t xml:space="preserve"> populations for equity benchmark comparisons</w:t>
      </w:r>
      <w:r w:rsidR="00626436">
        <w:rPr>
          <w:rFonts w:ascii="Garamond" w:eastAsia="Garamond" w:hAnsi="Garamond" w:cs="Garamond"/>
          <w:sz w:val="24"/>
          <w:szCs w:val="24"/>
        </w:rPr>
        <w:t>.</w:t>
      </w:r>
      <w:r>
        <w:rPr>
          <w:rFonts w:ascii="Garamond" w:eastAsia="Garamond" w:hAnsi="Garamond" w:cs="Garamond"/>
          <w:sz w:val="24"/>
          <w:szCs w:val="24"/>
        </w:rPr>
        <w:t xml:space="preserve"> and raises problems of case-mix adjustment that have not yet been thoroughly addressed and </w:t>
      </w:r>
      <w:r w:rsidR="00626436">
        <w:rPr>
          <w:rFonts w:ascii="Garamond" w:eastAsia="Garamond" w:hAnsi="Garamond" w:cs="Garamond"/>
          <w:sz w:val="24"/>
          <w:szCs w:val="24"/>
        </w:rPr>
        <w:t>are ke</w:t>
      </w:r>
      <w:r>
        <w:rPr>
          <w:rFonts w:ascii="Garamond" w:eastAsia="Garamond" w:hAnsi="Garamond" w:cs="Garamond"/>
          <w:sz w:val="24"/>
          <w:szCs w:val="24"/>
        </w:rPr>
        <w:t>y challenge</w:t>
      </w:r>
      <w:r w:rsidR="00626436">
        <w:rPr>
          <w:rFonts w:ascii="Garamond" w:eastAsia="Garamond" w:hAnsi="Garamond" w:cs="Garamond"/>
          <w:sz w:val="24"/>
          <w:szCs w:val="24"/>
        </w:rPr>
        <w:t>s</w:t>
      </w:r>
      <w:r>
        <w:rPr>
          <w:rFonts w:ascii="Garamond" w:eastAsia="Garamond" w:hAnsi="Garamond" w:cs="Garamond"/>
          <w:sz w:val="24"/>
          <w:szCs w:val="24"/>
        </w:rPr>
        <w:t xml:space="preserve"> for future research in this area.</w:t>
      </w:r>
    </w:p>
    <w:p w14:paraId="2C557EF2" w14:textId="77777777" w:rsidR="00BE1B83" w:rsidRDefault="00BE1B83" w:rsidP="008A4844">
      <w:pPr>
        <w:spacing w:before="240" w:after="0" w:line="480" w:lineRule="auto"/>
        <w:rPr>
          <w:rFonts w:ascii="Garamond" w:eastAsia="Garamond" w:hAnsi="Garamond" w:cs="Garamond"/>
          <w:sz w:val="24"/>
          <w:szCs w:val="24"/>
        </w:rPr>
      </w:pPr>
    </w:p>
    <w:p w14:paraId="66F3C302" w14:textId="77777777" w:rsidR="00BE1B83" w:rsidRDefault="00633980" w:rsidP="008A4844">
      <w:pPr>
        <w:pStyle w:val="Heading1"/>
        <w:spacing w:line="480" w:lineRule="auto"/>
        <w:rPr>
          <w:rFonts w:ascii="Garamond" w:eastAsia="Garamond" w:hAnsi="Garamond" w:cs="Garamond"/>
          <w:b/>
          <w:color w:val="000000"/>
          <w:sz w:val="28"/>
          <w:szCs w:val="28"/>
        </w:rPr>
      </w:pPr>
      <w:bookmarkStart w:id="9" w:name="_qps1rqo0nvuw" w:colFirst="0" w:colLast="0"/>
      <w:bookmarkEnd w:id="9"/>
      <w:r>
        <w:br w:type="page"/>
      </w:r>
    </w:p>
    <w:p w14:paraId="308D0D4D" w14:textId="0A504E0A" w:rsidR="00BE1B83" w:rsidRDefault="00633980" w:rsidP="000141B6">
      <w:pPr>
        <w:pStyle w:val="Heading1"/>
        <w:numPr>
          <w:ilvl w:val="0"/>
          <w:numId w:val="8"/>
        </w:numPr>
        <w:spacing w:line="480" w:lineRule="auto"/>
        <w:rPr>
          <w:rFonts w:ascii="Garamond" w:eastAsia="Garamond" w:hAnsi="Garamond" w:cs="Garamond"/>
          <w:b/>
          <w:color w:val="000000"/>
          <w:sz w:val="28"/>
          <w:szCs w:val="28"/>
        </w:rPr>
      </w:pPr>
      <w:bookmarkStart w:id="10" w:name="_keb93crhtivi" w:colFirst="0" w:colLast="0"/>
      <w:bookmarkEnd w:id="10"/>
      <w:r>
        <w:rPr>
          <w:rFonts w:ascii="Garamond" w:eastAsia="Garamond" w:hAnsi="Garamond" w:cs="Garamond"/>
          <w:b/>
          <w:color w:val="000000"/>
          <w:sz w:val="28"/>
          <w:szCs w:val="28"/>
        </w:rPr>
        <w:lastRenderedPageBreak/>
        <w:t>Discussion</w:t>
      </w:r>
    </w:p>
    <w:p w14:paraId="05AD8DC4" w14:textId="5BEEEAA7" w:rsidR="00BE1B83" w:rsidRDefault="00633980" w:rsidP="008A4844">
      <w:pPr>
        <w:spacing w:after="0" w:line="480" w:lineRule="auto"/>
        <w:rPr>
          <w:rFonts w:ascii="Garamond" w:eastAsia="Garamond" w:hAnsi="Garamond" w:cs="Garamond"/>
          <w:sz w:val="24"/>
          <w:szCs w:val="24"/>
        </w:rPr>
      </w:pPr>
      <w:r>
        <w:rPr>
          <w:rFonts w:ascii="Garamond" w:eastAsia="Garamond" w:hAnsi="Garamond" w:cs="Garamond"/>
          <w:sz w:val="24"/>
          <w:szCs w:val="24"/>
        </w:rPr>
        <w:t>Increasing awareness of health inequalities has placed additional pressure on providers of health and related services to deliver care that is not only safe and effective, but also equitable. A wealth of research demonstrates that wide inequalities in access and outcomes remain between geographically and socially distinct groups, even in universal healthcare systems</w:t>
      </w:r>
      <w:r w:rsidR="00626436">
        <w:rPr>
          <w:rFonts w:ascii="Garamond" w:eastAsia="Garamond" w:hAnsi="Garamond" w:cs="Garamond"/>
          <w:sz w:val="24"/>
          <w:szCs w:val="24"/>
        </w:rPr>
        <w:t>.  A</w:t>
      </w:r>
      <w:r>
        <w:rPr>
          <w:rFonts w:ascii="Garamond" w:eastAsia="Garamond" w:hAnsi="Garamond" w:cs="Garamond"/>
          <w:sz w:val="24"/>
          <w:szCs w:val="24"/>
        </w:rPr>
        <w:t xml:space="preserve">lthough they have limited control of the wider social determinants of health inequalities, providers are increasingly recognizing that they must do more </w:t>
      </w:r>
      <w:r w:rsidR="000141B6">
        <w:rPr>
          <w:rFonts w:ascii="Garamond" w:eastAsia="Garamond" w:hAnsi="Garamond" w:cs="Garamond"/>
          <w:sz w:val="24"/>
          <w:szCs w:val="24"/>
        </w:rPr>
        <w:t xml:space="preserve">to assess and address the equity impact of their </w:t>
      </w:r>
      <w:r w:rsidR="00626436">
        <w:rPr>
          <w:rFonts w:ascii="Garamond" w:eastAsia="Garamond" w:hAnsi="Garamond" w:cs="Garamond"/>
          <w:sz w:val="24"/>
          <w:szCs w:val="24"/>
        </w:rPr>
        <w:t xml:space="preserve">own </w:t>
      </w:r>
      <w:r w:rsidR="000141B6">
        <w:rPr>
          <w:rFonts w:ascii="Garamond" w:eastAsia="Garamond" w:hAnsi="Garamond" w:cs="Garamond"/>
          <w:sz w:val="24"/>
          <w:szCs w:val="24"/>
        </w:rPr>
        <w:t>interventions</w:t>
      </w:r>
      <w:r>
        <w:rPr>
          <w:rFonts w:ascii="Garamond" w:eastAsia="Garamond" w:hAnsi="Garamond" w:cs="Garamond"/>
          <w:sz w:val="24"/>
          <w:szCs w:val="24"/>
        </w:rPr>
        <w:t>.</w:t>
      </w:r>
    </w:p>
    <w:p w14:paraId="6E244203" w14:textId="77777777" w:rsidR="00BE1B83" w:rsidRDefault="00633980" w:rsidP="008A4844">
      <w:pPr>
        <w:spacing w:after="0" w:line="480" w:lineRule="auto"/>
        <w:rPr>
          <w:rFonts w:ascii="Garamond" w:eastAsia="Garamond" w:hAnsi="Garamond" w:cs="Garamond"/>
          <w:sz w:val="24"/>
          <w:szCs w:val="24"/>
        </w:rPr>
      </w:pPr>
      <w:r>
        <w:rPr>
          <w:rFonts w:ascii="Garamond" w:eastAsia="Garamond" w:hAnsi="Garamond" w:cs="Garamond"/>
          <w:sz w:val="24"/>
          <w:szCs w:val="24"/>
        </w:rPr>
        <w:t xml:space="preserve"> </w:t>
      </w:r>
    </w:p>
    <w:p w14:paraId="00055492" w14:textId="172ABD14" w:rsidR="00BE1B83" w:rsidRDefault="00633980" w:rsidP="008A4844">
      <w:pPr>
        <w:spacing w:after="0" w:line="480" w:lineRule="auto"/>
        <w:rPr>
          <w:rFonts w:ascii="Garamond" w:eastAsia="Garamond" w:hAnsi="Garamond" w:cs="Garamond"/>
          <w:sz w:val="24"/>
          <w:szCs w:val="24"/>
        </w:rPr>
      </w:pPr>
      <w:r>
        <w:rPr>
          <w:rFonts w:ascii="Garamond" w:eastAsia="Garamond" w:hAnsi="Garamond" w:cs="Garamond"/>
          <w:sz w:val="24"/>
          <w:szCs w:val="24"/>
        </w:rPr>
        <w:t>In some respects</w:t>
      </w:r>
      <w:r w:rsidR="00F22A58">
        <w:rPr>
          <w:rFonts w:ascii="Garamond" w:eastAsia="Garamond" w:hAnsi="Garamond" w:cs="Garamond"/>
          <w:sz w:val="24"/>
          <w:szCs w:val="24"/>
        </w:rPr>
        <w:t>,</w:t>
      </w:r>
      <w:r>
        <w:rPr>
          <w:rFonts w:ascii="Garamond" w:eastAsia="Garamond" w:hAnsi="Garamond" w:cs="Garamond"/>
          <w:sz w:val="24"/>
          <w:szCs w:val="24"/>
        </w:rPr>
        <w:t xml:space="preserve"> the movement towards equity-informative evidence mirrors the wider quality and effectiveness movement in medicine. </w:t>
      </w:r>
      <w:r w:rsidR="00F22A58">
        <w:rPr>
          <w:rFonts w:ascii="Garamond" w:eastAsia="Garamond" w:hAnsi="Garamond" w:cs="Garamond"/>
          <w:sz w:val="24"/>
          <w:szCs w:val="24"/>
        </w:rPr>
        <w:t>For much of the twentieth century</w:t>
      </w:r>
      <w:r>
        <w:rPr>
          <w:rFonts w:ascii="Garamond" w:eastAsia="Garamond" w:hAnsi="Garamond" w:cs="Garamond"/>
          <w:sz w:val="24"/>
          <w:szCs w:val="24"/>
        </w:rPr>
        <w:t xml:space="preserve">, the medical profession </w:t>
      </w:r>
      <w:r w:rsidR="00F22A58">
        <w:rPr>
          <w:rFonts w:ascii="Garamond" w:eastAsia="Garamond" w:hAnsi="Garamond" w:cs="Garamond"/>
          <w:sz w:val="24"/>
          <w:szCs w:val="24"/>
        </w:rPr>
        <w:t xml:space="preserve">– lacking access to routine activity and outcomes data and comparative methods of analysis – </w:t>
      </w:r>
      <w:r>
        <w:rPr>
          <w:rFonts w:ascii="Garamond" w:eastAsia="Garamond" w:hAnsi="Garamond" w:cs="Garamond"/>
          <w:sz w:val="24"/>
          <w:szCs w:val="24"/>
        </w:rPr>
        <w:t xml:space="preserve">remained in denial about variations in quality. Extreme examples of negligent care and confidential enquiries brought this stance into question, but it was not until data were routinely collected and analysed across whole systems that the scale of suboptimal care – and potential solutions to it – became apparent </w:t>
      </w:r>
      <w:hyperlink r:id="rId45">
        <w:r>
          <w:rPr>
            <w:rFonts w:ascii="Garamond" w:eastAsia="Garamond" w:hAnsi="Garamond" w:cs="Garamond"/>
            <w:color w:val="000000"/>
            <w:sz w:val="24"/>
            <w:szCs w:val="24"/>
          </w:rPr>
          <w:t>(Institute of Medicine and Committee on Quality of Health Care in America, 2001)</w:t>
        </w:r>
      </w:hyperlink>
      <w:r>
        <w:rPr>
          <w:rFonts w:ascii="Garamond" w:eastAsia="Garamond" w:hAnsi="Garamond" w:cs="Garamond"/>
          <w:sz w:val="24"/>
          <w:szCs w:val="24"/>
        </w:rPr>
        <w:t xml:space="preserve">. The medical and related professions have since put systems in place for measuring and improving safety and effectiveness, with varying degrees of success. </w:t>
      </w:r>
    </w:p>
    <w:p w14:paraId="678A12AB" w14:textId="77777777" w:rsidR="00BE1B83" w:rsidRDefault="00633980" w:rsidP="008A4844">
      <w:pPr>
        <w:spacing w:after="0" w:line="480" w:lineRule="auto"/>
        <w:rPr>
          <w:rFonts w:ascii="Garamond" w:eastAsia="Garamond" w:hAnsi="Garamond" w:cs="Garamond"/>
          <w:sz w:val="24"/>
          <w:szCs w:val="24"/>
        </w:rPr>
      </w:pPr>
      <w:r>
        <w:rPr>
          <w:rFonts w:ascii="Garamond" w:eastAsia="Garamond" w:hAnsi="Garamond" w:cs="Garamond"/>
          <w:sz w:val="24"/>
          <w:szCs w:val="24"/>
        </w:rPr>
        <w:t xml:space="preserve"> </w:t>
      </w:r>
    </w:p>
    <w:p w14:paraId="36FB1BB7" w14:textId="1B4B4BEB" w:rsidR="00BE1B83" w:rsidRDefault="00633980" w:rsidP="008A4844">
      <w:pPr>
        <w:spacing w:after="0" w:line="480" w:lineRule="auto"/>
        <w:rPr>
          <w:rFonts w:ascii="Garamond" w:eastAsia="Garamond" w:hAnsi="Garamond" w:cs="Garamond"/>
          <w:sz w:val="24"/>
          <w:szCs w:val="24"/>
        </w:rPr>
      </w:pPr>
      <w:r>
        <w:rPr>
          <w:rFonts w:ascii="Garamond" w:eastAsia="Garamond" w:hAnsi="Garamond" w:cs="Garamond"/>
          <w:sz w:val="24"/>
          <w:szCs w:val="24"/>
        </w:rPr>
        <w:t xml:space="preserve">The effectiveness movement initially focused on individual care, as this is the primary responsibility of care providers and reflects the traditional emphasis of their training.  More recently, however, there has been a reorientation from focusing on the causes of individual cases to addressing the causes of population incidence (Rose, 2001). Definitions of quality have been expanded to include population-level considerations, principally efficiency, requiring more data and new methods. The development of measures such as QALYs </w:t>
      </w:r>
      <w:r w:rsidR="00245F37">
        <w:rPr>
          <w:rFonts w:ascii="Garamond" w:eastAsia="Garamond" w:hAnsi="Garamond" w:cs="Garamond"/>
          <w:sz w:val="24"/>
          <w:szCs w:val="24"/>
        </w:rPr>
        <w:t xml:space="preserve">(quality-adjusted life years) </w:t>
      </w:r>
      <w:r>
        <w:rPr>
          <w:rFonts w:ascii="Garamond" w:eastAsia="Garamond" w:hAnsi="Garamond" w:cs="Garamond"/>
          <w:sz w:val="24"/>
          <w:szCs w:val="24"/>
        </w:rPr>
        <w:t xml:space="preserve">has allowed for meaningful comparisons across interventions, but from the outset these methods </w:t>
      </w:r>
      <w:r>
        <w:rPr>
          <w:rFonts w:ascii="Garamond" w:eastAsia="Garamond" w:hAnsi="Garamond" w:cs="Garamond"/>
          <w:sz w:val="24"/>
          <w:szCs w:val="24"/>
        </w:rPr>
        <w:lastRenderedPageBreak/>
        <w:t xml:space="preserve">were criticised for ignoring variation across patient and population groups </w:t>
      </w:r>
      <w:hyperlink r:id="rId46">
        <w:r>
          <w:rPr>
            <w:rFonts w:ascii="Garamond" w:eastAsia="Garamond" w:hAnsi="Garamond" w:cs="Garamond"/>
            <w:color w:val="000000"/>
            <w:sz w:val="24"/>
            <w:szCs w:val="24"/>
          </w:rPr>
          <w:t>(Sassi et al., 2001)</w:t>
        </w:r>
      </w:hyperlink>
      <w:r>
        <w:rPr>
          <w:rFonts w:ascii="Garamond" w:eastAsia="Garamond" w:hAnsi="Garamond" w:cs="Garamond"/>
          <w:sz w:val="24"/>
          <w:szCs w:val="24"/>
        </w:rPr>
        <w:t xml:space="preserve">. The spread of these new methods coupled with a failure to look beyond averages has created the risk that differences in the context of targeted populations will be overlooked and that well-intentioned public health interventions will worsen health inequalities even as they improve efficiency. For example, the UN’s Millennium Development Goals had the explicit goal of reducing inequalities within and between countries but relied on aggregate measurements of overall progress, ignoring inequitable distributions </w:t>
      </w:r>
      <w:hyperlink r:id="rId47">
        <w:r>
          <w:rPr>
            <w:rFonts w:ascii="Garamond" w:eastAsia="Garamond" w:hAnsi="Garamond" w:cs="Garamond"/>
            <w:color w:val="000000"/>
            <w:sz w:val="24"/>
            <w:szCs w:val="24"/>
          </w:rPr>
          <w:t>(Friedman et al., 2019)</w:t>
        </w:r>
      </w:hyperlink>
      <w:r>
        <w:rPr>
          <w:rFonts w:ascii="Garamond" w:eastAsia="Garamond" w:hAnsi="Garamond" w:cs="Garamond"/>
          <w:sz w:val="24"/>
          <w:szCs w:val="24"/>
        </w:rPr>
        <w:t>. This has led to pleas for greater disaggregation of data</w:t>
      </w:r>
      <w:r w:rsidR="00F22A58">
        <w:rPr>
          <w:rFonts w:ascii="Garamond" w:eastAsia="Garamond" w:hAnsi="Garamond" w:cs="Garamond"/>
          <w:sz w:val="24"/>
          <w:szCs w:val="24"/>
        </w:rPr>
        <w:t>. However</w:t>
      </w:r>
      <w:r>
        <w:rPr>
          <w:rFonts w:ascii="Garamond" w:eastAsia="Garamond" w:hAnsi="Garamond" w:cs="Garamond"/>
          <w:sz w:val="24"/>
          <w:szCs w:val="24"/>
        </w:rPr>
        <w:t xml:space="preserve">, using old </w:t>
      </w:r>
      <w:r w:rsidR="00F22A58">
        <w:rPr>
          <w:rFonts w:ascii="Garamond" w:eastAsia="Garamond" w:hAnsi="Garamond" w:cs="Garamond"/>
          <w:sz w:val="24"/>
          <w:szCs w:val="24"/>
        </w:rPr>
        <w:t xml:space="preserve">tools </w:t>
      </w:r>
      <w:r>
        <w:rPr>
          <w:rFonts w:ascii="Garamond" w:eastAsia="Garamond" w:hAnsi="Garamond" w:cs="Garamond"/>
          <w:sz w:val="24"/>
          <w:szCs w:val="24"/>
        </w:rPr>
        <w:t xml:space="preserve">on these new data is likely to perpetuate the problem; we also need </w:t>
      </w:r>
      <w:r w:rsidR="00F22A58">
        <w:rPr>
          <w:rFonts w:ascii="Garamond" w:eastAsia="Garamond" w:hAnsi="Garamond" w:cs="Garamond"/>
          <w:sz w:val="24"/>
          <w:szCs w:val="24"/>
        </w:rPr>
        <w:t xml:space="preserve">novel </w:t>
      </w:r>
      <w:r>
        <w:rPr>
          <w:rFonts w:ascii="Garamond" w:eastAsia="Garamond" w:hAnsi="Garamond" w:cs="Garamond"/>
          <w:sz w:val="24"/>
          <w:szCs w:val="24"/>
        </w:rPr>
        <w:t xml:space="preserve">methods that are more equity informative. </w:t>
      </w:r>
    </w:p>
    <w:p w14:paraId="5A630AE7" w14:textId="77777777" w:rsidR="00BE1B83" w:rsidRDefault="00BE1B83" w:rsidP="008A4844">
      <w:pPr>
        <w:spacing w:after="0" w:line="480" w:lineRule="auto"/>
        <w:rPr>
          <w:rFonts w:ascii="Garamond" w:eastAsia="Garamond" w:hAnsi="Garamond" w:cs="Garamond"/>
          <w:sz w:val="24"/>
          <w:szCs w:val="24"/>
        </w:rPr>
      </w:pPr>
    </w:p>
    <w:p w14:paraId="54D75A67" w14:textId="1AB5EB7D" w:rsidR="00231088" w:rsidRDefault="00633980" w:rsidP="00E31ED5">
      <w:pPr>
        <w:spacing w:after="0" w:line="480" w:lineRule="auto"/>
        <w:rPr>
          <w:rFonts w:ascii="Garamond" w:eastAsia="Garamond" w:hAnsi="Garamond" w:cs="Garamond"/>
          <w:sz w:val="24"/>
          <w:szCs w:val="24"/>
        </w:rPr>
      </w:pPr>
      <w:r>
        <w:rPr>
          <w:rFonts w:ascii="Garamond" w:eastAsia="Garamond" w:hAnsi="Garamond" w:cs="Garamond"/>
          <w:sz w:val="24"/>
          <w:szCs w:val="24"/>
        </w:rPr>
        <w:t>In this paper, we have described equity-informative methods that build on standard health services research tools to provide practical</w:t>
      </w:r>
      <w:r w:rsidR="00FC7D3D">
        <w:rPr>
          <w:rFonts w:ascii="Garamond" w:eastAsia="Garamond" w:hAnsi="Garamond" w:cs="Garamond"/>
          <w:sz w:val="24"/>
          <w:szCs w:val="24"/>
        </w:rPr>
        <w:t xml:space="preserve">, </w:t>
      </w:r>
      <w:r>
        <w:rPr>
          <w:rFonts w:ascii="Garamond" w:eastAsia="Garamond" w:hAnsi="Garamond" w:cs="Garamond"/>
          <w:sz w:val="24"/>
          <w:szCs w:val="24"/>
        </w:rPr>
        <w:t xml:space="preserve">flexible </w:t>
      </w:r>
      <w:r w:rsidR="00FC7D3D">
        <w:rPr>
          <w:rFonts w:ascii="Garamond" w:eastAsia="Garamond" w:hAnsi="Garamond" w:cs="Garamond"/>
          <w:sz w:val="24"/>
          <w:szCs w:val="24"/>
        </w:rPr>
        <w:t xml:space="preserve">and powerful ways of </w:t>
      </w:r>
      <w:r>
        <w:rPr>
          <w:rFonts w:ascii="Garamond" w:eastAsia="Garamond" w:hAnsi="Garamond" w:cs="Garamond"/>
          <w:sz w:val="24"/>
          <w:szCs w:val="24"/>
        </w:rPr>
        <w:t>analysing health equity impacts</w:t>
      </w:r>
      <w:r w:rsidR="00CB4706">
        <w:rPr>
          <w:rFonts w:ascii="Garamond" w:eastAsia="Garamond" w:hAnsi="Garamond" w:cs="Garamond"/>
          <w:sz w:val="24"/>
          <w:szCs w:val="24"/>
        </w:rPr>
        <w:t xml:space="preserve"> and trade-offs</w:t>
      </w:r>
      <w:r>
        <w:rPr>
          <w:rFonts w:ascii="Garamond" w:eastAsia="Garamond" w:hAnsi="Garamond" w:cs="Garamond"/>
          <w:sz w:val="24"/>
          <w:szCs w:val="24"/>
        </w:rPr>
        <w:t xml:space="preserve">. </w:t>
      </w:r>
      <w:r w:rsidR="00231088">
        <w:rPr>
          <w:rFonts w:ascii="Garamond" w:eastAsia="Garamond" w:hAnsi="Garamond" w:cs="Garamond"/>
          <w:sz w:val="24"/>
          <w:szCs w:val="24"/>
        </w:rPr>
        <w:t xml:space="preserve"> </w:t>
      </w:r>
      <w:r w:rsidR="00C6665E">
        <w:rPr>
          <w:rFonts w:ascii="Garamond" w:eastAsia="Garamond" w:hAnsi="Garamond" w:cs="Garamond"/>
          <w:sz w:val="24"/>
          <w:szCs w:val="24"/>
        </w:rPr>
        <w:t>T</w:t>
      </w:r>
      <w:r w:rsidR="00231088">
        <w:rPr>
          <w:rFonts w:ascii="Garamond" w:eastAsia="Garamond" w:hAnsi="Garamond" w:cs="Garamond"/>
          <w:sz w:val="24"/>
          <w:szCs w:val="24"/>
        </w:rPr>
        <w:t xml:space="preserve">hese methods can be used to </w:t>
      </w:r>
      <w:r w:rsidR="00231088" w:rsidRPr="00231088">
        <w:rPr>
          <w:rFonts w:ascii="Garamond" w:eastAsia="Garamond" w:hAnsi="Garamond" w:cs="Garamond"/>
          <w:sz w:val="24"/>
          <w:szCs w:val="24"/>
        </w:rPr>
        <w:t xml:space="preserve">inform decisions </w:t>
      </w:r>
      <w:r w:rsidR="00CB4706">
        <w:rPr>
          <w:rFonts w:ascii="Garamond" w:eastAsia="Garamond" w:hAnsi="Garamond" w:cs="Garamond"/>
          <w:sz w:val="24"/>
          <w:szCs w:val="24"/>
        </w:rPr>
        <w:t xml:space="preserve">by providers and policy makers </w:t>
      </w:r>
      <w:r w:rsidR="00231088" w:rsidRPr="00231088">
        <w:rPr>
          <w:rFonts w:ascii="Garamond" w:eastAsia="Garamond" w:hAnsi="Garamond" w:cs="Garamond"/>
          <w:sz w:val="24"/>
          <w:szCs w:val="24"/>
        </w:rPr>
        <w:t>about the funding</w:t>
      </w:r>
      <w:r w:rsidR="00CB4706">
        <w:rPr>
          <w:rFonts w:ascii="Garamond" w:eastAsia="Garamond" w:hAnsi="Garamond" w:cs="Garamond"/>
          <w:sz w:val="24"/>
          <w:szCs w:val="24"/>
        </w:rPr>
        <w:t xml:space="preserve">, </w:t>
      </w:r>
      <w:r w:rsidR="00231088" w:rsidRPr="00231088">
        <w:rPr>
          <w:rFonts w:ascii="Garamond" w:eastAsia="Garamond" w:hAnsi="Garamond" w:cs="Garamond"/>
          <w:sz w:val="24"/>
          <w:szCs w:val="24"/>
        </w:rPr>
        <w:t xml:space="preserve">design </w:t>
      </w:r>
      <w:r w:rsidR="00CB4706">
        <w:rPr>
          <w:rFonts w:ascii="Garamond" w:eastAsia="Garamond" w:hAnsi="Garamond" w:cs="Garamond"/>
          <w:sz w:val="24"/>
          <w:szCs w:val="24"/>
        </w:rPr>
        <w:t xml:space="preserve">and delivery </w:t>
      </w:r>
      <w:r w:rsidR="00231088" w:rsidRPr="00231088">
        <w:rPr>
          <w:rFonts w:ascii="Garamond" w:eastAsia="Garamond" w:hAnsi="Garamond" w:cs="Garamond"/>
          <w:sz w:val="24"/>
          <w:szCs w:val="24"/>
        </w:rPr>
        <w:t xml:space="preserve">of </w:t>
      </w:r>
      <w:r w:rsidR="00231088">
        <w:rPr>
          <w:rFonts w:ascii="Garamond" w:eastAsia="Garamond" w:hAnsi="Garamond" w:cs="Garamond"/>
          <w:sz w:val="24"/>
          <w:szCs w:val="24"/>
        </w:rPr>
        <w:t>intervention</w:t>
      </w:r>
      <w:r w:rsidR="000611CD">
        <w:rPr>
          <w:rFonts w:ascii="Garamond" w:eastAsia="Garamond" w:hAnsi="Garamond" w:cs="Garamond"/>
          <w:sz w:val="24"/>
          <w:szCs w:val="24"/>
        </w:rPr>
        <w:t xml:space="preserve">s </w:t>
      </w:r>
      <w:r w:rsidR="00231088" w:rsidRPr="00231088">
        <w:rPr>
          <w:rFonts w:ascii="Garamond" w:eastAsia="Garamond" w:hAnsi="Garamond" w:cs="Garamond"/>
          <w:sz w:val="24"/>
          <w:szCs w:val="24"/>
        </w:rPr>
        <w:t>expected to have different consequences for different people</w:t>
      </w:r>
      <w:r w:rsidR="00231088">
        <w:rPr>
          <w:rFonts w:ascii="Garamond" w:eastAsia="Garamond" w:hAnsi="Garamond" w:cs="Garamond"/>
          <w:sz w:val="24"/>
          <w:szCs w:val="24"/>
        </w:rPr>
        <w:t xml:space="preserve">, including decisions about health technology purchasing, </w:t>
      </w:r>
      <w:r w:rsidR="00231088" w:rsidRPr="00231088">
        <w:rPr>
          <w:rFonts w:ascii="Garamond" w:eastAsia="Garamond" w:hAnsi="Garamond" w:cs="Garamond"/>
          <w:sz w:val="24"/>
          <w:szCs w:val="24"/>
        </w:rPr>
        <w:t>benefit package</w:t>
      </w:r>
      <w:r w:rsidR="00231088">
        <w:rPr>
          <w:rFonts w:ascii="Garamond" w:eastAsia="Garamond" w:hAnsi="Garamond" w:cs="Garamond"/>
          <w:sz w:val="24"/>
          <w:szCs w:val="24"/>
        </w:rPr>
        <w:t xml:space="preserve"> design</w:t>
      </w:r>
      <w:r w:rsidR="00231088" w:rsidRPr="00231088">
        <w:rPr>
          <w:rFonts w:ascii="Garamond" w:eastAsia="Garamond" w:hAnsi="Garamond" w:cs="Garamond"/>
          <w:sz w:val="24"/>
          <w:szCs w:val="24"/>
        </w:rPr>
        <w:t xml:space="preserve">, </w:t>
      </w:r>
      <w:r w:rsidR="00231088">
        <w:rPr>
          <w:rFonts w:ascii="Garamond" w:eastAsia="Garamond" w:hAnsi="Garamond" w:cs="Garamond"/>
          <w:sz w:val="24"/>
          <w:szCs w:val="24"/>
        </w:rPr>
        <w:t xml:space="preserve">organisation and </w:t>
      </w:r>
      <w:r w:rsidR="00231088" w:rsidRPr="00231088">
        <w:rPr>
          <w:rFonts w:ascii="Garamond" w:eastAsia="Garamond" w:hAnsi="Garamond" w:cs="Garamond"/>
          <w:sz w:val="24"/>
          <w:szCs w:val="24"/>
        </w:rPr>
        <w:t>delivery</w:t>
      </w:r>
      <w:r w:rsidR="000611CD">
        <w:rPr>
          <w:rFonts w:ascii="Garamond" w:eastAsia="Garamond" w:hAnsi="Garamond" w:cs="Garamond"/>
          <w:sz w:val="24"/>
          <w:szCs w:val="24"/>
        </w:rPr>
        <w:t xml:space="preserve"> of care</w:t>
      </w:r>
      <w:r w:rsidR="00231088">
        <w:rPr>
          <w:rFonts w:ascii="Garamond" w:eastAsia="Garamond" w:hAnsi="Garamond" w:cs="Garamond"/>
          <w:sz w:val="24"/>
          <w:szCs w:val="24"/>
        </w:rPr>
        <w:t xml:space="preserve">, </w:t>
      </w:r>
      <w:r w:rsidR="00231088" w:rsidRPr="00231088">
        <w:rPr>
          <w:rFonts w:ascii="Garamond" w:eastAsia="Garamond" w:hAnsi="Garamond" w:cs="Garamond"/>
          <w:sz w:val="24"/>
          <w:szCs w:val="24"/>
        </w:rPr>
        <w:t>and invest</w:t>
      </w:r>
      <w:r w:rsidR="000611CD">
        <w:rPr>
          <w:rFonts w:ascii="Garamond" w:eastAsia="Garamond" w:hAnsi="Garamond" w:cs="Garamond"/>
          <w:sz w:val="24"/>
          <w:szCs w:val="24"/>
        </w:rPr>
        <w:t>ment</w:t>
      </w:r>
      <w:r w:rsidR="00231088" w:rsidRPr="00231088">
        <w:rPr>
          <w:rFonts w:ascii="Garamond" w:eastAsia="Garamond" w:hAnsi="Garamond" w:cs="Garamond"/>
          <w:sz w:val="24"/>
          <w:szCs w:val="24"/>
        </w:rPr>
        <w:t xml:space="preserve"> in prevention</w:t>
      </w:r>
      <w:r w:rsidR="00231088">
        <w:rPr>
          <w:rFonts w:ascii="Garamond" w:eastAsia="Garamond" w:hAnsi="Garamond" w:cs="Garamond"/>
          <w:sz w:val="24"/>
          <w:szCs w:val="24"/>
        </w:rPr>
        <w:t xml:space="preserve">.  </w:t>
      </w:r>
      <w:r w:rsidR="000611CD">
        <w:rPr>
          <w:rFonts w:ascii="Garamond" w:eastAsia="Garamond" w:hAnsi="Garamond" w:cs="Garamond"/>
          <w:sz w:val="24"/>
          <w:szCs w:val="24"/>
        </w:rPr>
        <w:t>The methods</w:t>
      </w:r>
      <w:r w:rsidR="00231088">
        <w:rPr>
          <w:rFonts w:ascii="Garamond" w:eastAsia="Garamond" w:hAnsi="Garamond" w:cs="Garamond"/>
          <w:sz w:val="24"/>
          <w:szCs w:val="24"/>
        </w:rPr>
        <w:t xml:space="preserve"> </w:t>
      </w:r>
      <w:r>
        <w:rPr>
          <w:rFonts w:ascii="Garamond" w:eastAsia="Garamond" w:hAnsi="Garamond" w:cs="Garamond"/>
          <w:sz w:val="24"/>
          <w:szCs w:val="24"/>
        </w:rPr>
        <w:t xml:space="preserve">can be </w:t>
      </w:r>
      <w:r w:rsidR="000611CD">
        <w:rPr>
          <w:rFonts w:ascii="Garamond" w:eastAsia="Garamond" w:hAnsi="Garamond" w:cs="Garamond"/>
          <w:sz w:val="24"/>
          <w:szCs w:val="24"/>
        </w:rPr>
        <w:t xml:space="preserve">also </w:t>
      </w:r>
      <w:r>
        <w:rPr>
          <w:rFonts w:ascii="Garamond" w:eastAsia="Garamond" w:hAnsi="Garamond" w:cs="Garamond"/>
          <w:sz w:val="24"/>
          <w:szCs w:val="24"/>
        </w:rPr>
        <w:t>applied by health services researcher</w:t>
      </w:r>
      <w:r w:rsidR="000611CD">
        <w:rPr>
          <w:rFonts w:ascii="Garamond" w:eastAsia="Garamond" w:hAnsi="Garamond" w:cs="Garamond"/>
          <w:sz w:val="24"/>
          <w:szCs w:val="24"/>
        </w:rPr>
        <w:t>s</w:t>
      </w:r>
      <w:r>
        <w:rPr>
          <w:rFonts w:ascii="Garamond" w:eastAsia="Garamond" w:hAnsi="Garamond" w:cs="Garamond"/>
          <w:sz w:val="24"/>
          <w:szCs w:val="24"/>
        </w:rPr>
        <w:t xml:space="preserve"> with appropriate skills in the core areas of effectiveness analysis, </w:t>
      </w:r>
      <w:r w:rsidR="00FC7D3D">
        <w:rPr>
          <w:rFonts w:ascii="Garamond" w:eastAsia="Garamond" w:hAnsi="Garamond" w:cs="Garamond"/>
          <w:sz w:val="24"/>
          <w:szCs w:val="24"/>
        </w:rPr>
        <w:t>c</w:t>
      </w:r>
      <w:r>
        <w:rPr>
          <w:rFonts w:ascii="Garamond" w:eastAsia="Garamond" w:hAnsi="Garamond" w:cs="Garamond"/>
          <w:sz w:val="24"/>
          <w:szCs w:val="24"/>
        </w:rPr>
        <w:t>ost-effectiveness analysis or performance measurement.</w:t>
      </w:r>
      <w:r w:rsidR="00231088">
        <w:rPr>
          <w:rFonts w:ascii="Garamond" w:eastAsia="Garamond" w:hAnsi="Garamond" w:cs="Garamond"/>
          <w:sz w:val="24"/>
          <w:szCs w:val="24"/>
        </w:rPr>
        <w:t xml:space="preserve"> </w:t>
      </w:r>
      <w:r w:rsidR="007A57A6">
        <w:rPr>
          <w:rFonts w:ascii="Garamond" w:eastAsia="Garamond" w:hAnsi="Garamond" w:cs="Garamond"/>
          <w:sz w:val="24"/>
          <w:szCs w:val="24"/>
        </w:rPr>
        <w:t xml:space="preserve">However, </w:t>
      </w:r>
      <w:r w:rsidR="00E31ED5">
        <w:rPr>
          <w:rFonts w:ascii="Garamond" w:eastAsia="Garamond" w:hAnsi="Garamond" w:cs="Garamond"/>
          <w:sz w:val="24"/>
          <w:szCs w:val="24"/>
        </w:rPr>
        <w:t>such</w:t>
      </w:r>
      <w:r w:rsidR="007A57A6">
        <w:rPr>
          <w:rFonts w:ascii="Garamond" w:eastAsia="Garamond" w:hAnsi="Garamond" w:cs="Garamond"/>
          <w:sz w:val="24"/>
          <w:szCs w:val="24"/>
        </w:rPr>
        <w:t xml:space="preserve"> activity requires support</w:t>
      </w:r>
      <w:r w:rsidR="00E31ED5">
        <w:rPr>
          <w:rFonts w:ascii="Garamond" w:eastAsia="Garamond" w:hAnsi="Garamond" w:cs="Garamond"/>
          <w:sz w:val="24"/>
          <w:szCs w:val="24"/>
        </w:rPr>
        <w:t xml:space="preserve">. </w:t>
      </w:r>
      <w:r w:rsidR="00C6665E">
        <w:rPr>
          <w:rFonts w:ascii="Garamond" w:eastAsia="Garamond" w:hAnsi="Garamond" w:cs="Garamond"/>
          <w:sz w:val="24"/>
          <w:szCs w:val="24"/>
        </w:rPr>
        <w:t>P</w:t>
      </w:r>
      <w:r w:rsidR="00FC7D3D">
        <w:rPr>
          <w:rFonts w:ascii="Garamond" w:eastAsia="Garamond" w:hAnsi="Garamond" w:cs="Garamond"/>
          <w:sz w:val="24"/>
          <w:szCs w:val="24"/>
        </w:rPr>
        <w:t xml:space="preserve">olicy makers and research funders </w:t>
      </w:r>
      <w:r w:rsidR="00C6665E">
        <w:rPr>
          <w:rFonts w:ascii="Garamond" w:eastAsia="Garamond" w:hAnsi="Garamond" w:cs="Garamond"/>
          <w:sz w:val="24"/>
          <w:szCs w:val="24"/>
        </w:rPr>
        <w:t xml:space="preserve">need to play their part in </w:t>
      </w:r>
      <w:r w:rsidR="00E31ED5">
        <w:rPr>
          <w:rFonts w:ascii="Garamond" w:eastAsia="Garamond" w:hAnsi="Garamond" w:cs="Garamond"/>
          <w:sz w:val="24"/>
          <w:szCs w:val="24"/>
        </w:rPr>
        <w:t>reshap</w:t>
      </w:r>
      <w:r w:rsidR="00C6665E">
        <w:rPr>
          <w:rFonts w:ascii="Garamond" w:eastAsia="Garamond" w:hAnsi="Garamond" w:cs="Garamond"/>
          <w:sz w:val="24"/>
          <w:szCs w:val="24"/>
        </w:rPr>
        <w:t xml:space="preserve">ing </w:t>
      </w:r>
      <w:r w:rsidR="00E31ED5">
        <w:rPr>
          <w:rFonts w:ascii="Garamond" w:eastAsia="Garamond" w:hAnsi="Garamond" w:cs="Garamond"/>
          <w:sz w:val="24"/>
          <w:szCs w:val="24"/>
        </w:rPr>
        <w:t xml:space="preserve">the health services research infrastructure </w:t>
      </w:r>
      <w:r w:rsidR="00C6665E">
        <w:rPr>
          <w:rFonts w:ascii="Garamond" w:eastAsia="Garamond" w:hAnsi="Garamond" w:cs="Garamond"/>
          <w:sz w:val="24"/>
          <w:szCs w:val="24"/>
        </w:rPr>
        <w:t>in pursuit of fairer decisions and better health b</w:t>
      </w:r>
      <w:r w:rsidR="00E31ED5">
        <w:rPr>
          <w:rFonts w:ascii="Garamond" w:eastAsia="Garamond" w:hAnsi="Garamond" w:cs="Garamond"/>
          <w:sz w:val="24"/>
          <w:szCs w:val="24"/>
        </w:rPr>
        <w:t xml:space="preserve">y funding and adopting more equity-informative methods. Using </w:t>
      </w:r>
      <w:r w:rsidR="00C6665E">
        <w:rPr>
          <w:rFonts w:ascii="Garamond" w:eastAsia="Garamond" w:hAnsi="Garamond" w:cs="Garamond"/>
          <w:sz w:val="24"/>
          <w:szCs w:val="24"/>
        </w:rPr>
        <w:t xml:space="preserve">equity-informative </w:t>
      </w:r>
      <w:r w:rsidR="00E31ED5">
        <w:rPr>
          <w:rFonts w:ascii="Garamond" w:eastAsia="Garamond" w:hAnsi="Garamond" w:cs="Garamond"/>
          <w:sz w:val="24"/>
          <w:szCs w:val="24"/>
        </w:rPr>
        <w:t xml:space="preserve">methods </w:t>
      </w:r>
      <w:r w:rsidR="00C6665E">
        <w:rPr>
          <w:rFonts w:ascii="Garamond" w:eastAsia="Garamond" w:hAnsi="Garamond" w:cs="Garamond"/>
          <w:sz w:val="24"/>
          <w:szCs w:val="24"/>
        </w:rPr>
        <w:t xml:space="preserve">routinely </w:t>
      </w:r>
      <w:r w:rsidR="00231088">
        <w:rPr>
          <w:rFonts w:ascii="Garamond" w:eastAsia="Garamond" w:hAnsi="Garamond" w:cs="Garamond"/>
          <w:sz w:val="24"/>
          <w:szCs w:val="24"/>
        </w:rPr>
        <w:t xml:space="preserve">alongside conventional </w:t>
      </w:r>
      <w:r w:rsidR="00FC7D3D">
        <w:rPr>
          <w:rFonts w:ascii="Garamond" w:eastAsia="Garamond" w:hAnsi="Garamond" w:cs="Garamond"/>
          <w:sz w:val="24"/>
          <w:szCs w:val="24"/>
        </w:rPr>
        <w:t>h</w:t>
      </w:r>
      <w:r w:rsidR="00231088">
        <w:rPr>
          <w:rFonts w:ascii="Garamond" w:eastAsia="Garamond" w:hAnsi="Garamond" w:cs="Garamond"/>
          <w:sz w:val="24"/>
          <w:szCs w:val="24"/>
        </w:rPr>
        <w:t xml:space="preserve">ealth services research methods </w:t>
      </w:r>
      <w:r w:rsidR="00C6665E">
        <w:rPr>
          <w:rFonts w:ascii="Garamond" w:eastAsia="Garamond" w:hAnsi="Garamond" w:cs="Garamond"/>
          <w:sz w:val="24"/>
          <w:szCs w:val="24"/>
        </w:rPr>
        <w:t>will then e</w:t>
      </w:r>
      <w:r w:rsidR="00231088">
        <w:rPr>
          <w:rFonts w:ascii="Garamond" w:eastAsia="Garamond" w:hAnsi="Garamond" w:cs="Garamond"/>
          <w:sz w:val="24"/>
          <w:szCs w:val="24"/>
        </w:rPr>
        <w:t xml:space="preserve">nsure that decision making is </w:t>
      </w:r>
      <w:r w:rsidR="00C6665E">
        <w:rPr>
          <w:rFonts w:ascii="Garamond" w:eastAsia="Garamond" w:hAnsi="Garamond" w:cs="Garamond"/>
          <w:sz w:val="24"/>
          <w:szCs w:val="24"/>
        </w:rPr>
        <w:t xml:space="preserve">routinely </w:t>
      </w:r>
      <w:r w:rsidR="00231088">
        <w:rPr>
          <w:rFonts w:ascii="Garamond" w:eastAsia="Garamond" w:hAnsi="Garamond" w:cs="Garamond"/>
          <w:sz w:val="24"/>
          <w:szCs w:val="24"/>
        </w:rPr>
        <w:t xml:space="preserve">informed by evidence </w:t>
      </w:r>
      <w:r w:rsidR="00CB4706">
        <w:rPr>
          <w:rFonts w:ascii="Garamond" w:eastAsia="Garamond" w:hAnsi="Garamond" w:cs="Garamond"/>
          <w:sz w:val="24"/>
          <w:szCs w:val="24"/>
        </w:rPr>
        <w:t xml:space="preserve">not only about effectiveness and efficiency but also </w:t>
      </w:r>
      <w:r w:rsidR="00231088">
        <w:rPr>
          <w:rFonts w:ascii="Garamond" w:eastAsia="Garamond" w:hAnsi="Garamond" w:cs="Garamond"/>
          <w:sz w:val="24"/>
          <w:szCs w:val="24"/>
        </w:rPr>
        <w:t>about equity impacts and trade-offs</w:t>
      </w:r>
      <w:r w:rsidR="00CB4706">
        <w:rPr>
          <w:rFonts w:ascii="Garamond" w:eastAsia="Garamond" w:hAnsi="Garamond" w:cs="Garamond"/>
          <w:sz w:val="24"/>
          <w:szCs w:val="24"/>
        </w:rPr>
        <w:t>.</w:t>
      </w:r>
    </w:p>
    <w:p w14:paraId="22EB2A05" w14:textId="4B7AC2A3" w:rsidR="00F22A58" w:rsidRDefault="00F22A58">
      <w:pPr>
        <w:rPr>
          <w:rFonts w:ascii="Garamond" w:eastAsia="Garamond" w:hAnsi="Garamond" w:cs="Garamond"/>
          <w:color w:val="2F5496"/>
          <w:sz w:val="24"/>
          <w:szCs w:val="24"/>
        </w:rPr>
      </w:pPr>
      <w:r>
        <w:rPr>
          <w:rFonts w:ascii="Garamond" w:eastAsia="Garamond" w:hAnsi="Garamond" w:cs="Garamond"/>
          <w:sz w:val="24"/>
          <w:szCs w:val="24"/>
        </w:rPr>
        <w:br w:type="page"/>
      </w:r>
    </w:p>
    <w:p w14:paraId="182867C9" w14:textId="77777777" w:rsidR="00BE1B83" w:rsidRDefault="00633980">
      <w:pPr>
        <w:pStyle w:val="Heading1"/>
        <w:spacing w:line="240" w:lineRule="auto"/>
        <w:rPr>
          <w:rFonts w:ascii="Garamond" w:eastAsia="Garamond" w:hAnsi="Garamond" w:cs="Garamond"/>
          <w:b/>
          <w:color w:val="000000"/>
          <w:sz w:val="28"/>
          <w:szCs w:val="28"/>
        </w:rPr>
      </w:pPr>
      <w:bookmarkStart w:id="11" w:name="_3dy6vkm" w:colFirst="0" w:colLast="0"/>
      <w:bookmarkStart w:id="12" w:name="_a2nrdwba4j4s" w:colFirst="0" w:colLast="0"/>
      <w:bookmarkEnd w:id="11"/>
      <w:bookmarkEnd w:id="12"/>
      <w:r>
        <w:rPr>
          <w:rFonts w:ascii="Garamond" w:eastAsia="Garamond" w:hAnsi="Garamond" w:cs="Garamond"/>
          <w:b/>
          <w:color w:val="000000"/>
          <w:sz w:val="28"/>
          <w:szCs w:val="28"/>
        </w:rPr>
        <w:lastRenderedPageBreak/>
        <w:t>Appendix</w:t>
      </w:r>
    </w:p>
    <w:p w14:paraId="612256D2" w14:textId="77777777" w:rsidR="00BE1B83" w:rsidRDefault="00BE1B83">
      <w:pPr>
        <w:spacing w:line="240" w:lineRule="auto"/>
        <w:rPr>
          <w:rFonts w:ascii="Garamond" w:eastAsia="Garamond" w:hAnsi="Garamond" w:cs="Garamond"/>
        </w:rPr>
      </w:pPr>
    </w:p>
    <w:p w14:paraId="7D699718" w14:textId="77777777" w:rsidR="00BE1B83" w:rsidRDefault="00633980">
      <w:pPr>
        <w:pStyle w:val="Heading2"/>
        <w:spacing w:line="240" w:lineRule="auto"/>
        <w:rPr>
          <w:rFonts w:ascii="Garamond" w:eastAsia="Garamond" w:hAnsi="Garamond" w:cs="Garamond"/>
          <w:sz w:val="28"/>
          <w:szCs w:val="28"/>
        </w:rPr>
      </w:pPr>
      <w:bookmarkStart w:id="13" w:name="_1t3h5sf" w:colFirst="0" w:colLast="0"/>
      <w:bookmarkEnd w:id="13"/>
      <w:r>
        <w:rPr>
          <w:rFonts w:ascii="Garamond" w:eastAsia="Garamond" w:hAnsi="Garamond" w:cs="Garamond"/>
          <w:b/>
          <w:sz w:val="28"/>
          <w:szCs w:val="28"/>
        </w:rPr>
        <w:t>Resources for equity-informative effectiveness analysis</w:t>
      </w:r>
    </w:p>
    <w:p w14:paraId="56D667A2" w14:textId="77777777" w:rsidR="00BE1B83" w:rsidRDefault="00BE1B83">
      <w:pPr>
        <w:spacing w:line="240" w:lineRule="auto"/>
      </w:pPr>
    </w:p>
    <w:p w14:paraId="7A528BB0" w14:textId="77777777" w:rsidR="00BE1B83" w:rsidRDefault="00633980">
      <w:pPr>
        <w:spacing w:line="240" w:lineRule="auto"/>
        <w:rPr>
          <w:rFonts w:ascii="Garamond" w:eastAsia="Garamond" w:hAnsi="Garamond" w:cs="Garamond"/>
          <w:b/>
          <w:sz w:val="24"/>
          <w:szCs w:val="24"/>
        </w:rPr>
      </w:pPr>
      <w:r>
        <w:rPr>
          <w:rFonts w:ascii="Garamond" w:eastAsia="Garamond" w:hAnsi="Garamond" w:cs="Garamond"/>
          <w:b/>
          <w:sz w:val="24"/>
          <w:szCs w:val="24"/>
        </w:rPr>
        <w:t>Further readings</w:t>
      </w:r>
    </w:p>
    <w:p w14:paraId="4BC5D6F9" w14:textId="77777777" w:rsidR="00BE1B83" w:rsidRDefault="00633980">
      <w:pPr>
        <w:widowControl w:val="0"/>
        <w:spacing w:after="240" w:line="240" w:lineRule="auto"/>
        <w:rPr>
          <w:rFonts w:ascii="Garamond" w:eastAsia="Garamond" w:hAnsi="Garamond" w:cs="Garamond"/>
          <w:sz w:val="24"/>
          <w:szCs w:val="24"/>
        </w:rPr>
      </w:pPr>
      <w:r>
        <w:rPr>
          <w:rFonts w:ascii="Garamond" w:eastAsia="Garamond" w:hAnsi="Garamond" w:cs="Garamond"/>
          <w:sz w:val="24"/>
          <w:szCs w:val="24"/>
        </w:rPr>
        <w:t xml:space="preserve">Bedoya, </w:t>
      </w:r>
      <w:proofErr w:type="spellStart"/>
      <w:r>
        <w:rPr>
          <w:rFonts w:ascii="Garamond" w:eastAsia="Garamond" w:hAnsi="Garamond" w:cs="Garamond"/>
          <w:sz w:val="24"/>
          <w:szCs w:val="24"/>
        </w:rPr>
        <w:t>Bittarello</w:t>
      </w:r>
      <w:proofErr w:type="spellEnd"/>
      <w:r>
        <w:rPr>
          <w:rFonts w:ascii="Garamond" w:eastAsia="Garamond" w:hAnsi="Garamond" w:cs="Garamond"/>
          <w:sz w:val="24"/>
          <w:szCs w:val="24"/>
        </w:rPr>
        <w:t xml:space="preserve">, L, Davis, J, </w:t>
      </w:r>
      <w:proofErr w:type="spellStart"/>
      <w:r>
        <w:rPr>
          <w:rFonts w:ascii="Garamond" w:eastAsia="Garamond" w:hAnsi="Garamond" w:cs="Garamond"/>
          <w:sz w:val="24"/>
          <w:szCs w:val="24"/>
        </w:rPr>
        <w:t>Mittag</w:t>
      </w:r>
      <w:proofErr w:type="spellEnd"/>
      <w:r>
        <w:rPr>
          <w:rFonts w:ascii="Garamond" w:eastAsia="Garamond" w:hAnsi="Garamond" w:cs="Garamond"/>
          <w:sz w:val="24"/>
          <w:szCs w:val="24"/>
        </w:rPr>
        <w:t xml:space="preserve">. N. (2017), </w:t>
      </w:r>
      <w:r>
        <w:rPr>
          <w:rFonts w:ascii="Garamond" w:eastAsia="Garamond" w:hAnsi="Garamond" w:cs="Garamond"/>
          <w:i/>
          <w:sz w:val="24"/>
          <w:szCs w:val="24"/>
        </w:rPr>
        <w:t>Distributional Impact Analysis: Toolkit and Illustrations of Impacts Beyond the Average Treatment Effect,</w:t>
      </w:r>
      <w:r>
        <w:rPr>
          <w:rFonts w:ascii="Garamond" w:eastAsia="Garamond" w:hAnsi="Garamond" w:cs="Garamond"/>
          <w:sz w:val="24"/>
          <w:szCs w:val="24"/>
        </w:rPr>
        <w:t xml:space="preserve"> The World Bank, available </w:t>
      </w:r>
      <w:proofErr w:type="spellStart"/>
      <w:r>
        <w:rPr>
          <w:rFonts w:ascii="Garamond" w:eastAsia="Garamond" w:hAnsi="Garamond" w:cs="Garamond"/>
          <w:sz w:val="24"/>
          <w:szCs w:val="24"/>
        </w:rPr>
        <w:t>at:</w:t>
      </w:r>
      <w:hyperlink r:id="rId48">
        <w:r>
          <w:rPr>
            <w:rFonts w:ascii="Garamond" w:eastAsia="Garamond" w:hAnsi="Garamond" w:cs="Garamond"/>
            <w:color w:val="1155CC"/>
            <w:sz w:val="24"/>
            <w:szCs w:val="24"/>
            <w:u w:val="single"/>
          </w:rPr>
          <w:t>https</w:t>
        </w:r>
        <w:proofErr w:type="spellEnd"/>
        <w:r>
          <w:rPr>
            <w:rFonts w:ascii="Garamond" w:eastAsia="Garamond" w:hAnsi="Garamond" w:cs="Garamond"/>
            <w:color w:val="1155CC"/>
            <w:sz w:val="24"/>
            <w:szCs w:val="24"/>
            <w:u w:val="single"/>
          </w:rPr>
          <w:t>://doi.org/10.1596/1813-9450-8139</w:t>
        </w:r>
      </w:hyperlink>
      <w:r>
        <w:rPr>
          <w:rFonts w:ascii="Garamond" w:eastAsia="Garamond" w:hAnsi="Garamond" w:cs="Garamond"/>
          <w:sz w:val="24"/>
          <w:szCs w:val="24"/>
        </w:rPr>
        <w:t>.</w:t>
      </w:r>
    </w:p>
    <w:p w14:paraId="7FD4E7FE" w14:textId="77777777" w:rsidR="00BE1B83" w:rsidRDefault="00633980">
      <w:pPr>
        <w:widowControl w:val="0"/>
        <w:spacing w:before="240" w:after="240" w:line="240" w:lineRule="auto"/>
        <w:rPr>
          <w:rFonts w:ascii="Garamond" w:eastAsia="Garamond" w:hAnsi="Garamond" w:cs="Garamond"/>
          <w:sz w:val="24"/>
          <w:szCs w:val="24"/>
        </w:rPr>
      </w:pPr>
      <w:proofErr w:type="spellStart"/>
      <w:r>
        <w:rPr>
          <w:rFonts w:ascii="Garamond" w:eastAsia="Garamond" w:hAnsi="Garamond" w:cs="Garamond"/>
          <w:sz w:val="24"/>
          <w:szCs w:val="24"/>
        </w:rPr>
        <w:t>Firpo</w:t>
      </w:r>
      <w:proofErr w:type="spellEnd"/>
      <w:r>
        <w:rPr>
          <w:rFonts w:ascii="Garamond" w:eastAsia="Garamond" w:hAnsi="Garamond" w:cs="Garamond"/>
          <w:sz w:val="24"/>
          <w:szCs w:val="24"/>
        </w:rPr>
        <w:t xml:space="preserve">, S. and Pinto, C. (2016), “Identification and estimation of distributional impacts of interventions using changes in inequality measures”, </w:t>
      </w:r>
      <w:r>
        <w:rPr>
          <w:rFonts w:ascii="Garamond" w:eastAsia="Garamond" w:hAnsi="Garamond" w:cs="Garamond"/>
          <w:i/>
          <w:sz w:val="24"/>
          <w:szCs w:val="24"/>
        </w:rPr>
        <w:t>Journal of Applied Econometrics</w:t>
      </w:r>
      <w:r>
        <w:rPr>
          <w:rFonts w:ascii="Garamond" w:eastAsia="Garamond" w:hAnsi="Garamond" w:cs="Garamond"/>
          <w:sz w:val="24"/>
          <w:szCs w:val="24"/>
        </w:rPr>
        <w:t>, Wiley Online Library, Vol. 31 No. 3, pp. 457–486.</w:t>
      </w:r>
    </w:p>
    <w:p w14:paraId="77196521" w14:textId="77777777" w:rsidR="00BE1B83" w:rsidRDefault="00633980">
      <w:pPr>
        <w:widowControl w:val="0"/>
        <w:spacing w:before="240" w:after="240" w:line="240" w:lineRule="auto"/>
        <w:rPr>
          <w:rFonts w:ascii="Garamond" w:eastAsia="Garamond" w:hAnsi="Garamond" w:cs="Garamond"/>
          <w:sz w:val="24"/>
          <w:szCs w:val="24"/>
        </w:rPr>
      </w:pPr>
      <w:r>
        <w:rPr>
          <w:rFonts w:ascii="Garamond" w:eastAsia="Garamond" w:hAnsi="Garamond" w:cs="Garamond"/>
          <w:sz w:val="24"/>
          <w:szCs w:val="24"/>
        </w:rPr>
        <w:t xml:space="preserve">Robson, M., Doran, T., Cookson, R. and Others. (2019), Estimating and Decomposing Conditional Average Treatment Effects: The Smoking Ban in England, HEDG Working Paper, Department of Economics, University of York, available at: </w:t>
      </w:r>
      <w:hyperlink r:id="rId49">
        <w:r>
          <w:rPr>
            <w:rFonts w:ascii="Garamond" w:eastAsia="Garamond" w:hAnsi="Garamond" w:cs="Garamond"/>
            <w:color w:val="1155CC"/>
            <w:sz w:val="24"/>
            <w:szCs w:val="24"/>
            <w:u w:val="single"/>
          </w:rPr>
          <w:t>https://www.york.ac.uk/media/economics/documents/hedg/workingpapers/1920.pdf</w:t>
        </w:r>
      </w:hyperlink>
      <w:r>
        <w:rPr>
          <w:rFonts w:ascii="Garamond" w:eastAsia="Garamond" w:hAnsi="Garamond" w:cs="Garamond"/>
          <w:sz w:val="24"/>
          <w:szCs w:val="24"/>
        </w:rPr>
        <w:t>.</w:t>
      </w:r>
    </w:p>
    <w:p w14:paraId="517185C8" w14:textId="0B26322F" w:rsidR="00B36978" w:rsidRDefault="00B36978">
      <w:pPr>
        <w:widowControl w:val="0"/>
        <w:spacing w:before="240" w:after="240" w:line="240" w:lineRule="auto"/>
        <w:rPr>
          <w:rFonts w:ascii="Garamond" w:eastAsia="Garamond" w:hAnsi="Garamond" w:cs="Garamond"/>
          <w:sz w:val="24"/>
          <w:szCs w:val="24"/>
        </w:rPr>
      </w:pPr>
      <w:r w:rsidRPr="00B36978">
        <w:rPr>
          <w:rFonts w:ascii="Garamond" w:eastAsia="Garamond" w:hAnsi="Garamond" w:cs="Garamond"/>
          <w:sz w:val="24"/>
          <w:szCs w:val="24"/>
        </w:rPr>
        <w:t xml:space="preserve">Sun X, Ioannidis JP, </w:t>
      </w:r>
      <w:proofErr w:type="spellStart"/>
      <w:r w:rsidRPr="00B36978">
        <w:rPr>
          <w:rFonts w:ascii="Garamond" w:eastAsia="Garamond" w:hAnsi="Garamond" w:cs="Garamond"/>
          <w:sz w:val="24"/>
          <w:szCs w:val="24"/>
        </w:rPr>
        <w:t>Agoritsas</w:t>
      </w:r>
      <w:proofErr w:type="spellEnd"/>
      <w:r w:rsidRPr="00B36978">
        <w:rPr>
          <w:rFonts w:ascii="Garamond" w:eastAsia="Garamond" w:hAnsi="Garamond" w:cs="Garamond"/>
          <w:sz w:val="24"/>
          <w:szCs w:val="24"/>
        </w:rPr>
        <w:t xml:space="preserve"> T, Alba AC, </w:t>
      </w:r>
      <w:proofErr w:type="spellStart"/>
      <w:r w:rsidRPr="00B36978">
        <w:rPr>
          <w:rFonts w:ascii="Garamond" w:eastAsia="Garamond" w:hAnsi="Garamond" w:cs="Garamond"/>
          <w:sz w:val="24"/>
          <w:szCs w:val="24"/>
        </w:rPr>
        <w:t>Guyatt</w:t>
      </w:r>
      <w:proofErr w:type="spellEnd"/>
      <w:r w:rsidRPr="00B36978">
        <w:rPr>
          <w:rFonts w:ascii="Garamond" w:eastAsia="Garamond" w:hAnsi="Garamond" w:cs="Garamond"/>
          <w:sz w:val="24"/>
          <w:szCs w:val="24"/>
        </w:rPr>
        <w:t xml:space="preserve"> G. How to use a subgroup analysis: users’ guide to the medical literature. Jama. 2014;311(4):405-11</w:t>
      </w:r>
      <w:r>
        <w:rPr>
          <w:rFonts w:ascii="Garamond" w:eastAsia="Garamond" w:hAnsi="Garamond" w:cs="Garamond"/>
          <w:sz w:val="24"/>
          <w:szCs w:val="24"/>
        </w:rPr>
        <w:t>.</w:t>
      </w:r>
    </w:p>
    <w:p w14:paraId="2449A404" w14:textId="1D90A75E" w:rsidR="00BE1B83" w:rsidRDefault="00633980">
      <w:pPr>
        <w:widowControl w:val="0"/>
        <w:spacing w:before="240" w:after="240" w:line="240" w:lineRule="auto"/>
        <w:rPr>
          <w:rFonts w:ascii="Garamond" w:eastAsia="Garamond" w:hAnsi="Garamond" w:cs="Garamond"/>
          <w:sz w:val="24"/>
          <w:szCs w:val="24"/>
        </w:rPr>
      </w:pPr>
      <w:r>
        <w:rPr>
          <w:rFonts w:ascii="Garamond" w:eastAsia="Garamond" w:hAnsi="Garamond" w:cs="Garamond"/>
          <w:sz w:val="24"/>
          <w:szCs w:val="24"/>
        </w:rPr>
        <w:t xml:space="preserve">Welch, V.A., </w:t>
      </w:r>
      <w:proofErr w:type="spellStart"/>
      <w:r>
        <w:rPr>
          <w:rFonts w:ascii="Garamond" w:eastAsia="Garamond" w:hAnsi="Garamond" w:cs="Garamond"/>
          <w:sz w:val="24"/>
          <w:szCs w:val="24"/>
        </w:rPr>
        <w:t>Norheim</w:t>
      </w:r>
      <w:proofErr w:type="spellEnd"/>
      <w:r>
        <w:rPr>
          <w:rFonts w:ascii="Garamond" w:eastAsia="Garamond" w:hAnsi="Garamond" w:cs="Garamond"/>
          <w:sz w:val="24"/>
          <w:szCs w:val="24"/>
        </w:rPr>
        <w:t xml:space="preserve">, O.F., Jull, J., Cookson, R., </w:t>
      </w:r>
      <w:proofErr w:type="spellStart"/>
      <w:r>
        <w:rPr>
          <w:rFonts w:ascii="Garamond" w:eastAsia="Garamond" w:hAnsi="Garamond" w:cs="Garamond"/>
          <w:sz w:val="24"/>
          <w:szCs w:val="24"/>
        </w:rPr>
        <w:t>Sommerfelt</w:t>
      </w:r>
      <w:proofErr w:type="spellEnd"/>
      <w:r>
        <w:rPr>
          <w:rFonts w:ascii="Garamond" w:eastAsia="Garamond" w:hAnsi="Garamond" w:cs="Garamond"/>
          <w:sz w:val="24"/>
          <w:szCs w:val="24"/>
        </w:rPr>
        <w:t xml:space="preserve">, H., </w:t>
      </w:r>
      <w:proofErr w:type="spellStart"/>
      <w:r>
        <w:rPr>
          <w:rFonts w:ascii="Garamond" w:eastAsia="Garamond" w:hAnsi="Garamond" w:cs="Garamond"/>
          <w:sz w:val="24"/>
          <w:szCs w:val="24"/>
        </w:rPr>
        <w:t>Tugwell</w:t>
      </w:r>
      <w:proofErr w:type="spellEnd"/>
      <w:r>
        <w:rPr>
          <w:rFonts w:ascii="Garamond" w:eastAsia="Garamond" w:hAnsi="Garamond" w:cs="Garamond"/>
          <w:sz w:val="24"/>
          <w:szCs w:val="24"/>
        </w:rPr>
        <w:t>, P. and CONSORT-Equity and Boston Equity Symposium. (2017), “CONSORT-Equity 2017 extension and elaboration for better reporting of health equity in randomised trials”,</w:t>
      </w:r>
      <w:r>
        <w:rPr>
          <w:rFonts w:ascii="Garamond" w:eastAsia="Garamond" w:hAnsi="Garamond" w:cs="Garamond"/>
          <w:i/>
          <w:sz w:val="24"/>
          <w:szCs w:val="24"/>
        </w:rPr>
        <w:t xml:space="preserve"> British Medical Journal</w:t>
      </w:r>
      <w:r>
        <w:rPr>
          <w:rFonts w:ascii="Garamond" w:eastAsia="Garamond" w:hAnsi="Garamond" w:cs="Garamond"/>
          <w:sz w:val="24"/>
          <w:szCs w:val="24"/>
        </w:rPr>
        <w:t>, Vol. 359, p. j5085.</w:t>
      </w:r>
    </w:p>
    <w:p w14:paraId="3825FF33" w14:textId="77777777" w:rsidR="00BE1B83" w:rsidRDefault="00633980">
      <w:pPr>
        <w:widowControl w:val="0"/>
        <w:spacing w:before="240" w:after="240" w:line="240" w:lineRule="auto"/>
        <w:rPr>
          <w:rFonts w:ascii="Garamond" w:eastAsia="Garamond" w:hAnsi="Garamond" w:cs="Garamond"/>
          <w:b/>
          <w:sz w:val="24"/>
          <w:szCs w:val="24"/>
        </w:rPr>
      </w:pPr>
      <w:r>
        <w:rPr>
          <w:rFonts w:ascii="Garamond" w:eastAsia="Garamond" w:hAnsi="Garamond" w:cs="Garamond"/>
          <w:b/>
          <w:sz w:val="24"/>
          <w:szCs w:val="24"/>
        </w:rPr>
        <w:t>Other resources</w:t>
      </w:r>
    </w:p>
    <w:p w14:paraId="24BC27E3" w14:textId="20DC7ACC" w:rsidR="00BE1B83" w:rsidRDefault="00633980" w:rsidP="007675FD">
      <w:pPr>
        <w:spacing w:line="240" w:lineRule="auto"/>
        <w:rPr>
          <w:rFonts w:ascii="Garamond" w:eastAsia="Garamond" w:hAnsi="Garamond" w:cs="Garamond"/>
          <w:sz w:val="24"/>
          <w:szCs w:val="24"/>
        </w:rPr>
      </w:pPr>
      <w:r>
        <w:rPr>
          <w:rFonts w:ascii="Garamond" w:eastAsia="Garamond" w:hAnsi="Garamond" w:cs="Garamond"/>
          <w:sz w:val="24"/>
          <w:szCs w:val="24"/>
        </w:rPr>
        <w:t xml:space="preserve">To aid applied researchers useful Stata commands </w:t>
      </w:r>
      <w:r w:rsidR="000322B8" w:rsidRPr="000322B8">
        <w:rPr>
          <w:rFonts w:ascii="Garamond" w:eastAsia="Garamond" w:hAnsi="Garamond" w:cs="Garamond"/>
          <w:sz w:val="24"/>
          <w:szCs w:val="24"/>
        </w:rPr>
        <w:t xml:space="preserve">for estimating CATEs, QTEs and ITEs </w:t>
      </w:r>
      <w:r>
        <w:rPr>
          <w:rFonts w:ascii="Garamond" w:eastAsia="Garamond" w:hAnsi="Garamond" w:cs="Garamond"/>
          <w:sz w:val="24"/>
          <w:szCs w:val="24"/>
        </w:rPr>
        <w:t xml:space="preserve">are shown below.  We denote the outcome, </w:t>
      </w:r>
      <w:r>
        <w:rPr>
          <w:rFonts w:ascii="Garamond" w:eastAsia="Garamond" w:hAnsi="Garamond" w:cs="Garamond"/>
          <w:i/>
          <w:sz w:val="24"/>
          <w:szCs w:val="24"/>
        </w:rPr>
        <w:t>y</w:t>
      </w:r>
      <w:r>
        <w:rPr>
          <w:rFonts w:ascii="Garamond" w:eastAsia="Garamond" w:hAnsi="Garamond" w:cs="Garamond"/>
          <w:sz w:val="24"/>
          <w:szCs w:val="24"/>
        </w:rPr>
        <w:t xml:space="preserve">, the treatment group indicator variable, </w:t>
      </w:r>
      <w:r>
        <w:rPr>
          <w:rFonts w:ascii="Garamond" w:eastAsia="Garamond" w:hAnsi="Garamond" w:cs="Garamond"/>
          <w:i/>
          <w:sz w:val="24"/>
          <w:szCs w:val="24"/>
        </w:rPr>
        <w:t>treat</w:t>
      </w:r>
      <w:r>
        <w:rPr>
          <w:rFonts w:ascii="Garamond" w:eastAsia="Garamond" w:hAnsi="Garamond" w:cs="Garamond"/>
          <w:sz w:val="24"/>
          <w:szCs w:val="24"/>
        </w:rPr>
        <w:t xml:space="preserve">, and the conditioning variable (e.g. socioeconomic status), </w:t>
      </w:r>
      <w:r>
        <w:rPr>
          <w:rFonts w:ascii="Garamond" w:eastAsia="Garamond" w:hAnsi="Garamond" w:cs="Garamond"/>
          <w:i/>
          <w:sz w:val="24"/>
          <w:szCs w:val="24"/>
        </w:rPr>
        <w:t>x1</w:t>
      </w:r>
      <w:r>
        <w:rPr>
          <w:rFonts w:ascii="Garamond" w:eastAsia="Garamond" w:hAnsi="Garamond" w:cs="Garamond"/>
          <w:sz w:val="24"/>
          <w:szCs w:val="24"/>
        </w:rPr>
        <w:t xml:space="preserve">. We </w:t>
      </w:r>
      <w:r w:rsidR="000322B8">
        <w:rPr>
          <w:rFonts w:ascii="Garamond" w:eastAsia="Garamond" w:hAnsi="Garamond" w:cs="Garamond"/>
          <w:sz w:val="24"/>
          <w:szCs w:val="24"/>
        </w:rPr>
        <w:t xml:space="preserve">provide </w:t>
      </w:r>
      <w:r>
        <w:rPr>
          <w:rFonts w:ascii="Garamond" w:eastAsia="Garamond" w:hAnsi="Garamond" w:cs="Garamond"/>
          <w:sz w:val="24"/>
          <w:szCs w:val="24"/>
        </w:rPr>
        <w:t>the simplest forms of the commands used for analysing RCTs</w:t>
      </w:r>
      <w:r w:rsidR="000322B8">
        <w:rPr>
          <w:rFonts w:ascii="Garamond" w:eastAsia="Garamond" w:hAnsi="Garamond" w:cs="Garamond"/>
          <w:sz w:val="24"/>
          <w:szCs w:val="24"/>
        </w:rPr>
        <w:t xml:space="preserve">; </w:t>
      </w:r>
      <w:r w:rsidR="007675FD">
        <w:rPr>
          <w:rFonts w:ascii="Garamond" w:eastAsia="Garamond" w:hAnsi="Garamond" w:cs="Garamond"/>
          <w:sz w:val="24"/>
          <w:szCs w:val="24"/>
        </w:rPr>
        <w:t xml:space="preserve">appropriate modifications may </w:t>
      </w:r>
      <w:r w:rsidR="000322B8">
        <w:rPr>
          <w:rFonts w:ascii="Garamond" w:eastAsia="Garamond" w:hAnsi="Garamond" w:cs="Garamond"/>
          <w:sz w:val="24"/>
          <w:szCs w:val="24"/>
        </w:rPr>
        <w:t>be needed for analysing quasi-experimental designs</w:t>
      </w:r>
      <w:r w:rsidR="00AA58A5">
        <w:rPr>
          <w:rFonts w:ascii="Garamond" w:eastAsia="Garamond" w:hAnsi="Garamond" w:cs="Garamond"/>
          <w:sz w:val="24"/>
          <w:szCs w:val="24"/>
        </w:rPr>
        <w:t>,</w:t>
      </w:r>
      <w:r w:rsidR="000322B8">
        <w:rPr>
          <w:rFonts w:ascii="Garamond" w:eastAsia="Garamond" w:hAnsi="Garamond" w:cs="Garamond"/>
          <w:sz w:val="24"/>
          <w:szCs w:val="24"/>
        </w:rPr>
        <w:t xml:space="preserve"> such as regression discontinuity and difference-in-</w:t>
      </w:r>
      <w:proofErr w:type="gramStart"/>
      <w:r w:rsidR="000322B8">
        <w:rPr>
          <w:rFonts w:ascii="Garamond" w:eastAsia="Garamond" w:hAnsi="Garamond" w:cs="Garamond"/>
          <w:sz w:val="24"/>
          <w:szCs w:val="24"/>
        </w:rPr>
        <w:t>difference</w:t>
      </w:r>
      <w:r w:rsidR="00AA58A5">
        <w:rPr>
          <w:rFonts w:ascii="Garamond" w:eastAsia="Garamond" w:hAnsi="Garamond" w:cs="Garamond"/>
          <w:sz w:val="24"/>
          <w:szCs w:val="24"/>
        </w:rPr>
        <w:t>, and</w:t>
      </w:r>
      <w:proofErr w:type="gramEnd"/>
      <w:r w:rsidR="00AA58A5">
        <w:rPr>
          <w:rFonts w:ascii="Garamond" w:eastAsia="Garamond" w:hAnsi="Garamond" w:cs="Garamond"/>
          <w:sz w:val="24"/>
          <w:szCs w:val="24"/>
        </w:rPr>
        <w:t xml:space="preserve"> using sample weights or propensity score matching</w:t>
      </w:r>
      <w:r>
        <w:rPr>
          <w:rFonts w:ascii="Garamond" w:eastAsia="Garamond" w:hAnsi="Garamond" w:cs="Garamond"/>
          <w:sz w:val="24"/>
          <w:szCs w:val="24"/>
        </w:rPr>
        <w:t>.</w:t>
      </w:r>
    </w:p>
    <w:p w14:paraId="6152F991" w14:textId="455F9D0E" w:rsidR="00BE1B83" w:rsidRDefault="00633980" w:rsidP="007675FD">
      <w:pPr>
        <w:spacing w:line="240" w:lineRule="auto"/>
        <w:rPr>
          <w:rFonts w:ascii="Garamond" w:eastAsia="Garamond" w:hAnsi="Garamond" w:cs="Garamond"/>
          <w:sz w:val="24"/>
          <w:szCs w:val="24"/>
        </w:rPr>
      </w:pPr>
      <w:r>
        <w:rPr>
          <w:rFonts w:ascii="Garamond" w:eastAsia="Garamond" w:hAnsi="Garamond" w:cs="Garamond"/>
          <w:sz w:val="24"/>
          <w:szCs w:val="24"/>
        </w:rPr>
        <w:t>reg y treat – estimate ATE</w:t>
      </w:r>
    </w:p>
    <w:p w14:paraId="473D222B" w14:textId="59CA81AA" w:rsidR="00BE1B83" w:rsidRDefault="00633980" w:rsidP="007675FD">
      <w:pPr>
        <w:spacing w:line="240" w:lineRule="auto"/>
        <w:rPr>
          <w:rFonts w:ascii="Garamond" w:eastAsia="Garamond" w:hAnsi="Garamond" w:cs="Garamond"/>
          <w:sz w:val="24"/>
          <w:szCs w:val="24"/>
        </w:rPr>
      </w:pPr>
      <w:r>
        <w:rPr>
          <w:rFonts w:ascii="Garamond" w:eastAsia="Garamond" w:hAnsi="Garamond" w:cs="Garamond"/>
          <w:sz w:val="24"/>
          <w:szCs w:val="24"/>
        </w:rPr>
        <w:t>reg y treat x1 treat</w:t>
      </w:r>
      <w:r w:rsidR="00AA58A5">
        <w:rPr>
          <w:rFonts w:ascii="Garamond" w:eastAsia="Garamond" w:hAnsi="Garamond" w:cs="Garamond"/>
          <w:sz w:val="24"/>
          <w:szCs w:val="24"/>
        </w:rPr>
        <w:t>#</w:t>
      </w:r>
      <w:r>
        <w:rPr>
          <w:rFonts w:ascii="Garamond" w:eastAsia="Garamond" w:hAnsi="Garamond" w:cs="Garamond"/>
          <w:sz w:val="24"/>
          <w:szCs w:val="24"/>
        </w:rPr>
        <w:t>x1 - estimate simple CATEs, using interaction term approach</w:t>
      </w:r>
    </w:p>
    <w:p w14:paraId="2ABA5B3E" w14:textId="48DD4055" w:rsidR="000322B8" w:rsidRDefault="000322B8" w:rsidP="007675FD">
      <w:pPr>
        <w:spacing w:line="240" w:lineRule="auto"/>
        <w:rPr>
          <w:rFonts w:ascii="Garamond" w:eastAsia="Garamond" w:hAnsi="Garamond" w:cs="Garamond"/>
          <w:sz w:val="24"/>
          <w:szCs w:val="24"/>
        </w:rPr>
      </w:pPr>
      <w:proofErr w:type="spellStart"/>
      <w:r>
        <w:rPr>
          <w:rFonts w:ascii="Garamond" w:eastAsia="Garamond" w:hAnsi="Garamond" w:cs="Garamond"/>
          <w:sz w:val="24"/>
          <w:szCs w:val="24"/>
        </w:rPr>
        <w:t>lwcate</w:t>
      </w:r>
      <w:proofErr w:type="spellEnd"/>
      <w:r>
        <w:rPr>
          <w:rFonts w:ascii="Garamond" w:eastAsia="Garamond" w:hAnsi="Garamond" w:cs="Garamond"/>
          <w:sz w:val="24"/>
          <w:szCs w:val="24"/>
        </w:rPr>
        <w:t xml:space="preserve"> reg treat, </w:t>
      </w:r>
      <w:proofErr w:type="spellStart"/>
      <w:r>
        <w:rPr>
          <w:rFonts w:ascii="Garamond" w:eastAsia="Garamond" w:hAnsi="Garamond" w:cs="Garamond"/>
          <w:sz w:val="24"/>
          <w:szCs w:val="24"/>
        </w:rPr>
        <w:t>xtilde</w:t>
      </w:r>
      <w:proofErr w:type="spellEnd"/>
      <w:r>
        <w:rPr>
          <w:rFonts w:ascii="Garamond" w:eastAsia="Garamond" w:hAnsi="Garamond" w:cs="Garamond"/>
          <w:sz w:val="24"/>
          <w:szCs w:val="24"/>
        </w:rPr>
        <w:t>(x1) – estimate complex non-linear CATEs using locally weighted regressions, for continuous, discrete and multidimensional conditioning variables</w:t>
      </w:r>
    </w:p>
    <w:p w14:paraId="0F549414" w14:textId="77777777" w:rsidR="00BE1B83" w:rsidRDefault="00633980" w:rsidP="007675FD">
      <w:pPr>
        <w:spacing w:line="240" w:lineRule="auto"/>
        <w:rPr>
          <w:rFonts w:ascii="Garamond" w:eastAsia="Garamond" w:hAnsi="Garamond" w:cs="Garamond"/>
          <w:sz w:val="24"/>
          <w:szCs w:val="24"/>
        </w:rPr>
      </w:pPr>
      <w:proofErr w:type="spellStart"/>
      <w:r>
        <w:rPr>
          <w:rFonts w:ascii="Garamond" w:eastAsia="Garamond" w:hAnsi="Garamond" w:cs="Garamond"/>
          <w:sz w:val="24"/>
          <w:szCs w:val="24"/>
        </w:rPr>
        <w:t>qreg</w:t>
      </w:r>
      <w:proofErr w:type="spellEnd"/>
      <w:r>
        <w:rPr>
          <w:rFonts w:ascii="Garamond" w:eastAsia="Garamond" w:hAnsi="Garamond" w:cs="Garamond"/>
          <w:sz w:val="24"/>
          <w:szCs w:val="24"/>
        </w:rPr>
        <w:t xml:space="preserve"> y treat – estimates QTEs, at specified quantiles</w:t>
      </w:r>
    </w:p>
    <w:p w14:paraId="3AC18F8B" w14:textId="77777777" w:rsidR="00BE1B83" w:rsidRDefault="00633980" w:rsidP="007675FD">
      <w:pPr>
        <w:spacing w:line="240" w:lineRule="auto"/>
        <w:rPr>
          <w:rFonts w:ascii="Garamond" w:eastAsia="Garamond" w:hAnsi="Garamond" w:cs="Garamond"/>
          <w:sz w:val="24"/>
          <w:szCs w:val="24"/>
        </w:rPr>
      </w:pPr>
      <w:proofErr w:type="spellStart"/>
      <w:r>
        <w:rPr>
          <w:rFonts w:ascii="Garamond" w:eastAsia="Garamond" w:hAnsi="Garamond" w:cs="Garamond"/>
          <w:sz w:val="24"/>
          <w:szCs w:val="24"/>
        </w:rPr>
        <w:t>grqreg</w:t>
      </w:r>
      <w:proofErr w:type="spellEnd"/>
      <w:r>
        <w:rPr>
          <w:rFonts w:ascii="Garamond" w:eastAsia="Garamond" w:hAnsi="Garamond" w:cs="Garamond"/>
          <w:sz w:val="24"/>
          <w:szCs w:val="24"/>
        </w:rPr>
        <w:t xml:space="preserve"> treat – plots QTEs across all quantiles</w:t>
      </w:r>
    </w:p>
    <w:p w14:paraId="2F31F7DD" w14:textId="77777777" w:rsidR="00BE1B83" w:rsidRDefault="00633980" w:rsidP="007675FD">
      <w:pPr>
        <w:spacing w:line="240" w:lineRule="auto"/>
        <w:rPr>
          <w:rFonts w:ascii="Garamond" w:eastAsia="Garamond" w:hAnsi="Garamond" w:cs="Garamond"/>
          <w:sz w:val="24"/>
          <w:szCs w:val="24"/>
        </w:rPr>
      </w:pPr>
      <w:proofErr w:type="spellStart"/>
      <w:proofErr w:type="gramStart"/>
      <w:r>
        <w:rPr>
          <w:rFonts w:ascii="Garamond" w:eastAsia="Garamond" w:hAnsi="Garamond" w:cs="Garamond"/>
          <w:sz w:val="24"/>
          <w:szCs w:val="24"/>
        </w:rPr>
        <w:t>conindex</w:t>
      </w:r>
      <w:proofErr w:type="spellEnd"/>
      <w:r>
        <w:rPr>
          <w:rFonts w:ascii="Garamond" w:eastAsia="Garamond" w:hAnsi="Garamond" w:cs="Garamond"/>
          <w:sz w:val="24"/>
          <w:szCs w:val="24"/>
        </w:rPr>
        <w:t xml:space="preserve">  y</w:t>
      </w:r>
      <w:proofErr w:type="gramEnd"/>
      <w:r>
        <w:rPr>
          <w:rFonts w:ascii="Garamond" w:eastAsia="Garamond" w:hAnsi="Garamond" w:cs="Garamond"/>
          <w:sz w:val="24"/>
          <w:szCs w:val="24"/>
        </w:rPr>
        <w:t xml:space="preserve">  , compare(treat) – Gini Coefficients estimated, and ITEs shown</w:t>
      </w:r>
    </w:p>
    <w:p w14:paraId="2AFEB06E" w14:textId="77777777" w:rsidR="00BE1B83" w:rsidRDefault="00633980" w:rsidP="007675FD">
      <w:pPr>
        <w:spacing w:line="240" w:lineRule="auto"/>
        <w:rPr>
          <w:rFonts w:ascii="Garamond" w:eastAsia="Garamond" w:hAnsi="Garamond" w:cs="Garamond"/>
          <w:sz w:val="24"/>
          <w:szCs w:val="24"/>
        </w:rPr>
      </w:pPr>
      <w:proofErr w:type="spellStart"/>
      <w:proofErr w:type="gramStart"/>
      <w:r>
        <w:rPr>
          <w:rFonts w:ascii="Garamond" w:eastAsia="Garamond" w:hAnsi="Garamond" w:cs="Garamond"/>
          <w:sz w:val="24"/>
          <w:szCs w:val="24"/>
        </w:rPr>
        <w:t>conindex</w:t>
      </w:r>
      <w:proofErr w:type="spellEnd"/>
      <w:r>
        <w:rPr>
          <w:rFonts w:ascii="Garamond" w:eastAsia="Garamond" w:hAnsi="Garamond" w:cs="Garamond"/>
          <w:sz w:val="24"/>
          <w:szCs w:val="24"/>
        </w:rPr>
        <w:t xml:space="preserve">  y</w:t>
      </w:r>
      <w:proofErr w:type="gramEnd"/>
      <w:r>
        <w:rPr>
          <w:rFonts w:ascii="Garamond" w:eastAsia="Garamond" w:hAnsi="Garamond" w:cs="Garamond"/>
          <w:sz w:val="24"/>
          <w:szCs w:val="24"/>
        </w:rPr>
        <w:t xml:space="preserve">  , compare(treat) rank(income) – Concentration Index, and bivariate ITEs</w:t>
      </w:r>
    </w:p>
    <w:p w14:paraId="708E03DE" w14:textId="77777777" w:rsidR="000322B8" w:rsidRDefault="000322B8" w:rsidP="000322B8">
      <w:pPr>
        <w:pStyle w:val="Heading2"/>
        <w:spacing w:line="240" w:lineRule="auto"/>
        <w:rPr>
          <w:rFonts w:ascii="Garamond" w:eastAsia="Garamond" w:hAnsi="Garamond" w:cs="Garamond"/>
          <w:b/>
          <w:sz w:val="28"/>
          <w:szCs w:val="28"/>
        </w:rPr>
      </w:pPr>
      <w:bookmarkStart w:id="14" w:name="_jklyq12jzmdc" w:colFirst="0" w:colLast="0"/>
      <w:bookmarkEnd w:id="14"/>
    </w:p>
    <w:p w14:paraId="55BC73ED" w14:textId="77777777" w:rsidR="00BE1B83" w:rsidRDefault="00633980">
      <w:pPr>
        <w:pStyle w:val="Heading2"/>
        <w:spacing w:line="240" w:lineRule="auto"/>
        <w:rPr>
          <w:rFonts w:ascii="Garamond" w:eastAsia="Garamond" w:hAnsi="Garamond" w:cs="Garamond"/>
          <w:b/>
          <w:sz w:val="28"/>
          <w:szCs w:val="28"/>
        </w:rPr>
      </w:pPr>
      <w:r>
        <w:br w:type="page"/>
      </w:r>
    </w:p>
    <w:p w14:paraId="39B8228A" w14:textId="77777777" w:rsidR="00BE1B83" w:rsidRDefault="00633980">
      <w:pPr>
        <w:pStyle w:val="Heading2"/>
        <w:spacing w:line="240" w:lineRule="auto"/>
        <w:rPr>
          <w:rFonts w:ascii="Garamond" w:eastAsia="Garamond" w:hAnsi="Garamond" w:cs="Garamond"/>
          <w:b/>
          <w:sz w:val="28"/>
          <w:szCs w:val="28"/>
        </w:rPr>
      </w:pPr>
      <w:bookmarkStart w:id="15" w:name="_quczsjm6m1uv" w:colFirst="0" w:colLast="0"/>
      <w:bookmarkEnd w:id="15"/>
      <w:r>
        <w:rPr>
          <w:rFonts w:ascii="Garamond" w:eastAsia="Garamond" w:hAnsi="Garamond" w:cs="Garamond"/>
          <w:b/>
          <w:sz w:val="28"/>
          <w:szCs w:val="28"/>
        </w:rPr>
        <w:lastRenderedPageBreak/>
        <w:t>Resources for equity-informative cost-effectiveness analysis</w:t>
      </w:r>
    </w:p>
    <w:p w14:paraId="6811E0FF" w14:textId="77777777" w:rsidR="00BE1B83" w:rsidRDefault="00BE1B83"/>
    <w:p w14:paraId="10F180D0" w14:textId="77777777" w:rsidR="00BE1B83" w:rsidRDefault="00633980">
      <w:pPr>
        <w:spacing w:line="240" w:lineRule="auto"/>
        <w:rPr>
          <w:rFonts w:ascii="Garamond" w:eastAsia="Garamond" w:hAnsi="Garamond" w:cs="Garamond"/>
          <w:b/>
          <w:sz w:val="24"/>
          <w:szCs w:val="24"/>
        </w:rPr>
      </w:pPr>
      <w:r>
        <w:rPr>
          <w:rFonts w:ascii="Garamond" w:eastAsia="Garamond" w:hAnsi="Garamond" w:cs="Garamond"/>
          <w:b/>
          <w:sz w:val="24"/>
          <w:szCs w:val="24"/>
        </w:rPr>
        <w:t>Further readings</w:t>
      </w:r>
    </w:p>
    <w:p w14:paraId="1BE76DCD" w14:textId="77777777" w:rsidR="00BE1B83" w:rsidRDefault="00633980">
      <w:pPr>
        <w:widowControl w:val="0"/>
        <w:spacing w:after="240" w:line="240" w:lineRule="auto"/>
        <w:rPr>
          <w:rFonts w:ascii="Garamond" w:eastAsia="Garamond" w:hAnsi="Garamond" w:cs="Garamond"/>
          <w:sz w:val="24"/>
          <w:szCs w:val="24"/>
        </w:rPr>
      </w:pPr>
      <w:r>
        <w:rPr>
          <w:rFonts w:ascii="Garamond" w:eastAsia="Garamond" w:hAnsi="Garamond" w:cs="Garamond"/>
          <w:sz w:val="24"/>
          <w:szCs w:val="24"/>
        </w:rPr>
        <w:t xml:space="preserve">Cookson, R, Griffin, S, </w:t>
      </w:r>
      <w:proofErr w:type="spellStart"/>
      <w:r>
        <w:rPr>
          <w:rFonts w:ascii="Garamond" w:eastAsia="Garamond" w:hAnsi="Garamond" w:cs="Garamond"/>
          <w:sz w:val="24"/>
          <w:szCs w:val="24"/>
        </w:rPr>
        <w:t>Norheim</w:t>
      </w:r>
      <w:proofErr w:type="spellEnd"/>
      <w:r>
        <w:rPr>
          <w:rFonts w:ascii="Garamond" w:eastAsia="Garamond" w:hAnsi="Garamond" w:cs="Garamond"/>
          <w:sz w:val="24"/>
          <w:szCs w:val="24"/>
        </w:rPr>
        <w:t xml:space="preserve">, OF. and </w:t>
      </w:r>
      <w:proofErr w:type="spellStart"/>
      <w:r>
        <w:rPr>
          <w:rFonts w:ascii="Garamond" w:eastAsia="Garamond" w:hAnsi="Garamond" w:cs="Garamond"/>
          <w:sz w:val="24"/>
          <w:szCs w:val="24"/>
        </w:rPr>
        <w:t>Culyer</w:t>
      </w:r>
      <w:proofErr w:type="spellEnd"/>
      <w:r>
        <w:rPr>
          <w:rFonts w:ascii="Garamond" w:eastAsia="Garamond" w:hAnsi="Garamond" w:cs="Garamond"/>
          <w:sz w:val="24"/>
          <w:szCs w:val="24"/>
        </w:rPr>
        <w:t xml:space="preserve">, AJ (Eds.). (2020), </w:t>
      </w:r>
      <w:r>
        <w:rPr>
          <w:rFonts w:ascii="Garamond" w:eastAsia="Garamond" w:hAnsi="Garamond" w:cs="Garamond"/>
          <w:i/>
          <w:sz w:val="24"/>
          <w:szCs w:val="24"/>
        </w:rPr>
        <w:t>Distributional Cost-Effectiveness Analysis: quantifying Health Equity Impacts and Trade-Offs</w:t>
      </w:r>
      <w:r>
        <w:rPr>
          <w:rFonts w:ascii="Garamond" w:eastAsia="Garamond" w:hAnsi="Garamond" w:cs="Garamond"/>
          <w:sz w:val="24"/>
          <w:szCs w:val="24"/>
        </w:rPr>
        <w:t>, Oxford University Press.</w:t>
      </w:r>
    </w:p>
    <w:p w14:paraId="186C1AD5" w14:textId="77777777" w:rsidR="00BE1B83" w:rsidRDefault="00633980">
      <w:pPr>
        <w:widowControl w:val="0"/>
        <w:spacing w:before="240" w:after="240" w:line="240" w:lineRule="auto"/>
        <w:rPr>
          <w:rFonts w:ascii="Garamond" w:eastAsia="Garamond" w:hAnsi="Garamond" w:cs="Garamond"/>
          <w:sz w:val="24"/>
          <w:szCs w:val="24"/>
        </w:rPr>
      </w:pPr>
      <w:r>
        <w:rPr>
          <w:rFonts w:ascii="Garamond" w:eastAsia="Garamond" w:hAnsi="Garamond" w:cs="Garamond"/>
          <w:sz w:val="24"/>
          <w:szCs w:val="24"/>
        </w:rPr>
        <w:t xml:space="preserve">Cookson, R., Mirelman, A.J., Griffin, S., </w:t>
      </w:r>
      <w:proofErr w:type="spellStart"/>
      <w:r>
        <w:rPr>
          <w:rFonts w:ascii="Garamond" w:eastAsia="Garamond" w:hAnsi="Garamond" w:cs="Garamond"/>
          <w:sz w:val="24"/>
          <w:szCs w:val="24"/>
        </w:rPr>
        <w:t>Asaria</w:t>
      </w:r>
      <w:proofErr w:type="spellEnd"/>
      <w:r>
        <w:rPr>
          <w:rFonts w:ascii="Garamond" w:eastAsia="Garamond" w:hAnsi="Garamond" w:cs="Garamond"/>
          <w:sz w:val="24"/>
          <w:szCs w:val="24"/>
        </w:rPr>
        <w:t xml:space="preserve">, M., Dawkins, B., </w:t>
      </w:r>
      <w:proofErr w:type="spellStart"/>
      <w:r>
        <w:rPr>
          <w:rFonts w:ascii="Garamond" w:eastAsia="Garamond" w:hAnsi="Garamond" w:cs="Garamond"/>
          <w:sz w:val="24"/>
          <w:szCs w:val="24"/>
        </w:rPr>
        <w:t>Norheim</w:t>
      </w:r>
      <w:proofErr w:type="spellEnd"/>
      <w:r>
        <w:rPr>
          <w:rFonts w:ascii="Garamond" w:eastAsia="Garamond" w:hAnsi="Garamond" w:cs="Garamond"/>
          <w:sz w:val="24"/>
          <w:szCs w:val="24"/>
        </w:rPr>
        <w:t xml:space="preserve">, O.F., </w:t>
      </w:r>
      <w:proofErr w:type="spellStart"/>
      <w:r>
        <w:rPr>
          <w:rFonts w:ascii="Garamond" w:eastAsia="Garamond" w:hAnsi="Garamond" w:cs="Garamond"/>
          <w:sz w:val="24"/>
          <w:szCs w:val="24"/>
        </w:rPr>
        <w:t>Verguet</w:t>
      </w:r>
      <w:proofErr w:type="spellEnd"/>
      <w:r>
        <w:rPr>
          <w:rFonts w:ascii="Garamond" w:eastAsia="Garamond" w:hAnsi="Garamond" w:cs="Garamond"/>
          <w:sz w:val="24"/>
          <w:szCs w:val="24"/>
        </w:rPr>
        <w:t xml:space="preserve">, S., et al. (2017), “Using Cost-Effectiveness Analysis to Address Health Equity Concerns”, </w:t>
      </w:r>
      <w:r>
        <w:rPr>
          <w:rFonts w:ascii="Garamond" w:eastAsia="Garamond" w:hAnsi="Garamond" w:cs="Garamond"/>
          <w:i/>
          <w:sz w:val="24"/>
          <w:szCs w:val="24"/>
        </w:rPr>
        <w:t>Value in Health:</w:t>
      </w:r>
      <w:r>
        <w:rPr>
          <w:rFonts w:ascii="Garamond" w:eastAsia="Garamond" w:hAnsi="Garamond" w:cs="Garamond"/>
          <w:sz w:val="24"/>
          <w:szCs w:val="24"/>
        </w:rPr>
        <w:t xml:space="preserve"> Vol. 20 No. 2, pp. 206–212.</w:t>
      </w:r>
    </w:p>
    <w:p w14:paraId="7AE99EBD" w14:textId="77777777" w:rsidR="00BE1B83" w:rsidRDefault="00633980">
      <w:pPr>
        <w:widowControl w:val="0"/>
        <w:spacing w:before="240" w:after="240" w:line="240" w:lineRule="auto"/>
        <w:rPr>
          <w:rFonts w:ascii="Garamond" w:eastAsia="Garamond" w:hAnsi="Garamond" w:cs="Garamond"/>
          <w:sz w:val="24"/>
          <w:szCs w:val="24"/>
        </w:rPr>
      </w:pPr>
      <w:proofErr w:type="spellStart"/>
      <w:r>
        <w:rPr>
          <w:rFonts w:ascii="Garamond" w:eastAsia="Garamond" w:hAnsi="Garamond" w:cs="Garamond"/>
          <w:sz w:val="24"/>
          <w:szCs w:val="24"/>
        </w:rPr>
        <w:t>Verguet</w:t>
      </w:r>
      <w:proofErr w:type="spellEnd"/>
      <w:r>
        <w:rPr>
          <w:rFonts w:ascii="Garamond" w:eastAsia="Garamond" w:hAnsi="Garamond" w:cs="Garamond"/>
          <w:sz w:val="24"/>
          <w:szCs w:val="24"/>
        </w:rPr>
        <w:t xml:space="preserve">, S., Laxminarayan, R. and Jamison, D.T. (2015), “Universal public finance of tuberculosis treatment in India: an extended cost-effectiveness analysis”, </w:t>
      </w:r>
      <w:r>
        <w:rPr>
          <w:rFonts w:ascii="Garamond" w:eastAsia="Garamond" w:hAnsi="Garamond" w:cs="Garamond"/>
          <w:i/>
          <w:sz w:val="24"/>
          <w:szCs w:val="24"/>
        </w:rPr>
        <w:t>Health Economics</w:t>
      </w:r>
      <w:r>
        <w:rPr>
          <w:rFonts w:ascii="Garamond" w:eastAsia="Garamond" w:hAnsi="Garamond" w:cs="Garamond"/>
          <w:sz w:val="24"/>
          <w:szCs w:val="24"/>
        </w:rPr>
        <w:t>, Vol. 24 No. 3, pp. 318–332.</w:t>
      </w:r>
    </w:p>
    <w:p w14:paraId="6F7BA78D" w14:textId="77777777" w:rsidR="00BE1B83" w:rsidRDefault="00633980">
      <w:pPr>
        <w:widowControl w:val="0"/>
        <w:spacing w:before="240" w:after="240" w:line="240" w:lineRule="auto"/>
        <w:rPr>
          <w:rFonts w:ascii="Garamond" w:eastAsia="Garamond" w:hAnsi="Garamond" w:cs="Garamond"/>
          <w:sz w:val="24"/>
          <w:szCs w:val="24"/>
        </w:rPr>
      </w:pPr>
      <w:proofErr w:type="spellStart"/>
      <w:r>
        <w:rPr>
          <w:rFonts w:ascii="Garamond" w:eastAsia="Garamond" w:hAnsi="Garamond" w:cs="Garamond"/>
          <w:sz w:val="24"/>
          <w:szCs w:val="24"/>
        </w:rPr>
        <w:t>Verguet</w:t>
      </w:r>
      <w:proofErr w:type="spellEnd"/>
      <w:r>
        <w:rPr>
          <w:rFonts w:ascii="Garamond" w:eastAsia="Garamond" w:hAnsi="Garamond" w:cs="Garamond"/>
          <w:sz w:val="24"/>
          <w:szCs w:val="24"/>
        </w:rPr>
        <w:t xml:space="preserve">, S., Kim, J.J. and Jamison, D.T. (2016), “Extended Cost-Effectiveness Analysis for Health Policy Assessment: A Tutorial”, </w:t>
      </w:r>
      <w:proofErr w:type="spellStart"/>
      <w:r>
        <w:rPr>
          <w:rFonts w:ascii="Garamond" w:eastAsia="Garamond" w:hAnsi="Garamond" w:cs="Garamond"/>
          <w:i/>
          <w:sz w:val="24"/>
          <w:szCs w:val="24"/>
        </w:rPr>
        <w:t>PharmacoEconomics</w:t>
      </w:r>
      <w:proofErr w:type="spellEnd"/>
      <w:r>
        <w:rPr>
          <w:rFonts w:ascii="Garamond" w:eastAsia="Garamond" w:hAnsi="Garamond" w:cs="Garamond"/>
          <w:i/>
          <w:sz w:val="24"/>
          <w:szCs w:val="24"/>
        </w:rPr>
        <w:t>,</w:t>
      </w:r>
      <w:r>
        <w:rPr>
          <w:rFonts w:ascii="Garamond" w:eastAsia="Garamond" w:hAnsi="Garamond" w:cs="Garamond"/>
          <w:sz w:val="24"/>
          <w:szCs w:val="24"/>
        </w:rPr>
        <w:t xml:space="preserve"> Vol. 34 No. 9, pp. 913–923.</w:t>
      </w:r>
    </w:p>
    <w:p w14:paraId="75D7C5D4" w14:textId="77777777" w:rsidR="00BE1B83" w:rsidRDefault="00633980">
      <w:pPr>
        <w:rPr>
          <w:rFonts w:ascii="Garamond" w:eastAsia="Garamond" w:hAnsi="Garamond" w:cs="Garamond"/>
          <w:b/>
          <w:sz w:val="24"/>
          <w:szCs w:val="24"/>
        </w:rPr>
      </w:pPr>
      <w:r>
        <w:rPr>
          <w:rFonts w:ascii="Garamond" w:eastAsia="Garamond" w:hAnsi="Garamond" w:cs="Garamond"/>
          <w:b/>
          <w:sz w:val="24"/>
          <w:szCs w:val="24"/>
        </w:rPr>
        <w:t>Other resources</w:t>
      </w:r>
    </w:p>
    <w:p w14:paraId="71CD4EB9" w14:textId="7BE92FE6" w:rsidR="00BE1B83" w:rsidRDefault="00633980">
      <w:pPr>
        <w:numPr>
          <w:ilvl w:val="0"/>
          <w:numId w:val="4"/>
        </w:numPr>
        <w:spacing w:after="0"/>
        <w:rPr>
          <w:rFonts w:ascii="Garamond" w:eastAsia="Garamond" w:hAnsi="Garamond" w:cs="Garamond"/>
          <w:sz w:val="24"/>
          <w:szCs w:val="24"/>
        </w:rPr>
      </w:pPr>
      <w:r>
        <w:rPr>
          <w:rFonts w:ascii="Garamond" w:eastAsia="Garamond" w:hAnsi="Garamond" w:cs="Garamond"/>
          <w:sz w:val="24"/>
          <w:szCs w:val="24"/>
        </w:rPr>
        <w:t xml:space="preserve">International Health Economics Association Special Interest Group on Equity-Informative Economic Evaluation </w:t>
      </w:r>
      <w:hyperlink r:id="rId50">
        <w:r>
          <w:rPr>
            <w:rFonts w:ascii="Garamond" w:eastAsia="Garamond" w:hAnsi="Garamond" w:cs="Garamond"/>
            <w:color w:val="1155CC"/>
            <w:sz w:val="24"/>
            <w:szCs w:val="24"/>
            <w:u w:val="single"/>
          </w:rPr>
          <w:t>https://www.healtheconomics.org/page/EEE</w:t>
        </w:r>
      </w:hyperlink>
      <w:r>
        <w:rPr>
          <w:rFonts w:ascii="Garamond" w:eastAsia="Garamond" w:hAnsi="Garamond" w:cs="Garamond"/>
          <w:sz w:val="24"/>
          <w:szCs w:val="24"/>
        </w:rPr>
        <w:br/>
      </w:r>
    </w:p>
    <w:p w14:paraId="2104E5E6" w14:textId="0F141B2C" w:rsidR="00626436" w:rsidRDefault="00B9395C" w:rsidP="00B9395C">
      <w:pPr>
        <w:numPr>
          <w:ilvl w:val="0"/>
          <w:numId w:val="4"/>
        </w:numPr>
        <w:spacing w:after="0"/>
        <w:rPr>
          <w:rFonts w:ascii="Garamond" w:eastAsia="Garamond" w:hAnsi="Garamond" w:cs="Garamond"/>
          <w:sz w:val="24"/>
          <w:szCs w:val="24"/>
        </w:rPr>
      </w:pPr>
      <w:r>
        <w:rPr>
          <w:rFonts w:ascii="Garamond" w:eastAsia="Garamond" w:hAnsi="Garamond" w:cs="Garamond"/>
          <w:sz w:val="24"/>
          <w:szCs w:val="24"/>
        </w:rPr>
        <w:t>Distributional cost-effectiveness analysis resource</w:t>
      </w:r>
      <w:r w:rsidR="00626436">
        <w:rPr>
          <w:rFonts w:ascii="Garamond" w:eastAsia="Garamond" w:hAnsi="Garamond" w:cs="Garamond"/>
          <w:sz w:val="24"/>
          <w:szCs w:val="24"/>
        </w:rPr>
        <w:t>s</w:t>
      </w:r>
      <w:r>
        <w:rPr>
          <w:rFonts w:ascii="Garamond" w:eastAsia="Garamond" w:hAnsi="Garamond" w:cs="Garamond"/>
          <w:sz w:val="24"/>
          <w:szCs w:val="24"/>
        </w:rPr>
        <w:t xml:space="preserve"> </w:t>
      </w:r>
    </w:p>
    <w:p w14:paraId="312AE879" w14:textId="391CC531" w:rsidR="00626436" w:rsidRDefault="0056052B" w:rsidP="00626436">
      <w:pPr>
        <w:spacing w:after="0"/>
        <w:ind w:left="720"/>
        <w:rPr>
          <w:rFonts w:ascii="Garamond" w:eastAsia="Garamond" w:hAnsi="Garamond" w:cs="Garamond"/>
          <w:sz w:val="24"/>
          <w:szCs w:val="24"/>
        </w:rPr>
      </w:pPr>
      <w:hyperlink r:id="rId51" w:history="1">
        <w:r w:rsidR="00626436" w:rsidRPr="00430856">
          <w:rPr>
            <w:rStyle w:val="Hyperlink"/>
            <w:rFonts w:ascii="Garamond" w:eastAsia="Garamond" w:hAnsi="Garamond" w:cs="Garamond"/>
            <w:sz w:val="24"/>
            <w:szCs w:val="24"/>
          </w:rPr>
          <w:t>https://www.york.ac.uk/che/research/equity/distributional-cost-effectiveness-analysis/</w:t>
        </w:r>
      </w:hyperlink>
    </w:p>
    <w:p w14:paraId="63B12878" w14:textId="1FC5C3EA" w:rsidR="00B9395C" w:rsidRPr="00B9395C" w:rsidRDefault="00B9395C" w:rsidP="00626436">
      <w:pPr>
        <w:spacing w:after="0"/>
        <w:ind w:left="720"/>
        <w:rPr>
          <w:rFonts w:ascii="Garamond" w:eastAsia="Garamond" w:hAnsi="Garamond" w:cs="Garamond"/>
          <w:sz w:val="24"/>
          <w:szCs w:val="24"/>
        </w:rPr>
      </w:pPr>
    </w:p>
    <w:p w14:paraId="20FE19B9" w14:textId="6BF0CF18" w:rsidR="00BE1B83" w:rsidRPr="00B9395C" w:rsidRDefault="00B9395C" w:rsidP="00B9395C">
      <w:pPr>
        <w:numPr>
          <w:ilvl w:val="0"/>
          <w:numId w:val="4"/>
        </w:numPr>
        <w:rPr>
          <w:rFonts w:ascii="Garamond" w:eastAsia="Garamond" w:hAnsi="Garamond" w:cs="Garamond"/>
          <w:sz w:val="24"/>
          <w:szCs w:val="24"/>
        </w:rPr>
      </w:pPr>
      <w:r w:rsidRPr="00B9395C">
        <w:rPr>
          <w:rFonts w:ascii="Garamond" w:eastAsia="Garamond" w:hAnsi="Garamond" w:cs="Garamond"/>
          <w:sz w:val="24"/>
          <w:szCs w:val="24"/>
        </w:rPr>
        <w:t>Freely downloadable s</w:t>
      </w:r>
      <w:r w:rsidR="00633980" w:rsidRPr="00B9395C">
        <w:rPr>
          <w:rFonts w:ascii="Garamond" w:eastAsia="Garamond" w:hAnsi="Garamond" w:cs="Garamond"/>
          <w:sz w:val="24"/>
          <w:szCs w:val="24"/>
        </w:rPr>
        <w:t>preadsheet training exercises in distributional cost-effectiveness analysis, accompanying the Oxford University Press handbook:</w:t>
      </w:r>
      <w:r>
        <w:rPr>
          <w:rFonts w:ascii="Garamond" w:eastAsia="Garamond" w:hAnsi="Garamond" w:cs="Garamond"/>
          <w:sz w:val="24"/>
          <w:szCs w:val="24"/>
        </w:rPr>
        <w:br/>
      </w:r>
      <w:hyperlink r:id="rId52">
        <w:r w:rsidR="00633980" w:rsidRPr="00B9395C">
          <w:rPr>
            <w:rFonts w:ascii="Garamond" w:eastAsia="Garamond" w:hAnsi="Garamond" w:cs="Garamond"/>
            <w:color w:val="1155CC"/>
            <w:sz w:val="24"/>
            <w:szCs w:val="24"/>
            <w:u w:val="single"/>
          </w:rPr>
          <w:t>https://www.york.ac.uk/che/research/equity/handbook/</w:t>
        </w:r>
      </w:hyperlink>
    </w:p>
    <w:p w14:paraId="4F2DA041" w14:textId="77777777" w:rsidR="00BE1B83" w:rsidRDefault="00633980">
      <w:pPr>
        <w:numPr>
          <w:ilvl w:val="0"/>
          <w:numId w:val="4"/>
        </w:numPr>
        <w:rPr>
          <w:rFonts w:ascii="Garamond" w:eastAsia="Garamond" w:hAnsi="Garamond" w:cs="Garamond"/>
          <w:sz w:val="24"/>
          <w:szCs w:val="24"/>
        </w:rPr>
      </w:pPr>
      <w:r>
        <w:rPr>
          <w:rFonts w:ascii="Garamond" w:eastAsia="Garamond" w:hAnsi="Garamond" w:cs="Garamond"/>
          <w:sz w:val="24"/>
          <w:szCs w:val="24"/>
        </w:rPr>
        <w:t xml:space="preserve">Online distributional cost-effectiveness analysis tool: </w:t>
      </w:r>
      <w:hyperlink r:id="rId53">
        <w:r>
          <w:rPr>
            <w:rFonts w:ascii="Garamond" w:eastAsia="Garamond" w:hAnsi="Garamond" w:cs="Garamond"/>
            <w:color w:val="1155CC"/>
            <w:sz w:val="24"/>
            <w:szCs w:val="24"/>
            <w:u w:val="single"/>
          </w:rPr>
          <w:t>https://shiny.york.ac.uk/dcea/</w:t>
        </w:r>
      </w:hyperlink>
      <w:r>
        <w:rPr>
          <w:rFonts w:ascii="Garamond" w:eastAsia="Garamond" w:hAnsi="Garamond" w:cs="Garamond"/>
          <w:sz w:val="24"/>
          <w:szCs w:val="24"/>
        </w:rPr>
        <w:t xml:space="preserve">. </w:t>
      </w:r>
    </w:p>
    <w:p w14:paraId="537A6A7F" w14:textId="77777777" w:rsidR="008A4844" w:rsidRDefault="008A4844">
      <w:pPr>
        <w:rPr>
          <w:rFonts w:ascii="Garamond" w:eastAsia="Garamond" w:hAnsi="Garamond" w:cs="Garamond"/>
          <w:b/>
          <w:color w:val="2F5496"/>
          <w:sz w:val="28"/>
          <w:szCs w:val="28"/>
        </w:rPr>
      </w:pPr>
      <w:bookmarkStart w:id="16" w:name="_wx6e47wuumq6" w:colFirst="0" w:colLast="0"/>
      <w:bookmarkEnd w:id="16"/>
      <w:r>
        <w:rPr>
          <w:rFonts w:ascii="Garamond" w:eastAsia="Garamond" w:hAnsi="Garamond" w:cs="Garamond"/>
          <w:b/>
          <w:sz w:val="28"/>
          <w:szCs w:val="28"/>
        </w:rPr>
        <w:br w:type="page"/>
      </w:r>
    </w:p>
    <w:p w14:paraId="39FA38FF" w14:textId="3EAED050" w:rsidR="00BE1B83" w:rsidRDefault="00633980">
      <w:pPr>
        <w:pStyle w:val="Heading2"/>
        <w:spacing w:line="240" w:lineRule="auto"/>
      </w:pPr>
      <w:r>
        <w:rPr>
          <w:rFonts w:ascii="Garamond" w:eastAsia="Garamond" w:hAnsi="Garamond" w:cs="Garamond"/>
          <w:b/>
          <w:sz w:val="28"/>
          <w:szCs w:val="28"/>
        </w:rPr>
        <w:lastRenderedPageBreak/>
        <w:t>Resources for equity-informative performance measurement</w:t>
      </w:r>
    </w:p>
    <w:p w14:paraId="4F697118" w14:textId="77777777" w:rsidR="00BE1B83" w:rsidRDefault="00BE1B83">
      <w:pPr>
        <w:spacing w:line="240" w:lineRule="auto"/>
        <w:rPr>
          <w:rFonts w:ascii="Garamond" w:eastAsia="Garamond" w:hAnsi="Garamond" w:cs="Garamond"/>
          <w:b/>
          <w:sz w:val="24"/>
          <w:szCs w:val="24"/>
        </w:rPr>
      </w:pPr>
    </w:p>
    <w:p w14:paraId="1B24731F" w14:textId="77777777" w:rsidR="00BE1B83" w:rsidRDefault="00633980">
      <w:pPr>
        <w:spacing w:line="240" w:lineRule="auto"/>
        <w:rPr>
          <w:rFonts w:ascii="Garamond" w:eastAsia="Garamond" w:hAnsi="Garamond" w:cs="Garamond"/>
          <w:b/>
          <w:sz w:val="24"/>
          <w:szCs w:val="24"/>
        </w:rPr>
      </w:pPr>
      <w:r>
        <w:rPr>
          <w:rFonts w:ascii="Garamond" w:eastAsia="Garamond" w:hAnsi="Garamond" w:cs="Garamond"/>
          <w:b/>
          <w:sz w:val="24"/>
          <w:szCs w:val="24"/>
        </w:rPr>
        <w:t>Further readings</w:t>
      </w:r>
    </w:p>
    <w:p w14:paraId="60613816" w14:textId="77777777" w:rsidR="00BE1B83" w:rsidRDefault="00633980">
      <w:pPr>
        <w:widowControl w:val="0"/>
        <w:spacing w:after="240" w:line="240" w:lineRule="auto"/>
        <w:rPr>
          <w:rFonts w:ascii="Garamond" w:eastAsia="Garamond" w:hAnsi="Garamond" w:cs="Garamond"/>
          <w:sz w:val="24"/>
          <w:szCs w:val="24"/>
        </w:rPr>
      </w:pPr>
      <w:r>
        <w:rPr>
          <w:rFonts w:ascii="Garamond" w:eastAsia="Garamond" w:hAnsi="Garamond" w:cs="Garamond"/>
          <w:sz w:val="24"/>
          <w:szCs w:val="24"/>
        </w:rPr>
        <w:t xml:space="preserve">Cookson, R., </w:t>
      </w:r>
      <w:proofErr w:type="spellStart"/>
      <w:r>
        <w:rPr>
          <w:rFonts w:ascii="Garamond" w:eastAsia="Garamond" w:hAnsi="Garamond" w:cs="Garamond"/>
          <w:sz w:val="24"/>
          <w:szCs w:val="24"/>
        </w:rPr>
        <w:t>Asaria</w:t>
      </w:r>
      <w:proofErr w:type="spellEnd"/>
      <w:r>
        <w:rPr>
          <w:rFonts w:ascii="Garamond" w:eastAsia="Garamond" w:hAnsi="Garamond" w:cs="Garamond"/>
          <w:sz w:val="24"/>
          <w:szCs w:val="24"/>
        </w:rPr>
        <w:t xml:space="preserve">, M., Ali, S., Shaw, R., Doran, T. and Goldblatt, P. (2018), “Health equity monitoring for healthcare quality assurance”, </w:t>
      </w:r>
      <w:r>
        <w:rPr>
          <w:rFonts w:ascii="Garamond" w:eastAsia="Garamond" w:hAnsi="Garamond" w:cs="Garamond"/>
          <w:i/>
          <w:sz w:val="24"/>
          <w:szCs w:val="24"/>
        </w:rPr>
        <w:t>Social Science &amp; Medicine</w:t>
      </w:r>
      <w:r>
        <w:rPr>
          <w:rFonts w:ascii="Garamond" w:eastAsia="Garamond" w:hAnsi="Garamond" w:cs="Garamond"/>
          <w:sz w:val="24"/>
          <w:szCs w:val="24"/>
        </w:rPr>
        <w:t>, Vol. 198, pp. 148–156.</w:t>
      </w:r>
    </w:p>
    <w:p w14:paraId="0CB19D4E" w14:textId="77777777" w:rsidR="00BE1B83" w:rsidRDefault="00633980">
      <w:pPr>
        <w:widowControl w:val="0"/>
        <w:spacing w:before="240" w:after="240" w:line="240" w:lineRule="auto"/>
        <w:rPr>
          <w:rFonts w:ascii="Garamond" w:eastAsia="Garamond" w:hAnsi="Garamond" w:cs="Garamond"/>
          <w:sz w:val="24"/>
          <w:szCs w:val="24"/>
        </w:rPr>
      </w:pPr>
      <w:r>
        <w:rPr>
          <w:rFonts w:ascii="Garamond" w:eastAsia="Garamond" w:hAnsi="Garamond" w:cs="Garamond"/>
          <w:sz w:val="24"/>
          <w:szCs w:val="24"/>
        </w:rPr>
        <w:t xml:space="preserve">Cookson, R., </w:t>
      </w:r>
      <w:proofErr w:type="spellStart"/>
      <w:r>
        <w:rPr>
          <w:rFonts w:ascii="Garamond" w:eastAsia="Garamond" w:hAnsi="Garamond" w:cs="Garamond"/>
          <w:sz w:val="24"/>
          <w:szCs w:val="24"/>
        </w:rPr>
        <w:t>Asaria</w:t>
      </w:r>
      <w:proofErr w:type="spellEnd"/>
      <w:r>
        <w:rPr>
          <w:rFonts w:ascii="Garamond" w:eastAsia="Garamond" w:hAnsi="Garamond" w:cs="Garamond"/>
          <w:sz w:val="24"/>
          <w:szCs w:val="24"/>
        </w:rPr>
        <w:t xml:space="preserve">, M., Ali, S., Ferguson, B., </w:t>
      </w:r>
      <w:proofErr w:type="spellStart"/>
      <w:r>
        <w:rPr>
          <w:rFonts w:ascii="Garamond" w:eastAsia="Garamond" w:hAnsi="Garamond" w:cs="Garamond"/>
          <w:sz w:val="24"/>
          <w:szCs w:val="24"/>
        </w:rPr>
        <w:t>Fleetcroft</w:t>
      </w:r>
      <w:proofErr w:type="spellEnd"/>
      <w:r>
        <w:rPr>
          <w:rFonts w:ascii="Garamond" w:eastAsia="Garamond" w:hAnsi="Garamond" w:cs="Garamond"/>
          <w:sz w:val="24"/>
          <w:szCs w:val="24"/>
        </w:rPr>
        <w:t xml:space="preserve">, R., Goddard, M., Goldblatt, P., et al. (2016), Health Equity Indicators for the English NHS: A Longitudinal Whole-Population Study at the Small-Area Level, NIHR Journals Library, Southampton (UK), available at: </w:t>
      </w:r>
      <w:hyperlink r:id="rId54">
        <w:r>
          <w:rPr>
            <w:rFonts w:ascii="Garamond" w:eastAsia="Garamond" w:hAnsi="Garamond" w:cs="Garamond"/>
            <w:color w:val="1155CC"/>
            <w:sz w:val="24"/>
            <w:szCs w:val="24"/>
            <w:u w:val="single"/>
          </w:rPr>
          <w:t>https://doi.org/10.3310/hsdr04260</w:t>
        </w:r>
      </w:hyperlink>
    </w:p>
    <w:p w14:paraId="14EC6FBD" w14:textId="77777777" w:rsidR="00BE1B83" w:rsidRDefault="00633980" w:rsidP="00245F37">
      <w:pPr>
        <w:widowControl w:val="0"/>
        <w:spacing w:after="0" w:line="480" w:lineRule="auto"/>
        <w:rPr>
          <w:rFonts w:ascii="Garamond" w:eastAsia="Garamond" w:hAnsi="Garamond" w:cs="Garamond"/>
          <w:b/>
          <w:sz w:val="24"/>
          <w:szCs w:val="24"/>
        </w:rPr>
      </w:pPr>
      <w:r>
        <w:rPr>
          <w:rFonts w:ascii="Garamond" w:eastAsia="Garamond" w:hAnsi="Garamond" w:cs="Garamond"/>
          <w:b/>
          <w:sz w:val="24"/>
          <w:szCs w:val="24"/>
        </w:rPr>
        <w:t>Other resources</w:t>
      </w:r>
    </w:p>
    <w:p w14:paraId="4D875431" w14:textId="77777777" w:rsidR="00BE1B83" w:rsidRDefault="00633980">
      <w:pPr>
        <w:rPr>
          <w:rFonts w:ascii="Garamond" w:eastAsia="Garamond" w:hAnsi="Garamond" w:cs="Garamond"/>
          <w:i/>
          <w:sz w:val="24"/>
          <w:szCs w:val="24"/>
        </w:rPr>
      </w:pPr>
      <w:r>
        <w:rPr>
          <w:rFonts w:ascii="Garamond" w:eastAsia="Garamond" w:hAnsi="Garamond" w:cs="Garamond"/>
          <w:i/>
          <w:sz w:val="24"/>
          <w:szCs w:val="24"/>
        </w:rPr>
        <w:t>Local equity performance measurement</w:t>
      </w:r>
    </w:p>
    <w:p w14:paraId="5BB5ADEC" w14:textId="77777777" w:rsidR="00BE1B83" w:rsidRDefault="00633980">
      <w:pPr>
        <w:numPr>
          <w:ilvl w:val="0"/>
          <w:numId w:val="2"/>
        </w:numPr>
        <w:spacing w:after="0"/>
        <w:rPr>
          <w:rFonts w:ascii="Garamond" w:eastAsia="Garamond" w:hAnsi="Garamond" w:cs="Garamond"/>
          <w:sz w:val="24"/>
          <w:szCs w:val="24"/>
        </w:rPr>
      </w:pPr>
      <w:r>
        <w:rPr>
          <w:rFonts w:ascii="Garamond" w:eastAsia="Garamond" w:hAnsi="Garamond" w:cs="Garamond"/>
          <w:sz w:val="24"/>
          <w:szCs w:val="24"/>
        </w:rPr>
        <w:t xml:space="preserve">Local health equity indicators for the NHS in England (University of York) </w:t>
      </w:r>
      <w:hyperlink r:id="rId55">
        <w:r>
          <w:rPr>
            <w:rFonts w:ascii="Garamond" w:eastAsia="Garamond" w:hAnsi="Garamond" w:cs="Garamond"/>
            <w:color w:val="1155CC"/>
            <w:sz w:val="24"/>
            <w:szCs w:val="24"/>
            <w:u w:val="single"/>
          </w:rPr>
          <w:t>https://www.york.ac.uk/che/research/equity/monitoring/</w:t>
        </w:r>
      </w:hyperlink>
      <w:r>
        <w:rPr>
          <w:rFonts w:ascii="Garamond" w:eastAsia="Garamond" w:hAnsi="Garamond" w:cs="Garamond"/>
          <w:sz w:val="24"/>
          <w:szCs w:val="24"/>
        </w:rPr>
        <w:br/>
      </w:r>
    </w:p>
    <w:p w14:paraId="63DE1392" w14:textId="77777777" w:rsidR="00BE1B83" w:rsidRDefault="00633980">
      <w:pPr>
        <w:numPr>
          <w:ilvl w:val="0"/>
          <w:numId w:val="2"/>
        </w:numPr>
        <w:spacing w:after="0"/>
        <w:rPr>
          <w:rFonts w:ascii="Garamond" w:eastAsia="Garamond" w:hAnsi="Garamond" w:cs="Garamond"/>
          <w:sz w:val="24"/>
          <w:szCs w:val="24"/>
        </w:rPr>
      </w:pPr>
      <w:r>
        <w:rPr>
          <w:rFonts w:ascii="Garamond" w:eastAsia="Garamond" w:hAnsi="Garamond" w:cs="Garamond"/>
          <w:sz w:val="24"/>
          <w:szCs w:val="24"/>
        </w:rPr>
        <w:t>Local equity indicator data packs for England (University of York)</w:t>
      </w:r>
      <w:r>
        <w:rPr>
          <w:rFonts w:ascii="Garamond" w:eastAsia="Garamond" w:hAnsi="Garamond" w:cs="Garamond"/>
          <w:sz w:val="24"/>
          <w:szCs w:val="24"/>
        </w:rPr>
        <w:br/>
      </w:r>
      <w:hyperlink r:id="rId56">
        <w:r>
          <w:rPr>
            <w:rFonts w:ascii="Garamond" w:eastAsia="Garamond" w:hAnsi="Garamond" w:cs="Garamond"/>
            <w:color w:val="1155CC"/>
            <w:sz w:val="24"/>
            <w:szCs w:val="24"/>
            <w:u w:val="single"/>
          </w:rPr>
          <w:t>https://www.york.ac.uk/che/research/equity/monitoring/packs/</w:t>
        </w:r>
      </w:hyperlink>
      <w:r>
        <w:rPr>
          <w:rFonts w:ascii="Garamond" w:eastAsia="Garamond" w:hAnsi="Garamond" w:cs="Garamond"/>
          <w:sz w:val="24"/>
          <w:szCs w:val="24"/>
        </w:rPr>
        <w:br/>
      </w:r>
    </w:p>
    <w:p w14:paraId="59A1A3E6" w14:textId="77777777" w:rsidR="00BE1B83" w:rsidRDefault="00633980">
      <w:pPr>
        <w:numPr>
          <w:ilvl w:val="0"/>
          <w:numId w:val="2"/>
        </w:numPr>
        <w:spacing w:after="0"/>
        <w:rPr>
          <w:rFonts w:ascii="Garamond" w:eastAsia="Garamond" w:hAnsi="Garamond" w:cs="Garamond"/>
          <w:sz w:val="24"/>
          <w:szCs w:val="24"/>
        </w:rPr>
      </w:pPr>
      <w:r>
        <w:rPr>
          <w:rFonts w:ascii="Garamond" w:eastAsia="Garamond" w:hAnsi="Garamond" w:cs="Garamond"/>
          <w:sz w:val="24"/>
          <w:szCs w:val="24"/>
        </w:rPr>
        <w:t xml:space="preserve">Reducing health inequalities resources (NHS England) </w:t>
      </w:r>
      <w:hyperlink r:id="rId57">
        <w:r>
          <w:rPr>
            <w:rFonts w:ascii="Garamond" w:eastAsia="Garamond" w:hAnsi="Garamond" w:cs="Garamond"/>
            <w:color w:val="1155CC"/>
            <w:sz w:val="24"/>
            <w:szCs w:val="24"/>
            <w:u w:val="single"/>
          </w:rPr>
          <w:t>https://www.england.nhs.uk/about/equality/equality-hub/resources/</w:t>
        </w:r>
      </w:hyperlink>
      <w:r>
        <w:rPr>
          <w:rFonts w:ascii="Garamond" w:eastAsia="Garamond" w:hAnsi="Garamond" w:cs="Garamond"/>
          <w:sz w:val="24"/>
          <w:szCs w:val="24"/>
        </w:rPr>
        <w:br/>
      </w:r>
    </w:p>
    <w:p w14:paraId="2919A2EC" w14:textId="77777777" w:rsidR="00BE1B83" w:rsidRDefault="00633980">
      <w:pPr>
        <w:numPr>
          <w:ilvl w:val="0"/>
          <w:numId w:val="2"/>
        </w:numPr>
        <w:spacing w:after="0"/>
        <w:rPr>
          <w:rFonts w:ascii="Garamond" w:eastAsia="Garamond" w:hAnsi="Garamond" w:cs="Garamond"/>
          <w:sz w:val="24"/>
          <w:szCs w:val="24"/>
        </w:rPr>
      </w:pPr>
      <w:r>
        <w:rPr>
          <w:rFonts w:ascii="Garamond" w:eastAsia="Garamond" w:hAnsi="Garamond" w:cs="Garamond"/>
          <w:sz w:val="24"/>
          <w:szCs w:val="24"/>
        </w:rPr>
        <w:t xml:space="preserve">Health Inequality NHS Right Care Packs (NHS England) </w:t>
      </w:r>
      <w:hyperlink r:id="rId58">
        <w:r>
          <w:rPr>
            <w:rFonts w:ascii="Garamond" w:eastAsia="Garamond" w:hAnsi="Garamond" w:cs="Garamond"/>
            <w:color w:val="1155CC"/>
            <w:sz w:val="24"/>
            <w:szCs w:val="24"/>
            <w:u w:val="single"/>
          </w:rPr>
          <w:t>https://www.england.nhs.uk/rightcare/products/ccg-data-packs/equality-and-health-inequality-nhs-rightcare-packs/</w:t>
        </w:r>
      </w:hyperlink>
      <w:r>
        <w:rPr>
          <w:rFonts w:ascii="Garamond" w:eastAsia="Garamond" w:hAnsi="Garamond" w:cs="Garamond"/>
          <w:sz w:val="24"/>
          <w:szCs w:val="24"/>
        </w:rPr>
        <w:br/>
      </w:r>
    </w:p>
    <w:p w14:paraId="578BEE95" w14:textId="77777777" w:rsidR="00BE1B83" w:rsidRDefault="00633980">
      <w:pPr>
        <w:numPr>
          <w:ilvl w:val="0"/>
          <w:numId w:val="2"/>
        </w:numPr>
        <w:rPr>
          <w:rFonts w:ascii="Garamond" w:eastAsia="Garamond" w:hAnsi="Garamond" w:cs="Garamond"/>
          <w:sz w:val="24"/>
          <w:szCs w:val="24"/>
        </w:rPr>
      </w:pPr>
      <w:r>
        <w:rPr>
          <w:rFonts w:ascii="Garamond" w:eastAsia="Garamond" w:hAnsi="Garamond" w:cs="Garamond"/>
          <w:sz w:val="24"/>
          <w:szCs w:val="24"/>
        </w:rPr>
        <w:t xml:space="preserve">Reducing health inequalities (Public Health Scotland, including local health and social care inequality indicators within the </w:t>
      </w:r>
      <w:proofErr w:type="spellStart"/>
      <w:r>
        <w:rPr>
          <w:rFonts w:ascii="Garamond" w:eastAsia="Garamond" w:hAnsi="Garamond" w:cs="Garamond"/>
          <w:sz w:val="24"/>
          <w:szCs w:val="24"/>
        </w:rPr>
        <w:t>ScotPHO</w:t>
      </w:r>
      <w:proofErr w:type="spellEnd"/>
      <w:r>
        <w:rPr>
          <w:rFonts w:ascii="Garamond" w:eastAsia="Garamond" w:hAnsi="Garamond" w:cs="Garamond"/>
          <w:sz w:val="24"/>
          <w:szCs w:val="24"/>
        </w:rPr>
        <w:t xml:space="preserve"> profiling tool)</w:t>
      </w:r>
      <w:r>
        <w:rPr>
          <w:rFonts w:ascii="Garamond" w:eastAsia="Garamond" w:hAnsi="Garamond" w:cs="Garamond"/>
          <w:sz w:val="24"/>
          <w:szCs w:val="24"/>
        </w:rPr>
        <w:br/>
      </w:r>
      <w:hyperlink r:id="rId59">
        <w:r>
          <w:rPr>
            <w:rFonts w:ascii="Garamond" w:eastAsia="Garamond" w:hAnsi="Garamond" w:cs="Garamond"/>
            <w:color w:val="1155CC"/>
            <w:sz w:val="24"/>
            <w:szCs w:val="24"/>
            <w:u w:val="single"/>
          </w:rPr>
          <w:t>http://www.healthscotland.scot/reducing-health-inequalities/use-the-right-indicators</w:t>
        </w:r>
      </w:hyperlink>
    </w:p>
    <w:p w14:paraId="2E4CA279" w14:textId="77777777" w:rsidR="00BE1B83" w:rsidRDefault="00633980">
      <w:pPr>
        <w:rPr>
          <w:rFonts w:ascii="Garamond" w:eastAsia="Garamond" w:hAnsi="Garamond" w:cs="Garamond"/>
          <w:i/>
          <w:sz w:val="24"/>
          <w:szCs w:val="24"/>
        </w:rPr>
      </w:pPr>
      <w:r>
        <w:rPr>
          <w:rFonts w:ascii="Garamond" w:eastAsia="Garamond" w:hAnsi="Garamond" w:cs="Garamond"/>
          <w:i/>
          <w:sz w:val="24"/>
          <w:szCs w:val="24"/>
        </w:rPr>
        <w:t>National and regional equity performance measurement</w:t>
      </w:r>
    </w:p>
    <w:p w14:paraId="4D01B55A" w14:textId="77777777" w:rsidR="00BE1B83" w:rsidRDefault="00633980">
      <w:pPr>
        <w:numPr>
          <w:ilvl w:val="0"/>
          <w:numId w:val="2"/>
        </w:numPr>
        <w:spacing w:after="0"/>
        <w:rPr>
          <w:rFonts w:ascii="Garamond" w:eastAsia="Garamond" w:hAnsi="Garamond" w:cs="Garamond"/>
          <w:sz w:val="24"/>
          <w:szCs w:val="24"/>
        </w:rPr>
      </w:pPr>
      <w:r>
        <w:rPr>
          <w:rFonts w:ascii="Garamond" w:eastAsia="Garamond" w:hAnsi="Garamond" w:cs="Garamond"/>
          <w:sz w:val="24"/>
          <w:szCs w:val="24"/>
        </w:rPr>
        <w:t>Handbook of health inequality monitoring with a special focus on low- and middle-income countries (WHO)</w:t>
      </w:r>
      <w:r>
        <w:rPr>
          <w:rFonts w:ascii="Garamond" w:eastAsia="Garamond" w:hAnsi="Garamond" w:cs="Garamond"/>
          <w:sz w:val="24"/>
          <w:szCs w:val="24"/>
        </w:rPr>
        <w:br/>
      </w:r>
      <w:hyperlink r:id="rId60">
        <w:r>
          <w:rPr>
            <w:rFonts w:ascii="Garamond" w:eastAsia="Garamond" w:hAnsi="Garamond" w:cs="Garamond"/>
            <w:color w:val="1155CC"/>
            <w:sz w:val="24"/>
            <w:szCs w:val="24"/>
            <w:u w:val="single"/>
          </w:rPr>
          <w:t>https://www.who.int/gho/health_equity/handbook/en/</w:t>
        </w:r>
      </w:hyperlink>
      <w:r>
        <w:rPr>
          <w:rFonts w:ascii="Garamond" w:eastAsia="Garamond" w:hAnsi="Garamond" w:cs="Garamond"/>
          <w:sz w:val="24"/>
          <w:szCs w:val="24"/>
        </w:rPr>
        <w:br/>
      </w:r>
    </w:p>
    <w:p w14:paraId="55971CC7" w14:textId="77777777" w:rsidR="00BE1B83" w:rsidRDefault="00633980">
      <w:pPr>
        <w:numPr>
          <w:ilvl w:val="0"/>
          <w:numId w:val="2"/>
        </w:numPr>
        <w:spacing w:after="0"/>
        <w:rPr>
          <w:rFonts w:ascii="Garamond" w:eastAsia="Garamond" w:hAnsi="Garamond" w:cs="Garamond"/>
          <w:sz w:val="24"/>
          <w:szCs w:val="24"/>
        </w:rPr>
      </w:pPr>
      <w:r>
        <w:rPr>
          <w:rFonts w:ascii="Garamond" w:eastAsia="Garamond" w:hAnsi="Garamond" w:cs="Garamond"/>
          <w:sz w:val="24"/>
          <w:szCs w:val="24"/>
        </w:rPr>
        <w:t>National Healthcare Quality and Disparities Reports (US Agency for Healthcare Research and Quality)</w:t>
      </w:r>
      <w:r>
        <w:rPr>
          <w:rFonts w:ascii="Garamond" w:eastAsia="Garamond" w:hAnsi="Garamond" w:cs="Garamond"/>
          <w:sz w:val="24"/>
          <w:szCs w:val="24"/>
        </w:rPr>
        <w:br/>
      </w:r>
      <w:hyperlink r:id="rId61">
        <w:r>
          <w:rPr>
            <w:rFonts w:ascii="Garamond" w:eastAsia="Garamond" w:hAnsi="Garamond" w:cs="Garamond"/>
            <w:color w:val="1155CC"/>
            <w:sz w:val="24"/>
            <w:szCs w:val="24"/>
            <w:u w:val="single"/>
          </w:rPr>
          <w:t>https://www.ahrq.gov/research/findings/nhqrdr/index.html</w:t>
        </w:r>
      </w:hyperlink>
      <w:r>
        <w:rPr>
          <w:rFonts w:ascii="Garamond" w:eastAsia="Garamond" w:hAnsi="Garamond" w:cs="Garamond"/>
          <w:sz w:val="24"/>
          <w:szCs w:val="24"/>
        </w:rPr>
        <w:br/>
      </w:r>
    </w:p>
    <w:p w14:paraId="2137EB64" w14:textId="77777777" w:rsidR="00BE1B83" w:rsidRDefault="00633980">
      <w:pPr>
        <w:numPr>
          <w:ilvl w:val="0"/>
          <w:numId w:val="2"/>
        </w:numPr>
        <w:rPr>
          <w:rFonts w:ascii="Garamond" w:eastAsia="Garamond" w:hAnsi="Garamond" w:cs="Garamond"/>
          <w:sz w:val="24"/>
          <w:szCs w:val="24"/>
        </w:rPr>
      </w:pPr>
      <w:r>
        <w:rPr>
          <w:rFonts w:ascii="Garamond" w:eastAsia="Garamond" w:hAnsi="Garamond" w:cs="Garamond"/>
          <w:sz w:val="24"/>
          <w:szCs w:val="24"/>
        </w:rPr>
        <w:t>Health inequalities (Canadian Institute for Health Information)</w:t>
      </w:r>
      <w:r>
        <w:rPr>
          <w:rFonts w:ascii="Garamond" w:eastAsia="Garamond" w:hAnsi="Garamond" w:cs="Garamond"/>
          <w:sz w:val="24"/>
          <w:szCs w:val="24"/>
        </w:rPr>
        <w:br/>
      </w:r>
      <w:hyperlink r:id="rId62">
        <w:r>
          <w:rPr>
            <w:rFonts w:ascii="Garamond" w:eastAsia="Garamond" w:hAnsi="Garamond" w:cs="Garamond"/>
            <w:color w:val="1155CC"/>
            <w:sz w:val="24"/>
            <w:szCs w:val="24"/>
            <w:u w:val="single"/>
          </w:rPr>
          <w:t>https://www.cihi.ca/en/health-inequalities</w:t>
        </w:r>
      </w:hyperlink>
    </w:p>
    <w:p w14:paraId="794E20C9" w14:textId="77777777" w:rsidR="00BE1B83" w:rsidRDefault="00BE1B83">
      <w:pPr>
        <w:spacing w:after="0" w:line="240" w:lineRule="auto"/>
        <w:rPr>
          <w:rFonts w:ascii="Garamond" w:eastAsia="Garamond" w:hAnsi="Garamond" w:cs="Garamond"/>
          <w:sz w:val="24"/>
          <w:szCs w:val="24"/>
          <w:highlight w:val="white"/>
        </w:rPr>
      </w:pPr>
    </w:p>
    <w:p w14:paraId="3574BDFF" w14:textId="77777777" w:rsidR="008A4844" w:rsidRDefault="008A4844">
      <w:pPr>
        <w:rPr>
          <w:rFonts w:ascii="Garamond" w:eastAsia="Garamond" w:hAnsi="Garamond" w:cs="Garamond"/>
          <w:b/>
          <w:color w:val="000000"/>
          <w:sz w:val="28"/>
          <w:szCs w:val="28"/>
        </w:rPr>
      </w:pPr>
      <w:bookmarkStart w:id="17" w:name="_3rdcrjn" w:colFirst="0" w:colLast="0"/>
      <w:bookmarkEnd w:id="17"/>
      <w:r>
        <w:rPr>
          <w:rFonts w:ascii="Garamond" w:eastAsia="Garamond" w:hAnsi="Garamond" w:cs="Garamond"/>
          <w:b/>
          <w:color w:val="000000"/>
          <w:sz w:val="28"/>
          <w:szCs w:val="28"/>
        </w:rPr>
        <w:br w:type="page"/>
      </w:r>
    </w:p>
    <w:p w14:paraId="454CA778" w14:textId="1A547763" w:rsidR="00BE1B83" w:rsidRDefault="00633980">
      <w:pPr>
        <w:pStyle w:val="Heading1"/>
        <w:rPr>
          <w:rFonts w:ascii="Garamond" w:eastAsia="Garamond" w:hAnsi="Garamond" w:cs="Garamond"/>
          <w:b/>
          <w:color w:val="000000"/>
          <w:sz w:val="28"/>
          <w:szCs w:val="28"/>
        </w:rPr>
      </w:pPr>
      <w:r>
        <w:rPr>
          <w:rFonts w:ascii="Garamond" w:eastAsia="Garamond" w:hAnsi="Garamond" w:cs="Garamond"/>
          <w:b/>
          <w:color w:val="000000"/>
          <w:sz w:val="28"/>
          <w:szCs w:val="28"/>
        </w:rPr>
        <w:lastRenderedPageBreak/>
        <w:t>References</w:t>
      </w:r>
    </w:p>
    <w:p w14:paraId="28C18887" w14:textId="77777777" w:rsidR="00BE1B83" w:rsidRDefault="00BE1B83">
      <w:pPr>
        <w:spacing w:after="0" w:line="240" w:lineRule="auto"/>
        <w:rPr>
          <w:rFonts w:ascii="Garamond" w:eastAsia="Garamond" w:hAnsi="Garamond" w:cs="Garamond"/>
          <w:sz w:val="24"/>
          <w:szCs w:val="24"/>
        </w:rPr>
      </w:pPr>
    </w:p>
    <w:p w14:paraId="239F6608" w14:textId="77777777" w:rsidR="00BE1B83" w:rsidRDefault="0056052B">
      <w:pPr>
        <w:widowControl w:val="0"/>
        <w:pBdr>
          <w:top w:val="nil"/>
          <w:left w:val="nil"/>
          <w:bottom w:val="nil"/>
          <w:right w:val="nil"/>
          <w:between w:val="nil"/>
        </w:pBdr>
        <w:spacing w:before="240" w:after="0" w:line="480" w:lineRule="auto"/>
        <w:ind w:left="480" w:hanging="480"/>
        <w:rPr>
          <w:rFonts w:ascii="Garamond" w:eastAsia="Garamond" w:hAnsi="Garamond" w:cs="Garamond"/>
          <w:color w:val="000000"/>
          <w:sz w:val="24"/>
          <w:szCs w:val="24"/>
        </w:rPr>
      </w:pPr>
      <w:hyperlink r:id="rId63">
        <w:r w:rsidR="00633980">
          <w:rPr>
            <w:rFonts w:ascii="Garamond" w:eastAsia="Garamond" w:hAnsi="Garamond" w:cs="Garamond"/>
            <w:color w:val="000000"/>
            <w:sz w:val="24"/>
            <w:szCs w:val="24"/>
          </w:rPr>
          <w:t xml:space="preserve">Asante, A., Price, J., </w:t>
        </w:r>
        <w:proofErr w:type="spellStart"/>
        <w:r w:rsidR="00633980">
          <w:rPr>
            <w:rFonts w:ascii="Garamond" w:eastAsia="Garamond" w:hAnsi="Garamond" w:cs="Garamond"/>
            <w:color w:val="000000"/>
            <w:sz w:val="24"/>
            <w:szCs w:val="24"/>
          </w:rPr>
          <w:t>Hayen</w:t>
        </w:r>
        <w:proofErr w:type="spellEnd"/>
        <w:r w:rsidR="00633980">
          <w:rPr>
            <w:rFonts w:ascii="Garamond" w:eastAsia="Garamond" w:hAnsi="Garamond" w:cs="Garamond"/>
            <w:color w:val="000000"/>
            <w:sz w:val="24"/>
            <w:szCs w:val="24"/>
          </w:rPr>
          <w:t xml:space="preserve">, A., Jan, S. and Wiseman, V. (2016), “Equity in Health Care Financing in Low- and Middle-Income Countries: A Systematic Review of Evidence from Studies Using Benefit and Financing Incidence Analyses”, </w:t>
        </w:r>
      </w:hyperlink>
      <w:hyperlink r:id="rId64">
        <w:proofErr w:type="spellStart"/>
        <w:r w:rsidR="00633980">
          <w:rPr>
            <w:rFonts w:ascii="Garamond" w:eastAsia="Garamond" w:hAnsi="Garamond" w:cs="Garamond"/>
            <w:i/>
            <w:color w:val="000000"/>
            <w:sz w:val="24"/>
            <w:szCs w:val="24"/>
          </w:rPr>
          <w:t>PloS</w:t>
        </w:r>
        <w:proofErr w:type="spellEnd"/>
        <w:r w:rsidR="00633980">
          <w:rPr>
            <w:rFonts w:ascii="Garamond" w:eastAsia="Garamond" w:hAnsi="Garamond" w:cs="Garamond"/>
            <w:i/>
            <w:color w:val="000000"/>
            <w:sz w:val="24"/>
            <w:szCs w:val="24"/>
          </w:rPr>
          <w:t xml:space="preserve"> One</w:t>
        </w:r>
      </w:hyperlink>
      <w:hyperlink r:id="rId65">
        <w:r w:rsidR="00633980">
          <w:rPr>
            <w:rFonts w:ascii="Garamond" w:eastAsia="Garamond" w:hAnsi="Garamond" w:cs="Garamond"/>
            <w:color w:val="000000"/>
            <w:sz w:val="24"/>
            <w:szCs w:val="24"/>
          </w:rPr>
          <w:t>, Vol. 11 No. 4, p. e0152866.</w:t>
        </w:r>
      </w:hyperlink>
    </w:p>
    <w:p w14:paraId="351A0338" w14:textId="77777777" w:rsidR="00BE1B83" w:rsidRPr="00105B1A" w:rsidRDefault="0056052B">
      <w:pPr>
        <w:widowControl w:val="0"/>
        <w:pBdr>
          <w:top w:val="nil"/>
          <w:left w:val="nil"/>
          <w:bottom w:val="nil"/>
          <w:right w:val="nil"/>
          <w:between w:val="nil"/>
        </w:pBdr>
        <w:spacing w:after="0" w:line="480" w:lineRule="auto"/>
        <w:ind w:left="480" w:hanging="480"/>
        <w:rPr>
          <w:rFonts w:ascii="Garamond" w:eastAsia="Garamond" w:hAnsi="Garamond" w:cs="Garamond"/>
          <w:color w:val="000000"/>
          <w:sz w:val="24"/>
          <w:szCs w:val="24"/>
        </w:rPr>
      </w:pPr>
      <w:hyperlink r:id="rId66">
        <w:r w:rsidR="00633980">
          <w:rPr>
            <w:rFonts w:ascii="Garamond" w:eastAsia="Garamond" w:hAnsi="Garamond" w:cs="Garamond"/>
            <w:color w:val="000000"/>
            <w:sz w:val="24"/>
            <w:szCs w:val="24"/>
          </w:rPr>
          <w:t xml:space="preserve">Bedoya, G., </w:t>
        </w:r>
        <w:proofErr w:type="spellStart"/>
        <w:r w:rsidR="00633980">
          <w:rPr>
            <w:rFonts w:ascii="Garamond" w:eastAsia="Garamond" w:hAnsi="Garamond" w:cs="Garamond"/>
            <w:color w:val="000000"/>
            <w:sz w:val="24"/>
            <w:szCs w:val="24"/>
          </w:rPr>
          <w:t>Bittarello</w:t>
        </w:r>
        <w:proofErr w:type="spellEnd"/>
        <w:r w:rsidR="00633980">
          <w:rPr>
            <w:rFonts w:ascii="Garamond" w:eastAsia="Garamond" w:hAnsi="Garamond" w:cs="Garamond"/>
            <w:color w:val="000000"/>
            <w:sz w:val="24"/>
            <w:szCs w:val="24"/>
          </w:rPr>
          <w:t xml:space="preserve">, L., Davis, J. and </w:t>
        </w:r>
        <w:proofErr w:type="spellStart"/>
        <w:r w:rsidR="00633980">
          <w:rPr>
            <w:rFonts w:ascii="Garamond" w:eastAsia="Garamond" w:hAnsi="Garamond" w:cs="Garamond"/>
            <w:color w:val="000000"/>
            <w:sz w:val="24"/>
            <w:szCs w:val="24"/>
          </w:rPr>
          <w:t>Mittag</w:t>
        </w:r>
        <w:proofErr w:type="spellEnd"/>
        <w:r w:rsidR="00633980">
          <w:rPr>
            <w:rFonts w:ascii="Garamond" w:eastAsia="Garamond" w:hAnsi="Garamond" w:cs="Garamond"/>
            <w:color w:val="000000"/>
            <w:sz w:val="24"/>
            <w:szCs w:val="24"/>
          </w:rPr>
          <w:t xml:space="preserve">, N. (2017), </w:t>
        </w:r>
      </w:hyperlink>
      <w:hyperlink r:id="rId67">
        <w:r w:rsidR="00633980">
          <w:rPr>
            <w:rFonts w:ascii="Garamond" w:eastAsia="Garamond" w:hAnsi="Garamond" w:cs="Garamond"/>
            <w:i/>
            <w:color w:val="000000"/>
            <w:sz w:val="24"/>
            <w:szCs w:val="24"/>
          </w:rPr>
          <w:t>Distributional Impact Analysis: Toolkit and Illustrations of Impacts Beyond the Average Treatment Effect</w:t>
        </w:r>
      </w:hyperlink>
      <w:hyperlink r:id="rId68">
        <w:r w:rsidR="00633980" w:rsidRPr="00105B1A">
          <w:rPr>
            <w:rFonts w:ascii="Garamond" w:eastAsia="Garamond" w:hAnsi="Garamond" w:cs="Garamond"/>
            <w:color w:val="000000"/>
            <w:sz w:val="24"/>
            <w:szCs w:val="24"/>
          </w:rPr>
          <w:t xml:space="preserve">, The World Bank, available </w:t>
        </w:r>
        <w:proofErr w:type="spellStart"/>
        <w:r w:rsidR="00633980" w:rsidRPr="00105B1A">
          <w:rPr>
            <w:rFonts w:ascii="Garamond" w:eastAsia="Garamond" w:hAnsi="Garamond" w:cs="Garamond"/>
            <w:color w:val="000000"/>
            <w:sz w:val="24"/>
            <w:szCs w:val="24"/>
          </w:rPr>
          <w:t>at:https</w:t>
        </w:r>
        <w:proofErr w:type="spellEnd"/>
        <w:r w:rsidR="00633980" w:rsidRPr="00105B1A">
          <w:rPr>
            <w:rFonts w:ascii="Garamond" w:eastAsia="Garamond" w:hAnsi="Garamond" w:cs="Garamond"/>
            <w:color w:val="000000"/>
            <w:sz w:val="24"/>
            <w:szCs w:val="24"/>
          </w:rPr>
          <w:t>://doi.org/</w:t>
        </w:r>
      </w:hyperlink>
      <w:hyperlink r:id="rId69">
        <w:r w:rsidR="00633980" w:rsidRPr="00105B1A">
          <w:rPr>
            <w:rFonts w:ascii="Garamond" w:eastAsia="Garamond" w:hAnsi="Garamond" w:cs="Garamond"/>
            <w:color w:val="000000"/>
            <w:sz w:val="24"/>
            <w:szCs w:val="24"/>
          </w:rPr>
          <w:t>10.1596/1813-9450-8139</w:t>
        </w:r>
      </w:hyperlink>
      <w:hyperlink r:id="rId70">
        <w:r w:rsidR="00633980" w:rsidRPr="00105B1A">
          <w:rPr>
            <w:rFonts w:ascii="Garamond" w:eastAsia="Garamond" w:hAnsi="Garamond" w:cs="Garamond"/>
            <w:color w:val="000000"/>
            <w:sz w:val="24"/>
            <w:szCs w:val="24"/>
          </w:rPr>
          <w:t>.</w:t>
        </w:r>
      </w:hyperlink>
    </w:p>
    <w:p w14:paraId="650FD0EF" w14:textId="77777777" w:rsidR="00105B1A" w:rsidRPr="00547414" w:rsidRDefault="00105B1A">
      <w:pPr>
        <w:widowControl w:val="0"/>
        <w:pBdr>
          <w:top w:val="nil"/>
          <w:left w:val="nil"/>
          <w:bottom w:val="nil"/>
          <w:right w:val="nil"/>
          <w:between w:val="nil"/>
        </w:pBdr>
        <w:spacing w:after="0" w:line="480" w:lineRule="auto"/>
        <w:ind w:left="480" w:hanging="480"/>
        <w:rPr>
          <w:rFonts w:ascii="Garamond" w:hAnsi="Garamond"/>
        </w:rPr>
      </w:pPr>
      <w:proofErr w:type="spellStart"/>
      <w:r w:rsidRPr="00547414">
        <w:rPr>
          <w:rFonts w:ascii="Garamond" w:hAnsi="Garamond"/>
        </w:rPr>
        <w:t>Blencowe</w:t>
      </w:r>
      <w:proofErr w:type="spellEnd"/>
      <w:r w:rsidRPr="00547414">
        <w:rPr>
          <w:rFonts w:ascii="Garamond" w:hAnsi="Garamond"/>
        </w:rPr>
        <w:t xml:space="preserve"> H, </w:t>
      </w:r>
      <w:proofErr w:type="spellStart"/>
      <w:r w:rsidRPr="00547414">
        <w:rPr>
          <w:rFonts w:ascii="Garamond" w:hAnsi="Garamond"/>
        </w:rPr>
        <w:t>Krasevec</w:t>
      </w:r>
      <w:proofErr w:type="spellEnd"/>
      <w:r w:rsidRPr="00547414">
        <w:rPr>
          <w:rFonts w:ascii="Garamond" w:hAnsi="Garamond"/>
        </w:rPr>
        <w:t xml:space="preserve"> J, de </w:t>
      </w:r>
      <w:proofErr w:type="spellStart"/>
      <w:r w:rsidRPr="00547414">
        <w:rPr>
          <w:rFonts w:ascii="Garamond" w:hAnsi="Garamond"/>
        </w:rPr>
        <w:t>Onis</w:t>
      </w:r>
      <w:proofErr w:type="spellEnd"/>
      <w:r w:rsidRPr="00547414">
        <w:rPr>
          <w:rFonts w:ascii="Garamond" w:hAnsi="Garamond"/>
        </w:rPr>
        <w:t xml:space="preserve"> M, et al. National, regional, and worldwide estimates of low birthweight in 2015, with trends from 2000: a systematic analysis. </w:t>
      </w:r>
      <w:r w:rsidRPr="00547414">
        <w:rPr>
          <w:rFonts w:ascii="Garamond" w:hAnsi="Garamond"/>
          <w:i/>
          <w:iCs/>
        </w:rPr>
        <w:t>The Lancet Global Health</w:t>
      </w:r>
      <w:r w:rsidRPr="00547414">
        <w:rPr>
          <w:rFonts w:ascii="Garamond" w:hAnsi="Garamond"/>
        </w:rPr>
        <w:t>. 2019; 7: e849-e60.</w:t>
      </w:r>
    </w:p>
    <w:p w14:paraId="606BF3F7" w14:textId="177E0874" w:rsidR="00547414" w:rsidRPr="00547414" w:rsidRDefault="00547414" w:rsidP="00547414">
      <w:pPr>
        <w:widowControl w:val="0"/>
        <w:pBdr>
          <w:top w:val="nil"/>
          <w:left w:val="nil"/>
          <w:bottom w:val="nil"/>
          <w:right w:val="nil"/>
          <w:between w:val="nil"/>
        </w:pBdr>
        <w:spacing w:after="0" w:line="480" w:lineRule="auto"/>
        <w:ind w:left="480" w:hanging="480"/>
        <w:rPr>
          <w:rFonts w:ascii="Garamond" w:hAnsi="Garamond"/>
        </w:rPr>
      </w:pPr>
      <w:r w:rsidRPr="00547414">
        <w:rPr>
          <w:rFonts w:ascii="Garamond" w:hAnsi="Garamond"/>
        </w:rPr>
        <w:t xml:space="preserve">Burke JF, Sussman JB, Kent DM, Hayward RA. Three simple rules to ensure reasonably credible subgroup analyses. </w:t>
      </w:r>
      <w:r w:rsidRPr="00547414">
        <w:rPr>
          <w:rFonts w:ascii="Garamond" w:hAnsi="Garamond"/>
          <w:i/>
          <w:iCs/>
        </w:rPr>
        <w:t>British Medical Journal.</w:t>
      </w:r>
      <w:r w:rsidRPr="00547414">
        <w:rPr>
          <w:rFonts w:ascii="Garamond" w:hAnsi="Garamond"/>
        </w:rPr>
        <w:t xml:space="preserve"> 2015;</w:t>
      </w:r>
      <w:r>
        <w:rPr>
          <w:rFonts w:ascii="Garamond" w:hAnsi="Garamond"/>
        </w:rPr>
        <w:t xml:space="preserve"> </w:t>
      </w:r>
      <w:r w:rsidRPr="00547414">
        <w:rPr>
          <w:rFonts w:ascii="Garamond" w:hAnsi="Garamond"/>
        </w:rPr>
        <w:t>351:h5651.</w:t>
      </w:r>
    </w:p>
    <w:p w14:paraId="41FA4BAB" w14:textId="3A4ABE1B" w:rsidR="00BE1B83" w:rsidRDefault="0056052B" w:rsidP="00547414">
      <w:pPr>
        <w:widowControl w:val="0"/>
        <w:pBdr>
          <w:top w:val="nil"/>
          <w:left w:val="nil"/>
          <w:bottom w:val="nil"/>
          <w:right w:val="nil"/>
          <w:between w:val="nil"/>
        </w:pBdr>
        <w:spacing w:after="0" w:line="480" w:lineRule="auto"/>
        <w:ind w:left="480" w:hanging="480"/>
        <w:rPr>
          <w:rFonts w:ascii="Garamond" w:eastAsia="Garamond" w:hAnsi="Garamond" w:cs="Garamond"/>
          <w:color w:val="000000"/>
          <w:sz w:val="24"/>
          <w:szCs w:val="24"/>
        </w:rPr>
      </w:pPr>
      <w:hyperlink r:id="rId71">
        <w:r w:rsidR="00633980">
          <w:rPr>
            <w:rFonts w:ascii="Garamond" w:eastAsia="Garamond" w:hAnsi="Garamond" w:cs="Garamond"/>
            <w:color w:val="000000"/>
            <w:sz w:val="24"/>
            <w:szCs w:val="24"/>
          </w:rPr>
          <w:t xml:space="preserve">Case, A. and Deaton, A. (2020), </w:t>
        </w:r>
      </w:hyperlink>
      <w:hyperlink r:id="rId72">
        <w:r w:rsidR="00633980">
          <w:rPr>
            <w:rFonts w:ascii="Garamond" w:eastAsia="Garamond" w:hAnsi="Garamond" w:cs="Garamond"/>
            <w:i/>
            <w:color w:val="000000"/>
            <w:sz w:val="24"/>
            <w:szCs w:val="24"/>
          </w:rPr>
          <w:t>Deaths of Despair and the Future of Capitalism</w:t>
        </w:r>
      </w:hyperlink>
      <w:hyperlink r:id="rId73">
        <w:r w:rsidR="00633980">
          <w:rPr>
            <w:rFonts w:ascii="Garamond" w:eastAsia="Garamond" w:hAnsi="Garamond" w:cs="Garamond"/>
            <w:color w:val="000000"/>
            <w:sz w:val="24"/>
            <w:szCs w:val="24"/>
          </w:rPr>
          <w:t xml:space="preserve">, Princeton University Press, available at: </w:t>
        </w:r>
      </w:hyperlink>
      <w:hyperlink r:id="rId74">
        <w:r w:rsidR="00633980">
          <w:rPr>
            <w:rFonts w:ascii="Garamond" w:eastAsia="Garamond" w:hAnsi="Garamond" w:cs="Garamond"/>
            <w:color w:val="000000"/>
            <w:sz w:val="24"/>
            <w:szCs w:val="24"/>
          </w:rPr>
          <w:t>https://play.google.com/store/books/details?id=anK0DwAAQBAJ</w:t>
        </w:r>
      </w:hyperlink>
      <w:hyperlink r:id="rId75">
        <w:r w:rsidR="00633980">
          <w:rPr>
            <w:rFonts w:ascii="Garamond" w:eastAsia="Garamond" w:hAnsi="Garamond" w:cs="Garamond"/>
            <w:color w:val="000000"/>
            <w:sz w:val="24"/>
            <w:szCs w:val="24"/>
          </w:rPr>
          <w:t>.</w:t>
        </w:r>
      </w:hyperlink>
    </w:p>
    <w:p w14:paraId="3A35AE2C" w14:textId="77777777" w:rsidR="00BE1B83" w:rsidRDefault="0056052B">
      <w:pPr>
        <w:widowControl w:val="0"/>
        <w:pBdr>
          <w:top w:val="nil"/>
          <w:left w:val="nil"/>
          <w:bottom w:val="nil"/>
          <w:right w:val="nil"/>
          <w:between w:val="nil"/>
        </w:pBdr>
        <w:spacing w:after="0" w:line="480" w:lineRule="auto"/>
        <w:ind w:left="480" w:hanging="480"/>
        <w:rPr>
          <w:rFonts w:ascii="Garamond" w:eastAsia="Garamond" w:hAnsi="Garamond" w:cs="Garamond"/>
          <w:color w:val="000000"/>
          <w:sz w:val="24"/>
          <w:szCs w:val="24"/>
        </w:rPr>
      </w:pPr>
      <w:hyperlink r:id="rId76">
        <w:r w:rsidR="00633980">
          <w:rPr>
            <w:rFonts w:ascii="Garamond" w:eastAsia="Garamond" w:hAnsi="Garamond" w:cs="Garamond"/>
            <w:color w:val="000000"/>
            <w:sz w:val="24"/>
            <w:szCs w:val="24"/>
          </w:rPr>
          <w:t xml:space="preserve">Cookson, R., </w:t>
        </w:r>
        <w:proofErr w:type="spellStart"/>
        <w:r w:rsidR="00633980">
          <w:rPr>
            <w:rFonts w:ascii="Garamond" w:eastAsia="Garamond" w:hAnsi="Garamond" w:cs="Garamond"/>
            <w:color w:val="000000"/>
            <w:sz w:val="24"/>
            <w:szCs w:val="24"/>
          </w:rPr>
          <w:t>Asaria</w:t>
        </w:r>
        <w:proofErr w:type="spellEnd"/>
        <w:r w:rsidR="00633980">
          <w:rPr>
            <w:rFonts w:ascii="Garamond" w:eastAsia="Garamond" w:hAnsi="Garamond" w:cs="Garamond"/>
            <w:color w:val="000000"/>
            <w:sz w:val="24"/>
            <w:szCs w:val="24"/>
          </w:rPr>
          <w:t xml:space="preserve">, M., Ali, S., Ferguson, B., </w:t>
        </w:r>
        <w:proofErr w:type="spellStart"/>
        <w:r w:rsidR="00633980">
          <w:rPr>
            <w:rFonts w:ascii="Garamond" w:eastAsia="Garamond" w:hAnsi="Garamond" w:cs="Garamond"/>
            <w:color w:val="000000"/>
            <w:sz w:val="24"/>
            <w:szCs w:val="24"/>
          </w:rPr>
          <w:t>Fleetcroft</w:t>
        </w:r>
        <w:proofErr w:type="spellEnd"/>
        <w:r w:rsidR="00633980">
          <w:rPr>
            <w:rFonts w:ascii="Garamond" w:eastAsia="Garamond" w:hAnsi="Garamond" w:cs="Garamond"/>
            <w:color w:val="000000"/>
            <w:sz w:val="24"/>
            <w:szCs w:val="24"/>
          </w:rPr>
          <w:t xml:space="preserve">, R., Goddard, M., Goldblatt, P., et al. (2016), </w:t>
        </w:r>
      </w:hyperlink>
      <w:hyperlink r:id="rId77">
        <w:r w:rsidR="00633980">
          <w:rPr>
            <w:rFonts w:ascii="Garamond" w:eastAsia="Garamond" w:hAnsi="Garamond" w:cs="Garamond"/>
            <w:i/>
            <w:color w:val="000000"/>
            <w:sz w:val="24"/>
            <w:szCs w:val="24"/>
          </w:rPr>
          <w:t>Health Equity Indicators for the English NHS: A Longitudinal Whole-Population Study at the Small-Area Level</w:t>
        </w:r>
      </w:hyperlink>
      <w:hyperlink r:id="rId78">
        <w:r w:rsidR="00633980">
          <w:rPr>
            <w:rFonts w:ascii="Garamond" w:eastAsia="Garamond" w:hAnsi="Garamond" w:cs="Garamond"/>
            <w:color w:val="000000"/>
            <w:sz w:val="24"/>
            <w:szCs w:val="24"/>
          </w:rPr>
          <w:t xml:space="preserve">, NIHR Journals Library, Southampton (UK), available </w:t>
        </w:r>
        <w:proofErr w:type="spellStart"/>
        <w:r w:rsidR="00633980">
          <w:rPr>
            <w:rFonts w:ascii="Garamond" w:eastAsia="Garamond" w:hAnsi="Garamond" w:cs="Garamond"/>
            <w:color w:val="000000"/>
            <w:sz w:val="24"/>
            <w:szCs w:val="24"/>
          </w:rPr>
          <w:t>at:https</w:t>
        </w:r>
        <w:proofErr w:type="spellEnd"/>
        <w:r w:rsidR="00633980">
          <w:rPr>
            <w:rFonts w:ascii="Garamond" w:eastAsia="Garamond" w:hAnsi="Garamond" w:cs="Garamond"/>
            <w:color w:val="000000"/>
            <w:sz w:val="24"/>
            <w:szCs w:val="24"/>
          </w:rPr>
          <w:t>://doi.org/</w:t>
        </w:r>
      </w:hyperlink>
      <w:hyperlink r:id="rId79">
        <w:r w:rsidR="00633980">
          <w:rPr>
            <w:rFonts w:ascii="Garamond" w:eastAsia="Garamond" w:hAnsi="Garamond" w:cs="Garamond"/>
            <w:color w:val="000000"/>
            <w:sz w:val="24"/>
            <w:szCs w:val="24"/>
          </w:rPr>
          <w:t>10.3310/hsdr04260</w:t>
        </w:r>
      </w:hyperlink>
      <w:hyperlink r:id="rId80">
        <w:r w:rsidR="00633980">
          <w:rPr>
            <w:rFonts w:ascii="Garamond" w:eastAsia="Garamond" w:hAnsi="Garamond" w:cs="Garamond"/>
            <w:color w:val="000000"/>
            <w:sz w:val="24"/>
            <w:szCs w:val="24"/>
          </w:rPr>
          <w:t>.</w:t>
        </w:r>
      </w:hyperlink>
    </w:p>
    <w:p w14:paraId="386799AA" w14:textId="77777777" w:rsidR="00BE1B83" w:rsidRDefault="0056052B">
      <w:pPr>
        <w:widowControl w:val="0"/>
        <w:pBdr>
          <w:top w:val="nil"/>
          <w:left w:val="nil"/>
          <w:bottom w:val="nil"/>
          <w:right w:val="nil"/>
          <w:between w:val="nil"/>
        </w:pBdr>
        <w:spacing w:after="0" w:line="480" w:lineRule="auto"/>
        <w:ind w:left="480" w:hanging="480"/>
        <w:rPr>
          <w:rFonts w:ascii="Garamond" w:eastAsia="Garamond" w:hAnsi="Garamond" w:cs="Garamond"/>
          <w:color w:val="000000"/>
          <w:sz w:val="24"/>
          <w:szCs w:val="24"/>
        </w:rPr>
      </w:pPr>
      <w:hyperlink r:id="rId81">
        <w:r w:rsidR="00633980">
          <w:rPr>
            <w:rFonts w:ascii="Garamond" w:eastAsia="Garamond" w:hAnsi="Garamond" w:cs="Garamond"/>
            <w:color w:val="000000"/>
            <w:sz w:val="24"/>
            <w:szCs w:val="24"/>
          </w:rPr>
          <w:t xml:space="preserve">Cookson, R., </w:t>
        </w:r>
        <w:proofErr w:type="spellStart"/>
        <w:r w:rsidR="00633980">
          <w:rPr>
            <w:rFonts w:ascii="Garamond" w:eastAsia="Garamond" w:hAnsi="Garamond" w:cs="Garamond"/>
            <w:color w:val="000000"/>
            <w:sz w:val="24"/>
            <w:szCs w:val="24"/>
          </w:rPr>
          <w:t>Asaria</w:t>
        </w:r>
        <w:proofErr w:type="spellEnd"/>
        <w:r w:rsidR="00633980">
          <w:rPr>
            <w:rFonts w:ascii="Garamond" w:eastAsia="Garamond" w:hAnsi="Garamond" w:cs="Garamond"/>
            <w:color w:val="000000"/>
            <w:sz w:val="24"/>
            <w:szCs w:val="24"/>
          </w:rPr>
          <w:t xml:space="preserve">, M., Ali, S., Shaw, R., Doran, T. and Goldblatt, P. (2018), “Health equity monitoring for healthcare quality assurance”, </w:t>
        </w:r>
      </w:hyperlink>
      <w:hyperlink r:id="rId82">
        <w:r w:rsidR="00633980">
          <w:rPr>
            <w:rFonts w:ascii="Garamond" w:eastAsia="Garamond" w:hAnsi="Garamond" w:cs="Garamond"/>
            <w:i/>
            <w:color w:val="000000"/>
            <w:sz w:val="24"/>
            <w:szCs w:val="24"/>
          </w:rPr>
          <w:t>Social Science &amp; Medicine</w:t>
        </w:r>
      </w:hyperlink>
      <w:hyperlink r:id="rId83">
        <w:r w:rsidR="00633980">
          <w:rPr>
            <w:rFonts w:ascii="Garamond" w:eastAsia="Garamond" w:hAnsi="Garamond" w:cs="Garamond"/>
            <w:color w:val="000000"/>
            <w:sz w:val="24"/>
            <w:szCs w:val="24"/>
          </w:rPr>
          <w:t>, Vol. 198, pp. 148–156.</w:t>
        </w:r>
      </w:hyperlink>
    </w:p>
    <w:p w14:paraId="797ED3C3" w14:textId="77777777" w:rsidR="00BE1B83" w:rsidRDefault="0056052B">
      <w:pPr>
        <w:widowControl w:val="0"/>
        <w:pBdr>
          <w:top w:val="nil"/>
          <w:left w:val="nil"/>
          <w:bottom w:val="nil"/>
          <w:right w:val="nil"/>
          <w:between w:val="nil"/>
        </w:pBdr>
        <w:spacing w:after="0" w:line="480" w:lineRule="auto"/>
        <w:ind w:left="480" w:hanging="480"/>
        <w:rPr>
          <w:rFonts w:ascii="Garamond" w:eastAsia="Garamond" w:hAnsi="Garamond" w:cs="Garamond"/>
          <w:color w:val="000000"/>
          <w:sz w:val="24"/>
          <w:szCs w:val="24"/>
        </w:rPr>
      </w:pPr>
      <w:hyperlink r:id="rId84">
        <w:r w:rsidR="00633980">
          <w:rPr>
            <w:rFonts w:ascii="Garamond" w:eastAsia="Garamond" w:hAnsi="Garamond" w:cs="Garamond"/>
            <w:color w:val="000000"/>
            <w:sz w:val="24"/>
            <w:szCs w:val="24"/>
          </w:rPr>
          <w:t xml:space="preserve">Cookson, R, Griffin, S, </w:t>
        </w:r>
        <w:proofErr w:type="spellStart"/>
        <w:r w:rsidR="00633980">
          <w:rPr>
            <w:rFonts w:ascii="Garamond" w:eastAsia="Garamond" w:hAnsi="Garamond" w:cs="Garamond"/>
            <w:color w:val="000000"/>
            <w:sz w:val="24"/>
            <w:szCs w:val="24"/>
          </w:rPr>
          <w:t>Norheim</w:t>
        </w:r>
        <w:proofErr w:type="spellEnd"/>
        <w:r w:rsidR="00633980">
          <w:rPr>
            <w:rFonts w:ascii="Garamond" w:eastAsia="Garamond" w:hAnsi="Garamond" w:cs="Garamond"/>
            <w:color w:val="000000"/>
            <w:sz w:val="24"/>
            <w:szCs w:val="24"/>
          </w:rPr>
          <w:t xml:space="preserve">, OF. and </w:t>
        </w:r>
        <w:proofErr w:type="spellStart"/>
        <w:r w:rsidR="00633980">
          <w:rPr>
            <w:rFonts w:ascii="Garamond" w:eastAsia="Garamond" w:hAnsi="Garamond" w:cs="Garamond"/>
            <w:color w:val="000000"/>
            <w:sz w:val="24"/>
            <w:szCs w:val="24"/>
          </w:rPr>
          <w:t>Culyer</w:t>
        </w:r>
        <w:proofErr w:type="spellEnd"/>
        <w:r w:rsidR="00633980">
          <w:rPr>
            <w:rFonts w:ascii="Garamond" w:eastAsia="Garamond" w:hAnsi="Garamond" w:cs="Garamond"/>
            <w:color w:val="000000"/>
            <w:sz w:val="24"/>
            <w:szCs w:val="24"/>
          </w:rPr>
          <w:t xml:space="preserve">, AJ (Ed.). (2020), </w:t>
        </w:r>
      </w:hyperlink>
      <w:hyperlink r:id="rId85">
        <w:r w:rsidR="00633980">
          <w:rPr>
            <w:rFonts w:ascii="Garamond" w:eastAsia="Garamond" w:hAnsi="Garamond" w:cs="Garamond"/>
            <w:i/>
            <w:color w:val="000000"/>
            <w:sz w:val="24"/>
            <w:szCs w:val="24"/>
          </w:rPr>
          <w:t xml:space="preserve">Distributional Cost-Effectiveness </w:t>
        </w:r>
        <w:proofErr w:type="spellStart"/>
        <w:r w:rsidR="00633980">
          <w:rPr>
            <w:rFonts w:ascii="Garamond" w:eastAsia="Garamond" w:hAnsi="Garamond" w:cs="Garamond"/>
            <w:i/>
            <w:color w:val="000000"/>
            <w:sz w:val="24"/>
            <w:szCs w:val="24"/>
          </w:rPr>
          <w:t>Analysis:quantifying</w:t>
        </w:r>
        <w:proofErr w:type="spellEnd"/>
        <w:r w:rsidR="00633980">
          <w:rPr>
            <w:rFonts w:ascii="Garamond" w:eastAsia="Garamond" w:hAnsi="Garamond" w:cs="Garamond"/>
            <w:i/>
            <w:color w:val="000000"/>
            <w:sz w:val="24"/>
            <w:szCs w:val="24"/>
          </w:rPr>
          <w:t xml:space="preserve"> Health Equity Impacts and Trade-Offs</w:t>
        </w:r>
      </w:hyperlink>
      <w:hyperlink r:id="rId86">
        <w:r w:rsidR="00633980">
          <w:rPr>
            <w:rFonts w:ascii="Garamond" w:eastAsia="Garamond" w:hAnsi="Garamond" w:cs="Garamond"/>
            <w:color w:val="000000"/>
            <w:sz w:val="24"/>
            <w:szCs w:val="24"/>
          </w:rPr>
          <w:t>, Oxford University Press.</w:t>
        </w:r>
      </w:hyperlink>
    </w:p>
    <w:p w14:paraId="118EEB36" w14:textId="77777777" w:rsidR="00BE1B83" w:rsidRDefault="0056052B">
      <w:pPr>
        <w:widowControl w:val="0"/>
        <w:pBdr>
          <w:top w:val="nil"/>
          <w:left w:val="nil"/>
          <w:bottom w:val="nil"/>
          <w:right w:val="nil"/>
          <w:between w:val="nil"/>
        </w:pBdr>
        <w:spacing w:after="0" w:line="480" w:lineRule="auto"/>
        <w:ind w:left="480" w:hanging="480"/>
        <w:rPr>
          <w:rFonts w:ascii="Garamond" w:eastAsia="Garamond" w:hAnsi="Garamond" w:cs="Garamond"/>
          <w:color w:val="000000"/>
          <w:sz w:val="24"/>
          <w:szCs w:val="24"/>
        </w:rPr>
      </w:pPr>
      <w:hyperlink r:id="rId87">
        <w:r w:rsidR="00633980">
          <w:rPr>
            <w:rFonts w:ascii="Garamond" w:eastAsia="Garamond" w:hAnsi="Garamond" w:cs="Garamond"/>
            <w:color w:val="000000"/>
            <w:sz w:val="24"/>
            <w:szCs w:val="24"/>
          </w:rPr>
          <w:t xml:space="preserve">Drummond, M.F., Sculpher, M.J., Claxton, K., Stoddart, G.L. and Torrance, G.W. (2015), </w:t>
        </w:r>
      </w:hyperlink>
      <w:hyperlink r:id="rId88">
        <w:r w:rsidR="00633980">
          <w:rPr>
            <w:rFonts w:ascii="Garamond" w:eastAsia="Garamond" w:hAnsi="Garamond" w:cs="Garamond"/>
            <w:i/>
            <w:color w:val="000000"/>
            <w:sz w:val="24"/>
            <w:szCs w:val="24"/>
          </w:rPr>
          <w:t>Methods for the Economic Evaluation of Health Care Programmes</w:t>
        </w:r>
      </w:hyperlink>
      <w:hyperlink r:id="rId89">
        <w:r w:rsidR="00633980">
          <w:rPr>
            <w:rFonts w:ascii="Garamond" w:eastAsia="Garamond" w:hAnsi="Garamond" w:cs="Garamond"/>
            <w:color w:val="000000"/>
            <w:sz w:val="24"/>
            <w:szCs w:val="24"/>
          </w:rPr>
          <w:t xml:space="preserve">, Oxford University Press, available at: </w:t>
        </w:r>
      </w:hyperlink>
      <w:hyperlink r:id="rId90">
        <w:r w:rsidR="00633980">
          <w:rPr>
            <w:rFonts w:ascii="Garamond" w:eastAsia="Garamond" w:hAnsi="Garamond" w:cs="Garamond"/>
            <w:color w:val="000000"/>
            <w:sz w:val="24"/>
            <w:szCs w:val="24"/>
          </w:rPr>
          <w:t>https://play.google.com/store/books/details?id=yzZSCwAAQBAJ</w:t>
        </w:r>
      </w:hyperlink>
      <w:hyperlink r:id="rId91">
        <w:r w:rsidR="00633980">
          <w:rPr>
            <w:rFonts w:ascii="Garamond" w:eastAsia="Garamond" w:hAnsi="Garamond" w:cs="Garamond"/>
            <w:color w:val="000000"/>
            <w:sz w:val="24"/>
            <w:szCs w:val="24"/>
          </w:rPr>
          <w:t>.</w:t>
        </w:r>
      </w:hyperlink>
    </w:p>
    <w:p w14:paraId="32E22466" w14:textId="77777777" w:rsidR="00BE1B83" w:rsidRDefault="0056052B">
      <w:pPr>
        <w:widowControl w:val="0"/>
        <w:pBdr>
          <w:top w:val="nil"/>
          <w:left w:val="nil"/>
          <w:bottom w:val="nil"/>
          <w:right w:val="nil"/>
          <w:between w:val="nil"/>
        </w:pBdr>
        <w:spacing w:after="0" w:line="480" w:lineRule="auto"/>
        <w:ind w:left="480" w:hanging="480"/>
        <w:rPr>
          <w:rFonts w:ascii="Garamond" w:eastAsia="Garamond" w:hAnsi="Garamond" w:cs="Garamond"/>
          <w:color w:val="000000"/>
          <w:sz w:val="24"/>
          <w:szCs w:val="24"/>
        </w:rPr>
      </w:pPr>
      <w:hyperlink r:id="rId92">
        <w:r w:rsidR="00633980">
          <w:rPr>
            <w:rFonts w:ascii="Garamond" w:eastAsia="Garamond" w:hAnsi="Garamond" w:cs="Garamond"/>
            <w:color w:val="000000"/>
            <w:sz w:val="24"/>
            <w:szCs w:val="24"/>
          </w:rPr>
          <w:t xml:space="preserve">Friedman, E.A., </w:t>
        </w:r>
        <w:proofErr w:type="spellStart"/>
        <w:r w:rsidR="00633980">
          <w:rPr>
            <w:rFonts w:ascii="Garamond" w:eastAsia="Garamond" w:hAnsi="Garamond" w:cs="Garamond"/>
            <w:color w:val="000000"/>
            <w:sz w:val="24"/>
            <w:szCs w:val="24"/>
          </w:rPr>
          <w:t>Gostin</w:t>
        </w:r>
        <w:proofErr w:type="spellEnd"/>
        <w:r w:rsidR="00633980">
          <w:rPr>
            <w:rFonts w:ascii="Garamond" w:eastAsia="Garamond" w:hAnsi="Garamond" w:cs="Garamond"/>
            <w:color w:val="000000"/>
            <w:sz w:val="24"/>
            <w:szCs w:val="24"/>
          </w:rPr>
          <w:t xml:space="preserve">, L.O., Kavanagh, M.M., </w:t>
        </w:r>
        <w:proofErr w:type="spellStart"/>
        <w:r w:rsidR="00633980">
          <w:rPr>
            <w:rFonts w:ascii="Garamond" w:eastAsia="Garamond" w:hAnsi="Garamond" w:cs="Garamond"/>
            <w:color w:val="000000"/>
            <w:sz w:val="24"/>
            <w:szCs w:val="24"/>
          </w:rPr>
          <w:t>Periago</w:t>
        </w:r>
        <w:proofErr w:type="spellEnd"/>
        <w:r w:rsidR="00633980">
          <w:rPr>
            <w:rFonts w:ascii="Garamond" w:eastAsia="Garamond" w:hAnsi="Garamond" w:cs="Garamond"/>
            <w:color w:val="000000"/>
            <w:sz w:val="24"/>
            <w:szCs w:val="24"/>
          </w:rPr>
          <w:t xml:space="preserve">, M.R., Marmot, M., Coates, A., </w:t>
        </w:r>
        <w:proofErr w:type="spellStart"/>
        <w:r w:rsidR="00633980">
          <w:rPr>
            <w:rFonts w:ascii="Garamond" w:eastAsia="Garamond" w:hAnsi="Garamond" w:cs="Garamond"/>
            <w:color w:val="000000"/>
            <w:sz w:val="24"/>
            <w:szCs w:val="24"/>
          </w:rPr>
          <w:t>Binagwaho</w:t>
        </w:r>
        <w:proofErr w:type="spellEnd"/>
        <w:r w:rsidR="00633980">
          <w:rPr>
            <w:rFonts w:ascii="Garamond" w:eastAsia="Garamond" w:hAnsi="Garamond" w:cs="Garamond"/>
            <w:color w:val="000000"/>
            <w:sz w:val="24"/>
            <w:szCs w:val="24"/>
          </w:rPr>
          <w:t xml:space="preserve">, A., et al. (2019), “Putting health equity at heart of universal coverage—the need for national programmes of action”, </w:t>
        </w:r>
      </w:hyperlink>
      <w:hyperlink r:id="rId93">
        <w:r w:rsidR="00633980">
          <w:rPr>
            <w:rFonts w:ascii="Garamond" w:eastAsia="Garamond" w:hAnsi="Garamond" w:cs="Garamond"/>
            <w:i/>
            <w:color w:val="000000"/>
            <w:sz w:val="24"/>
            <w:szCs w:val="24"/>
          </w:rPr>
          <w:t>British Medical Journal</w:t>
        </w:r>
      </w:hyperlink>
      <w:hyperlink r:id="rId94">
        <w:r w:rsidR="00633980">
          <w:rPr>
            <w:rFonts w:ascii="Garamond" w:eastAsia="Garamond" w:hAnsi="Garamond" w:cs="Garamond"/>
            <w:color w:val="000000"/>
            <w:sz w:val="24"/>
            <w:szCs w:val="24"/>
          </w:rPr>
          <w:t xml:space="preserve">, Vol. 367, available </w:t>
        </w:r>
        <w:proofErr w:type="spellStart"/>
        <w:r w:rsidR="00633980">
          <w:rPr>
            <w:rFonts w:ascii="Garamond" w:eastAsia="Garamond" w:hAnsi="Garamond" w:cs="Garamond"/>
            <w:color w:val="000000"/>
            <w:sz w:val="24"/>
            <w:szCs w:val="24"/>
          </w:rPr>
          <w:t>at:https</w:t>
        </w:r>
        <w:proofErr w:type="spellEnd"/>
        <w:r w:rsidR="00633980">
          <w:rPr>
            <w:rFonts w:ascii="Garamond" w:eastAsia="Garamond" w:hAnsi="Garamond" w:cs="Garamond"/>
            <w:color w:val="000000"/>
            <w:sz w:val="24"/>
            <w:szCs w:val="24"/>
          </w:rPr>
          <w:t>://doi.org/</w:t>
        </w:r>
      </w:hyperlink>
      <w:hyperlink r:id="rId95">
        <w:r w:rsidR="00633980">
          <w:rPr>
            <w:rFonts w:ascii="Garamond" w:eastAsia="Garamond" w:hAnsi="Garamond" w:cs="Garamond"/>
            <w:color w:val="000000"/>
            <w:sz w:val="24"/>
            <w:szCs w:val="24"/>
          </w:rPr>
          <w:t>10.1136/bmj.l5901</w:t>
        </w:r>
      </w:hyperlink>
      <w:hyperlink r:id="rId96">
        <w:r w:rsidR="00633980">
          <w:rPr>
            <w:rFonts w:ascii="Garamond" w:eastAsia="Garamond" w:hAnsi="Garamond" w:cs="Garamond"/>
            <w:color w:val="000000"/>
            <w:sz w:val="24"/>
            <w:szCs w:val="24"/>
          </w:rPr>
          <w:t>.</w:t>
        </w:r>
      </w:hyperlink>
    </w:p>
    <w:p w14:paraId="289B3639" w14:textId="77777777" w:rsidR="00BE1B83" w:rsidRDefault="0056052B">
      <w:pPr>
        <w:widowControl w:val="0"/>
        <w:pBdr>
          <w:top w:val="nil"/>
          <w:left w:val="nil"/>
          <w:bottom w:val="nil"/>
          <w:right w:val="nil"/>
          <w:between w:val="nil"/>
        </w:pBdr>
        <w:spacing w:after="0" w:line="480" w:lineRule="auto"/>
        <w:ind w:left="480" w:hanging="480"/>
        <w:rPr>
          <w:rFonts w:ascii="Garamond" w:eastAsia="Garamond" w:hAnsi="Garamond" w:cs="Garamond"/>
          <w:color w:val="000000"/>
          <w:sz w:val="24"/>
          <w:szCs w:val="24"/>
        </w:rPr>
      </w:pPr>
      <w:hyperlink r:id="rId97">
        <w:r w:rsidR="00633980">
          <w:rPr>
            <w:rFonts w:ascii="Garamond" w:eastAsia="Garamond" w:hAnsi="Garamond" w:cs="Garamond"/>
            <w:color w:val="000000"/>
            <w:sz w:val="24"/>
            <w:szCs w:val="24"/>
          </w:rPr>
          <w:t xml:space="preserve">Galea, S. and Abdalla, S.M. (2020), “COVID-19 Pandemic, Unemployment, and Civil Unrest: Underlying Deep Racial and Socioeconomic Divides”, </w:t>
        </w:r>
      </w:hyperlink>
      <w:hyperlink r:id="rId98">
        <w:r w:rsidR="00633980">
          <w:rPr>
            <w:rFonts w:ascii="Garamond" w:eastAsia="Garamond" w:hAnsi="Garamond" w:cs="Garamond"/>
            <w:i/>
            <w:color w:val="000000"/>
            <w:sz w:val="24"/>
            <w:szCs w:val="24"/>
          </w:rPr>
          <w:t>JAMA: The Journal of the American Medical Association</w:t>
        </w:r>
      </w:hyperlink>
      <w:hyperlink r:id="rId99">
        <w:r w:rsidR="00633980">
          <w:rPr>
            <w:rFonts w:ascii="Garamond" w:eastAsia="Garamond" w:hAnsi="Garamond" w:cs="Garamond"/>
            <w:color w:val="000000"/>
            <w:sz w:val="24"/>
            <w:szCs w:val="24"/>
          </w:rPr>
          <w:t xml:space="preserve">, available </w:t>
        </w:r>
        <w:proofErr w:type="spellStart"/>
        <w:r w:rsidR="00633980">
          <w:rPr>
            <w:rFonts w:ascii="Garamond" w:eastAsia="Garamond" w:hAnsi="Garamond" w:cs="Garamond"/>
            <w:color w:val="000000"/>
            <w:sz w:val="24"/>
            <w:szCs w:val="24"/>
          </w:rPr>
          <w:t>at:https</w:t>
        </w:r>
        <w:proofErr w:type="spellEnd"/>
        <w:r w:rsidR="00633980">
          <w:rPr>
            <w:rFonts w:ascii="Garamond" w:eastAsia="Garamond" w:hAnsi="Garamond" w:cs="Garamond"/>
            <w:color w:val="000000"/>
            <w:sz w:val="24"/>
            <w:szCs w:val="24"/>
          </w:rPr>
          <w:t>://doi.org/</w:t>
        </w:r>
      </w:hyperlink>
      <w:hyperlink r:id="rId100">
        <w:r w:rsidR="00633980">
          <w:rPr>
            <w:rFonts w:ascii="Garamond" w:eastAsia="Garamond" w:hAnsi="Garamond" w:cs="Garamond"/>
            <w:color w:val="000000"/>
            <w:sz w:val="24"/>
            <w:szCs w:val="24"/>
          </w:rPr>
          <w:t>10.1001/jama.2020.11132</w:t>
        </w:r>
      </w:hyperlink>
      <w:hyperlink r:id="rId101">
        <w:r w:rsidR="00633980">
          <w:rPr>
            <w:rFonts w:ascii="Garamond" w:eastAsia="Garamond" w:hAnsi="Garamond" w:cs="Garamond"/>
            <w:color w:val="000000"/>
            <w:sz w:val="24"/>
            <w:szCs w:val="24"/>
          </w:rPr>
          <w:t>.</w:t>
        </w:r>
      </w:hyperlink>
    </w:p>
    <w:p w14:paraId="657BE206" w14:textId="77777777" w:rsidR="00BE1B83" w:rsidRDefault="0056052B">
      <w:pPr>
        <w:widowControl w:val="0"/>
        <w:pBdr>
          <w:top w:val="nil"/>
          <w:left w:val="nil"/>
          <w:bottom w:val="nil"/>
          <w:right w:val="nil"/>
          <w:between w:val="nil"/>
        </w:pBdr>
        <w:spacing w:after="0" w:line="480" w:lineRule="auto"/>
        <w:ind w:left="480" w:hanging="480"/>
        <w:rPr>
          <w:rFonts w:ascii="Garamond" w:eastAsia="Garamond" w:hAnsi="Garamond" w:cs="Garamond"/>
          <w:color w:val="000000"/>
          <w:sz w:val="24"/>
          <w:szCs w:val="24"/>
        </w:rPr>
      </w:pPr>
      <w:hyperlink r:id="rId102">
        <w:r w:rsidR="00633980">
          <w:rPr>
            <w:rFonts w:ascii="Garamond" w:eastAsia="Garamond" w:hAnsi="Garamond" w:cs="Garamond"/>
            <w:color w:val="000000"/>
            <w:sz w:val="24"/>
            <w:szCs w:val="24"/>
          </w:rPr>
          <w:t xml:space="preserve">Griffin, S., Love-Koh, J., Pennington, B. and Owen, L. (2019), “Evaluation of Intervention Impact on Health Inequality for Resource Allocation”, </w:t>
        </w:r>
      </w:hyperlink>
      <w:hyperlink r:id="rId103">
        <w:r w:rsidR="00633980">
          <w:rPr>
            <w:rFonts w:ascii="Garamond" w:eastAsia="Garamond" w:hAnsi="Garamond" w:cs="Garamond"/>
            <w:i/>
            <w:color w:val="000000"/>
            <w:sz w:val="24"/>
            <w:szCs w:val="24"/>
          </w:rPr>
          <w:t>Medical Decision Making: An International Journal of the Society for Medical Decision Making</w:t>
        </w:r>
      </w:hyperlink>
      <w:hyperlink r:id="rId104">
        <w:r w:rsidR="00633980">
          <w:rPr>
            <w:rFonts w:ascii="Garamond" w:eastAsia="Garamond" w:hAnsi="Garamond" w:cs="Garamond"/>
            <w:color w:val="000000"/>
            <w:sz w:val="24"/>
            <w:szCs w:val="24"/>
          </w:rPr>
          <w:t>, Vol. 39 No. 3, pp. 171–182.</w:t>
        </w:r>
      </w:hyperlink>
    </w:p>
    <w:p w14:paraId="5C9AFEA8" w14:textId="77777777" w:rsidR="00BE1B83" w:rsidRDefault="0056052B">
      <w:pPr>
        <w:widowControl w:val="0"/>
        <w:pBdr>
          <w:top w:val="nil"/>
          <w:left w:val="nil"/>
          <w:bottom w:val="nil"/>
          <w:right w:val="nil"/>
          <w:between w:val="nil"/>
        </w:pBdr>
        <w:spacing w:after="0" w:line="480" w:lineRule="auto"/>
        <w:ind w:left="480" w:hanging="480"/>
        <w:rPr>
          <w:rFonts w:ascii="Garamond" w:eastAsia="Garamond" w:hAnsi="Garamond" w:cs="Garamond"/>
          <w:color w:val="000000"/>
          <w:sz w:val="24"/>
          <w:szCs w:val="24"/>
        </w:rPr>
      </w:pPr>
      <w:hyperlink r:id="rId105">
        <w:r w:rsidR="00633980">
          <w:rPr>
            <w:rFonts w:ascii="Garamond" w:eastAsia="Garamond" w:hAnsi="Garamond" w:cs="Garamond"/>
            <w:color w:val="000000"/>
            <w:sz w:val="24"/>
            <w:szCs w:val="24"/>
          </w:rPr>
          <w:t xml:space="preserve">Inglis, G., Archibald, D., Doi, L., Laird, Y., Malden, S., Marryat, L., McAteer, J., et al. (2018), “Credibility of subgroup analyses by socioeconomic status in public health intervention evaluations: An underappreciated problem?”, </w:t>
        </w:r>
      </w:hyperlink>
      <w:hyperlink r:id="rId106">
        <w:r w:rsidR="00633980">
          <w:rPr>
            <w:rFonts w:ascii="Garamond" w:eastAsia="Garamond" w:hAnsi="Garamond" w:cs="Garamond"/>
            <w:i/>
            <w:color w:val="000000"/>
            <w:sz w:val="24"/>
            <w:szCs w:val="24"/>
          </w:rPr>
          <w:t>SSM - Population Health</w:t>
        </w:r>
      </w:hyperlink>
      <w:hyperlink r:id="rId107">
        <w:r w:rsidR="00633980">
          <w:rPr>
            <w:rFonts w:ascii="Garamond" w:eastAsia="Garamond" w:hAnsi="Garamond" w:cs="Garamond"/>
            <w:color w:val="000000"/>
            <w:sz w:val="24"/>
            <w:szCs w:val="24"/>
          </w:rPr>
          <w:t>, Vol. 6, pp. 245–251.</w:t>
        </w:r>
      </w:hyperlink>
    </w:p>
    <w:p w14:paraId="41286440" w14:textId="77777777" w:rsidR="00BE1B83" w:rsidRDefault="0056052B">
      <w:pPr>
        <w:widowControl w:val="0"/>
        <w:pBdr>
          <w:top w:val="nil"/>
          <w:left w:val="nil"/>
          <w:bottom w:val="nil"/>
          <w:right w:val="nil"/>
          <w:between w:val="nil"/>
        </w:pBdr>
        <w:spacing w:after="0" w:line="480" w:lineRule="auto"/>
        <w:ind w:left="480" w:hanging="480"/>
        <w:rPr>
          <w:rFonts w:ascii="Garamond" w:eastAsia="Garamond" w:hAnsi="Garamond" w:cs="Garamond"/>
          <w:color w:val="000000"/>
          <w:sz w:val="24"/>
          <w:szCs w:val="24"/>
        </w:rPr>
      </w:pPr>
      <w:hyperlink r:id="rId108">
        <w:r w:rsidR="00633980">
          <w:rPr>
            <w:rFonts w:ascii="Garamond" w:eastAsia="Garamond" w:hAnsi="Garamond" w:cs="Garamond"/>
            <w:color w:val="000000"/>
            <w:sz w:val="24"/>
            <w:szCs w:val="24"/>
          </w:rPr>
          <w:t xml:space="preserve">Institute of Medicine and Committee on Quality of Health Care in America. (2001), </w:t>
        </w:r>
      </w:hyperlink>
      <w:hyperlink r:id="rId109">
        <w:r w:rsidR="00633980">
          <w:rPr>
            <w:rFonts w:ascii="Garamond" w:eastAsia="Garamond" w:hAnsi="Garamond" w:cs="Garamond"/>
            <w:i/>
            <w:color w:val="000000"/>
            <w:sz w:val="24"/>
            <w:szCs w:val="24"/>
          </w:rPr>
          <w:t>Crossing the Quality Chasm: A New Health System for the 21st Century</w:t>
        </w:r>
      </w:hyperlink>
      <w:hyperlink r:id="rId110">
        <w:r w:rsidR="00633980">
          <w:rPr>
            <w:rFonts w:ascii="Garamond" w:eastAsia="Garamond" w:hAnsi="Garamond" w:cs="Garamond"/>
            <w:color w:val="000000"/>
            <w:sz w:val="24"/>
            <w:szCs w:val="24"/>
          </w:rPr>
          <w:t xml:space="preserve">, National Academies Press, available at: </w:t>
        </w:r>
      </w:hyperlink>
      <w:hyperlink r:id="rId111">
        <w:r w:rsidR="00633980">
          <w:rPr>
            <w:rFonts w:ascii="Garamond" w:eastAsia="Garamond" w:hAnsi="Garamond" w:cs="Garamond"/>
            <w:color w:val="000000"/>
            <w:sz w:val="24"/>
            <w:szCs w:val="24"/>
          </w:rPr>
          <w:t>https://play.google.com/store/books/details?id=OJ1FcYY3htAC</w:t>
        </w:r>
      </w:hyperlink>
      <w:hyperlink r:id="rId112">
        <w:r w:rsidR="00633980">
          <w:rPr>
            <w:rFonts w:ascii="Garamond" w:eastAsia="Garamond" w:hAnsi="Garamond" w:cs="Garamond"/>
            <w:color w:val="000000"/>
            <w:sz w:val="24"/>
            <w:szCs w:val="24"/>
          </w:rPr>
          <w:t>.</w:t>
        </w:r>
      </w:hyperlink>
    </w:p>
    <w:p w14:paraId="459AB055" w14:textId="77777777" w:rsidR="00BE1B83" w:rsidRDefault="0056052B">
      <w:pPr>
        <w:widowControl w:val="0"/>
        <w:pBdr>
          <w:top w:val="nil"/>
          <w:left w:val="nil"/>
          <w:bottom w:val="nil"/>
          <w:right w:val="nil"/>
          <w:between w:val="nil"/>
        </w:pBdr>
        <w:spacing w:after="0" w:line="480" w:lineRule="auto"/>
        <w:ind w:left="480" w:hanging="480"/>
        <w:rPr>
          <w:rFonts w:ascii="Garamond" w:eastAsia="Garamond" w:hAnsi="Garamond" w:cs="Garamond"/>
          <w:color w:val="000000"/>
          <w:sz w:val="24"/>
          <w:szCs w:val="24"/>
        </w:rPr>
      </w:pPr>
      <w:hyperlink r:id="rId113">
        <w:r w:rsidR="00633980">
          <w:rPr>
            <w:rFonts w:ascii="Garamond" w:eastAsia="Garamond" w:hAnsi="Garamond" w:cs="Garamond"/>
            <w:color w:val="000000"/>
            <w:sz w:val="24"/>
            <w:szCs w:val="24"/>
          </w:rPr>
          <w:t xml:space="preserve">Jamison, D.T., Summers, L.H., Alleyne, G., Arrow, K.J., Berkley, S., </w:t>
        </w:r>
        <w:proofErr w:type="spellStart"/>
        <w:r w:rsidR="00633980">
          <w:rPr>
            <w:rFonts w:ascii="Garamond" w:eastAsia="Garamond" w:hAnsi="Garamond" w:cs="Garamond"/>
            <w:color w:val="000000"/>
            <w:sz w:val="24"/>
            <w:szCs w:val="24"/>
          </w:rPr>
          <w:t>Binagwaho</w:t>
        </w:r>
        <w:proofErr w:type="spellEnd"/>
        <w:r w:rsidR="00633980">
          <w:rPr>
            <w:rFonts w:ascii="Garamond" w:eastAsia="Garamond" w:hAnsi="Garamond" w:cs="Garamond"/>
            <w:color w:val="000000"/>
            <w:sz w:val="24"/>
            <w:szCs w:val="24"/>
          </w:rPr>
          <w:t xml:space="preserve">, A., </w:t>
        </w:r>
        <w:proofErr w:type="spellStart"/>
        <w:r w:rsidR="00633980">
          <w:rPr>
            <w:rFonts w:ascii="Garamond" w:eastAsia="Garamond" w:hAnsi="Garamond" w:cs="Garamond"/>
            <w:color w:val="000000"/>
            <w:sz w:val="24"/>
            <w:szCs w:val="24"/>
          </w:rPr>
          <w:t>Bustreo</w:t>
        </w:r>
        <w:proofErr w:type="spellEnd"/>
        <w:r w:rsidR="00633980">
          <w:rPr>
            <w:rFonts w:ascii="Garamond" w:eastAsia="Garamond" w:hAnsi="Garamond" w:cs="Garamond"/>
            <w:color w:val="000000"/>
            <w:sz w:val="24"/>
            <w:szCs w:val="24"/>
          </w:rPr>
          <w:t xml:space="preserve">, F., et al. (2013), “Global health 2035: a world converging within a generation”, </w:t>
        </w:r>
      </w:hyperlink>
      <w:hyperlink r:id="rId114">
        <w:r w:rsidR="00633980">
          <w:rPr>
            <w:rFonts w:ascii="Garamond" w:eastAsia="Garamond" w:hAnsi="Garamond" w:cs="Garamond"/>
            <w:i/>
            <w:color w:val="000000"/>
            <w:sz w:val="24"/>
            <w:szCs w:val="24"/>
          </w:rPr>
          <w:t>The Lancet</w:t>
        </w:r>
      </w:hyperlink>
      <w:hyperlink r:id="rId115">
        <w:r w:rsidR="00633980">
          <w:rPr>
            <w:rFonts w:ascii="Garamond" w:eastAsia="Garamond" w:hAnsi="Garamond" w:cs="Garamond"/>
            <w:color w:val="000000"/>
            <w:sz w:val="24"/>
            <w:szCs w:val="24"/>
          </w:rPr>
          <w:t>, Vol. 382 No. 9908, pp. 1898–1955.</w:t>
        </w:r>
      </w:hyperlink>
    </w:p>
    <w:p w14:paraId="5A6B98D9" w14:textId="77777777" w:rsidR="00BE1B83" w:rsidRDefault="0056052B">
      <w:pPr>
        <w:widowControl w:val="0"/>
        <w:pBdr>
          <w:top w:val="nil"/>
          <w:left w:val="nil"/>
          <w:bottom w:val="nil"/>
          <w:right w:val="nil"/>
          <w:between w:val="nil"/>
        </w:pBdr>
        <w:spacing w:after="0" w:line="480" w:lineRule="auto"/>
        <w:ind w:left="480" w:hanging="480"/>
        <w:rPr>
          <w:rFonts w:ascii="Garamond" w:eastAsia="Garamond" w:hAnsi="Garamond" w:cs="Garamond"/>
          <w:color w:val="000000"/>
          <w:sz w:val="24"/>
          <w:szCs w:val="24"/>
        </w:rPr>
      </w:pPr>
      <w:hyperlink r:id="rId116">
        <w:proofErr w:type="spellStart"/>
        <w:r w:rsidR="00633980">
          <w:rPr>
            <w:rFonts w:ascii="Garamond" w:eastAsia="Garamond" w:hAnsi="Garamond" w:cs="Garamond"/>
            <w:color w:val="000000"/>
            <w:sz w:val="24"/>
            <w:szCs w:val="24"/>
          </w:rPr>
          <w:t>Kjellsson</w:t>
        </w:r>
        <w:proofErr w:type="spellEnd"/>
        <w:r w:rsidR="00633980">
          <w:rPr>
            <w:rFonts w:ascii="Garamond" w:eastAsia="Garamond" w:hAnsi="Garamond" w:cs="Garamond"/>
            <w:color w:val="000000"/>
            <w:sz w:val="24"/>
            <w:szCs w:val="24"/>
          </w:rPr>
          <w:t xml:space="preserve">, G., </w:t>
        </w:r>
        <w:proofErr w:type="spellStart"/>
        <w:r w:rsidR="00633980">
          <w:rPr>
            <w:rFonts w:ascii="Garamond" w:eastAsia="Garamond" w:hAnsi="Garamond" w:cs="Garamond"/>
            <w:color w:val="000000"/>
            <w:sz w:val="24"/>
            <w:szCs w:val="24"/>
          </w:rPr>
          <w:t>Gerdtham</w:t>
        </w:r>
        <w:proofErr w:type="spellEnd"/>
        <w:r w:rsidR="00633980">
          <w:rPr>
            <w:rFonts w:ascii="Garamond" w:eastAsia="Garamond" w:hAnsi="Garamond" w:cs="Garamond"/>
            <w:color w:val="000000"/>
            <w:sz w:val="24"/>
            <w:szCs w:val="24"/>
          </w:rPr>
          <w:t xml:space="preserve">, U.-G. and Petrie, D. (2015), “Lies, Damned Lies, and Health Inequality Measurements: Understanding the Value Judgments”, </w:t>
        </w:r>
      </w:hyperlink>
      <w:hyperlink r:id="rId117">
        <w:r w:rsidR="00633980">
          <w:rPr>
            <w:rFonts w:ascii="Garamond" w:eastAsia="Garamond" w:hAnsi="Garamond" w:cs="Garamond"/>
            <w:i/>
            <w:color w:val="000000"/>
            <w:sz w:val="24"/>
            <w:szCs w:val="24"/>
          </w:rPr>
          <w:t xml:space="preserve">Epidemiology </w:t>
        </w:r>
      </w:hyperlink>
      <w:hyperlink r:id="rId118">
        <w:r w:rsidR="00633980">
          <w:rPr>
            <w:rFonts w:ascii="Garamond" w:eastAsia="Garamond" w:hAnsi="Garamond" w:cs="Garamond"/>
            <w:color w:val="000000"/>
            <w:sz w:val="24"/>
            <w:szCs w:val="24"/>
          </w:rPr>
          <w:t>, Vol. 26 No. 5, pp. 673–680.</w:t>
        </w:r>
      </w:hyperlink>
    </w:p>
    <w:p w14:paraId="6CD3B337" w14:textId="77777777" w:rsidR="00BE1B83" w:rsidRDefault="0056052B">
      <w:pPr>
        <w:widowControl w:val="0"/>
        <w:pBdr>
          <w:top w:val="nil"/>
          <w:left w:val="nil"/>
          <w:bottom w:val="nil"/>
          <w:right w:val="nil"/>
          <w:between w:val="nil"/>
        </w:pBdr>
        <w:spacing w:after="0" w:line="480" w:lineRule="auto"/>
        <w:ind w:left="480" w:hanging="480"/>
        <w:rPr>
          <w:rFonts w:ascii="Garamond" w:eastAsia="Garamond" w:hAnsi="Garamond" w:cs="Garamond"/>
          <w:color w:val="000000"/>
          <w:sz w:val="24"/>
          <w:szCs w:val="24"/>
        </w:rPr>
      </w:pPr>
      <w:hyperlink r:id="rId119">
        <w:proofErr w:type="spellStart"/>
        <w:r w:rsidR="00633980">
          <w:rPr>
            <w:rFonts w:ascii="Garamond" w:eastAsia="Garamond" w:hAnsi="Garamond" w:cs="Garamond"/>
            <w:color w:val="000000"/>
            <w:sz w:val="24"/>
            <w:szCs w:val="24"/>
          </w:rPr>
          <w:t>Kypridemos</w:t>
        </w:r>
        <w:proofErr w:type="spellEnd"/>
        <w:r w:rsidR="00633980">
          <w:rPr>
            <w:rFonts w:ascii="Garamond" w:eastAsia="Garamond" w:hAnsi="Garamond" w:cs="Garamond"/>
            <w:color w:val="000000"/>
            <w:sz w:val="24"/>
            <w:szCs w:val="24"/>
          </w:rPr>
          <w:t xml:space="preserve">, C., Allen, K., Hickey, G.L., Guzman-Castillo, M., </w:t>
        </w:r>
        <w:proofErr w:type="spellStart"/>
        <w:r w:rsidR="00633980">
          <w:rPr>
            <w:rFonts w:ascii="Garamond" w:eastAsia="Garamond" w:hAnsi="Garamond" w:cs="Garamond"/>
            <w:color w:val="000000"/>
            <w:sz w:val="24"/>
            <w:szCs w:val="24"/>
          </w:rPr>
          <w:t>Bandosz</w:t>
        </w:r>
        <w:proofErr w:type="spellEnd"/>
        <w:r w:rsidR="00633980">
          <w:rPr>
            <w:rFonts w:ascii="Garamond" w:eastAsia="Garamond" w:hAnsi="Garamond" w:cs="Garamond"/>
            <w:color w:val="000000"/>
            <w:sz w:val="24"/>
            <w:szCs w:val="24"/>
          </w:rPr>
          <w:t xml:space="preserve">, P., Buchan, I., Capewell, S., et al. (2016), “Cardiovascular screening to reduce the burden from cardiovascular disease: microsimulation study to quantify policy options”, </w:t>
        </w:r>
      </w:hyperlink>
      <w:hyperlink r:id="rId120">
        <w:r w:rsidR="00633980">
          <w:rPr>
            <w:rFonts w:ascii="Garamond" w:eastAsia="Garamond" w:hAnsi="Garamond" w:cs="Garamond"/>
            <w:i/>
            <w:color w:val="000000"/>
            <w:sz w:val="24"/>
            <w:szCs w:val="24"/>
          </w:rPr>
          <w:t xml:space="preserve">BMJ </w:t>
        </w:r>
      </w:hyperlink>
      <w:hyperlink r:id="rId121">
        <w:r w:rsidR="00633980">
          <w:rPr>
            <w:rFonts w:ascii="Garamond" w:eastAsia="Garamond" w:hAnsi="Garamond" w:cs="Garamond"/>
            <w:color w:val="000000"/>
            <w:sz w:val="24"/>
            <w:szCs w:val="24"/>
          </w:rPr>
          <w:t>, Vol. 353, p. i2793.</w:t>
        </w:r>
      </w:hyperlink>
    </w:p>
    <w:p w14:paraId="108F44E3" w14:textId="77777777" w:rsidR="00BE1B83" w:rsidRDefault="0056052B">
      <w:pPr>
        <w:widowControl w:val="0"/>
        <w:pBdr>
          <w:top w:val="nil"/>
          <w:left w:val="nil"/>
          <w:bottom w:val="nil"/>
          <w:right w:val="nil"/>
          <w:between w:val="nil"/>
        </w:pBdr>
        <w:spacing w:after="0" w:line="480" w:lineRule="auto"/>
        <w:ind w:left="480" w:hanging="480"/>
        <w:rPr>
          <w:rFonts w:ascii="Garamond" w:eastAsia="Garamond" w:hAnsi="Garamond" w:cs="Garamond"/>
          <w:color w:val="000000"/>
          <w:sz w:val="24"/>
          <w:szCs w:val="24"/>
        </w:rPr>
      </w:pPr>
      <w:hyperlink r:id="rId122">
        <w:r w:rsidR="00633980">
          <w:rPr>
            <w:rFonts w:ascii="Garamond" w:eastAsia="Garamond" w:hAnsi="Garamond" w:cs="Garamond"/>
            <w:color w:val="000000"/>
            <w:sz w:val="24"/>
            <w:szCs w:val="24"/>
          </w:rPr>
          <w:t xml:space="preserve">Marmot, M., Friel, S., Bell, R., </w:t>
        </w:r>
        <w:proofErr w:type="spellStart"/>
        <w:r w:rsidR="00633980">
          <w:rPr>
            <w:rFonts w:ascii="Garamond" w:eastAsia="Garamond" w:hAnsi="Garamond" w:cs="Garamond"/>
            <w:color w:val="000000"/>
            <w:sz w:val="24"/>
            <w:szCs w:val="24"/>
          </w:rPr>
          <w:t>Houweling</w:t>
        </w:r>
        <w:proofErr w:type="spellEnd"/>
        <w:r w:rsidR="00633980">
          <w:rPr>
            <w:rFonts w:ascii="Garamond" w:eastAsia="Garamond" w:hAnsi="Garamond" w:cs="Garamond"/>
            <w:color w:val="000000"/>
            <w:sz w:val="24"/>
            <w:szCs w:val="24"/>
          </w:rPr>
          <w:t xml:space="preserve">, T.A.J., Taylor, S. and Commission on Social Determinants of Health. (2008), “Closing the gap in a generation: health equity through action on the social determinants of health”, </w:t>
        </w:r>
      </w:hyperlink>
      <w:hyperlink r:id="rId123">
        <w:r w:rsidR="00633980">
          <w:rPr>
            <w:rFonts w:ascii="Garamond" w:eastAsia="Garamond" w:hAnsi="Garamond" w:cs="Garamond"/>
            <w:i/>
            <w:color w:val="000000"/>
            <w:sz w:val="24"/>
            <w:szCs w:val="24"/>
          </w:rPr>
          <w:t>The Lancet</w:t>
        </w:r>
      </w:hyperlink>
      <w:hyperlink r:id="rId124">
        <w:r w:rsidR="00633980">
          <w:rPr>
            <w:rFonts w:ascii="Garamond" w:eastAsia="Garamond" w:hAnsi="Garamond" w:cs="Garamond"/>
            <w:color w:val="000000"/>
            <w:sz w:val="24"/>
            <w:szCs w:val="24"/>
          </w:rPr>
          <w:t>, Vol. 372 No. 9650, pp. 1661–1669.</w:t>
        </w:r>
      </w:hyperlink>
    </w:p>
    <w:p w14:paraId="5FD933CD" w14:textId="77777777" w:rsidR="00105B1A" w:rsidRPr="0087017B" w:rsidRDefault="00105B1A">
      <w:pPr>
        <w:widowControl w:val="0"/>
        <w:pBdr>
          <w:top w:val="nil"/>
          <w:left w:val="nil"/>
          <w:bottom w:val="nil"/>
          <w:right w:val="nil"/>
          <w:between w:val="nil"/>
        </w:pBdr>
        <w:spacing w:after="0" w:line="480" w:lineRule="auto"/>
        <w:ind w:left="480" w:hanging="480"/>
        <w:rPr>
          <w:rFonts w:ascii="Garamond" w:hAnsi="Garamond"/>
        </w:rPr>
      </w:pPr>
      <w:r w:rsidRPr="0087017B">
        <w:rPr>
          <w:rFonts w:ascii="Garamond" w:hAnsi="Garamond"/>
        </w:rPr>
        <w:t xml:space="preserve">Ota E, Hori H, Mori R, et al. Antenatal dietary education and supplementation to increase energy and protein intake. </w:t>
      </w:r>
      <w:r w:rsidRPr="0087017B">
        <w:rPr>
          <w:rFonts w:ascii="Garamond" w:hAnsi="Garamond"/>
          <w:i/>
          <w:iCs/>
        </w:rPr>
        <w:t>The Cochrane database of systematic reviews</w:t>
      </w:r>
      <w:r w:rsidRPr="0087017B">
        <w:rPr>
          <w:rFonts w:ascii="Garamond" w:hAnsi="Garamond"/>
        </w:rPr>
        <w:t>. 2015: Cd000032.</w:t>
      </w:r>
    </w:p>
    <w:p w14:paraId="63526E56" w14:textId="50D393C8" w:rsidR="00BE1B83" w:rsidRDefault="0056052B">
      <w:pPr>
        <w:widowControl w:val="0"/>
        <w:pBdr>
          <w:top w:val="nil"/>
          <w:left w:val="nil"/>
          <w:bottom w:val="nil"/>
          <w:right w:val="nil"/>
          <w:between w:val="nil"/>
        </w:pBdr>
        <w:spacing w:after="0" w:line="480" w:lineRule="auto"/>
        <w:ind w:left="480" w:hanging="480"/>
        <w:rPr>
          <w:rFonts w:ascii="Garamond" w:eastAsia="Garamond" w:hAnsi="Garamond" w:cs="Garamond"/>
          <w:color w:val="000000"/>
          <w:sz w:val="24"/>
          <w:szCs w:val="24"/>
        </w:rPr>
      </w:pPr>
      <w:hyperlink r:id="rId125">
        <w:r w:rsidR="00633980">
          <w:rPr>
            <w:rFonts w:ascii="Garamond" w:eastAsia="Garamond" w:hAnsi="Garamond" w:cs="Garamond"/>
            <w:color w:val="000000"/>
            <w:sz w:val="24"/>
            <w:szCs w:val="24"/>
          </w:rPr>
          <w:t xml:space="preserve">O’Neill, J., Tabish, H., Welch, V., </w:t>
        </w:r>
        <w:proofErr w:type="spellStart"/>
        <w:r w:rsidR="00633980">
          <w:rPr>
            <w:rFonts w:ascii="Garamond" w:eastAsia="Garamond" w:hAnsi="Garamond" w:cs="Garamond"/>
            <w:color w:val="000000"/>
            <w:sz w:val="24"/>
            <w:szCs w:val="24"/>
          </w:rPr>
          <w:t>Petticrew</w:t>
        </w:r>
        <w:proofErr w:type="spellEnd"/>
        <w:r w:rsidR="00633980">
          <w:rPr>
            <w:rFonts w:ascii="Garamond" w:eastAsia="Garamond" w:hAnsi="Garamond" w:cs="Garamond"/>
            <w:color w:val="000000"/>
            <w:sz w:val="24"/>
            <w:szCs w:val="24"/>
          </w:rPr>
          <w:t xml:space="preserve">, M., </w:t>
        </w:r>
        <w:proofErr w:type="spellStart"/>
        <w:r w:rsidR="00633980">
          <w:rPr>
            <w:rFonts w:ascii="Garamond" w:eastAsia="Garamond" w:hAnsi="Garamond" w:cs="Garamond"/>
            <w:color w:val="000000"/>
            <w:sz w:val="24"/>
            <w:szCs w:val="24"/>
          </w:rPr>
          <w:t>Pottie</w:t>
        </w:r>
        <w:proofErr w:type="spellEnd"/>
        <w:r w:rsidR="00633980">
          <w:rPr>
            <w:rFonts w:ascii="Garamond" w:eastAsia="Garamond" w:hAnsi="Garamond" w:cs="Garamond"/>
            <w:color w:val="000000"/>
            <w:sz w:val="24"/>
            <w:szCs w:val="24"/>
          </w:rPr>
          <w:t xml:space="preserve">, K., Clarke, M., Evans, T., et al. (2014), “Applying an equity lens to interventions: using PROGRESS ensures consideration of socially stratifying factors to illuminate inequities in health”, </w:t>
        </w:r>
      </w:hyperlink>
      <w:hyperlink r:id="rId126">
        <w:r w:rsidR="00633980">
          <w:rPr>
            <w:rFonts w:ascii="Garamond" w:eastAsia="Garamond" w:hAnsi="Garamond" w:cs="Garamond"/>
            <w:i/>
            <w:color w:val="000000"/>
            <w:sz w:val="24"/>
            <w:szCs w:val="24"/>
          </w:rPr>
          <w:t>Journal of Clinical Epidemiology</w:t>
        </w:r>
      </w:hyperlink>
      <w:hyperlink r:id="rId127">
        <w:r w:rsidR="00633980">
          <w:rPr>
            <w:rFonts w:ascii="Garamond" w:eastAsia="Garamond" w:hAnsi="Garamond" w:cs="Garamond"/>
            <w:color w:val="000000"/>
            <w:sz w:val="24"/>
            <w:szCs w:val="24"/>
          </w:rPr>
          <w:t>, Vol. 67 No. 1, pp. 56–64.</w:t>
        </w:r>
      </w:hyperlink>
    </w:p>
    <w:p w14:paraId="6C5FCA15" w14:textId="77777777" w:rsidR="00BE1B83" w:rsidRDefault="0056052B">
      <w:pPr>
        <w:widowControl w:val="0"/>
        <w:pBdr>
          <w:top w:val="nil"/>
          <w:left w:val="nil"/>
          <w:bottom w:val="nil"/>
          <w:right w:val="nil"/>
          <w:between w:val="nil"/>
        </w:pBdr>
        <w:spacing w:after="0" w:line="480" w:lineRule="auto"/>
        <w:ind w:left="480" w:hanging="480"/>
        <w:rPr>
          <w:rFonts w:ascii="Garamond" w:eastAsia="Garamond" w:hAnsi="Garamond" w:cs="Garamond"/>
          <w:color w:val="000000"/>
          <w:sz w:val="24"/>
          <w:szCs w:val="24"/>
        </w:rPr>
      </w:pPr>
      <w:hyperlink r:id="rId128">
        <w:proofErr w:type="spellStart"/>
        <w:r w:rsidR="00633980">
          <w:rPr>
            <w:rFonts w:ascii="Garamond" w:eastAsia="Garamond" w:hAnsi="Garamond" w:cs="Garamond"/>
            <w:color w:val="000000"/>
            <w:sz w:val="24"/>
            <w:szCs w:val="24"/>
          </w:rPr>
          <w:t>Ottersen</w:t>
        </w:r>
        <w:proofErr w:type="spellEnd"/>
        <w:r w:rsidR="00633980">
          <w:rPr>
            <w:rFonts w:ascii="Garamond" w:eastAsia="Garamond" w:hAnsi="Garamond" w:cs="Garamond"/>
            <w:color w:val="000000"/>
            <w:sz w:val="24"/>
            <w:szCs w:val="24"/>
          </w:rPr>
          <w:t xml:space="preserve">, T., </w:t>
        </w:r>
        <w:proofErr w:type="spellStart"/>
        <w:r w:rsidR="00633980">
          <w:rPr>
            <w:rFonts w:ascii="Garamond" w:eastAsia="Garamond" w:hAnsi="Garamond" w:cs="Garamond"/>
            <w:color w:val="000000"/>
            <w:sz w:val="24"/>
            <w:szCs w:val="24"/>
          </w:rPr>
          <w:t>Norheim</w:t>
        </w:r>
        <w:proofErr w:type="spellEnd"/>
        <w:r w:rsidR="00633980">
          <w:rPr>
            <w:rFonts w:ascii="Garamond" w:eastAsia="Garamond" w:hAnsi="Garamond" w:cs="Garamond"/>
            <w:color w:val="000000"/>
            <w:sz w:val="24"/>
            <w:szCs w:val="24"/>
          </w:rPr>
          <w:t xml:space="preserve">, O.F. and World Health Organization Consultative Group on Equity and Universal Health Coverage. (2014), “Making fair choices on the path to universal health coverage”, </w:t>
        </w:r>
      </w:hyperlink>
      <w:hyperlink r:id="rId129">
        <w:r w:rsidR="00633980">
          <w:rPr>
            <w:rFonts w:ascii="Garamond" w:eastAsia="Garamond" w:hAnsi="Garamond" w:cs="Garamond"/>
            <w:i/>
            <w:color w:val="000000"/>
            <w:sz w:val="24"/>
            <w:szCs w:val="24"/>
          </w:rPr>
          <w:t>Bulletin of the World Health Organization</w:t>
        </w:r>
      </w:hyperlink>
      <w:hyperlink r:id="rId130">
        <w:r w:rsidR="00633980">
          <w:rPr>
            <w:rFonts w:ascii="Garamond" w:eastAsia="Garamond" w:hAnsi="Garamond" w:cs="Garamond"/>
            <w:color w:val="000000"/>
            <w:sz w:val="24"/>
            <w:szCs w:val="24"/>
          </w:rPr>
          <w:t>, Vol. 92 No. 6, p. 389.</w:t>
        </w:r>
      </w:hyperlink>
    </w:p>
    <w:p w14:paraId="31D87699" w14:textId="77777777" w:rsidR="00BE1B83" w:rsidRDefault="0056052B">
      <w:pPr>
        <w:widowControl w:val="0"/>
        <w:pBdr>
          <w:top w:val="nil"/>
          <w:left w:val="nil"/>
          <w:bottom w:val="nil"/>
          <w:right w:val="nil"/>
          <w:between w:val="nil"/>
        </w:pBdr>
        <w:spacing w:after="0" w:line="480" w:lineRule="auto"/>
        <w:ind w:left="480" w:hanging="480"/>
        <w:rPr>
          <w:rFonts w:ascii="Garamond" w:eastAsia="Garamond" w:hAnsi="Garamond" w:cs="Garamond"/>
          <w:color w:val="000000"/>
          <w:sz w:val="24"/>
          <w:szCs w:val="24"/>
        </w:rPr>
      </w:pPr>
      <w:hyperlink r:id="rId131">
        <w:r w:rsidR="00633980">
          <w:rPr>
            <w:rFonts w:ascii="Garamond" w:eastAsia="Garamond" w:hAnsi="Garamond" w:cs="Garamond"/>
            <w:color w:val="000000"/>
            <w:sz w:val="24"/>
            <w:szCs w:val="24"/>
          </w:rPr>
          <w:t xml:space="preserve">Robson, M., Doran, T., Cookson, R. and Others. (2019), </w:t>
        </w:r>
      </w:hyperlink>
      <w:hyperlink r:id="rId132">
        <w:r w:rsidR="00633980">
          <w:rPr>
            <w:rFonts w:ascii="Garamond" w:eastAsia="Garamond" w:hAnsi="Garamond" w:cs="Garamond"/>
            <w:i/>
            <w:color w:val="000000"/>
            <w:sz w:val="24"/>
            <w:szCs w:val="24"/>
          </w:rPr>
          <w:t>Estimating and Decomposing Conditional Average Treatment Effects: The Smoking Ban in England</w:t>
        </w:r>
      </w:hyperlink>
      <w:hyperlink r:id="rId133">
        <w:r w:rsidR="00633980">
          <w:rPr>
            <w:rFonts w:ascii="Garamond" w:eastAsia="Garamond" w:hAnsi="Garamond" w:cs="Garamond"/>
            <w:color w:val="000000"/>
            <w:sz w:val="24"/>
            <w:szCs w:val="24"/>
          </w:rPr>
          <w:t xml:space="preserve">, HEDG, c/o Department of Economics, University of York, available at: </w:t>
        </w:r>
      </w:hyperlink>
      <w:hyperlink r:id="rId134">
        <w:r w:rsidR="00633980">
          <w:rPr>
            <w:rFonts w:ascii="Garamond" w:eastAsia="Garamond" w:hAnsi="Garamond" w:cs="Garamond"/>
            <w:color w:val="000000"/>
            <w:sz w:val="24"/>
            <w:szCs w:val="24"/>
          </w:rPr>
          <w:t>https://www.york.ac.uk/media/economics/documents/hedg/workingpapers/1920.pdf</w:t>
        </w:r>
      </w:hyperlink>
      <w:hyperlink r:id="rId135">
        <w:r w:rsidR="00633980">
          <w:rPr>
            <w:rFonts w:ascii="Garamond" w:eastAsia="Garamond" w:hAnsi="Garamond" w:cs="Garamond"/>
            <w:color w:val="000000"/>
            <w:sz w:val="24"/>
            <w:szCs w:val="24"/>
          </w:rPr>
          <w:t>.</w:t>
        </w:r>
      </w:hyperlink>
    </w:p>
    <w:p w14:paraId="584AA5DF" w14:textId="77777777" w:rsidR="00BE1B83" w:rsidRDefault="0056052B">
      <w:pPr>
        <w:widowControl w:val="0"/>
        <w:pBdr>
          <w:top w:val="nil"/>
          <w:left w:val="nil"/>
          <w:bottom w:val="nil"/>
          <w:right w:val="nil"/>
          <w:between w:val="nil"/>
        </w:pBdr>
        <w:spacing w:after="0" w:line="480" w:lineRule="auto"/>
        <w:ind w:left="480" w:hanging="480"/>
        <w:rPr>
          <w:rFonts w:ascii="Garamond" w:eastAsia="Garamond" w:hAnsi="Garamond" w:cs="Garamond"/>
          <w:color w:val="000000"/>
          <w:sz w:val="24"/>
          <w:szCs w:val="24"/>
        </w:rPr>
      </w:pPr>
      <w:hyperlink r:id="rId136">
        <w:r w:rsidR="00633980">
          <w:rPr>
            <w:rFonts w:ascii="Garamond" w:eastAsia="Garamond" w:hAnsi="Garamond" w:cs="Garamond"/>
            <w:color w:val="000000"/>
            <w:sz w:val="24"/>
            <w:szCs w:val="24"/>
          </w:rPr>
          <w:t xml:space="preserve">Sassi, F., Archard, L. and Le Grand, J. (2001), “Equity and the economic evaluation of healthcare”, </w:t>
        </w:r>
      </w:hyperlink>
      <w:hyperlink r:id="rId137">
        <w:r w:rsidR="00633980">
          <w:rPr>
            <w:rFonts w:ascii="Garamond" w:eastAsia="Garamond" w:hAnsi="Garamond" w:cs="Garamond"/>
            <w:i/>
            <w:color w:val="000000"/>
            <w:sz w:val="24"/>
            <w:szCs w:val="24"/>
          </w:rPr>
          <w:t xml:space="preserve">Health Technology Assessment </w:t>
        </w:r>
      </w:hyperlink>
      <w:hyperlink r:id="rId138">
        <w:r w:rsidR="00633980">
          <w:rPr>
            <w:rFonts w:ascii="Garamond" w:eastAsia="Garamond" w:hAnsi="Garamond" w:cs="Garamond"/>
            <w:color w:val="000000"/>
            <w:sz w:val="24"/>
            <w:szCs w:val="24"/>
          </w:rPr>
          <w:t>, Vol. 5 No. 3, pp. 1–138.</w:t>
        </w:r>
      </w:hyperlink>
    </w:p>
    <w:p w14:paraId="42CA3121" w14:textId="77777777" w:rsidR="00BE1B83" w:rsidRDefault="0056052B">
      <w:pPr>
        <w:widowControl w:val="0"/>
        <w:pBdr>
          <w:top w:val="nil"/>
          <w:left w:val="nil"/>
          <w:bottom w:val="nil"/>
          <w:right w:val="nil"/>
          <w:between w:val="nil"/>
        </w:pBdr>
        <w:spacing w:after="0" w:line="480" w:lineRule="auto"/>
        <w:ind w:left="480" w:hanging="480"/>
        <w:rPr>
          <w:rFonts w:ascii="Garamond" w:eastAsia="Garamond" w:hAnsi="Garamond" w:cs="Garamond"/>
          <w:color w:val="000000"/>
          <w:sz w:val="24"/>
          <w:szCs w:val="24"/>
        </w:rPr>
      </w:pPr>
      <w:hyperlink r:id="rId139">
        <w:r w:rsidR="00633980">
          <w:rPr>
            <w:rFonts w:ascii="Garamond" w:eastAsia="Garamond" w:hAnsi="Garamond" w:cs="Garamond"/>
            <w:color w:val="000000"/>
            <w:sz w:val="24"/>
            <w:szCs w:val="24"/>
          </w:rPr>
          <w:t xml:space="preserve">Shah, K.K., Cookson, R., </w:t>
        </w:r>
        <w:proofErr w:type="spellStart"/>
        <w:r w:rsidR="00633980">
          <w:rPr>
            <w:rFonts w:ascii="Garamond" w:eastAsia="Garamond" w:hAnsi="Garamond" w:cs="Garamond"/>
            <w:color w:val="000000"/>
            <w:sz w:val="24"/>
            <w:szCs w:val="24"/>
          </w:rPr>
          <w:t>Culyer</w:t>
        </w:r>
        <w:proofErr w:type="spellEnd"/>
        <w:r w:rsidR="00633980">
          <w:rPr>
            <w:rFonts w:ascii="Garamond" w:eastAsia="Garamond" w:hAnsi="Garamond" w:cs="Garamond"/>
            <w:color w:val="000000"/>
            <w:sz w:val="24"/>
            <w:szCs w:val="24"/>
          </w:rPr>
          <w:t xml:space="preserve">, A.J. and </w:t>
        </w:r>
        <w:proofErr w:type="spellStart"/>
        <w:r w:rsidR="00633980">
          <w:rPr>
            <w:rFonts w:ascii="Garamond" w:eastAsia="Garamond" w:hAnsi="Garamond" w:cs="Garamond"/>
            <w:color w:val="000000"/>
            <w:sz w:val="24"/>
            <w:szCs w:val="24"/>
          </w:rPr>
          <w:t>Littlejohns</w:t>
        </w:r>
        <w:proofErr w:type="spellEnd"/>
        <w:r w:rsidR="00633980">
          <w:rPr>
            <w:rFonts w:ascii="Garamond" w:eastAsia="Garamond" w:hAnsi="Garamond" w:cs="Garamond"/>
            <w:color w:val="000000"/>
            <w:sz w:val="24"/>
            <w:szCs w:val="24"/>
          </w:rPr>
          <w:t xml:space="preserve">, P. (2013), “NICE’s social value judgements about equity in health and health care”, </w:t>
        </w:r>
      </w:hyperlink>
      <w:hyperlink r:id="rId140">
        <w:r w:rsidR="00633980">
          <w:rPr>
            <w:rFonts w:ascii="Garamond" w:eastAsia="Garamond" w:hAnsi="Garamond" w:cs="Garamond"/>
            <w:i/>
            <w:color w:val="000000"/>
            <w:sz w:val="24"/>
            <w:szCs w:val="24"/>
          </w:rPr>
          <w:t>Health Economics, Policy, and Law</w:t>
        </w:r>
      </w:hyperlink>
      <w:hyperlink r:id="rId141">
        <w:r w:rsidR="00633980">
          <w:rPr>
            <w:rFonts w:ascii="Garamond" w:eastAsia="Garamond" w:hAnsi="Garamond" w:cs="Garamond"/>
            <w:color w:val="000000"/>
            <w:sz w:val="24"/>
            <w:szCs w:val="24"/>
          </w:rPr>
          <w:t>, Vol. 8 No. 2, pp. 145–165.</w:t>
        </w:r>
      </w:hyperlink>
    </w:p>
    <w:p w14:paraId="61CBA603" w14:textId="77777777" w:rsidR="00BE1B83" w:rsidRDefault="0056052B">
      <w:pPr>
        <w:widowControl w:val="0"/>
        <w:pBdr>
          <w:top w:val="nil"/>
          <w:left w:val="nil"/>
          <w:bottom w:val="nil"/>
          <w:right w:val="nil"/>
          <w:between w:val="nil"/>
        </w:pBdr>
        <w:spacing w:after="0" w:line="480" w:lineRule="auto"/>
        <w:ind w:left="480" w:hanging="480"/>
        <w:rPr>
          <w:rFonts w:ascii="Garamond" w:eastAsia="Garamond" w:hAnsi="Garamond" w:cs="Garamond"/>
          <w:color w:val="000000"/>
          <w:sz w:val="24"/>
          <w:szCs w:val="24"/>
        </w:rPr>
      </w:pPr>
      <w:hyperlink r:id="rId142">
        <w:r w:rsidR="00633980">
          <w:rPr>
            <w:rFonts w:ascii="Garamond" w:eastAsia="Garamond" w:hAnsi="Garamond" w:cs="Garamond"/>
            <w:color w:val="000000"/>
            <w:sz w:val="24"/>
            <w:szCs w:val="24"/>
          </w:rPr>
          <w:t xml:space="preserve">Skarda, I., Cookson, R., Asaria, M. (2020), “Lifecourse Modelling for Childhood Policy Analysis”, available at: </w:t>
        </w:r>
      </w:hyperlink>
      <w:hyperlink r:id="rId143">
        <w:r w:rsidR="00633980">
          <w:rPr>
            <w:rFonts w:ascii="Garamond" w:eastAsia="Garamond" w:hAnsi="Garamond" w:cs="Garamond"/>
            <w:color w:val="000000"/>
            <w:sz w:val="24"/>
            <w:szCs w:val="24"/>
          </w:rPr>
          <w:t>https://equipol.org/research/projects/lifesim/</w:t>
        </w:r>
      </w:hyperlink>
      <w:hyperlink r:id="rId144">
        <w:r w:rsidR="00633980">
          <w:rPr>
            <w:rFonts w:ascii="Garamond" w:eastAsia="Garamond" w:hAnsi="Garamond" w:cs="Garamond"/>
            <w:color w:val="000000"/>
            <w:sz w:val="24"/>
            <w:szCs w:val="24"/>
          </w:rPr>
          <w:t xml:space="preserve"> (accessed 14 July 2020).</w:t>
        </w:r>
      </w:hyperlink>
    </w:p>
    <w:p w14:paraId="5CACB7ED" w14:textId="77777777" w:rsidR="00BE1B83" w:rsidRDefault="0056052B">
      <w:pPr>
        <w:widowControl w:val="0"/>
        <w:pBdr>
          <w:top w:val="nil"/>
          <w:left w:val="nil"/>
          <w:bottom w:val="nil"/>
          <w:right w:val="nil"/>
          <w:between w:val="nil"/>
        </w:pBdr>
        <w:spacing w:after="0" w:line="480" w:lineRule="auto"/>
        <w:ind w:left="480" w:hanging="480"/>
        <w:rPr>
          <w:rFonts w:ascii="Garamond" w:eastAsia="Garamond" w:hAnsi="Garamond" w:cs="Garamond"/>
          <w:color w:val="000000"/>
          <w:sz w:val="24"/>
          <w:szCs w:val="24"/>
        </w:rPr>
      </w:pPr>
      <w:hyperlink r:id="rId145">
        <w:r w:rsidR="00633980">
          <w:rPr>
            <w:rFonts w:ascii="Garamond" w:eastAsia="Garamond" w:hAnsi="Garamond" w:cs="Garamond"/>
            <w:color w:val="000000"/>
            <w:sz w:val="24"/>
            <w:szCs w:val="24"/>
          </w:rPr>
          <w:t xml:space="preserve">Smith, P.C., Mossialos, E., Leatherman, S. and Papanicolas, I. (2009), </w:t>
        </w:r>
      </w:hyperlink>
      <w:hyperlink r:id="rId146">
        <w:r w:rsidR="00633980">
          <w:rPr>
            <w:rFonts w:ascii="Garamond" w:eastAsia="Garamond" w:hAnsi="Garamond" w:cs="Garamond"/>
            <w:i/>
            <w:color w:val="000000"/>
            <w:sz w:val="24"/>
            <w:szCs w:val="24"/>
          </w:rPr>
          <w:t>Performance Measurement for Health System Improvement: Experiences, Challenges and Prospects</w:t>
        </w:r>
      </w:hyperlink>
      <w:hyperlink r:id="rId147">
        <w:r w:rsidR="00633980">
          <w:rPr>
            <w:rFonts w:ascii="Garamond" w:eastAsia="Garamond" w:hAnsi="Garamond" w:cs="Garamond"/>
            <w:color w:val="000000"/>
            <w:sz w:val="24"/>
            <w:szCs w:val="24"/>
          </w:rPr>
          <w:t xml:space="preserve">, Cambridge University Press, </w:t>
        </w:r>
        <w:r w:rsidR="00633980">
          <w:rPr>
            <w:rFonts w:ascii="Garamond" w:eastAsia="Garamond" w:hAnsi="Garamond" w:cs="Garamond"/>
            <w:color w:val="000000"/>
            <w:sz w:val="24"/>
            <w:szCs w:val="24"/>
          </w:rPr>
          <w:lastRenderedPageBreak/>
          <w:t xml:space="preserve">available at: </w:t>
        </w:r>
      </w:hyperlink>
      <w:hyperlink r:id="rId148">
        <w:r w:rsidR="00633980">
          <w:rPr>
            <w:rFonts w:ascii="Garamond" w:eastAsia="Garamond" w:hAnsi="Garamond" w:cs="Garamond"/>
            <w:color w:val="000000"/>
            <w:sz w:val="24"/>
            <w:szCs w:val="24"/>
          </w:rPr>
          <w:t>https://play.google.com/store/books/details?id=c4CsWZYVOTwC</w:t>
        </w:r>
      </w:hyperlink>
      <w:hyperlink r:id="rId149">
        <w:r w:rsidR="00633980">
          <w:rPr>
            <w:rFonts w:ascii="Garamond" w:eastAsia="Garamond" w:hAnsi="Garamond" w:cs="Garamond"/>
            <w:color w:val="000000"/>
            <w:sz w:val="24"/>
            <w:szCs w:val="24"/>
          </w:rPr>
          <w:t>.</w:t>
        </w:r>
      </w:hyperlink>
    </w:p>
    <w:p w14:paraId="6918DC15" w14:textId="77777777" w:rsidR="00BE1B83" w:rsidRDefault="0056052B">
      <w:pPr>
        <w:widowControl w:val="0"/>
        <w:pBdr>
          <w:top w:val="nil"/>
          <w:left w:val="nil"/>
          <w:bottom w:val="nil"/>
          <w:right w:val="nil"/>
          <w:between w:val="nil"/>
        </w:pBdr>
        <w:spacing w:after="0" w:line="480" w:lineRule="auto"/>
        <w:ind w:left="480" w:hanging="480"/>
        <w:rPr>
          <w:rFonts w:ascii="Garamond" w:eastAsia="Garamond" w:hAnsi="Garamond" w:cs="Garamond"/>
          <w:color w:val="000000"/>
          <w:sz w:val="24"/>
          <w:szCs w:val="24"/>
        </w:rPr>
      </w:pPr>
      <w:hyperlink r:id="rId150">
        <w:proofErr w:type="spellStart"/>
        <w:r w:rsidR="00633980">
          <w:rPr>
            <w:rFonts w:ascii="Garamond" w:eastAsia="Garamond" w:hAnsi="Garamond" w:cs="Garamond"/>
            <w:color w:val="000000"/>
            <w:sz w:val="24"/>
            <w:szCs w:val="24"/>
          </w:rPr>
          <w:t>Verguet</w:t>
        </w:r>
        <w:proofErr w:type="spellEnd"/>
        <w:r w:rsidR="00633980">
          <w:rPr>
            <w:rFonts w:ascii="Garamond" w:eastAsia="Garamond" w:hAnsi="Garamond" w:cs="Garamond"/>
            <w:color w:val="000000"/>
            <w:sz w:val="24"/>
            <w:szCs w:val="24"/>
          </w:rPr>
          <w:t xml:space="preserve">, S., Laxminarayan, R. and Jamison, D.T. (2015), “Universal public finance of tuberculosis treatment in India: an extended cost-effectiveness analysis”, </w:t>
        </w:r>
      </w:hyperlink>
      <w:hyperlink r:id="rId151">
        <w:r w:rsidR="00633980">
          <w:rPr>
            <w:rFonts w:ascii="Garamond" w:eastAsia="Garamond" w:hAnsi="Garamond" w:cs="Garamond"/>
            <w:i/>
            <w:color w:val="000000"/>
            <w:sz w:val="24"/>
            <w:szCs w:val="24"/>
          </w:rPr>
          <w:t>Health Economics</w:t>
        </w:r>
      </w:hyperlink>
      <w:hyperlink r:id="rId152">
        <w:r w:rsidR="00633980">
          <w:rPr>
            <w:rFonts w:ascii="Garamond" w:eastAsia="Garamond" w:hAnsi="Garamond" w:cs="Garamond"/>
            <w:color w:val="000000"/>
            <w:sz w:val="24"/>
            <w:szCs w:val="24"/>
          </w:rPr>
          <w:t>, Vol. 24 No. 3, pp. 318–332.</w:t>
        </w:r>
      </w:hyperlink>
    </w:p>
    <w:p w14:paraId="79BFFB6D" w14:textId="77777777" w:rsidR="00BE1B83" w:rsidRDefault="0056052B">
      <w:pPr>
        <w:widowControl w:val="0"/>
        <w:pBdr>
          <w:top w:val="nil"/>
          <w:left w:val="nil"/>
          <w:bottom w:val="nil"/>
          <w:right w:val="nil"/>
          <w:between w:val="nil"/>
        </w:pBdr>
        <w:spacing w:after="0" w:line="480" w:lineRule="auto"/>
        <w:ind w:left="480" w:hanging="480"/>
        <w:rPr>
          <w:rFonts w:ascii="Garamond" w:eastAsia="Garamond" w:hAnsi="Garamond" w:cs="Garamond"/>
          <w:color w:val="000000"/>
          <w:sz w:val="24"/>
          <w:szCs w:val="24"/>
        </w:rPr>
      </w:pPr>
      <w:hyperlink r:id="rId153">
        <w:proofErr w:type="spellStart"/>
        <w:r w:rsidR="00633980">
          <w:rPr>
            <w:rFonts w:ascii="Garamond" w:eastAsia="Garamond" w:hAnsi="Garamond" w:cs="Garamond"/>
            <w:color w:val="000000"/>
            <w:sz w:val="24"/>
            <w:szCs w:val="24"/>
          </w:rPr>
          <w:t>Verguet</w:t>
        </w:r>
        <w:proofErr w:type="spellEnd"/>
        <w:r w:rsidR="00633980">
          <w:rPr>
            <w:rFonts w:ascii="Garamond" w:eastAsia="Garamond" w:hAnsi="Garamond" w:cs="Garamond"/>
            <w:color w:val="000000"/>
            <w:sz w:val="24"/>
            <w:szCs w:val="24"/>
          </w:rPr>
          <w:t xml:space="preserve">, S., Murphy, S., Anderson, B., Johansson, K.A., Glass, R. and </w:t>
        </w:r>
        <w:proofErr w:type="spellStart"/>
        <w:r w:rsidR="00633980">
          <w:rPr>
            <w:rFonts w:ascii="Garamond" w:eastAsia="Garamond" w:hAnsi="Garamond" w:cs="Garamond"/>
            <w:color w:val="000000"/>
            <w:sz w:val="24"/>
            <w:szCs w:val="24"/>
          </w:rPr>
          <w:t>Rheingans</w:t>
        </w:r>
        <w:proofErr w:type="spellEnd"/>
        <w:r w:rsidR="00633980">
          <w:rPr>
            <w:rFonts w:ascii="Garamond" w:eastAsia="Garamond" w:hAnsi="Garamond" w:cs="Garamond"/>
            <w:color w:val="000000"/>
            <w:sz w:val="24"/>
            <w:szCs w:val="24"/>
          </w:rPr>
          <w:t xml:space="preserve">, R. (2013), “Public finance of rotavirus vaccination in India and Ethiopia: an extended cost-effectiveness analysis”, </w:t>
        </w:r>
      </w:hyperlink>
      <w:hyperlink r:id="rId154">
        <w:r w:rsidR="00633980">
          <w:rPr>
            <w:rFonts w:ascii="Garamond" w:eastAsia="Garamond" w:hAnsi="Garamond" w:cs="Garamond"/>
            <w:i/>
            <w:color w:val="000000"/>
            <w:sz w:val="24"/>
            <w:szCs w:val="24"/>
          </w:rPr>
          <w:t>Vaccine</w:t>
        </w:r>
      </w:hyperlink>
      <w:hyperlink r:id="rId155">
        <w:r w:rsidR="00633980">
          <w:rPr>
            <w:rFonts w:ascii="Garamond" w:eastAsia="Garamond" w:hAnsi="Garamond" w:cs="Garamond"/>
            <w:color w:val="000000"/>
            <w:sz w:val="24"/>
            <w:szCs w:val="24"/>
          </w:rPr>
          <w:t>, Vol. 31 No. 42, pp. 4902–4910.</w:t>
        </w:r>
      </w:hyperlink>
    </w:p>
    <w:p w14:paraId="551D70B8" w14:textId="16C398A6" w:rsidR="00BE1B83" w:rsidRDefault="0056052B">
      <w:pPr>
        <w:widowControl w:val="0"/>
        <w:pBdr>
          <w:top w:val="nil"/>
          <w:left w:val="nil"/>
          <w:bottom w:val="nil"/>
          <w:right w:val="nil"/>
          <w:between w:val="nil"/>
        </w:pBdr>
        <w:spacing w:after="0" w:line="480" w:lineRule="auto"/>
        <w:ind w:left="480" w:hanging="480"/>
        <w:rPr>
          <w:rFonts w:ascii="Garamond" w:eastAsia="Garamond" w:hAnsi="Garamond" w:cs="Garamond"/>
          <w:color w:val="000000"/>
          <w:sz w:val="24"/>
          <w:szCs w:val="24"/>
        </w:rPr>
      </w:pPr>
      <w:hyperlink r:id="rId156">
        <w:r w:rsidR="00633980">
          <w:rPr>
            <w:rFonts w:ascii="Garamond" w:eastAsia="Garamond" w:hAnsi="Garamond" w:cs="Garamond"/>
            <w:color w:val="000000"/>
            <w:sz w:val="24"/>
            <w:szCs w:val="24"/>
          </w:rPr>
          <w:t xml:space="preserve">Welch, V.A., </w:t>
        </w:r>
        <w:proofErr w:type="spellStart"/>
        <w:r w:rsidR="00633980">
          <w:rPr>
            <w:rFonts w:ascii="Garamond" w:eastAsia="Garamond" w:hAnsi="Garamond" w:cs="Garamond"/>
            <w:color w:val="000000"/>
            <w:sz w:val="24"/>
            <w:szCs w:val="24"/>
          </w:rPr>
          <w:t>Norheim</w:t>
        </w:r>
        <w:proofErr w:type="spellEnd"/>
        <w:r w:rsidR="00633980">
          <w:rPr>
            <w:rFonts w:ascii="Garamond" w:eastAsia="Garamond" w:hAnsi="Garamond" w:cs="Garamond"/>
            <w:color w:val="000000"/>
            <w:sz w:val="24"/>
            <w:szCs w:val="24"/>
          </w:rPr>
          <w:t xml:space="preserve">, O.F., Jull, J., Cookson, R., </w:t>
        </w:r>
        <w:proofErr w:type="spellStart"/>
        <w:r w:rsidR="00633980">
          <w:rPr>
            <w:rFonts w:ascii="Garamond" w:eastAsia="Garamond" w:hAnsi="Garamond" w:cs="Garamond"/>
            <w:color w:val="000000"/>
            <w:sz w:val="24"/>
            <w:szCs w:val="24"/>
          </w:rPr>
          <w:t>Sommerfelt</w:t>
        </w:r>
        <w:proofErr w:type="spellEnd"/>
        <w:r w:rsidR="00633980">
          <w:rPr>
            <w:rFonts w:ascii="Garamond" w:eastAsia="Garamond" w:hAnsi="Garamond" w:cs="Garamond"/>
            <w:color w:val="000000"/>
            <w:sz w:val="24"/>
            <w:szCs w:val="24"/>
          </w:rPr>
          <w:t xml:space="preserve">, H., </w:t>
        </w:r>
        <w:proofErr w:type="spellStart"/>
        <w:r w:rsidR="00633980">
          <w:rPr>
            <w:rFonts w:ascii="Garamond" w:eastAsia="Garamond" w:hAnsi="Garamond" w:cs="Garamond"/>
            <w:color w:val="000000"/>
            <w:sz w:val="24"/>
            <w:szCs w:val="24"/>
          </w:rPr>
          <w:t>Tugwell</w:t>
        </w:r>
        <w:proofErr w:type="spellEnd"/>
        <w:r w:rsidR="00633980">
          <w:rPr>
            <w:rFonts w:ascii="Garamond" w:eastAsia="Garamond" w:hAnsi="Garamond" w:cs="Garamond"/>
            <w:color w:val="000000"/>
            <w:sz w:val="24"/>
            <w:szCs w:val="24"/>
          </w:rPr>
          <w:t xml:space="preserve">, P. and CONSORT-Equity and Boston Equity Symposium. (2017), “CONSORT-Equity 2017 extension and elaboration for better reporting of health equity in randomised trials”, </w:t>
        </w:r>
      </w:hyperlink>
      <w:hyperlink r:id="rId157">
        <w:r w:rsidR="00633980">
          <w:rPr>
            <w:rFonts w:ascii="Garamond" w:eastAsia="Garamond" w:hAnsi="Garamond" w:cs="Garamond"/>
            <w:i/>
            <w:color w:val="000000"/>
            <w:sz w:val="24"/>
            <w:szCs w:val="24"/>
          </w:rPr>
          <w:t>B</w:t>
        </w:r>
        <w:r w:rsidR="00056260">
          <w:rPr>
            <w:rFonts w:ascii="Garamond" w:eastAsia="Garamond" w:hAnsi="Garamond" w:cs="Garamond"/>
            <w:i/>
            <w:color w:val="000000"/>
            <w:sz w:val="24"/>
            <w:szCs w:val="24"/>
          </w:rPr>
          <w:t xml:space="preserve">ritish </w:t>
        </w:r>
        <w:r w:rsidR="00633980">
          <w:rPr>
            <w:rFonts w:ascii="Garamond" w:eastAsia="Garamond" w:hAnsi="Garamond" w:cs="Garamond"/>
            <w:i/>
            <w:color w:val="000000"/>
            <w:sz w:val="24"/>
            <w:szCs w:val="24"/>
          </w:rPr>
          <w:t>M</w:t>
        </w:r>
        <w:r w:rsidR="00056260">
          <w:rPr>
            <w:rFonts w:ascii="Garamond" w:eastAsia="Garamond" w:hAnsi="Garamond" w:cs="Garamond"/>
            <w:i/>
            <w:color w:val="000000"/>
            <w:sz w:val="24"/>
            <w:szCs w:val="24"/>
          </w:rPr>
          <w:t xml:space="preserve">edical </w:t>
        </w:r>
        <w:r w:rsidR="00633980">
          <w:rPr>
            <w:rFonts w:ascii="Garamond" w:eastAsia="Garamond" w:hAnsi="Garamond" w:cs="Garamond"/>
            <w:i/>
            <w:color w:val="000000"/>
            <w:sz w:val="24"/>
            <w:szCs w:val="24"/>
          </w:rPr>
          <w:t>J</w:t>
        </w:r>
        <w:r w:rsidR="00056260">
          <w:rPr>
            <w:rFonts w:ascii="Garamond" w:eastAsia="Garamond" w:hAnsi="Garamond" w:cs="Garamond"/>
            <w:i/>
            <w:color w:val="000000"/>
            <w:sz w:val="24"/>
            <w:szCs w:val="24"/>
          </w:rPr>
          <w:t>ournal</w:t>
        </w:r>
        <w:r w:rsidR="00633980">
          <w:rPr>
            <w:rFonts w:ascii="Garamond" w:eastAsia="Garamond" w:hAnsi="Garamond" w:cs="Garamond"/>
            <w:i/>
            <w:color w:val="000000"/>
            <w:sz w:val="24"/>
            <w:szCs w:val="24"/>
          </w:rPr>
          <w:t xml:space="preserve"> </w:t>
        </w:r>
      </w:hyperlink>
      <w:hyperlink r:id="rId158">
        <w:r w:rsidR="00633980">
          <w:rPr>
            <w:rFonts w:ascii="Garamond" w:eastAsia="Garamond" w:hAnsi="Garamond" w:cs="Garamond"/>
            <w:color w:val="000000"/>
            <w:sz w:val="24"/>
            <w:szCs w:val="24"/>
          </w:rPr>
          <w:t>, Vol. 359, p. j5085.</w:t>
        </w:r>
      </w:hyperlink>
    </w:p>
    <w:p w14:paraId="657A20E0" w14:textId="77777777" w:rsidR="00BE1B83" w:rsidRDefault="0056052B">
      <w:pPr>
        <w:widowControl w:val="0"/>
        <w:pBdr>
          <w:top w:val="nil"/>
          <w:left w:val="nil"/>
          <w:bottom w:val="nil"/>
          <w:right w:val="nil"/>
          <w:between w:val="nil"/>
        </w:pBdr>
        <w:spacing w:after="240" w:line="480" w:lineRule="auto"/>
        <w:ind w:left="480" w:hanging="480"/>
        <w:rPr>
          <w:rFonts w:ascii="Garamond" w:eastAsia="Garamond" w:hAnsi="Garamond" w:cs="Garamond"/>
          <w:color w:val="000000"/>
          <w:sz w:val="24"/>
          <w:szCs w:val="24"/>
        </w:rPr>
      </w:pPr>
      <w:hyperlink r:id="rId159">
        <w:r w:rsidR="00633980">
          <w:rPr>
            <w:rFonts w:ascii="Garamond" w:eastAsia="Garamond" w:hAnsi="Garamond" w:cs="Garamond"/>
            <w:color w:val="000000"/>
            <w:sz w:val="24"/>
            <w:szCs w:val="24"/>
          </w:rPr>
          <w:t xml:space="preserve">World Health Organization. (2015), </w:t>
        </w:r>
      </w:hyperlink>
      <w:hyperlink r:id="rId160">
        <w:r w:rsidR="00633980">
          <w:rPr>
            <w:rFonts w:ascii="Garamond" w:eastAsia="Garamond" w:hAnsi="Garamond" w:cs="Garamond"/>
            <w:i/>
            <w:color w:val="000000"/>
            <w:sz w:val="24"/>
            <w:szCs w:val="24"/>
          </w:rPr>
          <w:t>Tracking Universal Health Coverage: First Global Monitoring Report</w:t>
        </w:r>
      </w:hyperlink>
      <w:hyperlink r:id="rId161">
        <w:r w:rsidR="00633980">
          <w:rPr>
            <w:rFonts w:ascii="Garamond" w:eastAsia="Garamond" w:hAnsi="Garamond" w:cs="Garamond"/>
            <w:color w:val="000000"/>
            <w:sz w:val="24"/>
            <w:szCs w:val="24"/>
          </w:rPr>
          <w:t xml:space="preserve">, World Health Organization, available at: </w:t>
        </w:r>
      </w:hyperlink>
      <w:hyperlink r:id="rId162">
        <w:r w:rsidR="00633980">
          <w:rPr>
            <w:rFonts w:ascii="Garamond" w:eastAsia="Garamond" w:hAnsi="Garamond" w:cs="Garamond"/>
            <w:color w:val="000000"/>
            <w:sz w:val="24"/>
            <w:szCs w:val="24"/>
          </w:rPr>
          <w:t>https://play.google.com/store/books/details?id=d140DgAAQBAJ</w:t>
        </w:r>
      </w:hyperlink>
      <w:hyperlink r:id="rId163">
        <w:r w:rsidR="00633980">
          <w:rPr>
            <w:rFonts w:ascii="Garamond" w:eastAsia="Garamond" w:hAnsi="Garamond" w:cs="Garamond"/>
            <w:color w:val="000000"/>
            <w:sz w:val="24"/>
            <w:szCs w:val="24"/>
          </w:rPr>
          <w:t>.</w:t>
        </w:r>
      </w:hyperlink>
    </w:p>
    <w:p w14:paraId="194C3002" w14:textId="77777777" w:rsidR="00BE1B83" w:rsidRDefault="00BE1B83">
      <w:pPr>
        <w:widowControl w:val="0"/>
        <w:pBdr>
          <w:top w:val="nil"/>
          <w:left w:val="nil"/>
          <w:bottom w:val="nil"/>
          <w:right w:val="nil"/>
          <w:between w:val="nil"/>
        </w:pBdr>
        <w:spacing w:after="0" w:line="276" w:lineRule="auto"/>
        <w:rPr>
          <w:rFonts w:ascii="Garamond" w:eastAsia="Garamond" w:hAnsi="Garamond" w:cs="Garamond"/>
          <w:sz w:val="24"/>
          <w:szCs w:val="24"/>
        </w:rPr>
      </w:pPr>
    </w:p>
    <w:sectPr w:rsidR="00BE1B83">
      <w:footerReference w:type="default" r:id="rId164"/>
      <w:pgSz w:w="11906" w:h="16838"/>
      <w:pgMar w:top="1440" w:right="1440" w:bottom="1440" w:left="1440"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C152" w16cex:dateUtc="2020-12-16T17:24:00Z"/>
  <w16cex:commentExtensible w16cex:durableId="2384C224" w16cex:dateUtc="2020-12-16T17: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CF082" w14:textId="77777777" w:rsidR="0056052B" w:rsidRDefault="0056052B">
      <w:pPr>
        <w:spacing w:after="0" w:line="240" w:lineRule="auto"/>
      </w:pPr>
      <w:r>
        <w:separator/>
      </w:r>
    </w:p>
  </w:endnote>
  <w:endnote w:type="continuationSeparator" w:id="0">
    <w:p w14:paraId="1946C7A0" w14:textId="77777777" w:rsidR="0056052B" w:rsidRDefault="00560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DC4CD" w14:textId="515394FE" w:rsidR="00396175" w:rsidRDefault="00396175">
    <w:pPr>
      <w:pBdr>
        <w:top w:val="nil"/>
        <w:left w:val="nil"/>
        <w:bottom w:val="nil"/>
        <w:right w:val="nil"/>
        <w:between w:val="nil"/>
      </w:pBdr>
      <w:tabs>
        <w:tab w:val="center" w:pos="4513"/>
        <w:tab w:val="right" w:pos="9026"/>
      </w:tabs>
      <w:spacing w:after="0" w:line="240" w:lineRule="auto"/>
      <w:jc w:val="right"/>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9972E0">
      <w:rPr>
        <w:rFonts w:ascii="Garamond" w:eastAsia="Garamond" w:hAnsi="Garamond" w:cs="Garamond"/>
        <w:noProof/>
        <w:color w:val="000000"/>
      </w:rPr>
      <w:t>33</w:t>
    </w:r>
    <w:r>
      <w:rPr>
        <w:rFonts w:ascii="Garamond" w:eastAsia="Garamond" w:hAnsi="Garamond" w:cs="Garamond"/>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5D257" w14:textId="77777777" w:rsidR="0056052B" w:rsidRDefault="0056052B">
      <w:pPr>
        <w:spacing w:after="0" w:line="240" w:lineRule="auto"/>
      </w:pPr>
      <w:r>
        <w:separator/>
      </w:r>
    </w:p>
  </w:footnote>
  <w:footnote w:type="continuationSeparator" w:id="0">
    <w:p w14:paraId="67F38066" w14:textId="77777777" w:rsidR="0056052B" w:rsidRDefault="0056052B">
      <w:pPr>
        <w:spacing w:after="0" w:line="240" w:lineRule="auto"/>
      </w:pPr>
      <w:r>
        <w:continuationSeparator/>
      </w:r>
    </w:p>
  </w:footnote>
  <w:footnote w:id="1">
    <w:p w14:paraId="569E6642" w14:textId="15BED07C" w:rsidR="007A0524" w:rsidRDefault="007A0524" w:rsidP="00B005E2">
      <w:pPr>
        <w:spacing w:line="480" w:lineRule="auto"/>
      </w:pPr>
      <w:r w:rsidRPr="00B005E2">
        <w:rPr>
          <w:rFonts w:ascii="Garamond" w:eastAsia="Garamond" w:hAnsi="Garamond" w:cs="Garamond"/>
          <w:sz w:val="24"/>
          <w:szCs w:val="24"/>
          <w:vertAlign w:val="superscript"/>
        </w:rPr>
        <w:footnoteRef/>
      </w:r>
      <w:r w:rsidRPr="00B005E2">
        <w:rPr>
          <w:rFonts w:ascii="Garamond" w:eastAsia="Garamond" w:hAnsi="Garamond" w:cs="Garamond"/>
          <w:sz w:val="24"/>
          <w:szCs w:val="24"/>
        </w:rPr>
        <w:t xml:space="preserve"> </w:t>
      </w:r>
      <w:r w:rsidRPr="00B005E2">
        <w:rPr>
          <w:rFonts w:ascii="Garamond" w:eastAsia="Garamond" w:hAnsi="Garamond" w:cs="Garamond"/>
        </w:rPr>
        <w:t xml:space="preserve">Strictly speaking this is a </w:t>
      </w:r>
      <w:r w:rsidR="00A5591A" w:rsidRPr="00B005E2">
        <w:rPr>
          <w:rFonts w:ascii="Garamond" w:eastAsia="Garamond" w:hAnsi="Garamond" w:cs="Garamond"/>
        </w:rPr>
        <w:t>‘</w:t>
      </w:r>
      <w:r w:rsidRPr="00B005E2">
        <w:rPr>
          <w:rFonts w:ascii="Garamond" w:eastAsia="Garamond" w:hAnsi="Garamond" w:cs="Garamond"/>
        </w:rPr>
        <w:t>pro-heavy</w:t>
      </w:r>
      <w:r w:rsidR="00A5591A" w:rsidRPr="00B005E2">
        <w:rPr>
          <w:rFonts w:ascii="Garamond" w:eastAsia="Garamond" w:hAnsi="Garamond" w:cs="Garamond"/>
        </w:rPr>
        <w:t>’</w:t>
      </w:r>
      <w:r w:rsidRPr="00B005E2">
        <w:rPr>
          <w:rFonts w:ascii="Garamond" w:eastAsia="Garamond" w:hAnsi="Garamond" w:cs="Garamond"/>
        </w:rPr>
        <w:t xml:space="preserve"> distribution, since over-weight babies are not necessarily health</w:t>
      </w:r>
      <w:r w:rsidR="00A5591A" w:rsidRPr="00B005E2">
        <w:rPr>
          <w:rFonts w:ascii="Garamond" w:eastAsia="Garamond" w:hAnsi="Garamond" w:cs="Garamond"/>
        </w:rPr>
        <w:t>ier</w:t>
      </w:r>
      <w:r w:rsidRPr="00B005E2">
        <w:rPr>
          <w:rFonts w:ascii="Garamond" w:eastAsia="Garamond" w:hAnsi="Garamond" w:cs="Garamond"/>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1690"/>
    <w:multiLevelType w:val="multilevel"/>
    <w:tmpl w:val="8834BC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7CB37C6"/>
    <w:multiLevelType w:val="multilevel"/>
    <w:tmpl w:val="CFEC4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834DC2"/>
    <w:multiLevelType w:val="multilevel"/>
    <w:tmpl w:val="B6E4D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EA2282"/>
    <w:multiLevelType w:val="multilevel"/>
    <w:tmpl w:val="19BEE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D147DA"/>
    <w:multiLevelType w:val="hybridMultilevel"/>
    <w:tmpl w:val="A7EE04BC"/>
    <w:lvl w:ilvl="0" w:tplc="F28ED464">
      <w:start w:val="1"/>
      <w:numFmt w:val="decimal"/>
      <w:lvlText w:val="%1."/>
      <w:lvlJc w:val="left"/>
      <w:pPr>
        <w:ind w:left="360" w:hanging="360"/>
      </w:pPr>
      <w:rPr>
        <w:rFonts w:ascii="Garamond" w:hAnsi="Garamond"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F835085"/>
    <w:multiLevelType w:val="multilevel"/>
    <w:tmpl w:val="A8704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190C0F"/>
    <w:multiLevelType w:val="multilevel"/>
    <w:tmpl w:val="9CBA0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6BC498E"/>
    <w:multiLevelType w:val="multilevel"/>
    <w:tmpl w:val="25EE8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7"/>
  </w:num>
  <w:num w:numId="4">
    <w:abstractNumId w:val="3"/>
  </w:num>
  <w:num w:numId="5">
    <w:abstractNumId w:val="6"/>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KxsLQ0Mza2NDUwNjBW0lEKTi0uzszPAykwrAUAWZylVCwAAAA="/>
  </w:docVars>
  <w:rsids>
    <w:rsidRoot w:val="00BE1B83"/>
    <w:rsid w:val="00004212"/>
    <w:rsid w:val="000141B6"/>
    <w:rsid w:val="00024E0B"/>
    <w:rsid w:val="000322B8"/>
    <w:rsid w:val="0003576E"/>
    <w:rsid w:val="00044403"/>
    <w:rsid w:val="00056260"/>
    <w:rsid w:val="000611CD"/>
    <w:rsid w:val="000968ED"/>
    <w:rsid w:val="000C672D"/>
    <w:rsid w:val="000C6F98"/>
    <w:rsid w:val="00105B1A"/>
    <w:rsid w:val="0010708C"/>
    <w:rsid w:val="00131CF6"/>
    <w:rsid w:val="00144E82"/>
    <w:rsid w:val="001576D0"/>
    <w:rsid w:val="001F046F"/>
    <w:rsid w:val="00201B3F"/>
    <w:rsid w:val="002215EF"/>
    <w:rsid w:val="00231088"/>
    <w:rsid w:val="00245F37"/>
    <w:rsid w:val="002500E6"/>
    <w:rsid w:val="00257B8A"/>
    <w:rsid w:val="00263F38"/>
    <w:rsid w:val="002868A2"/>
    <w:rsid w:val="002939DC"/>
    <w:rsid w:val="002B35C2"/>
    <w:rsid w:val="002D77A8"/>
    <w:rsid w:val="002F5712"/>
    <w:rsid w:val="00304E92"/>
    <w:rsid w:val="00307948"/>
    <w:rsid w:val="00366E06"/>
    <w:rsid w:val="003670A1"/>
    <w:rsid w:val="00376C25"/>
    <w:rsid w:val="003817F6"/>
    <w:rsid w:val="00396175"/>
    <w:rsid w:val="00397BAC"/>
    <w:rsid w:val="003D46D1"/>
    <w:rsid w:val="00441FFC"/>
    <w:rsid w:val="00445C14"/>
    <w:rsid w:val="00454218"/>
    <w:rsid w:val="00457291"/>
    <w:rsid w:val="00486BE9"/>
    <w:rsid w:val="00487654"/>
    <w:rsid w:val="00496FAF"/>
    <w:rsid w:val="004A3836"/>
    <w:rsid w:val="004B011B"/>
    <w:rsid w:val="00505F01"/>
    <w:rsid w:val="00517D6E"/>
    <w:rsid w:val="00547414"/>
    <w:rsid w:val="00552D23"/>
    <w:rsid w:val="00554368"/>
    <w:rsid w:val="0056052B"/>
    <w:rsid w:val="005B4894"/>
    <w:rsid w:val="005B64D2"/>
    <w:rsid w:val="005E57C5"/>
    <w:rsid w:val="0060538D"/>
    <w:rsid w:val="00616E33"/>
    <w:rsid w:val="00621FDB"/>
    <w:rsid w:val="00624372"/>
    <w:rsid w:val="00626436"/>
    <w:rsid w:val="00633980"/>
    <w:rsid w:val="0064195A"/>
    <w:rsid w:val="00680B61"/>
    <w:rsid w:val="006A6193"/>
    <w:rsid w:val="006A7A37"/>
    <w:rsid w:val="006B6248"/>
    <w:rsid w:val="006B77B2"/>
    <w:rsid w:val="006C32AA"/>
    <w:rsid w:val="006E1954"/>
    <w:rsid w:val="006F08F6"/>
    <w:rsid w:val="006F44D8"/>
    <w:rsid w:val="00714E82"/>
    <w:rsid w:val="007317E5"/>
    <w:rsid w:val="007406AD"/>
    <w:rsid w:val="00757DC2"/>
    <w:rsid w:val="007675FD"/>
    <w:rsid w:val="00767641"/>
    <w:rsid w:val="00770DFB"/>
    <w:rsid w:val="007A0524"/>
    <w:rsid w:val="007A57A6"/>
    <w:rsid w:val="007B7CBF"/>
    <w:rsid w:val="007C3BE4"/>
    <w:rsid w:val="007D0E3B"/>
    <w:rsid w:val="007D77C0"/>
    <w:rsid w:val="007F0405"/>
    <w:rsid w:val="00816A86"/>
    <w:rsid w:val="0084282D"/>
    <w:rsid w:val="00847EA1"/>
    <w:rsid w:val="00867D2C"/>
    <w:rsid w:val="0087017B"/>
    <w:rsid w:val="00877F04"/>
    <w:rsid w:val="008A4844"/>
    <w:rsid w:val="008E28E0"/>
    <w:rsid w:val="0091542F"/>
    <w:rsid w:val="009244A5"/>
    <w:rsid w:val="009434FC"/>
    <w:rsid w:val="009745B9"/>
    <w:rsid w:val="009972E0"/>
    <w:rsid w:val="009B0136"/>
    <w:rsid w:val="009D1254"/>
    <w:rsid w:val="009D3176"/>
    <w:rsid w:val="00A06990"/>
    <w:rsid w:val="00A1550F"/>
    <w:rsid w:val="00A178C6"/>
    <w:rsid w:val="00A356A1"/>
    <w:rsid w:val="00A5591A"/>
    <w:rsid w:val="00A77751"/>
    <w:rsid w:val="00AA4C1E"/>
    <w:rsid w:val="00AA58A5"/>
    <w:rsid w:val="00AA79FE"/>
    <w:rsid w:val="00AD58C5"/>
    <w:rsid w:val="00AE4ED6"/>
    <w:rsid w:val="00AF1C34"/>
    <w:rsid w:val="00B005E2"/>
    <w:rsid w:val="00B02C2F"/>
    <w:rsid w:val="00B120E9"/>
    <w:rsid w:val="00B244F6"/>
    <w:rsid w:val="00B36978"/>
    <w:rsid w:val="00B43965"/>
    <w:rsid w:val="00B46E0F"/>
    <w:rsid w:val="00B9395C"/>
    <w:rsid w:val="00BA2F01"/>
    <w:rsid w:val="00BA3A62"/>
    <w:rsid w:val="00BA4FD6"/>
    <w:rsid w:val="00BA6BF3"/>
    <w:rsid w:val="00BD68D4"/>
    <w:rsid w:val="00BE1B83"/>
    <w:rsid w:val="00BE36F6"/>
    <w:rsid w:val="00BF1BDF"/>
    <w:rsid w:val="00BF6917"/>
    <w:rsid w:val="00C0790C"/>
    <w:rsid w:val="00C55723"/>
    <w:rsid w:val="00C6665E"/>
    <w:rsid w:val="00C76C10"/>
    <w:rsid w:val="00C76CB9"/>
    <w:rsid w:val="00C82A0E"/>
    <w:rsid w:val="00C92251"/>
    <w:rsid w:val="00CA55F7"/>
    <w:rsid w:val="00CB4706"/>
    <w:rsid w:val="00D06134"/>
    <w:rsid w:val="00D21BB0"/>
    <w:rsid w:val="00D4348D"/>
    <w:rsid w:val="00D632AE"/>
    <w:rsid w:val="00D632E4"/>
    <w:rsid w:val="00D852A3"/>
    <w:rsid w:val="00E20B5C"/>
    <w:rsid w:val="00E31ED5"/>
    <w:rsid w:val="00E777BD"/>
    <w:rsid w:val="00EA0542"/>
    <w:rsid w:val="00F07853"/>
    <w:rsid w:val="00F14E39"/>
    <w:rsid w:val="00F22A58"/>
    <w:rsid w:val="00FA1737"/>
    <w:rsid w:val="00FC5F16"/>
    <w:rsid w:val="00FC7D3D"/>
    <w:rsid w:val="00FD4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37842"/>
  <w15:docId w15:val="{65112DA4-BF89-4D4B-B244-DBE48D37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A4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844"/>
    <w:rPr>
      <w:rFonts w:ascii="Segoe UI" w:hAnsi="Segoe UI" w:cs="Segoe UI"/>
      <w:sz w:val="18"/>
      <w:szCs w:val="18"/>
    </w:rPr>
  </w:style>
  <w:style w:type="character" w:styleId="Hyperlink">
    <w:name w:val="Hyperlink"/>
    <w:basedOn w:val="DefaultParagraphFont"/>
    <w:uiPriority w:val="99"/>
    <w:unhideWhenUsed/>
    <w:rsid w:val="00B9395C"/>
    <w:rPr>
      <w:color w:val="0000FF" w:themeColor="hyperlink"/>
      <w:u w:val="single"/>
    </w:rPr>
  </w:style>
  <w:style w:type="character" w:customStyle="1" w:styleId="UnresolvedMention1">
    <w:name w:val="Unresolved Mention1"/>
    <w:basedOn w:val="DefaultParagraphFont"/>
    <w:uiPriority w:val="99"/>
    <w:semiHidden/>
    <w:unhideWhenUsed/>
    <w:rsid w:val="00B9395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670A1"/>
    <w:rPr>
      <w:b/>
      <w:bCs/>
    </w:rPr>
  </w:style>
  <w:style w:type="character" w:customStyle="1" w:styleId="CommentSubjectChar">
    <w:name w:val="Comment Subject Char"/>
    <w:basedOn w:val="CommentTextChar"/>
    <w:link w:val="CommentSubject"/>
    <w:uiPriority w:val="99"/>
    <w:semiHidden/>
    <w:rsid w:val="003670A1"/>
    <w:rPr>
      <w:b/>
      <w:bCs/>
      <w:sz w:val="20"/>
      <w:szCs w:val="20"/>
    </w:rPr>
  </w:style>
  <w:style w:type="paragraph" w:styleId="Revision">
    <w:name w:val="Revision"/>
    <w:hidden/>
    <w:uiPriority w:val="99"/>
    <w:semiHidden/>
    <w:rsid w:val="00257B8A"/>
    <w:pPr>
      <w:spacing w:after="0" w:line="240" w:lineRule="auto"/>
    </w:pPr>
  </w:style>
  <w:style w:type="paragraph" w:styleId="FootnoteText">
    <w:name w:val="footnote text"/>
    <w:basedOn w:val="Normal"/>
    <w:link w:val="FootnoteTextChar"/>
    <w:uiPriority w:val="99"/>
    <w:semiHidden/>
    <w:unhideWhenUsed/>
    <w:rsid w:val="007A05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0524"/>
    <w:rPr>
      <w:sz w:val="20"/>
      <w:szCs w:val="20"/>
    </w:rPr>
  </w:style>
  <w:style w:type="character" w:styleId="FootnoteReference">
    <w:name w:val="footnote reference"/>
    <w:basedOn w:val="DefaultParagraphFont"/>
    <w:uiPriority w:val="99"/>
    <w:semiHidden/>
    <w:unhideWhenUsed/>
    <w:rsid w:val="007A0524"/>
    <w:rPr>
      <w:vertAlign w:val="superscript"/>
    </w:rPr>
  </w:style>
  <w:style w:type="character" w:styleId="UnresolvedMention">
    <w:name w:val="Unresolved Mention"/>
    <w:basedOn w:val="DefaultParagraphFont"/>
    <w:uiPriority w:val="99"/>
    <w:semiHidden/>
    <w:unhideWhenUsed/>
    <w:rsid w:val="00626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paperpile.com/c/8CP8PQ/5P8p" TargetMode="External"/><Relationship Id="rId117" Type="http://schemas.openxmlformats.org/officeDocument/2006/relationships/hyperlink" Target="http://paperpile.com/b/8CP8PQ/2PMG" TargetMode="External"/><Relationship Id="rId21" Type="http://schemas.openxmlformats.org/officeDocument/2006/relationships/hyperlink" Target="https://paperpile.com/c/8CP8PQ/QJQI" TargetMode="External"/><Relationship Id="rId42" Type="http://schemas.openxmlformats.org/officeDocument/2006/relationships/hyperlink" Target="https://www.york.ac.uk/che/research/equity/monitoring/packs/" TargetMode="External"/><Relationship Id="rId47" Type="http://schemas.openxmlformats.org/officeDocument/2006/relationships/hyperlink" Target="https://paperpile.com/c/8CP8PQ/Ws05" TargetMode="External"/><Relationship Id="rId63" Type="http://schemas.openxmlformats.org/officeDocument/2006/relationships/hyperlink" Target="http://paperpile.com/b/8CP8PQ/harF" TargetMode="External"/><Relationship Id="rId68" Type="http://schemas.openxmlformats.org/officeDocument/2006/relationships/hyperlink" Target="http://paperpile.com/b/8CP8PQ/BCzB" TargetMode="External"/><Relationship Id="rId84" Type="http://schemas.openxmlformats.org/officeDocument/2006/relationships/hyperlink" Target="http://paperpile.com/b/8CP8PQ/qmdw" TargetMode="External"/><Relationship Id="rId89" Type="http://schemas.openxmlformats.org/officeDocument/2006/relationships/hyperlink" Target="http://paperpile.com/b/8CP8PQ/5P8p" TargetMode="External"/><Relationship Id="rId112" Type="http://schemas.openxmlformats.org/officeDocument/2006/relationships/hyperlink" Target="http://paperpile.com/b/8CP8PQ/AURo" TargetMode="External"/><Relationship Id="rId133" Type="http://schemas.openxmlformats.org/officeDocument/2006/relationships/hyperlink" Target="http://paperpile.com/b/8CP8PQ/BqA2" TargetMode="External"/><Relationship Id="rId138" Type="http://schemas.openxmlformats.org/officeDocument/2006/relationships/hyperlink" Target="http://paperpile.com/b/8CP8PQ/NJON" TargetMode="External"/><Relationship Id="rId154" Type="http://schemas.openxmlformats.org/officeDocument/2006/relationships/hyperlink" Target="http://paperpile.com/b/8CP8PQ/060G" TargetMode="External"/><Relationship Id="rId159" Type="http://schemas.openxmlformats.org/officeDocument/2006/relationships/hyperlink" Target="http://paperpile.com/b/8CP8PQ/2v6m" TargetMode="External"/><Relationship Id="rId16" Type="http://schemas.openxmlformats.org/officeDocument/2006/relationships/hyperlink" Target="https://paperpile.com/c/8CP8PQ/QCf7" TargetMode="External"/><Relationship Id="rId107" Type="http://schemas.openxmlformats.org/officeDocument/2006/relationships/hyperlink" Target="http://paperpile.com/b/8CP8PQ/e13z" TargetMode="External"/><Relationship Id="rId11" Type="http://schemas.openxmlformats.org/officeDocument/2006/relationships/hyperlink" Target="https://paperpile.com/c/8CP8PQ/BrCO" TargetMode="External"/><Relationship Id="rId32" Type="http://schemas.openxmlformats.org/officeDocument/2006/relationships/hyperlink" Target="https://paperpile.com/c/8CP8PQ/b4Xg" TargetMode="External"/><Relationship Id="rId37" Type="http://schemas.openxmlformats.org/officeDocument/2006/relationships/hyperlink" Target="https://shiny.york.ac.uk/ccg_equity/" TargetMode="External"/><Relationship Id="rId53" Type="http://schemas.openxmlformats.org/officeDocument/2006/relationships/hyperlink" Target="https://shiny.york.ac.uk/dcea/" TargetMode="External"/><Relationship Id="rId58" Type="http://schemas.openxmlformats.org/officeDocument/2006/relationships/hyperlink" Target="https://www.england.nhs.uk/rightcare/products/ccg-data-packs/equality-and-health-inequality-nhs-rightcare-packs/" TargetMode="External"/><Relationship Id="rId74" Type="http://schemas.openxmlformats.org/officeDocument/2006/relationships/hyperlink" Target="https://play.google.com/store/books/details?id=anK0DwAAQBAJ" TargetMode="External"/><Relationship Id="rId79" Type="http://schemas.openxmlformats.org/officeDocument/2006/relationships/hyperlink" Target="http://dx.doi.org/10.3310/hsdr04260" TargetMode="External"/><Relationship Id="rId102" Type="http://schemas.openxmlformats.org/officeDocument/2006/relationships/hyperlink" Target="http://paperpile.com/b/8CP8PQ/pIW9" TargetMode="External"/><Relationship Id="rId123" Type="http://schemas.openxmlformats.org/officeDocument/2006/relationships/hyperlink" Target="http://paperpile.com/b/8CP8PQ/BrCO" TargetMode="External"/><Relationship Id="rId128" Type="http://schemas.openxmlformats.org/officeDocument/2006/relationships/hyperlink" Target="http://paperpile.com/b/8CP8PQ/cBTa" TargetMode="External"/><Relationship Id="rId144" Type="http://schemas.openxmlformats.org/officeDocument/2006/relationships/hyperlink" Target="http://paperpile.com/b/8CP8PQ/BsfP" TargetMode="External"/><Relationship Id="rId149" Type="http://schemas.openxmlformats.org/officeDocument/2006/relationships/hyperlink" Target="http://paperpile.com/b/8CP8PQ/qeky" TargetMode="External"/><Relationship Id="rId5" Type="http://schemas.openxmlformats.org/officeDocument/2006/relationships/webSettings" Target="webSettings.xml"/><Relationship Id="rId90" Type="http://schemas.openxmlformats.org/officeDocument/2006/relationships/hyperlink" Target="https://play.google.com/store/books/details?id=yzZSCwAAQBAJ" TargetMode="External"/><Relationship Id="rId95" Type="http://schemas.openxmlformats.org/officeDocument/2006/relationships/hyperlink" Target="http://dx.doi.org/10.1136/bmj.l5901" TargetMode="External"/><Relationship Id="rId160" Type="http://schemas.openxmlformats.org/officeDocument/2006/relationships/hyperlink" Target="http://paperpile.com/b/8CP8PQ/2v6m" TargetMode="External"/><Relationship Id="rId165" Type="http://schemas.openxmlformats.org/officeDocument/2006/relationships/fontTable" Target="fontTable.xml"/><Relationship Id="rId22" Type="http://schemas.openxmlformats.org/officeDocument/2006/relationships/hyperlink" Target="https://paperpile.com/c/8CP8PQ/e13z" TargetMode="External"/><Relationship Id="rId27" Type="http://schemas.openxmlformats.org/officeDocument/2006/relationships/image" Target="media/image4.png"/><Relationship Id="rId43" Type="http://schemas.openxmlformats.org/officeDocument/2006/relationships/hyperlink" Target="https://www.york.ac.uk/che/research/equity/monitoring/packs/" TargetMode="External"/><Relationship Id="rId48" Type="http://schemas.openxmlformats.org/officeDocument/2006/relationships/hyperlink" Target="https://doi.org/10.1596/1813-9450-8139" TargetMode="External"/><Relationship Id="rId64" Type="http://schemas.openxmlformats.org/officeDocument/2006/relationships/hyperlink" Target="http://paperpile.com/b/8CP8PQ/harF" TargetMode="External"/><Relationship Id="rId69" Type="http://schemas.openxmlformats.org/officeDocument/2006/relationships/hyperlink" Target="http://dx.doi.org/10.1596/1813-9450-8139" TargetMode="External"/><Relationship Id="rId113" Type="http://schemas.openxmlformats.org/officeDocument/2006/relationships/hyperlink" Target="http://paperpile.com/b/8CP8PQ/zas8" TargetMode="External"/><Relationship Id="rId118" Type="http://schemas.openxmlformats.org/officeDocument/2006/relationships/hyperlink" Target="http://paperpile.com/b/8CP8PQ/2PMG" TargetMode="External"/><Relationship Id="rId134" Type="http://schemas.openxmlformats.org/officeDocument/2006/relationships/hyperlink" Target="https://www.york.ac.uk/media/economics/documents/hedg/workingpapers/1920.pdf" TargetMode="External"/><Relationship Id="rId139" Type="http://schemas.openxmlformats.org/officeDocument/2006/relationships/hyperlink" Target="http://paperpile.com/b/8CP8PQ/AIq9" TargetMode="External"/><Relationship Id="rId80" Type="http://schemas.openxmlformats.org/officeDocument/2006/relationships/hyperlink" Target="http://paperpile.com/b/8CP8PQ/amKv" TargetMode="External"/><Relationship Id="rId85" Type="http://schemas.openxmlformats.org/officeDocument/2006/relationships/hyperlink" Target="http://paperpile.com/b/8CP8PQ/qmdw" TargetMode="External"/><Relationship Id="rId150" Type="http://schemas.openxmlformats.org/officeDocument/2006/relationships/hyperlink" Target="http://paperpile.com/b/8CP8PQ/0Ihb" TargetMode="External"/><Relationship Id="rId155" Type="http://schemas.openxmlformats.org/officeDocument/2006/relationships/hyperlink" Target="http://paperpile.com/b/8CP8PQ/060G" TargetMode="External"/><Relationship Id="rId171" Type="http://schemas.microsoft.com/office/2018/08/relationships/commentsExtensible" Target="commentsExtensible.xml"/><Relationship Id="rId12" Type="http://schemas.openxmlformats.org/officeDocument/2006/relationships/hyperlink" Target="https://paperpile.com/c/8CP8PQ/2v6m" TargetMode="External"/><Relationship Id="rId17" Type="http://schemas.openxmlformats.org/officeDocument/2006/relationships/image" Target="media/image1.png"/><Relationship Id="rId33" Type="http://schemas.openxmlformats.org/officeDocument/2006/relationships/hyperlink" Target="https://paperpile.com/c/8CP8PQ/amKv" TargetMode="External"/><Relationship Id="rId38" Type="http://schemas.openxmlformats.org/officeDocument/2006/relationships/image" Target="media/image6.png"/><Relationship Id="rId59" Type="http://schemas.openxmlformats.org/officeDocument/2006/relationships/hyperlink" Target="http://www.healthscotland.scot/reducing-health-inequalities/use-the-right-indicators" TargetMode="External"/><Relationship Id="rId103" Type="http://schemas.openxmlformats.org/officeDocument/2006/relationships/hyperlink" Target="http://paperpile.com/b/8CP8PQ/pIW9" TargetMode="External"/><Relationship Id="rId108" Type="http://schemas.openxmlformats.org/officeDocument/2006/relationships/hyperlink" Target="http://paperpile.com/b/8CP8PQ/AURo" TargetMode="External"/><Relationship Id="rId124" Type="http://schemas.openxmlformats.org/officeDocument/2006/relationships/hyperlink" Target="http://paperpile.com/b/8CP8PQ/BrCO" TargetMode="External"/><Relationship Id="rId129" Type="http://schemas.openxmlformats.org/officeDocument/2006/relationships/hyperlink" Target="http://paperpile.com/b/8CP8PQ/cBTa" TargetMode="External"/><Relationship Id="rId54" Type="http://schemas.openxmlformats.org/officeDocument/2006/relationships/hyperlink" Target="https://doi.org/10.3310/hsdr04260" TargetMode="External"/><Relationship Id="rId70" Type="http://schemas.openxmlformats.org/officeDocument/2006/relationships/hyperlink" Target="http://paperpile.com/b/8CP8PQ/BCzB" TargetMode="External"/><Relationship Id="rId75" Type="http://schemas.openxmlformats.org/officeDocument/2006/relationships/hyperlink" Target="http://paperpile.com/b/8CP8PQ/TClV" TargetMode="External"/><Relationship Id="rId91" Type="http://schemas.openxmlformats.org/officeDocument/2006/relationships/hyperlink" Target="http://paperpile.com/b/8CP8PQ/5P8p" TargetMode="External"/><Relationship Id="rId96" Type="http://schemas.openxmlformats.org/officeDocument/2006/relationships/hyperlink" Target="http://paperpile.com/b/8CP8PQ/Ws05" TargetMode="External"/><Relationship Id="rId140" Type="http://schemas.openxmlformats.org/officeDocument/2006/relationships/hyperlink" Target="http://paperpile.com/b/8CP8PQ/AIq9" TargetMode="External"/><Relationship Id="rId145" Type="http://schemas.openxmlformats.org/officeDocument/2006/relationships/hyperlink" Target="http://paperpile.com/b/8CP8PQ/qeky" TargetMode="External"/><Relationship Id="rId161" Type="http://schemas.openxmlformats.org/officeDocument/2006/relationships/hyperlink" Target="http://paperpile.com/b/8CP8PQ/2v6m"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aperpile.com/c/8CP8PQ/BCzB" TargetMode="External"/><Relationship Id="rId23" Type="http://schemas.openxmlformats.org/officeDocument/2006/relationships/hyperlink" Target="https://paperpile.com/c/8CP8PQ/BsfP" TargetMode="External"/><Relationship Id="rId28" Type="http://schemas.openxmlformats.org/officeDocument/2006/relationships/hyperlink" Target="https://paperpile.com/c/8CP8PQ/060G" TargetMode="External"/><Relationship Id="rId36" Type="http://schemas.openxmlformats.org/officeDocument/2006/relationships/hyperlink" Target="https://shiny.york.ac.uk/ccg_equity/" TargetMode="External"/><Relationship Id="rId49" Type="http://schemas.openxmlformats.org/officeDocument/2006/relationships/hyperlink" Target="https://www.york.ac.uk/media/economics/documents/hedg/workingpapers/1920.pdf" TargetMode="External"/><Relationship Id="rId57" Type="http://schemas.openxmlformats.org/officeDocument/2006/relationships/hyperlink" Target="https://www.england.nhs.uk/about/equality/equality-hub/resources/" TargetMode="External"/><Relationship Id="rId106" Type="http://schemas.openxmlformats.org/officeDocument/2006/relationships/hyperlink" Target="http://paperpile.com/b/8CP8PQ/e13z" TargetMode="External"/><Relationship Id="rId114" Type="http://schemas.openxmlformats.org/officeDocument/2006/relationships/hyperlink" Target="http://paperpile.com/b/8CP8PQ/zas8" TargetMode="External"/><Relationship Id="rId119" Type="http://schemas.openxmlformats.org/officeDocument/2006/relationships/hyperlink" Target="http://paperpile.com/b/8CP8PQ/FBFn" TargetMode="External"/><Relationship Id="rId127" Type="http://schemas.openxmlformats.org/officeDocument/2006/relationships/hyperlink" Target="http://paperpile.com/b/8CP8PQ/QCf7" TargetMode="External"/><Relationship Id="rId10" Type="http://schemas.openxmlformats.org/officeDocument/2006/relationships/hyperlink" Target="https://paperpile.com/c/8CP8PQ/cBTa" TargetMode="External"/><Relationship Id="rId31" Type="http://schemas.openxmlformats.org/officeDocument/2006/relationships/hyperlink" Target="https://paperpile.com/c/8CP8PQ/qeky" TargetMode="External"/><Relationship Id="rId44" Type="http://schemas.openxmlformats.org/officeDocument/2006/relationships/hyperlink" Target="https://paperpile.com/c/8CP8PQ/2PMG" TargetMode="External"/><Relationship Id="rId52" Type="http://schemas.openxmlformats.org/officeDocument/2006/relationships/hyperlink" Target="https://www.york.ac.uk/che/research/equity/handbook/" TargetMode="External"/><Relationship Id="rId60" Type="http://schemas.openxmlformats.org/officeDocument/2006/relationships/hyperlink" Target="https://www.who.int/gho/health_equity/handbook/en/" TargetMode="External"/><Relationship Id="rId65" Type="http://schemas.openxmlformats.org/officeDocument/2006/relationships/hyperlink" Target="http://paperpile.com/b/8CP8PQ/harF" TargetMode="External"/><Relationship Id="rId73" Type="http://schemas.openxmlformats.org/officeDocument/2006/relationships/hyperlink" Target="http://paperpile.com/b/8CP8PQ/TClV" TargetMode="External"/><Relationship Id="rId78" Type="http://schemas.openxmlformats.org/officeDocument/2006/relationships/hyperlink" Target="http://paperpile.com/b/8CP8PQ/amKv" TargetMode="External"/><Relationship Id="rId81" Type="http://schemas.openxmlformats.org/officeDocument/2006/relationships/hyperlink" Target="http://paperpile.com/b/8CP8PQ/b4Xg" TargetMode="External"/><Relationship Id="rId86" Type="http://schemas.openxmlformats.org/officeDocument/2006/relationships/hyperlink" Target="http://paperpile.com/b/8CP8PQ/qmdw" TargetMode="External"/><Relationship Id="rId94" Type="http://schemas.openxmlformats.org/officeDocument/2006/relationships/hyperlink" Target="http://paperpile.com/b/8CP8PQ/Ws05" TargetMode="External"/><Relationship Id="rId99" Type="http://schemas.openxmlformats.org/officeDocument/2006/relationships/hyperlink" Target="http://paperpile.com/b/8CP8PQ/hATK" TargetMode="External"/><Relationship Id="rId101" Type="http://schemas.openxmlformats.org/officeDocument/2006/relationships/hyperlink" Target="http://paperpile.com/b/8CP8PQ/hATK" TargetMode="External"/><Relationship Id="rId122" Type="http://schemas.openxmlformats.org/officeDocument/2006/relationships/hyperlink" Target="http://paperpile.com/b/8CP8PQ/BrCO" TargetMode="External"/><Relationship Id="rId130" Type="http://schemas.openxmlformats.org/officeDocument/2006/relationships/hyperlink" Target="http://paperpile.com/b/8CP8PQ/cBTa" TargetMode="External"/><Relationship Id="rId135" Type="http://schemas.openxmlformats.org/officeDocument/2006/relationships/hyperlink" Target="http://paperpile.com/b/8CP8PQ/BqA2" TargetMode="External"/><Relationship Id="rId143" Type="http://schemas.openxmlformats.org/officeDocument/2006/relationships/hyperlink" Target="https://equipol.org/research/projects/lifesim/" TargetMode="External"/><Relationship Id="rId148" Type="http://schemas.openxmlformats.org/officeDocument/2006/relationships/hyperlink" Target="https://play.google.com/store/books/details?id=c4CsWZYVOTwC" TargetMode="External"/><Relationship Id="rId151" Type="http://schemas.openxmlformats.org/officeDocument/2006/relationships/hyperlink" Target="http://paperpile.com/b/8CP8PQ/0Ihb" TargetMode="External"/><Relationship Id="rId156" Type="http://schemas.openxmlformats.org/officeDocument/2006/relationships/hyperlink" Target="http://paperpile.com/b/8CP8PQ/QJQI" TargetMode="External"/><Relationship Id="rId16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aperpile.com/c/8CP8PQ/zas8" TargetMode="External"/><Relationship Id="rId13" Type="http://schemas.openxmlformats.org/officeDocument/2006/relationships/hyperlink" Target="https://paperpile.com/c/8CP8PQ/TClV" TargetMode="External"/><Relationship Id="rId18" Type="http://schemas.openxmlformats.org/officeDocument/2006/relationships/image" Target="media/image2.png"/><Relationship Id="rId39" Type="http://schemas.openxmlformats.org/officeDocument/2006/relationships/hyperlink" Target="https://shiny.york.ac.uk/ccg_equity/" TargetMode="External"/><Relationship Id="rId109" Type="http://schemas.openxmlformats.org/officeDocument/2006/relationships/hyperlink" Target="http://paperpile.com/b/8CP8PQ/AURo" TargetMode="External"/><Relationship Id="rId34" Type="http://schemas.openxmlformats.org/officeDocument/2006/relationships/hyperlink" Target="https://paperpile.com/c/8CP8PQ/amKv" TargetMode="External"/><Relationship Id="rId50" Type="http://schemas.openxmlformats.org/officeDocument/2006/relationships/hyperlink" Target="https://www.healtheconomics.org/page/EEE" TargetMode="External"/><Relationship Id="rId55" Type="http://schemas.openxmlformats.org/officeDocument/2006/relationships/hyperlink" Target="https://www.york.ac.uk/che/research/equity/monitoring/" TargetMode="External"/><Relationship Id="rId76" Type="http://schemas.openxmlformats.org/officeDocument/2006/relationships/hyperlink" Target="http://paperpile.com/b/8CP8PQ/amKv" TargetMode="External"/><Relationship Id="rId97" Type="http://schemas.openxmlformats.org/officeDocument/2006/relationships/hyperlink" Target="http://paperpile.com/b/8CP8PQ/hATK" TargetMode="External"/><Relationship Id="rId104" Type="http://schemas.openxmlformats.org/officeDocument/2006/relationships/hyperlink" Target="http://paperpile.com/b/8CP8PQ/pIW9" TargetMode="External"/><Relationship Id="rId120" Type="http://schemas.openxmlformats.org/officeDocument/2006/relationships/hyperlink" Target="http://paperpile.com/b/8CP8PQ/FBFn" TargetMode="External"/><Relationship Id="rId125" Type="http://schemas.openxmlformats.org/officeDocument/2006/relationships/hyperlink" Target="http://paperpile.com/b/8CP8PQ/QCf7" TargetMode="External"/><Relationship Id="rId141" Type="http://schemas.openxmlformats.org/officeDocument/2006/relationships/hyperlink" Target="http://paperpile.com/b/8CP8PQ/AIq9" TargetMode="External"/><Relationship Id="rId146" Type="http://schemas.openxmlformats.org/officeDocument/2006/relationships/hyperlink" Target="http://paperpile.com/b/8CP8PQ/qeky" TargetMode="External"/><Relationship Id="rId7" Type="http://schemas.openxmlformats.org/officeDocument/2006/relationships/endnotes" Target="endnotes.xml"/><Relationship Id="rId71" Type="http://schemas.openxmlformats.org/officeDocument/2006/relationships/hyperlink" Target="http://paperpile.com/b/8CP8PQ/TClV" TargetMode="External"/><Relationship Id="rId92" Type="http://schemas.openxmlformats.org/officeDocument/2006/relationships/hyperlink" Target="http://paperpile.com/b/8CP8PQ/Ws05" TargetMode="External"/><Relationship Id="rId162" Type="http://schemas.openxmlformats.org/officeDocument/2006/relationships/hyperlink" Target="https://play.google.com/store/books/details?id=d140DgAAQBAJ" TargetMode="External"/><Relationship Id="rId2" Type="http://schemas.openxmlformats.org/officeDocument/2006/relationships/numbering" Target="numbering.xml"/><Relationship Id="rId29" Type="http://schemas.openxmlformats.org/officeDocument/2006/relationships/hyperlink" Target="https://paperpile.com/c/8CP8PQ/0Ihb" TargetMode="External"/><Relationship Id="rId24" Type="http://schemas.openxmlformats.org/officeDocument/2006/relationships/hyperlink" Target="https://paperpile.com/c/8CP8PQ/qmdw" TargetMode="External"/><Relationship Id="rId40" Type="http://schemas.openxmlformats.org/officeDocument/2006/relationships/hyperlink" Target="https://shiny.york.ac.uk/ccg_equity/" TargetMode="External"/><Relationship Id="rId45" Type="http://schemas.openxmlformats.org/officeDocument/2006/relationships/hyperlink" Target="https://paperpile.com/c/8CP8PQ/AURo" TargetMode="External"/><Relationship Id="rId66" Type="http://schemas.openxmlformats.org/officeDocument/2006/relationships/hyperlink" Target="http://paperpile.com/b/8CP8PQ/BCzB" TargetMode="External"/><Relationship Id="rId87" Type="http://schemas.openxmlformats.org/officeDocument/2006/relationships/hyperlink" Target="http://paperpile.com/b/8CP8PQ/5P8p" TargetMode="External"/><Relationship Id="rId110" Type="http://schemas.openxmlformats.org/officeDocument/2006/relationships/hyperlink" Target="http://paperpile.com/b/8CP8PQ/AURo" TargetMode="External"/><Relationship Id="rId115" Type="http://schemas.openxmlformats.org/officeDocument/2006/relationships/hyperlink" Target="http://paperpile.com/b/8CP8PQ/zas8" TargetMode="External"/><Relationship Id="rId131" Type="http://schemas.openxmlformats.org/officeDocument/2006/relationships/hyperlink" Target="http://paperpile.com/b/8CP8PQ/BqA2" TargetMode="External"/><Relationship Id="rId136" Type="http://schemas.openxmlformats.org/officeDocument/2006/relationships/hyperlink" Target="http://paperpile.com/b/8CP8PQ/NJON" TargetMode="External"/><Relationship Id="rId157" Type="http://schemas.openxmlformats.org/officeDocument/2006/relationships/hyperlink" Target="http://paperpile.com/b/8CP8PQ/QJQI" TargetMode="External"/><Relationship Id="rId61" Type="http://schemas.openxmlformats.org/officeDocument/2006/relationships/hyperlink" Target="https://www.ahrq.gov/research/findings/nhqrdr/index.html" TargetMode="External"/><Relationship Id="rId82" Type="http://schemas.openxmlformats.org/officeDocument/2006/relationships/hyperlink" Target="http://paperpile.com/b/8CP8PQ/b4Xg" TargetMode="External"/><Relationship Id="rId152" Type="http://schemas.openxmlformats.org/officeDocument/2006/relationships/hyperlink" Target="http://paperpile.com/b/8CP8PQ/0Ihb" TargetMode="External"/><Relationship Id="rId19" Type="http://schemas.openxmlformats.org/officeDocument/2006/relationships/hyperlink" Target="https://paperpile.com/c/8CP8PQ/BqA2" TargetMode="External"/><Relationship Id="rId14" Type="http://schemas.openxmlformats.org/officeDocument/2006/relationships/hyperlink" Target="https://paperpile.com/c/8CP8PQ/hATK" TargetMode="External"/><Relationship Id="rId30" Type="http://schemas.openxmlformats.org/officeDocument/2006/relationships/hyperlink" Target="https://paperpile.com/c/8CP8PQ/harF" TargetMode="External"/><Relationship Id="rId35" Type="http://schemas.openxmlformats.org/officeDocument/2006/relationships/image" Target="media/image5.png"/><Relationship Id="rId56" Type="http://schemas.openxmlformats.org/officeDocument/2006/relationships/hyperlink" Target="https://www.york.ac.uk/che/research/equity/monitoring/packs/" TargetMode="External"/><Relationship Id="rId77" Type="http://schemas.openxmlformats.org/officeDocument/2006/relationships/hyperlink" Target="http://paperpile.com/b/8CP8PQ/amKv" TargetMode="External"/><Relationship Id="rId100" Type="http://schemas.openxmlformats.org/officeDocument/2006/relationships/hyperlink" Target="http://dx.doi.org/10.1001/jama.2020.11132" TargetMode="External"/><Relationship Id="rId105" Type="http://schemas.openxmlformats.org/officeDocument/2006/relationships/hyperlink" Target="http://paperpile.com/b/8CP8PQ/e13z" TargetMode="External"/><Relationship Id="rId126" Type="http://schemas.openxmlformats.org/officeDocument/2006/relationships/hyperlink" Target="http://paperpile.com/b/8CP8PQ/QCf7" TargetMode="External"/><Relationship Id="rId147" Type="http://schemas.openxmlformats.org/officeDocument/2006/relationships/hyperlink" Target="http://paperpile.com/b/8CP8PQ/qeky" TargetMode="External"/><Relationship Id="rId8" Type="http://schemas.openxmlformats.org/officeDocument/2006/relationships/hyperlink" Target="https://paperpile.com/c/8CP8PQ/cBTa" TargetMode="External"/><Relationship Id="rId51" Type="http://schemas.openxmlformats.org/officeDocument/2006/relationships/hyperlink" Target="https://www.york.ac.uk/che/research/equity/distributional-cost-effectiveness-analysis/" TargetMode="External"/><Relationship Id="rId72" Type="http://schemas.openxmlformats.org/officeDocument/2006/relationships/hyperlink" Target="http://paperpile.com/b/8CP8PQ/TClV" TargetMode="External"/><Relationship Id="rId93" Type="http://schemas.openxmlformats.org/officeDocument/2006/relationships/hyperlink" Target="http://paperpile.com/b/8CP8PQ/Ws05" TargetMode="External"/><Relationship Id="rId98" Type="http://schemas.openxmlformats.org/officeDocument/2006/relationships/hyperlink" Target="http://paperpile.com/b/8CP8PQ/hATK" TargetMode="External"/><Relationship Id="rId121" Type="http://schemas.openxmlformats.org/officeDocument/2006/relationships/hyperlink" Target="http://paperpile.com/b/8CP8PQ/FBFn" TargetMode="External"/><Relationship Id="rId142" Type="http://schemas.openxmlformats.org/officeDocument/2006/relationships/hyperlink" Target="http://paperpile.com/b/8CP8PQ/BsfP" TargetMode="External"/><Relationship Id="rId163" Type="http://schemas.openxmlformats.org/officeDocument/2006/relationships/hyperlink" Target="http://paperpile.com/b/8CP8PQ/2v6m" TargetMode="External"/><Relationship Id="rId3" Type="http://schemas.openxmlformats.org/officeDocument/2006/relationships/styles" Target="styles.xml"/><Relationship Id="rId25" Type="http://schemas.openxmlformats.org/officeDocument/2006/relationships/hyperlink" Target="https://paperpile.com/c/8CP8PQ/FBFn" TargetMode="External"/><Relationship Id="rId46" Type="http://schemas.openxmlformats.org/officeDocument/2006/relationships/hyperlink" Target="https://paperpile.com/c/8CP8PQ/NJON" TargetMode="External"/><Relationship Id="rId67" Type="http://schemas.openxmlformats.org/officeDocument/2006/relationships/hyperlink" Target="http://paperpile.com/b/8CP8PQ/BCzB" TargetMode="External"/><Relationship Id="rId116" Type="http://schemas.openxmlformats.org/officeDocument/2006/relationships/hyperlink" Target="http://paperpile.com/b/8CP8PQ/2PMG" TargetMode="External"/><Relationship Id="rId137" Type="http://schemas.openxmlformats.org/officeDocument/2006/relationships/hyperlink" Target="http://paperpile.com/b/8CP8PQ/NJON" TargetMode="External"/><Relationship Id="rId158" Type="http://schemas.openxmlformats.org/officeDocument/2006/relationships/hyperlink" Target="http://paperpile.com/b/8CP8PQ/QJQI" TargetMode="External"/><Relationship Id="rId20" Type="http://schemas.openxmlformats.org/officeDocument/2006/relationships/image" Target="media/image3.png"/><Relationship Id="rId41" Type="http://schemas.openxmlformats.org/officeDocument/2006/relationships/image" Target="media/image7.png"/><Relationship Id="rId62" Type="http://schemas.openxmlformats.org/officeDocument/2006/relationships/hyperlink" Target="https://www.cihi.ca/en/health-inequalities" TargetMode="External"/><Relationship Id="rId83" Type="http://schemas.openxmlformats.org/officeDocument/2006/relationships/hyperlink" Target="http://paperpile.com/b/8CP8PQ/b4Xg" TargetMode="External"/><Relationship Id="rId88" Type="http://schemas.openxmlformats.org/officeDocument/2006/relationships/hyperlink" Target="http://paperpile.com/b/8CP8PQ/5P8p" TargetMode="External"/><Relationship Id="rId111" Type="http://schemas.openxmlformats.org/officeDocument/2006/relationships/hyperlink" Target="https://play.google.com/store/books/details?id=OJ1FcYY3htAC" TargetMode="External"/><Relationship Id="rId132" Type="http://schemas.openxmlformats.org/officeDocument/2006/relationships/hyperlink" Target="http://paperpile.com/b/8CP8PQ/BqA2" TargetMode="External"/><Relationship Id="rId153" Type="http://schemas.openxmlformats.org/officeDocument/2006/relationships/hyperlink" Target="http://paperpile.com/b/8CP8PQ/060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5E216CD-E14A-49F8-B71C-0DA46240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9468</Words>
  <Characters>53972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mrobson</dc:creator>
  <cp:lastModifiedBy>Richard Cookson</cp:lastModifiedBy>
  <cp:revision>2</cp:revision>
  <dcterms:created xsi:type="dcterms:W3CDTF">2020-12-16T19:07:00Z</dcterms:created>
  <dcterms:modified xsi:type="dcterms:W3CDTF">2020-12-16T19:07:00Z</dcterms:modified>
</cp:coreProperties>
</file>