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2A6C" w:rsidRPr="002241DD" w:rsidRDefault="00671CF7">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t xml:space="preserve">Cost-effectiveness of gestational diabetes screening including prevention of type 2 diabetes: application of the </w:t>
      </w:r>
      <w:proofErr w:type="spellStart"/>
      <w:r w:rsidRPr="002241DD">
        <w:rPr>
          <w:rFonts w:ascii="Times New Roman" w:eastAsia="Times New Roman" w:hAnsi="Times New Roman" w:cs="Times New Roman"/>
          <w:b/>
          <w:sz w:val="20"/>
          <w:szCs w:val="20"/>
        </w:rPr>
        <w:t>GeDiForCE</w:t>
      </w:r>
      <w:proofErr w:type="spellEnd"/>
      <w:r w:rsidRPr="002241DD">
        <w:rPr>
          <w:rFonts w:ascii="Times New Roman" w:eastAsia="Times New Roman" w:hAnsi="Times New Roman" w:cs="Times New Roman"/>
          <w:b/>
          <w:sz w:val="20"/>
          <w:szCs w:val="20"/>
        </w:rPr>
        <w:t xml:space="preserve"> model in Australia</w:t>
      </w:r>
    </w:p>
    <w:p w14:paraId="00000002" w14:textId="77777777" w:rsidR="009A2A6C" w:rsidRPr="002241DD" w:rsidRDefault="009A2A6C">
      <w:pPr>
        <w:spacing w:after="0" w:line="480" w:lineRule="auto"/>
        <w:rPr>
          <w:rFonts w:ascii="Times New Roman" w:eastAsia="Times New Roman" w:hAnsi="Times New Roman" w:cs="Times New Roman"/>
          <w:sz w:val="20"/>
          <w:szCs w:val="20"/>
        </w:rPr>
      </w:pPr>
    </w:p>
    <w:p w14:paraId="00000003" w14:textId="625D9A4E" w:rsidR="009A2A6C" w:rsidRPr="002241DD" w:rsidRDefault="00671CF7">
      <w:pPr>
        <w:spacing w:after="0" w:line="480" w:lineRule="auto"/>
        <w:rPr>
          <w:rFonts w:ascii="Times New Roman" w:eastAsia="Times New Roman" w:hAnsi="Times New Roman" w:cs="Times New Roman"/>
          <w:sz w:val="20"/>
          <w:szCs w:val="20"/>
          <w:vertAlign w:val="superscript"/>
        </w:rPr>
      </w:pPr>
      <w:r w:rsidRPr="002241DD">
        <w:rPr>
          <w:rFonts w:ascii="Times New Roman" w:eastAsia="Times New Roman" w:hAnsi="Times New Roman" w:cs="Times New Roman"/>
          <w:sz w:val="20"/>
          <w:szCs w:val="20"/>
        </w:rPr>
        <w:t>Hannah Beilby</w:t>
      </w:r>
      <w:r w:rsidRPr="002241DD">
        <w:rPr>
          <w:rFonts w:ascii="Times New Roman" w:eastAsia="Times New Roman" w:hAnsi="Times New Roman" w:cs="Times New Roman"/>
          <w:sz w:val="20"/>
          <w:szCs w:val="20"/>
          <w:vertAlign w:val="superscript"/>
        </w:rPr>
        <w:t>1</w:t>
      </w:r>
      <w:r w:rsidRPr="002241DD">
        <w:rPr>
          <w:rFonts w:ascii="Times New Roman" w:eastAsia="Times New Roman" w:hAnsi="Times New Roman" w:cs="Times New Roman"/>
          <w:sz w:val="20"/>
          <w:szCs w:val="20"/>
        </w:rPr>
        <w:t>, Fan Yang</w:t>
      </w:r>
      <w:r w:rsidRPr="002241DD">
        <w:rPr>
          <w:rFonts w:ascii="Times New Roman" w:eastAsia="Times New Roman" w:hAnsi="Times New Roman" w:cs="Times New Roman"/>
          <w:sz w:val="20"/>
          <w:szCs w:val="20"/>
          <w:vertAlign w:val="superscript"/>
        </w:rPr>
        <w:t>2</w:t>
      </w:r>
      <w:r w:rsidRPr="002241DD">
        <w:rPr>
          <w:rFonts w:ascii="Times New Roman" w:eastAsia="Times New Roman" w:hAnsi="Times New Roman" w:cs="Times New Roman"/>
          <w:sz w:val="20"/>
          <w:szCs w:val="20"/>
        </w:rPr>
        <w:t>, Brenda Gannon</w:t>
      </w:r>
      <w:r w:rsidRPr="002241DD">
        <w:rPr>
          <w:rFonts w:ascii="Times New Roman" w:eastAsia="Times New Roman" w:hAnsi="Times New Roman" w:cs="Times New Roman"/>
          <w:sz w:val="20"/>
          <w:szCs w:val="20"/>
          <w:vertAlign w:val="superscript"/>
        </w:rPr>
        <w:t>1</w:t>
      </w:r>
      <w:r w:rsidRPr="002241DD">
        <w:rPr>
          <w:rFonts w:ascii="Times New Roman" w:eastAsia="Times New Roman" w:hAnsi="Times New Roman" w:cs="Times New Roman"/>
          <w:sz w:val="20"/>
          <w:szCs w:val="20"/>
        </w:rPr>
        <w:t xml:space="preserve">, </w:t>
      </w:r>
      <w:r w:rsidR="00FC74FA" w:rsidRPr="002241DD">
        <w:rPr>
          <w:rFonts w:ascii="Times New Roman" w:eastAsia="Times New Roman" w:hAnsi="Times New Roman" w:cs="Times New Roman"/>
          <w:sz w:val="20"/>
          <w:szCs w:val="20"/>
        </w:rPr>
        <w:t xml:space="preserve">Harold </w:t>
      </w:r>
      <w:r w:rsidRPr="002241DD">
        <w:rPr>
          <w:rFonts w:ascii="Times New Roman" w:eastAsia="Times New Roman" w:hAnsi="Times New Roman" w:cs="Times New Roman"/>
          <w:sz w:val="20"/>
          <w:szCs w:val="20"/>
        </w:rPr>
        <w:t>David McIntyre</w:t>
      </w:r>
      <w:r w:rsidRPr="002241DD">
        <w:rPr>
          <w:rFonts w:ascii="Times New Roman" w:eastAsia="Times New Roman" w:hAnsi="Times New Roman" w:cs="Times New Roman"/>
          <w:sz w:val="20"/>
          <w:szCs w:val="20"/>
          <w:vertAlign w:val="superscript"/>
        </w:rPr>
        <w:t>3</w:t>
      </w:r>
    </w:p>
    <w:p w14:paraId="00000004" w14:textId="77777777" w:rsidR="009A2A6C" w:rsidRPr="002241DD" w:rsidRDefault="009A2A6C">
      <w:pPr>
        <w:spacing w:after="0" w:line="480" w:lineRule="auto"/>
        <w:rPr>
          <w:rFonts w:ascii="Times New Roman" w:eastAsia="Times New Roman" w:hAnsi="Times New Roman" w:cs="Times New Roman"/>
          <w:sz w:val="20"/>
          <w:szCs w:val="20"/>
        </w:rPr>
      </w:pPr>
    </w:p>
    <w:p w14:paraId="00000005" w14:textId="77777777"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vertAlign w:val="superscript"/>
        </w:rPr>
        <w:t>1</w:t>
      </w:r>
      <w:r w:rsidRPr="002241DD">
        <w:rPr>
          <w:rFonts w:ascii="Times New Roman" w:eastAsia="Times New Roman" w:hAnsi="Times New Roman" w:cs="Times New Roman"/>
          <w:sz w:val="20"/>
          <w:szCs w:val="20"/>
        </w:rPr>
        <w:t>Centre for the Business and Economics of Health, The University of Queensland, Australia</w:t>
      </w:r>
    </w:p>
    <w:p w14:paraId="00000006" w14:textId="77777777"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vertAlign w:val="superscript"/>
        </w:rPr>
        <w:t>2</w:t>
      </w:r>
      <w:r w:rsidRPr="002241DD">
        <w:rPr>
          <w:rFonts w:ascii="Times New Roman" w:eastAsia="Times New Roman" w:hAnsi="Times New Roman" w:cs="Times New Roman"/>
          <w:sz w:val="20"/>
          <w:szCs w:val="20"/>
        </w:rPr>
        <w:t>Centre for Health Economics, University of York, UK</w:t>
      </w:r>
    </w:p>
    <w:p w14:paraId="00000007" w14:textId="77777777"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vertAlign w:val="superscript"/>
        </w:rPr>
        <w:t>3</w:t>
      </w:r>
      <w:r w:rsidRPr="002241DD">
        <w:rPr>
          <w:rFonts w:ascii="Times New Roman" w:eastAsia="Times New Roman" w:hAnsi="Times New Roman" w:cs="Times New Roman"/>
          <w:sz w:val="20"/>
          <w:szCs w:val="20"/>
        </w:rPr>
        <w:t>Mater Research, The University of Queensland, Australia</w:t>
      </w:r>
    </w:p>
    <w:p w14:paraId="00000008" w14:textId="77777777" w:rsidR="009A2A6C" w:rsidRPr="002241DD" w:rsidRDefault="009A2A6C">
      <w:pPr>
        <w:spacing w:after="0" w:line="480" w:lineRule="auto"/>
        <w:rPr>
          <w:rFonts w:ascii="Times New Roman" w:eastAsia="Times New Roman" w:hAnsi="Times New Roman" w:cs="Times New Roman"/>
          <w:sz w:val="20"/>
          <w:szCs w:val="20"/>
        </w:rPr>
      </w:pPr>
    </w:p>
    <w:p w14:paraId="00000009" w14:textId="77777777" w:rsidR="009A2A6C" w:rsidRPr="002241DD" w:rsidRDefault="00671CF7">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t xml:space="preserve">Aims </w:t>
      </w:r>
    </w:p>
    <w:p w14:paraId="0000000A" w14:textId="667F37D2"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Gestational diabetes mellitus (GDM) is associated with an increased risk of perinatal complications and of developing type 2 diabetes mellitus (T2DM). A strategy including universal screening following new evidence</w:t>
      </w:r>
      <w:r w:rsidR="00366273" w:rsidRPr="002241DD">
        <w:rPr>
          <w:rFonts w:ascii="Times New Roman" w:eastAsia="Times New Roman" w:hAnsi="Times New Roman" w:cs="Times New Roman"/>
          <w:sz w:val="20"/>
          <w:szCs w:val="20"/>
        </w:rPr>
        <w:t>-</w:t>
      </w:r>
      <w:r w:rsidRPr="002241DD">
        <w:rPr>
          <w:rFonts w:ascii="Times New Roman" w:eastAsia="Times New Roman" w:hAnsi="Times New Roman" w:cs="Times New Roman"/>
          <w:sz w:val="20"/>
          <w:szCs w:val="20"/>
        </w:rPr>
        <w:t>based thresholds recommended by the International Association of Diabetes and Pregnancy Study Groups (IADPSG) combined with antenatal care and postpartum lifestyle management could reduce these risks. This new strategy has been endorsed</w:t>
      </w:r>
      <w:r w:rsidR="00366273" w:rsidRPr="002241DD">
        <w:rPr>
          <w:rFonts w:ascii="Times New Roman" w:eastAsia="Times New Roman" w:hAnsi="Times New Roman" w:cs="Times New Roman"/>
          <w:sz w:val="20"/>
          <w:szCs w:val="20"/>
        </w:rPr>
        <w:t xml:space="preserve"> by the</w:t>
      </w:r>
      <w:r w:rsidRPr="002241DD">
        <w:rPr>
          <w:rFonts w:ascii="Times New Roman" w:eastAsia="Times New Roman" w:hAnsi="Times New Roman" w:cs="Times New Roman"/>
          <w:sz w:val="20"/>
          <w:szCs w:val="20"/>
        </w:rPr>
        <w:t xml:space="preserve"> Australasian Diabetes in Pregnancy Society (ADIPS) following evidence </w:t>
      </w:r>
      <w:r w:rsidR="00366273" w:rsidRPr="002241DD">
        <w:rPr>
          <w:rFonts w:ascii="Times New Roman" w:eastAsia="Times New Roman" w:hAnsi="Times New Roman" w:cs="Times New Roman"/>
          <w:sz w:val="20"/>
          <w:szCs w:val="20"/>
        </w:rPr>
        <w:t>that showed</w:t>
      </w:r>
      <w:r w:rsidRPr="002241DD">
        <w:rPr>
          <w:rFonts w:ascii="Times New Roman" w:eastAsia="Times New Roman" w:hAnsi="Times New Roman" w:cs="Times New Roman"/>
          <w:sz w:val="20"/>
          <w:szCs w:val="20"/>
        </w:rPr>
        <w:t xml:space="preserve"> previous diagnostic thresholds were too high to prevent perinatal adverse events (PAEs) and subsequent T2DM. This study </w:t>
      </w:r>
      <w:r w:rsidR="00366273" w:rsidRPr="002241DD">
        <w:rPr>
          <w:rFonts w:ascii="Times New Roman" w:eastAsia="Times New Roman" w:hAnsi="Times New Roman" w:cs="Times New Roman"/>
          <w:sz w:val="20"/>
          <w:szCs w:val="20"/>
        </w:rPr>
        <w:t xml:space="preserve">therefore </w:t>
      </w:r>
      <w:r w:rsidRPr="002241DD">
        <w:rPr>
          <w:rFonts w:ascii="Times New Roman" w:eastAsia="Times New Roman" w:hAnsi="Times New Roman" w:cs="Times New Roman"/>
          <w:sz w:val="20"/>
          <w:szCs w:val="20"/>
        </w:rPr>
        <w:t xml:space="preserve">aimed to assess the cost-effectiveness of the </w:t>
      </w:r>
      <w:r w:rsidR="00366273" w:rsidRPr="002241DD">
        <w:rPr>
          <w:rFonts w:ascii="Times New Roman" w:eastAsia="Times New Roman" w:hAnsi="Times New Roman" w:cs="Times New Roman"/>
          <w:sz w:val="20"/>
          <w:szCs w:val="20"/>
        </w:rPr>
        <w:t xml:space="preserve">new </w:t>
      </w:r>
      <w:r w:rsidRPr="002241DD">
        <w:rPr>
          <w:rFonts w:ascii="Times New Roman" w:eastAsia="Times New Roman" w:hAnsi="Times New Roman" w:cs="Times New Roman"/>
          <w:sz w:val="20"/>
          <w:szCs w:val="20"/>
        </w:rPr>
        <w:t>ADIPS GDM strategy in Australia.</w:t>
      </w:r>
    </w:p>
    <w:p w14:paraId="0000000B" w14:textId="77777777" w:rsidR="009A2A6C" w:rsidRPr="002241DD" w:rsidRDefault="009A2A6C">
      <w:pPr>
        <w:spacing w:after="0" w:line="480" w:lineRule="auto"/>
        <w:rPr>
          <w:rFonts w:ascii="Times New Roman" w:eastAsia="Times New Roman" w:hAnsi="Times New Roman" w:cs="Times New Roman"/>
          <w:sz w:val="20"/>
          <w:szCs w:val="20"/>
        </w:rPr>
      </w:pPr>
    </w:p>
    <w:p w14:paraId="0000000C" w14:textId="77777777" w:rsidR="009A2A6C" w:rsidRPr="002241DD" w:rsidRDefault="00671CF7">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t>Methods</w:t>
      </w:r>
    </w:p>
    <w:p w14:paraId="0000000D" w14:textId="398D52F9"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A decision tree model (</w:t>
      </w:r>
      <w:proofErr w:type="spellStart"/>
      <w:r w:rsidRPr="002241DD">
        <w:rPr>
          <w:rFonts w:ascii="Times New Roman" w:eastAsia="Times New Roman" w:hAnsi="Times New Roman" w:cs="Times New Roman"/>
          <w:sz w:val="20"/>
          <w:szCs w:val="20"/>
        </w:rPr>
        <w:t>GeDiForCE</w:t>
      </w:r>
      <w:proofErr w:type="spellEnd"/>
      <w:r w:rsidRPr="002241DD">
        <w:rPr>
          <w:rFonts w:ascii="Times New Roman" w:eastAsia="Times New Roman" w:hAnsi="Times New Roman" w:cs="Times New Roman"/>
          <w:sz w:val="20"/>
          <w:szCs w:val="20"/>
        </w:rPr>
        <w:t>) was applied in this study. Our analysis modifies the model and optimises resource use and cost parameters, to reflect real costs within the Australian context. Data on Australian GDM and T2DM epidemiology, intervention costs and literature were used to estimate model parameters. Costs (in AUD $), averted disability-adjusted life years (DALYs) and net cost per DALY averted during life-time horizon were calculated. Sensitivity analyses were also conducted</w:t>
      </w:r>
      <w:r w:rsidR="00366273" w:rsidRPr="002241DD">
        <w:rPr>
          <w:rFonts w:ascii="Times New Roman" w:eastAsia="Times New Roman" w:hAnsi="Times New Roman" w:cs="Times New Roman"/>
          <w:sz w:val="20"/>
          <w:szCs w:val="20"/>
        </w:rPr>
        <w:t>,</w:t>
      </w:r>
      <w:r w:rsidRPr="002241DD">
        <w:rPr>
          <w:rFonts w:ascii="Times New Roman" w:eastAsia="Times New Roman" w:hAnsi="Times New Roman" w:cs="Times New Roman"/>
          <w:sz w:val="20"/>
          <w:szCs w:val="20"/>
        </w:rPr>
        <w:t xml:space="preserve"> by testing the impact of variations in key input variables.</w:t>
      </w:r>
    </w:p>
    <w:p w14:paraId="0000000E" w14:textId="77777777" w:rsidR="009A2A6C" w:rsidRPr="002241DD" w:rsidRDefault="009A2A6C">
      <w:pPr>
        <w:spacing w:after="0" w:line="480" w:lineRule="auto"/>
        <w:rPr>
          <w:rFonts w:ascii="Times New Roman" w:eastAsia="Times New Roman" w:hAnsi="Times New Roman" w:cs="Times New Roman"/>
          <w:sz w:val="20"/>
          <w:szCs w:val="20"/>
        </w:rPr>
      </w:pPr>
    </w:p>
    <w:p w14:paraId="0000000F" w14:textId="77777777" w:rsidR="009A2A6C" w:rsidRPr="002241DD" w:rsidRDefault="00671CF7">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t>Results</w:t>
      </w:r>
    </w:p>
    <w:p w14:paraId="00000010" w14:textId="48DF770F"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Compared to the previous criteria, the</w:t>
      </w:r>
      <w:r w:rsidR="00366273" w:rsidRPr="002241DD">
        <w:rPr>
          <w:rFonts w:ascii="Times New Roman" w:eastAsia="Times New Roman" w:hAnsi="Times New Roman" w:cs="Times New Roman"/>
          <w:sz w:val="20"/>
          <w:szCs w:val="20"/>
        </w:rPr>
        <w:t xml:space="preserve"> new ADIPS</w:t>
      </w:r>
      <w:r w:rsidRPr="002241DD">
        <w:rPr>
          <w:rFonts w:ascii="Times New Roman" w:eastAsia="Times New Roman" w:hAnsi="Times New Roman" w:cs="Times New Roman"/>
          <w:sz w:val="20"/>
          <w:szCs w:val="20"/>
        </w:rPr>
        <w:t xml:space="preserve"> strategy costs AUD $20,671 (USD $15,839) per DALY averted in the base case, however sensitivity analyses reveal it is dominant in over half of cases and has a 8</w:t>
      </w:r>
      <w:r w:rsidR="00EE1D40" w:rsidRPr="002241DD">
        <w:rPr>
          <w:rFonts w:ascii="Times New Roman" w:eastAsia="Times New Roman" w:hAnsi="Times New Roman" w:cs="Times New Roman"/>
          <w:sz w:val="20"/>
          <w:szCs w:val="20"/>
        </w:rPr>
        <w:t>6</w:t>
      </w:r>
      <w:r w:rsidRPr="002241DD">
        <w:rPr>
          <w:rFonts w:ascii="Times New Roman" w:eastAsia="Times New Roman" w:hAnsi="Times New Roman" w:cs="Times New Roman"/>
          <w:sz w:val="20"/>
          <w:szCs w:val="20"/>
        </w:rPr>
        <w:t xml:space="preserve">% </w:t>
      </w:r>
      <w:r w:rsidRPr="002241DD">
        <w:rPr>
          <w:rFonts w:ascii="Times New Roman" w:eastAsia="Times New Roman" w:hAnsi="Times New Roman" w:cs="Times New Roman"/>
          <w:sz w:val="20"/>
          <w:szCs w:val="20"/>
        </w:rPr>
        <w:lastRenderedPageBreak/>
        <w:t>chance of being dominant and/or cost-effective according to WTP threshold of $</w:t>
      </w:r>
      <w:r w:rsidR="00BA33E7" w:rsidRPr="002241DD">
        <w:rPr>
          <w:rFonts w:ascii="Times New Roman" w:eastAsia="Times New Roman" w:hAnsi="Times New Roman" w:cs="Times New Roman"/>
          <w:sz w:val="20"/>
          <w:szCs w:val="20"/>
        </w:rPr>
        <w:t>151</w:t>
      </w:r>
      <w:r w:rsidRPr="002241DD">
        <w:rPr>
          <w:rFonts w:ascii="Times New Roman" w:eastAsia="Times New Roman" w:hAnsi="Times New Roman" w:cs="Times New Roman"/>
          <w:sz w:val="20"/>
          <w:szCs w:val="20"/>
        </w:rPr>
        <w:t xml:space="preserve">,200 international dollars ($I) </w:t>
      </w:r>
      <w:r w:rsidR="002F5B3F" w:rsidRPr="002241DD">
        <w:rPr>
          <w:rFonts w:ascii="Times New Roman" w:eastAsia="Times New Roman" w:hAnsi="Times New Roman" w:cs="Times New Roman"/>
          <w:sz w:val="20"/>
          <w:szCs w:val="20"/>
        </w:rPr>
        <w:t xml:space="preserve">or $AUD </w:t>
      </w:r>
      <w:r w:rsidR="00EE1D40" w:rsidRPr="002241DD">
        <w:rPr>
          <w:rFonts w:ascii="Times New Roman" w:eastAsia="Times New Roman" w:hAnsi="Times New Roman" w:cs="Times New Roman"/>
          <w:sz w:val="20"/>
          <w:szCs w:val="20"/>
        </w:rPr>
        <w:t xml:space="preserve">217,576 </w:t>
      </w:r>
      <w:r w:rsidRPr="002241DD">
        <w:rPr>
          <w:rFonts w:ascii="Times New Roman" w:eastAsia="Times New Roman" w:hAnsi="Times New Roman" w:cs="Times New Roman"/>
          <w:sz w:val="20"/>
          <w:szCs w:val="20"/>
        </w:rPr>
        <w:t>per DALY averted</w:t>
      </w:r>
      <w:r w:rsidR="00EE1D40" w:rsidRPr="002241DD">
        <w:rPr>
          <w:rFonts w:ascii="Times New Roman" w:eastAsia="Times New Roman" w:hAnsi="Times New Roman" w:cs="Times New Roman"/>
          <w:sz w:val="20"/>
          <w:szCs w:val="20"/>
        </w:rPr>
        <w:t xml:space="preserve"> (equal to three times per capita GDP)</w:t>
      </w:r>
      <w:r w:rsidRPr="002241DD">
        <w:rPr>
          <w:rFonts w:ascii="Times New Roman" w:eastAsia="Times New Roman" w:hAnsi="Times New Roman" w:cs="Times New Roman"/>
          <w:sz w:val="20"/>
          <w:szCs w:val="20"/>
        </w:rPr>
        <w:t>. Compared with no screening</w:t>
      </w:r>
      <w:r w:rsidR="00BA33E7" w:rsidRPr="002241DD">
        <w:rPr>
          <w:rFonts w:ascii="Times New Roman" w:eastAsia="Times New Roman" w:hAnsi="Times New Roman" w:cs="Times New Roman"/>
          <w:sz w:val="20"/>
          <w:szCs w:val="20"/>
        </w:rPr>
        <w:t xml:space="preserve"> or treatment</w:t>
      </w:r>
      <w:r w:rsidRPr="002241DD">
        <w:rPr>
          <w:rFonts w:ascii="Times New Roman" w:eastAsia="Times New Roman" w:hAnsi="Times New Roman" w:cs="Times New Roman"/>
          <w:sz w:val="20"/>
          <w:szCs w:val="20"/>
        </w:rPr>
        <w:t xml:space="preserve">, the </w:t>
      </w:r>
      <w:r w:rsidR="00EE1D40" w:rsidRPr="002241DD">
        <w:rPr>
          <w:rFonts w:ascii="Times New Roman" w:eastAsia="Times New Roman" w:hAnsi="Times New Roman" w:cs="Times New Roman"/>
          <w:sz w:val="20"/>
          <w:szCs w:val="20"/>
        </w:rPr>
        <w:t>new ADIPS</w:t>
      </w:r>
      <w:r w:rsidRPr="002241DD">
        <w:rPr>
          <w:rFonts w:ascii="Times New Roman" w:eastAsia="Times New Roman" w:hAnsi="Times New Roman" w:cs="Times New Roman"/>
          <w:sz w:val="20"/>
          <w:szCs w:val="20"/>
        </w:rPr>
        <w:t xml:space="preserve"> strategy saves AUD $</w:t>
      </w:r>
      <w:r w:rsidR="00BA33E7" w:rsidRPr="002241DD">
        <w:rPr>
          <w:rFonts w:ascii="Times New Roman" w:eastAsia="Times New Roman" w:hAnsi="Times New Roman" w:cs="Times New Roman"/>
          <w:sz w:val="20"/>
          <w:szCs w:val="20"/>
        </w:rPr>
        <w:t>25,509</w:t>
      </w:r>
      <w:r w:rsidRPr="002241DD">
        <w:rPr>
          <w:rFonts w:ascii="Times New Roman" w:eastAsia="Times New Roman" w:hAnsi="Times New Roman" w:cs="Times New Roman"/>
          <w:sz w:val="20"/>
          <w:szCs w:val="20"/>
        </w:rPr>
        <w:t xml:space="preserve"> (USD $</w:t>
      </w:r>
      <w:r w:rsidR="00BA33E7" w:rsidRPr="002241DD">
        <w:rPr>
          <w:rFonts w:ascii="Times New Roman" w:eastAsia="Times New Roman" w:hAnsi="Times New Roman" w:cs="Times New Roman"/>
          <w:sz w:val="20"/>
          <w:szCs w:val="20"/>
        </w:rPr>
        <w:t>1</w:t>
      </w:r>
      <w:r w:rsidR="00EE1D40" w:rsidRPr="002241DD">
        <w:rPr>
          <w:rFonts w:ascii="Times New Roman" w:eastAsia="Times New Roman" w:hAnsi="Times New Roman" w:cs="Times New Roman"/>
          <w:sz w:val="20"/>
          <w:szCs w:val="20"/>
        </w:rPr>
        <w:t>9,547</w:t>
      </w:r>
      <w:r w:rsidRPr="002241DD">
        <w:rPr>
          <w:rFonts w:ascii="Times New Roman" w:eastAsia="Times New Roman" w:hAnsi="Times New Roman" w:cs="Times New Roman"/>
          <w:sz w:val="20"/>
          <w:szCs w:val="20"/>
        </w:rPr>
        <w:t>) per DALY averted.</w:t>
      </w:r>
    </w:p>
    <w:p w14:paraId="00000011" w14:textId="77777777" w:rsidR="009A2A6C" w:rsidRPr="002241DD" w:rsidRDefault="009A2A6C">
      <w:pPr>
        <w:spacing w:after="0" w:line="480" w:lineRule="auto"/>
        <w:rPr>
          <w:rFonts w:ascii="Times New Roman" w:eastAsia="Times New Roman" w:hAnsi="Times New Roman" w:cs="Times New Roman"/>
          <w:b/>
          <w:sz w:val="20"/>
          <w:szCs w:val="20"/>
        </w:rPr>
      </w:pPr>
    </w:p>
    <w:p w14:paraId="00000012" w14:textId="77777777" w:rsidR="009A2A6C" w:rsidRPr="002241DD" w:rsidRDefault="00671CF7">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t xml:space="preserve">Conclusions </w:t>
      </w:r>
    </w:p>
    <w:p w14:paraId="00000013" w14:textId="272EF551"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Using local data and literature estimates, this study shows that use of the</w:t>
      </w:r>
      <w:r w:rsidR="00FC74FA" w:rsidRPr="002241DD">
        <w:rPr>
          <w:rFonts w:ascii="Times New Roman" w:eastAsia="Times New Roman" w:hAnsi="Times New Roman" w:cs="Times New Roman"/>
          <w:sz w:val="20"/>
          <w:szCs w:val="20"/>
        </w:rPr>
        <w:t xml:space="preserve"> new</w:t>
      </w:r>
      <w:r w:rsidRPr="002241DD">
        <w:rPr>
          <w:rFonts w:ascii="Times New Roman" w:eastAsia="Times New Roman" w:hAnsi="Times New Roman" w:cs="Times New Roman"/>
          <w:sz w:val="20"/>
          <w:szCs w:val="20"/>
        </w:rPr>
        <w:t xml:space="preserve"> ADIPS GDM strategy would lead to cost saving care for pregnant women in Australia when compared to a no screening scenario and is likely to be cost effective when compared to previously used criteria. </w:t>
      </w:r>
    </w:p>
    <w:p w14:paraId="00000014" w14:textId="77777777" w:rsidR="009A2A6C" w:rsidRPr="002241DD" w:rsidRDefault="009A2A6C">
      <w:pPr>
        <w:spacing w:after="0" w:line="480" w:lineRule="auto"/>
        <w:rPr>
          <w:rFonts w:ascii="Times New Roman" w:eastAsia="Times New Roman" w:hAnsi="Times New Roman" w:cs="Times New Roman"/>
          <w:sz w:val="20"/>
          <w:szCs w:val="20"/>
        </w:rPr>
      </w:pPr>
    </w:p>
    <w:p w14:paraId="00000015" w14:textId="77777777" w:rsidR="009A2A6C" w:rsidRPr="002241DD" w:rsidRDefault="00671CF7">
      <w:pPr>
        <w:pStyle w:val="Heading1"/>
        <w:spacing w:before="0" w:line="480" w:lineRule="auto"/>
        <w:rPr>
          <w:rFonts w:ascii="Times New Roman" w:eastAsia="Times New Roman" w:hAnsi="Times New Roman" w:cs="Times New Roman"/>
          <w:b/>
          <w:color w:val="000000"/>
          <w:sz w:val="20"/>
          <w:szCs w:val="20"/>
        </w:rPr>
      </w:pPr>
      <w:r w:rsidRPr="002241DD">
        <w:rPr>
          <w:rFonts w:ascii="Times New Roman" w:eastAsia="Times New Roman" w:hAnsi="Times New Roman" w:cs="Times New Roman"/>
          <w:b/>
          <w:color w:val="000000"/>
          <w:sz w:val="20"/>
          <w:szCs w:val="20"/>
        </w:rPr>
        <w:t>Acronyms</w:t>
      </w:r>
    </w:p>
    <w:p w14:paraId="00000016" w14:textId="1CDB7B54" w:rsidR="009A2A6C" w:rsidRPr="002241DD" w:rsidRDefault="00671CF7">
      <w:pPr>
        <w:pStyle w:val="Heading1"/>
        <w:spacing w:before="0" w:line="480" w:lineRule="auto"/>
        <w:rPr>
          <w:rFonts w:ascii="Times New Roman" w:eastAsia="Times New Roman" w:hAnsi="Times New Roman" w:cs="Times New Roman"/>
          <w:color w:val="000000"/>
          <w:sz w:val="20"/>
          <w:szCs w:val="20"/>
        </w:rPr>
      </w:pPr>
      <w:r w:rsidRPr="002241DD">
        <w:rPr>
          <w:rFonts w:ascii="Times New Roman" w:eastAsia="Times New Roman" w:hAnsi="Times New Roman" w:cs="Times New Roman"/>
          <w:color w:val="000000"/>
          <w:sz w:val="20"/>
          <w:szCs w:val="20"/>
        </w:rPr>
        <w:t>ADIPS</w:t>
      </w:r>
      <w:r w:rsidR="00EE1D40" w:rsidRPr="002241DD">
        <w:rPr>
          <w:rFonts w:ascii="Times New Roman" w:eastAsia="Times New Roman" w:hAnsi="Times New Roman" w:cs="Times New Roman"/>
          <w:color w:val="000000"/>
          <w:sz w:val="20"/>
          <w:szCs w:val="20"/>
        </w:rPr>
        <w:t xml:space="preserve">: </w:t>
      </w:r>
      <w:r w:rsidR="00F366FE" w:rsidRPr="002241DD">
        <w:rPr>
          <w:rFonts w:ascii="Times New Roman" w:eastAsia="Times New Roman" w:hAnsi="Times New Roman" w:cs="Times New Roman"/>
          <w:color w:val="000000"/>
          <w:sz w:val="20"/>
          <w:szCs w:val="20"/>
        </w:rPr>
        <w:t>Australasian Diabetes in Pregnancy Society</w:t>
      </w:r>
    </w:p>
    <w:p w14:paraId="00000017" w14:textId="05343D9B" w:rsidR="009A2A6C" w:rsidRPr="002241DD" w:rsidRDefault="00671CF7">
      <w:pPr>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DPP</w:t>
      </w:r>
      <w:r w:rsidR="00F366FE" w:rsidRPr="002241DD">
        <w:rPr>
          <w:rFonts w:ascii="Times New Roman" w:eastAsia="Times New Roman" w:hAnsi="Times New Roman" w:cs="Times New Roman"/>
          <w:sz w:val="20"/>
          <w:szCs w:val="20"/>
        </w:rPr>
        <w:t xml:space="preserve">: Diabetes Prevention Program </w:t>
      </w:r>
    </w:p>
    <w:p w14:paraId="00000018" w14:textId="1F6CCE43" w:rsidR="009A2A6C" w:rsidRPr="002241DD" w:rsidRDefault="00671CF7">
      <w:pPr>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DALY</w:t>
      </w:r>
      <w:r w:rsidR="00F366FE" w:rsidRPr="002241DD">
        <w:rPr>
          <w:rFonts w:ascii="Times New Roman" w:eastAsia="Times New Roman" w:hAnsi="Times New Roman" w:cs="Times New Roman"/>
          <w:sz w:val="20"/>
          <w:szCs w:val="20"/>
        </w:rPr>
        <w:t>: Disability-adjusted Life Years</w:t>
      </w:r>
    </w:p>
    <w:p w14:paraId="2C31A799" w14:textId="28A4D79D" w:rsidR="00F366FE" w:rsidRPr="002241DD" w:rsidRDefault="00F366FE">
      <w:pPr>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HAPO: Hyperglycaemia and Adverse Pregnancy Outcome (HAPO) study</w:t>
      </w:r>
    </w:p>
    <w:p w14:paraId="0466C935" w14:textId="6069EC19" w:rsidR="00F366FE" w:rsidRPr="002241DD" w:rsidRDefault="00671CF7">
      <w:pPr>
        <w:pStyle w:val="Heading1"/>
        <w:spacing w:before="0" w:line="480" w:lineRule="auto"/>
        <w:rPr>
          <w:rFonts w:ascii="Times New Roman" w:eastAsia="Times New Roman" w:hAnsi="Times New Roman" w:cs="Times New Roman"/>
          <w:color w:val="000000"/>
          <w:sz w:val="20"/>
          <w:szCs w:val="20"/>
        </w:rPr>
      </w:pPr>
      <w:r w:rsidRPr="002241DD">
        <w:rPr>
          <w:rFonts w:ascii="Times New Roman" w:eastAsia="Times New Roman" w:hAnsi="Times New Roman" w:cs="Times New Roman"/>
          <w:color w:val="000000"/>
          <w:sz w:val="20"/>
          <w:szCs w:val="20"/>
        </w:rPr>
        <w:t>IADPSG</w:t>
      </w:r>
      <w:r w:rsidR="00F366FE" w:rsidRPr="002241DD">
        <w:rPr>
          <w:rFonts w:ascii="Times New Roman" w:eastAsia="Times New Roman" w:hAnsi="Times New Roman" w:cs="Times New Roman"/>
          <w:color w:val="000000"/>
          <w:sz w:val="20"/>
          <w:szCs w:val="20"/>
        </w:rPr>
        <w:t>: International Association of Diabetes and Pregnancy Study Group</w:t>
      </w:r>
    </w:p>
    <w:p w14:paraId="00000019" w14:textId="6901D571" w:rsidR="009A2A6C" w:rsidRPr="002241DD" w:rsidRDefault="00671CF7">
      <w:pPr>
        <w:pStyle w:val="Heading1"/>
        <w:spacing w:before="0" w:line="480" w:lineRule="auto"/>
        <w:rPr>
          <w:rFonts w:ascii="Times New Roman" w:eastAsia="Times New Roman" w:hAnsi="Times New Roman" w:cs="Times New Roman"/>
          <w:color w:val="000000"/>
          <w:sz w:val="20"/>
          <w:szCs w:val="20"/>
        </w:rPr>
      </w:pPr>
      <w:r w:rsidRPr="002241DD">
        <w:rPr>
          <w:rFonts w:ascii="Times New Roman" w:eastAsia="Times New Roman" w:hAnsi="Times New Roman" w:cs="Times New Roman"/>
          <w:color w:val="000000"/>
          <w:sz w:val="20"/>
          <w:szCs w:val="20"/>
        </w:rPr>
        <w:t>GDM</w:t>
      </w:r>
      <w:r w:rsidR="00676504" w:rsidRPr="002241DD">
        <w:rPr>
          <w:rFonts w:ascii="Times New Roman" w:eastAsia="Times New Roman" w:hAnsi="Times New Roman" w:cs="Times New Roman"/>
          <w:color w:val="000000"/>
          <w:sz w:val="20"/>
          <w:szCs w:val="20"/>
        </w:rPr>
        <w:t>+</w:t>
      </w:r>
      <w:r w:rsidR="00F366FE" w:rsidRPr="002241DD">
        <w:rPr>
          <w:rFonts w:ascii="Times New Roman" w:eastAsia="Times New Roman" w:hAnsi="Times New Roman" w:cs="Times New Roman"/>
          <w:color w:val="000000"/>
          <w:sz w:val="20"/>
          <w:szCs w:val="20"/>
        </w:rPr>
        <w:t>: Gestational Diabetes Mellitus</w:t>
      </w:r>
    </w:p>
    <w:p w14:paraId="194E1A27" w14:textId="5793BFDF" w:rsidR="00F366FE" w:rsidRPr="002241DD" w:rsidRDefault="00671CF7">
      <w:pPr>
        <w:pStyle w:val="Heading1"/>
        <w:spacing w:before="0" w:line="480" w:lineRule="auto"/>
        <w:rPr>
          <w:rFonts w:ascii="Times New Roman" w:eastAsia="Times New Roman" w:hAnsi="Times New Roman" w:cs="Times New Roman"/>
          <w:color w:val="000000"/>
          <w:sz w:val="20"/>
          <w:szCs w:val="20"/>
        </w:rPr>
      </w:pPr>
      <w:proofErr w:type="spellStart"/>
      <w:r w:rsidRPr="002241DD">
        <w:rPr>
          <w:rFonts w:ascii="Times New Roman" w:eastAsia="Times New Roman" w:hAnsi="Times New Roman" w:cs="Times New Roman"/>
          <w:color w:val="000000"/>
          <w:sz w:val="20"/>
          <w:szCs w:val="20"/>
        </w:rPr>
        <w:t>GeDiForCE</w:t>
      </w:r>
      <w:proofErr w:type="spellEnd"/>
      <w:r w:rsidR="00F366FE" w:rsidRPr="002241DD">
        <w:rPr>
          <w:rFonts w:ascii="Times New Roman" w:eastAsia="Times New Roman" w:hAnsi="Times New Roman" w:cs="Times New Roman"/>
          <w:color w:val="000000"/>
          <w:sz w:val="20"/>
          <w:szCs w:val="20"/>
        </w:rPr>
        <w:t xml:space="preserve">: Gestational Diabetes Formulas </w:t>
      </w:r>
      <w:proofErr w:type="gramStart"/>
      <w:r w:rsidR="00F366FE" w:rsidRPr="002241DD">
        <w:rPr>
          <w:rFonts w:ascii="Times New Roman" w:eastAsia="Times New Roman" w:hAnsi="Times New Roman" w:cs="Times New Roman"/>
          <w:color w:val="000000"/>
          <w:sz w:val="20"/>
          <w:szCs w:val="20"/>
        </w:rPr>
        <w:t>For</w:t>
      </w:r>
      <w:proofErr w:type="gramEnd"/>
      <w:r w:rsidR="00F366FE" w:rsidRPr="002241DD">
        <w:rPr>
          <w:rFonts w:ascii="Times New Roman" w:eastAsia="Times New Roman" w:hAnsi="Times New Roman" w:cs="Times New Roman"/>
          <w:color w:val="000000"/>
          <w:sz w:val="20"/>
          <w:szCs w:val="20"/>
        </w:rPr>
        <w:t xml:space="preserve"> Cost-Effectiveness Model </w:t>
      </w:r>
    </w:p>
    <w:p w14:paraId="5A34C55F" w14:textId="7719E50D" w:rsidR="001C5EAA" w:rsidRPr="002241DD" w:rsidRDefault="001C5EAA" w:rsidP="001C5EAA">
      <w:pPr>
        <w:rPr>
          <w:rFonts w:ascii="Times New Roman" w:eastAsia="Times New Roman" w:hAnsi="Times New Roman" w:cs="Times New Roman"/>
          <w:color w:val="000000"/>
          <w:sz w:val="20"/>
          <w:szCs w:val="20"/>
        </w:rPr>
      </w:pPr>
      <w:r w:rsidRPr="002241DD">
        <w:rPr>
          <w:rFonts w:ascii="Times New Roman" w:eastAsia="Times New Roman" w:hAnsi="Times New Roman" w:cs="Times New Roman"/>
          <w:color w:val="000000"/>
          <w:sz w:val="20"/>
          <w:szCs w:val="20"/>
        </w:rPr>
        <w:t>PAE: Perinatal Adverse Event</w:t>
      </w:r>
    </w:p>
    <w:p w14:paraId="0000001B" w14:textId="079C7D92" w:rsidR="009A2A6C" w:rsidRPr="002241DD" w:rsidRDefault="00671CF7">
      <w:pPr>
        <w:pStyle w:val="Heading1"/>
        <w:spacing w:before="0" w:line="480" w:lineRule="auto"/>
        <w:rPr>
          <w:rFonts w:ascii="Times New Roman" w:eastAsia="Times New Roman" w:hAnsi="Times New Roman" w:cs="Times New Roman"/>
          <w:color w:val="000000"/>
          <w:sz w:val="20"/>
          <w:szCs w:val="20"/>
        </w:rPr>
      </w:pPr>
      <w:r w:rsidRPr="002241DD">
        <w:rPr>
          <w:rFonts w:ascii="Times New Roman" w:eastAsia="Times New Roman" w:hAnsi="Times New Roman" w:cs="Times New Roman"/>
          <w:color w:val="000000"/>
          <w:sz w:val="20"/>
          <w:szCs w:val="20"/>
        </w:rPr>
        <w:t>T2DM</w:t>
      </w:r>
      <w:r w:rsidR="00F366FE" w:rsidRPr="002241DD">
        <w:rPr>
          <w:rFonts w:ascii="Times New Roman" w:eastAsia="Times New Roman" w:hAnsi="Times New Roman" w:cs="Times New Roman"/>
          <w:color w:val="000000"/>
          <w:sz w:val="20"/>
          <w:szCs w:val="20"/>
        </w:rPr>
        <w:t>: Type 2 Diabetes Mellitus</w:t>
      </w:r>
    </w:p>
    <w:p w14:paraId="0000001C" w14:textId="7EA873BB"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WHO</w:t>
      </w:r>
      <w:r w:rsidR="00F366FE" w:rsidRPr="002241DD">
        <w:rPr>
          <w:rFonts w:ascii="Times New Roman" w:eastAsia="Times New Roman" w:hAnsi="Times New Roman" w:cs="Times New Roman"/>
          <w:sz w:val="20"/>
          <w:szCs w:val="20"/>
        </w:rPr>
        <w:t>: World Health Organisation</w:t>
      </w:r>
    </w:p>
    <w:p w14:paraId="0000001D" w14:textId="6C7E69E1" w:rsidR="009A2A6C" w:rsidRPr="002241DD" w:rsidRDefault="009A2A6C">
      <w:pPr>
        <w:spacing w:after="0" w:line="480" w:lineRule="auto"/>
        <w:rPr>
          <w:rFonts w:ascii="Times New Roman" w:eastAsia="Times New Roman" w:hAnsi="Times New Roman" w:cs="Times New Roman"/>
          <w:sz w:val="20"/>
          <w:szCs w:val="20"/>
        </w:rPr>
      </w:pPr>
    </w:p>
    <w:p w14:paraId="48B0DA51" w14:textId="77777777" w:rsidR="002241DD" w:rsidRPr="002241DD" w:rsidRDefault="002241DD">
      <w:pPr>
        <w:spacing w:after="0" w:line="480" w:lineRule="auto"/>
        <w:rPr>
          <w:rFonts w:ascii="Times New Roman" w:eastAsia="Times New Roman" w:hAnsi="Times New Roman" w:cs="Times New Roman"/>
          <w:sz w:val="20"/>
          <w:szCs w:val="20"/>
        </w:rPr>
      </w:pPr>
    </w:p>
    <w:p w14:paraId="6840349C" w14:textId="77777777" w:rsidR="002241DD" w:rsidRPr="002241DD" w:rsidRDefault="002241DD" w:rsidP="00293D58">
      <w:pPr>
        <w:pStyle w:val="Heading1"/>
        <w:spacing w:before="0" w:line="480" w:lineRule="auto"/>
        <w:rPr>
          <w:rFonts w:ascii="Times New Roman" w:eastAsia="Times New Roman" w:hAnsi="Times New Roman" w:cs="Times New Roman"/>
          <w:b/>
          <w:color w:val="000000"/>
          <w:sz w:val="20"/>
          <w:szCs w:val="20"/>
        </w:rPr>
        <w:sectPr w:rsidR="002241DD" w:rsidRPr="002241DD" w:rsidSect="00294396">
          <w:pgSz w:w="11906" w:h="16838"/>
          <w:pgMar w:top="1440" w:right="1440" w:bottom="1440" w:left="1440" w:header="708" w:footer="708" w:gutter="0"/>
          <w:pgNumType w:start="1"/>
          <w:cols w:space="720"/>
          <w:docGrid w:linePitch="299"/>
        </w:sectPr>
      </w:pPr>
    </w:p>
    <w:p w14:paraId="0000001F" w14:textId="6171DD35" w:rsidR="009A2A6C" w:rsidRPr="002241DD" w:rsidRDefault="00671CF7" w:rsidP="00293D58">
      <w:pPr>
        <w:pStyle w:val="Heading1"/>
        <w:spacing w:before="0" w:line="480" w:lineRule="auto"/>
        <w:rPr>
          <w:rFonts w:ascii="Times New Roman" w:eastAsia="Times New Roman" w:hAnsi="Times New Roman" w:cs="Times New Roman"/>
          <w:b/>
          <w:color w:val="000000"/>
          <w:sz w:val="20"/>
          <w:szCs w:val="20"/>
        </w:rPr>
      </w:pPr>
      <w:r w:rsidRPr="002241DD">
        <w:rPr>
          <w:rFonts w:ascii="Times New Roman" w:eastAsia="Times New Roman" w:hAnsi="Times New Roman" w:cs="Times New Roman"/>
          <w:b/>
          <w:color w:val="000000"/>
          <w:sz w:val="20"/>
          <w:szCs w:val="20"/>
        </w:rPr>
        <w:lastRenderedPageBreak/>
        <w:t xml:space="preserve">Introduction  </w:t>
      </w:r>
    </w:p>
    <w:p w14:paraId="00000020" w14:textId="250F77F3"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In this study, we assessed the cost-effectiveness of the current </w:t>
      </w:r>
      <w:bookmarkStart w:id="0" w:name="_Hlk33274116"/>
      <w:r w:rsidR="00EE1D40" w:rsidRPr="002241DD">
        <w:rPr>
          <w:rFonts w:ascii="Times New Roman" w:eastAsia="Times New Roman" w:hAnsi="Times New Roman" w:cs="Times New Roman"/>
          <w:sz w:val="20"/>
          <w:szCs w:val="20"/>
        </w:rPr>
        <w:t xml:space="preserve">Australasian Diabetes in Pregnancy Society </w:t>
      </w:r>
      <w:bookmarkEnd w:id="0"/>
      <w:r w:rsidR="00EE1D40" w:rsidRPr="002241DD">
        <w:rPr>
          <w:rFonts w:ascii="Times New Roman" w:eastAsia="Times New Roman" w:hAnsi="Times New Roman" w:cs="Times New Roman"/>
          <w:sz w:val="20"/>
          <w:szCs w:val="20"/>
        </w:rPr>
        <w:t>(</w:t>
      </w:r>
      <w:r w:rsidRPr="002241DD">
        <w:rPr>
          <w:rFonts w:ascii="Times New Roman" w:eastAsia="Times New Roman" w:hAnsi="Times New Roman" w:cs="Times New Roman"/>
          <w:sz w:val="20"/>
          <w:szCs w:val="20"/>
        </w:rPr>
        <w:t>ADIPS</w:t>
      </w:r>
      <w:r w:rsidR="00EE1D40" w:rsidRPr="002241DD">
        <w:rPr>
          <w:rFonts w:ascii="Times New Roman" w:eastAsia="Times New Roman" w:hAnsi="Times New Roman" w:cs="Times New Roman"/>
          <w:sz w:val="20"/>
          <w:szCs w:val="20"/>
        </w:rPr>
        <w:t>) Gestational Diabetes Mellitus (</w:t>
      </w:r>
      <w:r w:rsidRPr="002241DD">
        <w:rPr>
          <w:rFonts w:ascii="Times New Roman" w:eastAsia="Times New Roman" w:hAnsi="Times New Roman" w:cs="Times New Roman"/>
          <w:sz w:val="20"/>
          <w:szCs w:val="20"/>
        </w:rPr>
        <w:t>GDM</w:t>
      </w:r>
      <w:r w:rsidR="00EE1D40" w:rsidRPr="002241DD">
        <w:rPr>
          <w:rFonts w:ascii="Times New Roman" w:eastAsia="Times New Roman" w:hAnsi="Times New Roman" w:cs="Times New Roman"/>
          <w:sz w:val="20"/>
          <w:szCs w:val="20"/>
        </w:rPr>
        <w:t>)</w:t>
      </w:r>
      <w:r w:rsidRPr="002241DD">
        <w:rPr>
          <w:rFonts w:ascii="Times New Roman" w:eastAsia="Times New Roman" w:hAnsi="Times New Roman" w:cs="Times New Roman"/>
          <w:sz w:val="20"/>
          <w:szCs w:val="20"/>
        </w:rPr>
        <w:t xml:space="preserve"> strategy in Australia in terms of morbidity and DALYs avoided using the previously developed </w:t>
      </w:r>
      <w:proofErr w:type="spellStart"/>
      <w:r w:rsidRPr="002241DD">
        <w:rPr>
          <w:rFonts w:ascii="Times New Roman" w:eastAsia="Times New Roman" w:hAnsi="Times New Roman" w:cs="Times New Roman"/>
          <w:sz w:val="20"/>
          <w:szCs w:val="20"/>
        </w:rPr>
        <w:t>GeDiForCE</w:t>
      </w:r>
      <w:proofErr w:type="spellEnd"/>
      <w:r w:rsidRPr="002241DD">
        <w:rPr>
          <w:rFonts w:ascii="Times New Roman" w:eastAsia="Times New Roman" w:hAnsi="Times New Roman" w:cs="Times New Roman"/>
          <w:sz w:val="20"/>
          <w:szCs w:val="20"/>
        </w:rPr>
        <w:t xml:space="preserve"> decision tree model (Marseille et al., 2013). </w:t>
      </w:r>
      <w:r w:rsidR="00852698" w:rsidRPr="002241DD">
        <w:rPr>
          <w:rFonts w:ascii="Times New Roman" w:eastAsia="Times New Roman" w:hAnsi="Times New Roman" w:cs="Times New Roman"/>
          <w:sz w:val="20"/>
          <w:szCs w:val="20"/>
        </w:rPr>
        <w:t xml:space="preserve">We compare this strategy with the previously used criteria and a hypothetical no screening or treatment scenario. </w:t>
      </w:r>
      <w:r w:rsidRPr="002241DD">
        <w:rPr>
          <w:rFonts w:ascii="Times New Roman" w:eastAsia="Times New Roman" w:hAnsi="Times New Roman" w:cs="Times New Roman"/>
          <w:sz w:val="20"/>
          <w:szCs w:val="20"/>
        </w:rPr>
        <w:t xml:space="preserve">GDM is associated with an increased risk of perinatal complications including obstetric and neonatal complications (morbidity and mortality) and higher risk of developing type 2 diabetes mellitus (T2DM). Screening and effective intervention for all women, regardless of pre-existing diabetes risk factors (i.e. universal screening) could reduce these risks. </w:t>
      </w:r>
    </w:p>
    <w:p w14:paraId="00000021" w14:textId="77777777" w:rsidR="009A2A6C" w:rsidRPr="002241DD" w:rsidRDefault="009A2A6C">
      <w:pPr>
        <w:spacing w:after="0" w:line="480" w:lineRule="auto"/>
        <w:rPr>
          <w:rFonts w:ascii="Times New Roman" w:eastAsia="Times New Roman" w:hAnsi="Times New Roman" w:cs="Times New Roman"/>
          <w:sz w:val="20"/>
          <w:szCs w:val="20"/>
        </w:rPr>
      </w:pPr>
    </w:p>
    <w:p w14:paraId="11697733" w14:textId="10305C5D" w:rsidR="00F366FE"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Much debate exists as to the appropriate method and criteria for determining the diagnosis of GDM. In an effort to define evidence-based thresholds, the recent Hyperglycaemia and Adverse Pregnancy Outcome (HAPO) study observed a cohort of 25,505 pregnant women in a multisite prospective controlled trial.  This trial demonstrated a link between high maternal glucose levels at 24‐32 week’s gestation and a range of adverse maternal and foetal outcomes </w:t>
      </w:r>
      <w:r w:rsidR="00E01A3D" w:rsidRPr="002241DD">
        <w:rPr>
          <w:rFonts w:ascii="Times New Roman" w:eastAsia="Times New Roman" w:hAnsi="Times New Roman" w:cs="Times New Roman"/>
          <w:sz w:val="20"/>
          <w:szCs w:val="20"/>
        </w:rPr>
        <w:fldChar w:fldCharType="begin"/>
      </w:r>
      <w:r w:rsidR="00E01A3D" w:rsidRPr="002241DD">
        <w:rPr>
          <w:rFonts w:ascii="Times New Roman" w:eastAsia="Times New Roman" w:hAnsi="Times New Roman" w:cs="Times New Roman"/>
          <w:sz w:val="20"/>
          <w:szCs w:val="20"/>
        </w:rPr>
        <w:instrText xml:space="preserve"> ADDIN EN.CITE &lt;EndNote&gt;&lt;Cite&gt;&lt;Author&gt;Group&lt;/Author&gt;&lt;Year&gt;2008&lt;/Year&gt;&lt;RecNum&gt;4&lt;/RecNum&gt;&lt;DisplayText&gt;(HAPO Study Cooperative Research Group, 2008)&lt;/DisplayText&gt;&lt;record&gt;&lt;rec-number&gt;4&lt;/rec-number&gt;&lt;foreign-keys&gt;&lt;key app="EN" db-id="5eavdw95gazpeeesd28vdr0jpfxaedft2f5r" timestamp="0"&gt;4&lt;/key&gt;&lt;/foreign-keys&gt;&lt;ref-type name="Journal Article"&gt;17&lt;/ref-type&gt;&lt;contributors&gt;&lt;authors&gt;&lt;author&gt;HAPO Study Cooperative Research Group,&lt;/author&gt;&lt;/authors&gt;&lt;/contributors&gt;&lt;titles&gt;&lt;title&gt;Hyperglycemia and Adverse Pregnancy Outcomes&lt;/title&gt;&lt;secondary-title&gt;The New England Journal of Medicine&lt;/secondary-title&gt;&lt;/titles&gt;&lt;pages&gt;1991-2002&lt;/pages&gt;&lt;volume&gt;358&lt;/volume&gt;&lt;number&gt;19&lt;/number&gt;&lt;dates&gt;&lt;year&gt;2008&lt;/year&gt;&lt;/dates&gt;&lt;urls&gt;&lt;/urls&gt;&lt;/record&gt;&lt;/Cite&gt;&lt;Cite&gt;&lt;Author&gt;Group&lt;/Author&gt;&lt;Year&gt;2008&lt;/Year&gt;&lt;RecNum&gt;4&lt;/RecNum&gt;&lt;record&gt;&lt;rec-number&gt;4&lt;/rec-number&gt;&lt;foreign-keys&gt;&lt;key app="EN" db-id="5eavdw95gazpeeesd28vdr0jpfxaedft2f5r" timestamp="0"&gt;4&lt;/key&gt;&lt;/foreign-keys&gt;&lt;ref-type name="Journal Article"&gt;17&lt;/ref-type&gt;&lt;contributors&gt;&lt;authors&gt;&lt;author&gt;HAPO Study Cooperative Research Group,&lt;/author&gt;&lt;/authors&gt;&lt;/contributors&gt;&lt;titles&gt;&lt;title&gt;Hyperglycemia and Adverse Pregnancy Outcomes&lt;/title&gt;&lt;secondary-title&gt;The New England Journal of Medicine&lt;/secondary-title&gt;&lt;/titles&gt;&lt;pages&gt;1991-2002&lt;/pages&gt;&lt;volume&gt;358&lt;/volume&gt;&lt;number&gt;19&lt;/number&gt;&lt;dates&gt;&lt;year&gt;2008&lt;/year&gt;&lt;/dates&gt;&lt;urls&gt;&lt;/urls&gt;&lt;/record&gt;&lt;/Cite&gt;&lt;Cite&gt;&lt;Author&gt;Group&lt;/Author&gt;&lt;Year&gt;2008&lt;/Year&gt;&lt;RecNum&gt;4&lt;/RecNum&gt;&lt;record&gt;&lt;rec-number&gt;4&lt;/rec-number&gt;&lt;foreign-keys&gt;&lt;key app="EN" db-id="5eavdw95gazpeeesd28vdr0jpfxaedft2f5r" timestamp="0"&gt;4&lt;/key&gt;&lt;/foreign-keys&gt;&lt;ref-type name="Journal Article"&gt;17&lt;/ref-type&gt;&lt;contributors&gt;&lt;authors&gt;&lt;author&gt;HAPO Study Cooperative Research Group,&lt;/author&gt;&lt;/authors&gt;&lt;/contributors&gt;&lt;titles&gt;&lt;title&gt;Hyperglycemia and Adverse Pregnancy Outcomes&lt;/title&gt;&lt;secondary-title&gt;The New England Journal of Medicine&lt;/secondary-title&gt;&lt;/titles&gt;&lt;pages&gt;1991-2002&lt;/pages&gt;&lt;volume&gt;358&lt;/volume&gt;&lt;number&gt;19&lt;/number&gt;&lt;dates&gt;&lt;year&gt;2008&lt;/year&gt;&lt;/dates&gt;&lt;urls&gt;&lt;/urls&gt;&lt;/record&gt;&lt;/Cite&gt;&lt;/EndNote&gt;</w:instrText>
      </w:r>
      <w:r w:rsidR="00E01A3D" w:rsidRPr="002241DD">
        <w:rPr>
          <w:rFonts w:ascii="Times New Roman" w:eastAsia="Times New Roman" w:hAnsi="Times New Roman" w:cs="Times New Roman"/>
          <w:sz w:val="20"/>
          <w:szCs w:val="20"/>
        </w:rPr>
        <w:fldChar w:fldCharType="separate"/>
      </w:r>
      <w:r w:rsidR="00E01A3D" w:rsidRPr="002241DD">
        <w:rPr>
          <w:rFonts w:ascii="Times New Roman" w:eastAsia="Times New Roman" w:hAnsi="Times New Roman" w:cs="Times New Roman"/>
          <w:noProof/>
          <w:sz w:val="20"/>
          <w:szCs w:val="20"/>
        </w:rPr>
        <w:t>(HAPO Study Cooperative Research Group, 2008)</w:t>
      </w:r>
      <w:r w:rsidR="00E01A3D" w:rsidRPr="002241DD">
        <w:rPr>
          <w:rFonts w:ascii="Times New Roman" w:eastAsia="Times New Roman" w:hAnsi="Times New Roman" w:cs="Times New Roman"/>
          <w:sz w:val="20"/>
          <w:szCs w:val="20"/>
        </w:rPr>
        <w:fldChar w:fldCharType="end"/>
      </w:r>
      <w:r w:rsidRPr="002241DD">
        <w:rPr>
          <w:rFonts w:ascii="Times New Roman" w:eastAsia="Times New Roman" w:hAnsi="Times New Roman" w:cs="Times New Roman"/>
          <w:sz w:val="20"/>
          <w:szCs w:val="20"/>
        </w:rPr>
        <w:t>. Crucially, this was found to be true for hyperglycaemia at levels below the diagnostic thresholds for ‘overt’ diabetes, with no obvious thresholds at which risks were markedly increased.</w:t>
      </w:r>
      <w:r w:rsidRPr="002241DD">
        <w:rPr>
          <w:rFonts w:ascii="Times New Roman" w:eastAsia="Times New Roman" w:hAnsi="Times New Roman" w:cs="Times New Roman"/>
        </w:rPr>
        <w:t xml:space="preserve"> </w:t>
      </w:r>
      <w:r w:rsidRPr="002241DD">
        <w:rPr>
          <w:rFonts w:ascii="Times New Roman" w:eastAsia="Times New Roman" w:hAnsi="Times New Roman" w:cs="Times New Roman"/>
          <w:sz w:val="20"/>
          <w:szCs w:val="20"/>
        </w:rPr>
        <w:t>Th</w:t>
      </w:r>
      <w:r w:rsidR="00BA33E7" w:rsidRPr="002241DD">
        <w:rPr>
          <w:rFonts w:ascii="Times New Roman" w:eastAsia="Times New Roman" w:hAnsi="Times New Roman" w:cs="Times New Roman"/>
          <w:sz w:val="20"/>
          <w:szCs w:val="20"/>
        </w:rPr>
        <w:t>eir</w:t>
      </w:r>
      <w:r w:rsidRPr="002241DD">
        <w:rPr>
          <w:rFonts w:ascii="Times New Roman" w:eastAsia="Times New Roman" w:hAnsi="Times New Roman" w:cs="Times New Roman"/>
          <w:sz w:val="20"/>
          <w:szCs w:val="20"/>
        </w:rPr>
        <w:t xml:space="preserve"> report and other relevant work </w:t>
      </w:r>
      <w:proofErr w:type="gramStart"/>
      <w:r w:rsidRPr="002241DD">
        <w:rPr>
          <w:rFonts w:ascii="Times New Roman" w:eastAsia="Times New Roman" w:hAnsi="Times New Roman" w:cs="Times New Roman"/>
          <w:sz w:val="20"/>
          <w:szCs w:val="20"/>
        </w:rPr>
        <w:t>was</w:t>
      </w:r>
      <w:proofErr w:type="gramEnd"/>
      <w:r w:rsidRPr="002241DD">
        <w:rPr>
          <w:rFonts w:ascii="Times New Roman" w:eastAsia="Times New Roman" w:hAnsi="Times New Roman" w:cs="Times New Roman"/>
          <w:sz w:val="20"/>
          <w:szCs w:val="20"/>
        </w:rPr>
        <w:t xml:space="preserve"> subsequently reviewed by </w:t>
      </w:r>
      <w:bookmarkStart w:id="1" w:name="_Hlk33274046"/>
      <w:r w:rsidRPr="002241DD">
        <w:rPr>
          <w:rFonts w:ascii="Times New Roman" w:eastAsia="Times New Roman" w:hAnsi="Times New Roman" w:cs="Times New Roman"/>
          <w:sz w:val="20"/>
          <w:szCs w:val="20"/>
        </w:rPr>
        <w:t>the International Association of Diabetes and Pregnancy Study Group</w:t>
      </w:r>
      <w:bookmarkEnd w:id="1"/>
      <w:r w:rsidRPr="002241DD">
        <w:rPr>
          <w:rFonts w:ascii="Times New Roman" w:eastAsia="Times New Roman" w:hAnsi="Times New Roman" w:cs="Times New Roman"/>
          <w:sz w:val="20"/>
          <w:szCs w:val="20"/>
        </w:rPr>
        <w:t xml:space="preserve"> (IADPSG) Consensus Panel which included Australasian Diabetes in Pregnancy Society (ADIPS) representation</w:t>
      </w:r>
      <w:r w:rsidR="00BA33E7" w:rsidRPr="002241DD">
        <w:rPr>
          <w:rFonts w:ascii="Times New Roman" w:eastAsia="Times New Roman" w:hAnsi="Times New Roman" w:cs="Times New Roman"/>
          <w:sz w:val="20"/>
          <w:szCs w:val="20"/>
        </w:rPr>
        <w:t xml:space="preserve">. This </w:t>
      </w:r>
      <w:r w:rsidRPr="002241DD">
        <w:rPr>
          <w:rFonts w:ascii="Times New Roman" w:eastAsia="Times New Roman" w:hAnsi="Times New Roman" w:cs="Times New Roman"/>
          <w:sz w:val="20"/>
          <w:szCs w:val="20"/>
        </w:rPr>
        <w:t xml:space="preserve">resulted in the formation of new guidelines for the testing and diagnosis of GDM (IADPSG Consensus Panel, 2010) based upon odds ratios for adverse neonatal outcomes of at least 1.75 compared to mean values </w:t>
      </w:r>
      <w:r w:rsidR="00BA33E7" w:rsidRPr="002241DD">
        <w:rPr>
          <w:rFonts w:ascii="Times New Roman" w:eastAsia="Times New Roman" w:hAnsi="Times New Roman" w:cs="Times New Roman"/>
          <w:sz w:val="20"/>
          <w:szCs w:val="20"/>
        </w:rPr>
        <w:t xml:space="preserve">for </w:t>
      </w:r>
      <w:proofErr w:type="spellStart"/>
      <w:r w:rsidRPr="002241DD">
        <w:rPr>
          <w:rFonts w:ascii="Times New Roman" w:eastAsia="Times New Roman" w:hAnsi="Times New Roman" w:cs="Times New Roman"/>
          <w:sz w:val="20"/>
          <w:szCs w:val="20"/>
        </w:rPr>
        <w:t>normoglycaemic</w:t>
      </w:r>
      <w:proofErr w:type="spellEnd"/>
      <w:r w:rsidRPr="002241DD">
        <w:rPr>
          <w:rFonts w:ascii="Times New Roman" w:eastAsia="Times New Roman" w:hAnsi="Times New Roman" w:cs="Times New Roman"/>
          <w:sz w:val="20"/>
          <w:szCs w:val="20"/>
        </w:rPr>
        <w:t xml:space="preserve"> women (see Box 1). These guidelines were endorsed by the World Health Organisation (WHO) in 2014 (World Health Organization, 2014). </w:t>
      </w:r>
      <w:r w:rsidR="00E670F9" w:rsidRPr="002241DD">
        <w:rPr>
          <w:rFonts w:ascii="Times New Roman" w:eastAsia="Times New Roman" w:hAnsi="Times New Roman" w:cs="Times New Roman"/>
          <w:sz w:val="20"/>
          <w:szCs w:val="20"/>
        </w:rPr>
        <w:t>S</w:t>
      </w:r>
      <w:r w:rsidRPr="002241DD">
        <w:rPr>
          <w:rFonts w:ascii="Times New Roman" w:eastAsia="Times New Roman" w:hAnsi="Times New Roman" w:cs="Times New Roman"/>
          <w:sz w:val="20"/>
          <w:szCs w:val="20"/>
        </w:rPr>
        <w:t xml:space="preserve">ubsequently ADIPS released their “Consensus Guidelines for the Testing and Diagnosis of Hyperglycaemia in Pregnancy in Australia and New Zealand” which stated their adoption of the IADPSG thresholds. These new criteria are significantly lower than those recommended by ADIPS previously (Hoffman, Nolan, Wilson, Oats, &amp; Simmons, 1998) (see Box 1) and have come with considerable controversy as preventing perinatal complications is weighed against concerns for cost and of unnecessary treatment. </w:t>
      </w:r>
    </w:p>
    <w:p w14:paraId="4A5805F2" w14:textId="77777777" w:rsidR="00F366FE" w:rsidRPr="002241DD" w:rsidRDefault="00F366FE">
      <w:pPr>
        <w:spacing w:after="0" w:line="480" w:lineRule="auto"/>
        <w:rPr>
          <w:rFonts w:ascii="Times New Roman" w:eastAsia="Times New Roman" w:hAnsi="Times New Roman" w:cs="Times New Roman"/>
          <w:sz w:val="20"/>
          <w:szCs w:val="20"/>
        </w:rPr>
      </w:pPr>
    </w:p>
    <w:p w14:paraId="00000023" w14:textId="5C1FC75C"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The </w:t>
      </w:r>
      <w:r w:rsidR="00BA33E7" w:rsidRPr="002241DD">
        <w:rPr>
          <w:rFonts w:ascii="Times New Roman" w:eastAsia="Times New Roman" w:hAnsi="Times New Roman" w:cs="Times New Roman"/>
          <w:sz w:val="20"/>
          <w:szCs w:val="20"/>
        </w:rPr>
        <w:t xml:space="preserve">new consensus </w:t>
      </w:r>
      <w:r w:rsidRPr="002241DD">
        <w:rPr>
          <w:rFonts w:ascii="Times New Roman" w:eastAsia="Times New Roman" w:hAnsi="Times New Roman" w:cs="Times New Roman"/>
          <w:sz w:val="20"/>
          <w:szCs w:val="20"/>
        </w:rPr>
        <w:t>guidelines call for further research into the cost-effectiveness of the new criteria with a longer follow up time than in the existing health economics literature</w:t>
      </w:r>
      <w:r w:rsidR="00BA33E7" w:rsidRPr="002241DD">
        <w:rPr>
          <w:rFonts w:ascii="Times New Roman" w:eastAsia="Times New Roman" w:hAnsi="Times New Roman" w:cs="Times New Roman"/>
          <w:sz w:val="20"/>
          <w:szCs w:val="20"/>
        </w:rPr>
        <w:t>, so as</w:t>
      </w:r>
      <w:r w:rsidRPr="002241DD">
        <w:rPr>
          <w:rFonts w:ascii="Times New Roman" w:eastAsia="Times New Roman" w:hAnsi="Times New Roman" w:cs="Times New Roman"/>
          <w:sz w:val="20"/>
          <w:szCs w:val="20"/>
        </w:rPr>
        <w:t xml:space="preserve"> to assess disease prevention in later </w:t>
      </w:r>
      <w:r w:rsidRPr="002241DD">
        <w:rPr>
          <w:rFonts w:ascii="Times New Roman" w:eastAsia="Times New Roman" w:hAnsi="Times New Roman" w:cs="Times New Roman"/>
          <w:sz w:val="20"/>
          <w:szCs w:val="20"/>
        </w:rPr>
        <w:lastRenderedPageBreak/>
        <w:t>life. An Australian paper assessed the impact of the new IADPSG criteria and found it identified a group of women at previously unrecognised increased risk of adverse perinatal outcomes and that improvements in perinatal morbidity, in addition to potential long-term benefits, may justify the increase in healthcare workload (</w:t>
      </w:r>
      <w:proofErr w:type="spellStart"/>
      <w:r w:rsidRPr="002241DD">
        <w:rPr>
          <w:rFonts w:ascii="Times New Roman" w:eastAsia="Times New Roman" w:hAnsi="Times New Roman" w:cs="Times New Roman"/>
          <w:sz w:val="20"/>
          <w:szCs w:val="20"/>
        </w:rPr>
        <w:t>Laafira</w:t>
      </w:r>
      <w:proofErr w:type="spellEnd"/>
      <w:r w:rsidRPr="002241DD">
        <w:rPr>
          <w:rFonts w:ascii="Times New Roman" w:eastAsia="Times New Roman" w:hAnsi="Times New Roman" w:cs="Times New Roman"/>
          <w:sz w:val="20"/>
          <w:szCs w:val="20"/>
        </w:rPr>
        <w:t xml:space="preserve">, White, Griffin, &amp; Graham, 2016). To date there has been no assessment of cost-effectiveness of the </w:t>
      </w:r>
      <w:r w:rsidR="00BA33E7" w:rsidRPr="002241DD">
        <w:rPr>
          <w:rFonts w:ascii="Times New Roman" w:eastAsia="Times New Roman" w:hAnsi="Times New Roman" w:cs="Times New Roman"/>
          <w:sz w:val="20"/>
          <w:szCs w:val="20"/>
        </w:rPr>
        <w:t xml:space="preserve">newly developed ADIPS </w:t>
      </w:r>
      <w:r w:rsidRPr="002241DD">
        <w:rPr>
          <w:rFonts w:ascii="Times New Roman" w:eastAsia="Times New Roman" w:hAnsi="Times New Roman" w:cs="Times New Roman"/>
          <w:sz w:val="20"/>
          <w:szCs w:val="20"/>
        </w:rPr>
        <w:t>strategy</w:t>
      </w:r>
      <w:r w:rsidR="007B1F57" w:rsidRPr="002241DD">
        <w:rPr>
          <w:rFonts w:ascii="Times New Roman" w:eastAsia="Times New Roman" w:hAnsi="Times New Roman" w:cs="Times New Roman"/>
          <w:sz w:val="20"/>
          <w:szCs w:val="20"/>
        </w:rPr>
        <w:t>,</w:t>
      </w:r>
      <w:r w:rsidRPr="002241DD">
        <w:rPr>
          <w:rFonts w:ascii="Times New Roman" w:eastAsia="Times New Roman" w:hAnsi="Times New Roman" w:cs="Times New Roman"/>
          <w:sz w:val="20"/>
          <w:szCs w:val="20"/>
        </w:rPr>
        <w:t xml:space="preserve"> from the Australian health care system perspective compared to previous criteria or a no screening scenario. </w:t>
      </w:r>
      <w:r w:rsidR="007B1F57" w:rsidRPr="002241DD">
        <w:rPr>
          <w:rFonts w:ascii="Times New Roman" w:eastAsia="Times New Roman" w:hAnsi="Times New Roman" w:cs="Times New Roman"/>
          <w:sz w:val="20"/>
          <w:szCs w:val="20"/>
        </w:rPr>
        <w:t>Our</w:t>
      </w:r>
      <w:r w:rsidRPr="002241DD">
        <w:rPr>
          <w:rFonts w:ascii="Times New Roman" w:eastAsia="Times New Roman" w:hAnsi="Times New Roman" w:cs="Times New Roman"/>
          <w:sz w:val="20"/>
          <w:szCs w:val="20"/>
        </w:rPr>
        <w:t xml:space="preserve"> paper</w:t>
      </w:r>
      <w:r w:rsidR="007B1F57" w:rsidRPr="002241DD">
        <w:rPr>
          <w:rFonts w:ascii="Times New Roman" w:eastAsia="Times New Roman" w:hAnsi="Times New Roman" w:cs="Times New Roman"/>
          <w:sz w:val="20"/>
          <w:szCs w:val="20"/>
        </w:rPr>
        <w:t xml:space="preserve"> now</w:t>
      </w:r>
      <w:r w:rsidRPr="002241DD">
        <w:rPr>
          <w:rFonts w:ascii="Times New Roman" w:eastAsia="Times New Roman" w:hAnsi="Times New Roman" w:cs="Times New Roman"/>
          <w:sz w:val="20"/>
          <w:szCs w:val="20"/>
        </w:rPr>
        <w:t xml:space="preserve"> aims to fill this gap in the literature.</w:t>
      </w:r>
      <w:r w:rsidRPr="002241DD">
        <w:rPr>
          <w:noProof/>
        </w:rPr>
        <mc:AlternateContent>
          <mc:Choice Requires="wps">
            <w:drawing>
              <wp:anchor distT="45720" distB="45720" distL="114300" distR="114300" simplePos="0" relativeHeight="251658240" behindDoc="0" locked="0" layoutInCell="1" hidden="0" allowOverlap="1" wp14:anchorId="64B933C2" wp14:editId="3003768A">
                <wp:simplePos x="0" y="0"/>
                <wp:positionH relativeFrom="column">
                  <wp:posOffset>1</wp:posOffset>
                </wp:positionH>
                <wp:positionV relativeFrom="paragraph">
                  <wp:posOffset>4884420</wp:posOffset>
                </wp:positionV>
                <wp:extent cx="5885180" cy="3953372"/>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2408173" y="1808077"/>
                          <a:ext cx="5875655" cy="39438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CBB4A1" w14:textId="244CBE0B" w:rsidR="00671CF7" w:rsidRDefault="00671CF7">
                            <w:pPr>
                              <w:spacing w:after="0" w:line="480" w:lineRule="auto"/>
                              <w:jc w:val="both"/>
                              <w:textDirection w:val="btLr"/>
                            </w:pPr>
                            <w:r>
                              <w:rPr>
                                <w:b/>
                                <w:color w:val="000000"/>
                                <w:sz w:val="18"/>
                              </w:rPr>
                              <w:t xml:space="preserve">Box 1: Comparison of </w:t>
                            </w:r>
                            <w:r w:rsidR="00FD5AF1">
                              <w:rPr>
                                <w:b/>
                                <w:color w:val="000000"/>
                                <w:sz w:val="18"/>
                              </w:rPr>
                              <w:t>current and previous</w:t>
                            </w:r>
                            <w:r>
                              <w:rPr>
                                <w:b/>
                                <w:color w:val="000000"/>
                                <w:sz w:val="18"/>
                              </w:rPr>
                              <w:t xml:space="preserve"> ADIPS recommended criteria</w:t>
                            </w:r>
                          </w:p>
                          <w:p w14:paraId="3EDD6898" w14:textId="0E1BC668" w:rsidR="00671CF7" w:rsidRDefault="00671CF7">
                            <w:pPr>
                              <w:spacing w:after="0" w:line="480" w:lineRule="auto"/>
                              <w:jc w:val="both"/>
                              <w:textDirection w:val="btLr"/>
                            </w:pPr>
                            <w:r>
                              <w:rPr>
                                <w:b/>
                                <w:color w:val="000000"/>
                                <w:sz w:val="18"/>
                              </w:rPr>
                              <w:t>IADPSG criteria</w:t>
                            </w:r>
                            <w:r>
                              <w:rPr>
                                <w:color w:val="000000"/>
                                <w:sz w:val="18"/>
                              </w:rPr>
                              <w:t xml:space="preserve"> (adopted by ADIPS in 2011</w:t>
                            </w:r>
                            <w:r w:rsidR="00FD5AF1">
                              <w:rPr>
                                <w:color w:val="000000"/>
                                <w:sz w:val="18"/>
                              </w:rPr>
                              <w:t xml:space="preserve"> in ‘new ADIPS strategy’</w:t>
                            </w:r>
                            <w:r>
                              <w:rPr>
                                <w:color w:val="000000"/>
                                <w:sz w:val="18"/>
                              </w:rPr>
                              <w:t>) – one step</w:t>
                            </w:r>
                          </w:p>
                          <w:p w14:paraId="4F025C78" w14:textId="77777777" w:rsidR="00671CF7" w:rsidRDefault="00671CF7">
                            <w:pPr>
                              <w:spacing w:after="0" w:line="480" w:lineRule="auto"/>
                              <w:jc w:val="both"/>
                              <w:textDirection w:val="btLr"/>
                            </w:pPr>
                            <w:r>
                              <w:rPr>
                                <w:color w:val="000000"/>
                                <w:sz w:val="16"/>
                              </w:rPr>
                              <w:t xml:space="preserve">The diagnosis of GDM at any time during pregnancy* should be based on any one of the following a fasting 75g OGTT: </w:t>
                            </w:r>
                          </w:p>
                          <w:p w14:paraId="28A24BD9" w14:textId="77777777" w:rsidR="00671CF7" w:rsidRDefault="00671CF7">
                            <w:pPr>
                              <w:spacing w:after="0" w:line="480" w:lineRule="auto"/>
                              <w:ind w:firstLine="720"/>
                              <w:jc w:val="both"/>
                              <w:textDirection w:val="btLr"/>
                            </w:pPr>
                            <w:r>
                              <w:rPr>
                                <w:color w:val="000000"/>
                                <w:sz w:val="16"/>
                              </w:rPr>
                              <w:t xml:space="preserve">(a) fasting plasma glucose ≥ 5.1 mmol/; </w:t>
                            </w:r>
                          </w:p>
                          <w:p w14:paraId="75449F04" w14:textId="77777777" w:rsidR="00671CF7" w:rsidRDefault="00671CF7">
                            <w:pPr>
                              <w:spacing w:after="0" w:line="480" w:lineRule="auto"/>
                              <w:ind w:firstLine="720"/>
                              <w:jc w:val="both"/>
                              <w:textDirection w:val="btLr"/>
                            </w:pPr>
                            <w:r>
                              <w:rPr>
                                <w:color w:val="000000"/>
                                <w:sz w:val="16"/>
                              </w:rPr>
                              <w:t xml:space="preserve">(b) 1-h plasma glucose ≥ 10.0 mmol/l**; </w:t>
                            </w:r>
                          </w:p>
                          <w:p w14:paraId="64955ED4" w14:textId="77777777" w:rsidR="00671CF7" w:rsidRDefault="00671CF7">
                            <w:pPr>
                              <w:spacing w:after="0" w:line="480" w:lineRule="auto"/>
                              <w:ind w:firstLine="720"/>
                              <w:jc w:val="both"/>
                              <w:textDirection w:val="btLr"/>
                            </w:pPr>
                            <w:r>
                              <w:rPr>
                                <w:color w:val="000000"/>
                                <w:sz w:val="16"/>
                              </w:rPr>
                              <w:t>(c) 2-h plasma glucose ≥ 8.5–11.0 mmol/</w:t>
                            </w:r>
                            <w:proofErr w:type="gramStart"/>
                            <w:r>
                              <w:rPr>
                                <w:color w:val="000000"/>
                                <w:sz w:val="16"/>
                              </w:rPr>
                              <w:t>l .</w:t>
                            </w:r>
                            <w:proofErr w:type="gramEnd"/>
                          </w:p>
                          <w:p w14:paraId="5163C6F4" w14:textId="77777777" w:rsidR="00671CF7" w:rsidRDefault="00671CF7">
                            <w:pPr>
                              <w:spacing w:after="0" w:line="480" w:lineRule="auto"/>
                              <w:jc w:val="both"/>
                              <w:textDirection w:val="btLr"/>
                            </w:pPr>
                            <w:r>
                              <w:rPr>
                                <w:color w:val="000000"/>
                                <w:sz w:val="16"/>
                              </w:rPr>
                              <w:t>*recommended at first prenatal visit and at 24-28 weeks gestation</w:t>
                            </w:r>
                          </w:p>
                          <w:p w14:paraId="7BD4539B" w14:textId="77777777" w:rsidR="00671CF7" w:rsidRDefault="00671CF7">
                            <w:pPr>
                              <w:spacing w:after="0" w:line="480" w:lineRule="auto"/>
                              <w:jc w:val="both"/>
                              <w:textDirection w:val="btLr"/>
                            </w:pPr>
                            <w:r>
                              <w:rPr>
                                <w:color w:val="000000"/>
                                <w:sz w:val="16"/>
                              </w:rPr>
                              <w:t>**note there are no established criteria for the diagnosis of diabetes mellitus in pregnancy based on the 1-h post-load value</w:t>
                            </w:r>
                          </w:p>
                          <w:p w14:paraId="1B9860C4" w14:textId="77777777" w:rsidR="00671CF7" w:rsidRDefault="00671CF7">
                            <w:pPr>
                              <w:spacing w:after="0" w:line="240" w:lineRule="auto"/>
                              <w:jc w:val="both"/>
                              <w:textDirection w:val="btLr"/>
                            </w:pPr>
                          </w:p>
                          <w:p w14:paraId="3FC4F1A1" w14:textId="77777777" w:rsidR="00671CF7" w:rsidRDefault="00671CF7">
                            <w:pPr>
                              <w:spacing w:after="0" w:line="480" w:lineRule="auto"/>
                              <w:jc w:val="both"/>
                              <w:textDirection w:val="btLr"/>
                            </w:pPr>
                            <w:r>
                              <w:rPr>
                                <w:b/>
                                <w:color w:val="000000"/>
                                <w:sz w:val="18"/>
                              </w:rPr>
                              <w:t>ADIPS 1998 criteria</w:t>
                            </w:r>
                            <w:r>
                              <w:rPr>
                                <w:color w:val="000000"/>
                                <w:sz w:val="18"/>
                              </w:rPr>
                              <w:t xml:space="preserve"> – two </w:t>
                            </w:r>
                            <w:proofErr w:type="gramStart"/>
                            <w:r>
                              <w:rPr>
                                <w:color w:val="000000"/>
                                <w:sz w:val="18"/>
                              </w:rPr>
                              <w:t>step</w:t>
                            </w:r>
                            <w:proofErr w:type="gramEnd"/>
                            <w:r>
                              <w:rPr>
                                <w:color w:val="000000"/>
                                <w:sz w:val="18"/>
                              </w:rPr>
                              <w:t xml:space="preserve"> </w:t>
                            </w:r>
                          </w:p>
                          <w:p w14:paraId="017690B3" w14:textId="77777777" w:rsidR="00671CF7" w:rsidRDefault="00671CF7">
                            <w:pPr>
                              <w:spacing w:after="0" w:line="480" w:lineRule="auto"/>
                              <w:jc w:val="both"/>
                              <w:textDirection w:val="btLr"/>
                            </w:pPr>
                            <w:r>
                              <w:rPr>
                                <w:color w:val="000000"/>
                                <w:sz w:val="16"/>
                              </w:rPr>
                              <w:t>Recommended morning non-fasting test (GCT) for GDM is performed at 26-28 weeks and positive results are:</w:t>
                            </w:r>
                          </w:p>
                          <w:p w14:paraId="3C99C306" w14:textId="77777777" w:rsidR="00671CF7" w:rsidRDefault="00671CF7">
                            <w:pPr>
                              <w:spacing w:after="0" w:line="480" w:lineRule="auto"/>
                              <w:ind w:firstLine="720"/>
                              <w:jc w:val="both"/>
                              <w:textDirection w:val="btLr"/>
                            </w:pPr>
                            <w:r>
                              <w:rPr>
                                <w:color w:val="000000"/>
                                <w:sz w:val="16"/>
                              </w:rPr>
                              <w:t>(a) 1-h post 50 g oral glucose load ≥ 7.8 mmol/l*; or</w:t>
                            </w:r>
                          </w:p>
                          <w:p w14:paraId="71DB8629" w14:textId="77777777" w:rsidR="00671CF7" w:rsidRDefault="00671CF7">
                            <w:pPr>
                              <w:spacing w:after="0" w:line="480" w:lineRule="auto"/>
                              <w:ind w:firstLine="720"/>
                              <w:jc w:val="both"/>
                              <w:textDirection w:val="btLr"/>
                            </w:pPr>
                            <w:r>
                              <w:rPr>
                                <w:color w:val="000000"/>
                                <w:sz w:val="16"/>
                              </w:rPr>
                              <w:t>(b) 1-h post 75 g oral glucose load ≥ 8.0 mmol/</w:t>
                            </w:r>
                            <w:proofErr w:type="gramStart"/>
                            <w:r>
                              <w:rPr>
                                <w:color w:val="000000"/>
                                <w:sz w:val="16"/>
                              </w:rPr>
                              <w:t>l .</w:t>
                            </w:r>
                            <w:proofErr w:type="gramEnd"/>
                          </w:p>
                          <w:p w14:paraId="0DB6B50E" w14:textId="77777777" w:rsidR="00671CF7" w:rsidRDefault="00671CF7">
                            <w:pPr>
                              <w:spacing w:after="0" w:line="480" w:lineRule="auto"/>
                              <w:jc w:val="both"/>
                              <w:textDirection w:val="btLr"/>
                            </w:pPr>
                            <w:r>
                              <w:rPr>
                                <w:color w:val="000000"/>
                                <w:sz w:val="16"/>
                              </w:rPr>
                              <w:t>After a positive screening test, confirmation of diagnosis at 26-30 weeks gestation is based on any one of the following a fasting 75g OGTT:</w:t>
                            </w:r>
                          </w:p>
                          <w:p w14:paraId="354C8BC4" w14:textId="77777777" w:rsidR="00671CF7" w:rsidRDefault="00671CF7">
                            <w:pPr>
                              <w:spacing w:after="0" w:line="480" w:lineRule="auto"/>
                              <w:ind w:firstLine="720"/>
                              <w:jc w:val="both"/>
                              <w:textDirection w:val="btLr"/>
                            </w:pPr>
                            <w:r>
                              <w:rPr>
                                <w:color w:val="000000"/>
                                <w:sz w:val="16"/>
                              </w:rPr>
                              <w:t>(a) fasting plasma glucose ≥ 5.5 mmol/l; and/or</w:t>
                            </w:r>
                          </w:p>
                          <w:p w14:paraId="549AA216" w14:textId="77777777" w:rsidR="00671CF7" w:rsidRDefault="00671CF7">
                            <w:pPr>
                              <w:spacing w:after="0" w:line="480" w:lineRule="auto"/>
                              <w:ind w:firstLine="720"/>
                              <w:jc w:val="both"/>
                              <w:textDirection w:val="btLr"/>
                            </w:pPr>
                            <w:r>
                              <w:rPr>
                                <w:color w:val="000000"/>
                                <w:sz w:val="16"/>
                              </w:rPr>
                              <w:t>(b) 2-h plasma glucose ≥ 8.0 mmol/</w:t>
                            </w:r>
                            <w:proofErr w:type="gramStart"/>
                            <w:r>
                              <w:rPr>
                                <w:color w:val="000000"/>
                                <w:sz w:val="16"/>
                              </w:rPr>
                              <w:t>l .</w:t>
                            </w:r>
                            <w:proofErr w:type="gramEnd"/>
                          </w:p>
                          <w:p w14:paraId="4B49158F" w14:textId="77777777" w:rsidR="00671CF7" w:rsidRDefault="00671CF7">
                            <w:pPr>
                              <w:spacing w:after="0" w:line="480" w:lineRule="auto"/>
                              <w:jc w:val="both"/>
                              <w:textDirection w:val="btLr"/>
                            </w:pPr>
                          </w:p>
                          <w:p w14:paraId="4DCCFA8C" w14:textId="77777777" w:rsidR="00671CF7" w:rsidRDefault="00671CF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4B933C2" id="Rectangle 221" o:spid="_x0000_s1026" style="position:absolute;margin-left:0;margin-top:384.6pt;width:463.4pt;height:311.3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">
                <v:stroke startarrowwidth="narrow" startarrowlength="short" endarrowwidth="narrow" endarrowlength="short"/>
                <v:textbox inset="2.53958mm,1.2694mm,2.53958mm,1.2694mm">
                  <w:txbxContent>
                    <w:p w14:paraId="41CBB4A1" w14:textId="244CBE0B" w:rsidR="00671CF7" w:rsidRDefault="00671CF7">
                      <w:pPr>
                        <w:spacing w:after="0" w:line="480" w:lineRule="auto"/>
                        <w:jc w:val="both"/>
                        <w:textDirection w:val="btLr"/>
                      </w:pPr>
                      <w:r>
                        <w:rPr>
                          <w:b/>
                          <w:color w:val="000000"/>
                          <w:sz w:val="18"/>
                        </w:rPr>
                        <w:t xml:space="preserve">Box 1: Comparison of </w:t>
                      </w:r>
                      <w:r w:rsidR="00FD5AF1">
                        <w:rPr>
                          <w:b/>
                          <w:color w:val="000000"/>
                          <w:sz w:val="18"/>
                        </w:rPr>
                        <w:t>current and previous</w:t>
                      </w:r>
                      <w:r>
                        <w:rPr>
                          <w:b/>
                          <w:color w:val="000000"/>
                          <w:sz w:val="18"/>
                        </w:rPr>
                        <w:t xml:space="preserve"> ADIPS recommended criteria</w:t>
                      </w:r>
                    </w:p>
                    <w:p w14:paraId="3EDD6898" w14:textId="0E1BC668" w:rsidR="00671CF7" w:rsidRDefault="00671CF7">
                      <w:pPr>
                        <w:spacing w:after="0" w:line="480" w:lineRule="auto"/>
                        <w:jc w:val="both"/>
                        <w:textDirection w:val="btLr"/>
                      </w:pPr>
                      <w:r>
                        <w:rPr>
                          <w:b/>
                          <w:color w:val="000000"/>
                          <w:sz w:val="18"/>
                        </w:rPr>
                        <w:t>IADPSG criteria</w:t>
                      </w:r>
                      <w:r>
                        <w:rPr>
                          <w:color w:val="000000"/>
                          <w:sz w:val="18"/>
                        </w:rPr>
                        <w:t xml:space="preserve"> (adopted by ADIPS in 2011</w:t>
                      </w:r>
                      <w:r w:rsidR="00FD5AF1">
                        <w:rPr>
                          <w:color w:val="000000"/>
                          <w:sz w:val="18"/>
                        </w:rPr>
                        <w:t xml:space="preserve"> in ‘new ADIPS strategy’</w:t>
                      </w:r>
                      <w:r>
                        <w:rPr>
                          <w:color w:val="000000"/>
                          <w:sz w:val="18"/>
                        </w:rPr>
                        <w:t>) – one step</w:t>
                      </w:r>
                    </w:p>
                    <w:p w14:paraId="4F025C78" w14:textId="77777777" w:rsidR="00671CF7" w:rsidRDefault="00671CF7">
                      <w:pPr>
                        <w:spacing w:after="0" w:line="480" w:lineRule="auto"/>
                        <w:jc w:val="both"/>
                        <w:textDirection w:val="btLr"/>
                      </w:pPr>
                      <w:r>
                        <w:rPr>
                          <w:color w:val="000000"/>
                          <w:sz w:val="16"/>
                        </w:rPr>
                        <w:t xml:space="preserve">The diagnosis of GDM at any time during pregnancy* should be based on any one of the following a fasting 75g OGTT: </w:t>
                      </w:r>
                    </w:p>
                    <w:p w14:paraId="28A24BD9" w14:textId="77777777" w:rsidR="00671CF7" w:rsidRDefault="00671CF7">
                      <w:pPr>
                        <w:spacing w:after="0" w:line="480" w:lineRule="auto"/>
                        <w:ind w:firstLine="720"/>
                        <w:jc w:val="both"/>
                        <w:textDirection w:val="btLr"/>
                      </w:pPr>
                      <w:r>
                        <w:rPr>
                          <w:color w:val="000000"/>
                          <w:sz w:val="16"/>
                        </w:rPr>
                        <w:t xml:space="preserve">(a) fasting plasma glucose ≥ 5.1 mmol/; </w:t>
                      </w:r>
                    </w:p>
                    <w:p w14:paraId="75449F04" w14:textId="77777777" w:rsidR="00671CF7" w:rsidRDefault="00671CF7">
                      <w:pPr>
                        <w:spacing w:after="0" w:line="480" w:lineRule="auto"/>
                        <w:ind w:firstLine="720"/>
                        <w:jc w:val="both"/>
                        <w:textDirection w:val="btLr"/>
                      </w:pPr>
                      <w:r>
                        <w:rPr>
                          <w:color w:val="000000"/>
                          <w:sz w:val="16"/>
                        </w:rPr>
                        <w:t xml:space="preserve">(b) 1-h plasma glucose ≥ 10.0 mmol/l**; </w:t>
                      </w:r>
                    </w:p>
                    <w:p w14:paraId="64955ED4" w14:textId="77777777" w:rsidR="00671CF7" w:rsidRDefault="00671CF7">
                      <w:pPr>
                        <w:spacing w:after="0" w:line="480" w:lineRule="auto"/>
                        <w:ind w:firstLine="720"/>
                        <w:jc w:val="both"/>
                        <w:textDirection w:val="btLr"/>
                      </w:pPr>
                      <w:r>
                        <w:rPr>
                          <w:color w:val="000000"/>
                          <w:sz w:val="16"/>
                        </w:rPr>
                        <w:t>(c) 2-h plasma glucose ≥ 8.5–11.0 mmol/</w:t>
                      </w:r>
                      <w:proofErr w:type="gramStart"/>
                      <w:r>
                        <w:rPr>
                          <w:color w:val="000000"/>
                          <w:sz w:val="16"/>
                        </w:rPr>
                        <w:t>l .</w:t>
                      </w:r>
                      <w:proofErr w:type="gramEnd"/>
                    </w:p>
                    <w:p w14:paraId="5163C6F4" w14:textId="77777777" w:rsidR="00671CF7" w:rsidRDefault="00671CF7">
                      <w:pPr>
                        <w:spacing w:after="0" w:line="480" w:lineRule="auto"/>
                        <w:jc w:val="both"/>
                        <w:textDirection w:val="btLr"/>
                      </w:pPr>
                      <w:r>
                        <w:rPr>
                          <w:color w:val="000000"/>
                          <w:sz w:val="16"/>
                        </w:rPr>
                        <w:t>*recommended at first prenatal visit and at 24-28 weeks gestation</w:t>
                      </w:r>
                    </w:p>
                    <w:p w14:paraId="7BD4539B" w14:textId="77777777" w:rsidR="00671CF7" w:rsidRDefault="00671CF7">
                      <w:pPr>
                        <w:spacing w:after="0" w:line="480" w:lineRule="auto"/>
                        <w:jc w:val="both"/>
                        <w:textDirection w:val="btLr"/>
                      </w:pPr>
                      <w:r>
                        <w:rPr>
                          <w:color w:val="000000"/>
                          <w:sz w:val="16"/>
                        </w:rPr>
                        <w:t>**note there are no established criteria for the diagnosis of diabetes mellitus in pregnancy based on the 1-h post-load value</w:t>
                      </w:r>
                    </w:p>
                    <w:p w14:paraId="1B9860C4" w14:textId="77777777" w:rsidR="00671CF7" w:rsidRDefault="00671CF7">
                      <w:pPr>
                        <w:spacing w:after="0" w:line="240" w:lineRule="auto"/>
                        <w:jc w:val="both"/>
                        <w:textDirection w:val="btLr"/>
                      </w:pPr>
                    </w:p>
                    <w:p w14:paraId="3FC4F1A1" w14:textId="77777777" w:rsidR="00671CF7" w:rsidRDefault="00671CF7">
                      <w:pPr>
                        <w:spacing w:after="0" w:line="480" w:lineRule="auto"/>
                        <w:jc w:val="both"/>
                        <w:textDirection w:val="btLr"/>
                      </w:pPr>
                      <w:r>
                        <w:rPr>
                          <w:b/>
                          <w:color w:val="000000"/>
                          <w:sz w:val="18"/>
                        </w:rPr>
                        <w:t>ADIPS 1998 criteria</w:t>
                      </w:r>
                      <w:r>
                        <w:rPr>
                          <w:color w:val="000000"/>
                          <w:sz w:val="18"/>
                        </w:rPr>
                        <w:t xml:space="preserve"> – two </w:t>
                      </w:r>
                      <w:proofErr w:type="gramStart"/>
                      <w:r>
                        <w:rPr>
                          <w:color w:val="000000"/>
                          <w:sz w:val="18"/>
                        </w:rPr>
                        <w:t>step</w:t>
                      </w:r>
                      <w:proofErr w:type="gramEnd"/>
                      <w:r>
                        <w:rPr>
                          <w:color w:val="000000"/>
                          <w:sz w:val="18"/>
                        </w:rPr>
                        <w:t xml:space="preserve"> </w:t>
                      </w:r>
                    </w:p>
                    <w:p w14:paraId="017690B3" w14:textId="77777777" w:rsidR="00671CF7" w:rsidRDefault="00671CF7">
                      <w:pPr>
                        <w:spacing w:after="0" w:line="480" w:lineRule="auto"/>
                        <w:jc w:val="both"/>
                        <w:textDirection w:val="btLr"/>
                      </w:pPr>
                      <w:r>
                        <w:rPr>
                          <w:color w:val="000000"/>
                          <w:sz w:val="16"/>
                        </w:rPr>
                        <w:t>Recommended morning non-fasting test (GCT) for GDM is performed at 26-28 weeks and positive results are:</w:t>
                      </w:r>
                    </w:p>
                    <w:p w14:paraId="3C99C306" w14:textId="77777777" w:rsidR="00671CF7" w:rsidRDefault="00671CF7">
                      <w:pPr>
                        <w:spacing w:after="0" w:line="480" w:lineRule="auto"/>
                        <w:ind w:firstLine="720"/>
                        <w:jc w:val="both"/>
                        <w:textDirection w:val="btLr"/>
                      </w:pPr>
                      <w:r>
                        <w:rPr>
                          <w:color w:val="000000"/>
                          <w:sz w:val="16"/>
                        </w:rPr>
                        <w:t>(a) 1-h post 50 g oral glucose load ≥ 7.8 mmol/l*; or</w:t>
                      </w:r>
                    </w:p>
                    <w:p w14:paraId="71DB8629" w14:textId="77777777" w:rsidR="00671CF7" w:rsidRDefault="00671CF7">
                      <w:pPr>
                        <w:spacing w:after="0" w:line="480" w:lineRule="auto"/>
                        <w:ind w:firstLine="720"/>
                        <w:jc w:val="both"/>
                        <w:textDirection w:val="btLr"/>
                      </w:pPr>
                      <w:r>
                        <w:rPr>
                          <w:color w:val="000000"/>
                          <w:sz w:val="16"/>
                        </w:rPr>
                        <w:t>(b) 1-h post 75 g oral glucose load ≥ 8.0 mmol/</w:t>
                      </w:r>
                      <w:proofErr w:type="gramStart"/>
                      <w:r>
                        <w:rPr>
                          <w:color w:val="000000"/>
                          <w:sz w:val="16"/>
                        </w:rPr>
                        <w:t>l .</w:t>
                      </w:r>
                      <w:proofErr w:type="gramEnd"/>
                    </w:p>
                    <w:p w14:paraId="0DB6B50E" w14:textId="77777777" w:rsidR="00671CF7" w:rsidRDefault="00671CF7">
                      <w:pPr>
                        <w:spacing w:after="0" w:line="480" w:lineRule="auto"/>
                        <w:jc w:val="both"/>
                        <w:textDirection w:val="btLr"/>
                      </w:pPr>
                      <w:r>
                        <w:rPr>
                          <w:color w:val="000000"/>
                          <w:sz w:val="16"/>
                        </w:rPr>
                        <w:t>After a positive screening test, confirmation of diagnosis at 26-30 weeks gestation is based on any one of the following a fasting 75g OGTT:</w:t>
                      </w:r>
                    </w:p>
                    <w:p w14:paraId="354C8BC4" w14:textId="77777777" w:rsidR="00671CF7" w:rsidRDefault="00671CF7">
                      <w:pPr>
                        <w:spacing w:after="0" w:line="480" w:lineRule="auto"/>
                        <w:ind w:firstLine="720"/>
                        <w:jc w:val="both"/>
                        <w:textDirection w:val="btLr"/>
                      </w:pPr>
                      <w:r>
                        <w:rPr>
                          <w:color w:val="000000"/>
                          <w:sz w:val="16"/>
                        </w:rPr>
                        <w:t>(a) fasting plasma glucose ≥ 5.5 mmol/l; and/or</w:t>
                      </w:r>
                    </w:p>
                    <w:p w14:paraId="549AA216" w14:textId="77777777" w:rsidR="00671CF7" w:rsidRDefault="00671CF7">
                      <w:pPr>
                        <w:spacing w:after="0" w:line="480" w:lineRule="auto"/>
                        <w:ind w:firstLine="720"/>
                        <w:jc w:val="both"/>
                        <w:textDirection w:val="btLr"/>
                      </w:pPr>
                      <w:r>
                        <w:rPr>
                          <w:color w:val="000000"/>
                          <w:sz w:val="16"/>
                        </w:rPr>
                        <w:t>(b) 2-h plasma glucose ≥ 8.0 mmol/</w:t>
                      </w:r>
                      <w:proofErr w:type="gramStart"/>
                      <w:r>
                        <w:rPr>
                          <w:color w:val="000000"/>
                          <w:sz w:val="16"/>
                        </w:rPr>
                        <w:t>l .</w:t>
                      </w:r>
                      <w:proofErr w:type="gramEnd"/>
                    </w:p>
                    <w:p w14:paraId="4B49158F" w14:textId="77777777" w:rsidR="00671CF7" w:rsidRDefault="00671CF7">
                      <w:pPr>
                        <w:spacing w:after="0" w:line="480" w:lineRule="auto"/>
                        <w:jc w:val="both"/>
                        <w:textDirection w:val="btLr"/>
                      </w:pPr>
                    </w:p>
                    <w:p w14:paraId="4DCCFA8C" w14:textId="77777777" w:rsidR="00671CF7" w:rsidRDefault="00671CF7">
                      <w:pPr>
                        <w:spacing w:line="258" w:lineRule="auto"/>
                        <w:textDirection w:val="btLr"/>
                      </w:pPr>
                    </w:p>
                  </w:txbxContent>
                </v:textbox>
                <w10:wrap type="square"/>
              </v:rect>
            </w:pict>
          </mc:Fallback>
        </mc:AlternateContent>
      </w:r>
    </w:p>
    <w:p w14:paraId="00000024" w14:textId="77777777" w:rsidR="009A2A6C" w:rsidRPr="002241DD" w:rsidRDefault="009A2A6C">
      <w:pPr>
        <w:spacing w:after="0" w:line="480" w:lineRule="auto"/>
        <w:rPr>
          <w:rFonts w:ascii="Times New Roman" w:eastAsia="Times New Roman" w:hAnsi="Times New Roman" w:cs="Times New Roman"/>
          <w:sz w:val="20"/>
          <w:szCs w:val="20"/>
        </w:rPr>
      </w:pPr>
    </w:p>
    <w:p w14:paraId="7CAEB176" w14:textId="77777777" w:rsid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We combine data related to the prevalence of GDM using IADPSG screening criteria with recommended antenatal care and postpartum lifestyle management to form our overall intervention (hereafter referred to as ‘the </w:t>
      </w:r>
      <w:r w:rsidR="001F2764" w:rsidRPr="002241DD">
        <w:rPr>
          <w:rFonts w:ascii="Times New Roman" w:eastAsia="Times New Roman" w:hAnsi="Times New Roman" w:cs="Times New Roman"/>
          <w:sz w:val="20"/>
          <w:szCs w:val="20"/>
        </w:rPr>
        <w:t xml:space="preserve">new </w:t>
      </w:r>
      <w:r w:rsidRPr="002241DD">
        <w:rPr>
          <w:rFonts w:ascii="Times New Roman" w:eastAsia="Times New Roman" w:hAnsi="Times New Roman" w:cs="Times New Roman"/>
          <w:sz w:val="20"/>
          <w:szCs w:val="20"/>
        </w:rPr>
        <w:t xml:space="preserve">ADIPS strategy’) for the purposes of this analysis. Antenatal care consisted of routine clinical visit including screening tests, dietary advice and pharmacological therapy (metformin and insulin). Post-partum care was based on the Diabetes Prevention Program (DPP), a lifestyle modification program which prescribes one home-based individual session and five group (2-hour, up to 15 women per group) sessions delivered by specially trained healthcare professionals, with two additional follow-up maintenance telephone calls for each individual (O’Reilly et al., 2016). The ADIPS GDM strategy is compared to the previously used criteria recommended by ADIPS </w:t>
      </w:r>
      <w:r w:rsidR="007B1F57" w:rsidRPr="002241DD">
        <w:rPr>
          <w:rFonts w:ascii="Times New Roman" w:eastAsia="Times New Roman" w:hAnsi="Times New Roman" w:cs="Times New Roman"/>
          <w:sz w:val="20"/>
          <w:szCs w:val="20"/>
        </w:rPr>
        <w:t>(hereafter referred to as ‘ADIPS 1998’</w:t>
      </w:r>
      <w:r w:rsidR="001F2764" w:rsidRPr="002241DD">
        <w:rPr>
          <w:rFonts w:ascii="Times New Roman" w:eastAsia="Times New Roman" w:hAnsi="Times New Roman" w:cs="Times New Roman"/>
          <w:sz w:val="20"/>
          <w:szCs w:val="20"/>
        </w:rPr>
        <w:t xml:space="preserve"> - </w:t>
      </w:r>
      <w:r w:rsidR="007B1F57" w:rsidRPr="002241DD">
        <w:rPr>
          <w:rFonts w:ascii="Times New Roman" w:eastAsia="Times New Roman" w:hAnsi="Times New Roman" w:cs="Times New Roman"/>
          <w:sz w:val="20"/>
          <w:szCs w:val="20"/>
        </w:rPr>
        <w:t xml:space="preserve">see </w:t>
      </w:r>
      <w:r w:rsidRPr="002241DD">
        <w:rPr>
          <w:rFonts w:ascii="Times New Roman" w:eastAsia="Times New Roman" w:hAnsi="Times New Roman" w:cs="Times New Roman"/>
          <w:sz w:val="20"/>
          <w:szCs w:val="20"/>
        </w:rPr>
        <w:t>(Hoffman et al., 1998)</w:t>
      </w:r>
      <w:r w:rsidR="001F2764" w:rsidRPr="002241DD">
        <w:rPr>
          <w:rFonts w:ascii="Times New Roman" w:eastAsia="Times New Roman" w:hAnsi="Times New Roman" w:cs="Times New Roman"/>
          <w:sz w:val="20"/>
          <w:szCs w:val="20"/>
        </w:rPr>
        <w:t>)</w:t>
      </w:r>
      <w:r w:rsidR="007B1F57" w:rsidRPr="002241DD">
        <w:rPr>
          <w:rFonts w:ascii="Times New Roman" w:eastAsia="Times New Roman" w:hAnsi="Times New Roman" w:cs="Times New Roman"/>
          <w:sz w:val="20"/>
          <w:szCs w:val="20"/>
        </w:rPr>
        <w:t xml:space="preserve">. We aim </w:t>
      </w:r>
      <w:r w:rsidRPr="002241DD">
        <w:rPr>
          <w:rFonts w:ascii="Times New Roman" w:eastAsia="Times New Roman" w:hAnsi="Times New Roman" w:cs="Times New Roman"/>
          <w:sz w:val="20"/>
          <w:szCs w:val="20"/>
        </w:rPr>
        <w:t>to show whether</w:t>
      </w:r>
      <w:r w:rsidR="00692CCD" w:rsidRPr="002241DD">
        <w:rPr>
          <w:rFonts w:ascii="Times New Roman" w:eastAsia="Times New Roman" w:hAnsi="Times New Roman" w:cs="Times New Roman"/>
          <w:sz w:val="20"/>
          <w:szCs w:val="20"/>
        </w:rPr>
        <w:t xml:space="preserve"> the new ADIPS strategy</w:t>
      </w:r>
      <w:r w:rsidRPr="002241DD">
        <w:rPr>
          <w:rFonts w:ascii="Times New Roman" w:eastAsia="Times New Roman" w:hAnsi="Times New Roman" w:cs="Times New Roman"/>
          <w:sz w:val="20"/>
          <w:szCs w:val="20"/>
        </w:rPr>
        <w:t xml:space="preserve"> </w:t>
      </w:r>
      <w:r w:rsidR="00692CCD" w:rsidRPr="002241DD">
        <w:rPr>
          <w:rFonts w:ascii="Times New Roman" w:eastAsia="Times New Roman" w:hAnsi="Times New Roman" w:cs="Times New Roman"/>
          <w:sz w:val="20"/>
          <w:szCs w:val="20"/>
        </w:rPr>
        <w:t>re</w:t>
      </w:r>
      <w:r w:rsidRPr="002241DD">
        <w:rPr>
          <w:rFonts w:ascii="Times New Roman" w:eastAsia="Times New Roman" w:hAnsi="Times New Roman" w:cs="Times New Roman"/>
          <w:sz w:val="20"/>
          <w:szCs w:val="20"/>
        </w:rPr>
        <w:t xml:space="preserve">presents cost-effective care for pregnant women in Australia using local </w:t>
      </w:r>
    </w:p>
    <w:p w14:paraId="00000025" w14:textId="3FFD8A48"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lastRenderedPageBreak/>
        <w:t>data, expert opinion and literature estimates. Outcomes are assessed in terms of long-term morbidity (T2DM) for both mothers and children, averted disability-adjusted life years (DALYs) and net cost per DALY averted during life-time horizon.</w:t>
      </w:r>
      <w:r w:rsidR="001F2764" w:rsidRPr="002241DD">
        <w:rPr>
          <w:rFonts w:ascii="Times New Roman" w:eastAsia="Times New Roman" w:hAnsi="Times New Roman" w:cs="Times New Roman"/>
          <w:sz w:val="20"/>
          <w:szCs w:val="20"/>
        </w:rPr>
        <w:t xml:space="preserve"> Additionally, we compare the new criteria to a hypothetical no screening or treatment scenario in the base case and against other commonly used criteria featured in the original </w:t>
      </w:r>
      <w:proofErr w:type="spellStart"/>
      <w:r w:rsidR="001F2764" w:rsidRPr="002241DD">
        <w:rPr>
          <w:rFonts w:ascii="Times New Roman" w:eastAsia="Times New Roman" w:hAnsi="Times New Roman" w:cs="Times New Roman"/>
          <w:sz w:val="20"/>
          <w:szCs w:val="20"/>
        </w:rPr>
        <w:t>GeDiForCE</w:t>
      </w:r>
      <w:proofErr w:type="spellEnd"/>
      <w:r w:rsidR="001F2764" w:rsidRPr="002241DD">
        <w:rPr>
          <w:rFonts w:ascii="Times New Roman" w:eastAsia="Times New Roman" w:hAnsi="Times New Roman" w:cs="Times New Roman"/>
          <w:sz w:val="20"/>
          <w:szCs w:val="20"/>
        </w:rPr>
        <w:t xml:space="preserve"> model.</w:t>
      </w:r>
    </w:p>
    <w:p w14:paraId="00000026" w14:textId="77777777" w:rsidR="009A2A6C" w:rsidRPr="002241DD" w:rsidRDefault="009A2A6C">
      <w:pPr>
        <w:spacing w:after="0" w:line="480" w:lineRule="auto"/>
        <w:rPr>
          <w:rFonts w:ascii="Times New Roman" w:eastAsia="Times New Roman" w:hAnsi="Times New Roman" w:cs="Times New Roman"/>
          <w:sz w:val="20"/>
          <w:szCs w:val="20"/>
        </w:rPr>
      </w:pPr>
    </w:p>
    <w:p w14:paraId="00000027" w14:textId="77777777" w:rsidR="009A2A6C" w:rsidRPr="002241DD" w:rsidRDefault="00671CF7">
      <w:pPr>
        <w:pStyle w:val="Heading1"/>
        <w:spacing w:before="0" w:line="480" w:lineRule="auto"/>
        <w:rPr>
          <w:rFonts w:ascii="Times New Roman" w:eastAsia="Times New Roman" w:hAnsi="Times New Roman" w:cs="Times New Roman"/>
          <w:b/>
          <w:color w:val="000000"/>
          <w:sz w:val="22"/>
          <w:szCs w:val="22"/>
        </w:rPr>
      </w:pPr>
      <w:r w:rsidRPr="002241DD">
        <w:rPr>
          <w:rFonts w:ascii="Times New Roman" w:eastAsia="Times New Roman" w:hAnsi="Times New Roman" w:cs="Times New Roman"/>
          <w:b/>
          <w:color w:val="000000"/>
          <w:sz w:val="22"/>
          <w:szCs w:val="22"/>
        </w:rPr>
        <w:t xml:space="preserve">Methods </w:t>
      </w:r>
    </w:p>
    <w:p w14:paraId="00000028" w14:textId="77777777" w:rsidR="009A2A6C" w:rsidRPr="002241DD" w:rsidRDefault="00671CF7">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t>Model design</w:t>
      </w:r>
    </w:p>
    <w:p w14:paraId="00000029" w14:textId="185748A8"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A decision tree model (</w:t>
      </w:r>
      <w:proofErr w:type="spellStart"/>
      <w:r w:rsidRPr="002241DD">
        <w:rPr>
          <w:rFonts w:ascii="Times New Roman" w:eastAsia="Times New Roman" w:hAnsi="Times New Roman" w:cs="Times New Roman"/>
          <w:sz w:val="20"/>
          <w:szCs w:val="20"/>
        </w:rPr>
        <w:t>GeDiForCE</w:t>
      </w:r>
      <w:proofErr w:type="spellEnd"/>
      <w:r w:rsidRPr="002241DD">
        <w:rPr>
          <w:rFonts w:ascii="Times New Roman" w:eastAsia="Times New Roman" w:hAnsi="Times New Roman" w:cs="Times New Roman"/>
          <w:sz w:val="20"/>
          <w:szCs w:val="20"/>
        </w:rPr>
        <w:t>) was used in this study</w:t>
      </w:r>
      <w:r w:rsidR="001F2764" w:rsidRPr="002241DD">
        <w:rPr>
          <w:rFonts w:ascii="Times New Roman" w:eastAsia="Times New Roman" w:hAnsi="Times New Roman" w:cs="Times New Roman"/>
          <w:sz w:val="20"/>
          <w:szCs w:val="20"/>
        </w:rPr>
        <w:t xml:space="preserve">. </w:t>
      </w:r>
      <w:r w:rsidRPr="002241DD">
        <w:rPr>
          <w:rFonts w:ascii="Times New Roman" w:eastAsia="Times New Roman" w:hAnsi="Times New Roman" w:cs="Times New Roman"/>
          <w:sz w:val="20"/>
          <w:szCs w:val="20"/>
        </w:rPr>
        <w:t xml:space="preserve">The structure is shown in </w:t>
      </w:r>
      <w:r w:rsidRPr="002241DD">
        <w:rPr>
          <w:rFonts w:ascii="Times New Roman" w:eastAsia="Times New Roman" w:hAnsi="Times New Roman" w:cs="Times New Roman"/>
          <w:b/>
          <w:sz w:val="20"/>
          <w:szCs w:val="20"/>
        </w:rPr>
        <w:t>Figure 1.</w:t>
      </w:r>
      <w:r w:rsidRPr="002241DD">
        <w:rPr>
          <w:rFonts w:ascii="Times New Roman" w:eastAsia="Times New Roman" w:hAnsi="Times New Roman" w:cs="Times New Roman"/>
          <w:sz w:val="20"/>
          <w:szCs w:val="20"/>
        </w:rPr>
        <w:t xml:space="preserve"> The open-source tool is implemented in Microsoft Excel and its design and many underlying assumptions are described elsewhere (Marseille et al., 2013). Using a decision tree as the chosen type of decision analytical model is appropriate given the binary nature of diagnosis following screening, presence or absence of Perinatal Adverse Events (PAEs) and choice whether or not to intervene, and is the simplest framework for the purposes of achieving our objectives. Costs are expressed in Australian (AUD) and US Dollars (USD) at a conversion rate of $1 USD = $1.31 AUD and </w:t>
      </w:r>
      <w:r w:rsidR="001F2764" w:rsidRPr="002241DD">
        <w:rPr>
          <w:rFonts w:ascii="Times New Roman" w:eastAsia="Times New Roman" w:hAnsi="Times New Roman" w:cs="Times New Roman"/>
          <w:sz w:val="20"/>
          <w:szCs w:val="20"/>
        </w:rPr>
        <w:t>long-term</w:t>
      </w:r>
      <w:r w:rsidRPr="002241DD">
        <w:rPr>
          <w:rFonts w:ascii="Times New Roman" w:eastAsia="Times New Roman" w:hAnsi="Times New Roman" w:cs="Times New Roman"/>
          <w:sz w:val="20"/>
          <w:szCs w:val="20"/>
        </w:rPr>
        <w:t xml:space="preserve"> costs and effects are discounted at 5% to 2018 as per PBAC official guidelines (Pharmaceutical Benefits Advisory Committee, 2016). We focus on IADPSG criteria as they are currently recommended by ADIPS</w:t>
      </w:r>
      <w:r w:rsidR="00294396" w:rsidRPr="002241DD">
        <w:rPr>
          <w:rFonts w:ascii="Times New Roman" w:eastAsia="Times New Roman" w:hAnsi="Times New Roman" w:cs="Times New Roman"/>
          <w:sz w:val="20"/>
          <w:szCs w:val="20"/>
        </w:rPr>
        <w:t>,</w:t>
      </w:r>
      <w:r w:rsidRPr="002241DD">
        <w:rPr>
          <w:rFonts w:ascii="Times New Roman" w:eastAsia="Times New Roman" w:hAnsi="Times New Roman" w:cs="Times New Roman"/>
          <w:sz w:val="20"/>
          <w:szCs w:val="20"/>
        </w:rPr>
        <w:t xml:space="preserve"> and compare cost-effectiveness in the base case for no screening and against other screening strategies (ADIPS 1998, World Health Organisation (WHO) 1999 and American Diabetes Association (ADA)). See </w:t>
      </w:r>
      <w:r w:rsidRPr="002241DD">
        <w:rPr>
          <w:rFonts w:ascii="Times New Roman" w:eastAsia="Times New Roman" w:hAnsi="Times New Roman" w:cs="Times New Roman"/>
          <w:b/>
          <w:sz w:val="20"/>
          <w:szCs w:val="20"/>
        </w:rPr>
        <w:t>Table 1</w:t>
      </w:r>
      <w:r w:rsidRPr="002241DD">
        <w:rPr>
          <w:rFonts w:ascii="Times New Roman" w:eastAsia="Times New Roman" w:hAnsi="Times New Roman" w:cs="Times New Roman"/>
          <w:sz w:val="20"/>
          <w:szCs w:val="20"/>
        </w:rPr>
        <w:t xml:space="preserve"> for a comparison of past and present commonly used criteria. We take an in depth look at the how </w:t>
      </w:r>
      <w:r w:rsidR="00F366FE" w:rsidRPr="002241DD">
        <w:rPr>
          <w:rFonts w:ascii="Times New Roman" w:eastAsia="Times New Roman" w:hAnsi="Times New Roman" w:cs="Times New Roman"/>
          <w:sz w:val="20"/>
          <w:szCs w:val="20"/>
        </w:rPr>
        <w:t>these new criteria</w:t>
      </w:r>
      <w:r w:rsidRPr="002241DD">
        <w:rPr>
          <w:rFonts w:ascii="Times New Roman" w:eastAsia="Times New Roman" w:hAnsi="Times New Roman" w:cs="Times New Roman"/>
          <w:sz w:val="20"/>
          <w:szCs w:val="20"/>
        </w:rPr>
        <w:t xml:space="preserve"> compare to the previously recommended ADIPS</w:t>
      </w:r>
      <w:r w:rsidR="00545868" w:rsidRPr="002241DD">
        <w:rPr>
          <w:rFonts w:ascii="Times New Roman" w:eastAsia="Times New Roman" w:hAnsi="Times New Roman" w:cs="Times New Roman"/>
          <w:sz w:val="20"/>
          <w:szCs w:val="20"/>
        </w:rPr>
        <w:t xml:space="preserve"> 1998</w:t>
      </w:r>
      <w:r w:rsidRPr="002241DD">
        <w:rPr>
          <w:rFonts w:ascii="Times New Roman" w:eastAsia="Times New Roman" w:hAnsi="Times New Roman" w:cs="Times New Roman"/>
          <w:sz w:val="20"/>
          <w:szCs w:val="20"/>
        </w:rPr>
        <w:t xml:space="preserve"> criteria (Hoffman et al., 1998), and perform probabilistic sensitivity analysis to identify underlying uncertainty in the model parameters. Each intervention strategy is defined by a one or two step testing strategy with unique thresholds beyond which GDM either confirmed or suspected and further testing is indicated. The model computes the cost of each strategy; the expected incidence and cost of perinatal complications and T2DM; and the cost per averted DALY compared with no intervention.</w:t>
      </w:r>
    </w:p>
    <w:p w14:paraId="0000002A" w14:textId="77777777" w:rsidR="009A2A6C" w:rsidRPr="002241DD" w:rsidRDefault="009A2A6C">
      <w:pPr>
        <w:spacing w:after="0" w:line="480" w:lineRule="auto"/>
        <w:rPr>
          <w:rFonts w:ascii="Times New Roman" w:eastAsia="Times New Roman" w:hAnsi="Times New Roman" w:cs="Times New Roman"/>
          <w:sz w:val="20"/>
          <w:szCs w:val="20"/>
        </w:rPr>
      </w:pPr>
    </w:p>
    <w:p w14:paraId="0000002B" w14:textId="77777777" w:rsidR="009A2A6C" w:rsidRPr="002241DD" w:rsidRDefault="00671CF7">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t>Model inputs</w:t>
      </w:r>
    </w:p>
    <w:p w14:paraId="0000002C" w14:textId="77777777"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The inputs used in this analysis are summarised in </w:t>
      </w:r>
      <w:r w:rsidRPr="002241DD">
        <w:rPr>
          <w:rFonts w:ascii="Times New Roman" w:eastAsia="Times New Roman" w:hAnsi="Times New Roman" w:cs="Times New Roman"/>
          <w:b/>
          <w:sz w:val="20"/>
          <w:szCs w:val="20"/>
        </w:rPr>
        <w:t>Table 2</w:t>
      </w:r>
      <w:r w:rsidRPr="002241DD">
        <w:rPr>
          <w:rFonts w:ascii="Times New Roman" w:eastAsia="Times New Roman" w:hAnsi="Times New Roman" w:cs="Times New Roman"/>
          <w:sz w:val="20"/>
          <w:szCs w:val="20"/>
        </w:rPr>
        <w:t>. Inputs are inflated according to the Australian Institute of Health and Welfare (AIHW) health deflator using 2017-18 as the reference year (Australian Institute of Health and Welfare, 2019).</w:t>
      </w:r>
    </w:p>
    <w:p w14:paraId="0000002D" w14:textId="77777777" w:rsidR="009A2A6C" w:rsidRPr="002241DD" w:rsidRDefault="009A2A6C">
      <w:pPr>
        <w:spacing w:after="0" w:line="480" w:lineRule="auto"/>
        <w:rPr>
          <w:rFonts w:ascii="Times New Roman" w:eastAsia="Times New Roman" w:hAnsi="Times New Roman" w:cs="Times New Roman"/>
          <w:b/>
          <w:sz w:val="20"/>
          <w:szCs w:val="20"/>
        </w:rPr>
      </w:pPr>
    </w:p>
    <w:p w14:paraId="0000002E" w14:textId="77777777" w:rsidR="009A2A6C" w:rsidRPr="002241DD" w:rsidRDefault="00671CF7">
      <w:pPr>
        <w:spacing w:after="0" w:line="480" w:lineRule="auto"/>
        <w:rPr>
          <w:rFonts w:ascii="Times New Roman" w:eastAsia="Times New Roman" w:hAnsi="Times New Roman" w:cs="Times New Roman"/>
          <w:i/>
          <w:sz w:val="20"/>
          <w:szCs w:val="20"/>
        </w:rPr>
      </w:pPr>
      <w:r w:rsidRPr="002241DD">
        <w:rPr>
          <w:rFonts w:ascii="Times New Roman" w:eastAsia="Times New Roman" w:hAnsi="Times New Roman" w:cs="Times New Roman"/>
          <w:i/>
          <w:sz w:val="20"/>
          <w:szCs w:val="20"/>
        </w:rPr>
        <w:lastRenderedPageBreak/>
        <w:t xml:space="preserve">Epidemiological </w:t>
      </w:r>
    </w:p>
    <w:p w14:paraId="0000002F" w14:textId="216EE4B7"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We compare outcomes for a hypothetical cohort of 301,116 pregnant women according to the annual live birth rate (total confinements) from Australia Bureau of Statistics (Australian Bureau of Statistics, 2015) under the ADIPS GDM strategy versus </w:t>
      </w:r>
      <w:r w:rsidR="00FC74FA" w:rsidRPr="002241DD">
        <w:rPr>
          <w:rFonts w:ascii="Times New Roman" w:eastAsia="Times New Roman" w:hAnsi="Times New Roman" w:cs="Times New Roman"/>
          <w:sz w:val="20"/>
          <w:szCs w:val="20"/>
        </w:rPr>
        <w:t xml:space="preserve">no screening or </w:t>
      </w:r>
      <w:r w:rsidRPr="002241DD">
        <w:rPr>
          <w:rFonts w:ascii="Times New Roman" w:eastAsia="Times New Roman" w:hAnsi="Times New Roman" w:cs="Times New Roman"/>
          <w:sz w:val="20"/>
          <w:szCs w:val="20"/>
        </w:rPr>
        <w:t xml:space="preserve">care. The expected prevalence of GDM of 13% was taken from a prospective Australian observational trial using the IADPSG criteria against the previously estimated 9.6% using the 1998 criteria (Moses, Morris, </w:t>
      </w:r>
      <w:proofErr w:type="spellStart"/>
      <w:r w:rsidRPr="002241DD">
        <w:rPr>
          <w:rFonts w:ascii="Times New Roman" w:eastAsia="Times New Roman" w:hAnsi="Times New Roman" w:cs="Times New Roman"/>
          <w:sz w:val="20"/>
          <w:szCs w:val="20"/>
        </w:rPr>
        <w:t>Petocz</w:t>
      </w:r>
      <w:proofErr w:type="spellEnd"/>
      <w:r w:rsidRPr="002241DD">
        <w:rPr>
          <w:rFonts w:ascii="Times New Roman" w:eastAsia="Times New Roman" w:hAnsi="Times New Roman" w:cs="Times New Roman"/>
          <w:sz w:val="20"/>
          <w:szCs w:val="20"/>
        </w:rPr>
        <w:t>, San Gil, &amp; Gard, 2011). Similarly</w:t>
      </w:r>
      <w:r w:rsidR="00FC74FA" w:rsidRPr="002241DD">
        <w:rPr>
          <w:rFonts w:ascii="Times New Roman" w:eastAsia="Times New Roman" w:hAnsi="Times New Roman" w:cs="Times New Roman"/>
          <w:sz w:val="20"/>
          <w:szCs w:val="20"/>
        </w:rPr>
        <w:t>,</w:t>
      </w:r>
      <w:r w:rsidRPr="002241DD">
        <w:rPr>
          <w:rFonts w:ascii="Times New Roman" w:eastAsia="Times New Roman" w:hAnsi="Times New Roman" w:cs="Times New Roman"/>
          <w:sz w:val="20"/>
          <w:szCs w:val="20"/>
        </w:rPr>
        <w:t xml:space="preserve"> the </w:t>
      </w:r>
      <w:r w:rsidR="008D33A8" w:rsidRPr="002241DD">
        <w:rPr>
          <w:rFonts w:ascii="Times New Roman" w:eastAsia="Times New Roman" w:hAnsi="Times New Roman" w:cs="Times New Roman"/>
          <w:sz w:val="20"/>
          <w:szCs w:val="20"/>
        </w:rPr>
        <w:t>inciden</w:t>
      </w:r>
      <w:r w:rsidRPr="002241DD">
        <w:rPr>
          <w:rFonts w:ascii="Times New Roman" w:eastAsia="Times New Roman" w:hAnsi="Times New Roman" w:cs="Times New Roman"/>
          <w:sz w:val="20"/>
          <w:szCs w:val="20"/>
        </w:rPr>
        <w:t xml:space="preserve">ce of T2DM was derived from a cumulative risk of 25.8% amongst GDM+ mothers as estimated in the literature at 15 years post diagnosis (Lee, Hiscock, Wein, Walker, &amp; </w:t>
      </w:r>
      <w:proofErr w:type="spellStart"/>
      <w:r w:rsidRPr="002241DD">
        <w:rPr>
          <w:rFonts w:ascii="Times New Roman" w:eastAsia="Times New Roman" w:hAnsi="Times New Roman" w:cs="Times New Roman"/>
          <w:sz w:val="20"/>
          <w:szCs w:val="20"/>
        </w:rPr>
        <w:t>Permezel</w:t>
      </w:r>
      <w:proofErr w:type="spellEnd"/>
      <w:r w:rsidRPr="002241DD">
        <w:rPr>
          <w:rFonts w:ascii="Times New Roman" w:eastAsia="Times New Roman" w:hAnsi="Times New Roman" w:cs="Times New Roman"/>
          <w:sz w:val="20"/>
          <w:szCs w:val="20"/>
        </w:rPr>
        <w:t xml:space="preserve">, 2007). We assumed this </w:t>
      </w:r>
      <w:r w:rsidR="009374F7" w:rsidRPr="002241DD">
        <w:rPr>
          <w:rFonts w:ascii="Times New Roman" w:eastAsia="Times New Roman" w:hAnsi="Times New Roman" w:cs="Times New Roman"/>
          <w:sz w:val="20"/>
          <w:szCs w:val="20"/>
        </w:rPr>
        <w:t>in</w:t>
      </w:r>
      <w:r w:rsidR="00341CCC" w:rsidRPr="002241DD">
        <w:rPr>
          <w:rFonts w:ascii="Times New Roman" w:eastAsia="Times New Roman" w:hAnsi="Times New Roman" w:cs="Times New Roman"/>
          <w:sz w:val="20"/>
          <w:szCs w:val="20"/>
        </w:rPr>
        <w:t>cid</w:t>
      </w:r>
      <w:r w:rsidRPr="002241DD">
        <w:rPr>
          <w:rFonts w:ascii="Times New Roman" w:eastAsia="Times New Roman" w:hAnsi="Times New Roman" w:cs="Times New Roman"/>
          <w:sz w:val="20"/>
          <w:szCs w:val="20"/>
        </w:rPr>
        <w:t>ence</w:t>
      </w:r>
      <w:r w:rsidR="00341CCC" w:rsidRPr="002241DD">
        <w:rPr>
          <w:rFonts w:ascii="Times New Roman" w:eastAsia="Times New Roman" w:hAnsi="Times New Roman" w:cs="Times New Roman"/>
          <w:sz w:val="20"/>
          <w:szCs w:val="20"/>
        </w:rPr>
        <w:t xml:space="preserve"> of T2DM</w:t>
      </w:r>
      <w:r w:rsidRPr="002241DD">
        <w:rPr>
          <w:rFonts w:ascii="Times New Roman" w:eastAsia="Times New Roman" w:hAnsi="Times New Roman" w:cs="Times New Roman"/>
          <w:sz w:val="20"/>
          <w:szCs w:val="20"/>
        </w:rPr>
        <w:t xml:space="preserve"> is halved amongst the children of GDM+ mothers.  The initial age of mothers was taken to be 31 years as per the median age of all mothers for births registered in 2015 (Australian Bureau of Statistics, 2015). The age and sex adjusted annual total direct cost to a normal weight diabetic is estimated as $2,353 per person according to the latest Australian Diabetes, Obesity and Lifestyle study (Ying Lee et al., 2018).</w:t>
      </w:r>
    </w:p>
    <w:p w14:paraId="00000030" w14:textId="77777777" w:rsidR="009A2A6C" w:rsidRPr="002241DD" w:rsidRDefault="009A2A6C">
      <w:pPr>
        <w:spacing w:after="0" w:line="480" w:lineRule="auto"/>
        <w:rPr>
          <w:rFonts w:ascii="Times New Roman" w:eastAsia="Times New Roman" w:hAnsi="Times New Roman" w:cs="Times New Roman"/>
          <w:sz w:val="20"/>
          <w:szCs w:val="20"/>
        </w:rPr>
      </w:pPr>
    </w:p>
    <w:p w14:paraId="00000031" w14:textId="77777777" w:rsidR="009A2A6C" w:rsidRPr="002241DD" w:rsidRDefault="00671CF7">
      <w:pPr>
        <w:spacing w:after="0" w:line="480" w:lineRule="auto"/>
        <w:rPr>
          <w:rFonts w:ascii="Times New Roman" w:eastAsia="Times New Roman" w:hAnsi="Times New Roman" w:cs="Times New Roman"/>
          <w:i/>
          <w:sz w:val="20"/>
          <w:szCs w:val="20"/>
        </w:rPr>
      </w:pPr>
      <w:r w:rsidRPr="002241DD">
        <w:rPr>
          <w:rFonts w:ascii="Times New Roman" w:eastAsia="Times New Roman" w:hAnsi="Times New Roman" w:cs="Times New Roman"/>
          <w:i/>
          <w:sz w:val="20"/>
          <w:szCs w:val="20"/>
        </w:rPr>
        <w:t xml:space="preserve">Intervention     </w:t>
      </w:r>
    </w:p>
    <w:p w14:paraId="00000032" w14:textId="56B3FF29"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All costs were converted to Australian dollars adjusted to 2018 prices. Cost of an Oral Glucose Tolerance Test (OGTT), glucose challenge test (GCT), antenatal clinical visits (assumed eight sessions) and post-natal care was obtained from the</w:t>
      </w:r>
      <w:r w:rsidRPr="002241DD">
        <w:rPr>
          <w:rFonts w:ascii="Times New Roman" w:eastAsia="Times New Roman" w:hAnsi="Times New Roman" w:cs="Times New Roman"/>
          <w:b/>
          <w:sz w:val="20"/>
          <w:szCs w:val="20"/>
        </w:rPr>
        <w:t xml:space="preserve"> </w:t>
      </w:r>
      <w:r w:rsidRPr="002241DD">
        <w:rPr>
          <w:rFonts w:ascii="Times New Roman" w:eastAsia="Times New Roman" w:hAnsi="Times New Roman" w:cs="Times New Roman"/>
          <w:sz w:val="20"/>
          <w:szCs w:val="20"/>
        </w:rPr>
        <w:t xml:space="preserve">Medicare Benefits Schedule online database (Australian Government, 2019). The postnatal costs are obtained from a 2016 randomised controlled trial of the Mothers after Gestational Diabetes in Australia (MAGDA) Diabetes Prevention Program </w:t>
      </w:r>
      <w:r w:rsidR="00545868" w:rsidRPr="002241DD">
        <w:rPr>
          <w:rFonts w:ascii="Times New Roman" w:eastAsia="Times New Roman" w:hAnsi="Times New Roman" w:cs="Times New Roman"/>
          <w:sz w:val="20"/>
          <w:szCs w:val="20"/>
        </w:rPr>
        <w:t xml:space="preserve">(DPP) </w:t>
      </w:r>
      <w:r w:rsidRPr="002241DD">
        <w:rPr>
          <w:rFonts w:ascii="Times New Roman" w:eastAsia="Times New Roman" w:hAnsi="Times New Roman" w:cs="Times New Roman"/>
          <w:sz w:val="20"/>
          <w:szCs w:val="20"/>
        </w:rPr>
        <w:t>specifically designed to address barriers to participation (O’Reilly et al., 2016). These costs are assumed to last for 10 years and inflated by 20% to account for manpower and other costs. As previously assumed (Marseille et al., 2013) the proportion of women diagnosed with GDM who adopt the postnatal care programs offered is estimated at 80%. We average over two American studies (</w:t>
      </w:r>
      <w:proofErr w:type="spellStart"/>
      <w:r w:rsidRPr="002241DD">
        <w:rPr>
          <w:rFonts w:ascii="Times New Roman" w:eastAsia="Times New Roman" w:hAnsi="Times New Roman" w:cs="Times New Roman"/>
          <w:sz w:val="20"/>
          <w:szCs w:val="20"/>
        </w:rPr>
        <w:t>Knowler</w:t>
      </w:r>
      <w:proofErr w:type="spellEnd"/>
      <w:r w:rsidRPr="002241DD">
        <w:rPr>
          <w:rFonts w:ascii="Times New Roman" w:eastAsia="Times New Roman" w:hAnsi="Times New Roman" w:cs="Times New Roman"/>
          <w:sz w:val="20"/>
          <w:szCs w:val="20"/>
        </w:rPr>
        <w:t xml:space="preserve"> et al., 2002; Ratner et al., 2008) and one Indian study (Ramachandran et al., 2006) to estimate an effect size of 45% reduced lifetime T2DM maternal risk for those completing the DPP compared to those who have</w:t>
      </w:r>
      <w:r w:rsidR="00B34207" w:rsidRPr="002241DD">
        <w:rPr>
          <w:rFonts w:ascii="Times New Roman" w:eastAsia="Times New Roman" w:hAnsi="Times New Roman" w:cs="Times New Roman"/>
          <w:sz w:val="20"/>
          <w:szCs w:val="20"/>
        </w:rPr>
        <w:t xml:space="preserve"> </w:t>
      </w:r>
      <w:r w:rsidRPr="002241DD">
        <w:rPr>
          <w:rFonts w:ascii="Times New Roman" w:eastAsia="Times New Roman" w:hAnsi="Times New Roman" w:cs="Times New Roman"/>
          <w:sz w:val="20"/>
          <w:szCs w:val="20"/>
        </w:rPr>
        <w:t>n</w:t>
      </w:r>
      <w:r w:rsidR="00B34207" w:rsidRPr="002241DD">
        <w:rPr>
          <w:rFonts w:ascii="Times New Roman" w:eastAsia="Times New Roman" w:hAnsi="Times New Roman" w:cs="Times New Roman"/>
          <w:sz w:val="20"/>
          <w:szCs w:val="20"/>
        </w:rPr>
        <w:t>o</w:t>
      </w:r>
      <w:r w:rsidRPr="002241DD">
        <w:rPr>
          <w:rFonts w:ascii="Times New Roman" w:eastAsia="Times New Roman" w:hAnsi="Times New Roman" w:cs="Times New Roman"/>
          <w:sz w:val="20"/>
          <w:szCs w:val="20"/>
        </w:rPr>
        <w:t>t</w:t>
      </w:r>
      <w:r w:rsidR="00B34207" w:rsidRPr="002241DD">
        <w:rPr>
          <w:rFonts w:ascii="Times New Roman" w:eastAsia="Times New Roman" w:hAnsi="Times New Roman" w:cs="Times New Roman"/>
          <w:sz w:val="20"/>
          <w:szCs w:val="20"/>
        </w:rPr>
        <w:t xml:space="preserve"> been exposed to the program</w:t>
      </w:r>
      <w:r w:rsidRPr="002241DD">
        <w:rPr>
          <w:rFonts w:ascii="Times New Roman" w:eastAsia="Times New Roman" w:hAnsi="Times New Roman" w:cs="Times New Roman"/>
          <w:sz w:val="20"/>
          <w:szCs w:val="20"/>
        </w:rPr>
        <w:t>.  We do not confer any risk reduction</w:t>
      </w:r>
      <w:r w:rsidR="00B34207" w:rsidRPr="002241DD">
        <w:rPr>
          <w:rFonts w:ascii="Times New Roman" w:eastAsia="Times New Roman" w:hAnsi="Times New Roman" w:cs="Times New Roman"/>
          <w:sz w:val="20"/>
          <w:szCs w:val="20"/>
        </w:rPr>
        <w:t xml:space="preserve"> </w:t>
      </w:r>
      <w:r w:rsidR="00C5265E" w:rsidRPr="002241DD">
        <w:rPr>
          <w:rFonts w:ascii="Times New Roman" w:eastAsia="Times New Roman" w:hAnsi="Times New Roman" w:cs="Times New Roman"/>
          <w:sz w:val="20"/>
          <w:szCs w:val="20"/>
        </w:rPr>
        <w:t xml:space="preserve">of </w:t>
      </w:r>
      <w:r w:rsidR="00B34207" w:rsidRPr="002241DD">
        <w:rPr>
          <w:rFonts w:ascii="Times New Roman" w:eastAsia="Times New Roman" w:hAnsi="Times New Roman" w:cs="Times New Roman"/>
          <w:sz w:val="20"/>
          <w:szCs w:val="20"/>
        </w:rPr>
        <w:t>T2DM incidence</w:t>
      </w:r>
      <w:r w:rsidRPr="002241DD">
        <w:rPr>
          <w:rFonts w:ascii="Times New Roman" w:eastAsia="Times New Roman" w:hAnsi="Times New Roman" w:cs="Times New Roman"/>
          <w:sz w:val="20"/>
          <w:szCs w:val="20"/>
        </w:rPr>
        <w:t xml:space="preserve"> </w:t>
      </w:r>
      <w:r w:rsidR="00C5265E" w:rsidRPr="002241DD">
        <w:rPr>
          <w:rFonts w:ascii="Times New Roman" w:eastAsia="Times New Roman" w:hAnsi="Times New Roman" w:cs="Times New Roman"/>
          <w:sz w:val="20"/>
          <w:szCs w:val="20"/>
        </w:rPr>
        <w:t>for</w:t>
      </w:r>
      <w:r w:rsidRPr="002241DD">
        <w:rPr>
          <w:rFonts w:ascii="Times New Roman" w:eastAsia="Times New Roman" w:hAnsi="Times New Roman" w:cs="Times New Roman"/>
          <w:sz w:val="20"/>
          <w:szCs w:val="20"/>
        </w:rPr>
        <w:t xml:space="preserve"> children </w:t>
      </w:r>
      <w:r w:rsidR="00B34207" w:rsidRPr="002241DD">
        <w:rPr>
          <w:rFonts w:ascii="Times New Roman" w:eastAsia="Times New Roman" w:hAnsi="Times New Roman" w:cs="Times New Roman"/>
          <w:sz w:val="20"/>
          <w:szCs w:val="20"/>
        </w:rPr>
        <w:t xml:space="preserve">of GDM+ mothers who partake in DPP </w:t>
      </w:r>
      <w:r w:rsidRPr="002241DD">
        <w:rPr>
          <w:rFonts w:ascii="Times New Roman" w:eastAsia="Times New Roman" w:hAnsi="Times New Roman" w:cs="Times New Roman"/>
          <w:sz w:val="20"/>
          <w:szCs w:val="20"/>
        </w:rPr>
        <w:t>as</w:t>
      </w:r>
      <w:r w:rsidR="00C5265E" w:rsidRPr="002241DD">
        <w:rPr>
          <w:rFonts w:ascii="Times New Roman" w:eastAsia="Times New Roman" w:hAnsi="Times New Roman" w:cs="Times New Roman"/>
          <w:sz w:val="20"/>
          <w:szCs w:val="20"/>
        </w:rPr>
        <w:t xml:space="preserve"> done</w:t>
      </w:r>
      <w:r w:rsidRPr="002241DD">
        <w:rPr>
          <w:rFonts w:ascii="Times New Roman" w:eastAsia="Times New Roman" w:hAnsi="Times New Roman" w:cs="Times New Roman"/>
          <w:sz w:val="20"/>
          <w:szCs w:val="20"/>
        </w:rPr>
        <w:t xml:space="preserve"> in the original model</w:t>
      </w:r>
      <w:r w:rsidR="00B34207" w:rsidRPr="002241DD">
        <w:rPr>
          <w:rFonts w:ascii="Times New Roman" w:eastAsia="Times New Roman" w:hAnsi="Times New Roman" w:cs="Times New Roman"/>
          <w:sz w:val="20"/>
          <w:szCs w:val="20"/>
        </w:rPr>
        <w:t>,</w:t>
      </w:r>
      <w:r w:rsidRPr="002241DD">
        <w:rPr>
          <w:rFonts w:ascii="Times New Roman" w:eastAsia="Times New Roman" w:hAnsi="Times New Roman" w:cs="Times New Roman"/>
          <w:sz w:val="20"/>
          <w:szCs w:val="20"/>
        </w:rPr>
        <w:t xml:space="preserve"> due to a lack of evidence. </w:t>
      </w:r>
    </w:p>
    <w:p w14:paraId="00000033" w14:textId="77777777" w:rsidR="009A2A6C" w:rsidRPr="002241DD" w:rsidRDefault="009A2A6C">
      <w:pPr>
        <w:spacing w:after="0" w:line="480" w:lineRule="auto"/>
        <w:rPr>
          <w:rFonts w:ascii="Times New Roman" w:eastAsia="Times New Roman" w:hAnsi="Times New Roman" w:cs="Times New Roman"/>
          <w:sz w:val="20"/>
          <w:szCs w:val="20"/>
        </w:rPr>
      </w:pPr>
    </w:p>
    <w:p w14:paraId="00000035" w14:textId="0605F24E"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Sensitivity Analysis               </w:t>
      </w:r>
    </w:p>
    <w:p w14:paraId="00000037" w14:textId="77F811D6" w:rsidR="009A2A6C" w:rsidRDefault="00671CF7" w:rsidP="002241DD">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sz w:val="20"/>
          <w:szCs w:val="20"/>
        </w:rPr>
        <w:t>A probabilistic sensitivity analysis (PSA) was conducted by sampling from the appropriate distributions for each input used in our model to understand the uncertainty in the baseline results. The choice of distribution depend</w:t>
      </w:r>
      <w:r w:rsidR="004B3447" w:rsidRPr="002241DD">
        <w:rPr>
          <w:rFonts w:ascii="Times New Roman" w:eastAsia="Times New Roman" w:hAnsi="Times New Roman" w:cs="Times New Roman"/>
          <w:sz w:val="20"/>
          <w:szCs w:val="20"/>
        </w:rPr>
        <w:t xml:space="preserve">s </w:t>
      </w:r>
      <w:r w:rsidRPr="002241DD">
        <w:rPr>
          <w:rFonts w:ascii="Times New Roman" w:eastAsia="Times New Roman" w:hAnsi="Times New Roman" w:cs="Times New Roman"/>
          <w:sz w:val="20"/>
          <w:szCs w:val="20"/>
        </w:rPr>
        <w:lastRenderedPageBreak/>
        <w:t>on the underlying characteristics of parameters. For example, since the cost data are generally positively skewed and constrained in the range from zero to positive infinity, the gamma distribution is appropriate to represent the uncertainty of this type of parameter. We conducted Monte Carlo analysis, where one simulation represents a woman undergoing routine GDM screening with probabilities and costs randomly sampled from the appropriate distribution. This simulation is repeated with a different set of randomly chosen values, with the aggregate representing a theoretical cohort of 1000 women displayed on a Cost-Effectiveness Plane (CE Plane). To analyse results we fit a willingness to pay (WTP) threshold based on GDP per capita in 201</w:t>
      </w:r>
      <w:r w:rsidR="00E01A3D" w:rsidRPr="002241DD">
        <w:rPr>
          <w:rFonts w:ascii="Times New Roman" w:eastAsia="Times New Roman" w:hAnsi="Times New Roman" w:cs="Times New Roman"/>
          <w:sz w:val="20"/>
          <w:szCs w:val="20"/>
        </w:rPr>
        <w:t>8</w:t>
      </w:r>
      <w:r w:rsidRPr="002241DD">
        <w:rPr>
          <w:rFonts w:ascii="Times New Roman" w:eastAsia="Times New Roman" w:hAnsi="Times New Roman" w:cs="Times New Roman"/>
          <w:sz w:val="20"/>
          <w:szCs w:val="20"/>
        </w:rPr>
        <w:t xml:space="preserve"> </w:t>
      </w:r>
      <w:r w:rsidR="00AC4D3F" w:rsidRPr="002241DD">
        <w:rPr>
          <w:rFonts w:ascii="Times New Roman" w:eastAsia="Times New Roman" w:hAnsi="Times New Roman" w:cs="Times New Roman"/>
          <w:sz w:val="20"/>
          <w:szCs w:val="20"/>
        </w:rPr>
        <w:t>I</w:t>
      </w:r>
      <w:r w:rsidRPr="002241DD">
        <w:rPr>
          <w:rFonts w:ascii="Times New Roman" w:eastAsia="Times New Roman" w:hAnsi="Times New Roman" w:cs="Times New Roman"/>
          <w:sz w:val="20"/>
          <w:szCs w:val="20"/>
        </w:rPr>
        <w:t>nternational dollars ($I) as per the W</w:t>
      </w:r>
      <w:r w:rsidR="00AC4D3F" w:rsidRPr="002241DD">
        <w:rPr>
          <w:rFonts w:ascii="Times New Roman" w:eastAsia="Times New Roman" w:hAnsi="Times New Roman" w:cs="Times New Roman"/>
          <w:sz w:val="20"/>
          <w:szCs w:val="20"/>
        </w:rPr>
        <w:t>HO</w:t>
      </w:r>
      <w:r w:rsidRPr="002241DD">
        <w:rPr>
          <w:rFonts w:ascii="Times New Roman" w:eastAsia="Times New Roman" w:hAnsi="Times New Roman" w:cs="Times New Roman"/>
          <w:sz w:val="20"/>
          <w:szCs w:val="20"/>
        </w:rPr>
        <w:t xml:space="preserve"> Choosing Interventions that are Cost–Effective (WHO-CHOICE) project (Marseille, Larson, </w:t>
      </w:r>
      <w:proofErr w:type="spellStart"/>
      <w:r w:rsidRPr="002241DD">
        <w:rPr>
          <w:rFonts w:ascii="Times New Roman" w:eastAsia="Times New Roman" w:hAnsi="Times New Roman" w:cs="Times New Roman"/>
          <w:sz w:val="20"/>
          <w:szCs w:val="20"/>
        </w:rPr>
        <w:t>Kazi</w:t>
      </w:r>
      <w:proofErr w:type="spellEnd"/>
      <w:r w:rsidRPr="002241DD">
        <w:rPr>
          <w:rFonts w:ascii="Times New Roman" w:eastAsia="Times New Roman" w:hAnsi="Times New Roman" w:cs="Times New Roman"/>
          <w:sz w:val="20"/>
          <w:szCs w:val="20"/>
        </w:rPr>
        <w:t xml:space="preserve">, Kahn, &amp; Rosen, 2015). This project dictates an intervention that, per DALY avoided, costs less than three times the national annual GDP per capita is considered cost–effective, whereas one that costs less than once the national annual GDP per capita is considered highly cost–effective. </w:t>
      </w:r>
      <w:r w:rsidR="00E01A3D" w:rsidRPr="002241DD">
        <w:rPr>
          <w:rFonts w:ascii="Times New Roman" w:eastAsia="Times New Roman" w:hAnsi="Times New Roman" w:cs="Times New Roman"/>
          <w:sz w:val="20"/>
          <w:szCs w:val="20"/>
        </w:rPr>
        <w:t>We convert these thresholds back to AUD using the exchange rate of AUD $1</w:t>
      </w:r>
      <w:r w:rsidR="00AC4D3F" w:rsidRPr="002241DD">
        <w:rPr>
          <w:rFonts w:ascii="Times New Roman" w:eastAsia="Times New Roman" w:hAnsi="Times New Roman" w:cs="Times New Roman"/>
          <w:sz w:val="20"/>
          <w:szCs w:val="20"/>
        </w:rPr>
        <w:t>.43</w:t>
      </w:r>
      <w:r w:rsidR="00E01A3D" w:rsidRPr="002241DD">
        <w:rPr>
          <w:rFonts w:ascii="Times New Roman" w:eastAsia="Times New Roman" w:hAnsi="Times New Roman" w:cs="Times New Roman"/>
          <w:sz w:val="20"/>
          <w:szCs w:val="20"/>
        </w:rPr>
        <w:t xml:space="preserve">= I $1 </w:t>
      </w:r>
      <w:r w:rsidR="00E01A3D" w:rsidRPr="002241DD">
        <w:rPr>
          <w:rFonts w:ascii="Times New Roman" w:eastAsia="Times New Roman" w:hAnsi="Times New Roman" w:cs="Times New Roman"/>
          <w:sz w:val="20"/>
          <w:szCs w:val="20"/>
        </w:rPr>
        <w:fldChar w:fldCharType="begin"/>
      </w:r>
      <w:r w:rsidR="00FC74FA" w:rsidRPr="002241DD">
        <w:rPr>
          <w:rFonts w:ascii="Times New Roman" w:eastAsia="Times New Roman" w:hAnsi="Times New Roman" w:cs="Times New Roman"/>
          <w:sz w:val="20"/>
          <w:szCs w:val="20"/>
        </w:rPr>
        <w:instrText xml:space="preserve"> ADDIN EN.CITE &lt;EndNote&gt;&lt;Cite&gt;&lt;Author&gt;International Monetary Fund&lt;/Author&gt;&lt;RecNum&gt;31&lt;/RecNum&gt;&lt;DisplayText&gt;(International Monetary Fund, 2019)&lt;/DisplayText&gt;&lt;record&gt;&lt;rec-number&gt;31&lt;/rec-number&gt;&lt;foreign-keys&gt;&lt;key app="EN" db-id="5eavdw95gazpeeesd28vdr0jpfxaedft2f5r" timestamp="1581818784"&gt;31&lt;/key&gt;&lt;/foreign-keys&gt;&lt;ref-type name="Web Page"&gt;12&lt;/ref-type&gt;&lt;contributors&gt;&lt;authors&gt;&lt;author&gt;International Monetary Fund,&lt;/author&gt;&lt;/authors&gt;&lt;/contributors&gt;&lt;titles&gt;&lt;title&gt;IMF DataMapper: Implied PPP conversion rate&lt;/title&gt;&lt;/titles&gt;&lt;number&gt;16 Feb 2020&lt;/number&gt;&lt;dates&gt;&lt;year&gt;2019&lt;/year&gt;&lt;/dates&gt;&lt;urls&gt;&lt;related-urls&gt;&lt;url&gt;https://www.imf.org/external/datamapper/PPPEX@WEO/OEMDC/ADVEC/WEOWORLD/DA/IND/AUS&lt;/url&gt;&lt;/related-urls&gt;&lt;/urls&gt;&lt;/record&gt;&lt;/Cite&gt;&lt;/EndNote&gt;</w:instrText>
      </w:r>
      <w:r w:rsidR="00E01A3D" w:rsidRPr="002241DD">
        <w:rPr>
          <w:rFonts w:ascii="Times New Roman" w:eastAsia="Times New Roman" w:hAnsi="Times New Roman" w:cs="Times New Roman"/>
          <w:sz w:val="20"/>
          <w:szCs w:val="20"/>
        </w:rPr>
        <w:fldChar w:fldCharType="separate"/>
      </w:r>
      <w:r w:rsidR="00FC74FA" w:rsidRPr="002241DD">
        <w:rPr>
          <w:rFonts w:ascii="Times New Roman" w:eastAsia="Times New Roman" w:hAnsi="Times New Roman" w:cs="Times New Roman"/>
          <w:noProof/>
          <w:sz w:val="20"/>
          <w:szCs w:val="20"/>
        </w:rPr>
        <w:t>(International Monetary Fund, 2019)</w:t>
      </w:r>
      <w:r w:rsidR="00E01A3D" w:rsidRPr="002241DD">
        <w:rPr>
          <w:rFonts w:ascii="Times New Roman" w:eastAsia="Times New Roman" w:hAnsi="Times New Roman" w:cs="Times New Roman"/>
          <w:sz w:val="20"/>
          <w:szCs w:val="20"/>
        </w:rPr>
        <w:fldChar w:fldCharType="end"/>
      </w:r>
      <w:r w:rsidR="00E01A3D" w:rsidRPr="002241DD">
        <w:rPr>
          <w:rFonts w:ascii="Times New Roman" w:eastAsia="Times New Roman" w:hAnsi="Times New Roman" w:cs="Times New Roman"/>
          <w:sz w:val="20"/>
          <w:szCs w:val="20"/>
        </w:rPr>
        <w:t xml:space="preserve">. </w:t>
      </w:r>
      <w:r w:rsidRPr="002241DD">
        <w:rPr>
          <w:rFonts w:ascii="Times New Roman" w:eastAsia="Times New Roman" w:hAnsi="Times New Roman" w:cs="Times New Roman"/>
          <w:sz w:val="20"/>
          <w:szCs w:val="20"/>
        </w:rPr>
        <w:t>We also perform one-way sensitivity analysis to complement PSA. All key variables are varied by 50-150% of their base value, except for the proportion of GDM+ women who initiate postpartum care (80%) which is varied ± 20 percentage points</w:t>
      </w:r>
      <w:r w:rsidR="002D34CE" w:rsidRPr="002241DD">
        <w:rPr>
          <w:rFonts w:ascii="Times New Roman" w:eastAsia="Times New Roman" w:hAnsi="Times New Roman" w:cs="Times New Roman"/>
          <w:sz w:val="20"/>
          <w:szCs w:val="20"/>
        </w:rPr>
        <w:t>, summary details are provided in Table 1</w:t>
      </w:r>
      <w:r w:rsidRPr="002241DD">
        <w:rPr>
          <w:rFonts w:ascii="Times New Roman" w:eastAsia="Times New Roman" w:hAnsi="Times New Roman" w:cs="Times New Roman"/>
          <w:sz w:val="20"/>
          <w:szCs w:val="20"/>
        </w:rPr>
        <w:t xml:space="preserve">. </w:t>
      </w:r>
      <w:r w:rsidRPr="002241DD">
        <w:rPr>
          <w:rFonts w:ascii="Times New Roman" w:eastAsia="Times New Roman" w:hAnsi="Times New Roman" w:cs="Times New Roman"/>
          <w:b/>
          <w:sz w:val="20"/>
          <w:szCs w:val="20"/>
        </w:rPr>
        <w:t xml:space="preserve"> </w:t>
      </w:r>
    </w:p>
    <w:p w14:paraId="02D13BE0" w14:textId="77777777" w:rsidR="002241DD" w:rsidRPr="002241DD" w:rsidRDefault="002241DD" w:rsidP="002241DD">
      <w:pPr>
        <w:spacing w:after="0" w:line="480" w:lineRule="auto"/>
        <w:rPr>
          <w:rFonts w:ascii="Times New Roman" w:eastAsia="Times New Roman" w:hAnsi="Times New Roman" w:cs="Times New Roman"/>
          <w:b/>
          <w:color w:val="000000"/>
          <w:sz w:val="20"/>
          <w:szCs w:val="20"/>
        </w:rPr>
      </w:pPr>
    </w:p>
    <w:p w14:paraId="00000038" w14:textId="77777777" w:rsidR="009A2A6C" w:rsidRPr="002241DD" w:rsidRDefault="00671CF7">
      <w:pPr>
        <w:pStyle w:val="Heading1"/>
        <w:spacing w:before="0" w:line="480" w:lineRule="auto"/>
        <w:rPr>
          <w:rFonts w:ascii="Times New Roman" w:eastAsia="Times New Roman" w:hAnsi="Times New Roman" w:cs="Times New Roman"/>
          <w:b/>
          <w:color w:val="000000"/>
          <w:sz w:val="24"/>
          <w:szCs w:val="24"/>
        </w:rPr>
      </w:pPr>
      <w:r w:rsidRPr="002241DD">
        <w:rPr>
          <w:rFonts w:ascii="Times New Roman" w:eastAsia="Times New Roman" w:hAnsi="Times New Roman" w:cs="Times New Roman"/>
          <w:b/>
          <w:color w:val="000000"/>
          <w:sz w:val="24"/>
          <w:szCs w:val="24"/>
        </w:rPr>
        <w:t xml:space="preserve">Results </w:t>
      </w:r>
    </w:p>
    <w:p w14:paraId="0000003A" w14:textId="77777777"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b/>
          <w:sz w:val="20"/>
          <w:szCs w:val="20"/>
        </w:rPr>
        <w:t>Base case</w:t>
      </w:r>
    </w:p>
    <w:p w14:paraId="0000003B" w14:textId="062C900D"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The lifetime cost of the </w:t>
      </w:r>
      <w:r w:rsidR="007C1FDF" w:rsidRPr="002241DD">
        <w:rPr>
          <w:rFonts w:ascii="Times New Roman" w:eastAsia="Times New Roman" w:hAnsi="Times New Roman" w:cs="Times New Roman"/>
          <w:sz w:val="20"/>
          <w:szCs w:val="20"/>
        </w:rPr>
        <w:t xml:space="preserve">new </w:t>
      </w:r>
      <w:r w:rsidRPr="002241DD">
        <w:rPr>
          <w:rFonts w:ascii="Times New Roman" w:eastAsia="Times New Roman" w:hAnsi="Times New Roman" w:cs="Times New Roman"/>
          <w:sz w:val="20"/>
          <w:szCs w:val="20"/>
        </w:rPr>
        <w:t>ADIPS</w:t>
      </w:r>
      <w:r w:rsidR="007C1FDF" w:rsidRPr="002241DD">
        <w:rPr>
          <w:rFonts w:ascii="Times New Roman" w:eastAsia="Times New Roman" w:hAnsi="Times New Roman" w:cs="Times New Roman"/>
          <w:sz w:val="20"/>
          <w:szCs w:val="20"/>
        </w:rPr>
        <w:t xml:space="preserve"> s</w:t>
      </w:r>
      <w:r w:rsidRPr="002241DD">
        <w:rPr>
          <w:rFonts w:ascii="Times New Roman" w:eastAsia="Times New Roman" w:hAnsi="Times New Roman" w:cs="Times New Roman"/>
          <w:sz w:val="20"/>
          <w:szCs w:val="20"/>
        </w:rPr>
        <w:t xml:space="preserve">trategy is </w:t>
      </w:r>
      <w:r w:rsidR="00FC74FA" w:rsidRPr="002241DD">
        <w:rPr>
          <w:rFonts w:ascii="Times New Roman" w:eastAsia="Times New Roman" w:hAnsi="Times New Roman" w:cs="Times New Roman"/>
          <w:sz w:val="20"/>
          <w:szCs w:val="20"/>
        </w:rPr>
        <w:t xml:space="preserve">AUD $19,148 (USD $14,673) </w:t>
      </w:r>
      <w:r w:rsidRPr="002241DD">
        <w:rPr>
          <w:rFonts w:ascii="Times New Roman" w:eastAsia="Times New Roman" w:hAnsi="Times New Roman" w:cs="Times New Roman"/>
          <w:sz w:val="20"/>
          <w:szCs w:val="20"/>
        </w:rPr>
        <w:t xml:space="preserve">per patient while the </w:t>
      </w:r>
      <w:r w:rsidR="007C1FDF" w:rsidRPr="002241DD">
        <w:rPr>
          <w:rFonts w:ascii="Times New Roman" w:eastAsia="Times New Roman" w:hAnsi="Times New Roman" w:cs="Times New Roman"/>
          <w:sz w:val="20"/>
          <w:szCs w:val="20"/>
        </w:rPr>
        <w:t xml:space="preserve">previous </w:t>
      </w:r>
      <w:r w:rsidRPr="002241DD">
        <w:rPr>
          <w:rFonts w:ascii="Times New Roman" w:eastAsia="Times New Roman" w:hAnsi="Times New Roman" w:cs="Times New Roman"/>
          <w:sz w:val="20"/>
          <w:szCs w:val="20"/>
        </w:rPr>
        <w:t xml:space="preserve">ADIPS 1998 criteria cost </w:t>
      </w:r>
      <w:r w:rsidR="00FC74FA" w:rsidRPr="002241DD">
        <w:rPr>
          <w:rFonts w:ascii="Times New Roman" w:eastAsia="Times New Roman" w:hAnsi="Times New Roman" w:cs="Times New Roman"/>
          <w:sz w:val="20"/>
          <w:szCs w:val="20"/>
        </w:rPr>
        <w:t xml:space="preserve">AUD $17,853 (USD $13,680) </w:t>
      </w:r>
      <w:r w:rsidRPr="002241DD">
        <w:rPr>
          <w:rFonts w:ascii="Times New Roman" w:eastAsia="Times New Roman" w:hAnsi="Times New Roman" w:cs="Times New Roman"/>
          <w:sz w:val="20"/>
          <w:szCs w:val="20"/>
        </w:rPr>
        <w:t xml:space="preserve">per patient, resulting in an additional cost of AUD $1,295 (USD $993) under the new screening program. Initial screening, antenatal interventions and post-partum interventions constituted 0.15%, 7% and 92% of these costs, respectively. Average DALYs incurred per patient are 0.33 for the new strategy and 0.39 using the previous criteria, resulting in 0.06 DALYs averted using the strategy. The majority of the burden avoided is due to averted cases of T2DM (99%), with the remainder due to averted PAEs. The baseline incremental cost effectiveness ratio (ICER) of the intervention is AUD $20,671 (USD $15,839) per DALY averted. Compared with no screening, the </w:t>
      </w:r>
      <w:r w:rsidR="007C1FDF" w:rsidRPr="002241DD">
        <w:rPr>
          <w:rFonts w:ascii="Times New Roman" w:eastAsia="Times New Roman" w:hAnsi="Times New Roman" w:cs="Times New Roman"/>
          <w:sz w:val="20"/>
          <w:szCs w:val="20"/>
        </w:rPr>
        <w:t xml:space="preserve">new ADIPS </w:t>
      </w:r>
      <w:r w:rsidRPr="002241DD">
        <w:rPr>
          <w:rFonts w:ascii="Times New Roman" w:eastAsia="Times New Roman" w:hAnsi="Times New Roman" w:cs="Times New Roman"/>
          <w:sz w:val="20"/>
          <w:szCs w:val="20"/>
        </w:rPr>
        <w:t xml:space="preserve">strategy conversely saves AUD $28,137 (USD $21,561) per DALY averted. </w:t>
      </w:r>
      <w:sdt>
        <w:sdtPr>
          <w:tag w:val="goog_rdk_0"/>
          <w:id w:val="-761072026"/>
        </w:sdtPr>
        <w:sdtEndPr/>
        <w:sdtContent/>
      </w:sdt>
      <w:r w:rsidRPr="002241DD">
        <w:rPr>
          <w:rFonts w:ascii="Times New Roman" w:eastAsia="Times New Roman" w:hAnsi="Times New Roman" w:cs="Times New Roman"/>
          <w:sz w:val="20"/>
          <w:szCs w:val="20"/>
        </w:rPr>
        <w:t xml:space="preserve">Compared to no screening, the new strategy using IADPSG criteria appears to be the most effective but most costly compared to all other screening options in the base case scenario as shown in </w:t>
      </w:r>
      <w:r w:rsidRPr="002241DD">
        <w:rPr>
          <w:rFonts w:ascii="Times New Roman" w:eastAsia="Times New Roman" w:hAnsi="Times New Roman" w:cs="Times New Roman"/>
          <w:b/>
          <w:sz w:val="20"/>
          <w:szCs w:val="20"/>
        </w:rPr>
        <w:t>Figure 2.</w:t>
      </w:r>
      <w:r w:rsidRPr="002241DD">
        <w:rPr>
          <w:rFonts w:ascii="Times New Roman" w:eastAsia="Times New Roman" w:hAnsi="Times New Roman" w:cs="Times New Roman"/>
          <w:sz w:val="20"/>
          <w:szCs w:val="20"/>
        </w:rPr>
        <w:t xml:space="preserve"> </w:t>
      </w:r>
    </w:p>
    <w:p w14:paraId="0000003C" w14:textId="77777777" w:rsidR="009A2A6C" w:rsidRPr="002241DD" w:rsidRDefault="009A2A6C">
      <w:pPr>
        <w:spacing w:after="0" w:line="480" w:lineRule="auto"/>
        <w:rPr>
          <w:rFonts w:ascii="Times New Roman" w:eastAsia="Times New Roman" w:hAnsi="Times New Roman" w:cs="Times New Roman"/>
          <w:sz w:val="20"/>
          <w:szCs w:val="20"/>
        </w:rPr>
      </w:pPr>
    </w:p>
    <w:p w14:paraId="0000003D" w14:textId="77777777" w:rsidR="009A2A6C" w:rsidRPr="002241DD" w:rsidRDefault="00671CF7">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lastRenderedPageBreak/>
        <w:t>Sensitivity analyses</w:t>
      </w:r>
    </w:p>
    <w:p w14:paraId="0000003E" w14:textId="3FC7DCF6"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The results of the Monte Carlo simulations for the new ADIPS GDM strategy compared to ADIPS 1998 criteria is presented in the Cost-Effectiveness plane shown in Figure 3. Of 1000 simulations, 5</w:t>
      </w:r>
      <w:r w:rsidR="009B6D67" w:rsidRPr="002241DD">
        <w:rPr>
          <w:rFonts w:ascii="Times New Roman" w:eastAsia="Times New Roman" w:hAnsi="Times New Roman" w:cs="Times New Roman"/>
          <w:sz w:val="20"/>
          <w:szCs w:val="20"/>
        </w:rPr>
        <w:t>2</w:t>
      </w:r>
      <w:r w:rsidRPr="002241DD">
        <w:rPr>
          <w:rFonts w:ascii="Times New Roman" w:eastAsia="Times New Roman" w:hAnsi="Times New Roman" w:cs="Times New Roman"/>
          <w:sz w:val="20"/>
          <w:szCs w:val="20"/>
        </w:rPr>
        <w:t xml:space="preserve">% were in the southeast quadrant which indicates that IADPSG is likely to be the dominant screening criteria. We </w:t>
      </w:r>
      <w:r w:rsidR="002D34CE" w:rsidRPr="002241DD">
        <w:rPr>
          <w:rFonts w:ascii="Times New Roman" w:eastAsia="Times New Roman" w:hAnsi="Times New Roman" w:cs="Times New Roman"/>
          <w:sz w:val="20"/>
          <w:szCs w:val="20"/>
        </w:rPr>
        <w:t>analyse</w:t>
      </w:r>
      <w:r w:rsidRPr="002241DD">
        <w:rPr>
          <w:rFonts w:ascii="Times New Roman" w:eastAsia="Times New Roman" w:hAnsi="Times New Roman" w:cs="Times New Roman"/>
          <w:sz w:val="20"/>
          <w:szCs w:val="20"/>
        </w:rPr>
        <w:t xml:space="preserve"> the remainder of simulations in the northeast quadrant and find there is an additional 1</w:t>
      </w:r>
      <w:r w:rsidR="009B6D67" w:rsidRPr="002241DD">
        <w:rPr>
          <w:rFonts w:ascii="Times New Roman" w:eastAsia="Times New Roman" w:hAnsi="Times New Roman" w:cs="Times New Roman"/>
          <w:sz w:val="20"/>
          <w:szCs w:val="20"/>
        </w:rPr>
        <w:t>5</w:t>
      </w:r>
      <w:r w:rsidRPr="002241DD">
        <w:rPr>
          <w:rFonts w:ascii="Times New Roman" w:eastAsia="Times New Roman" w:hAnsi="Times New Roman" w:cs="Times New Roman"/>
          <w:sz w:val="20"/>
          <w:szCs w:val="20"/>
        </w:rPr>
        <w:t>% and 2</w:t>
      </w:r>
      <w:r w:rsidR="009B6D67" w:rsidRPr="002241DD">
        <w:rPr>
          <w:rFonts w:ascii="Times New Roman" w:eastAsia="Times New Roman" w:hAnsi="Times New Roman" w:cs="Times New Roman"/>
          <w:sz w:val="20"/>
          <w:szCs w:val="20"/>
        </w:rPr>
        <w:t>0</w:t>
      </w:r>
      <w:r w:rsidRPr="002241DD">
        <w:rPr>
          <w:rFonts w:ascii="Times New Roman" w:eastAsia="Times New Roman" w:hAnsi="Times New Roman" w:cs="Times New Roman"/>
          <w:sz w:val="20"/>
          <w:szCs w:val="20"/>
        </w:rPr>
        <w:t>% chance of the intervention being cost-effective and highly cost-effective, respectively. Therefore</w:t>
      </w:r>
      <w:r w:rsidR="009B6D67" w:rsidRPr="002241DD">
        <w:rPr>
          <w:rFonts w:ascii="Times New Roman" w:eastAsia="Times New Roman" w:hAnsi="Times New Roman" w:cs="Times New Roman"/>
          <w:sz w:val="20"/>
          <w:szCs w:val="20"/>
        </w:rPr>
        <w:t>,</w:t>
      </w:r>
      <w:r w:rsidRPr="002241DD">
        <w:rPr>
          <w:rFonts w:ascii="Times New Roman" w:eastAsia="Times New Roman" w:hAnsi="Times New Roman" w:cs="Times New Roman"/>
          <w:sz w:val="20"/>
          <w:szCs w:val="20"/>
        </w:rPr>
        <w:t xml:space="preserve"> there is only a </w:t>
      </w:r>
      <w:r w:rsidR="009B6D67" w:rsidRPr="002241DD">
        <w:rPr>
          <w:rFonts w:ascii="Times New Roman" w:eastAsia="Times New Roman" w:hAnsi="Times New Roman" w:cs="Times New Roman"/>
          <w:sz w:val="20"/>
          <w:szCs w:val="20"/>
        </w:rPr>
        <w:t>14</w:t>
      </w:r>
      <w:r w:rsidRPr="002241DD">
        <w:rPr>
          <w:rFonts w:ascii="Times New Roman" w:eastAsia="Times New Roman" w:hAnsi="Times New Roman" w:cs="Times New Roman"/>
          <w:sz w:val="20"/>
          <w:szCs w:val="20"/>
        </w:rPr>
        <w:t>% chance of the intervention failing to meet these WTP thresholds. These results indicat</w:t>
      </w:r>
      <w:r w:rsidR="009B6D67" w:rsidRPr="002241DD">
        <w:rPr>
          <w:rFonts w:ascii="Times New Roman" w:eastAsia="Times New Roman" w:hAnsi="Times New Roman" w:cs="Times New Roman"/>
          <w:sz w:val="20"/>
          <w:szCs w:val="20"/>
        </w:rPr>
        <w:t>e</w:t>
      </w:r>
      <w:r w:rsidRPr="002241DD">
        <w:rPr>
          <w:rFonts w:ascii="Times New Roman" w:eastAsia="Times New Roman" w:hAnsi="Times New Roman" w:cs="Times New Roman"/>
          <w:sz w:val="20"/>
          <w:szCs w:val="20"/>
        </w:rPr>
        <w:t xml:space="preserve"> that there are more DALYs averted using IADPSG threshold screening, antenatal and postpartum care and these are likely to come at an acceptable cost compared to the previous method of GDM screening.  </w:t>
      </w:r>
    </w:p>
    <w:p w14:paraId="0000003F" w14:textId="77777777" w:rsidR="009A2A6C" w:rsidRPr="002241DD" w:rsidRDefault="009A2A6C">
      <w:pPr>
        <w:spacing w:after="0" w:line="480" w:lineRule="auto"/>
        <w:rPr>
          <w:rFonts w:ascii="Times New Roman" w:eastAsia="Times New Roman" w:hAnsi="Times New Roman" w:cs="Times New Roman"/>
          <w:sz w:val="20"/>
          <w:szCs w:val="20"/>
        </w:rPr>
      </w:pPr>
    </w:p>
    <w:p w14:paraId="00000040" w14:textId="442F5656"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The one-way sensitivity tornado graph is shown in Figure 4, where each horizontal bar represents the range in net cost per DALY averted across the range of the base case value specified in Table 1 for each of eight key inputs.</w:t>
      </w:r>
      <w:r w:rsidRPr="002241DD">
        <w:rPr>
          <w:rFonts w:ascii="Times New Roman" w:eastAsia="Times New Roman" w:hAnsi="Times New Roman" w:cs="Times New Roman"/>
          <w:i/>
          <w:sz w:val="20"/>
          <w:szCs w:val="20"/>
        </w:rPr>
        <w:t xml:space="preserve"> </w:t>
      </w:r>
      <w:r w:rsidRPr="002241DD">
        <w:rPr>
          <w:rFonts w:ascii="Times New Roman" w:eastAsia="Times New Roman" w:hAnsi="Times New Roman" w:cs="Times New Roman"/>
          <w:sz w:val="20"/>
          <w:szCs w:val="20"/>
        </w:rPr>
        <w:t>The input with the greatest influence on cost-effectiveness is the discount rate; at 50–150% of the 5% base case value, the ICER ranges from $</w:t>
      </w:r>
      <w:r w:rsidR="002F5B3F" w:rsidRPr="002241DD">
        <w:rPr>
          <w:rFonts w:ascii="Times New Roman" w:eastAsia="Times New Roman" w:hAnsi="Times New Roman" w:cs="Times New Roman"/>
          <w:sz w:val="20"/>
          <w:szCs w:val="20"/>
        </w:rPr>
        <w:t>4,027</w:t>
      </w:r>
      <w:r w:rsidRPr="002241DD">
        <w:rPr>
          <w:rFonts w:ascii="Times New Roman" w:eastAsia="Times New Roman" w:hAnsi="Times New Roman" w:cs="Times New Roman"/>
          <w:sz w:val="20"/>
          <w:szCs w:val="20"/>
        </w:rPr>
        <w:t xml:space="preserve"> to $</w:t>
      </w:r>
      <w:r w:rsidR="002F5B3F" w:rsidRPr="002241DD">
        <w:rPr>
          <w:rFonts w:ascii="Times New Roman" w:eastAsia="Times New Roman" w:hAnsi="Times New Roman" w:cs="Times New Roman"/>
          <w:sz w:val="20"/>
          <w:szCs w:val="20"/>
        </w:rPr>
        <w:t>104,633</w:t>
      </w:r>
      <w:r w:rsidRPr="002241DD">
        <w:rPr>
          <w:rFonts w:ascii="Times New Roman" w:eastAsia="Times New Roman" w:hAnsi="Times New Roman" w:cs="Times New Roman"/>
          <w:sz w:val="20"/>
          <w:szCs w:val="20"/>
        </w:rPr>
        <w:t xml:space="preserve"> saved per DALY averted. The next most influential variables on cost-effectiveness are the incidence of T2DM as a result of GDM and the initial GDM prevalence in the Australian population. If we simultaneously alter the top three influential variables to the </w:t>
      </w:r>
      <w:r w:rsidR="009B6D67" w:rsidRPr="002241DD">
        <w:rPr>
          <w:rFonts w:ascii="Times New Roman" w:eastAsia="Times New Roman" w:hAnsi="Times New Roman" w:cs="Times New Roman"/>
          <w:sz w:val="20"/>
          <w:szCs w:val="20"/>
        </w:rPr>
        <w:t>right-hand</w:t>
      </w:r>
      <w:r w:rsidRPr="002241DD">
        <w:rPr>
          <w:rFonts w:ascii="Times New Roman" w:eastAsia="Times New Roman" w:hAnsi="Times New Roman" w:cs="Times New Roman"/>
          <w:sz w:val="20"/>
          <w:szCs w:val="20"/>
        </w:rPr>
        <w:t xml:space="preserve"> side of the tornado graph (in which costs are higher) we find that the </w:t>
      </w:r>
      <w:r w:rsidR="00FE2409" w:rsidRPr="002241DD">
        <w:rPr>
          <w:rFonts w:ascii="Times New Roman" w:eastAsia="Times New Roman" w:hAnsi="Times New Roman" w:cs="Times New Roman"/>
          <w:sz w:val="20"/>
          <w:szCs w:val="20"/>
        </w:rPr>
        <w:t xml:space="preserve">new </w:t>
      </w:r>
      <w:r w:rsidRPr="002241DD">
        <w:rPr>
          <w:rFonts w:ascii="Times New Roman" w:eastAsia="Times New Roman" w:hAnsi="Times New Roman" w:cs="Times New Roman"/>
          <w:sz w:val="20"/>
          <w:szCs w:val="20"/>
        </w:rPr>
        <w:t>ADIP</w:t>
      </w:r>
      <w:r w:rsidR="00FE2409" w:rsidRPr="002241DD">
        <w:rPr>
          <w:rFonts w:ascii="Times New Roman" w:eastAsia="Times New Roman" w:hAnsi="Times New Roman" w:cs="Times New Roman"/>
          <w:sz w:val="20"/>
          <w:szCs w:val="20"/>
        </w:rPr>
        <w:t>S</w:t>
      </w:r>
      <w:r w:rsidRPr="002241DD">
        <w:rPr>
          <w:rFonts w:ascii="Times New Roman" w:eastAsia="Times New Roman" w:hAnsi="Times New Roman" w:cs="Times New Roman"/>
          <w:sz w:val="20"/>
          <w:szCs w:val="20"/>
        </w:rPr>
        <w:t xml:space="preserve"> </w:t>
      </w:r>
      <w:r w:rsidR="00FE2409" w:rsidRPr="002241DD">
        <w:rPr>
          <w:rFonts w:ascii="Times New Roman" w:eastAsia="Times New Roman" w:hAnsi="Times New Roman" w:cs="Times New Roman"/>
          <w:sz w:val="20"/>
          <w:szCs w:val="20"/>
        </w:rPr>
        <w:t xml:space="preserve">strategy </w:t>
      </w:r>
      <w:r w:rsidRPr="002241DD">
        <w:rPr>
          <w:rFonts w:ascii="Times New Roman" w:eastAsia="Times New Roman" w:hAnsi="Times New Roman" w:cs="Times New Roman"/>
          <w:sz w:val="20"/>
          <w:szCs w:val="20"/>
        </w:rPr>
        <w:t>is still cost-effective ($</w:t>
      </w:r>
      <w:r w:rsidR="002D34CE" w:rsidRPr="002241DD">
        <w:rPr>
          <w:rFonts w:ascii="Times New Roman" w:eastAsia="Times New Roman" w:hAnsi="Times New Roman" w:cs="Times New Roman"/>
          <w:sz w:val="20"/>
          <w:szCs w:val="20"/>
        </w:rPr>
        <w:t xml:space="preserve">AUD </w:t>
      </w:r>
      <w:r w:rsidR="009B6D67" w:rsidRPr="002241DD">
        <w:rPr>
          <w:rFonts w:ascii="Times New Roman" w:eastAsia="Times New Roman" w:hAnsi="Times New Roman" w:cs="Times New Roman"/>
          <w:sz w:val="20"/>
          <w:szCs w:val="20"/>
        </w:rPr>
        <w:t>54,843</w:t>
      </w:r>
      <w:r w:rsidRPr="002241DD">
        <w:rPr>
          <w:rFonts w:ascii="Times New Roman" w:eastAsia="Times New Roman" w:hAnsi="Times New Roman" w:cs="Times New Roman"/>
          <w:sz w:val="20"/>
          <w:szCs w:val="20"/>
        </w:rPr>
        <w:t xml:space="preserve"> per DALY averted) compared to </w:t>
      </w:r>
      <w:r w:rsidR="009B6D67" w:rsidRPr="002241DD">
        <w:rPr>
          <w:rFonts w:ascii="Times New Roman" w:eastAsia="Times New Roman" w:hAnsi="Times New Roman" w:cs="Times New Roman"/>
          <w:sz w:val="20"/>
          <w:szCs w:val="20"/>
        </w:rPr>
        <w:t>a cost effectiveness threshold of $I 50,400/$AUD 7</w:t>
      </w:r>
      <w:r w:rsidR="002D34CE" w:rsidRPr="002241DD">
        <w:rPr>
          <w:rFonts w:ascii="Times New Roman" w:eastAsia="Times New Roman" w:hAnsi="Times New Roman" w:cs="Times New Roman"/>
          <w:sz w:val="20"/>
          <w:szCs w:val="20"/>
        </w:rPr>
        <w:t>2,576 per DALY averted</w:t>
      </w:r>
      <w:r w:rsidRPr="002241DD">
        <w:rPr>
          <w:rFonts w:ascii="Times New Roman" w:eastAsia="Times New Roman" w:hAnsi="Times New Roman" w:cs="Times New Roman"/>
          <w:sz w:val="20"/>
          <w:szCs w:val="20"/>
        </w:rPr>
        <w:t xml:space="preserve">. </w:t>
      </w:r>
    </w:p>
    <w:p w14:paraId="00000042" w14:textId="77777777" w:rsidR="009A2A6C" w:rsidRPr="002241DD" w:rsidRDefault="009A2A6C">
      <w:pPr>
        <w:spacing w:after="0" w:line="480" w:lineRule="auto"/>
        <w:rPr>
          <w:rFonts w:ascii="Times New Roman" w:eastAsia="Times New Roman" w:hAnsi="Times New Roman" w:cs="Times New Roman"/>
          <w:sz w:val="20"/>
          <w:szCs w:val="20"/>
        </w:rPr>
      </w:pPr>
    </w:p>
    <w:p w14:paraId="00000043" w14:textId="77777777" w:rsidR="009A2A6C" w:rsidRPr="002241DD" w:rsidRDefault="00671CF7">
      <w:pPr>
        <w:pStyle w:val="Heading1"/>
        <w:spacing w:before="0" w:line="480" w:lineRule="auto"/>
        <w:rPr>
          <w:rFonts w:ascii="Times New Roman" w:eastAsia="Times New Roman" w:hAnsi="Times New Roman" w:cs="Times New Roman"/>
          <w:b/>
          <w:color w:val="000000"/>
          <w:sz w:val="20"/>
          <w:szCs w:val="20"/>
        </w:rPr>
      </w:pPr>
      <w:r w:rsidRPr="002241DD">
        <w:rPr>
          <w:rFonts w:ascii="Times New Roman" w:eastAsia="Times New Roman" w:hAnsi="Times New Roman" w:cs="Times New Roman"/>
          <w:b/>
          <w:color w:val="000000"/>
          <w:sz w:val="20"/>
          <w:szCs w:val="20"/>
        </w:rPr>
        <w:t xml:space="preserve">Conclusions  </w:t>
      </w:r>
    </w:p>
    <w:p w14:paraId="00000044" w14:textId="3926DAB8" w:rsidR="009A2A6C" w:rsidRPr="002241DD" w:rsidRDefault="00671CF7">
      <w:pPr>
        <w:spacing w:after="0" w:line="480" w:lineRule="auto"/>
        <w:rPr>
          <w:rFonts w:ascii="Times New Roman" w:eastAsia="Times New Roman" w:hAnsi="Times New Roman" w:cs="Times New Roman"/>
          <w:sz w:val="20"/>
          <w:szCs w:val="20"/>
        </w:rPr>
      </w:pPr>
      <w:bookmarkStart w:id="2" w:name="_heading=h.gjdgxs" w:colFirst="0" w:colLast="0"/>
      <w:bookmarkEnd w:id="2"/>
      <w:r w:rsidRPr="002241DD">
        <w:rPr>
          <w:rFonts w:ascii="Times New Roman" w:eastAsia="Times New Roman" w:hAnsi="Times New Roman" w:cs="Times New Roman"/>
          <w:sz w:val="20"/>
          <w:szCs w:val="20"/>
        </w:rPr>
        <w:t xml:space="preserve">This study shows universal screening and treatment of gestational diabetes, accounting for adverse perinatal events and future incidence of type 2 diabetes, would lead to cost saving care for pregnant women in Australia.  The intervention has an incremental cost-effectiveness ratio of AUD $20,671 (USD $15,839) per DALY averted compared to previous criteria. Probabilistic sensitivity analysis predicts a 54% chance of the </w:t>
      </w:r>
      <w:r w:rsidR="009E352B" w:rsidRPr="002241DD">
        <w:rPr>
          <w:rFonts w:ascii="Times New Roman" w:eastAsia="Times New Roman" w:hAnsi="Times New Roman" w:cs="Times New Roman"/>
          <w:sz w:val="20"/>
          <w:szCs w:val="20"/>
        </w:rPr>
        <w:t xml:space="preserve">new </w:t>
      </w:r>
      <w:r w:rsidRPr="002241DD">
        <w:rPr>
          <w:rFonts w:ascii="Times New Roman" w:eastAsia="Times New Roman" w:hAnsi="Times New Roman" w:cs="Times New Roman"/>
          <w:sz w:val="20"/>
          <w:szCs w:val="20"/>
        </w:rPr>
        <w:t xml:space="preserve">ADIPS strategy being effective and cost saving. Multiple studies report increased prevalence of GDM using IADPSG criteria (Avalos, Owens, &amp; Dunn, 2013; Moses et al., 2011) which raises concerns about the </w:t>
      </w:r>
      <w:sdt>
        <w:sdtPr>
          <w:tag w:val="goog_rdk_1"/>
          <w:id w:val="-556086504"/>
        </w:sdtPr>
        <w:sdtEndPr/>
        <w:sdtContent/>
      </w:sdt>
      <w:r w:rsidRPr="002241DD">
        <w:rPr>
          <w:rFonts w:ascii="Times New Roman" w:eastAsia="Times New Roman" w:hAnsi="Times New Roman" w:cs="Times New Roman"/>
          <w:sz w:val="20"/>
          <w:szCs w:val="20"/>
        </w:rPr>
        <w:t xml:space="preserve">medicalization of pregnancy, and related rising health care costs (Long &amp; Cundy, 2013). However, we find consistent results with a Spanish study to suggest despite this increased prevalence cost savings are still realised compared to alternative screening criteria (Duran et al., 2014). Another major difference is that the shift from two-step to </w:t>
      </w:r>
      <w:r w:rsidRPr="002241DD">
        <w:rPr>
          <w:rFonts w:ascii="Times New Roman" w:eastAsia="Times New Roman" w:hAnsi="Times New Roman" w:cs="Times New Roman"/>
          <w:sz w:val="20"/>
          <w:szCs w:val="20"/>
        </w:rPr>
        <w:lastRenderedPageBreak/>
        <w:t>one-step testing – a recent systematic review and meta-analysis of randomised trials comparing these two methods found the one step approach was associated with better maternal and perinatal outcomes with no significant implications for the incidence of GDM (</w:t>
      </w:r>
      <w:proofErr w:type="spellStart"/>
      <w:r w:rsidRPr="002241DD">
        <w:rPr>
          <w:rFonts w:ascii="Times New Roman" w:eastAsia="Times New Roman" w:hAnsi="Times New Roman" w:cs="Times New Roman"/>
          <w:sz w:val="20"/>
          <w:szCs w:val="20"/>
        </w:rPr>
        <w:t>Saccone</w:t>
      </w:r>
      <w:proofErr w:type="spellEnd"/>
      <w:r w:rsidRPr="002241DD">
        <w:rPr>
          <w:rFonts w:ascii="Times New Roman" w:eastAsia="Times New Roman" w:hAnsi="Times New Roman" w:cs="Times New Roman"/>
          <w:sz w:val="20"/>
          <w:szCs w:val="20"/>
        </w:rPr>
        <w:t xml:space="preserve"> et al., 2019).</w:t>
      </w:r>
      <w:r w:rsidR="0041675F" w:rsidRPr="002241DD">
        <w:rPr>
          <w:rFonts w:ascii="Times New Roman" w:eastAsia="Times New Roman" w:hAnsi="Times New Roman" w:cs="Times New Roman"/>
          <w:sz w:val="20"/>
          <w:szCs w:val="20"/>
        </w:rPr>
        <w:t xml:space="preserve"> This suggests the one-step approach has clinical as well as operational advantages over the two-step approach. </w:t>
      </w:r>
    </w:p>
    <w:p w14:paraId="00000045" w14:textId="77777777" w:rsidR="009A2A6C" w:rsidRPr="002241DD" w:rsidRDefault="009A2A6C">
      <w:pPr>
        <w:spacing w:after="0" w:line="480" w:lineRule="auto"/>
        <w:rPr>
          <w:rFonts w:ascii="Times New Roman" w:eastAsia="Times New Roman" w:hAnsi="Times New Roman" w:cs="Times New Roman"/>
          <w:sz w:val="20"/>
          <w:szCs w:val="20"/>
        </w:rPr>
      </w:pPr>
    </w:p>
    <w:p w14:paraId="00000046" w14:textId="44EA0245"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Cost-effectiveness was sensitive to the cost of post-partum care over the treatment period, the initial incidence of GDM and the long-term incidence of T2DM due to GDM. Effective postpartum care may require 5–10 years of follow-up (assumed 10 years in this study) and is thus it is the </w:t>
      </w:r>
      <w:proofErr w:type="gramStart"/>
      <w:r w:rsidRPr="002241DD">
        <w:rPr>
          <w:rFonts w:ascii="Times New Roman" w:eastAsia="Times New Roman" w:hAnsi="Times New Roman" w:cs="Times New Roman"/>
          <w:sz w:val="20"/>
          <w:szCs w:val="20"/>
        </w:rPr>
        <w:t>most costly</w:t>
      </w:r>
      <w:proofErr w:type="gramEnd"/>
      <w:r w:rsidRPr="002241DD">
        <w:rPr>
          <w:rFonts w:ascii="Times New Roman" w:eastAsia="Times New Roman" w:hAnsi="Times New Roman" w:cs="Times New Roman"/>
          <w:sz w:val="20"/>
          <w:szCs w:val="20"/>
        </w:rPr>
        <w:t xml:space="preserve"> portion of our intervention representing 92% of these costs, and there is an onus on program administrators to contain these costs. An important limitation of our study is that the model can only test the percentage of women who initiate post-partum interventions rather than continue with care. Compliance to post-partum care needs to be considered, as it is well recognised that many barriers exist to mothers engaging in behaviour change during the early infancy period (Nielsen, </w:t>
      </w:r>
      <w:proofErr w:type="spellStart"/>
      <w:r w:rsidRPr="002241DD">
        <w:rPr>
          <w:rFonts w:ascii="Times New Roman" w:eastAsia="Times New Roman" w:hAnsi="Times New Roman" w:cs="Times New Roman"/>
          <w:sz w:val="20"/>
          <w:szCs w:val="20"/>
        </w:rPr>
        <w:t>Kapur</w:t>
      </w:r>
      <w:proofErr w:type="spellEnd"/>
      <w:r w:rsidRPr="002241DD">
        <w:rPr>
          <w:rFonts w:ascii="Times New Roman" w:eastAsia="Times New Roman" w:hAnsi="Times New Roman" w:cs="Times New Roman"/>
          <w:sz w:val="20"/>
          <w:szCs w:val="20"/>
        </w:rPr>
        <w:t xml:space="preserve">, </w:t>
      </w:r>
      <w:proofErr w:type="spellStart"/>
      <w:r w:rsidRPr="002241DD">
        <w:rPr>
          <w:rFonts w:ascii="Times New Roman" w:eastAsia="Times New Roman" w:hAnsi="Times New Roman" w:cs="Times New Roman"/>
          <w:sz w:val="20"/>
          <w:szCs w:val="20"/>
        </w:rPr>
        <w:t>Damm</w:t>
      </w:r>
      <w:proofErr w:type="spellEnd"/>
      <w:r w:rsidRPr="002241DD">
        <w:rPr>
          <w:rFonts w:ascii="Times New Roman" w:eastAsia="Times New Roman" w:hAnsi="Times New Roman" w:cs="Times New Roman"/>
          <w:sz w:val="20"/>
          <w:szCs w:val="20"/>
        </w:rPr>
        <w:t xml:space="preserve">, de </w:t>
      </w:r>
      <w:proofErr w:type="spellStart"/>
      <w:r w:rsidRPr="002241DD">
        <w:rPr>
          <w:rFonts w:ascii="Times New Roman" w:eastAsia="Times New Roman" w:hAnsi="Times New Roman" w:cs="Times New Roman"/>
          <w:sz w:val="20"/>
          <w:szCs w:val="20"/>
        </w:rPr>
        <w:t>Courten</w:t>
      </w:r>
      <w:proofErr w:type="spellEnd"/>
      <w:r w:rsidRPr="002241DD">
        <w:rPr>
          <w:rFonts w:ascii="Times New Roman" w:eastAsia="Times New Roman" w:hAnsi="Times New Roman" w:cs="Times New Roman"/>
          <w:sz w:val="20"/>
          <w:szCs w:val="20"/>
        </w:rPr>
        <w:t xml:space="preserve">, &amp; </w:t>
      </w:r>
      <w:proofErr w:type="spellStart"/>
      <w:r w:rsidRPr="002241DD">
        <w:rPr>
          <w:rFonts w:ascii="Times New Roman" w:eastAsia="Times New Roman" w:hAnsi="Times New Roman" w:cs="Times New Roman"/>
          <w:sz w:val="20"/>
          <w:szCs w:val="20"/>
        </w:rPr>
        <w:t>Bygbjerg</w:t>
      </w:r>
      <w:proofErr w:type="spellEnd"/>
      <w:r w:rsidRPr="002241DD">
        <w:rPr>
          <w:rFonts w:ascii="Times New Roman" w:eastAsia="Times New Roman" w:hAnsi="Times New Roman" w:cs="Times New Roman"/>
          <w:sz w:val="20"/>
          <w:szCs w:val="20"/>
        </w:rPr>
        <w:t xml:space="preserve">, 2014). An Australian trial of post-partum care specifically designed to address these barriers still found significant challenges in maintaining engagement with the program, and concluded the intervention would therefore not be sustainable in routine health services (O’Reilly et al., 2016). Alongside this is the need to more accurately estimate the effect of GDM and postpartum care in avoiding T2DM given large effect of variations in the discount rate to long-term outcomes. The </w:t>
      </w:r>
      <w:proofErr w:type="spellStart"/>
      <w:r w:rsidRPr="002241DD">
        <w:rPr>
          <w:rFonts w:ascii="Times New Roman" w:eastAsia="Times New Roman" w:hAnsi="Times New Roman" w:cs="Times New Roman"/>
          <w:sz w:val="20"/>
          <w:szCs w:val="20"/>
        </w:rPr>
        <w:t>GeDiForCE</w:t>
      </w:r>
      <w:proofErr w:type="spellEnd"/>
      <w:r w:rsidRPr="002241DD">
        <w:rPr>
          <w:rFonts w:ascii="Times New Roman" w:eastAsia="Times New Roman" w:hAnsi="Times New Roman" w:cs="Times New Roman"/>
          <w:sz w:val="20"/>
          <w:szCs w:val="20"/>
        </w:rPr>
        <w:t xml:space="preserve"> model is unique in its ability to investigate T2DM incidence and potential of antenatal and postpartum intervention to reduce the intergenerational transmission of diabetes. This paper reinforces the importance of early detection of GDM as an opportunity for early prevention of diabetes and other disease over the lifespan of mother and child and its associated costs.</w:t>
      </w:r>
    </w:p>
    <w:p w14:paraId="00000047" w14:textId="77777777" w:rsidR="009A2A6C" w:rsidRPr="002241DD" w:rsidRDefault="00671CF7">
      <w:pPr>
        <w:spacing w:after="0" w:line="480" w:lineRule="auto"/>
        <w:rPr>
          <w:rFonts w:ascii="Times New Roman" w:eastAsia="Times New Roman" w:hAnsi="Times New Roman" w:cs="Times New Roman"/>
          <w:sz w:val="20"/>
          <w:szCs w:val="20"/>
        </w:rPr>
      </w:pPr>
      <w:r w:rsidRPr="002241DD">
        <w:rPr>
          <w:rFonts w:ascii="Times New Roman" w:eastAsia="Times New Roman" w:hAnsi="Times New Roman" w:cs="Times New Roman"/>
          <w:sz w:val="20"/>
          <w:szCs w:val="20"/>
        </w:rPr>
        <w:t xml:space="preserve"> </w:t>
      </w:r>
    </w:p>
    <w:p w14:paraId="00000048" w14:textId="4D7FDE52" w:rsidR="009A2A6C" w:rsidRPr="002241DD" w:rsidRDefault="009A2A6C">
      <w:pPr>
        <w:spacing w:after="0" w:line="480" w:lineRule="auto"/>
        <w:rPr>
          <w:rFonts w:ascii="Times New Roman" w:eastAsia="Times New Roman" w:hAnsi="Times New Roman" w:cs="Times New Roman"/>
        </w:rPr>
      </w:pPr>
    </w:p>
    <w:p w14:paraId="3D80C4E8" w14:textId="1091EE6F" w:rsidR="00293D58" w:rsidRPr="002241DD" w:rsidRDefault="00293D58">
      <w:pPr>
        <w:spacing w:after="0" w:line="480" w:lineRule="auto"/>
        <w:rPr>
          <w:rFonts w:ascii="Times New Roman" w:eastAsia="Times New Roman" w:hAnsi="Times New Roman" w:cs="Times New Roman"/>
        </w:rPr>
      </w:pPr>
    </w:p>
    <w:p w14:paraId="4974BF70" w14:textId="46B09C69" w:rsidR="00293D58" w:rsidRPr="002241DD" w:rsidRDefault="00293D58">
      <w:pPr>
        <w:spacing w:after="0" w:line="480" w:lineRule="auto"/>
        <w:rPr>
          <w:rFonts w:ascii="Times New Roman" w:eastAsia="Times New Roman" w:hAnsi="Times New Roman" w:cs="Times New Roman"/>
        </w:rPr>
      </w:pPr>
    </w:p>
    <w:p w14:paraId="006D42F6" w14:textId="1BFFCA29" w:rsidR="00293D58" w:rsidRPr="002241DD" w:rsidRDefault="00293D58">
      <w:pPr>
        <w:spacing w:after="0" w:line="480" w:lineRule="auto"/>
        <w:rPr>
          <w:rFonts w:ascii="Times New Roman" w:eastAsia="Times New Roman" w:hAnsi="Times New Roman" w:cs="Times New Roman"/>
        </w:rPr>
      </w:pPr>
    </w:p>
    <w:p w14:paraId="3EFB580B" w14:textId="2E7D4F2E" w:rsidR="00293D58" w:rsidRPr="002241DD" w:rsidRDefault="00293D58">
      <w:pPr>
        <w:spacing w:after="0" w:line="480" w:lineRule="auto"/>
        <w:rPr>
          <w:rFonts w:ascii="Times New Roman" w:eastAsia="Times New Roman" w:hAnsi="Times New Roman" w:cs="Times New Roman"/>
        </w:rPr>
      </w:pPr>
    </w:p>
    <w:p w14:paraId="18536484" w14:textId="65454E45" w:rsidR="00293D58" w:rsidRPr="002241DD" w:rsidRDefault="00293D58">
      <w:pPr>
        <w:spacing w:after="0" w:line="480" w:lineRule="auto"/>
        <w:rPr>
          <w:rFonts w:ascii="Times New Roman" w:eastAsia="Times New Roman" w:hAnsi="Times New Roman" w:cs="Times New Roman"/>
        </w:rPr>
      </w:pPr>
    </w:p>
    <w:p w14:paraId="2ED89F2F" w14:textId="1DE363A3" w:rsidR="00293D58" w:rsidRPr="002241DD" w:rsidRDefault="00293D58">
      <w:pPr>
        <w:spacing w:after="0" w:line="480" w:lineRule="auto"/>
        <w:rPr>
          <w:rFonts w:ascii="Times New Roman" w:eastAsia="Times New Roman" w:hAnsi="Times New Roman" w:cs="Times New Roman"/>
        </w:rPr>
      </w:pPr>
    </w:p>
    <w:p w14:paraId="37722507" w14:textId="38621057" w:rsidR="00293D58" w:rsidRPr="002241DD" w:rsidRDefault="00293D58">
      <w:pPr>
        <w:spacing w:after="0" w:line="480" w:lineRule="auto"/>
        <w:rPr>
          <w:rFonts w:ascii="Times New Roman" w:eastAsia="Times New Roman" w:hAnsi="Times New Roman" w:cs="Times New Roman"/>
        </w:rPr>
      </w:pPr>
    </w:p>
    <w:p w14:paraId="00000049" w14:textId="77777777" w:rsidR="009A2A6C" w:rsidRPr="002241DD" w:rsidRDefault="00671CF7">
      <w:pPr>
        <w:spacing w:after="0" w:line="480" w:lineRule="auto"/>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lastRenderedPageBreak/>
        <w:t xml:space="preserve">References </w:t>
      </w:r>
    </w:p>
    <w:p w14:paraId="0000004B"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Australian Bureau of Statistics. (2015). 3301.0 - Births, Australia, 2015. Retrieved from h</w:t>
      </w:r>
      <w:hyperlink r:id="rId11">
        <w:r w:rsidRPr="002241DD">
          <w:rPr>
            <w:rFonts w:ascii="Times New Roman" w:hAnsi="Times New Roman" w:cs="Times New Roman"/>
            <w:color w:val="0563C1"/>
            <w:sz w:val="20"/>
            <w:szCs w:val="20"/>
            <w:u w:val="single"/>
          </w:rPr>
          <w:t>ttps://www.abs.gov.au/AUSSTATS/abs@.nsf/Previousproducts/3301.0Main%20Features32015?opendocument&amp;tabname=Summary&amp;prodno=3301.0&amp;issue=2015&amp;num=&amp;view=</w:t>
        </w:r>
      </w:hyperlink>
    </w:p>
    <w:p w14:paraId="0000004C"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563C1"/>
          <w:sz w:val="20"/>
          <w:szCs w:val="20"/>
          <w:u w:val="single"/>
        </w:rPr>
      </w:pPr>
      <w:r w:rsidRPr="002241DD">
        <w:rPr>
          <w:rFonts w:ascii="Times New Roman" w:hAnsi="Times New Roman" w:cs="Times New Roman"/>
          <w:color w:val="000000"/>
          <w:sz w:val="20"/>
          <w:szCs w:val="20"/>
        </w:rPr>
        <w:t>Australian Government. (2019). Medicare Benefits Schedule Book Retrieved from h</w:t>
      </w:r>
      <w:r w:rsidRPr="002241DD">
        <w:rPr>
          <w:rFonts w:ascii="Times New Roman" w:hAnsi="Times New Roman" w:cs="Times New Roman"/>
          <w:color w:val="000000"/>
          <w:sz w:val="20"/>
          <w:szCs w:val="20"/>
        </w:rPr>
        <w:br/>
      </w:r>
      <w:r w:rsidRPr="002241DD">
        <w:rPr>
          <w:rFonts w:ascii="Times New Roman" w:hAnsi="Times New Roman" w:cs="Times New Roman"/>
          <w:sz w:val="20"/>
          <w:szCs w:val="20"/>
        </w:rPr>
        <w:fldChar w:fldCharType="begin"/>
      </w:r>
      <w:r w:rsidRPr="002241DD">
        <w:rPr>
          <w:rFonts w:ascii="Times New Roman" w:hAnsi="Times New Roman" w:cs="Times New Roman"/>
          <w:sz w:val="20"/>
          <w:szCs w:val="20"/>
        </w:rPr>
        <w:instrText xml:space="preserve"> HYPERLINK "about:blank" </w:instrText>
      </w:r>
      <w:r w:rsidRPr="002241DD">
        <w:rPr>
          <w:rFonts w:ascii="Times New Roman" w:hAnsi="Times New Roman" w:cs="Times New Roman"/>
          <w:sz w:val="20"/>
          <w:szCs w:val="20"/>
        </w:rPr>
        <w:fldChar w:fldCharType="separate"/>
      </w:r>
      <w:r w:rsidRPr="002241DD">
        <w:rPr>
          <w:rFonts w:ascii="Times New Roman" w:hAnsi="Times New Roman" w:cs="Times New Roman"/>
          <w:color w:val="0563C1"/>
          <w:sz w:val="20"/>
          <w:szCs w:val="20"/>
          <w:u w:val="single"/>
        </w:rPr>
        <w:t>ttps://www.health.gov.au/internet/mbsonline/publishing.nsf/Content/Downloads-201904</w:t>
      </w:r>
    </w:p>
    <w:p w14:paraId="0000004D"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563C1"/>
          <w:sz w:val="20"/>
          <w:szCs w:val="20"/>
          <w:u w:val="single"/>
        </w:rPr>
      </w:pPr>
      <w:r w:rsidRPr="002241DD">
        <w:rPr>
          <w:rFonts w:ascii="Times New Roman" w:hAnsi="Times New Roman" w:cs="Times New Roman"/>
          <w:sz w:val="20"/>
          <w:szCs w:val="20"/>
        </w:rPr>
        <w:fldChar w:fldCharType="end"/>
      </w:r>
      <w:r w:rsidRPr="002241DD">
        <w:rPr>
          <w:rFonts w:ascii="Times New Roman" w:hAnsi="Times New Roman" w:cs="Times New Roman"/>
          <w:color w:val="000000"/>
          <w:sz w:val="20"/>
          <w:szCs w:val="20"/>
        </w:rPr>
        <w:t xml:space="preserve">Australian Institute of Health and Welfare. (2019). </w:t>
      </w:r>
      <w:r w:rsidRPr="002241DD">
        <w:rPr>
          <w:rFonts w:ascii="Times New Roman" w:hAnsi="Times New Roman" w:cs="Times New Roman"/>
          <w:i/>
          <w:color w:val="000000"/>
          <w:sz w:val="20"/>
          <w:szCs w:val="20"/>
        </w:rPr>
        <w:t>Health expenditure Australia 2017–18</w:t>
      </w:r>
      <w:r w:rsidRPr="002241DD">
        <w:rPr>
          <w:rFonts w:ascii="Times New Roman" w:hAnsi="Times New Roman" w:cs="Times New Roman"/>
          <w:color w:val="000000"/>
          <w:sz w:val="20"/>
          <w:szCs w:val="20"/>
        </w:rPr>
        <w:t>. Retrieved from Canberra: h</w:t>
      </w:r>
      <w:r w:rsidRPr="002241DD">
        <w:rPr>
          <w:rFonts w:ascii="Times New Roman" w:hAnsi="Times New Roman" w:cs="Times New Roman"/>
          <w:color w:val="000000"/>
          <w:sz w:val="20"/>
          <w:szCs w:val="20"/>
        </w:rPr>
        <w:br/>
      </w:r>
      <w:r w:rsidRPr="002241DD">
        <w:rPr>
          <w:rFonts w:ascii="Times New Roman" w:hAnsi="Times New Roman" w:cs="Times New Roman"/>
          <w:sz w:val="20"/>
          <w:szCs w:val="20"/>
        </w:rPr>
        <w:fldChar w:fldCharType="begin"/>
      </w:r>
      <w:r w:rsidRPr="002241DD">
        <w:rPr>
          <w:rFonts w:ascii="Times New Roman" w:hAnsi="Times New Roman" w:cs="Times New Roman"/>
          <w:sz w:val="20"/>
          <w:szCs w:val="20"/>
        </w:rPr>
        <w:instrText xml:space="preserve"> HYPERLINK "about:blank" </w:instrText>
      </w:r>
      <w:r w:rsidRPr="002241DD">
        <w:rPr>
          <w:rFonts w:ascii="Times New Roman" w:hAnsi="Times New Roman" w:cs="Times New Roman"/>
          <w:sz w:val="20"/>
          <w:szCs w:val="20"/>
        </w:rPr>
        <w:fldChar w:fldCharType="separate"/>
      </w:r>
      <w:r w:rsidRPr="002241DD">
        <w:rPr>
          <w:rFonts w:ascii="Times New Roman" w:hAnsi="Times New Roman" w:cs="Times New Roman"/>
          <w:color w:val="0563C1"/>
          <w:sz w:val="20"/>
          <w:szCs w:val="20"/>
          <w:u w:val="single"/>
        </w:rPr>
        <w:t>ttps://www.aihw.gov.au/reports/health-welfare-expenditure/health-expenditure-australia-2017-18</w:t>
      </w:r>
    </w:p>
    <w:p w14:paraId="0000004E"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563C1"/>
          <w:sz w:val="20"/>
          <w:szCs w:val="20"/>
          <w:u w:val="single"/>
        </w:rPr>
      </w:pPr>
      <w:r w:rsidRPr="002241DD">
        <w:rPr>
          <w:rFonts w:ascii="Times New Roman" w:hAnsi="Times New Roman" w:cs="Times New Roman"/>
          <w:sz w:val="20"/>
          <w:szCs w:val="20"/>
        </w:rPr>
        <w:fldChar w:fldCharType="end"/>
      </w:r>
      <w:r w:rsidRPr="002241DD">
        <w:rPr>
          <w:rFonts w:ascii="Times New Roman" w:hAnsi="Times New Roman" w:cs="Times New Roman"/>
          <w:color w:val="000000"/>
          <w:sz w:val="20"/>
          <w:szCs w:val="20"/>
        </w:rPr>
        <w:t xml:space="preserve">Avalos, G. E. M. S. C., Owens, L. A. M. D., &amp; Dunn, F. M. D. P. H. D. (2013). Applying Current Screening Tools for Gestational Diabetes Mellitus to a European Population: Is It Time for Change? </w:t>
      </w:r>
      <w:r w:rsidRPr="002241DD">
        <w:rPr>
          <w:rFonts w:ascii="Times New Roman" w:hAnsi="Times New Roman" w:cs="Times New Roman"/>
          <w:i/>
          <w:color w:val="000000"/>
          <w:sz w:val="20"/>
          <w:szCs w:val="20"/>
        </w:rPr>
        <w:t>Diabetes Care, 36</w:t>
      </w:r>
      <w:r w:rsidRPr="002241DD">
        <w:rPr>
          <w:rFonts w:ascii="Times New Roman" w:hAnsi="Times New Roman" w:cs="Times New Roman"/>
          <w:color w:val="000000"/>
          <w:sz w:val="20"/>
          <w:szCs w:val="20"/>
        </w:rPr>
        <w:t xml:space="preserve">(10), 3040. </w:t>
      </w:r>
      <w:proofErr w:type="spellStart"/>
      <w:r w:rsidRPr="002241DD">
        <w:rPr>
          <w:rFonts w:ascii="Times New Roman" w:hAnsi="Times New Roman" w:cs="Times New Roman"/>
          <w:color w:val="000000"/>
          <w:sz w:val="20"/>
          <w:szCs w:val="20"/>
        </w:rPr>
        <w:t>doi:h</w:t>
      </w:r>
      <w:proofErr w:type="spellEnd"/>
      <w:r w:rsidRPr="002241DD">
        <w:rPr>
          <w:rFonts w:ascii="Times New Roman" w:hAnsi="Times New Roman" w:cs="Times New Roman"/>
          <w:color w:val="000000"/>
          <w:sz w:val="20"/>
          <w:szCs w:val="20"/>
        </w:rPr>
        <w:br/>
      </w:r>
      <w:r w:rsidRPr="002241DD">
        <w:rPr>
          <w:rFonts w:ascii="Times New Roman" w:hAnsi="Times New Roman" w:cs="Times New Roman"/>
          <w:sz w:val="20"/>
          <w:szCs w:val="20"/>
        </w:rPr>
        <w:fldChar w:fldCharType="begin"/>
      </w:r>
      <w:r w:rsidRPr="002241DD">
        <w:rPr>
          <w:rFonts w:ascii="Times New Roman" w:hAnsi="Times New Roman" w:cs="Times New Roman"/>
          <w:sz w:val="20"/>
          <w:szCs w:val="20"/>
        </w:rPr>
        <w:instrText xml:space="preserve"> HYPERLINK "about:blank" </w:instrText>
      </w:r>
      <w:r w:rsidRPr="002241DD">
        <w:rPr>
          <w:rFonts w:ascii="Times New Roman" w:hAnsi="Times New Roman" w:cs="Times New Roman"/>
          <w:sz w:val="20"/>
          <w:szCs w:val="20"/>
        </w:rPr>
        <w:fldChar w:fldCharType="separate"/>
      </w:r>
      <w:r w:rsidRPr="002241DD">
        <w:rPr>
          <w:rFonts w:ascii="Times New Roman" w:hAnsi="Times New Roman" w:cs="Times New Roman"/>
          <w:color w:val="0563C1"/>
          <w:sz w:val="20"/>
          <w:szCs w:val="20"/>
          <w:u w:val="single"/>
        </w:rPr>
        <w:t>ttp://dx.doi.org/10.2337/dc12-2669</w:t>
      </w:r>
    </w:p>
    <w:p w14:paraId="0000004F"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sz w:val="20"/>
          <w:szCs w:val="20"/>
        </w:rPr>
        <w:fldChar w:fldCharType="end"/>
      </w:r>
      <w:r w:rsidRPr="002241DD">
        <w:rPr>
          <w:rFonts w:ascii="Times New Roman" w:hAnsi="Times New Roman" w:cs="Times New Roman"/>
          <w:color w:val="000000"/>
          <w:sz w:val="20"/>
          <w:szCs w:val="20"/>
        </w:rPr>
        <w:t xml:space="preserve">Duran, A., </w:t>
      </w:r>
      <w:proofErr w:type="spellStart"/>
      <w:r w:rsidRPr="002241DD">
        <w:rPr>
          <w:rFonts w:ascii="Times New Roman" w:hAnsi="Times New Roman" w:cs="Times New Roman"/>
          <w:color w:val="000000"/>
          <w:sz w:val="20"/>
          <w:szCs w:val="20"/>
        </w:rPr>
        <w:t>Sáenz</w:t>
      </w:r>
      <w:proofErr w:type="spellEnd"/>
      <w:r w:rsidRPr="002241DD">
        <w:rPr>
          <w:rFonts w:ascii="Times New Roman" w:hAnsi="Times New Roman" w:cs="Times New Roman"/>
          <w:color w:val="000000"/>
          <w:sz w:val="20"/>
          <w:szCs w:val="20"/>
        </w:rPr>
        <w:t xml:space="preserve">, S., </w:t>
      </w:r>
      <w:proofErr w:type="spellStart"/>
      <w:r w:rsidRPr="002241DD">
        <w:rPr>
          <w:rFonts w:ascii="Times New Roman" w:hAnsi="Times New Roman" w:cs="Times New Roman"/>
          <w:color w:val="000000"/>
          <w:sz w:val="20"/>
          <w:szCs w:val="20"/>
        </w:rPr>
        <w:t>Torrejón</w:t>
      </w:r>
      <w:proofErr w:type="spellEnd"/>
      <w:r w:rsidRPr="002241DD">
        <w:rPr>
          <w:rFonts w:ascii="Times New Roman" w:hAnsi="Times New Roman" w:cs="Times New Roman"/>
          <w:color w:val="000000"/>
          <w:sz w:val="20"/>
          <w:szCs w:val="20"/>
        </w:rPr>
        <w:t xml:space="preserve">, M. J., </w:t>
      </w:r>
      <w:proofErr w:type="spellStart"/>
      <w:r w:rsidRPr="002241DD">
        <w:rPr>
          <w:rFonts w:ascii="Times New Roman" w:hAnsi="Times New Roman" w:cs="Times New Roman"/>
          <w:color w:val="000000"/>
          <w:sz w:val="20"/>
          <w:szCs w:val="20"/>
        </w:rPr>
        <w:t>Bordiú</w:t>
      </w:r>
      <w:proofErr w:type="spellEnd"/>
      <w:r w:rsidRPr="002241DD">
        <w:rPr>
          <w:rFonts w:ascii="Times New Roman" w:hAnsi="Times New Roman" w:cs="Times New Roman"/>
          <w:color w:val="000000"/>
          <w:sz w:val="20"/>
          <w:szCs w:val="20"/>
        </w:rPr>
        <w:t xml:space="preserve">, E., del Valle, L., &amp; Galindo, M. (2014). Introduction of IADPSG Criteria for the Screening and Diagnosis of Gestational Diabetes Mellitus Results in Improved Pregnancy Outcomes at a Lower Cost in a Large Cohort of Pregnant Women: The St. Carlos Gestational Diabetes Study. </w:t>
      </w:r>
      <w:r w:rsidRPr="002241DD">
        <w:rPr>
          <w:rFonts w:ascii="Times New Roman" w:hAnsi="Times New Roman" w:cs="Times New Roman"/>
          <w:i/>
          <w:color w:val="000000"/>
          <w:sz w:val="20"/>
          <w:szCs w:val="20"/>
        </w:rPr>
        <w:t>Diabetes Care, 37</w:t>
      </w:r>
      <w:r w:rsidRPr="002241DD">
        <w:rPr>
          <w:rFonts w:ascii="Times New Roman" w:hAnsi="Times New Roman" w:cs="Times New Roman"/>
          <w:color w:val="000000"/>
          <w:sz w:val="20"/>
          <w:szCs w:val="20"/>
        </w:rPr>
        <w:t>, 2442-2450. doi:10.2337/dc14-0179</w:t>
      </w:r>
    </w:p>
    <w:p w14:paraId="00000050"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HAPO Study Cooperative Research Group. (2008). </w:t>
      </w:r>
      <w:proofErr w:type="spellStart"/>
      <w:r w:rsidRPr="002241DD">
        <w:rPr>
          <w:rFonts w:ascii="Times New Roman" w:hAnsi="Times New Roman" w:cs="Times New Roman"/>
          <w:color w:val="000000"/>
          <w:sz w:val="20"/>
          <w:szCs w:val="20"/>
        </w:rPr>
        <w:t>Hyperglycemia</w:t>
      </w:r>
      <w:proofErr w:type="spellEnd"/>
      <w:r w:rsidRPr="002241DD">
        <w:rPr>
          <w:rFonts w:ascii="Times New Roman" w:hAnsi="Times New Roman" w:cs="Times New Roman"/>
          <w:color w:val="000000"/>
          <w:sz w:val="20"/>
          <w:szCs w:val="20"/>
        </w:rPr>
        <w:t xml:space="preserve"> and Adverse Pregnancy Outcomes. </w:t>
      </w:r>
      <w:r w:rsidRPr="002241DD">
        <w:rPr>
          <w:rFonts w:ascii="Times New Roman" w:hAnsi="Times New Roman" w:cs="Times New Roman"/>
          <w:i/>
          <w:color w:val="000000"/>
          <w:sz w:val="20"/>
          <w:szCs w:val="20"/>
        </w:rPr>
        <w:t>The New England Journal of Medicine, 358</w:t>
      </w:r>
      <w:r w:rsidRPr="002241DD">
        <w:rPr>
          <w:rFonts w:ascii="Times New Roman" w:hAnsi="Times New Roman" w:cs="Times New Roman"/>
          <w:color w:val="000000"/>
          <w:sz w:val="20"/>
          <w:szCs w:val="20"/>
        </w:rPr>
        <w:t xml:space="preserve">(19), 1991-2002. </w:t>
      </w:r>
    </w:p>
    <w:p w14:paraId="5588DD08" w14:textId="77777777" w:rsidR="002241DD" w:rsidRPr="002241DD" w:rsidRDefault="009F1688" w:rsidP="002241DD">
      <w:pPr>
        <w:pStyle w:val="EndNoteBibliography"/>
        <w:spacing w:after="0"/>
        <w:ind w:left="720" w:hanging="720"/>
      </w:pPr>
      <w:r w:rsidRPr="002241DD">
        <w:rPr>
          <w:rFonts w:ascii="Times New Roman" w:eastAsia="Times New Roman" w:hAnsi="Times New Roman" w:cs="Times New Roman"/>
          <w:sz w:val="20"/>
          <w:szCs w:val="20"/>
        </w:rPr>
        <w:fldChar w:fldCharType="begin"/>
      </w:r>
      <w:r w:rsidRPr="002241DD">
        <w:rPr>
          <w:rFonts w:ascii="Times New Roman" w:eastAsia="Times New Roman" w:hAnsi="Times New Roman" w:cs="Times New Roman"/>
          <w:sz w:val="20"/>
          <w:szCs w:val="20"/>
        </w:rPr>
        <w:instrText xml:space="preserve"> ADDIN EN.REFLIST </w:instrText>
      </w:r>
      <w:r w:rsidRPr="002241DD">
        <w:rPr>
          <w:rFonts w:ascii="Times New Roman" w:eastAsia="Times New Roman" w:hAnsi="Times New Roman" w:cs="Times New Roman"/>
          <w:sz w:val="20"/>
          <w:szCs w:val="20"/>
        </w:rPr>
        <w:fldChar w:fldCharType="separate"/>
      </w:r>
      <w:r w:rsidR="002241DD" w:rsidRPr="002241DD">
        <w:t xml:space="preserve">HAPO Study Cooperative Research Group. (2008). Hyperglycemia and Adverse Pregnancy Outcomes. </w:t>
      </w:r>
      <w:r w:rsidR="002241DD" w:rsidRPr="002241DD">
        <w:rPr>
          <w:i/>
        </w:rPr>
        <w:t>The New England Journal of Medicine, 358</w:t>
      </w:r>
      <w:r w:rsidR="002241DD" w:rsidRPr="002241DD">
        <w:t xml:space="preserve">(19), 1991-2002. </w:t>
      </w:r>
    </w:p>
    <w:p w14:paraId="7446025C" w14:textId="79B1FFCC" w:rsidR="002241DD" w:rsidRPr="002241DD" w:rsidRDefault="002241DD" w:rsidP="002241DD">
      <w:pPr>
        <w:pStyle w:val="EndNoteBibliography"/>
        <w:spacing w:after="0"/>
        <w:ind w:left="720" w:hanging="720"/>
      </w:pPr>
      <w:r w:rsidRPr="002241DD">
        <w:t xml:space="preserve">International Monetary Fund. (2019). IMF DataMapper: Implied PPP conversion rate. Retrieved from </w:t>
      </w:r>
      <w:hyperlink r:id="rId12" w:history="1">
        <w:r w:rsidRPr="002241DD">
          <w:rPr>
            <w:rStyle w:val="Hyperlink"/>
          </w:rPr>
          <w:t>https://www.imf.org/external/datamapper/PPPEX@WEO/OEMDC/ADVEC/WEOWORLD/DA/IND/AUS</w:t>
        </w:r>
      </w:hyperlink>
    </w:p>
    <w:p w14:paraId="7CA98547" w14:textId="4A40C832" w:rsidR="002241DD" w:rsidRPr="002241DD" w:rsidRDefault="002241DD" w:rsidP="002241DD">
      <w:pPr>
        <w:pStyle w:val="EndNoteBibliography"/>
        <w:ind w:left="720" w:hanging="720"/>
      </w:pPr>
      <w:r w:rsidRPr="002241DD">
        <w:t xml:space="preserve">Pharmaceutical Benefits Advisory Committee. (2016). </w:t>
      </w:r>
      <w:r w:rsidRPr="002241DD">
        <w:rPr>
          <w:i/>
        </w:rPr>
        <w:t>Guidelines for preparing submissions to the Pharmaceutical Benefits Advisory Committee (version 5.0) Canberra: Australian Government Department of Health and Ageing</w:t>
      </w:r>
      <w:r w:rsidRPr="002241DD">
        <w:t xml:space="preserve">.  Retrieved from </w:t>
      </w:r>
      <w:hyperlink r:id="rId13" w:history="1">
        <w:r w:rsidRPr="002241DD">
          <w:rPr>
            <w:rStyle w:val="Hyperlink"/>
          </w:rPr>
          <w:t>https://pbac.pbs.gov.au/</w:t>
        </w:r>
      </w:hyperlink>
    </w:p>
    <w:p w14:paraId="00000051" w14:textId="644D1849" w:rsidR="009A2A6C" w:rsidRPr="002241DD" w:rsidRDefault="009F1688" w:rsidP="009F1688">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eastAsia="Times New Roman" w:hAnsi="Times New Roman" w:cs="Times New Roman"/>
          <w:sz w:val="20"/>
          <w:szCs w:val="20"/>
        </w:rPr>
        <w:fldChar w:fldCharType="end"/>
      </w:r>
      <w:r w:rsidR="00671CF7" w:rsidRPr="002241DD">
        <w:rPr>
          <w:rFonts w:ascii="Times New Roman" w:hAnsi="Times New Roman" w:cs="Times New Roman"/>
          <w:color w:val="000000"/>
          <w:sz w:val="20"/>
          <w:szCs w:val="20"/>
        </w:rPr>
        <w:t xml:space="preserve">Hoffman, L., Nolan, C., Wilson, J. D., Oats, J. J. N., &amp; Simmons, D. (1998). Gestational diabetes mellitus ‐ management guidelines: The Australasian Diabetes in Pregnancy Society. </w:t>
      </w:r>
      <w:r w:rsidR="00671CF7" w:rsidRPr="002241DD">
        <w:rPr>
          <w:rFonts w:ascii="Times New Roman" w:hAnsi="Times New Roman" w:cs="Times New Roman"/>
          <w:i/>
          <w:color w:val="000000"/>
          <w:sz w:val="20"/>
          <w:szCs w:val="20"/>
        </w:rPr>
        <w:t>Medical Journal of Australia, 169</w:t>
      </w:r>
      <w:r w:rsidR="00671CF7" w:rsidRPr="002241DD">
        <w:rPr>
          <w:rFonts w:ascii="Times New Roman" w:hAnsi="Times New Roman" w:cs="Times New Roman"/>
          <w:color w:val="000000"/>
          <w:sz w:val="20"/>
          <w:szCs w:val="20"/>
        </w:rPr>
        <w:t>(2), 93-97. doi:10.5694/j.1326-</w:t>
      </w:r>
      <w:proofErr w:type="gramStart"/>
      <w:r w:rsidR="00671CF7" w:rsidRPr="002241DD">
        <w:rPr>
          <w:rFonts w:ascii="Times New Roman" w:hAnsi="Times New Roman" w:cs="Times New Roman"/>
          <w:color w:val="000000"/>
          <w:sz w:val="20"/>
          <w:szCs w:val="20"/>
        </w:rPr>
        <w:t>5377.1998.tb</w:t>
      </w:r>
      <w:proofErr w:type="gramEnd"/>
      <w:r w:rsidR="00671CF7" w:rsidRPr="002241DD">
        <w:rPr>
          <w:rFonts w:ascii="Times New Roman" w:hAnsi="Times New Roman" w:cs="Times New Roman"/>
          <w:color w:val="000000"/>
          <w:sz w:val="20"/>
          <w:szCs w:val="20"/>
        </w:rPr>
        <w:t>140192.x</w:t>
      </w:r>
    </w:p>
    <w:p w14:paraId="00000052"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IADPSG Consensus Panel. (2010). International Association of Diabetes and Pregnancy Study Groups Recommendations of the Diagnosis and Classification of </w:t>
      </w:r>
      <w:proofErr w:type="spellStart"/>
      <w:r w:rsidRPr="002241DD">
        <w:rPr>
          <w:rFonts w:ascii="Times New Roman" w:hAnsi="Times New Roman" w:cs="Times New Roman"/>
          <w:color w:val="000000"/>
          <w:sz w:val="20"/>
          <w:szCs w:val="20"/>
        </w:rPr>
        <w:t>Hyperglycemia</w:t>
      </w:r>
      <w:proofErr w:type="spellEnd"/>
      <w:r w:rsidRPr="002241DD">
        <w:rPr>
          <w:rFonts w:ascii="Times New Roman" w:hAnsi="Times New Roman" w:cs="Times New Roman"/>
          <w:color w:val="000000"/>
          <w:sz w:val="20"/>
          <w:szCs w:val="20"/>
        </w:rPr>
        <w:t xml:space="preserve"> in Pregnancy </w:t>
      </w:r>
      <w:r w:rsidRPr="002241DD">
        <w:rPr>
          <w:rFonts w:ascii="Times New Roman" w:hAnsi="Times New Roman" w:cs="Times New Roman"/>
          <w:i/>
          <w:color w:val="000000"/>
          <w:sz w:val="20"/>
          <w:szCs w:val="20"/>
        </w:rPr>
        <w:t>Diabetes Care, 33</w:t>
      </w:r>
      <w:r w:rsidRPr="002241DD">
        <w:rPr>
          <w:rFonts w:ascii="Times New Roman" w:hAnsi="Times New Roman" w:cs="Times New Roman"/>
          <w:color w:val="000000"/>
          <w:sz w:val="20"/>
          <w:szCs w:val="20"/>
        </w:rPr>
        <w:t xml:space="preserve">(3), 676-682. </w:t>
      </w:r>
    </w:p>
    <w:p w14:paraId="3FCCA2B9" w14:textId="77777777" w:rsidR="009F1688" w:rsidRPr="002241DD" w:rsidRDefault="009F1688" w:rsidP="009F1688">
      <w:pPr>
        <w:pStyle w:val="EndNoteBibliography"/>
        <w:spacing w:after="0"/>
        <w:ind w:left="720" w:hanging="720"/>
        <w:rPr>
          <w:rFonts w:ascii="Times New Roman" w:hAnsi="Times New Roman" w:cs="Times New Roman"/>
          <w:sz w:val="20"/>
          <w:szCs w:val="20"/>
        </w:rPr>
      </w:pPr>
      <w:r w:rsidRPr="002241DD">
        <w:rPr>
          <w:rFonts w:ascii="Times New Roman" w:hAnsi="Times New Roman" w:cs="Times New Roman"/>
          <w:sz w:val="20"/>
          <w:szCs w:val="20"/>
        </w:rPr>
        <w:t xml:space="preserve">International Monetary Fund. IMF DataMapper: Implied PPP conversion rate. Retrieved from </w:t>
      </w:r>
      <w:hyperlink r:id="rId14" w:history="1">
        <w:r w:rsidRPr="002241DD">
          <w:rPr>
            <w:rStyle w:val="Hyperlink"/>
            <w:rFonts w:ascii="Times New Roman" w:hAnsi="Times New Roman" w:cs="Times New Roman"/>
            <w:sz w:val="20"/>
            <w:szCs w:val="20"/>
          </w:rPr>
          <w:t>https://www.imf.org/external/datamapper/PPPEX@WEO/OEMDC/ADVEC/WEOWORLD/DA/IND/AUS</w:t>
        </w:r>
      </w:hyperlink>
    </w:p>
    <w:p w14:paraId="00000053"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proofErr w:type="spellStart"/>
      <w:r w:rsidRPr="002241DD">
        <w:rPr>
          <w:rFonts w:ascii="Times New Roman" w:hAnsi="Times New Roman" w:cs="Times New Roman"/>
          <w:color w:val="000000"/>
          <w:sz w:val="20"/>
          <w:szCs w:val="20"/>
        </w:rPr>
        <w:t>Knowler</w:t>
      </w:r>
      <w:proofErr w:type="spellEnd"/>
      <w:r w:rsidRPr="002241DD">
        <w:rPr>
          <w:rFonts w:ascii="Times New Roman" w:hAnsi="Times New Roman" w:cs="Times New Roman"/>
          <w:color w:val="000000"/>
          <w:sz w:val="20"/>
          <w:szCs w:val="20"/>
        </w:rPr>
        <w:t xml:space="preserve">, W. C., Barrett-Connor, E., Fowler, S. E., Hamman, R. F., </w:t>
      </w:r>
      <w:proofErr w:type="spellStart"/>
      <w:r w:rsidRPr="002241DD">
        <w:rPr>
          <w:rFonts w:ascii="Times New Roman" w:hAnsi="Times New Roman" w:cs="Times New Roman"/>
          <w:color w:val="000000"/>
          <w:sz w:val="20"/>
          <w:szCs w:val="20"/>
        </w:rPr>
        <w:t>Lachin</w:t>
      </w:r>
      <w:proofErr w:type="spellEnd"/>
      <w:r w:rsidRPr="002241DD">
        <w:rPr>
          <w:rFonts w:ascii="Times New Roman" w:hAnsi="Times New Roman" w:cs="Times New Roman"/>
          <w:color w:val="000000"/>
          <w:sz w:val="20"/>
          <w:szCs w:val="20"/>
        </w:rPr>
        <w:t xml:space="preserve">, J. M., Walker, E. A., &amp; Nathan, D. M. (2002). Reduction in the Incidence of Type 2 Diabetes with Lifestyle Intervention or Metformin. </w:t>
      </w:r>
      <w:r w:rsidRPr="002241DD">
        <w:rPr>
          <w:rFonts w:ascii="Times New Roman" w:hAnsi="Times New Roman" w:cs="Times New Roman"/>
          <w:i/>
          <w:color w:val="000000"/>
          <w:sz w:val="20"/>
          <w:szCs w:val="20"/>
        </w:rPr>
        <w:t>The New England Journal of Medicine, 346</w:t>
      </w:r>
      <w:r w:rsidRPr="002241DD">
        <w:rPr>
          <w:rFonts w:ascii="Times New Roman" w:hAnsi="Times New Roman" w:cs="Times New Roman"/>
          <w:color w:val="000000"/>
          <w:sz w:val="20"/>
          <w:szCs w:val="20"/>
        </w:rPr>
        <w:t>(6), 393-403. doi:10.1056/NEJMoa012512</w:t>
      </w:r>
    </w:p>
    <w:p w14:paraId="00000054"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proofErr w:type="spellStart"/>
      <w:r w:rsidRPr="002241DD">
        <w:rPr>
          <w:rFonts w:ascii="Times New Roman" w:hAnsi="Times New Roman" w:cs="Times New Roman"/>
          <w:color w:val="000000"/>
          <w:sz w:val="20"/>
          <w:szCs w:val="20"/>
        </w:rPr>
        <w:t>Laafira</w:t>
      </w:r>
      <w:proofErr w:type="spellEnd"/>
      <w:r w:rsidRPr="002241DD">
        <w:rPr>
          <w:rFonts w:ascii="Times New Roman" w:hAnsi="Times New Roman" w:cs="Times New Roman"/>
          <w:color w:val="000000"/>
          <w:sz w:val="20"/>
          <w:szCs w:val="20"/>
        </w:rPr>
        <w:t xml:space="preserve">, A., White, S. W., Griffin, C. J., &amp; Graham, D. (2016). Impact of the new IADPSG gestational diabetes diagnostic criteria on pregnancy outcomes in Western Australia. </w:t>
      </w:r>
      <w:r w:rsidRPr="002241DD">
        <w:rPr>
          <w:rFonts w:ascii="Times New Roman" w:hAnsi="Times New Roman" w:cs="Times New Roman"/>
          <w:i/>
          <w:color w:val="000000"/>
          <w:sz w:val="20"/>
          <w:szCs w:val="20"/>
        </w:rPr>
        <w:t>The Australian &amp; New Zealand journal of obstetrics &amp; gynaecology, 56</w:t>
      </w:r>
      <w:r w:rsidRPr="002241DD">
        <w:rPr>
          <w:rFonts w:ascii="Times New Roman" w:hAnsi="Times New Roman" w:cs="Times New Roman"/>
          <w:color w:val="000000"/>
          <w:sz w:val="20"/>
          <w:szCs w:val="20"/>
        </w:rPr>
        <w:t>(1), 36. doi:10.1111/ajo.12394</w:t>
      </w:r>
    </w:p>
    <w:p w14:paraId="00000055"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Lee, A. J., Hiscock, R. J., Wein, P., Walker, S. P., &amp; </w:t>
      </w:r>
      <w:proofErr w:type="spellStart"/>
      <w:r w:rsidRPr="002241DD">
        <w:rPr>
          <w:rFonts w:ascii="Times New Roman" w:hAnsi="Times New Roman" w:cs="Times New Roman"/>
          <w:color w:val="000000"/>
          <w:sz w:val="20"/>
          <w:szCs w:val="20"/>
        </w:rPr>
        <w:t>Permezel</w:t>
      </w:r>
      <w:proofErr w:type="spellEnd"/>
      <w:r w:rsidRPr="002241DD">
        <w:rPr>
          <w:rFonts w:ascii="Times New Roman" w:hAnsi="Times New Roman" w:cs="Times New Roman"/>
          <w:color w:val="000000"/>
          <w:sz w:val="20"/>
          <w:szCs w:val="20"/>
        </w:rPr>
        <w:t xml:space="preserve">, M. (2007). Gestational Diabetes Mellitus: Clinical Predictors and Long-Term Risk of Developing Type 2 Diabetes </w:t>
      </w:r>
      <w:proofErr w:type="spellStart"/>
      <w:r w:rsidRPr="002241DD">
        <w:rPr>
          <w:rFonts w:ascii="Times New Roman" w:hAnsi="Times New Roman" w:cs="Times New Roman"/>
          <w:i/>
          <w:color w:val="000000"/>
          <w:sz w:val="20"/>
          <w:szCs w:val="20"/>
        </w:rPr>
        <w:t>Diabetes</w:t>
      </w:r>
      <w:proofErr w:type="spellEnd"/>
      <w:r w:rsidRPr="002241DD">
        <w:rPr>
          <w:rFonts w:ascii="Times New Roman" w:hAnsi="Times New Roman" w:cs="Times New Roman"/>
          <w:i/>
          <w:color w:val="000000"/>
          <w:sz w:val="20"/>
          <w:szCs w:val="20"/>
        </w:rPr>
        <w:t xml:space="preserve"> Care, 30</w:t>
      </w:r>
      <w:r w:rsidRPr="002241DD">
        <w:rPr>
          <w:rFonts w:ascii="Times New Roman" w:hAnsi="Times New Roman" w:cs="Times New Roman"/>
          <w:color w:val="000000"/>
          <w:sz w:val="20"/>
          <w:szCs w:val="20"/>
        </w:rPr>
        <w:t xml:space="preserve">(4), 878. </w:t>
      </w:r>
    </w:p>
    <w:p w14:paraId="00000056"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Long, H., &amp; Cundy, T. (2013). Establishing Consensus in the Diagnosis of Gestational Diabetes Following HAPO: Where Do We Stand? </w:t>
      </w:r>
      <w:r w:rsidRPr="002241DD">
        <w:rPr>
          <w:rFonts w:ascii="Times New Roman" w:hAnsi="Times New Roman" w:cs="Times New Roman"/>
          <w:i/>
          <w:color w:val="000000"/>
          <w:sz w:val="20"/>
          <w:szCs w:val="20"/>
        </w:rPr>
        <w:t>Current Diabetes Reports, 13</w:t>
      </w:r>
      <w:r w:rsidRPr="002241DD">
        <w:rPr>
          <w:rFonts w:ascii="Times New Roman" w:hAnsi="Times New Roman" w:cs="Times New Roman"/>
          <w:color w:val="000000"/>
          <w:sz w:val="20"/>
          <w:szCs w:val="20"/>
        </w:rPr>
        <w:t>(1), 43-50. doi:10.1007/s11892-012-0330-3</w:t>
      </w:r>
    </w:p>
    <w:p w14:paraId="00000057"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Marseille, E., Larson, B., </w:t>
      </w:r>
      <w:proofErr w:type="spellStart"/>
      <w:r w:rsidRPr="002241DD">
        <w:rPr>
          <w:rFonts w:ascii="Times New Roman" w:hAnsi="Times New Roman" w:cs="Times New Roman"/>
          <w:color w:val="000000"/>
          <w:sz w:val="20"/>
          <w:szCs w:val="20"/>
        </w:rPr>
        <w:t>Kazi</w:t>
      </w:r>
      <w:proofErr w:type="spellEnd"/>
      <w:r w:rsidRPr="002241DD">
        <w:rPr>
          <w:rFonts w:ascii="Times New Roman" w:hAnsi="Times New Roman" w:cs="Times New Roman"/>
          <w:color w:val="000000"/>
          <w:sz w:val="20"/>
          <w:szCs w:val="20"/>
        </w:rPr>
        <w:t xml:space="preserve">, D. S., Kahn, J. G., &amp; Rosen, S. (2015). Thresholds for the cost–effectiveness of interventions: alternative approaches. </w:t>
      </w:r>
      <w:r w:rsidRPr="002241DD">
        <w:rPr>
          <w:rFonts w:ascii="Times New Roman" w:hAnsi="Times New Roman" w:cs="Times New Roman"/>
          <w:i/>
          <w:color w:val="000000"/>
          <w:sz w:val="20"/>
          <w:szCs w:val="20"/>
        </w:rPr>
        <w:t>Bulletin of the World Health Organization, 93</w:t>
      </w:r>
      <w:r w:rsidRPr="002241DD">
        <w:rPr>
          <w:rFonts w:ascii="Times New Roman" w:hAnsi="Times New Roman" w:cs="Times New Roman"/>
          <w:color w:val="000000"/>
          <w:sz w:val="20"/>
          <w:szCs w:val="20"/>
        </w:rPr>
        <w:t>(2), 118-124. doi:10.2471/BLT.14.138206</w:t>
      </w:r>
    </w:p>
    <w:p w14:paraId="00000058"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Marseille, E., Lohse, N., </w:t>
      </w:r>
      <w:proofErr w:type="spellStart"/>
      <w:r w:rsidRPr="002241DD">
        <w:rPr>
          <w:rFonts w:ascii="Times New Roman" w:hAnsi="Times New Roman" w:cs="Times New Roman"/>
          <w:color w:val="000000"/>
          <w:sz w:val="20"/>
          <w:szCs w:val="20"/>
        </w:rPr>
        <w:t>Jiwani</w:t>
      </w:r>
      <w:proofErr w:type="spellEnd"/>
      <w:r w:rsidRPr="002241DD">
        <w:rPr>
          <w:rFonts w:ascii="Times New Roman" w:hAnsi="Times New Roman" w:cs="Times New Roman"/>
          <w:color w:val="000000"/>
          <w:sz w:val="20"/>
          <w:szCs w:val="20"/>
        </w:rPr>
        <w:t xml:space="preserve">, A., </w:t>
      </w:r>
      <w:proofErr w:type="spellStart"/>
      <w:r w:rsidRPr="002241DD">
        <w:rPr>
          <w:rFonts w:ascii="Times New Roman" w:hAnsi="Times New Roman" w:cs="Times New Roman"/>
          <w:color w:val="000000"/>
          <w:sz w:val="20"/>
          <w:szCs w:val="20"/>
        </w:rPr>
        <w:t>Hod</w:t>
      </w:r>
      <w:proofErr w:type="spellEnd"/>
      <w:r w:rsidRPr="002241DD">
        <w:rPr>
          <w:rFonts w:ascii="Times New Roman" w:hAnsi="Times New Roman" w:cs="Times New Roman"/>
          <w:color w:val="000000"/>
          <w:sz w:val="20"/>
          <w:szCs w:val="20"/>
        </w:rPr>
        <w:t xml:space="preserve">, M., </w:t>
      </w:r>
      <w:proofErr w:type="spellStart"/>
      <w:r w:rsidRPr="002241DD">
        <w:rPr>
          <w:rFonts w:ascii="Times New Roman" w:hAnsi="Times New Roman" w:cs="Times New Roman"/>
          <w:color w:val="000000"/>
          <w:sz w:val="20"/>
          <w:szCs w:val="20"/>
        </w:rPr>
        <w:t>Seshiah</w:t>
      </w:r>
      <w:proofErr w:type="spellEnd"/>
      <w:r w:rsidRPr="002241DD">
        <w:rPr>
          <w:rFonts w:ascii="Times New Roman" w:hAnsi="Times New Roman" w:cs="Times New Roman"/>
          <w:color w:val="000000"/>
          <w:sz w:val="20"/>
          <w:szCs w:val="20"/>
        </w:rPr>
        <w:t xml:space="preserve">, V., </w:t>
      </w:r>
      <w:proofErr w:type="spellStart"/>
      <w:r w:rsidRPr="002241DD">
        <w:rPr>
          <w:rFonts w:ascii="Times New Roman" w:hAnsi="Times New Roman" w:cs="Times New Roman"/>
          <w:color w:val="000000"/>
          <w:sz w:val="20"/>
          <w:szCs w:val="20"/>
        </w:rPr>
        <w:t>Yajnik</w:t>
      </w:r>
      <w:proofErr w:type="spellEnd"/>
      <w:r w:rsidRPr="002241DD">
        <w:rPr>
          <w:rFonts w:ascii="Times New Roman" w:hAnsi="Times New Roman" w:cs="Times New Roman"/>
          <w:color w:val="000000"/>
          <w:sz w:val="20"/>
          <w:szCs w:val="20"/>
        </w:rPr>
        <w:t xml:space="preserve">, C. S., . . . Kahn, J. G. (2013). The cost-effectiveness of gestational diabetes screening including prevention of type 2 diabetes: application of a new model in India and Israel. </w:t>
      </w:r>
      <w:r w:rsidRPr="002241DD">
        <w:rPr>
          <w:rFonts w:ascii="Times New Roman" w:hAnsi="Times New Roman" w:cs="Times New Roman"/>
          <w:i/>
          <w:color w:val="000000"/>
          <w:sz w:val="20"/>
          <w:szCs w:val="20"/>
        </w:rPr>
        <w:t>The Journal of Maternal-</w:t>
      </w:r>
      <w:proofErr w:type="spellStart"/>
      <w:r w:rsidRPr="002241DD">
        <w:rPr>
          <w:rFonts w:ascii="Times New Roman" w:hAnsi="Times New Roman" w:cs="Times New Roman"/>
          <w:i/>
          <w:color w:val="000000"/>
          <w:sz w:val="20"/>
          <w:szCs w:val="20"/>
        </w:rPr>
        <w:t>Fetal</w:t>
      </w:r>
      <w:proofErr w:type="spellEnd"/>
      <w:r w:rsidRPr="002241DD">
        <w:rPr>
          <w:rFonts w:ascii="Times New Roman" w:hAnsi="Times New Roman" w:cs="Times New Roman"/>
          <w:i/>
          <w:color w:val="000000"/>
          <w:sz w:val="20"/>
          <w:szCs w:val="20"/>
        </w:rPr>
        <w:t xml:space="preserve"> &amp; Neonatal Medicine, 26</w:t>
      </w:r>
      <w:r w:rsidRPr="002241DD">
        <w:rPr>
          <w:rFonts w:ascii="Times New Roman" w:hAnsi="Times New Roman" w:cs="Times New Roman"/>
          <w:color w:val="000000"/>
          <w:sz w:val="20"/>
          <w:szCs w:val="20"/>
        </w:rPr>
        <w:t>(8), 802-810. doi:10.3109/14767058.2013.765845</w:t>
      </w:r>
    </w:p>
    <w:p w14:paraId="00000059"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Moses, R. G., Morris, G. J., </w:t>
      </w:r>
      <w:proofErr w:type="spellStart"/>
      <w:r w:rsidRPr="002241DD">
        <w:rPr>
          <w:rFonts w:ascii="Times New Roman" w:hAnsi="Times New Roman" w:cs="Times New Roman"/>
          <w:color w:val="000000"/>
          <w:sz w:val="20"/>
          <w:szCs w:val="20"/>
        </w:rPr>
        <w:t>Petocz</w:t>
      </w:r>
      <w:proofErr w:type="spellEnd"/>
      <w:r w:rsidRPr="002241DD">
        <w:rPr>
          <w:rFonts w:ascii="Times New Roman" w:hAnsi="Times New Roman" w:cs="Times New Roman"/>
          <w:color w:val="000000"/>
          <w:sz w:val="20"/>
          <w:szCs w:val="20"/>
        </w:rPr>
        <w:t xml:space="preserve">, P., San Gil, F., &amp; Gard, D. (2011). The impact of potential new diagnostic criteria on the prevalence of gestational diabetes mellitus in Australia </w:t>
      </w:r>
      <w:r w:rsidRPr="002241DD">
        <w:rPr>
          <w:rFonts w:ascii="Times New Roman" w:hAnsi="Times New Roman" w:cs="Times New Roman"/>
          <w:i/>
          <w:color w:val="000000"/>
          <w:sz w:val="20"/>
          <w:szCs w:val="20"/>
        </w:rPr>
        <w:t>MJA, 194</w:t>
      </w:r>
      <w:r w:rsidRPr="002241DD">
        <w:rPr>
          <w:rFonts w:ascii="Times New Roman" w:hAnsi="Times New Roman" w:cs="Times New Roman"/>
          <w:color w:val="000000"/>
          <w:sz w:val="20"/>
          <w:szCs w:val="20"/>
        </w:rPr>
        <w:t xml:space="preserve">(7), 338-340. </w:t>
      </w:r>
    </w:p>
    <w:p w14:paraId="0000005A"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lastRenderedPageBreak/>
        <w:t xml:space="preserve">Nielsen, K. K., </w:t>
      </w:r>
      <w:proofErr w:type="spellStart"/>
      <w:r w:rsidRPr="002241DD">
        <w:rPr>
          <w:rFonts w:ascii="Times New Roman" w:hAnsi="Times New Roman" w:cs="Times New Roman"/>
          <w:color w:val="000000"/>
          <w:sz w:val="20"/>
          <w:szCs w:val="20"/>
        </w:rPr>
        <w:t>Kapur</w:t>
      </w:r>
      <w:proofErr w:type="spellEnd"/>
      <w:r w:rsidRPr="002241DD">
        <w:rPr>
          <w:rFonts w:ascii="Times New Roman" w:hAnsi="Times New Roman" w:cs="Times New Roman"/>
          <w:color w:val="000000"/>
          <w:sz w:val="20"/>
          <w:szCs w:val="20"/>
        </w:rPr>
        <w:t xml:space="preserve">, A., </w:t>
      </w:r>
      <w:proofErr w:type="spellStart"/>
      <w:r w:rsidRPr="002241DD">
        <w:rPr>
          <w:rFonts w:ascii="Times New Roman" w:hAnsi="Times New Roman" w:cs="Times New Roman"/>
          <w:color w:val="000000"/>
          <w:sz w:val="20"/>
          <w:szCs w:val="20"/>
        </w:rPr>
        <w:t>Damm</w:t>
      </w:r>
      <w:proofErr w:type="spellEnd"/>
      <w:r w:rsidRPr="002241DD">
        <w:rPr>
          <w:rFonts w:ascii="Times New Roman" w:hAnsi="Times New Roman" w:cs="Times New Roman"/>
          <w:color w:val="000000"/>
          <w:sz w:val="20"/>
          <w:szCs w:val="20"/>
        </w:rPr>
        <w:t xml:space="preserve">, P., de </w:t>
      </w:r>
      <w:proofErr w:type="spellStart"/>
      <w:r w:rsidRPr="002241DD">
        <w:rPr>
          <w:rFonts w:ascii="Times New Roman" w:hAnsi="Times New Roman" w:cs="Times New Roman"/>
          <w:color w:val="000000"/>
          <w:sz w:val="20"/>
          <w:szCs w:val="20"/>
        </w:rPr>
        <w:t>Courten</w:t>
      </w:r>
      <w:proofErr w:type="spellEnd"/>
      <w:r w:rsidRPr="002241DD">
        <w:rPr>
          <w:rFonts w:ascii="Times New Roman" w:hAnsi="Times New Roman" w:cs="Times New Roman"/>
          <w:color w:val="000000"/>
          <w:sz w:val="20"/>
          <w:szCs w:val="20"/>
        </w:rPr>
        <w:t xml:space="preserve">, M., &amp; </w:t>
      </w:r>
      <w:proofErr w:type="spellStart"/>
      <w:r w:rsidRPr="002241DD">
        <w:rPr>
          <w:rFonts w:ascii="Times New Roman" w:hAnsi="Times New Roman" w:cs="Times New Roman"/>
          <w:color w:val="000000"/>
          <w:sz w:val="20"/>
          <w:szCs w:val="20"/>
        </w:rPr>
        <w:t>Bygbjerg</w:t>
      </w:r>
      <w:proofErr w:type="spellEnd"/>
      <w:r w:rsidRPr="002241DD">
        <w:rPr>
          <w:rFonts w:ascii="Times New Roman" w:hAnsi="Times New Roman" w:cs="Times New Roman"/>
          <w:color w:val="000000"/>
          <w:sz w:val="20"/>
          <w:szCs w:val="20"/>
        </w:rPr>
        <w:t xml:space="preserve">, I. C. (2014). From screening to postpartum follow-up - the determinants and barriers for gestational diabetes mellitus (GDM) services, a systematic review. </w:t>
      </w:r>
      <w:r w:rsidRPr="002241DD">
        <w:rPr>
          <w:rFonts w:ascii="Times New Roman" w:hAnsi="Times New Roman" w:cs="Times New Roman"/>
          <w:i/>
          <w:color w:val="000000"/>
          <w:sz w:val="20"/>
          <w:szCs w:val="20"/>
        </w:rPr>
        <w:t>BMC Pregnancy Childbirth, 14</w:t>
      </w:r>
      <w:r w:rsidRPr="002241DD">
        <w:rPr>
          <w:rFonts w:ascii="Times New Roman" w:hAnsi="Times New Roman" w:cs="Times New Roman"/>
          <w:color w:val="000000"/>
          <w:sz w:val="20"/>
          <w:szCs w:val="20"/>
        </w:rPr>
        <w:t>, 41. doi:10.1186/1471-2393-14-41</w:t>
      </w:r>
    </w:p>
    <w:p w14:paraId="0000005B"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O’Reilly, S. L., Dunbar, J. A., Versace, V., Janus, E., Best, J. D., Carter, R., . . . </w:t>
      </w:r>
      <w:proofErr w:type="spellStart"/>
      <w:r w:rsidRPr="002241DD">
        <w:rPr>
          <w:rFonts w:ascii="Times New Roman" w:hAnsi="Times New Roman" w:cs="Times New Roman"/>
          <w:color w:val="000000"/>
          <w:sz w:val="20"/>
          <w:szCs w:val="20"/>
        </w:rPr>
        <w:t>Wildey</w:t>
      </w:r>
      <w:proofErr w:type="spellEnd"/>
      <w:r w:rsidRPr="002241DD">
        <w:rPr>
          <w:rFonts w:ascii="Times New Roman" w:hAnsi="Times New Roman" w:cs="Times New Roman"/>
          <w:color w:val="000000"/>
          <w:sz w:val="20"/>
          <w:szCs w:val="20"/>
        </w:rPr>
        <w:t xml:space="preserve">, C. (2016). Mothers after Gestational Diabetes in Australia (MAGDA): A Randomised Controlled Trial of a Postnatal Diabetes Prevention Program. </w:t>
      </w:r>
      <w:r w:rsidRPr="002241DD">
        <w:rPr>
          <w:rFonts w:ascii="Times New Roman" w:hAnsi="Times New Roman" w:cs="Times New Roman"/>
          <w:i/>
          <w:color w:val="000000"/>
          <w:sz w:val="20"/>
          <w:szCs w:val="20"/>
        </w:rPr>
        <w:t>PLOS Medicine, 13</w:t>
      </w:r>
      <w:r w:rsidRPr="002241DD">
        <w:rPr>
          <w:rFonts w:ascii="Times New Roman" w:hAnsi="Times New Roman" w:cs="Times New Roman"/>
          <w:color w:val="000000"/>
          <w:sz w:val="20"/>
          <w:szCs w:val="20"/>
        </w:rPr>
        <w:t xml:space="preserve">(7). </w:t>
      </w:r>
      <w:proofErr w:type="gramStart"/>
      <w:r w:rsidRPr="002241DD">
        <w:rPr>
          <w:rFonts w:ascii="Times New Roman" w:hAnsi="Times New Roman" w:cs="Times New Roman"/>
          <w:color w:val="000000"/>
          <w:sz w:val="20"/>
          <w:szCs w:val="20"/>
        </w:rPr>
        <w:t>doi:10.1371/journal.pmed</w:t>
      </w:r>
      <w:proofErr w:type="gramEnd"/>
      <w:r w:rsidRPr="002241DD">
        <w:rPr>
          <w:rFonts w:ascii="Times New Roman" w:hAnsi="Times New Roman" w:cs="Times New Roman"/>
          <w:color w:val="000000"/>
          <w:sz w:val="20"/>
          <w:szCs w:val="20"/>
        </w:rPr>
        <w:t>.1002092</w:t>
      </w:r>
    </w:p>
    <w:p w14:paraId="0000005C"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Pharmaceutical Benefits Advisory Committee. (2016). </w:t>
      </w:r>
      <w:r w:rsidRPr="002241DD">
        <w:rPr>
          <w:rFonts w:ascii="Times New Roman" w:hAnsi="Times New Roman" w:cs="Times New Roman"/>
          <w:i/>
          <w:color w:val="000000"/>
          <w:sz w:val="20"/>
          <w:szCs w:val="20"/>
        </w:rPr>
        <w:t>Guidelines for preparing submissions to the Pharmaceutical Benefits Advisory Committee (version 5.0) Canberra: Australian Government Department of Health and Ageing</w:t>
      </w:r>
      <w:r w:rsidRPr="002241DD">
        <w:rPr>
          <w:rFonts w:ascii="Times New Roman" w:hAnsi="Times New Roman" w:cs="Times New Roman"/>
          <w:color w:val="000000"/>
          <w:sz w:val="20"/>
          <w:szCs w:val="20"/>
        </w:rPr>
        <w:t xml:space="preserve">.  Retrieved from </w:t>
      </w:r>
      <w:hyperlink r:id="rId15">
        <w:r w:rsidRPr="002241DD">
          <w:rPr>
            <w:rFonts w:ascii="Times New Roman" w:hAnsi="Times New Roman" w:cs="Times New Roman"/>
            <w:color w:val="0563C1"/>
            <w:sz w:val="20"/>
            <w:szCs w:val="20"/>
            <w:u w:val="single"/>
          </w:rPr>
          <w:t>https://pbac.pbs.gov.au/</w:t>
        </w:r>
      </w:hyperlink>
      <w:r w:rsidRPr="002241DD">
        <w:rPr>
          <w:rFonts w:ascii="Times New Roman" w:hAnsi="Times New Roman" w:cs="Times New Roman"/>
          <w:color w:val="000000"/>
          <w:sz w:val="20"/>
          <w:szCs w:val="20"/>
        </w:rPr>
        <w:t>.</w:t>
      </w:r>
    </w:p>
    <w:p w14:paraId="0000005D"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Ramachandran, A., </w:t>
      </w:r>
      <w:proofErr w:type="spellStart"/>
      <w:r w:rsidRPr="002241DD">
        <w:rPr>
          <w:rFonts w:ascii="Times New Roman" w:hAnsi="Times New Roman" w:cs="Times New Roman"/>
          <w:color w:val="000000"/>
          <w:sz w:val="20"/>
          <w:szCs w:val="20"/>
        </w:rPr>
        <w:t>Snehalatha</w:t>
      </w:r>
      <w:proofErr w:type="spellEnd"/>
      <w:r w:rsidRPr="002241DD">
        <w:rPr>
          <w:rFonts w:ascii="Times New Roman" w:hAnsi="Times New Roman" w:cs="Times New Roman"/>
          <w:color w:val="000000"/>
          <w:sz w:val="20"/>
          <w:szCs w:val="20"/>
        </w:rPr>
        <w:t xml:space="preserve">, C., Mary, S., Mukesh, B., Bhaskar, A., &amp; Vijay, V. (2006). The Indian Diabetes Prevention Programme shows that lifestyle modification and metformin prevent type 2 diabetes in Asian Indian subjects with impaired glucose tolerance (IDPP-1). </w:t>
      </w:r>
      <w:r w:rsidRPr="002241DD">
        <w:rPr>
          <w:rFonts w:ascii="Times New Roman" w:hAnsi="Times New Roman" w:cs="Times New Roman"/>
          <w:i/>
          <w:color w:val="000000"/>
          <w:sz w:val="20"/>
          <w:szCs w:val="20"/>
        </w:rPr>
        <w:t>Clinical and Experimental Diabetes and Metabolism, 49</w:t>
      </w:r>
      <w:r w:rsidRPr="002241DD">
        <w:rPr>
          <w:rFonts w:ascii="Times New Roman" w:hAnsi="Times New Roman" w:cs="Times New Roman"/>
          <w:color w:val="000000"/>
          <w:sz w:val="20"/>
          <w:szCs w:val="20"/>
        </w:rPr>
        <w:t>(2), 289-297. doi:10.1007/s00125-005-0097-z</w:t>
      </w:r>
    </w:p>
    <w:p w14:paraId="0000005E"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Ratner, R. E., </w:t>
      </w:r>
      <w:proofErr w:type="spellStart"/>
      <w:r w:rsidRPr="002241DD">
        <w:rPr>
          <w:rFonts w:ascii="Times New Roman" w:hAnsi="Times New Roman" w:cs="Times New Roman"/>
          <w:color w:val="000000"/>
          <w:sz w:val="20"/>
          <w:szCs w:val="20"/>
        </w:rPr>
        <w:t>Christophi</w:t>
      </w:r>
      <w:proofErr w:type="spellEnd"/>
      <w:r w:rsidRPr="002241DD">
        <w:rPr>
          <w:rFonts w:ascii="Times New Roman" w:hAnsi="Times New Roman" w:cs="Times New Roman"/>
          <w:color w:val="000000"/>
          <w:sz w:val="20"/>
          <w:szCs w:val="20"/>
        </w:rPr>
        <w:t xml:space="preserve">, C. A., Metzger, B. E., </w:t>
      </w:r>
      <w:proofErr w:type="spellStart"/>
      <w:r w:rsidRPr="002241DD">
        <w:rPr>
          <w:rFonts w:ascii="Times New Roman" w:hAnsi="Times New Roman" w:cs="Times New Roman"/>
          <w:color w:val="000000"/>
          <w:sz w:val="20"/>
          <w:szCs w:val="20"/>
        </w:rPr>
        <w:t>Dabelea</w:t>
      </w:r>
      <w:proofErr w:type="spellEnd"/>
      <w:r w:rsidRPr="002241DD">
        <w:rPr>
          <w:rFonts w:ascii="Times New Roman" w:hAnsi="Times New Roman" w:cs="Times New Roman"/>
          <w:color w:val="000000"/>
          <w:sz w:val="20"/>
          <w:szCs w:val="20"/>
        </w:rPr>
        <w:t>, D., Bennett, P. H., Pi-</w:t>
      </w:r>
      <w:proofErr w:type="spellStart"/>
      <w:r w:rsidRPr="002241DD">
        <w:rPr>
          <w:rFonts w:ascii="Times New Roman" w:hAnsi="Times New Roman" w:cs="Times New Roman"/>
          <w:color w:val="000000"/>
          <w:sz w:val="20"/>
          <w:szCs w:val="20"/>
        </w:rPr>
        <w:t>Sunyer</w:t>
      </w:r>
      <w:proofErr w:type="spellEnd"/>
      <w:r w:rsidRPr="002241DD">
        <w:rPr>
          <w:rFonts w:ascii="Times New Roman" w:hAnsi="Times New Roman" w:cs="Times New Roman"/>
          <w:color w:val="000000"/>
          <w:sz w:val="20"/>
          <w:szCs w:val="20"/>
        </w:rPr>
        <w:t xml:space="preserve">, X., . . . Kahn, S. E. (2008). Prevention of Diabetes in Women with a History of Gestational Diabetes: Effects of Metformin and Lifestyle Interventions. </w:t>
      </w:r>
      <w:r w:rsidRPr="002241DD">
        <w:rPr>
          <w:rFonts w:ascii="Times New Roman" w:hAnsi="Times New Roman" w:cs="Times New Roman"/>
          <w:i/>
          <w:color w:val="000000"/>
          <w:sz w:val="20"/>
          <w:szCs w:val="20"/>
        </w:rPr>
        <w:t>The Journal of Clinical Endocrinology &amp; Metabolism, 93</w:t>
      </w:r>
      <w:r w:rsidRPr="002241DD">
        <w:rPr>
          <w:rFonts w:ascii="Times New Roman" w:hAnsi="Times New Roman" w:cs="Times New Roman"/>
          <w:color w:val="000000"/>
          <w:sz w:val="20"/>
          <w:szCs w:val="20"/>
        </w:rPr>
        <w:t>(12), 4774-4779. doi:10.1210/jc.2008-0772</w:t>
      </w:r>
    </w:p>
    <w:p w14:paraId="0000005F"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proofErr w:type="spellStart"/>
      <w:r w:rsidRPr="002241DD">
        <w:rPr>
          <w:rFonts w:ascii="Times New Roman" w:hAnsi="Times New Roman" w:cs="Times New Roman"/>
          <w:color w:val="000000"/>
          <w:sz w:val="20"/>
          <w:szCs w:val="20"/>
        </w:rPr>
        <w:t>Saccone</w:t>
      </w:r>
      <w:proofErr w:type="spellEnd"/>
      <w:r w:rsidRPr="002241DD">
        <w:rPr>
          <w:rFonts w:ascii="Times New Roman" w:hAnsi="Times New Roman" w:cs="Times New Roman"/>
          <w:color w:val="000000"/>
          <w:sz w:val="20"/>
          <w:szCs w:val="20"/>
        </w:rPr>
        <w:t xml:space="preserve">, G., </w:t>
      </w:r>
      <w:proofErr w:type="spellStart"/>
      <w:r w:rsidRPr="002241DD">
        <w:rPr>
          <w:rFonts w:ascii="Times New Roman" w:hAnsi="Times New Roman" w:cs="Times New Roman"/>
          <w:color w:val="000000"/>
          <w:sz w:val="20"/>
          <w:szCs w:val="20"/>
        </w:rPr>
        <w:t>Caissutti</w:t>
      </w:r>
      <w:proofErr w:type="spellEnd"/>
      <w:r w:rsidRPr="002241DD">
        <w:rPr>
          <w:rFonts w:ascii="Times New Roman" w:hAnsi="Times New Roman" w:cs="Times New Roman"/>
          <w:color w:val="000000"/>
          <w:sz w:val="20"/>
          <w:szCs w:val="20"/>
        </w:rPr>
        <w:t xml:space="preserve">, C., Khalifeh, A., Meltzer, S., Scifres, C., </w:t>
      </w:r>
      <w:proofErr w:type="spellStart"/>
      <w:r w:rsidRPr="002241DD">
        <w:rPr>
          <w:rFonts w:ascii="Times New Roman" w:hAnsi="Times New Roman" w:cs="Times New Roman"/>
          <w:color w:val="000000"/>
          <w:sz w:val="20"/>
          <w:szCs w:val="20"/>
        </w:rPr>
        <w:t>Simhan</w:t>
      </w:r>
      <w:proofErr w:type="spellEnd"/>
      <w:r w:rsidRPr="002241DD">
        <w:rPr>
          <w:rFonts w:ascii="Times New Roman" w:hAnsi="Times New Roman" w:cs="Times New Roman"/>
          <w:color w:val="000000"/>
          <w:sz w:val="20"/>
          <w:szCs w:val="20"/>
        </w:rPr>
        <w:t xml:space="preserve">, H. N., . . . </w:t>
      </w:r>
      <w:proofErr w:type="spellStart"/>
      <w:r w:rsidRPr="002241DD">
        <w:rPr>
          <w:rFonts w:ascii="Times New Roman" w:hAnsi="Times New Roman" w:cs="Times New Roman"/>
          <w:color w:val="000000"/>
          <w:sz w:val="20"/>
          <w:szCs w:val="20"/>
        </w:rPr>
        <w:t>Berghella</w:t>
      </w:r>
      <w:proofErr w:type="spellEnd"/>
      <w:r w:rsidRPr="002241DD">
        <w:rPr>
          <w:rFonts w:ascii="Times New Roman" w:hAnsi="Times New Roman" w:cs="Times New Roman"/>
          <w:color w:val="000000"/>
          <w:sz w:val="20"/>
          <w:szCs w:val="20"/>
        </w:rPr>
        <w:t xml:space="preserve">, V. (2019). One step versus two step approach for gestational diabetes screening: systematic review and meta-analysis of the randomized trials. </w:t>
      </w:r>
      <w:r w:rsidRPr="002241DD">
        <w:rPr>
          <w:rFonts w:ascii="Times New Roman" w:hAnsi="Times New Roman" w:cs="Times New Roman"/>
          <w:i/>
          <w:color w:val="000000"/>
          <w:sz w:val="20"/>
          <w:szCs w:val="20"/>
        </w:rPr>
        <w:t>The Journal of Maternal-</w:t>
      </w:r>
      <w:proofErr w:type="spellStart"/>
      <w:r w:rsidRPr="002241DD">
        <w:rPr>
          <w:rFonts w:ascii="Times New Roman" w:hAnsi="Times New Roman" w:cs="Times New Roman"/>
          <w:i/>
          <w:color w:val="000000"/>
          <w:sz w:val="20"/>
          <w:szCs w:val="20"/>
        </w:rPr>
        <w:t>Fetal</w:t>
      </w:r>
      <w:proofErr w:type="spellEnd"/>
      <w:r w:rsidRPr="002241DD">
        <w:rPr>
          <w:rFonts w:ascii="Times New Roman" w:hAnsi="Times New Roman" w:cs="Times New Roman"/>
          <w:i/>
          <w:color w:val="000000"/>
          <w:sz w:val="20"/>
          <w:szCs w:val="20"/>
        </w:rPr>
        <w:t xml:space="preserve"> &amp; Neonatal Medicine, 32</w:t>
      </w:r>
      <w:r w:rsidRPr="002241DD">
        <w:rPr>
          <w:rFonts w:ascii="Times New Roman" w:hAnsi="Times New Roman" w:cs="Times New Roman"/>
          <w:color w:val="000000"/>
          <w:sz w:val="20"/>
          <w:szCs w:val="20"/>
        </w:rPr>
        <w:t>(9), 1547-1555. doi:10.1080/14767058.2017.1408068</w:t>
      </w:r>
    </w:p>
    <w:p w14:paraId="00000060" w14:textId="77777777" w:rsidR="009A2A6C" w:rsidRPr="002241DD" w:rsidRDefault="00671CF7">
      <w:pPr>
        <w:pBdr>
          <w:top w:val="nil"/>
          <w:left w:val="nil"/>
          <w:bottom w:val="nil"/>
          <w:right w:val="nil"/>
          <w:between w:val="nil"/>
        </w:pBdr>
        <w:spacing w:after="0"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World Health Organization. (2014). Diagnostic criteria and classification of hyperglycaemia first detected in pregnancy: A World Health Organization Guideline. </w:t>
      </w:r>
      <w:r w:rsidRPr="002241DD">
        <w:rPr>
          <w:rFonts w:ascii="Times New Roman" w:hAnsi="Times New Roman" w:cs="Times New Roman"/>
          <w:i/>
          <w:color w:val="000000"/>
          <w:sz w:val="20"/>
          <w:szCs w:val="20"/>
        </w:rPr>
        <w:t>Diabetes Research and Clinical Practice, 103</w:t>
      </w:r>
      <w:r w:rsidRPr="002241DD">
        <w:rPr>
          <w:rFonts w:ascii="Times New Roman" w:hAnsi="Times New Roman" w:cs="Times New Roman"/>
          <w:color w:val="000000"/>
          <w:sz w:val="20"/>
          <w:szCs w:val="20"/>
        </w:rPr>
        <w:t xml:space="preserve">(3), 341-363. </w:t>
      </w:r>
      <w:proofErr w:type="gramStart"/>
      <w:r w:rsidRPr="002241DD">
        <w:rPr>
          <w:rFonts w:ascii="Times New Roman" w:hAnsi="Times New Roman" w:cs="Times New Roman"/>
          <w:color w:val="000000"/>
          <w:sz w:val="20"/>
          <w:szCs w:val="20"/>
        </w:rPr>
        <w:t>doi:10.1016/j.diabres</w:t>
      </w:r>
      <w:proofErr w:type="gramEnd"/>
      <w:r w:rsidRPr="002241DD">
        <w:rPr>
          <w:rFonts w:ascii="Times New Roman" w:hAnsi="Times New Roman" w:cs="Times New Roman"/>
          <w:color w:val="000000"/>
          <w:sz w:val="20"/>
          <w:szCs w:val="20"/>
        </w:rPr>
        <w:t>.2013.10.012</w:t>
      </w:r>
    </w:p>
    <w:p w14:paraId="00000061" w14:textId="77777777" w:rsidR="009A2A6C" w:rsidRPr="002241DD" w:rsidRDefault="00671CF7">
      <w:pPr>
        <w:pBdr>
          <w:top w:val="nil"/>
          <w:left w:val="nil"/>
          <w:bottom w:val="nil"/>
          <w:right w:val="nil"/>
          <w:between w:val="nil"/>
        </w:pBdr>
        <w:spacing w:line="240" w:lineRule="auto"/>
        <w:ind w:left="720" w:hanging="720"/>
        <w:rPr>
          <w:rFonts w:ascii="Times New Roman" w:hAnsi="Times New Roman" w:cs="Times New Roman"/>
          <w:color w:val="000000"/>
          <w:sz w:val="20"/>
          <w:szCs w:val="20"/>
        </w:rPr>
      </w:pPr>
      <w:r w:rsidRPr="002241DD">
        <w:rPr>
          <w:rFonts w:ascii="Times New Roman" w:hAnsi="Times New Roman" w:cs="Times New Roman"/>
          <w:color w:val="000000"/>
          <w:sz w:val="20"/>
          <w:szCs w:val="20"/>
        </w:rPr>
        <w:t xml:space="preserve">Ying Lee, C. M., Goode, B., </w:t>
      </w:r>
      <w:proofErr w:type="spellStart"/>
      <w:r w:rsidRPr="002241DD">
        <w:rPr>
          <w:rFonts w:ascii="Times New Roman" w:hAnsi="Times New Roman" w:cs="Times New Roman"/>
          <w:color w:val="000000"/>
          <w:sz w:val="20"/>
          <w:szCs w:val="20"/>
        </w:rPr>
        <w:t>Nørtoft</w:t>
      </w:r>
      <w:proofErr w:type="spellEnd"/>
      <w:r w:rsidRPr="002241DD">
        <w:rPr>
          <w:rFonts w:ascii="Times New Roman" w:hAnsi="Times New Roman" w:cs="Times New Roman"/>
          <w:color w:val="000000"/>
          <w:sz w:val="20"/>
          <w:szCs w:val="20"/>
        </w:rPr>
        <w:t xml:space="preserve">, E., Shaw, J. E., Magliano, D. J., &amp; </w:t>
      </w:r>
      <w:proofErr w:type="spellStart"/>
      <w:r w:rsidRPr="002241DD">
        <w:rPr>
          <w:rFonts w:ascii="Times New Roman" w:hAnsi="Times New Roman" w:cs="Times New Roman"/>
          <w:color w:val="000000"/>
          <w:sz w:val="20"/>
          <w:szCs w:val="20"/>
        </w:rPr>
        <w:t>Colagiuri</w:t>
      </w:r>
      <w:proofErr w:type="spellEnd"/>
      <w:r w:rsidRPr="002241DD">
        <w:rPr>
          <w:rFonts w:ascii="Times New Roman" w:hAnsi="Times New Roman" w:cs="Times New Roman"/>
          <w:color w:val="000000"/>
          <w:sz w:val="20"/>
          <w:szCs w:val="20"/>
        </w:rPr>
        <w:t xml:space="preserve">, S. (2018). The cost of diabetes and obesity in Australia. </w:t>
      </w:r>
      <w:r w:rsidRPr="002241DD">
        <w:rPr>
          <w:rFonts w:ascii="Times New Roman" w:hAnsi="Times New Roman" w:cs="Times New Roman"/>
          <w:i/>
          <w:color w:val="000000"/>
          <w:sz w:val="20"/>
          <w:szCs w:val="20"/>
        </w:rPr>
        <w:t>Journal of Medical Economics, 21</w:t>
      </w:r>
      <w:r w:rsidRPr="002241DD">
        <w:rPr>
          <w:rFonts w:ascii="Times New Roman" w:hAnsi="Times New Roman" w:cs="Times New Roman"/>
          <w:color w:val="000000"/>
          <w:sz w:val="20"/>
          <w:szCs w:val="20"/>
        </w:rPr>
        <w:t>(10), 1001-1005. doi:10.1080/13696998.2018.1497641</w:t>
      </w:r>
    </w:p>
    <w:p w14:paraId="00000062" w14:textId="7102C5C3" w:rsidR="009A2A6C" w:rsidRPr="002241DD" w:rsidRDefault="009A2A6C" w:rsidP="009F1688">
      <w:pPr>
        <w:pBdr>
          <w:top w:val="nil"/>
          <w:left w:val="nil"/>
          <w:bottom w:val="nil"/>
          <w:right w:val="nil"/>
          <w:between w:val="nil"/>
        </w:pBdr>
        <w:spacing w:line="240" w:lineRule="auto"/>
        <w:ind w:left="720" w:hanging="720"/>
        <w:rPr>
          <w:rFonts w:ascii="Times New Roman" w:eastAsia="Times New Roman" w:hAnsi="Times New Roman" w:cs="Times New Roman"/>
          <w:color w:val="000000"/>
          <w:sz w:val="20"/>
          <w:szCs w:val="20"/>
        </w:rPr>
      </w:pPr>
    </w:p>
    <w:p w14:paraId="0178C9E5" w14:textId="77777777" w:rsidR="002241DD" w:rsidRDefault="002241DD" w:rsidP="002241DD">
      <w:pPr>
        <w:rPr>
          <w:b/>
          <w:sz w:val="20"/>
          <w:szCs w:val="20"/>
        </w:rPr>
        <w:sectPr w:rsidR="002241DD" w:rsidSect="00294396">
          <w:pgSz w:w="11906" w:h="16838"/>
          <w:pgMar w:top="1440" w:right="1440" w:bottom="1440" w:left="1440" w:header="708" w:footer="708" w:gutter="0"/>
          <w:pgNumType w:start="1"/>
          <w:cols w:space="720"/>
          <w:docGrid w:linePitch="299"/>
        </w:sectPr>
      </w:pPr>
    </w:p>
    <w:p w14:paraId="2A9913BC" w14:textId="42B3A975" w:rsidR="002241DD" w:rsidRPr="002241DD" w:rsidRDefault="002241DD" w:rsidP="002241DD">
      <w:pPr>
        <w:rPr>
          <w:i/>
          <w:sz w:val="20"/>
          <w:szCs w:val="20"/>
        </w:rPr>
      </w:pPr>
      <w:r w:rsidRPr="002241DD">
        <w:rPr>
          <w:b/>
          <w:sz w:val="20"/>
          <w:szCs w:val="20"/>
        </w:rPr>
        <w:lastRenderedPageBreak/>
        <w:t xml:space="preserve">Table 1. </w:t>
      </w:r>
      <w:r w:rsidRPr="002241DD">
        <w:rPr>
          <w:sz w:val="20"/>
          <w:szCs w:val="20"/>
        </w:rPr>
        <w:t>Most commonly used guidelines for the diagnosis of GDM.</w:t>
      </w:r>
      <w:r w:rsidRPr="002241DD">
        <w:rPr>
          <w:i/>
          <w:sz w:val="20"/>
          <w:szCs w:val="20"/>
        </w:rPr>
        <w:t xml:space="preserve"> Table adapted from WHO 2014 statement (World Health Organization, 2014).</w:t>
      </w:r>
    </w:p>
    <w:tbl>
      <w:tblPr>
        <w:tblStyle w:val="a"/>
        <w:tblW w:w="9312" w:type="dxa"/>
        <w:tblInd w:w="-108" w:type="dxa"/>
        <w:tblBorders>
          <w:top w:val="single" w:sz="4" w:space="0" w:color="auto"/>
          <w:bottom w:val="single" w:sz="4" w:space="0" w:color="auto"/>
        </w:tblBorders>
        <w:tblLayout w:type="fixed"/>
        <w:tblLook w:val="0400" w:firstRow="0" w:lastRow="0" w:firstColumn="0" w:lastColumn="0" w:noHBand="0" w:noVBand="1"/>
      </w:tblPr>
      <w:tblGrid>
        <w:gridCol w:w="1552"/>
        <w:gridCol w:w="1552"/>
        <w:gridCol w:w="1552"/>
        <w:gridCol w:w="1552"/>
        <w:gridCol w:w="1552"/>
        <w:gridCol w:w="1552"/>
      </w:tblGrid>
      <w:tr w:rsidR="009A2A6C" w:rsidRPr="002241DD" w14:paraId="00345789" w14:textId="77777777" w:rsidTr="002241DD">
        <w:trPr>
          <w:trHeight w:val="383"/>
        </w:trPr>
        <w:tc>
          <w:tcPr>
            <w:tcW w:w="1552" w:type="dxa"/>
            <w:tcBorders>
              <w:top w:val="single" w:sz="4" w:space="0" w:color="auto"/>
              <w:bottom w:val="single" w:sz="4" w:space="0" w:color="auto"/>
            </w:tcBorders>
          </w:tcPr>
          <w:p w14:paraId="00000064" w14:textId="77777777" w:rsidR="009A2A6C" w:rsidRPr="002241DD" w:rsidRDefault="00671CF7" w:rsidP="002241DD">
            <w:pPr>
              <w:spacing w:after="0" w:line="240" w:lineRule="auto"/>
              <w:rPr>
                <w:sz w:val="20"/>
                <w:szCs w:val="20"/>
              </w:rPr>
            </w:pPr>
            <w:r w:rsidRPr="002241DD">
              <w:rPr>
                <w:b/>
                <w:sz w:val="20"/>
                <w:szCs w:val="20"/>
              </w:rPr>
              <w:t xml:space="preserve">Organisation </w:t>
            </w:r>
          </w:p>
        </w:tc>
        <w:tc>
          <w:tcPr>
            <w:tcW w:w="1552" w:type="dxa"/>
            <w:tcBorders>
              <w:top w:val="single" w:sz="4" w:space="0" w:color="auto"/>
              <w:bottom w:val="single" w:sz="4" w:space="0" w:color="auto"/>
            </w:tcBorders>
          </w:tcPr>
          <w:p w14:paraId="00000065" w14:textId="77777777" w:rsidR="009A2A6C" w:rsidRPr="002241DD" w:rsidRDefault="00671CF7" w:rsidP="002241DD">
            <w:pPr>
              <w:spacing w:after="0" w:line="240" w:lineRule="auto"/>
              <w:rPr>
                <w:sz w:val="20"/>
                <w:szCs w:val="20"/>
              </w:rPr>
            </w:pPr>
            <w:r w:rsidRPr="002241DD">
              <w:rPr>
                <w:b/>
                <w:sz w:val="20"/>
                <w:szCs w:val="20"/>
              </w:rPr>
              <w:t xml:space="preserve">Fasting Plasma glucose </w:t>
            </w:r>
          </w:p>
        </w:tc>
        <w:tc>
          <w:tcPr>
            <w:tcW w:w="1552" w:type="dxa"/>
            <w:tcBorders>
              <w:top w:val="single" w:sz="4" w:space="0" w:color="auto"/>
              <w:bottom w:val="single" w:sz="4" w:space="0" w:color="auto"/>
            </w:tcBorders>
          </w:tcPr>
          <w:p w14:paraId="00000066" w14:textId="77777777" w:rsidR="009A2A6C" w:rsidRPr="002241DD" w:rsidRDefault="00671CF7" w:rsidP="002241DD">
            <w:pPr>
              <w:spacing w:after="0" w:line="240" w:lineRule="auto"/>
              <w:rPr>
                <w:sz w:val="20"/>
                <w:szCs w:val="20"/>
              </w:rPr>
            </w:pPr>
            <w:r w:rsidRPr="002241DD">
              <w:rPr>
                <w:b/>
                <w:sz w:val="20"/>
                <w:szCs w:val="20"/>
              </w:rPr>
              <w:t xml:space="preserve">Glucose Challenge </w:t>
            </w:r>
          </w:p>
        </w:tc>
        <w:tc>
          <w:tcPr>
            <w:tcW w:w="1552" w:type="dxa"/>
            <w:tcBorders>
              <w:top w:val="single" w:sz="4" w:space="0" w:color="auto"/>
              <w:bottom w:val="single" w:sz="4" w:space="0" w:color="auto"/>
            </w:tcBorders>
          </w:tcPr>
          <w:p w14:paraId="00000067" w14:textId="77777777" w:rsidR="009A2A6C" w:rsidRPr="002241DD" w:rsidRDefault="00671CF7" w:rsidP="002241DD">
            <w:pPr>
              <w:spacing w:after="0" w:line="240" w:lineRule="auto"/>
              <w:rPr>
                <w:sz w:val="20"/>
                <w:szCs w:val="20"/>
              </w:rPr>
            </w:pPr>
            <w:r w:rsidRPr="002241DD">
              <w:rPr>
                <w:b/>
                <w:sz w:val="20"/>
                <w:szCs w:val="20"/>
              </w:rPr>
              <w:t xml:space="preserve">1-h plasma glucose </w:t>
            </w:r>
          </w:p>
        </w:tc>
        <w:tc>
          <w:tcPr>
            <w:tcW w:w="1552" w:type="dxa"/>
            <w:tcBorders>
              <w:top w:val="single" w:sz="4" w:space="0" w:color="auto"/>
              <w:bottom w:val="single" w:sz="4" w:space="0" w:color="auto"/>
            </w:tcBorders>
          </w:tcPr>
          <w:p w14:paraId="00000068" w14:textId="77777777" w:rsidR="009A2A6C" w:rsidRPr="002241DD" w:rsidRDefault="00671CF7" w:rsidP="002241DD">
            <w:pPr>
              <w:spacing w:after="0" w:line="240" w:lineRule="auto"/>
              <w:rPr>
                <w:sz w:val="20"/>
                <w:szCs w:val="20"/>
              </w:rPr>
            </w:pPr>
            <w:r w:rsidRPr="002241DD">
              <w:rPr>
                <w:b/>
                <w:sz w:val="20"/>
                <w:szCs w:val="20"/>
              </w:rPr>
              <w:t xml:space="preserve">2-h plasma glucose </w:t>
            </w:r>
          </w:p>
        </w:tc>
        <w:tc>
          <w:tcPr>
            <w:tcW w:w="1552" w:type="dxa"/>
            <w:tcBorders>
              <w:top w:val="single" w:sz="4" w:space="0" w:color="auto"/>
              <w:bottom w:val="single" w:sz="4" w:space="0" w:color="auto"/>
            </w:tcBorders>
          </w:tcPr>
          <w:p w14:paraId="00000069" w14:textId="77777777" w:rsidR="009A2A6C" w:rsidRPr="002241DD" w:rsidRDefault="00671CF7" w:rsidP="002241DD">
            <w:pPr>
              <w:spacing w:after="0" w:line="240" w:lineRule="auto"/>
              <w:rPr>
                <w:sz w:val="20"/>
                <w:szCs w:val="20"/>
              </w:rPr>
            </w:pPr>
            <w:r w:rsidRPr="002241DD">
              <w:rPr>
                <w:b/>
                <w:sz w:val="20"/>
                <w:szCs w:val="20"/>
              </w:rPr>
              <w:t xml:space="preserve">3-h plasma glucose </w:t>
            </w:r>
          </w:p>
        </w:tc>
      </w:tr>
      <w:tr w:rsidR="009A2A6C" w:rsidRPr="002241DD" w14:paraId="730ED2CC" w14:textId="77777777" w:rsidTr="002241DD">
        <w:trPr>
          <w:trHeight w:val="274"/>
        </w:trPr>
        <w:tc>
          <w:tcPr>
            <w:tcW w:w="1552" w:type="dxa"/>
            <w:tcBorders>
              <w:top w:val="single" w:sz="4" w:space="0" w:color="auto"/>
            </w:tcBorders>
          </w:tcPr>
          <w:p w14:paraId="0000006A" w14:textId="77777777" w:rsidR="009A2A6C" w:rsidRPr="002241DD" w:rsidRDefault="00671CF7" w:rsidP="002241DD">
            <w:pPr>
              <w:spacing w:after="0" w:line="240" w:lineRule="auto"/>
              <w:rPr>
                <w:i/>
                <w:sz w:val="20"/>
                <w:szCs w:val="20"/>
              </w:rPr>
            </w:pPr>
            <w:r w:rsidRPr="002241DD">
              <w:rPr>
                <w:i/>
                <w:sz w:val="20"/>
                <w:szCs w:val="20"/>
              </w:rPr>
              <w:t xml:space="preserve">WHO 1999* </w:t>
            </w:r>
          </w:p>
        </w:tc>
        <w:tc>
          <w:tcPr>
            <w:tcW w:w="1552" w:type="dxa"/>
            <w:tcBorders>
              <w:top w:val="single" w:sz="4" w:space="0" w:color="auto"/>
            </w:tcBorders>
          </w:tcPr>
          <w:p w14:paraId="0000006B" w14:textId="77777777" w:rsidR="009A2A6C" w:rsidRPr="002241DD" w:rsidRDefault="00671CF7" w:rsidP="002241DD">
            <w:pPr>
              <w:spacing w:after="0" w:line="240" w:lineRule="auto"/>
              <w:rPr>
                <w:i/>
                <w:sz w:val="20"/>
                <w:szCs w:val="20"/>
              </w:rPr>
            </w:pPr>
            <w:r w:rsidRPr="002241DD">
              <w:rPr>
                <w:i/>
                <w:sz w:val="20"/>
                <w:szCs w:val="20"/>
              </w:rPr>
              <w:t xml:space="preserve">≥ 7.0 </w:t>
            </w:r>
          </w:p>
        </w:tc>
        <w:tc>
          <w:tcPr>
            <w:tcW w:w="1552" w:type="dxa"/>
            <w:tcBorders>
              <w:top w:val="single" w:sz="4" w:space="0" w:color="auto"/>
            </w:tcBorders>
          </w:tcPr>
          <w:p w14:paraId="0000006C" w14:textId="77777777" w:rsidR="009A2A6C" w:rsidRPr="002241DD" w:rsidRDefault="00671CF7" w:rsidP="002241DD">
            <w:pPr>
              <w:spacing w:after="0" w:line="240" w:lineRule="auto"/>
              <w:rPr>
                <w:i/>
                <w:sz w:val="20"/>
                <w:szCs w:val="20"/>
              </w:rPr>
            </w:pPr>
            <w:r w:rsidRPr="002241DD">
              <w:rPr>
                <w:i/>
                <w:sz w:val="20"/>
                <w:szCs w:val="20"/>
              </w:rPr>
              <w:t xml:space="preserve">75g OGTT </w:t>
            </w:r>
          </w:p>
        </w:tc>
        <w:tc>
          <w:tcPr>
            <w:tcW w:w="1552" w:type="dxa"/>
            <w:tcBorders>
              <w:top w:val="single" w:sz="4" w:space="0" w:color="auto"/>
            </w:tcBorders>
          </w:tcPr>
          <w:p w14:paraId="0000006D" w14:textId="77777777" w:rsidR="009A2A6C" w:rsidRPr="002241DD" w:rsidRDefault="00671CF7" w:rsidP="002241DD">
            <w:pPr>
              <w:spacing w:after="0" w:line="240" w:lineRule="auto"/>
              <w:rPr>
                <w:i/>
                <w:sz w:val="20"/>
                <w:szCs w:val="20"/>
              </w:rPr>
            </w:pPr>
            <w:r w:rsidRPr="002241DD">
              <w:rPr>
                <w:i/>
                <w:sz w:val="20"/>
                <w:szCs w:val="20"/>
              </w:rPr>
              <w:t xml:space="preserve">Not required </w:t>
            </w:r>
          </w:p>
        </w:tc>
        <w:tc>
          <w:tcPr>
            <w:tcW w:w="1552" w:type="dxa"/>
            <w:tcBorders>
              <w:top w:val="single" w:sz="4" w:space="0" w:color="auto"/>
            </w:tcBorders>
          </w:tcPr>
          <w:p w14:paraId="0000006E" w14:textId="77777777" w:rsidR="009A2A6C" w:rsidRPr="002241DD" w:rsidRDefault="00671CF7" w:rsidP="002241DD">
            <w:pPr>
              <w:spacing w:after="0" w:line="240" w:lineRule="auto"/>
              <w:rPr>
                <w:i/>
                <w:sz w:val="20"/>
                <w:szCs w:val="20"/>
              </w:rPr>
            </w:pPr>
            <w:r w:rsidRPr="002241DD">
              <w:rPr>
                <w:i/>
                <w:sz w:val="20"/>
                <w:szCs w:val="20"/>
              </w:rPr>
              <w:t xml:space="preserve">≥ 7.8 </w:t>
            </w:r>
          </w:p>
        </w:tc>
        <w:tc>
          <w:tcPr>
            <w:tcW w:w="1552" w:type="dxa"/>
            <w:tcBorders>
              <w:top w:val="single" w:sz="4" w:space="0" w:color="auto"/>
            </w:tcBorders>
          </w:tcPr>
          <w:p w14:paraId="0000006F" w14:textId="77777777" w:rsidR="009A2A6C" w:rsidRPr="002241DD" w:rsidRDefault="00671CF7" w:rsidP="002241DD">
            <w:pPr>
              <w:spacing w:after="0" w:line="240" w:lineRule="auto"/>
              <w:rPr>
                <w:i/>
                <w:sz w:val="20"/>
                <w:szCs w:val="20"/>
              </w:rPr>
            </w:pPr>
            <w:r w:rsidRPr="002241DD">
              <w:rPr>
                <w:i/>
                <w:sz w:val="20"/>
                <w:szCs w:val="20"/>
              </w:rPr>
              <w:t xml:space="preserve">Not required </w:t>
            </w:r>
          </w:p>
        </w:tc>
      </w:tr>
      <w:tr w:rsidR="009A2A6C" w:rsidRPr="002241DD" w14:paraId="1AB9C683" w14:textId="77777777" w:rsidTr="002241DD">
        <w:trPr>
          <w:trHeight w:val="247"/>
        </w:trPr>
        <w:tc>
          <w:tcPr>
            <w:tcW w:w="1552" w:type="dxa"/>
          </w:tcPr>
          <w:p w14:paraId="00000070" w14:textId="77777777" w:rsidR="009A2A6C" w:rsidRPr="002241DD" w:rsidRDefault="00671CF7" w:rsidP="002241DD">
            <w:pPr>
              <w:spacing w:after="0" w:line="240" w:lineRule="auto"/>
              <w:rPr>
                <w:sz w:val="20"/>
                <w:szCs w:val="20"/>
              </w:rPr>
            </w:pPr>
            <w:r w:rsidRPr="002241DD">
              <w:rPr>
                <w:sz w:val="20"/>
                <w:szCs w:val="20"/>
              </w:rPr>
              <w:t>Canadian Diabetes Association**</w:t>
            </w:r>
          </w:p>
        </w:tc>
        <w:tc>
          <w:tcPr>
            <w:tcW w:w="1552" w:type="dxa"/>
          </w:tcPr>
          <w:p w14:paraId="00000071" w14:textId="77777777" w:rsidR="009A2A6C" w:rsidRPr="002241DD" w:rsidRDefault="00671CF7" w:rsidP="002241DD">
            <w:pPr>
              <w:spacing w:after="0" w:line="240" w:lineRule="auto"/>
              <w:rPr>
                <w:sz w:val="20"/>
                <w:szCs w:val="20"/>
              </w:rPr>
            </w:pPr>
            <w:r w:rsidRPr="002241DD">
              <w:rPr>
                <w:sz w:val="20"/>
                <w:szCs w:val="20"/>
              </w:rPr>
              <w:t>≥5.3</w:t>
            </w:r>
          </w:p>
        </w:tc>
        <w:tc>
          <w:tcPr>
            <w:tcW w:w="1552" w:type="dxa"/>
          </w:tcPr>
          <w:p w14:paraId="00000072" w14:textId="77777777" w:rsidR="009A2A6C" w:rsidRPr="002241DD" w:rsidRDefault="00671CF7" w:rsidP="002241DD">
            <w:pPr>
              <w:spacing w:after="0" w:line="240" w:lineRule="auto"/>
              <w:rPr>
                <w:sz w:val="20"/>
                <w:szCs w:val="20"/>
              </w:rPr>
            </w:pPr>
            <w:r w:rsidRPr="002241DD">
              <w:rPr>
                <w:sz w:val="20"/>
                <w:szCs w:val="20"/>
              </w:rPr>
              <w:t>75g OGTT</w:t>
            </w:r>
          </w:p>
        </w:tc>
        <w:tc>
          <w:tcPr>
            <w:tcW w:w="1552" w:type="dxa"/>
          </w:tcPr>
          <w:p w14:paraId="00000073" w14:textId="77777777" w:rsidR="009A2A6C" w:rsidRPr="002241DD" w:rsidRDefault="00671CF7" w:rsidP="002241DD">
            <w:pPr>
              <w:spacing w:after="0" w:line="240" w:lineRule="auto"/>
              <w:rPr>
                <w:sz w:val="20"/>
                <w:szCs w:val="20"/>
              </w:rPr>
            </w:pPr>
            <w:r w:rsidRPr="002241DD">
              <w:rPr>
                <w:sz w:val="20"/>
                <w:szCs w:val="20"/>
              </w:rPr>
              <w:t xml:space="preserve">≥10.6 </w:t>
            </w:r>
          </w:p>
        </w:tc>
        <w:tc>
          <w:tcPr>
            <w:tcW w:w="1552" w:type="dxa"/>
          </w:tcPr>
          <w:p w14:paraId="00000074" w14:textId="77777777" w:rsidR="009A2A6C" w:rsidRPr="002241DD" w:rsidRDefault="00671CF7" w:rsidP="002241DD">
            <w:pPr>
              <w:spacing w:after="0" w:line="240" w:lineRule="auto"/>
              <w:rPr>
                <w:sz w:val="20"/>
                <w:szCs w:val="20"/>
              </w:rPr>
            </w:pPr>
            <w:r w:rsidRPr="002241DD">
              <w:rPr>
                <w:sz w:val="20"/>
                <w:szCs w:val="20"/>
              </w:rPr>
              <w:t xml:space="preserve">≥8.9 </w:t>
            </w:r>
          </w:p>
        </w:tc>
        <w:tc>
          <w:tcPr>
            <w:tcW w:w="1552" w:type="dxa"/>
          </w:tcPr>
          <w:p w14:paraId="00000075" w14:textId="77777777" w:rsidR="009A2A6C" w:rsidRPr="002241DD" w:rsidRDefault="00671CF7" w:rsidP="002241DD">
            <w:pPr>
              <w:spacing w:after="0" w:line="240" w:lineRule="auto"/>
              <w:rPr>
                <w:sz w:val="20"/>
                <w:szCs w:val="20"/>
              </w:rPr>
            </w:pPr>
            <w:r w:rsidRPr="002241DD">
              <w:rPr>
                <w:sz w:val="20"/>
                <w:szCs w:val="20"/>
              </w:rPr>
              <w:t xml:space="preserve">Not required </w:t>
            </w:r>
          </w:p>
        </w:tc>
      </w:tr>
      <w:tr w:rsidR="009A2A6C" w:rsidRPr="002241DD" w14:paraId="64014EC1" w14:textId="77777777" w:rsidTr="002241DD">
        <w:trPr>
          <w:trHeight w:val="274"/>
        </w:trPr>
        <w:tc>
          <w:tcPr>
            <w:tcW w:w="1552" w:type="dxa"/>
          </w:tcPr>
          <w:p w14:paraId="00000076" w14:textId="77777777" w:rsidR="009A2A6C" w:rsidRPr="002241DD" w:rsidRDefault="00671CF7" w:rsidP="002241DD">
            <w:pPr>
              <w:spacing w:after="0" w:line="240" w:lineRule="auto"/>
              <w:rPr>
                <w:b/>
                <w:sz w:val="20"/>
                <w:szCs w:val="20"/>
              </w:rPr>
            </w:pPr>
            <w:r w:rsidRPr="002241DD">
              <w:rPr>
                <w:b/>
                <w:sz w:val="20"/>
                <w:szCs w:val="20"/>
              </w:rPr>
              <w:t xml:space="preserve">IADPSG 2010* </w:t>
            </w:r>
          </w:p>
          <w:p w14:paraId="00000077" w14:textId="77777777" w:rsidR="009A2A6C" w:rsidRPr="002241DD" w:rsidRDefault="00671CF7" w:rsidP="002241DD">
            <w:pPr>
              <w:spacing w:after="0" w:line="240" w:lineRule="auto"/>
              <w:rPr>
                <w:b/>
                <w:sz w:val="20"/>
                <w:szCs w:val="20"/>
              </w:rPr>
            </w:pPr>
            <w:r w:rsidRPr="002241DD">
              <w:rPr>
                <w:b/>
                <w:sz w:val="20"/>
                <w:szCs w:val="20"/>
              </w:rPr>
              <w:t>=WHO 2013</w:t>
            </w:r>
          </w:p>
          <w:p w14:paraId="00000078" w14:textId="77777777" w:rsidR="009A2A6C" w:rsidRPr="002241DD" w:rsidRDefault="00671CF7" w:rsidP="002241DD">
            <w:pPr>
              <w:spacing w:after="0" w:line="240" w:lineRule="auto"/>
              <w:rPr>
                <w:b/>
                <w:sz w:val="20"/>
                <w:szCs w:val="20"/>
              </w:rPr>
            </w:pPr>
            <w:r w:rsidRPr="002241DD">
              <w:rPr>
                <w:b/>
                <w:sz w:val="20"/>
                <w:szCs w:val="20"/>
              </w:rPr>
              <w:t>= ADIPS 2010</w:t>
            </w:r>
          </w:p>
        </w:tc>
        <w:tc>
          <w:tcPr>
            <w:tcW w:w="1552" w:type="dxa"/>
          </w:tcPr>
          <w:p w14:paraId="00000079" w14:textId="77777777" w:rsidR="009A2A6C" w:rsidRPr="002241DD" w:rsidRDefault="00671CF7" w:rsidP="002241DD">
            <w:pPr>
              <w:spacing w:after="0" w:line="240" w:lineRule="auto"/>
              <w:rPr>
                <w:b/>
                <w:sz w:val="20"/>
                <w:szCs w:val="20"/>
              </w:rPr>
            </w:pPr>
            <w:r w:rsidRPr="002241DD">
              <w:rPr>
                <w:b/>
                <w:sz w:val="20"/>
                <w:szCs w:val="20"/>
              </w:rPr>
              <w:t xml:space="preserve">≥5.1 </w:t>
            </w:r>
          </w:p>
        </w:tc>
        <w:tc>
          <w:tcPr>
            <w:tcW w:w="1552" w:type="dxa"/>
          </w:tcPr>
          <w:p w14:paraId="0000007A" w14:textId="77777777" w:rsidR="009A2A6C" w:rsidRPr="002241DD" w:rsidRDefault="00671CF7" w:rsidP="002241DD">
            <w:pPr>
              <w:spacing w:after="0" w:line="240" w:lineRule="auto"/>
              <w:rPr>
                <w:b/>
                <w:sz w:val="20"/>
                <w:szCs w:val="20"/>
              </w:rPr>
            </w:pPr>
            <w:r w:rsidRPr="002241DD">
              <w:rPr>
                <w:b/>
                <w:sz w:val="20"/>
                <w:szCs w:val="20"/>
              </w:rPr>
              <w:t xml:space="preserve">75g OGTT </w:t>
            </w:r>
          </w:p>
        </w:tc>
        <w:tc>
          <w:tcPr>
            <w:tcW w:w="1552" w:type="dxa"/>
          </w:tcPr>
          <w:p w14:paraId="0000007B" w14:textId="77777777" w:rsidR="009A2A6C" w:rsidRPr="002241DD" w:rsidRDefault="00671CF7" w:rsidP="002241DD">
            <w:pPr>
              <w:spacing w:after="0" w:line="240" w:lineRule="auto"/>
              <w:rPr>
                <w:b/>
                <w:sz w:val="20"/>
                <w:szCs w:val="20"/>
              </w:rPr>
            </w:pPr>
            <w:r w:rsidRPr="002241DD">
              <w:rPr>
                <w:b/>
                <w:sz w:val="20"/>
                <w:szCs w:val="20"/>
              </w:rPr>
              <w:t xml:space="preserve">≥10.0 </w:t>
            </w:r>
          </w:p>
        </w:tc>
        <w:tc>
          <w:tcPr>
            <w:tcW w:w="1552" w:type="dxa"/>
          </w:tcPr>
          <w:p w14:paraId="0000007C" w14:textId="77777777" w:rsidR="009A2A6C" w:rsidRPr="002241DD" w:rsidRDefault="00671CF7" w:rsidP="002241DD">
            <w:pPr>
              <w:spacing w:after="0" w:line="240" w:lineRule="auto"/>
              <w:rPr>
                <w:b/>
                <w:sz w:val="20"/>
                <w:szCs w:val="20"/>
              </w:rPr>
            </w:pPr>
            <w:r w:rsidRPr="002241DD">
              <w:rPr>
                <w:b/>
                <w:sz w:val="20"/>
                <w:szCs w:val="20"/>
              </w:rPr>
              <w:t xml:space="preserve">≥8.5 </w:t>
            </w:r>
          </w:p>
        </w:tc>
        <w:tc>
          <w:tcPr>
            <w:tcW w:w="1552" w:type="dxa"/>
          </w:tcPr>
          <w:p w14:paraId="0000007D" w14:textId="77777777" w:rsidR="009A2A6C" w:rsidRPr="002241DD" w:rsidRDefault="00671CF7" w:rsidP="002241DD">
            <w:pPr>
              <w:spacing w:after="0" w:line="240" w:lineRule="auto"/>
              <w:rPr>
                <w:b/>
                <w:sz w:val="20"/>
                <w:szCs w:val="20"/>
              </w:rPr>
            </w:pPr>
            <w:r w:rsidRPr="002241DD">
              <w:rPr>
                <w:b/>
                <w:sz w:val="20"/>
                <w:szCs w:val="20"/>
              </w:rPr>
              <w:t xml:space="preserve">Not required </w:t>
            </w:r>
          </w:p>
        </w:tc>
      </w:tr>
      <w:tr w:rsidR="009A2A6C" w:rsidRPr="002241DD" w14:paraId="213720AD" w14:textId="77777777" w:rsidTr="002241DD">
        <w:trPr>
          <w:trHeight w:val="274"/>
        </w:trPr>
        <w:tc>
          <w:tcPr>
            <w:tcW w:w="1552" w:type="dxa"/>
          </w:tcPr>
          <w:p w14:paraId="0000007E" w14:textId="77777777" w:rsidR="009A2A6C" w:rsidRPr="002241DD" w:rsidRDefault="00671CF7" w:rsidP="002241DD">
            <w:pPr>
              <w:spacing w:after="0" w:line="240" w:lineRule="auto"/>
              <w:rPr>
                <w:sz w:val="20"/>
                <w:szCs w:val="20"/>
              </w:rPr>
            </w:pPr>
            <w:r w:rsidRPr="002241DD">
              <w:rPr>
                <w:sz w:val="20"/>
                <w:szCs w:val="20"/>
              </w:rPr>
              <w:t>ADA/ACOG/CC**</w:t>
            </w:r>
          </w:p>
          <w:p w14:paraId="0000007F" w14:textId="77777777" w:rsidR="009A2A6C" w:rsidRPr="002241DD" w:rsidRDefault="00671CF7" w:rsidP="002241DD">
            <w:pPr>
              <w:spacing w:after="0" w:line="240" w:lineRule="auto"/>
              <w:rPr>
                <w:sz w:val="20"/>
                <w:szCs w:val="20"/>
              </w:rPr>
            </w:pPr>
            <w:r w:rsidRPr="002241DD">
              <w:rPr>
                <w:sz w:val="20"/>
                <w:szCs w:val="20"/>
              </w:rPr>
              <w:t xml:space="preserve">(two step for </w:t>
            </w:r>
            <w:proofErr w:type="gramStart"/>
            <w:r w:rsidRPr="002241DD">
              <w:rPr>
                <w:sz w:val="20"/>
                <w:szCs w:val="20"/>
              </w:rPr>
              <w:t>most  –</w:t>
            </w:r>
            <w:proofErr w:type="gramEnd"/>
            <w:r w:rsidRPr="002241DD">
              <w:rPr>
                <w:sz w:val="20"/>
                <w:szCs w:val="20"/>
              </w:rPr>
              <w:t xml:space="preserve"> diagnostic (2</w:t>
            </w:r>
            <w:r w:rsidRPr="002241DD">
              <w:rPr>
                <w:sz w:val="20"/>
                <w:szCs w:val="20"/>
                <w:vertAlign w:val="superscript"/>
              </w:rPr>
              <w:t>nd</w:t>
            </w:r>
            <w:r w:rsidRPr="002241DD">
              <w:rPr>
                <w:sz w:val="20"/>
                <w:szCs w:val="20"/>
              </w:rPr>
              <w:t xml:space="preserve"> step) thresholds)</w:t>
            </w:r>
          </w:p>
        </w:tc>
        <w:tc>
          <w:tcPr>
            <w:tcW w:w="1552" w:type="dxa"/>
          </w:tcPr>
          <w:p w14:paraId="00000080" w14:textId="77777777" w:rsidR="009A2A6C" w:rsidRPr="002241DD" w:rsidRDefault="00671CF7" w:rsidP="002241DD">
            <w:pPr>
              <w:spacing w:after="0" w:line="240" w:lineRule="auto"/>
              <w:rPr>
                <w:sz w:val="20"/>
                <w:szCs w:val="20"/>
              </w:rPr>
            </w:pPr>
            <w:r w:rsidRPr="002241DD">
              <w:rPr>
                <w:sz w:val="20"/>
                <w:szCs w:val="20"/>
              </w:rPr>
              <w:t>≥5.3</w:t>
            </w:r>
          </w:p>
        </w:tc>
        <w:tc>
          <w:tcPr>
            <w:tcW w:w="1552" w:type="dxa"/>
          </w:tcPr>
          <w:p w14:paraId="00000081" w14:textId="77777777" w:rsidR="009A2A6C" w:rsidRPr="002241DD" w:rsidRDefault="00671CF7" w:rsidP="002241DD">
            <w:pPr>
              <w:spacing w:after="0" w:line="240" w:lineRule="auto"/>
              <w:rPr>
                <w:sz w:val="20"/>
                <w:szCs w:val="20"/>
              </w:rPr>
            </w:pPr>
            <w:r w:rsidRPr="002241DD">
              <w:rPr>
                <w:sz w:val="20"/>
                <w:szCs w:val="20"/>
              </w:rPr>
              <w:t xml:space="preserve">Initial 50g (1hr ≥ </w:t>
            </w:r>
            <w:proofErr w:type="gramStart"/>
            <w:r w:rsidRPr="002241DD">
              <w:rPr>
                <w:sz w:val="20"/>
                <w:szCs w:val="20"/>
              </w:rPr>
              <w:t>7.8 )</w:t>
            </w:r>
            <w:proofErr w:type="gramEnd"/>
            <w:r w:rsidRPr="002241DD">
              <w:rPr>
                <w:sz w:val="20"/>
                <w:szCs w:val="20"/>
              </w:rPr>
              <w:t xml:space="preserve"> then 100g 2</w:t>
            </w:r>
            <w:r w:rsidRPr="002241DD">
              <w:rPr>
                <w:sz w:val="20"/>
                <w:szCs w:val="20"/>
                <w:vertAlign w:val="superscript"/>
              </w:rPr>
              <w:t>nd</w:t>
            </w:r>
            <w:r w:rsidRPr="002241DD">
              <w:rPr>
                <w:sz w:val="20"/>
                <w:szCs w:val="20"/>
              </w:rPr>
              <w:t xml:space="preserve"> step</w:t>
            </w:r>
          </w:p>
        </w:tc>
        <w:tc>
          <w:tcPr>
            <w:tcW w:w="1552" w:type="dxa"/>
          </w:tcPr>
          <w:p w14:paraId="00000082" w14:textId="77777777" w:rsidR="009A2A6C" w:rsidRPr="002241DD" w:rsidRDefault="00671CF7" w:rsidP="002241DD">
            <w:pPr>
              <w:spacing w:after="0" w:line="240" w:lineRule="auto"/>
              <w:rPr>
                <w:sz w:val="20"/>
                <w:szCs w:val="20"/>
              </w:rPr>
            </w:pPr>
            <w:r w:rsidRPr="002241DD">
              <w:rPr>
                <w:sz w:val="20"/>
                <w:szCs w:val="20"/>
              </w:rPr>
              <w:t>≥10.0</w:t>
            </w:r>
          </w:p>
        </w:tc>
        <w:tc>
          <w:tcPr>
            <w:tcW w:w="1552" w:type="dxa"/>
          </w:tcPr>
          <w:p w14:paraId="00000083" w14:textId="77777777" w:rsidR="009A2A6C" w:rsidRPr="002241DD" w:rsidRDefault="00671CF7" w:rsidP="002241DD">
            <w:pPr>
              <w:spacing w:after="0" w:line="240" w:lineRule="auto"/>
              <w:rPr>
                <w:sz w:val="20"/>
                <w:szCs w:val="20"/>
              </w:rPr>
            </w:pPr>
            <w:r w:rsidRPr="002241DD">
              <w:rPr>
                <w:sz w:val="20"/>
                <w:szCs w:val="20"/>
              </w:rPr>
              <w:t>≥8.6</w:t>
            </w:r>
          </w:p>
        </w:tc>
        <w:tc>
          <w:tcPr>
            <w:tcW w:w="1552" w:type="dxa"/>
          </w:tcPr>
          <w:p w14:paraId="00000084" w14:textId="77777777" w:rsidR="009A2A6C" w:rsidRPr="002241DD" w:rsidRDefault="00671CF7" w:rsidP="002241DD">
            <w:pPr>
              <w:spacing w:after="0" w:line="240" w:lineRule="auto"/>
              <w:rPr>
                <w:sz w:val="20"/>
                <w:szCs w:val="20"/>
              </w:rPr>
            </w:pPr>
            <w:r w:rsidRPr="002241DD">
              <w:rPr>
                <w:sz w:val="20"/>
                <w:szCs w:val="20"/>
              </w:rPr>
              <w:t>≥ 7.8</w:t>
            </w:r>
          </w:p>
        </w:tc>
      </w:tr>
      <w:tr w:rsidR="009A2A6C" w:rsidRPr="002241DD" w14:paraId="5AED492A" w14:textId="77777777" w:rsidTr="002241DD">
        <w:trPr>
          <w:trHeight w:val="274"/>
        </w:trPr>
        <w:tc>
          <w:tcPr>
            <w:tcW w:w="1552" w:type="dxa"/>
          </w:tcPr>
          <w:p w14:paraId="00000085" w14:textId="77777777" w:rsidR="009A2A6C" w:rsidRPr="002241DD" w:rsidRDefault="00671CF7" w:rsidP="002241DD">
            <w:pPr>
              <w:spacing w:after="0" w:line="240" w:lineRule="auto"/>
              <w:rPr>
                <w:sz w:val="20"/>
                <w:szCs w:val="20"/>
              </w:rPr>
            </w:pPr>
            <w:r w:rsidRPr="002241DD">
              <w:rPr>
                <w:sz w:val="20"/>
                <w:szCs w:val="20"/>
              </w:rPr>
              <w:t>pre-IADPSG ADIPS 1998 (Hoffman et al)</w:t>
            </w:r>
          </w:p>
        </w:tc>
        <w:tc>
          <w:tcPr>
            <w:tcW w:w="1552" w:type="dxa"/>
          </w:tcPr>
          <w:p w14:paraId="00000086" w14:textId="77777777" w:rsidR="009A2A6C" w:rsidRPr="002241DD" w:rsidRDefault="00671CF7" w:rsidP="002241DD">
            <w:pPr>
              <w:spacing w:after="0" w:line="240" w:lineRule="auto"/>
              <w:rPr>
                <w:sz w:val="20"/>
                <w:szCs w:val="20"/>
              </w:rPr>
            </w:pPr>
            <w:r w:rsidRPr="002241DD">
              <w:rPr>
                <w:sz w:val="20"/>
                <w:szCs w:val="20"/>
              </w:rPr>
              <w:t>≥5.5</w:t>
            </w:r>
          </w:p>
        </w:tc>
        <w:tc>
          <w:tcPr>
            <w:tcW w:w="1552" w:type="dxa"/>
          </w:tcPr>
          <w:p w14:paraId="00000087" w14:textId="77777777" w:rsidR="009A2A6C" w:rsidRPr="002241DD" w:rsidRDefault="00671CF7" w:rsidP="002241DD">
            <w:pPr>
              <w:spacing w:after="0" w:line="240" w:lineRule="auto"/>
              <w:rPr>
                <w:sz w:val="20"/>
                <w:szCs w:val="20"/>
              </w:rPr>
            </w:pPr>
            <w:r w:rsidRPr="002241DD">
              <w:rPr>
                <w:sz w:val="20"/>
                <w:szCs w:val="20"/>
              </w:rPr>
              <w:t>75g OGTT</w:t>
            </w:r>
          </w:p>
        </w:tc>
        <w:tc>
          <w:tcPr>
            <w:tcW w:w="1552" w:type="dxa"/>
          </w:tcPr>
          <w:p w14:paraId="00000088" w14:textId="77777777" w:rsidR="009A2A6C" w:rsidRPr="002241DD" w:rsidRDefault="00671CF7" w:rsidP="002241DD">
            <w:pPr>
              <w:spacing w:after="0" w:line="240" w:lineRule="auto"/>
              <w:rPr>
                <w:sz w:val="20"/>
                <w:szCs w:val="20"/>
              </w:rPr>
            </w:pPr>
            <w:r w:rsidRPr="002241DD">
              <w:rPr>
                <w:sz w:val="20"/>
                <w:szCs w:val="20"/>
              </w:rPr>
              <w:t>Not required</w:t>
            </w:r>
          </w:p>
        </w:tc>
        <w:tc>
          <w:tcPr>
            <w:tcW w:w="1552" w:type="dxa"/>
          </w:tcPr>
          <w:p w14:paraId="00000089" w14:textId="77777777" w:rsidR="009A2A6C" w:rsidRPr="002241DD" w:rsidRDefault="00671CF7" w:rsidP="002241DD">
            <w:pPr>
              <w:spacing w:after="0" w:line="240" w:lineRule="auto"/>
              <w:rPr>
                <w:sz w:val="20"/>
                <w:szCs w:val="20"/>
              </w:rPr>
            </w:pPr>
            <w:r w:rsidRPr="002241DD">
              <w:rPr>
                <w:sz w:val="20"/>
                <w:szCs w:val="20"/>
              </w:rPr>
              <w:t>≥8.0</w:t>
            </w:r>
          </w:p>
        </w:tc>
        <w:tc>
          <w:tcPr>
            <w:tcW w:w="1552" w:type="dxa"/>
          </w:tcPr>
          <w:p w14:paraId="0000008A" w14:textId="77777777" w:rsidR="009A2A6C" w:rsidRPr="002241DD" w:rsidRDefault="00671CF7" w:rsidP="002241DD">
            <w:pPr>
              <w:spacing w:after="0" w:line="240" w:lineRule="auto"/>
              <w:rPr>
                <w:sz w:val="20"/>
                <w:szCs w:val="20"/>
              </w:rPr>
            </w:pPr>
            <w:r w:rsidRPr="002241DD">
              <w:rPr>
                <w:sz w:val="20"/>
                <w:szCs w:val="20"/>
              </w:rPr>
              <w:t>Not required</w:t>
            </w:r>
          </w:p>
        </w:tc>
      </w:tr>
      <w:tr w:rsidR="009A2A6C" w:rsidRPr="002241DD" w14:paraId="5C1CB290" w14:textId="77777777" w:rsidTr="002241DD">
        <w:trPr>
          <w:trHeight w:val="274"/>
        </w:trPr>
        <w:tc>
          <w:tcPr>
            <w:tcW w:w="1552" w:type="dxa"/>
          </w:tcPr>
          <w:p w14:paraId="0000008B" w14:textId="77777777" w:rsidR="009A2A6C" w:rsidRPr="002241DD" w:rsidRDefault="00671CF7" w:rsidP="002241DD">
            <w:pPr>
              <w:spacing w:after="0" w:line="240" w:lineRule="auto"/>
              <w:rPr>
                <w:sz w:val="20"/>
                <w:szCs w:val="20"/>
              </w:rPr>
            </w:pPr>
            <w:r w:rsidRPr="002241DD">
              <w:rPr>
                <w:sz w:val="20"/>
                <w:szCs w:val="20"/>
              </w:rPr>
              <w:t>NICE 2015 (UK)</w:t>
            </w:r>
          </w:p>
        </w:tc>
        <w:tc>
          <w:tcPr>
            <w:tcW w:w="1552" w:type="dxa"/>
          </w:tcPr>
          <w:p w14:paraId="0000008C" w14:textId="77777777" w:rsidR="009A2A6C" w:rsidRPr="002241DD" w:rsidRDefault="00671CF7" w:rsidP="002241DD">
            <w:pPr>
              <w:spacing w:after="0" w:line="240" w:lineRule="auto"/>
              <w:rPr>
                <w:sz w:val="20"/>
                <w:szCs w:val="20"/>
              </w:rPr>
            </w:pPr>
            <w:r w:rsidRPr="002241DD">
              <w:rPr>
                <w:sz w:val="20"/>
                <w:szCs w:val="20"/>
              </w:rPr>
              <w:t>≥5.6</w:t>
            </w:r>
          </w:p>
        </w:tc>
        <w:tc>
          <w:tcPr>
            <w:tcW w:w="1552" w:type="dxa"/>
          </w:tcPr>
          <w:p w14:paraId="0000008D" w14:textId="77777777" w:rsidR="009A2A6C" w:rsidRPr="002241DD" w:rsidRDefault="00671CF7" w:rsidP="002241DD">
            <w:pPr>
              <w:spacing w:after="0" w:line="240" w:lineRule="auto"/>
              <w:rPr>
                <w:sz w:val="20"/>
                <w:szCs w:val="20"/>
              </w:rPr>
            </w:pPr>
            <w:r w:rsidRPr="002241DD">
              <w:rPr>
                <w:sz w:val="20"/>
                <w:szCs w:val="20"/>
              </w:rPr>
              <w:t>75g OGTT</w:t>
            </w:r>
          </w:p>
        </w:tc>
        <w:tc>
          <w:tcPr>
            <w:tcW w:w="1552" w:type="dxa"/>
          </w:tcPr>
          <w:p w14:paraId="0000008E" w14:textId="77777777" w:rsidR="009A2A6C" w:rsidRPr="002241DD" w:rsidRDefault="00671CF7" w:rsidP="002241DD">
            <w:pPr>
              <w:spacing w:after="0" w:line="240" w:lineRule="auto"/>
              <w:rPr>
                <w:sz w:val="20"/>
                <w:szCs w:val="20"/>
              </w:rPr>
            </w:pPr>
            <w:r w:rsidRPr="002241DD">
              <w:rPr>
                <w:sz w:val="20"/>
                <w:szCs w:val="20"/>
              </w:rPr>
              <w:t>Not required</w:t>
            </w:r>
          </w:p>
        </w:tc>
        <w:tc>
          <w:tcPr>
            <w:tcW w:w="1552" w:type="dxa"/>
          </w:tcPr>
          <w:p w14:paraId="0000008F" w14:textId="77777777" w:rsidR="009A2A6C" w:rsidRPr="002241DD" w:rsidRDefault="00671CF7" w:rsidP="002241DD">
            <w:pPr>
              <w:spacing w:after="0" w:line="240" w:lineRule="auto"/>
              <w:rPr>
                <w:sz w:val="20"/>
                <w:szCs w:val="20"/>
              </w:rPr>
            </w:pPr>
            <w:r w:rsidRPr="002241DD">
              <w:rPr>
                <w:sz w:val="20"/>
                <w:szCs w:val="20"/>
              </w:rPr>
              <w:t>≥7.8</w:t>
            </w:r>
          </w:p>
        </w:tc>
        <w:tc>
          <w:tcPr>
            <w:tcW w:w="1552" w:type="dxa"/>
          </w:tcPr>
          <w:p w14:paraId="00000090" w14:textId="77777777" w:rsidR="009A2A6C" w:rsidRPr="002241DD" w:rsidRDefault="00671CF7" w:rsidP="002241DD">
            <w:pPr>
              <w:spacing w:after="0" w:line="240" w:lineRule="auto"/>
              <w:rPr>
                <w:sz w:val="20"/>
                <w:szCs w:val="20"/>
              </w:rPr>
            </w:pPr>
            <w:r w:rsidRPr="002241DD">
              <w:rPr>
                <w:sz w:val="20"/>
                <w:szCs w:val="20"/>
              </w:rPr>
              <w:t>Not required</w:t>
            </w:r>
          </w:p>
        </w:tc>
      </w:tr>
    </w:tbl>
    <w:p w14:paraId="00000092" w14:textId="77777777" w:rsidR="009A2A6C" w:rsidRPr="002241DD" w:rsidRDefault="00671CF7">
      <w:pPr>
        <w:pBdr>
          <w:top w:val="nil"/>
          <w:left w:val="nil"/>
          <w:bottom w:val="nil"/>
          <w:right w:val="nil"/>
          <w:between w:val="nil"/>
        </w:pBdr>
        <w:spacing w:after="0" w:line="240" w:lineRule="auto"/>
        <w:rPr>
          <w:color w:val="000000"/>
          <w:sz w:val="20"/>
          <w:szCs w:val="20"/>
        </w:rPr>
      </w:pPr>
      <w:r w:rsidRPr="002241DD">
        <w:rPr>
          <w:color w:val="000000"/>
          <w:sz w:val="20"/>
          <w:szCs w:val="20"/>
        </w:rPr>
        <w:t xml:space="preserve">*one value is sufficient for diagnosis </w:t>
      </w:r>
    </w:p>
    <w:p w14:paraId="00000093" w14:textId="77777777" w:rsidR="009A2A6C" w:rsidRPr="002241DD" w:rsidRDefault="00671CF7">
      <w:pPr>
        <w:rPr>
          <w:sz w:val="20"/>
          <w:szCs w:val="20"/>
        </w:rPr>
      </w:pPr>
      <w:r w:rsidRPr="002241DD">
        <w:rPr>
          <w:sz w:val="20"/>
          <w:szCs w:val="20"/>
        </w:rPr>
        <w:t>** two or more values are required for diagnosis</w:t>
      </w:r>
    </w:p>
    <w:p w14:paraId="26394C33" w14:textId="77777777" w:rsidR="002241DD" w:rsidRDefault="002241DD">
      <w:pPr>
        <w:pBdr>
          <w:top w:val="nil"/>
          <w:left w:val="nil"/>
          <w:bottom w:val="nil"/>
          <w:right w:val="nil"/>
          <w:between w:val="nil"/>
        </w:pBdr>
        <w:spacing w:line="240" w:lineRule="auto"/>
        <w:ind w:left="720" w:hanging="720"/>
        <w:rPr>
          <w:color w:val="000000"/>
          <w:sz w:val="20"/>
          <w:szCs w:val="20"/>
        </w:rPr>
        <w:sectPr w:rsidR="002241DD" w:rsidSect="00294396">
          <w:pgSz w:w="11906" w:h="16838"/>
          <w:pgMar w:top="1440" w:right="1440" w:bottom="1440" w:left="1440" w:header="708" w:footer="708" w:gutter="0"/>
          <w:pgNumType w:start="1"/>
          <w:cols w:space="720"/>
          <w:docGrid w:linePitch="299"/>
        </w:sectPr>
      </w:pPr>
    </w:p>
    <w:p w14:paraId="7F2E6744" w14:textId="77777777" w:rsidR="002241DD" w:rsidRPr="002241DD" w:rsidRDefault="002241DD" w:rsidP="002241DD">
      <w:pPr>
        <w:spacing w:after="0" w:line="480" w:lineRule="auto"/>
        <w:rPr>
          <w:sz w:val="20"/>
          <w:szCs w:val="20"/>
        </w:rPr>
      </w:pPr>
      <w:r w:rsidRPr="002241DD">
        <w:rPr>
          <w:b/>
          <w:sz w:val="20"/>
          <w:szCs w:val="20"/>
        </w:rPr>
        <w:lastRenderedPageBreak/>
        <w:t xml:space="preserve">Table 2 Model inputs: base-case values, ranges for </w:t>
      </w:r>
      <w:proofErr w:type="gramStart"/>
      <w:r w:rsidRPr="002241DD">
        <w:rPr>
          <w:b/>
          <w:sz w:val="20"/>
          <w:szCs w:val="20"/>
        </w:rPr>
        <w:t>one way</w:t>
      </w:r>
      <w:proofErr w:type="gramEnd"/>
      <w:r w:rsidRPr="002241DD">
        <w:rPr>
          <w:b/>
          <w:sz w:val="20"/>
          <w:szCs w:val="20"/>
        </w:rPr>
        <w:t xml:space="preserve"> sensitivity analyses and sources.</w:t>
      </w:r>
    </w:p>
    <w:tbl>
      <w:tblPr>
        <w:tblStyle w:val="a0"/>
        <w:tblW w:w="9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2"/>
        <w:gridCol w:w="1276"/>
        <w:gridCol w:w="1701"/>
        <w:gridCol w:w="2268"/>
      </w:tblGrid>
      <w:tr w:rsidR="009A2A6C" w:rsidRPr="002241DD" w14:paraId="53FB2424" w14:textId="77777777" w:rsidTr="002241DD">
        <w:trPr>
          <w:trHeight w:val="423"/>
        </w:trPr>
        <w:tc>
          <w:tcPr>
            <w:tcW w:w="3922" w:type="dxa"/>
            <w:tcBorders>
              <w:top w:val="single" w:sz="4" w:space="0" w:color="000000"/>
              <w:left w:val="nil"/>
              <w:bottom w:val="single" w:sz="4" w:space="0" w:color="000000"/>
              <w:right w:val="nil"/>
            </w:tcBorders>
          </w:tcPr>
          <w:p w14:paraId="00000095" w14:textId="77777777" w:rsidR="009A2A6C" w:rsidRPr="002241DD" w:rsidRDefault="00671CF7" w:rsidP="002241DD">
            <w:pPr>
              <w:jc w:val="both"/>
              <w:rPr>
                <w:b/>
                <w:sz w:val="20"/>
                <w:szCs w:val="20"/>
              </w:rPr>
            </w:pPr>
            <w:r w:rsidRPr="002241DD">
              <w:rPr>
                <w:b/>
                <w:sz w:val="20"/>
                <w:szCs w:val="20"/>
              </w:rPr>
              <w:t>Input</w:t>
            </w:r>
          </w:p>
        </w:tc>
        <w:tc>
          <w:tcPr>
            <w:tcW w:w="1276" w:type="dxa"/>
            <w:tcBorders>
              <w:top w:val="single" w:sz="4" w:space="0" w:color="000000"/>
              <w:left w:val="nil"/>
              <w:bottom w:val="single" w:sz="4" w:space="0" w:color="000000"/>
              <w:right w:val="nil"/>
            </w:tcBorders>
          </w:tcPr>
          <w:p w14:paraId="00000096" w14:textId="77777777" w:rsidR="009A2A6C" w:rsidRPr="002241DD" w:rsidRDefault="00671CF7" w:rsidP="002241DD">
            <w:pPr>
              <w:jc w:val="both"/>
              <w:rPr>
                <w:b/>
                <w:sz w:val="20"/>
                <w:szCs w:val="20"/>
              </w:rPr>
            </w:pPr>
            <w:r w:rsidRPr="002241DD">
              <w:rPr>
                <w:b/>
                <w:sz w:val="20"/>
                <w:szCs w:val="20"/>
              </w:rPr>
              <w:t xml:space="preserve">Estimate </w:t>
            </w:r>
          </w:p>
        </w:tc>
        <w:tc>
          <w:tcPr>
            <w:tcW w:w="1701" w:type="dxa"/>
            <w:tcBorders>
              <w:top w:val="single" w:sz="4" w:space="0" w:color="000000"/>
              <w:left w:val="nil"/>
              <w:bottom w:val="single" w:sz="4" w:space="0" w:color="000000"/>
              <w:right w:val="nil"/>
            </w:tcBorders>
          </w:tcPr>
          <w:p w14:paraId="00000097" w14:textId="77777777" w:rsidR="009A2A6C" w:rsidRPr="002241DD" w:rsidRDefault="00671CF7" w:rsidP="002241DD">
            <w:pPr>
              <w:jc w:val="both"/>
              <w:rPr>
                <w:b/>
                <w:sz w:val="20"/>
                <w:szCs w:val="20"/>
              </w:rPr>
            </w:pPr>
            <w:r w:rsidRPr="002241DD">
              <w:rPr>
                <w:b/>
                <w:sz w:val="20"/>
                <w:szCs w:val="20"/>
              </w:rPr>
              <w:t>Sensitivity analyses range</w:t>
            </w:r>
          </w:p>
        </w:tc>
        <w:tc>
          <w:tcPr>
            <w:tcW w:w="2268" w:type="dxa"/>
            <w:tcBorders>
              <w:top w:val="single" w:sz="4" w:space="0" w:color="000000"/>
              <w:left w:val="nil"/>
              <w:bottom w:val="single" w:sz="4" w:space="0" w:color="000000"/>
              <w:right w:val="nil"/>
            </w:tcBorders>
            <w:vAlign w:val="center"/>
          </w:tcPr>
          <w:p w14:paraId="00000098" w14:textId="77777777" w:rsidR="009A2A6C" w:rsidRPr="002241DD" w:rsidRDefault="00671CF7" w:rsidP="002241DD">
            <w:pPr>
              <w:rPr>
                <w:b/>
                <w:sz w:val="20"/>
                <w:szCs w:val="20"/>
              </w:rPr>
            </w:pPr>
            <w:r w:rsidRPr="002241DD">
              <w:rPr>
                <w:b/>
                <w:sz w:val="20"/>
                <w:szCs w:val="20"/>
              </w:rPr>
              <w:t>Source</w:t>
            </w:r>
          </w:p>
        </w:tc>
      </w:tr>
      <w:tr w:rsidR="009A2A6C" w:rsidRPr="002241DD" w14:paraId="64A64D25" w14:textId="77777777" w:rsidTr="002241DD">
        <w:tc>
          <w:tcPr>
            <w:tcW w:w="3922" w:type="dxa"/>
            <w:tcBorders>
              <w:top w:val="single" w:sz="4" w:space="0" w:color="000000"/>
              <w:left w:val="nil"/>
              <w:bottom w:val="nil"/>
              <w:right w:val="nil"/>
            </w:tcBorders>
          </w:tcPr>
          <w:p w14:paraId="00000099" w14:textId="77777777" w:rsidR="009A2A6C" w:rsidRPr="002241DD" w:rsidRDefault="00671CF7" w:rsidP="002241DD">
            <w:pPr>
              <w:jc w:val="both"/>
              <w:rPr>
                <w:b/>
                <w:sz w:val="20"/>
                <w:szCs w:val="20"/>
              </w:rPr>
            </w:pPr>
            <w:r w:rsidRPr="002241DD">
              <w:rPr>
                <w:b/>
                <w:sz w:val="20"/>
                <w:szCs w:val="20"/>
              </w:rPr>
              <w:t xml:space="preserve">Epidemic </w:t>
            </w:r>
          </w:p>
        </w:tc>
        <w:tc>
          <w:tcPr>
            <w:tcW w:w="1276" w:type="dxa"/>
            <w:tcBorders>
              <w:top w:val="single" w:sz="4" w:space="0" w:color="000000"/>
              <w:left w:val="nil"/>
              <w:bottom w:val="nil"/>
              <w:right w:val="nil"/>
            </w:tcBorders>
          </w:tcPr>
          <w:p w14:paraId="0000009A" w14:textId="77777777" w:rsidR="009A2A6C" w:rsidRPr="002241DD" w:rsidRDefault="009A2A6C" w:rsidP="002241DD">
            <w:pPr>
              <w:jc w:val="both"/>
              <w:rPr>
                <w:b/>
                <w:sz w:val="20"/>
                <w:szCs w:val="20"/>
              </w:rPr>
            </w:pPr>
          </w:p>
        </w:tc>
        <w:tc>
          <w:tcPr>
            <w:tcW w:w="1701" w:type="dxa"/>
            <w:tcBorders>
              <w:top w:val="single" w:sz="4" w:space="0" w:color="000000"/>
              <w:left w:val="nil"/>
              <w:bottom w:val="nil"/>
              <w:right w:val="nil"/>
            </w:tcBorders>
          </w:tcPr>
          <w:p w14:paraId="0000009B" w14:textId="77777777" w:rsidR="009A2A6C" w:rsidRPr="002241DD" w:rsidRDefault="009A2A6C" w:rsidP="002241DD">
            <w:pPr>
              <w:jc w:val="center"/>
              <w:rPr>
                <w:b/>
                <w:sz w:val="20"/>
                <w:szCs w:val="20"/>
              </w:rPr>
            </w:pPr>
          </w:p>
        </w:tc>
        <w:tc>
          <w:tcPr>
            <w:tcW w:w="2268" w:type="dxa"/>
            <w:tcBorders>
              <w:top w:val="single" w:sz="4" w:space="0" w:color="000000"/>
              <w:left w:val="nil"/>
              <w:bottom w:val="nil"/>
              <w:right w:val="nil"/>
            </w:tcBorders>
            <w:vAlign w:val="center"/>
          </w:tcPr>
          <w:p w14:paraId="0000009C" w14:textId="77777777" w:rsidR="009A2A6C" w:rsidRPr="002241DD" w:rsidRDefault="009A2A6C" w:rsidP="002241DD">
            <w:pPr>
              <w:rPr>
                <w:b/>
                <w:sz w:val="20"/>
                <w:szCs w:val="20"/>
              </w:rPr>
            </w:pPr>
          </w:p>
        </w:tc>
      </w:tr>
      <w:tr w:rsidR="009A2A6C" w:rsidRPr="002241DD" w14:paraId="5AEA7D00" w14:textId="77777777" w:rsidTr="002241DD">
        <w:tc>
          <w:tcPr>
            <w:tcW w:w="3922" w:type="dxa"/>
            <w:tcBorders>
              <w:top w:val="nil"/>
              <w:left w:val="nil"/>
              <w:bottom w:val="nil"/>
              <w:right w:val="nil"/>
            </w:tcBorders>
          </w:tcPr>
          <w:p w14:paraId="0000009D" w14:textId="77777777" w:rsidR="009A2A6C" w:rsidRPr="002241DD" w:rsidRDefault="00671CF7" w:rsidP="002241DD">
            <w:pPr>
              <w:rPr>
                <w:sz w:val="20"/>
                <w:szCs w:val="20"/>
              </w:rPr>
            </w:pPr>
            <w:r w:rsidRPr="002241DD">
              <w:rPr>
                <w:sz w:val="20"/>
                <w:szCs w:val="20"/>
              </w:rPr>
              <w:t>Prevalence of GDM in screened women</w:t>
            </w:r>
          </w:p>
        </w:tc>
        <w:tc>
          <w:tcPr>
            <w:tcW w:w="1276" w:type="dxa"/>
            <w:tcBorders>
              <w:top w:val="nil"/>
              <w:left w:val="nil"/>
              <w:bottom w:val="nil"/>
              <w:right w:val="nil"/>
            </w:tcBorders>
          </w:tcPr>
          <w:p w14:paraId="0000009E" w14:textId="77777777" w:rsidR="009A2A6C" w:rsidRPr="002241DD" w:rsidRDefault="00671CF7" w:rsidP="002241DD">
            <w:pPr>
              <w:jc w:val="both"/>
              <w:rPr>
                <w:sz w:val="20"/>
                <w:szCs w:val="20"/>
              </w:rPr>
            </w:pPr>
            <w:r w:rsidRPr="002241DD">
              <w:rPr>
                <w:sz w:val="20"/>
                <w:szCs w:val="20"/>
              </w:rPr>
              <w:t>13%</w:t>
            </w:r>
          </w:p>
        </w:tc>
        <w:tc>
          <w:tcPr>
            <w:tcW w:w="1701" w:type="dxa"/>
            <w:tcBorders>
              <w:top w:val="nil"/>
              <w:left w:val="nil"/>
              <w:bottom w:val="nil"/>
              <w:right w:val="nil"/>
            </w:tcBorders>
          </w:tcPr>
          <w:p w14:paraId="0000009F" w14:textId="77777777" w:rsidR="009A2A6C" w:rsidRPr="002241DD" w:rsidRDefault="00671CF7" w:rsidP="002241DD">
            <w:pPr>
              <w:jc w:val="center"/>
              <w:rPr>
                <w:sz w:val="20"/>
                <w:szCs w:val="20"/>
              </w:rPr>
            </w:pPr>
            <w:r w:rsidRPr="002241DD">
              <w:rPr>
                <w:sz w:val="20"/>
                <w:szCs w:val="20"/>
              </w:rPr>
              <w:t>+/-50%</w:t>
            </w:r>
          </w:p>
        </w:tc>
        <w:tc>
          <w:tcPr>
            <w:tcW w:w="2268" w:type="dxa"/>
            <w:tcBorders>
              <w:top w:val="nil"/>
              <w:left w:val="nil"/>
              <w:bottom w:val="nil"/>
              <w:right w:val="nil"/>
            </w:tcBorders>
            <w:vAlign w:val="center"/>
          </w:tcPr>
          <w:p w14:paraId="000000A0" w14:textId="77777777" w:rsidR="009A2A6C" w:rsidRPr="002241DD" w:rsidRDefault="00671CF7" w:rsidP="002241DD">
            <w:pPr>
              <w:rPr>
                <w:sz w:val="20"/>
                <w:szCs w:val="20"/>
              </w:rPr>
            </w:pPr>
            <w:r w:rsidRPr="002241DD">
              <w:rPr>
                <w:sz w:val="20"/>
                <w:szCs w:val="20"/>
              </w:rPr>
              <w:t>Moses et al., 2011</w:t>
            </w:r>
          </w:p>
        </w:tc>
      </w:tr>
      <w:tr w:rsidR="009A2A6C" w:rsidRPr="002241DD" w14:paraId="70CA4CCD" w14:textId="77777777" w:rsidTr="002241DD">
        <w:tc>
          <w:tcPr>
            <w:tcW w:w="3922" w:type="dxa"/>
            <w:tcBorders>
              <w:top w:val="nil"/>
              <w:left w:val="nil"/>
              <w:bottom w:val="nil"/>
              <w:right w:val="nil"/>
            </w:tcBorders>
          </w:tcPr>
          <w:p w14:paraId="000000A1" w14:textId="77777777" w:rsidR="009A2A6C" w:rsidRPr="002241DD" w:rsidRDefault="00671CF7" w:rsidP="002241DD">
            <w:pPr>
              <w:rPr>
                <w:sz w:val="20"/>
                <w:szCs w:val="20"/>
              </w:rPr>
            </w:pPr>
            <w:r w:rsidRPr="002241DD">
              <w:rPr>
                <w:sz w:val="20"/>
                <w:szCs w:val="20"/>
              </w:rPr>
              <w:t>Incidence of T2DM for GDM+ mother</w:t>
            </w:r>
          </w:p>
        </w:tc>
        <w:tc>
          <w:tcPr>
            <w:tcW w:w="1276" w:type="dxa"/>
            <w:tcBorders>
              <w:top w:val="nil"/>
              <w:left w:val="nil"/>
              <w:bottom w:val="nil"/>
              <w:right w:val="nil"/>
            </w:tcBorders>
          </w:tcPr>
          <w:p w14:paraId="000000A2" w14:textId="77777777" w:rsidR="009A2A6C" w:rsidRPr="002241DD" w:rsidRDefault="00671CF7" w:rsidP="002241DD">
            <w:pPr>
              <w:jc w:val="both"/>
              <w:rPr>
                <w:sz w:val="20"/>
                <w:szCs w:val="20"/>
              </w:rPr>
            </w:pPr>
            <w:r w:rsidRPr="002241DD">
              <w:rPr>
                <w:sz w:val="20"/>
                <w:szCs w:val="20"/>
              </w:rPr>
              <w:t>25.8%</w:t>
            </w:r>
          </w:p>
        </w:tc>
        <w:tc>
          <w:tcPr>
            <w:tcW w:w="1701" w:type="dxa"/>
            <w:tcBorders>
              <w:top w:val="nil"/>
              <w:left w:val="nil"/>
              <w:bottom w:val="nil"/>
              <w:right w:val="nil"/>
            </w:tcBorders>
          </w:tcPr>
          <w:p w14:paraId="000000A3" w14:textId="77777777" w:rsidR="009A2A6C" w:rsidRPr="002241DD" w:rsidRDefault="00671CF7" w:rsidP="002241DD">
            <w:pPr>
              <w:jc w:val="center"/>
              <w:rPr>
                <w:sz w:val="20"/>
                <w:szCs w:val="20"/>
              </w:rPr>
            </w:pPr>
            <w:r w:rsidRPr="002241DD">
              <w:rPr>
                <w:sz w:val="20"/>
                <w:szCs w:val="20"/>
              </w:rPr>
              <w:t>+/-50%</w:t>
            </w:r>
          </w:p>
        </w:tc>
        <w:tc>
          <w:tcPr>
            <w:tcW w:w="2268" w:type="dxa"/>
            <w:tcBorders>
              <w:top w:val="nil"/>
              <w:left w:val="nil"/>
              <w:bottom w:val="nil"/>
              <w:right w:val="nil"/>
            </w:tcBorders>
            <w:vAlign w:val="center"/>
          </w:tcPr>
          <w:p w14:paraId="000000A4" w14:textId="77777777" w:rsidR="009A2A6C" w:rsidRPr="002241DD" w:rsidRDefault="00671CF7" w:rsidP="002241DD">
            <w:pPr>
              <w:rPr>
                <w:sz w:val="20"/>
                <w:szCs w:val="20"/>
              </w:rPr>
            </w:pPr>
            <w:r w:rsidRPr="002241DD">
              <w:rPr>
                <w:sz w:val="20"/>
                <w:szCs w:val="20"/>
              </w:rPr>
              <w:t>Lee et al., 2007</w:t>
            </w:r>
          </w:p>
        </w:tc>
      </w:tr>
      <w:tr w:rsidR="009A2A6C" w:rsidRPr="002241DD" w14:paraId="1BF15294" w14:textId="77777777" w:rsidTr="002241DD">
        <w:tc>
          <w:tcPr>
            <w:tcW w:w="3922" w:type="dxa"/>
            <w:tcBorders>
              <w:top w:val="nil"/>
              <w:left w:val="nil"/>
              <w:bottom w:val="nil"/>
              <w:right w:val="nil"/>
            </w:tcBorders>
          </w:tcPr>
          <w:p w14:paraId="000000A5" w14:textId="77777777" w:rsidR="009A2A6C" w:rsidRPr="002241DD" w:rsidRDefault="00671CF7" w:rsidP="002241DD">
            <w:pPr>
              <w:pBdr>
                <w:top w:val="nil"/>
                <w:left w:val="nil"/>
                <w:bottom w:val="nil"/>
                <w:right w:val="nil"/>
                <w:between w:val="nil"/>
              </w:pBdr>
              <w:ind w:firstLine="32"/>
              <w:rPr>
                <w:color w:val="000000"/>
                <w:sz w:val="20"/>
                <w:szCs w:val="20"/>
              </w:rPr>
            </w:pPr>
            <w:r w:rsidRPr="002241DD">
              <w:rPr>
                <w:color w:val="000000"/>
                <w:sz w:val="20"/>
                <w:szCs w:val="20"/>
              </w:rPr>
              <w:t>Incidence of T2DM for GDM+ child</w:t>
            </w:r>
          </w:p>
        </w:tc>
        <w:tc>
          <w:tcPr>
            <w:tcW w:w="1276" w:type="dxa"/>
            <w:tcBorders>
              <w:top w:val="nil"/>
              <w:left w:val="nil"/>
              <w:bottom w:val="nil"/>
              <w:right w:val="nil"/>
            </w:tcBorders>
          </w:tcPr>
          <w:p w14:paraId="000000A6" w14:textId="77777777" w:rsidR="009A2A6C" w:rsidRPr="002241DD" w:rsidRDefault="00671CF7" w:rsidP="002241DD">
            <w:pPr>
              <w:jc w:val="both"/>
              <w:rPr>
                <w:sz w:val="20"/>
                <w:szCs w:val="20"/>
              </w:rPr>
            </w:pPr>
            <w:r w:rsidRPr="002241DD">
              <w:rPr>
                <w:sz w:val="20"/>
                <w:szCs w:val="20"/>
              </w:rPr>
              <w:t>12.9%</w:t>
            </w:r>
          </w:p>
        </w:tc>
        <w:tc>
          <w:tcPr>
            <w:tcW w:w="1701" w:type="dxa"/>
            <w:tcBorders>
              <w:top w:val="nil"/>
              <w:left w:val="nil"/>
              <w:bottom w:val="nil"/>
              <w:right w:val="nil"/>
            </w:tcBorders>
          </w:tcPr>
          <w:p w14:paraId="000000A7" w14:textId="77777777" w:rsidR="009A2A6C" w:rsidRPr="002241DD" w:rsidRDefault="00671CF7" w:rsidP="002241DD">
            <w:pPr>
              <w:jc w:val="center"/>
              <w:rPr>
                <w:sz w:val="20"/>
                <w:szCs w:val="20"/>
              </w:rPr>
            </w:pPr>
            <w:r w:rsidRPr="002241DD">
              <w:rPr>
                <w:sz w:val="20"/>
                <w:szCs w:val="20"/>
              </w:rPr>
              <w:t>+/-50%</w:t>
            </w:r>
          </w:p>
        </w:tc>
        <w:tc>
          <w:tcPr>
            <w:tcW w:w="2268" w:type="dxa"/>
            <w:tcBorders>
              <w:top w:val="nil"/>
              <w:left w:val="nil"/>
              <w:bottom w:val="nil"/>
              <w:right w:val="nil"/>
            </w:tcBorders>
            <w:vAlign w:val="center"/>
          </w:tcPr>
          <w:p w14:paraId="000000A8" w14:textId="77777777" w:rsidR="009A2A6C" w:rsidRPr="002241DD" w:rsidRDefault="00671CF7" w:rsidP="002241DD">
            <w:pPr>
              <w:rPr>
                <w:sz w:val="20"/>
                <w:szCs w:val="20"/>
              </w:rPr>
            </w:pPr>
            <w:r w:rsidRPr="002241DD">
              <w:rPr>
                <w:sz w:val="20"/>
                <w:szCs w:val="20"/>
              </w:rPr>
              <w:t>Assumption (halved)</w:t>
            </w:r>
          </w:p>
        </w:tc>
      </w:tr>
      <w:tr w:rsidR="009A2A6C" w:rsidRPr="002241DD" w14:paraId="13F9C638" w14:textId="77777777" w:rsidTr="002241DD">
        <w:tc>
          <w:tcPr>
            <w:tcW w:w="3922" w:type="dxa"/>
            <w:tcBorders>
              <w:top w:val="nil"/>
              <w:left w:val="nil"/>
              <w:bottom w:val="nil"/>
              <w:right w:val="nil"/>
            </w:tcBorders>
          </w:tcPr>
          <w:p w14:paraId="000000A9" w14:textId="556BD9D5" w:rsidR="009A2A6C" w:rsidRPr="002241DD" w:rsidRDefault="00671CF7" w:rsidP="002241DD">
            <w:pPr>
              <w:pBdr>
                <w:top w:val="nil"/>
                <w:left w:val="nil"/>
                <w:bottom w:val="nil"/>
                <w:right w:val="nil"/>
                <w:between w:val="nil"/>
              </w:pBdr>
              <w:ind w:firstLine="32"/>
              <w:rPr>
                <w:color w:val="000000"/>
                <w:sz w:val="20"/>
                <w:szCs w:val="20"/>
              </w:rPr>
            </w:pPr>
            <w:r w:rsidRPr="002241DD">
              <w:rPr>
                <w:color w:val="000000"/>
                <w:sz w:val="20"/>
                <w:szCs w:val="20"/>
              </w:rPr>
              <w:t>Relative risk reduction</w:t>
            </w:r>
            <w:r w:rsidR="002B4F18" w:rsidRPr="002241DD">
              <w:rPr>
                <w:color w:val="000000"/>
                <w:sz w:val="20"/>
                <w:szCs w:val="20"/>
              </w:rPr>
              <w:t xml:space="preserve"> </w:t>
            </w:r>
            <w:r w:rsidR="00676504" w:rsidRPr="002241DD">
              <w:rPr>
                <w:color w:val="000000"/>
                <w:sz w:val="20"/>
                <w:szCs w:val="20"/>
              </w:rPr>
              <w:t>for T2DM given</w:t>
            </w:r>
            <w:r w:rsidRPr="002241DD">
              <w:rPr>
                <w:color w:val="000000"/>
                <w:sz w:val="20"/>
                <w:szCs w:val="20"/>
              </w:rPr>
              <w:t xml:space="preserve"> DPP for </w:t>
            </w:r>
            <w:r w:rsidR="00676504" w:rsidRPr="002241DD">
              <w:rPr>
                <w:color w:val="000000"/>
                <w:sz w:val="20"/>
                <w:szCs w:val="20"/>
              </w:rPr>
              <w:t>GDM+</w:t>
            </w:r>
            <w:r w:rsidRPr="002241DD">
              <w:rPr>
                <w:color w:val="000000"/>
                <w:sz w:val="20"/>
                <w:szCs w:val="20"/>
              </w:rPr>
              <w:t xml:space="preserve"> mother</w:t>
            </w:r>
          </w:p>
        </w:tc>
        <w:tc>
          <w:tcPr>
            <w:tcW w:w="1276" w:type="dxa"/>
            <w:tcBorders>
              <w:top w:val="nil"/>
              <w:left w:val="nil"/>
              <w:bottom w:val="nil"/>
              <w:right w:val="nil"/>
            </w:tcBorders>
          </w:tcPr>
          <w:p w14:paraId="000000AA" w14:textId="77777777" w:rsidR="009A2A6C" w:rsidRPr="002241DD" w:rsidRDefault="00671CF7" w:rsidP="002241DD">
            <w:pPr>
              <w:jc w:val="both"/>
              <w:rPr>
                <w:sz w:val="20"/>
                <w:szCs w:val="20"/>
              </w:rPr>
            </w:pPr>
            <w:r w:rsidRPr="002241DD">
              <w:rPr>
                <w:sz w:val="20"/>
                <w:szCs w:val="20"/>
              </w:rPr>
              <w:t>0.45</w:t>
            </w:r>
          </w:p>
        </w:tc>
        <w:tc>
          <w:tcPr>
            <w:tcW w:w="1701" w:type="dxa"/>
            <w:tcBorders>
              <w:top w:val="nil"/>
              <w:left w:val="nil"/>
              <w:bottom w:val="nil"/>
              <w:right w:val="nil"/>
            </w:tcBorders>
          </w:tcPr>
          <w:p w14:paraId="000000AB" w14:textId="77777777" w:rsidR="009A2A6C" w:rsidRPr="002241DD" w:rsidRDefault="00671CF7" w:rsidP="002241DD">
            <w:pPr>
              <w:jc w:val="center"/>
              <w:rPr>
                <w:sz w:val="20"/>
                <w:szCs w:val="20"/>
              </w:rPr>
            </w:pPr>
            <w:r w:rsidRPr="002241DD">
              <w:rPr>
                <w:sz w:val="20"/>
                <w:szCs w:val="20"/>
              </w:rPr>
              <w:t>+/-50%</w:t>
            </w:r>
          </w:p>
        </w:tc>
        <w:tc>
          <w:tcPr>
            <w:tcW w:w="2268" w:type="dxa"/>
            <w:tcBorders>
              <w:top w:val="nil"/>
              <w:left w:val="nil"/>
              <w:bottom w:val="nil"/>
              <w:right w:val="nil"/>
            </w:tcBorders>
            <w:vAlign w:val="center"/>
          </w:tcPr>
          <w:p w14:paraId="000000AC" w14:textId="77777777" w:rsidR="009A2A6C" w:rsidRPr="002241DD" w:rsidRDefault="00671CF7" w:rsidP="002241DD">
            <w:pPr>
              <w:rPr>
                <w:sz w:val="20"/>
                <w:szCs w:val="20"/>
              </w:rPr>
            </w:pPr>
            <w:r w:rsidRPr="002241DD">
              <w:rPr>
                <w:sz w:val="20"/>
                <w:szCs w:val="20"/>
              </w:rPr>
              <w:t>Multiple sources</w:t>
            </w:r>
          </w:p>
        </w:tc>
      </w:tr>
      <w:tr w:rsidR="009A2A6C" w:rsidRPr="002241DD" w14:paraId="70360CA3" w14:textId="77777777" w:rsidTr="002241DD">
        <w:tc>
          <w:tcPr>
            <w:tcW w:w="3922" w:type="dxa"/>
            <w:tcBorders>
              <w:top w:val="nil"/>
              <w:left w:val="nil"/>
              <w:bottom w:val="nil"/>
              <w:right w:val="nil"/>
            </w:tcBorders>
          </w:tcPr>
          <w:p w14:paraId="000000AD" w14:textId="77777777" w:rsidR="009A2A6C" w:rsidRPr="002241DD" w:rsidRDefault="00671CF7" w:rsidP="002241DD">
            <w:pPr>
              <w:pBdr>
                <w:top w:val="nil"/>
                <w:left w:val="nil"/>
                <w:bottom w:val="nil"/>
                <w:right w:val="nil"/>
                <w:between w:val="nil"/>
              </w:pBdr>
              <w:ind w:firstLine="32"/>
              <w:rPr>
                <w:color w:val="000000"/>
                <w:sz w:val="20"/>
                <w:szCs w:val="20"/>
              </w:rPr>
            </w:pPr>
            <w:r w:rsidRPr="002241DD">
              <w:rPr>
                <w:color w:val="000000"/>
                <w:sz w:val="20"/>
                <w:szCs w:val="20"/>
              </w:rPr>
              <w:t>Average age T2DM onset in GDM+ mother</w:t>
            </w:r>
          </w:p>
        </w:tc>
        <w:tc>
          <w:tcPr>
            <w:tcW w:w="1276" w:type="dxa"/>
            <w:tcBorders>
              <w:top w:val="nil"/>
              <w:left w:val="nil"/>
              <w:bottom w:val="nil"/>
              <w:right w:val="nil"/>
            </w:tcBorders>
          </w:tcPr>
          <w:p w14:paraId="000000AE" w14:textId="77777777" w:rsidR="009A2A6C" w:rsidRPr="002241DD" w:rsidRDefault="00671CF7" w:rsidP="002241DD">
            <w:pPr>
              <w:jc w:val="both"/>
              <w:rPr>
                <w:sz w:val="20"/>
                <w:szCs w:val="20"/>
              </w:rPr>
            </w:pPr>
            <w:r w:rsidRPr="002241DD">
              <w:rPr>
                <w:sz w:val="20"/>
                <w:szCs w:val="20"/>
              </w:rPr>
              <w:t>45 years</w:t>
            </w:r>
          </w:p>
        </w:tc>
        <w:tc>
          <w:tcPr>
            <w:tcW w:w="1701" w:type="dxa"/>
            <w:tcBorders>
              <w:top w:val="nil"/>
              <w:left w:val="nil"/>
              <w:bottom w:val="nil"/>
              <w:right w:val="nil"/>
            </w:tcBorders>
          </w:tcPr>
          <w:p w14:paraId="000000AF" w14:textId="77777777" w:rsidR="009A2A6C" w:rsidRPr="002241DD" w:rsidRDefault="00671CF7" w:rsidP="002241DD">
            <w:pPr>
              <w:jc w:val="center"/>
              <w:rPr>
                <w:sz w:val="20"/>
                <w:szCs w:val="20"/>
              </w:rPr>
            </w:pPr>
            <w:r w:rsidRPr="002241DD">
              <w:rPr>
                <w:sz w:val="20"/>
                <w:szCs w:val="20"/>
              </w:rPr>
              <w:t>--</w:t>
            </w:r>
          </w:p>
        </w:tc>
        <w:tc>
          <w:tcPr>
            <w:tcW w:w="2268" w:type="dxa"/>
            <w:tcBorders>
              <w:top w:val="nil"/>
              <w:left w:val="nil"/>
              <w:bottom w:val="nil"/>
              <w:right w:val="nil"/>
            </w:tcBorders>
            <w:vAlign w:val="center"/>
          </w:tcPr>
          <w:p w14:paraId="000000B0" w14:textId="77777777" w:rsidR="009A2A6C" w:rsidRPr="002241DD" w:rsidRDefault="00671CF7" w:rsidP="002241DD">
            <w:pPr>
              <w:rPr>
                <w:sz w:val="20"/>
                <w:szCs w:val="20"/>
              </w:rPr>
            </w:pPr>
            <w:r w:rsidRPr="002241DD">
              <w:rPr>
                <w:sz w:val="20"/>
                <w:szCs w:val="20"/>
              </w:rPr>
              <w:t>Lee et al., 2007</w:t>
            </w:r>
          </w:p>
        </w:tc>
      </w:tr>
      <w:tr w:rsidR="009A2A6C" w:rsidRPr="002241DD" w14:paraId="648FAF31" w14:textId="77777777" w:rsidTr="002241DD">
        <w:tc>
          <w:tcPr>
            <w:tcW w:w="3922" w:type="dxa"/>
            <w:tcBorders>
              <w:top w:val="nil"/>
              <w:left w:val="nil"/>
              <w:bottom w:val="nil"/>
              <w:right w:val="nil"/>
            </w:tcBorders>
          </w:tcPr>
          <w:p w14:paraId="000000B1" w14:textId="77777777" w:rsidR="009A2A6C" w:rsidRPr="002241DD" w:rsidRDefault="00671CF7" w:rsidP="002241DD">
            <w:pPr>
              <w:pBdr>
                <w:top w:val="nil"/>
                <w:left w:val="nil"/>
                <w:bottom w:val="nil"/>
                <w:right w:val="nil"/>
                <w:between w:val="nil"/>
              </w:pBdr>
              <w:ind w:firstLine="32"/>
              <w:rPr>
                <w:color w:val="000000"/>
                <w:sz w:val="20"/>
                <w:szCs w:val="20"/>
              </w:rPr>
            </w:pPr>
            <w:r w:rsidRPr="002241DD">
              <w:rPr>
                <w:color w:val="000000"/>
                <w:sz w:val="20"/>
                <w:szCs w:val="20"/>
              </w:rPr>
              <w:t>Average age T2DM onset in GDM+ child</w:t>
            </w:r>
          </w:p>
        </w:tc>
        <w:tc>
          <w:tcPr>
            <w:tcW w:w="1276" w:type="dxa"/>
            <w:tcBorders>
              <w:top w:val="nil"/>
              <w:left w:val="nil"/>
              <w:bottom w:val="nil"/>
              <w:right w:val="nil"/>
            </w:tcBorders>
          </w:tcPr>
          <w:p w14:paraId="000000B2" w14:textId="77777777" w:rsidR="009A2A6C" w:rsidRPr="002241DD" w:rsidRDefault="00671CF7" w:rsidP="002241DD">
            <w:pPr>
              <w:jc w:val="both"/>
              <w:rPr>
                <w:sz w:val="20"/>
                <w:szCs w:val="20"/>
              </w:rPr>
            </w:pPr>
            <w:r w:rsidRPr="002241DD">
              <w:rPr>
                <w:sz w:val="20"/>
                <w:szCs w:val="20"/>
              </w:rPr>
              <w:t>30 years</w:t>
            </w:r>
          </w:p>
        </w:tc>
        <w:tc>
          <w:tcPr>
            <w:tcW w:w="1701" w:type="dxa"/>
            <w:tcBorders>
              <w:top w:val="nil"/>
              <w:left w:val="nil"/>
              <w:bottom w:val="nil"/>
              <w:right w:val="nil"/>
            </w:tcBorders>
          </w:tcPr>
          <w:p w14:paraId="000000B3" w14:textId="77777777" w:rsidR="009A2A6C" w:rsidRPr="002241DD" w:rsidRDefault="00671CF7" w:rsidP="002241DD">
            <w:pPr>
              <w:jc w:val="center"/>
              <w:rPr>
                <w:sz w:val="20"/>
                <w:szCs w:val="20"/>
              </w:rPr>
            </w:pPr>
            <w:r w:rsidRPr="002241DD">
              <w:rPr>
                <w:sz w:val="20"/>
                <w:szCs w:val="20"/>
              </w:rPr>
              <w:t>--</w:t>
            </w:r>
          </w:p>
        </w:tc>
        <w:tc>
          <w:tcPr>
            <w:tcW w:w="2268" w:type="dxa"/>
            <w:tcBorders>
              <w:top w:val="nil"/>
              <w:left w:val="nil"/>
              <w:bottom w:val="nil"/>
              <w:right w:val="nil"/>
            </w:tcBorders>
            <w:vAlign w:val="center"/>
          </w:tcPr>
          <w:p w14:paraId="000000B4" w14:textId="77777777" w:rsidR="009A2A6C" w:rsidRPr="002241DD" w:rsidRDefault="00671CF7" w:rsidP="002241DD">
            <w:pPr>
              <w:rPr>
                <w:sz w:val="20"/>
                <w:szCs w:val="20"/>
              </w:rPr>
            </w:pPr>
            <w:r w:rsidRPr="002241DD">
              <w:rPr>
                <w:sz w:val="20"/>
                <w:szCs w:val="20"/>
              </w:rPr>
              <w:t>Assumption</w:t>
            </w:r>
          </w:p>
        </w:tc>
      </w:tr>
      <w:tr w:rsidR="009A2A6C" w:rsidRPr="002241DD" w14:paraId="7740CCE1" w14:textId="77777777" w:rsidTr="002241DD">
        <w:tc>
          <w:tcPr>
            <w:tcW w:w="3922" w:type="dxa"/>
            <w:tcBorders>
              <w:top w:val="nil"/>
              <w:left w:val="nil"/>
              <w:bottom w:val="nil"/>
              <w:right w:val="nil"/>
            </w:tcBorders>
          </w:tcPr>
          <w:p w14:paraId="000000B5" w14:textId="77777777" w:rsidR="009A2A6C" w:rsidRPr="002241DD" w:rsidRDefault="00671CF7" w:rsidP="002241DD">
            <w:pPr>
              <w:pBdr>
                <w:top w:val="nil"/>
                <w:left w:val="nil"/>
                <w:bottom w:val="nil"/>
                <w:right w:val="nil"/>
                <w:between w:val="nil"/>
              </w:pBdr>
              <w:ind w:firstLine="32"/>
              <w:rPr>
                <w:color w:val="000000"/>
                <w:sz w:val="20"/>
                <w:szCs w:val="20"/>
              </w:rPr>
            </w:pPr>
            <w:r w:rsidRPr="002241DD">
              <w:rPr>
                <w:color w:val="000000"/>
                <w:sz w:val="20"/>
                <w:szCs w:val="20"/>
              </w:rPr>
              <w:t>Estimated life expectancy from GDM intervention: Mother</w:t>
            </w:r>
          </w:p>
        </w:tc>
        <w:tc>
          <w:tcPr>
            <w:tcW w:w="1276" w:type="dxa"/>
            <w:tcBorders>
              <w:top w:val="nil"/>
              <w:left w:val="nil"/>
              <w:bottom w:val="nil"/>
              <w:right w:val="nil"/>
            </w:tcBorders>
          </w:tcPr>
          <w:p w14:paraId="000000B6" w14:textId="77777777" w:rsidR="009A2A6C" w:rsidRPr="002241DD" w:rsidRDefault="00671CF7" w:rsidP="002241DD">
            <w:pPr>
              <w:jc w:val="both"/>
              <w:rPr>
                <w:sz w:val="20"/>
                <w:szCs w:val="20"/>
              </w:rPr>
            </w:pPr>
            <w:r w:rsidRPr="002241DD">
              <w:rPr>
                <w:sz w:val="20"/>
                <w:szCs w:val="20"/>
              </w:rPr>
              <w:t>43 years</w:t>
            </w:r>
          </w:p>
        </w:tc>
        <w:tc>
          <w:tcPr>
            <w:tcW w:w="1701" w:type="dxa"/>
            <w:tcBorders>
              <w:top w:val="nil"/>
              <w:left w:val="nil"/>
              <w:bottom w:val="nil"/>
              <w:right w:val="nil"/>
            </w:tcBorders>
          </w:tcPr>
          <w:p w14:paraId="000000B7" w14:textId="77777777" w:rsidR="009A2A6C" w:rsidRPr="002241DD" w:rsidRDefault="00671CF7" w:rsidP="002241DD">
            <w:pPr>
              <w:jc w:val="center"/>
              <w:rPr>
                <w:sz w:val="20"/>
                <w:szCs w:val="20"/>
              </w:rPr>
            </w:pPr>
            <w:r w:rsidRPr="002241DD">
              <w:rPr>
                <w:sz w:val="20"/>
                <w:szCs w:val="20"/>
              </w:rPr>
              <w:t>--</w:t>
            </w:r>
          </w:p>
        </w:tc>
        <w:tc>
          <w:tcPr>
            <w:tcW w:w="2268" w:type="dxa"/>
            <w:tcBorders>
              <w:top w:val="nil"/>
              <w:left w:val="nil"/>
              <w:bottom w:val="nil"/>
              <w:right w:val="nil"/>
            </w:tcBorders>
            <w:vAlign w:val="center"/>
          </w:tcPr>
          <w:p w14:paraId="000000B8" w14:textId="77777777" w:rsidR="009A2A6C" w:rsidRPr="002241DD" w:rsidRDefault="00671CF7" w:rsidP="002241DD">
            <w:pPr>
              <w:rPr>
                <w:sz w:val="20"/>
                <w:szCs w:val="20"/>
              </w:rPr>
            </w:pPr>
            <w:r w:rsidRPr="002241DD">
              <w:rPr>
                <w:sz w:val="20"/>
                <w:szCs w:val="20"/>
              </w:rPr>
              <w:t>OECD Health Stats</w:t>
            </w:r>
          </w:p>
        </w:tc>
      </w:tr>
      <w:tr w:rsidR="009A2A6C" w:rsidRPr="002241DD" w14:paraId="0C00CB07" w14:textId="77777777" w:rsidTr="002241DD">
        <w:tc>
          <w:tcPr>
            <w:tcW w:w="3922" w:type="dxa"/>
            <w:tcBorders>
              <w:top w:val="nil"/>
              <w:left w:val="nil"/>
              <w:bottom w:val="nil"/>
              <w:right w:val="nil"/>
            </w:tcBorders>
          </w:tcPr>
          <w:p w14:paraId="000000B9" w14:textId="77777777" w:rsidR="009A2A6C" w:rsidRPr="002241DD" w:rsidRDefault="00671CF7" w:rsidP="002241DD">
            <w:pPr>
              <w:pBdr>
                <w:top w:val="nil"/>
                <w:left w:val="nil"/>
                <w:bottom w:val="nil"/>
                <w:right w:val="nil"/>
                <w:between w:val="nil"/>
              </w:pBdr>
              <w:ind w:firstLine="32"/>
              <w:rPr>
                <w:color w:val="000000"/>
                <w:sz w:val="20"/>
                <w:szCs w:val="20"/>
              </w:rPr>
            </w:pPr>
            <w:r w:rsidRPr="002241DD">
              <w:rPr>
                <w:color w:val="000000"/>
                <w:sz w:val="20"/>
                <w:szCs w:val="20"/>
              </w:rPr>
              <w:t>Estimated life expectancy from GDM intervention: Child</w:t>
            </w:r>
          </w:p>
        </w:tc>
        <w:tc>
          <w:tcPr>
            <w:tcW w:w="1276" w:type="dxa"/>
            <w:tcBorders>
              <w:top w:val="nil"/>
              <w:left w:val="nil"/>
              <w:bottom w:val="nil"/>
              <w:right w:val="nil"/>
            </w:tcBorders>
          </w:tcPr>
          <w:p w14:paraId="000000BA" w14:textId="77777777" w:rsidR="009A2A6C" w:rsidRPr="002241DD" w:rsidRDefault="00671CF7" w:rsidP="002241DD">
            <w:pPr>
              <w:jc w:val="both"/>
              <w:rPr>
                <w:sz w:val="20"/>
                <w:szCs w:val="20"/>
              </w:rPr>
            </w:pPr>
            <w:r w:rsidRPr="002241DD">
              <w:rPr>
                <w:sz w:val="20"/>
                <w:szCs w:val="20"/>
              </w:rPr>
              <w:t>44 years</w:t>
            </w:r>
          </w:p>
        </w:tc>
        <w:tc>
          <w:tcPr>
            <w:tcW w:w="1701" w:type="dxa"/>
            <w:tcBorders>
              <w:top w:val="nil"/>
              <w:left w:val="nil"/>
              <w:bottom w:val="nil"/>
              <w:right w:val="nil"/>
            </w:tcBorders>
          </w:tcPr>
          <w:p w14:paraId="000000BB" w14:textId="77777777" w:rsidR="009A2A6C" w:rsidRPr="002241DD" w:rsidRDefault="00671CF7" w:rsidP="002241DD">
            <w:pPr>
              <w:jc w:val="center"/>
              <w:rPr>
                <w:sz w:val="20"/>
                <w:szCs w:val="20"/>
              </w:rPr>
            </w:pPr>
            <w:r w:rsidRPr="002241DD">
              <w:rPr>
                <w:sz w:val="20"/>
                <w:szCs w:val="20"/>
              </w:rPr>
              <w:t>--</w:t>
            </w:r>
          </w:p>
        </w:tc>
        <w:tc>
          <w:tcPr>
            <w:tcW w:w="2268" w:type="dxa"/>
            <w:tcBorders>
              <w:top w:val="nil"/>
              <w:left w:val="nil"/>
              <w:bottom w:val="nil"/>
              <w:right w:val="nil"/>
            </w:tcBorders>
            <w:vAlign w:val="center"/>
          </w:tcPr>
          <w:p w14:paraId="000000BC" w14:textId="77777777" w:rsidR="009A2A6C" w:rsidRPr="002241DD" w:rsidRDefault="00671CF7" w:rsidP="002241DD">
            <w:pPr>
              <w:rPr>
                <w:sz w:val="20"/>
                <w:szCs w:val="20"/>
              </w:rPr>
            </w:pPr>
            <w:r w:rsidRPr="002241DD">
              <w:rPr>
                <w:sz w:val="20"/>
                <w:szCs w:val="20"/>
              </w:rPr>
              <w:t>OECD Health Stats</w:t>
            </w:r>
          </w:p>
        </w:tc>
      </w:tr>
      <w:tr w:rsidR="009A2A6C" w:rsidRPr="002241DD" w14:paraId="1579859E" w14:textId="77777777" w:rsidTr="002241DD">
        <w:tc>
          <w:tcPr>
            <w:tcW w:w="3922" w:type="dxa"/>
            <w:tcBorders>
              <w:top w:val="nil"/>
              <w:left w:val="nil"/>
              <w:bottom w:val="nil"/>
              <w:right w:val="nil"/>
            </w:tcBorders>
          </w:tcPr>
          <w:p w14:paraId="000000BD" w14:textId="77777777" w:rsidR="009A2A6C" w:rsidRPr="002241DD" w:rsidRDefault="00671CF7" w:rsidP="002241DD">
            <w:pPr>
              <w:pBdr>
                <w:top w:val="nil"/>
                <w:left w:val="nil"/>
                <w:bottom w:val="nil"/>
                <w:right w:val="nil"/>
                <w:between w:val="nil"/>
              </w:pBdr>
              <w:rPr>
                <w:color w:val="000000"/>
                <w:sz w:val="20"/>
                <w:szCs w:val="20"/>
              </w:rPr>
            </w:pPr>
            <w:r w:rsidRPr="002241DD">
              <w:rPr>
                <w:color w:val="000000"/>
                <w:sz w:val="20"/>
                <w:szCs w:val="20"/>
              </w:rPr>
              <w:t>Proportion of GDM+ women who initiate post-partum care</w:t>
            </w:r>
          </w:p>
        </w:tc>
        <w:tc>
          <w:tcPr>
            <w:tcW w:w="1276" w:type="dxa"/>
            <w:tcBorders>
              <w:top w:val="nil"/>
              <w:left w:val="nil"/>
              <w:bottom w:val="nil"/>
              <w:right w:val="nil"/>
            </w:tcBorders>
          </w:tcPr>
          <w:p w14:paraId="000000BE" w14:textId="77777777" w:rsidR="009A2A6C" w:rsidRPr="002241DD" w:rsidRDefault="00671CF7" w:rsidP="002241DD">
            <w:pPr>
              <w:jc w:val="both"/>
              <w:rPr>
                <w:sz w:val="20"/>
                <w:szCs w:val="20"/>
              </w:rPr>
            </w:pPr>
            <w:r w:rsidRPr="002241DD">
              <w:rPr>
                <w:sz w:val="20"/>
                <w:szCs w:val="20"/>
              </w:rPr>
              <w:t>80%</w:t>
            </w:r>
          </w:p>
        </w:tc>
        <w:tc>
          <w:tcPr>
            <w:tcW w:w="1701" w:type="dxa"/>
            <w:tcBorders>
              <w:top w:val="nil"/>
              <w:left w:val="nil"/>
              <w:bottom w:val="nil"/>
              <w:right w:val="nil"/>
            </w:tcBorders>
          </w:tcPr>
          <w:p w14:paraId="000000BF" w14:textId="77777777" w:rsidR="009A2A6C" w:rsidRPr="002241DD" w:rsidRDefault="00671CF7" w:rsidP="002241DD">
            <w:pPr>
              <w:jc w:val="center"/>
              <w:rPr>
                <w:sz w:val="20"/>
                <w:szCs w:val="20"/>
              </w:rPr>
            </w:pPr>
            <w:r w:rsidRPr="002241DD">
              <w:rPr>
                <w:sz w:val="20"/>
                <w:szCs w:val="20"/>
              </w:rPr>
              <w:t>+/-20 % points (60-100%)</w:t>
            </w:r>
          </w:p>
        </w:tc>
        <w:tc>
          <w:tcPr>
            <w:tcW w:w="2268" w:type="dxa"/>
            <w:tcBorders>
              <w:top w:val="nil"/>
              <w:left w:val="nil"/>
              <w:bottom w:val="nil"/>
              <w:right w:val="nil"/>
            </w:tcBorders>
            <w:vAlign w:val="center"/>
          </w:tcPr>
          <w:p w14:paraId="000000C0" w14:textId="77777777" w:rsidR="009A2A6C" w:rsidRPr="002241DD" w:rsidRDefault="00671CF7" w:rsidP="002241DD">
            <w:pPr>
              <w:rPr>
                <w:sz w:val="20"/>
                <w:szCs w:val="20"/>
              </w:rPr>
            </w:pPr>
            <w:r w:rsidRPr="002241DD">
              <w:rPr>
                <w:sz w:val="20"/>
                <w:szCs w:val="20"/>
              </w:rPr>
              <w:t>Assumption</w:t>
            </w:r>
          </w:p>
        </w:tc>
      </w:tr>
      <w:tr w:rsidR="009A2A6C" w:rsidRPr="002241DD" w14:paraId="7207A91B" w14:textId="77777777" w:rsidTr="002241DD">
        <w:tc>
          <w:tcPr>
            <w:tcW w:w="5198" w:type="dxa"/>
            <w:gridSpan w:val="2"/>
            <w:tcBorders>
              <w:top w:val="single" w:sz="4" w:space="0" w:color="000000"/>
              <w:left w:val="nil"/>
              <w:bottom w:val="nil"/>
              <w:right w:val="nil"/>
            </w:tcBorders>
          </w:tcPr>
          <w:p w14:paraId="000000C1" w14:textId="77777777" w:rsidR="009A2A6C" w:rsidRPr="002241DD" w:rsidRDefault="00671CF7" w:rsidP="002241DD">
            <w:pPr>
              <w:jc w:val="both"/>
              <w:rPr>
                <w:sz w:val="20"/>
                <w:szCs w:val="20"/>
              </w:rPr>
            </w:pPr>
            <w:r w:rsidRPr="002241DD">
              <w:rPr>
                <w:b/>
                <w:sz w:val="20"/>
                <w:szCs w:val="20"/>
              </w:rPr>
              <w:t>Intervention Cost ($AUD 2018 prices)</w:t>
            </w:r>
          </w:p>
        </w:tc>
        <w:tc>
          <w:tcPr>
            <w:tcW w:w="1701" w:type="dxa"/>
            <w:tcBorders>
              <w:top w:val="single" w:sz="4" w:space="0" w:color="000000"/>
              <w:left w:val="nil"/>
              <w:bottom w:val="nil"/>
              <w:right w:val="nil"/>
            </w:tcBorders>
          </w:tcPr>
          <w:p w14:paraId="000000C3" w14:textId="77777777" w:rsidR="009A2A6C" w:rsidRPr="002241DD" w:rsidRDefault="009A2A6C" w:rsidP="002241DD">
            <w:pPr>
              <w:jc w:val="center"/>
              <w:rPr>
                <w:sz w:val="20"/>
                <w:szCs w:val="20"/>
              </w:rPr>
            </w:pPr>
          </w:p>
        </w:tc>
        <w:tc>
          <w:tcPr>
            <w:tcW w:w="2268" w:type="dxa"/>
            <w:tcBorders>
              <w:top w:val="single" w:sz="4" w:space="0" w:color="000000"/>
              <w:left w:val="nil"/>
              <w:bottom w:val="nil"/>
              <w:right w:val="nil"/>
            </w:tcBorders>
            <w:vAlign w:val="center"/>
          </w:tcPr>
          <w:p w14:paraId="000000C4" w14:textId="77777777" w:rsidR="009A2A6C" w:rsidRPr="002241DD" w:rsidRDefault="009A2A6C" w:rsidP="002241DD">
            <w:pPr>
              <w:rPr>
                <w:sz w:val="20"/>
                <w:szCs w:val="20"/>
              </w:rPr>
            </w:pPr>
          </w:p>
        </w:tc>
      </w:tr>
      <w:tr w:rsidR="009A2A6C" w:rsidRPr="002241DD" w14:paraId="2AEF5F2E" w14:textId="77777777" w:rsidTr="002241DD">
        <w:tc>
          <w:tcPr>
            <w:tcW w:w="3922" w:type="dxa"/>
            <w:tcBorders>
              <w:top w:val="nil"/>
              <w:left w:val="nil"/>
              <w:bottom w:val="nil"/>
              <w:right w:val="nil"/>
            </w:tcBorders>
          </w:tcPr>
          <w:p w14:paraId="000000C5" w14:textId="77777777" w:rsidR="009A2A6C" w:rsidRPr="002241DD" w:rsidRDefault="00671CF7" w:rsidP="002241DD">
            <w:pPr>
              <w:rPr>
                <w:sz w:val="20"/>
                <w:szCs w:val="20"/>
              </w:rPr>
            </w:pPr>
            <w:r w:rsidRPr="002241DD">
              <w:rPr>
                <w:sz w:val="20"/>
                <w:szCs w:val="20"/>
              </w:rPr>
              <w:t>Initial screen (IADPSG – one step)</w:t>
            </w:r>
          </w:p>
        </w:tc>
        <w:tc>
          <w:tcPr>
            <w:tcW w:w="1276" w:type="dxa"/>
            <w:tcBorders>
              <w:top w:val="nil"/>
              <w:left w:val="nil"/>
              <w:bottom w:val="nil"/>
              <w:right w:val="nil"/>
            </w:tcBorders>
          </w:tcPr>
          <w:p w14:paraId="000000C6" w14:textId="77777777" w:rsidR="009A2A6C" w:rsidRPr="002241DD" w:rsidRDefault="00671CF7" w:rsidP="002241DD">
            <w:pPr>
              <w:jc w:val="both"/>
              <w:rPr>
                <w:sz w:val="20"/>
                <w:szCs w:val="20"/>
              </w:rPr>
            </w:pPr>
            <w:r w:rsidRPr="002241DD">
              <w:rPr>
                <w:sz w:val="20"/>
                <w:szCs w:val="20"/>
              </w:rPr>
              <w:t>$ 16.11</w:t>
            </w:r>
          </w:p>
        </w:tc>
        <w:tc>
          <w:tcPr>
            <w:tcW w:w="1701" w:type="dxa"/>
            <w:tcBorders>
              <w:top w:val="nil"/>
              <w:left w:val="nil"/>
              <w:bottom w:val="nil"/>
              <w:right w:val="nil"/>
            </w:tcBorders>
          </w:tcPr>
          <w:p w14:paraId="000000C7" w14:textId="77777777" w:rsidR="009A2A6C" w:rsidRPr="002241DD" w:rsidRDefault="00671CF7" w:rsidP="002241DD">
            <w:pPr>
              <w:jc w:val="center"/>
              <w:rPr>
                <w:sz w:val="20"/>
                <w:szCs w:val="20"/>
              </w:rPr>
            </w:pPr>
            <w:r w:rsidRPr="002241DD">
              <w:rPr>
                <w:sz w:val="20"/>
                <w:szCs w:val="20"/>
              </w:rPr>
              <w:t>--</w:t>
            </w:r>
          </w:p>
        </w:tc>
        <w:tc>
          <w:tcPr>
            <w:tcW w:w="2268" w:type="dxa"/>
            <w:tcBorders>
              <w:top w:val="nil"/>
              <w:left w:val="nil"/>
              <w:bottom w:val="nil"/>
              <w:right w:val="nil"/>
            </w:tcBorders>
            <w:vAlign w:val="center"/>
          </w:tcPr>
          <w:p w14:paraId="000000C8" w14:textId="77777777" w:rsidR="009A2A6C" w:rsidRPr="002241DD" w:rsidRDefault="00671CF7" w:rsidP="002241DD">
            <w:pPr>
              <w:rPr>
                <w:sz w:val="20"/>
                <w:szCs w:val="20"/>
              </w:rPr>
            </w:pPr>
            <w:r w:rsidRPr="002241DD">
              <w:rPr>
                <w:sz w:val="20"/>
                <w:szCs w:val="20"/>
              </w:rPr>
              <w:t>MBS item 66542 (85% benefit)</w:t>
            </w:r>
          </w:p>
        </w:tc>
      </w:tr>
      <w:tr w:rsidR="009A2A6C" w:rsidRPr="002241DD" w14:paraId="3C23309E" w14:textId="77777777" w:rsidTr="002241DD">
        <w:tc>
          <w:tcPr>
            <w:tcW w:w="3922" w:type="dxa"/>
            <w:tcBorders>
              <w:top w:val="nil"/>
              <w:left w:val="nil"/>
              <w:bottom w:val="nil"/>
              <w:right w:val="nil"/>
            </w:tcBorders>
          </w:tcPr>
          <w:p w14:paraId="000000C9" w14:textId="77777777" w:rsidR="009A2A6C" w:rsidRPr="002241DD" w:rsidRDefault="00671CF7" w:rsidP="002241DD">
            <w:pPr>
              <w:rPr>
                <w:sz w:val="20"/>
                <w:szCs w:val="20"/>
              </w:rPr>
            </w:pPr>
            <w:r w:rsidRPr="002241DD">
              <w:rPr>
                <w:sz w:val="20"/>
                <w:szCs w:val="20"/>
              </w:rPr>
              <w:t>Initial screen (ADIPS 1998 – two step)</w:t>
            </w:r>
          </w:p>
        </w:tc>
        <w:tc>
          <w:tcPr>
            <w:tcW w:w="1276" w:type="dxa"/>
            <w:tcBorders>
              <w:top w:val="nil"/>
              <w:left w:val="nil"/>
              <w:bottom w:val="nil"/>
              <w:right w:val="nil"/>
            </w:tcBorders>
          </w:tcPr>
          <w:p w14:paraId="000000CA" w14:textId="77777777" w:rsidR="009A2A6C" w:rsidRPr="002241DD" w:rsidRDefault="00671CF7" w:rsidP="002241DD">
            <w:pPr>
              <w:jc w:val="both"/>
              <w:rPr>
                <w:sz w:val="20"/>
                <w:szCs w:val="20"/>
              </w:rPr>
            </w:pPr>
            <w:r w:rsidRPr="002241DD">
              <w:rPr>
                <w:sz w:val="20"/>
                <w:szCs w:val="20"/>
              </w:rPr>
              <w:t>$29.54</w:t>
            </w:r>
          </w:p>
        </w:tc>
        <w:tc>
          <w:tcPr>
            <w:tcW w:w="1701" w:type="dxa"/>
            <w:tcBorders>
              <w:top w:val="nil"/>
              <w:left w:val="nil"/>
              <w:bottom w:val="nil"/>
              <w:right w:val="nil"/>
            </w:tcBorders>
          </w:tcPr>
          <w:p w14:paraId="000000CB" w14:textId="77777777" w:rsidR="009A2A6C" w:rsidRPr="002241DD" w:rsidRDefault="00671CF7" w:rsidP="002241DD">
            <w:pPr>
              <w:jc w:val="center"/>
              <w:rPr>
                <w:sz w:val="20"/>
                <w:szCs w:val="20"/>
              </w:rPr>
            </w:pPr>
            <w:r w:rsidRPr="002241DD">
              <w:rPr>
                <w:sz w:val="20"/>
                <w:szCs w:val="20"/>
              </w:rPr>
              <w:t>--</w:t>
            </w:r>
          </w:p>
        </w:tc>
        <w:tc>
          <w:tcPr>
            <w:tcW w:w="2268" w:type="dxa"/>
            <w:tcBorders>
              <w:top w:val="nil"/>
              <w:left w:val="nil"/>
              <w:bottom w:val="nil"/>
              <w:right w:val="nil"/>
            </w:tcBorders>
            <w:vAlign w:val="center"/>
          </w:tcPr>
          <w:p w14:paraId="000000CC" w14:textId="77777777" w:rsidR="009A2A6C" w:rsidRPr="002241DD" w:rsidRDefault="00671CF7" w:rsidP="002241DD">
            <w:pPr>
              <w:rPr>
                <w:sz w:val="20"/>
                <w:szCs w:val="20"/>
              </w:rPr>
            </w:pPr>
            <w:r w:rsidRPr="002241DD">
              <w:rPr>
                <w:sz w:val="20"/>
                <w:szCs w:val="20"/>
              </w:rPr>
              <w:t>MBS item 66545 + 66542 (85% benefit)</w:t>
            </w:r>
          </w:p>
        </w:tc>
      </w:tr>
      <w:tr w:rsidR="009A2A6C" w:rsidRPr="002241DD" w14:paraId="2D0CED20" w14:textId="77777777" w:rsidTr="002241DD">
        <w:tc>
          <w:tcPr>
            <w:tcW w:w="3922" w:type="dxa"/>
            <w:tcBorders>
              <w:top w:val="nil"/>
              <w:left w:val="nil"/>
              <w:bottom w:val="nil"/>
              <w:right w:val="nil"/>
            </w:tcBorders>
          </w:tcPr>
          <w:p w14:paraId="000000CD" w14:textId="77777777" w:rsidR="009A2A6C" w:rsidRPr="002241DD" w:rsidRDefault="00671CF7" w:rsidP="002241DD">
            <w:pPr>
              <w:pBdr>
                <w:top w:val="nil"/>
                <w:left w:val="nil"/>
                <w:bottom w:val="nil"/>
                <w:right w:val="nil"/>
                <w:between w:val="nil"/>
              </w:pBdr>
              <w:rPr>
                <w:color w:val="000000"/>
                <w:sz w:val="20"/>
                <w:szCs w:val="20"/>
              </w:rPr>
            </w:pPr>
            <w:r w:rsidRPr="002241DD">
              <w:rPr>
                <w:color w:val="000000"/>
                <w:sz w:val="20"/>
                <w:szCs w:val="20"/>
              </w:rPr>
              <w:t>Antenatal care per GDM+ mother</w:t>
            </w:r>
          </w:p>
        </w:tc>
        <w:tc>
          <w:tcPr>
            <w:tcW w:w="1276" w:type="dxa"/>
            <w:tcBorders>
              <w:top w:val="nil"/>
              <w:left w:val="nil"/>
              <w:bottom w:val="nil"/>
              <w:right w:val="nil"/>
            </w:tcBorders>
          </w:tcPr>
          <w:p w14:paraId="000000CE" w14:textId="77777777" w:rsidR="009A2A6C" w:rsidRPr="002241DD" w:rsidRDefault="00671CF7" w:rsidP="002241DD">
            <w:pPr>
              <w:jc w:val="both"/>
              <w:rPr>
                <w:sz w:val="20"/>
                <w:szCs w:val="20"/>
              </w:rPr>
            </w:pPr>
            <w:r w:rsidRPr="002241DD">
              <w:rPr>
                <w:sz w:val="20"/>
                <w:szCs w:val="20"/>
              </w:rPr>
              <w:t>$ 828</w:t>
            </w:r>
          </w:p>
        </w:tc>
        <w:tc>
          <w:tcPr>
            <w:tcW w:w="1701" w:type="dxa"/>
            <w:tcBorders>
              <w:top w:val="nil"/>
              <w:left w:val="nil"/>
              <w:bottom w:val="nil"/>
              <w:right w:val="nil"/>
            </w:tcBorders>
          </w:tcPr>
          <w:p w14:paraId="000000CF" w14:textId="6E940A56" w:rsidR="009A2A6C" w:rsidRPr="002241DD" w:rsidRDefault="002D34CE" w:rsidP="002241DD">
            <w:pPr>
              <w:jc w:val="center"/>
              <w:rPr>
                <w:sz w:val="20"/>
                <w:szCs w:val="20"/>
              </w:rPr>
            </w:pPr>
            <w:r w:rsidRPr="002241DD">
              <w:rPr>
                <w:sz w:val="20"/>
                <w:szCs w:val="20"/>
              </w:rPr>
              <w:t>--</w:t>
            </w:r>
          </w:p>
        </w:tc>
        <w:tc>
          <w:tcPr>
            <w:tcW w:w="2268" w:type="dxa"/>
            <w:tcBorders>
              <w:top w:val="nil"/>
              <w:left w:val="nil"/>
              <w:bottom w:val="nil"/>
              <w:right w:val="nil"/>
            </w:tcBorders>
            <w:vAlign w:val="center"/>
          </w:tcPr>
          <w:p w14:paraId="000000D0" w14:textId="77777777" w:rsidR="009A2A6C" w:rsidRPr="002241DD" w:rsidRDefault="00671CF7" w:rsidP="002241DD">
            <w:pPr>
              <w:rPr>
                <w:sz w:val="20"/>
                <w:szCs w:val="20"/>
              </w:rPr>
            </w:pPr>
            <w:r w:rsidRPr="002241DD">
              <w:rPr>
                <w:sz w:val="20"/>
                <w:szCs w:val="20"/>
              </w:rPr>
              <w:t>Multiple sources</w:t>
            </w:r>
          </w:p>
        </w:tc>
      </w:tr>
      <w:tr w:rsidR="009A2A6C" w:rsidRPr="002241DD" w14:paraId="63F1A24A" w14:textId="77777777" w:rsidTr="002241DD">
        <w:tc>
          <w:tcPr>
            <w:tcW w:w="3922" w:type="dxa"/>
            <w:tcBorders>
              <w:top w:val="nil"/>
              <w:left w:val="nil"/>
              <w:bottom w:val="single" w:sz="4" w:space="0" w:color="auto"/>
              <w:right w:val="nil"/>
            </w:tcBorders>
          </w:tcPr>
          <w:p w14:paraId="000000D1" w14:textId="6D9B4AA4" w:rsidR="009A2A6C" w:rsidRPr="002241DD" w:rsidRDefault="00671CF7" w:rsidP="002241DD">
            <w:pPr>
              <w:jc w:val="both"/>
              <w:rPr>
                <w:sz w:val="20"/>
                <w:szCs w:val="20"/>
              </w:rPr>
            </w:pPr>
            <w:r w:rsidRPr="002241DD">
              <w:rPr>
                <w:sz w:val="20"/>
                <w:szCs w:val="20"/>
              </w:rPr>
              <w:t xml:space="preserve">Post-partum care </w:t>
            </w:r>
            <w:r w:rsidR="002D34CE" w:rsidRPr="002241DD">
              <w:rPr>
                <w:sz w:val="20"/>
                <w:szCs w:val="20"/>
              </w:rPr>
              <w:t>(10 years)</w:t>
            </w:r>
          </w:p>
        </w:tc>
        <w:tc>
          <w:tcPr>
            <w:tcW w:w="1276" w:type="dxa"/>
            <w:tcBorders>
              <w:top w:val="nil"/>
              <w:left w:val="nil"/>
              <w:bottom w:val="single" w:sz="4" w:space="0" w:color="auto"/>
              <w:right w:val="nil"/>
            </w:tcBorders>
          </w:tcPr>
          <w:p w14:paraId="000000D2" w14:textId="77777777" w:rsidR="009A2A6C" w:rsidRPr="002241DD" w:rsidRDefault="00671CF7" w:rsidP="002241DD">
            <w:pPr>
              <w:jc w:val="both"/>
              <w:rPr>
                <w:sz w:val="20"/>
                <w:szCs w:val="20"/>
              </w:rPr>
            </w:pPr>
            <w:r w:rsidRPr="002241DD">
              <w:rPr>
                <w:sz w:val="20"/>
                <w:szCs w:val="20"/>
              </w:rPr>
              <w:t>$ 10,228</w:t>
            </w:r>
          </w:p>
        </w:tc>
        <w:tc>
          <w:tcPr>
            <w:tcW w:w="1701" w:type="dxa"/>
            <w:tcBorders>
              <w:top w:val="nil"/>
              <w:left w:val="nil"/>
              <w:bottom w:val="single" w:sz="4" w:space="0" w:color="auto"/>
              <w:right w:val="nil"/>
            </w:tcBorders>
          </w:tcPr>
          <w:p w14:paraId="000000D3" w14:textId="77777777" w:rsidR="009A2A6C" w:rsidRPr="002241DD" w:rsidRDefault="00671CF7" w:rsidP="002241DD">
            <w:pPr>
              <w:jc w:val="center"/>
              <w:rPr>
                <w:sz w:val="20"/>
                <w:szCs w:val="20"/>
              </w:rPr>
            </w:pPr>
            <w:r w:rsidRPr="002241DD">
              <w:rPr>
                <w:sz w:val="20"/>
                <w:szCs w:val="20"/>
              </w:rPr>
              <w:t>+/-50%</w:t>
            </w:r>
          </w:p>
        </w:tc>
        <w:tc>
          <w:tcPr>
            <w:tcW w:w="2268" w:type="dxa"/>
            <w:tcBorders>
              <w:top w:val="nil"/>
              <w:left w:val="nil"/>
              <w:bottom w:val="single" w:sz="4" w:space="0" w:color="auto"/>
              <w:right w:val="nil"/>
            </w:tcBorders>
            <w:vAlign w:val="center"/>
          </w:tcPr>
          <w:p w14:paraId="000000D4" w14:textId="77777777" w:rsidR="009A2A6C" w:rsidRPr="002241DD" w:rsidRDefault="00671CF7" w:rsidP="002241DD">
            <w:pPr>
              <w:rPr>
                <w:sz w:val="20"/>
                <w:szCs w:val="20"/>
              </w:rPr>
            </w:pPr>
            <w:r w:rsidRPr="002241DD">
              <w:rPr>
                <w:sz w:val="20"/>
                <w:szCs w:val="20"/>
              </w:rPr>
              <w:t>Multiple sources</w:t>
            </w:r>
          </w:p>
        </w:tc>
      </w:tr>
      <w:tr w:rsidR="009A2A6C" w:rsidRPr="002241DD" w14:paraId="47EBDD87" w14:textId="77777777" w:rsidTr="002241DD">
        <w:tc>
          <w:tcPr>
            <w:tcW w:w="5198" w:type="dxa"/>
            <w:gridSpan w:val="2"/>
            <w:tcBorders>
              <w:top w:val="single" w:sz="4" w:space="0" w:color="auto"/>
              <w:left w:val="nil"/>
              <w:bottom w:val="nil"/>
              <w:right w:val="nil"/>
            </w:tcBorders>
          </w:tcPr>
          <w:p w14:paraId="000000D5" w14:textId="77777777" w:rsidR="009A2A6C" w:rsidRPr="002241DD" w:rsidRDefault="00671CF7" w:rsidP="002241DD">
            <w:pPr>
              <w:jc w:val="both"/>
              <w:rPr>
                <w:sz w:val="20"/>
                <w:szCs w:val="20"/>
              </w:rPr>
            </w:pPr>
            <w:r w:rsidRPr="002241DD">
              <w:rPr>
                <w:b/>
                <w:sz w:val="20"/>
                <w:szCs w:val="20"/>
              </w:rPr>
              <w:t>Cost of illness ($AUD 2018 prices)</w:t>
            </w:r>
          </w:p>
        </w:tc>
        <w:tc>
          <w:tcPr>
            <w:tcW w:w="1701" w:type="dxa"/>
            <w:tcBorders>
              <w:top w:val="single" w:sz="4" w:space="0" w:color="auto"/>
              <w:left w:val="nil"/>
              <w:bottom w:val="nil"/>
              <w:right w:val="nil"/>
            </w:tcBorders>
          </w:tcPr>
          <w:p w14:paraId="000000D7" w14:textId="77777777" w:rsidR="009A2A6C" w:rsidRPr="002241DD" w:rsidRDefault="009A2A6C" w:rsidP="002241DD">
            <w:pPr>
              <w:jc w:val="both"/>
              <w:rPr>
                <w:sz w:val="20"/>
                <w:szCs w:val="20"/>
              </w:rPr>
            </w:pPr>
          </w:p>
        </w:tc>
        <w:tc>
          <w:tcPr>
            <w:tcW w:w="2268" w:type="dxa"/>
            <w:tcBorders>
              <w:top w:val="single" w:sz="4" w:space="0" w:color="auto"/>
              <w:left w:val="nil"/>
              <w:bottom w:val="nil"/>
              <w:right w:val="nil"/>
            </w:tcBorders>
            <w:vAlign w:val="center"/>
          </w:tcPr>
          <w:p w14:paraId="000000D8" w14:textId="77777777" w:rsidR="009A2A6C" w:rsidRPr="002241DD" w:rsidRDefault="009A2A6C" w:rsidP="002241DD">
            <w:pPr>
              <w:rPr>
                <w:sz w:val="20"/>
                <w:szCs w:val="20"/>
              </w:rPr>
            </w:pPr>
          </w:p>
        </w:tc>
      </w:tr>
      <w:tr w:rsidR="009A2A6C" w:rsidRPr="002241DD" w14:paraId="3E9E6C6B" w14:textId="77777777" w:rsidTr="002241DD">
        <w:trPr>
          <w:trHeight w:val="1938"/>
        </w:trPr>
        <w:tc>
          <w:tcPr>
            <w:tcW w:w="3922" w:type="dxa"/>
            <w:tcBorders>
              <w:top w:val="nil"/>
              <w:left w:val="nil"/>
              <w:bottom w:val="single" w:sz="4" w:space="0" w:color="auto"/>
              <w:right w:val="nil"/>
            </w:tcBorders>
          </w:tcPr>
          <w:p w14:paraId="000000D9" w14:textId="77777777" w:rsidR="009A2A6C" w:rsidRPr="002241DD" w:rsidRDefault="00671CF7" w:rsidP="002241DD">
            <w:pPr>
              <w:jc w:val="both"/>
              <w:rPr>
                <w:sz w:val="20"/>
                <w:szCs w:val="20"/>
              </w:rPr>
            </w:pPr>
            <w:r w:rsidRPr="002241DD">
              <w:rPr>
                <w:sz w:val="20"/>
                <w:szCs w:val="20"/>
              </w:rPr>
              <w:t>Cost of perinatal adverse events among GDM+ women:</w:t>
            </w:r>
          </w:p>
          <w:p w14:paraId="000000DA" w14:textId="77777777" w:rsidR="009A2A6C" w:rsidRPr="002241DD" w:rsidRDefault="00671CF7" w:rsidP="002241DD">
            <w:pPr>
              <w:ind w:left="720"/>
              <w:jc w:val="both"/>
              <w:rPr>
                <w:sz w:val="20"/>
                <w:szCs w:val="20"/>
              </w:rPr>
            </w:pPr>
            <w:r w:rsidRPr="002241DD">
              <w:rPr>
                <w:sz w:val="20"/>
                <w:szCs w:val="20"/>
              </w:rPr>
              <w:t>with/</w:t>
            </w:r>
          </w:p>
          <w:p w14:paraId="000000DB" w14:textId="77777777" w:rsidR="009A2A6C" w:rsidRPr="002241DD" w:rsidRDefault="00671CF7" w:rsidP="002241DD">
            <w:pPr>
              <w:ind w:left="720"/>
              <w:jc w:val="both"/>
              <w:rPr>
                <w:sz w:val="20"/>
                <w:szCs w:val="20"/>
              </w:rPr>
            </w:pPr>
            <w:r w:rsidRPr="002241DD">
              <w:rPr>
                <w:sz w:val="20"/>
                <w:szCs w:val="20"/>
              </w:rPr>
              <w:t>without intervention</w:t>
            </w:r>
          </w:p>
          <w:p w14:paraId="000000DC" w14:textId="4EAA0296" w:rsidR="002D34CE" w:rsidRPr="002241DD" w:rsidRDefault="00671CF7" w:rsidP="002241DD">
            <w:pPr>
              <w:jc w:val="both"/>
              <w:rPr>
                <w:sz w:val="20"/>
                <w:szCs w:val="20"/>
              </w:rPr>
            </w:pPr>
            <w:r w:rsidRPr="002241DD">
              <w:rPr>
                <w:sz w:val="20"/>
                <w:szCs w:val="20"/>
              </w:rPr>
              <w:t xml:space="preserve">Lifetime cost of T2DM in mother (assume 30 years) </w:t>
            </w:r>
          </w:p>
        </w:tc>
        <w:tc>
          <w:tcPr>
            <w:tcW w:w="1276" w:type="dxa"/>
            <w:tcBorders>
              <w:top w:val="nil"/>
              <w:left w:val="nil"/>
              <w:bottom w:val="single" w:sz="4" w:space="0" w:color="auto"/>
              <w:right w:val="nil"/>
            </w:tcBorders>
          </w:tcPr>
          <w:p w14:paraId="000000DD" w14:textId="77777777" w:rsidR="009A2A6C" w:rsidRPr="002241DD" w:rsidRDefault="009A2A6C" w:rsidP="002241DD">
            <w:pPr>
              <w:jc w:val="both"/>
              <w:rPr>
                <w:sz w:val="20"/>
                <w:szCs w:val="20"/>
              </w:rPr>
            </w:pPr>
          </w:p>
          <w:p w14:paraId="000000DE" w14:textId="77777777" w:rsidR="009A2A6C" w:rsidRPr="002241DD" w:rsidRDefault="009A2A6C" w:rsidP="002241DD">
            <w:pPr>
              <w:jc w:val="both"/>
              <w:rPr>
                <w:sz w:val="20"/>
                <w:szCs w:val="20"/>
              </w:rPr>
            </w:pPr>
          </w:p>
          <w:p w14:paraId="000000DF" w14:textId="77777777" w:rsidR="009A2A6C" w:rsidRPr="002241DD" w:rsidRDefault="00671CF7" w:rsidP="002241DD">
            <w:pPr>
              <w:jc w:val="both"/>
              <w:rPr>
                <w:sz w:val="20"/>
                <w:szCs w:val="20"/>
              </w:rPr>
            </w:pPr>
            <w:r w:rsidRPr="002241DD">
              <w:rPr>
                <w:sz w:val="20"/>
                <w:szCs w:val="20"/>
              </w:rPr>
              <w:t>$13,631</w:t>
            </w:r>
          </w:p>
          <w:p w14:paraId="000000E0" w14:textId="77777777" w:rsidR="009A2A6C" w:rsidRPr="002241DD" w:rsidRDefault="00671CF7" w:rsidP="002241DD">
            <w:pPr>
              <w:rPr>
                <w:sz w:val="20"/>
                <w:szCs w:val="20"/>
              </w:rPr>
            </w:pPr>
            <w:r w:rsidRPr="002241DD">
              <w:rPr>
                <w:sz w:val="20"/>
                <w:szCs w:val="20"/>
              </w:rPr>
              <w:t>$19,163</w:t>
            </w:r>
          </w:p>
          <w:p w14:paraId="000000E1" w14:textId="77777777" w:rsidR="009A2A6C" w:rsidRPr="002241DD" w:rsidRDefault="009A2A6C" w:rsidP="002241DD">
            <w:pPr>
              <w:rPr>
                <w:sz w:val="20"/>
                <w:szCs w:val="20"/>
              </w:rPr>
            </w:pPr>
          </w:p>
          <w:p w14:paraId="64A53DA6" w14:textId="77777777" w:rsidR="009A2A6C" w:rsidRPr="002241DD" w:rsidRDefault="00671CF7" w:rsidP="002241DD">
            <w:pPr>
              <w:rPr>
                <w:sz w:val="20"/>
                <w:szCs w:val="20"/>
              </w:rPr>
            </w:pPr>
            <w:r w:rsidRPr="002241DD">
              <w:rPr>
                <w:sz w:val="20"/>
                <w:szCs w:val="20"/>
              </w:rPr>
              <w:t>$73,378</w:t>
            </w:r>
          </w:p>
          <w:p w14:paraId="205323AE" w14:textId="77777777" w:rsidR="002D34CE" w:rsidRPr="002241DD" w:rsidRDefault="002D34CE" w:rsidP="002241DD">
            <w:pPr>
              <w:rPr>
                <w:sz w:val="20"/>
                <w:szCs w:val="20"/>
              </w:rPr>
            </w:pPr>
          </w:p>
          <w:p w14:paraId="000000E2" w14:textId="79DCA281" w:rsidR="002D34CE" w:rsidRPr="002241DD" w:rsidRDefault="002D34CE" w:rsidP="002241DD">
            <w:pPr>
              <w:rPr>
                <w:sz w:val="20"/>
                <w:szCs w:val="20"/>
              </w:rPr>
            </w:pPr>
          </w:p>
        </w:tc>
        <w:tc>
          <w:tcPr>
            <w:tcW w:w="1701" w:type="dxa"/>
            <w:tcBorders>
              <w:top w:val="nil"/>
              <w:left w:val="nil"/>
              <w:bottom w:val="single" w:sz="4" w:space="0" w:color="auto"/>
              <w:right w:val="nil"/>
            </w:tcBorders>
          </w:tcPr>
          <w:p w14:paraId="000000E3" w14:textId="77777777" w:rsidR="009A2A6C" w:rsidRPr="002241DD" w:rsidRDefault="009A2A6C" w:rsidP="002241DD">
            <w:pPr>
              <w:jc w:val="both"/>
              <w:rPr>
                <w:sz w:val="20"/>
                <w:szCs w:val="20"/>
              </w:rPr>
            </w:pPr>
          </w:p>
          <w:p w14:paraId="000000E4" w14:textId="77777777" w:rsidR="009A2A6C" w:rsidRPr="002241DD" w:rsidRDefault="009A2A6C" w:rsidP="002241DD">
            <w:pPr>
              <w:jc w:val="both"/>
              <w:rPr>
                <w:sz w:val="20"/>
                <w:szCs w:val="20"/>
              </w:rPr>
            </w:pPr>
          </w:p>
          <w:p w14:paraId="000000E8" w14:textId="798B5B8D" w:rsidR="009A2A6C" w:rsidRPr="002241DD" w:rsidRDefault="009A2A6C" w:rsidP="002241DD">
            <w:pPr>
              <w:rPr>
                <w:sz w:val="20"/>
                <w:szCs w:val="20"/>
              </w:rPr>
            </w:pPr>
          </w:p>
          <w:p w14:paraId="724438AA" w14:textId="3E3EC91E" w:rsidR="002D34CE" w:rsidRPr="002241DD" w:rsidRDefault="002D34CE" w:rsidP="002241DD">
            <w:pPr>
              <w:rPr>
                <w:sz w:val="20"/>
                <w:szCs w:val="20"/>
              </w:rPr>
            </w:pPr>
          </w:p>
          <w:p w14:paraId="09B66B61" w14:textId="364215CC" w:rsidR="002D34CE" w:rsidRPr="002241DD" w:rsidRDefault="002D34CE" w:rsidP="002241DD">
            <w:pPr>
              <w:rPr>
                <w:sz w:val="20"/>
                <w:szCs w:val="20"/>
              </w:rPr>
            </w:pPr>
          </w:p>
          <w:p w14:paraId="204AF75F" w14:textId="77777777" w:rsidR="002D34CE" w:rsidRPr="002241DD" w:rsidRDefault="002D34CE" w:rsidP="002241DD">
            <w:pPr>
              <w:rPr>
                <w:sz w:val="20"/>
                <w:szCs w:val="20"/>
              </w:rPr>
            </w:pPr>
          </w:p>
          <w:p w14:paraId="000000E9" w14:textId="77777777" w:rsidR="009A2A6C" w:rsidRPr="002241DD" w:rsidRDefault="00671CF7" w:rsidP="002241DD">
            <w:pPr>
              <w:jc w:val="center"/>
              <w:rPr>
                <w:sz w:val="20"/>
                <w:szCs w:val="20"/>
              </w:rPr>
            </w:pPr>
            <w:r w:rsidRPr="002241DD">
              <w:rPr>
                <w:sz w:val="20"/>
                <w:szCs w:val="20"/>
              </w:rPr>
              <w:t>+/-50%</w:t>
            </w:r>
          </w:p>
        </w:tc>
        <w:tc>
          <w:tcPr>
            <w:tcW w:w="2268" w:type="dxa"/>
            <w:tcBorders>
              <w:top w:val="nil"/>
              <w:left w:val="nil"/>
              <w:bottom w:val="single" w:sz="4" w:space="0" w:color="auto"/>
              <w:right w:val="nil"/>
            </w:tcBorders>
            <w:vAlign w:val="center"/>
          </w:tcPr>
          <w:p w14:paraId="000000EA" w14:textId="77777777" w:rsidR="009A2A6C" w:rsidRPr="002241DD" w:rsidRDefault="00671CF7" w:rsidP="002241DD">
            <w:pPr>
              <w:rPr>
                <w:sz w:val="20"/>
                <w:szCs w:val="20"/>
              </w:rPr>
            </w:pPr>
            <w:proofErr w:type="spellStart"/>
            <w:r w:rsidRPr="002241DD">
              <w:rPr>
                <w:sz w:val="20"/>
                <w:szCs w:val="20"/>
              </w:rPr>
              <w:t>GeDiForCE</w:t>
            </w:r>
            <w:proofErr w:type="spellEnd"/>
            <w:r w:rsidRPr="002241DD">
              <w:rPr>
                <w:sz w:val="20"/>
                <w:szCs w:val="20"/>
              </w:rPr>
              <w:t xml:space="preserve"> model </w:t>
            </w:r>
          </w:p>
          <w:p w14:paraId="000000EB" w14:textId="77777777" w:rsidR="009A2A6C" w:rsidRPr="002241DD" w:rsidRDefault="009A2A6C" w:rsidP="002241DD">
            <w:pPr>
              <w:rPr>
                <w:sz w:val="20"/>
                <w:szCs w:val="20"/>
              </w:rPr>
            </w:pPr>
          </w:p>
          <w:p w14:paraId="000000EC" w14:textId="77777777" w:rsidR="009A2A6C" w:rsidRPr="002241DD" w:rsidRDefault="009A2A6C" w:rsidP="002241DD">
            <w:pPr>
              <w:rPr>
                <w:sz w:val="20"/>
                <w:szCs w:val="20"/>
              </w:rPr>
            </w:pPr>
          </w:p>
          <w:p w14:paraId="000000ED" w14:textId="77777777" w:rsidR="009A2A6C" w:rsidRPr="002241DD" w:rsidRDefault="009A2A6C" w:rsidP="002241DD">
            <w:pPr>
              <w:rPr>
                <w:sz w:val="20"/>
                <w:szCs w:val="20"/>
              </w:rPr>
            </w:pPr>
          </w:p>
          <w:p w14:paraId="000000EE" w14:textId="77777777" w:rsidR="009A2A6C" w:rsidRPr="002241DD" w:rsidRDefault="009A2A6C" w:rsidP="002241DD">
            <w:pPr>
              <w:rPr>
                <w:sz w:val="20"/>
                <w:szCs w:val="20"/>
              </w:rPr>
            </w:pPr>
          </w:p>
          <w:p w14:paraId="000000EF" w14:textId="77777777" w:rsidR="009A2A6C" w:rsidRPr="002241DD" w:rsidRDefault="009A2A6C" w:rsidP="002241DD">
            <w:pPr>
              <w:rPr>
                <w:sz w:val="20"/>
                <w:szCs w:val="20"/>
              </w:rPr>
            </w:pPr>
          </w:p>
          <w:p w14:paraId="000000F0" w14:textId="77777777" w:rsidR="009A2A6C" w:rsidRPr="002241DD" w:rsidRDefault="009A2A6C" w:rsidP="002241DD">
            <w:pPr>
              <w:rPr>
                <w:sz w:val="20"/>
                <w:szCs w:val="20"/>
              </w:rPr>
            </w:pPr>
          </w:p>
          <w:p w14:paraId="000000F1" w14:textId="37CB3AD5" w:rsidR="002D34CE" w:rsidRPr="002241DD" w:rsidRDefault="00671CF7" w:rsidP="002241DD">
            <w:pPr>
              <w:rPr>
                <w:sz w:val="20"/>
                <w:szCs w:val="20"/>
              </w:rPr>
            </w:pPr>
            <w:r w:rsidRPr="002241DD">
              <w:rPr>
                <w:sz w:val="20"/>
                <w:szCs w:val="20"/>
              </w:rPr>
              <w:t>Ying Lee et al., 2018</w:t>
            </w:r>
          </w:p>
        </w:tc>
      </w:tr>
      <w:tr w:rsidR="002D34CE" w:rsidRPr="002241DD" w14:paraId="16F67D62" w14:textId="77777777" w:rsidTr="002241DD">
        <w:tc>
          <w:tcPr>
            <w:tcW w:w="3922" w:type="dxa"/>
            <w:tcBorders>
              <w:top w:val="single" w:sz="4" w:space="0" w:color="auto"/>
              <w:left w:val="nil"/>
              <w:bottom w:val="single" w:sz="4" w:space="0" w:color="auto"/>
              <w:right w:val="nil"/>
            </w:tcBorders>
          </w:tcPr>
          <w:p w14:paraId="057725E6" w14:textId="0AA34FF0" w:rsidR="002D34CE" w:rsidRPr="002241DD" w:rsidRDefault="002D34CE" w:rsidP="002241DD">
            <w:pPr>
              <w:jc w:val="both"/>
              <w:rPr>
                <w:b/>
                <w:sz w:val="20"/>
                <w:szCs w:val="20"/>
              </w:rPr>
            </w:pPr>
            <w:r w:rsidRPr="002241DD">
              <w:rPr>
                <w:b/>
                <w:sz w:val="20"/>
                <w:szCs w:val="20"/>
              </w:rPr>
              <w:t>Other</w:t>
            </w:r>
          </w:p>
          <w:p w14:paraId="23F8A80F" w14:textId="46F59031" w:rsidR="002D34CE" w:rsidRPr="002241DD" w:rsidRDefault="002D34CE" w:rsidP="002241DD">
            <w:pPr>
              <w:jc w:val="both"/>
              <w:rPr>
                <w:sz w:val="20"/>
                <w:szCs w:val="20"/>
              </w:rPr>
            </w:pPr>
            <w:r w:rsidRPr="002241DD">
              <w:rPr>
                <w:sz w:val="20"/>
                <w:szCs w:val="20"/>
              </w:rPr>
              <w:t>Discount rate</w:t>
            </w:r>
          </w:p>
        </w:tc>
        <w:tc>
          <w:tcPr>
            <w:tcW w:w="1276" w:type="dxa"/>
            <w:tcBorders>
              <w:top w:val="single" w:sz="4" w:space="0" w:color="auto"/>
              <w:left w:val="nil"/>
              <w:bottom w:val="single" w:sz="4" w:space="0" w:color="auto"/>
              <w:right w:val="nil"/>
            </w:tcBorders>
          </w:tcPr>
          <w:p w14:paraId="0960118C" w14:textId="77777777" w:rsidR="002D34CE" w:rsidRPr="002241DD" w:rsidRDefault="002D34CE" w:rsidP="002241DD">
            <w:pPr>
              <w:jc w:val="both"/>
              <w:rPr>
                <w:sz w:val="20"/>
                <w:szCs w:val="20"/>
              </w:rPr>
            </w:pPr>
          </w:p>
          <w:p w14:paraId="15541F91" w14:textId="6CE81223" w:rsidR="002D34CE" w:rsidRPr="002241DD" w:rsidRDefault="002D34CE" w:rsidP="002241DD">
            <w:pPr>
              <w:jc w:val="both"/>
              <w:rPr>
                <w:sz w:val="20"/>
                <w:szCs w:val="20"/>
              </w:rPr>
            </w:pPr>
            <w:r w:rsidRPr="002241DD">
              <w:rPr>
                <w:sz w:val="20"/>
                <w:szCs w:val="20"/>
              </w:rPr>
              <w:t>5%</w:t>
            </w:r>
          </w:p>
        </w:tc>
        <w:tc>
          <w:tcPr>
            <w:tcW w:w="1701" w:type="dxa"/>
            <w:tcBorders>
              <w:top w:val="single" w:sz="4" w:space="0" w:color="auto"/>
              <w:left w:val="nil"/>
              <w:bottom w:val="single" w:sz="4" w:space="0" w:color="auto"/>
              <w:right w:val="nil"/>
            </w:tcBorders>
          </w:tcPr>
          <w:p w14:paraId="2220C6C2" w14:textId="77777777" w:rsidR="002D34CE" w:rsidRPr="002241DD" w:rsidRDefault="002D34CE" w:rsidP="002241DD">
            <w:pPr>
              <w:jc w:val="both"/>
              <w:rPr>
                <w:sz w:val="20"/>
                <w:szCs w:val="20"/>
              </w:rPr>
            </w:pPr>
          </w:p>
          <w:p w14:paraId="574BC887" w14:textId="5E75D020" w:rsidR="002D34CE" w:rsidRPr="002241DD" w:rsidRDefault="002D34CE" w:rsidP="002241DD">
            <w:pPr>
              <w:jc w:val="both"/>
              <w:rPr>
                <w:sz w:val="20"/>
                <w:szCs w:val="20"/>
              </w:rPr>
            </w:pPr>
            <w:r w:rsidRPr="002241DD">
              <w:rPr>
                <w:sz w:val="20"/>
                <w:szCs w:val="20"/>
              </w:rPr>
              <w:t>+/-50%</w:t>
            </w:r>
          </w:p>
        </w:tc>
        <w:tc>
          <w:tcPr>
            <w:tcW w:w="2268" w:type="dxa"/>
            <w:tcBorders>
              <w:top w:val="single" w:sz="4" w:space="0" w:color="auto"/>
              <w:left w:val="nil"/>
              <w:bottom w:val="single" w:sz="4" w:space="0" w:color="auto"/>
              <w:right w:val="nil"/>
            </w:tcBorders>
            <w:vAlign w:val="center"/>
          </w:tcPr>
          <w:p w14:paraId="1158CE7E" w14:textId="225CD692" w:rsidR="002D34CE" w:rsidRPr="002241DD" w:rsidRDefault="002D34CE" w:rsidP="002241DD">
            <w:pPr>
              <w:rPr>
                <w:sz w:val="20"/>
                <w:szCs w:val="20"/>
              </w:rPr>
            </w:pPr>
            <w:r w:rsidRPr="002241DD">
              <w:rPr>
                <w:sz w:val="20"/>
                <w:szCs w:val="20"/>
              </w:rPr>
              <w:fldChar w:fldCharType="begin"/>
            </w:r>
            <w:r w:rsidR="002241DD">
              <w:rPr>
                <w:sz w:val="20"/>
                <w:szCs w:val="20"/>
              </w:rPr>
              <w:instrText xml:space="preserve"> ADDIN EN.CITE &lt;EndNote&gt;&lt;Cite&gt;&lt;Author&gt;Pharmaceutical Benefits Advisory Committee&lt;/Author&gt;&lt;Year&gt;2016&lt;/Year&gt;&lt;RecNum&gt;25&lt;/RecNum&gt;&lt;DisplayText&gt;(Pharmaceutical Benefits Advisory Committee, 2016)&lt;/DisplayText&gt;&lt;record&gt;&lt;rec-number&gt;25&lt;/rec-number&gt;&lt;foreign-keys&gt;&lt;key app="EN" db-id="5eavdw95gazpeeesd28vdr0jpfxaedft2f5r" timestamp="0"&gt;25&lt;/key&gt;&lt;/foreign-keys&gt;&lt;ref-type name="Government Document"&gt;46&lt;/ref-type&gt;&lt;contributors&gt;&lt;authors&gt;&lt;author&gt;Pharmaceutical Benefits Advisory Committee,&lt;/author&gt;&lt;/authors&gt;&lt;/contributors&gt;&lt;titles&gt;&lt;title&gt;Guidelines for preparing submissions to the Pharmaceutical Benefits Advisory Committee (version 5.0) Canberra: Australian Government Department of Health and Ageing&lt;/title&gt;&lt;/titles&gt;&lt;dates&gt;&lt;year&gt;2016&lt;/year&gt;&lt;/dates&gt;&lt;urls&gt;&lt;related-urls&gt;&lt;url&gt;https://pbac.pbs.gov.au/&lt;/url&gt;&lt;/related-urls&gt;&lt;/urls&gt;&lt;/record&gt;&lt;/Cite&gt;&lt;/EndNote&gt;</w:instrText>
            </w:r>
            <w:r w:rsidRPr="002241DD">
              <w:rPr>
                <w:sz w:val="20"/>
                <w:szCs w:val="20"/>
              </w:rPr>
              <w:fldChar w:fldCharType="separate"/>
            </w:r>
            <w:r w:rsidR="002241DD">
              <w:rPr>
                <w:noProof/>
                <w:sz w:val="20"/>
                <w:szCs w:val="20"/>
              </w:rPr>
              <w:t>(Pharmaceutical Benefits Advisory Committee, 2016)</w:t>
            </w:r>
            <w:r w:rsidRPr="002241DD">
              <w:rPr>
                <w:sz w:val="20"/>
                <w:szCs w:val="20"/>
              </w:rPr>
              <w:fldChar w:fldCharType="end"/>
            </w:r>
          </w:p>
        </w:tc>
      </w:tr>
    </w:tbl>
    <w:p w14:paraId="0000010B" w14:textId="2D8CF2C1" w:rsidR="009A2A6C" w:rsidRPr="002241DD" w:rsidRDefault="002241DD" w:rsidP="003E42D8">
      <w:pPr>
        <w:pBdr>
          <w:top w:val="nil"/>
          <w:left w:val="nil"/>
          <w:bottom w:val="nil"/>
          <w:right w:val="nil"/>
          <w:between w:val="nil"/>
        </w:pBdr>
        <w:spacing w:line="240" w:lineRule="auto"/>
        <w:ind w:left="720" w:hanging="720"/>
        <w:rPr>
          <w:rFonts w:ascii="Times New Roman" w:eastAsia="Times New Roman" w:hAnsi="Times New Roman" w:cs="Times New Roman"/>
        </w:rPr>
      </w:pPr>
      <w:sdt>
        <w:sdtPr>
          <w:tag w:val="goog_rdk_2"/>
          <w:id w:val="-1117526805"/>
          <w:showingPlcHdr/>
        </w:sdtPr>
        <w:sdtEndPr/>
        <w:sdtContent>
          <w:r w:rsidR="003E42D8" w:rsidRPr="002241DD">
            <w:t xml:space="preserve">     </w:t>
          </w:r>
        </w:sdtContent>
      </w:sdt>
    </w:p>
    <w:p w14:paraId="127DBE57" w14:textId="77777777" w:rsidR="002241DD" w:rsidRDefault="002241DD" w:rsidP="00802E76">
      <w:pPr>
        <w:tabs>
          <w:tab w:val="left" w:pos="992"/>
        </w:tabs>
        <w:rPr>
          <w:rFonts w:ascii="Times New Roman" w:eastAsia="Times New Roman" w:hAnsi="Times New Roman" w:cs="Times New Roman"/>
        </w:rPr>
        <w:sectPr w:rsidR="002241DD" w:rsidSect="00294396">
          <w:pgSz w:w="11906" w:h="16838"/>
          <w:pgMar w:top="1440" w:right="1440" w:bottom="1440" w:left="1440" w:header="708" w:footer="708" w:gutter="0"/>
          <w:pgNumType w:start="1"/>
          <w:cols w:space="720"/>
          <w:docGrid w:linePitch="299"/>
        </w:sectPr>
      </w:pPr>
    </w:p>
    <w:p w14:paraId="3DDE7ABA" w14:textId="5CDFD867" w:rsidR="00802E76" w:rsidRPr="002241DD" w:rsidRDefault="00802E76" w:rsidP="00802E76">
      <w:pPr>
        <w:tabs>
          <w:tab w:val="left" w:pos="992"/>
        </w:tabs>
        <w:rPr>
          <w:rFonts w:ascii="Times New Roman" w:eastAsia="Times New Roman" w:hAnsi="Times New Roman" w:cs="Times New Roman"/>
        </w:rPr>
      </w:pPr>
      <w:r w:rsidRPr="002241DD">
        <w:rPr>
          <w:rFonts w:ascii="Times New Roman" w:eastAsia="Times New Roman" w:hAnsi="Times New Roman" w:cs="Times New Roman"/>
          <w:noProof/>
        </w:rPr>
        <w:lastRenderedPageBreak/>
        <w:drawing>
          <wp:inline distT="0" distB="0" distL="0" distR="0" wp14:anchorId="5E206CAF" wp14:editId="1CF67135">
            <wp:extent cx="5731510" cy="2665730"/>
            <wp:effectExtent l="0" t="0" r="0" b="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31510" cy="2665730"/>
                    </a:xfrm>
                    <a:prstGeom prst="rect">
                      <a:avLst/>
                    </a:prstGeom>
                    <a:ln/>
                  </pic:spPr>
                </pic:pic>
              </a:graphicData>
            </a:graphic>
          </wp:inline>
        </w:drawing>
      </w:r>
    </w:p>
    <w:p w14:paraId="1B170B7D" w14:textId="7CFBB7B0" w:rsidR="00802E76" w:rsidRPr="002241DD" w:rsidRDefault="00802E76" w:rsidP="00802E76">
      <w:pPr>
        <w:tabs>
          <w:tab w:val="left" w:pos="992"/>
        </w:tabs>
        <w:rPr>
          <w:rFonts w:ascii="Times New Roman" w:eastAsia="Times New Roman" w:hAnsi="Times New Roman" w:cs="Times New Roman"/>
          <w:b/>
          <w:sz w:val="20"/>
          <w:szCs w:val="20"/>
        </w:rPr>
      </w:pPr>
      <w:r w:rsidRPr="002241DD">
        <w:rPr>
          <w:rFonts w:ascii="Times New Roman" w:eastAsia="Times New Roman" w:hAnsi="Times New Roman" w:cs="Times New Roman"/>
          <w:b/>
          <w:sz w:val="20"/>
          <w:szCs w:val="20"/>
        </w:rPr>
        <w:t xml:space="preserve">Figure 1: </w:t>
      </w:r>
      <w:proofErr w:type="spellStart"/>
      <w:r w:rsidRPr="002241DD">
        <w:rPr>
          <w:rFonts w:ascii="Times New Roman" w:eastAsia="Times New Roman" w:hAnsi="Times New Roman" w:cs="Times New Roman"/>
          <w:b/>
          <w:sz w:val="20"/>
          <w:szCs w:val="20"/>
        </w:rPr>
        <w:t>GeDiForCE</w:t>
      </w:r>
      <w:proofErr w:type="spellEnd"/>
      <w:r w:rsidRPr="002241DD">
        <w:rPr>
          <w:rFonts w:ascii="Times New Roman" w:eastAsia="Times New Roman" w:hAnsi="Times New Roman" w:cs="Times New Roman"/>
          <w:b/>
          <w:sz w:val="20"/>
          <w:szCs w:val="20"/>
        </w:rPr>
        <w:t xml:space="preserve"> model developed and described by Marseille et al (Marseille et al., 2013)  </w:t>
      </w:r>
    </w:p>
    <w:p w14:paraId="52635A21" w14:textId="77777777" w:rsidR="002241DD" w:rsidRDefault="002241DD">
      <w:pPr>
        <w:rPr>
          <w:rFonts w:ascii="Times New Roman" w:eastAsia="Times New Roman" w:hAnsi="Times New Roman" w:cs="Times New Roman"/>
        </w:rPr>
        <w:sectPr w:rsidR="002241DD" w:rsidSect="00294396">
          <w:pgSz w:w="11906" w:h="16838"/>
          <w:pgMar w:top="1440" w:right="1440" w:bottom="1440" w:left="1440" w:header="708" w:footer="708" w:gutter="0"/>
          <w:pgNumType w:start="1"/>
          <w:cols w:space="720"/>
          <w:docGrid w:linePitch="299"/>
        </w:sectPr>
      </w:pPr>
    </w:p>
    <w:p w14:paraId="0000010C" w14:textId="5FC2E1F5" w:rsidR="009A2A6C" w:rsidRPr="002241DD" w:rsidRDefault="002D64CD">
      <w:pPr>
        <w:rPr>
          <w:rFonts w:ascii="Times New Roman" w:eastAsia="Times New Roman" w:hAnsi="Times New Roman" w:cs="Times New Roman"/>
        </w:rPr>
      </w:pPr>
      <w:r w:rsidRPr="002241DD">
        <w:rPr>
          <w:rFonts w:ascii="Times New Roman" w:eastAsia="Times New Roman" w:hAnsi="Times New Roman" w:cs="Times New Roman"/>
          <w:noProof/>
        </w:rPr>
        <w:lastRenderedPageBreak/>
        <w:drawing>
          <wp:inline distT="0" distB="0" distL="0" distR="0" wp14:anchorId="2379E93D" wp14:editId="49C3CE5C">
            <wp:extent cx="5742940" cy="4176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940" cy="4176395"/>
                    </a:xfrm>
                    <a:prstGeom prst="rect">
                      <a:avLst/>
                    </a:prstGeom>
                    <a:noFill/>
                  </pic:spPr>
                </pic:pic>
              </a:graphicData>
            </a:graphic>
          </wp:inline>
        </w:drawing>
      </w:r>
    </w:p>
    <w:p w14:paraId="1AD8842E" w14:textId="4C0ADCB6" w:rsidR="00631DC7" w:rsidRPr="002241DD" w:rsidRDefault="00631DC7" w:rsidP="00631DC7">
      <w:pPr>
        <w:tabs>
          <w:tab w:val="left" w:pos="992"/>
        </w:tabs>
        <w:rPr>
          <w:rFonts w:ascii="Times New Roman" w:eastAsia="Times New Roman" w:hAnsi="Times New Roman" w:cs="Times New Roman"/>
          <w:b/>
          <w:sz w:val="20"/>
        </w:rPr>
      </w:pPr>
      <w:r w:rsidRPr="002241DD">
        <w:rPr>
          <w:rFonts w:ascii="Times New Roman" w:eastAsia="Times New Roman" w:hAnsi="Times New Roman" w:cs="Times New Roman"/>
          <w:b/>
        </w:rPr>
        <w:tab/>
      </w:r>
      <w:r w:rsidRPr="002241DD">
        <w:rPr>
          <w:rFonts w:ascii="Times New Roman" w:eastAsia="Times New Roman" w:hAnsi="Times New Roman" w:cs="Times New Roman"/>
          <w:b/>
          <w:sz w:val="20"/>
        </w:rPr>
        <w:t>Figure 2: Base case Cost-Effectiveness Plane for all screening criteria</w:t>
      </w:r>
    </w:p>
    <w:p w14:paraId="0000010E" w14:textId="77777777" w:rsidR="009A2A6C" w:rsidRPr="002241DD" w:rsidRDefault="009A2A6C">
      <w:pPr>
        <w:rPr>
          <w:rFonts w:ascii="Times New Roman" w:eastAsia="Times New Roman" w:hAnsi="Times New Roman" w:cs="Times New Roman"/>
        </w:rPr>
      </w:pPr>
    </w:p>
    <w:p w14:paraId="18D47FD3" w14:textId="6A83C264" w:rsidR="00E01A3D" w:rsidRPr="002241DD" w:rsidRDefault="00C937CE">
      <w:pPr>
        <w:rPr>
          <w:rFonts w:ascii="Times New Roman" w:eastAsia="Times New Roman" w:hAnsi="Times New Roman" w:cs="Times New Roman"/>
        </w:rPr>
      </w:pPr>
      <w:r w:rsidRPr="002241DD">
        <w:rPr>
          <w:rFonts w:ascii="Times New Roman" w:eastAsia="Times New Roman" w:hAnsi="Times New Roman" w:cs="Times New Roman"/>
          <w:noProof/>
        </w:rPr>
        <w:lastRenderedPageBreak/>
        <w:drawing>
          <wp:inline distT="0" distB="0" distL="0" distR="0" wp14:anchorId="73DD4932" wp14:editId="7998806D">
            <wp:extent cx="6224270" cy="436499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4270" cy="4364990"/>
                    </a:xfrm>
                    <a:prstGeom prst="rect">
                      <a:avLst/>
                    </a:prstGeom>
                    <a:noFill/>
                  </pic:spPr>
                </pic:pic>
              </a:graphicData>
            </a:graphic>
          </wp:inline>
        </w:drawing>
      </w:r>
    </w:p>
    <w:p w14:paraId="6D160287" w14:textId="158A24B5" w:rsidR="006D22B0" w:rsidRPr="002241DD" w:rsidRDefault="006D22B0" w:rsidP="006D22B0">
      <w:pPr>
        <w:rPr>
          <w:rFonts w:ascii="Times New Roman" w:eastAsia="Times New Roman" w:hAnsi="Times New Roman" w:cs="Times New Roman"/>
          <w:b/>
          <w:sz w:val="20"/>
        </w:rPr>
      </w:pPr>
      <w:r w:rsidRPr="002241DD">
        <w:rPr>
          <w:rFonts w:ascii="Times New Roman" w:eastAsia="Times New Roman" w:hAnsi="Times New Roman" w:cs="Times New Roman"/>
          <w:b/>
          <w:sz w:val="20"/>
        </w:rPr>
        <w:t>Figure 3: Cost-effectiveness Plane of new ADIPS GDM strategy vs ADIPS 1998 criteria using 1000 Monte Carlo Simulations with cost effective (purple) and highly cost-effective (red) thresholds (equal to $I 151,200 and $I 50,400 respectively).</w:t>
      </w:r>
    </w:p>
    <w:p w14:paraId="6FAEEAE6" w14:textId="77777777" w:rsidR="00CE6DB4" w:rsidRPr="002241DD" w:rsidRDefault="00CE6DB4" w:rsidP="006D22B0">
      <w:pPr>
        <w:rPr>
          <w:rFonts w:ascii="Times New Roman" w:eastAsia="Times New Roman" w:hAnsi="Times New Roman" w:cs="Times New Roman"/>
          <w:b/>
        </w:rPr>
      </w:pPr>
    </w:p>
    <w:p w14:paraId="4788F989" w14:textId="77777777" w:rsidR="002241DD" w:rsidRDefault="002241DD">
      <w:pPr>
        <w:rPr>
          <w:rFonts w:ascii="Times New Roman" w:eastAsia="Times New Roman" w:hAnsi="Times New Roman" w:cs="Times New Roman"/>
          <w:noProof/>
        </w:rPr>
        <w:sectPr w:rsidR="002241DD" w:rsidSect="00294396">
          <w:pgSz w:w="11906" w:h="16838"/>
          <w:pgMar w:top="1440" w:right="1440" w:bottom="1440" w:left="1440" w:header="708" w:footer="708" w:gutter="0"/>
          <w:pgNumType w:start="1"/>
          <w:cols w:space="720"/>
          <w:docGrid w:linePitch="299"/>
        </w:sectPr>
      </w:pPr>
    </w:p>
    <w:p w14:paraId="0000010F" w14:textId="488593EE" w:rsidR="009A2A6C" w:rsidRPr="002241DD" w:rsidRDefault="005E4357">
      <w:pPr>
        <w:rPr>
          <w:rFonts w:ascii="Times New Roman" w:eastAsia="Times New Roman" w:hAnsi="Times New Roman" w:cs="Times New Roman"/>
          <w:noProof/>
        </w:rPr>
      </w:pPr>
      <w:r w:rsidRPr="002241DD">
        <w:rPr>
          <w:rFonts w:ascii="Times New Roman" w:eastAsia="Times New Roman" w:hAnsi="Times New Roman" w:cs="Times New Roman"/>
          <w:noProof/>
        </w:rPr>
        <w:lastRenderedPageBreak/>
        <w:drawing>
          <wp:inline distT="0" distB="0" distL="0" distR="0" wp14:anchorId="75104BB5" wp14:editId="7FB41B8F">
            <wp:extent cx="5730875" cy="2164080"/>
            <wp:effectExtent l="0" t="0" r="317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164080"/>
                    </a:xfrm>
                    <a:prstGeom prst="rect">
                      <a:avLst/>
                    </a:prstGeom>
                    <a:noFill/>
                  </pic:spPr>
                </pic:pic>
              </a:graphicData>
            </a:graphic>
          </wp:inline>
        </w:drawing>
      </w:r>
    </w:p>
    <w:p w14:paraId="5E3C1736" w14:textId="77777777" w:rsidR="00327A37" w:rsidRPr="002241DD" w:rsidRDefault="00327A37" w:rsidP="00327A37">
      <w:pPr>
        <w:rPr>
          <w:rFonts w:ascii="Times New Roman" w:eastAsia="Times New Roman" w:hAnsi="Times New Roman" w:cs="Times New Roman"/>
          <w:b/>
          <w:sz w:val="20"/>
        </w:rPr>
      </w:pPr>
      <w:r w:rsidRPr="002241DD">
        <w:rPr>
          <w:rFonts w:ascii="Times New Roman" w:eastAsia="Times New Roman" w:hAnsi="Times New Roman" w:cs="Times New Roman"/>
          <w:b/>
          <w:sz w:val="20"/>
        </w:rPr>
        <w:t xml:space="preserve">Figure 4 – One-way sensitivity analysis – </w:t>
      </w:r>
      <w:r w:rsidRPr="002241DD">
        <w:rPr>
          <w:rFonts w:ascii="Times New Roman" w:eastAsia="Times New Roman" w:hAnsi="Times New Roman" w:cs="Times New Roman"/>
          <w:bCs/>
          <w:sz w:val="20"/>
        </w:rPr>
        <w:t>refer to Table 2 for sensitivity range for each variable.</w:t>
      </w:r>
      <w:r w:rsidRPr="002241DD">
        <w:rPr>
          <w:rFonts w:ascii="Times New Roman" w:eastAsia="Times New Roman" w:hAnsi="Times New Roman" w:cs="Times New Roman"/>
          <w:b/>
          <w:sz w:val="20"/>
        </w:rPr>
        <w:t xml:space="preserve"> </w:t>
      </w:r>
    </w:p>
    <w:p w14:paraId="5F9D97A7" w14:textId="7974A987" w:rsidR="00327A37" w:rsidRPr="002241DD" w:rsidRDefault="00327A37" w:rsidP="00327A37">
      <w:pPr>
        <w:ind w:firstLine="720"/>
        <w:rPr>
          <w:rFonts w:ascii="Times New Roman" w:eastAsia="Times New Roman" w:hAnsi="Times New Roman" w:cs="Times New Roman"/>
          <w:sz w:val="20"/>
        </w:rPr>
      </w:pPr>
      <w:bookmarkStart w:id="3" w:name="_GoBack"/>
      <w:bookmarkEnd w:id="3"/>
    </w:p>
    <w:sectPr w:rsidR="00327A37" w:rsidRPr="002241DD" w:rsidSect="00294396">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4316D" w14:textId="77777777" w:rsidR="00DF501A" w:rsidRDefault="00DF501A" w:rsidP="00F366FE">
      <w:pPr>
        <w:spacing w:after="0" w:line="240" w:lineRule="auto"/>
      </w:pPr>
      <w:r>
        <w:separator/>
      </w:r>
    </w:p>
  </w:endnote>
  <w:endnote w:type="continuationSeparator" w:id="0">
    <w:p w14:paraId="61715852" w14:textId="77777777" w:rsidR="00DF501A" w:rsidRDefault="00DF501A" w:rsidP="00F3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DC38" w14:textId="77777777" w:rsidR="00DF501A" w:rsidRDefault="00DF501A" w:rsidP="00F366FE">
      <w:pPr>
        <w:spacing w:after="0" w:line="240" w:lineRule="auto"/>
      </w:pPr>
      <w:r>
        <w:separator/>
      </w:r>
    </w:p>
  </w:footnote>
  <w:footnote w:type="continuationSeparator" w:id="0">
    <w:p w14:paraId="1B312C33" w14:textId="77777777" w:rsidR="00DF501A" w:rsidRDefault="00DF501A" w:rsidP="00F36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A2A6C"/>
    <w:rsid w:val="001C5EAA"/>
    <w:rsid w:val="001F2764"/>
    <w:rsid w:val="002241DD"/>
    <w:rsid w:val="00293D58"/>
    <w:rsid w:val="00294396"/>
    <w:rsid w:val="002A6DC8"/>
    <w:rsid w:val="002B4F18"/>
    <w:rsid w:val="002D34CE"/>
    <w:rsid w:val="002D64CD"/>
    <w:rsid w:val="002F5B3F"/>
    <w:rsid w:val="00327A37"/>
    <w:rsid w:val="00335327"/>
    <w:rsid w:val="00341CCC"/>
    <w:rsid w:val="00366273"/>
    <w:rsid w:val="00394D1E"/>
    <w:rsid w:val="003E42D8"/>
    <w:rsid w:val="0041675F"/>
    <w:rsid w:val="00432E40"/>
    <w:rsid w:val="004B3447"/>
    <w:rsid w:val="00545868"/>
    <w:rsid w:val="005E4357"/>
    <w:rsid w:val="00631DC7"/>
    <w:rsid w:val="00671CF7"/>
    <w:rsid w:val="00676504"/>
    <w:rsid w:val="00692CCD"/>
    <w:rsid w:val="00694AE6"/>
    <w:rsid w:val="006A79E1"/>
    <w:rsid w:val="006D22B0"/>
    <w:rsid w:val="0075196B"/>
    <w:rsid w:val="00774C9E"/>
    <w:rsid w:val="007B1F57"/>
    <w:rsid w:val="007C1FDF"/>
    <w:rsid w:val="00802E76"/>
    <w:rsid w:val="00852698"/>
    <w:rsid w:val="008908A0"/>
    <w:rsid w:val="008D33A8"/>
    <w:rsid w:val="009374F7"/>
    <w:rsid w:val="0097480E"/>
    <w:rsid w:val="009A2A6C"/>
    <w:rsid w:val="009B6D67"/>
    <w:rsid w:val="009E352B"/>
    <w:rsid w:val="009F1688"/>
    <w:rsid w:val="00A21BDB"/>
    <w:rsid w:val="00A35EDE"/>
    <w:rsid w:val="00A9569C"/>
    <w:rsid w:val="00AC4D3F"/>
    <w:rsid w:val="00AE1C31"/>
    <w:rsid w:val="00B34207"/>
    <w:rsid w:val="00B36784"/>
    <w:rsid w:val="00BA33E7"/>
    <w:rsid w:val="00C5265E"/>
    <w:rsid w:val="00C937CE"/>
    <w:rsid w:val="00CE6DB4"/>
    <w:rsid w:val="00DD6503"/>
    <w:rsid w:val="00DF501A"/>
    <w:rsid w:val="00E01A3D"/>
    <w:rsid w:val="00E02170"/>
    <w:rsid w:val="00E670F9"/>
    <w:rsid w:val="00EC7188"/>
    <w:rsid w:val="00EE1D40"/>
    <w:rsid w:val="00F366FE"/>
    <w:rsid w:val="00FC74FA"/>
    <w:rsid w:val="00FD5AF1"/>
    <w:rsid w:val="00FE24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132D"/>
  <w15:docId w15:val="{E0E0D759-51EC-43B5-862A-9D58E5B1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B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B24B2"/>
    <w:rPr>
      <w:color w:val="0563C1" w:themeColor="hyperlink"/>
      <w:u w:val="single"/>
    </w:rPr>
  </w:style>
  <w:style w:type="paragraph" w:styleId="BalloonText">
    <w:name w:val="Balloon Text"/>
    <w:basedOn w:val="Normal"/>
    <w:link w:val="BalloonTextChar"/>
    <w:uiPriority w:val="99"/>
    <w:semiHidden/>
    <w:unhideWhenUsed/>
    <w:rsid w:val="00F22A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2A73"/>
    <w:rPr>
      <w:rFonts w:ascii="Times New Roman" w:hAnsi="Times New Roman" w:cs="Times New Roman"/>
      <w:sz w:val="18"/>
      <w:szCs w:val="18"/>
    </w:rPr>
  </w:style>
  <w:style w:type="character" w:customStyle="1" w:styleId="Heading1Char">
    <w:name w:val="Heading 1 Char"/>
    <w:basedOn w:val="DefaultParagraphFont"/>
    <w:link w:val="Heading1"/>
    <w:uiPriority w:val="9"/>
    <w:rsid w:val="00511B1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E32D5"/>
    <w:rPr>
      <w:sz w:val="16"/>
      <w:szCs w:val="16"/>
    </w:rPr>
  </w:style>
  <w:style w:type="paragraph" w:styleId="CommentText">
    <w:name w:val="annotation text"/>
    <w:basedOn w:val="Normal"/>
    <w:link w:val="CommentTextChar"/>
    <w:uiPriority w:val="99"/>
    <w:semiHidden/>
    <w:unhideWhenUsed/>
    <w:rsid w:val="00BE32D5"/>
    <w:pPr>
      <w:spacing w:line="240" w:lineRule="auto"/>
    </w:pPr>
    <w:rPr>
      <w:sz w:val="20"/>
      <w:szCs w:val="20"/>
    </w:rPr>
  </w:style>
  <w:style w:type="character" w:customStyle="1" w:styleId="CommentTextChar">
    <w:name w:val="Comment Text Char"/>
    <w:basedOn w:val="DefaultParagraphFont"/>
    <w:link w:val="CommentText"/>
    <w:uiPriority w:val="99"/>
    <w:semiHidden/>
    <w:rsid w:val="00BE32D5"/>
    <w:rPr>
      <w:sz w:val="20"/>
      <w:szCs w:val="20"/>
    </w:rPr>
  </w:style>
  <w:style w:type="paragraph" w:styleId="CommentSubject">
    <w:name w:val="annotation subject"/>
    <w:basedOn w:val="CommentText"/>
    <w:next w:val="CommentText"/>
    <w:link w:val="CommentSubjectChar"/>
    <w:uiPriority w:val="99"/>
    <w:semiHidden/>
    <w:unhideWhenUsed/>
    <w:rsid w:val="00BE32D5"/>
    <w:rPr>
      <w:b/>
      <w:bCs/>
    </w:rPr>
  </w:style>
  <w:style w:type="character" w:customStyle="1" w:styleId="CommentSubjectChar">
    <w:name w:val="Comment Subject Char"/>
    <w:basedOn w:val="CommentTextChar"/>
    <w:link w:val="CommentSubject"/>
    <w:uiPriority w:val="99"/>
    <w:semiHidden/>
    <w:rsid w:val="00BE32D5"/>
    <w:rPr>
      <w:b/>
      <w:bCs/>
      <w:sz w:val="20"/>
      <w:szCs w:val="20"/>
    </w:rPr>
  </w:style>
  <w:style w:type="paragraph" w:styleId="ListParagraph">
    <w:name w:val="List Paragraph"/>
    <w:basedOn w:val="Normal"/>
    <w:uiPriority w:val="34"/>
    <w:qFormat/>
    <w:rsid w:val="002862DB"/>
    <w:pPr>
      <w:ind w:left="720"/>
      <w:contextualSpacing/>
    </w:pPr>
  </w:style>
  <w:style w:type="table" w:styleId="TableGrid">
    <w:name w:val="Table Grid"/>
    <w:basedOn w:val="TableNormal"/>
    <w:uiPriority w:val="39"/>
    <w:rsid w:val="004E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F1E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1EC8"/>
    <w:rPr>
      <w:sz w:val="20"/>
      <w:szCs w:val="20"/>
    </w:rPr>
  </w:style>
  <w:style w:type="character" w:styleId="EndnoteReference">
    <w:name w:val="endnote reference"/>
    <w:basedOn w:val="DefaultParagraphFont"/>
    <w:uiPriority w:val="99"/>
    <w:semiHidden/>
    <w:unhideWhenUsed/>
    <w:rsid w:val="00FF1EC8"/>
    <w:rPr>
      <w:vertAlign w:val="superscript"/>
    </w:rPr>
  </w:style>
  <w:style w:type="paragraph" w:customStyle="1" w:styleId="EndNoteBibliographyTitle">
    <w:name w:val="EndNote Bibliography Title"/>
    <w:basedOn w:val="Normal"/>
    <w:link w:val="EndNoteBibliographyTitleChar"/>
    <w:rsid w:val="00FF1EC8"/>
    <w:pPr>
      <w:spacing w:after="0"/>
      <w:jc w:val="center"/>
    </w:pPr>
    <w:rPr>
      <w:noProof/>
    </w:rPr>
  </w:style>
  <w:style w:type="character" w:customStyle="1" w:styleId="EndNoteBibliographyTitleChar">
    <w:name w:val="EndNote Bibliography Title Char"/>
    <w:basedOn w:val="DefaultParagraphFont"/>
    <w:link w:val="EndNoteBibliographyTitle"/>
    <w:rsid w:val="00FF1EC8"/>
    <w:rPr>
      <w:noProof/>
    </w:rPr>
  </w:style>
  <w:style w:type="paragraph" w:customStyle="1" w:styleId="EndNoteBibliography">
    <w:name w:val="EndNote Bibliography"/>
    <w:basedOn w:val="Normal"/>
    <w:link w:val="EndNoteBibliographyChar"/>
    <w:rsid w:val="00FF1EC8"/>
    <w:pPr>
      <w:spacing w:line="240" w:lineRule="auto"/>
    </w:pPr>
    <w:rPr>
      <w:noProof/>
    </w:rPr>
  </w:style>
  <w:style w:type="character" w:customStyle="1" w:styleId="EndNoteBibliographyChar">
    <w:name w:val="EndNote Bibliography Char"/>
    <w:basedOn w:val="DefaultParagraphFont"/>
    <w:link w:val="EndNoteBibliography"/>
    <w:rsid w:val="00FF1EC8"/>
    <w:rPr>
      <w:noProof/>
    </w:rPr>
  </w:style>
  <w:style w:type="paragraph" w:styleId="Header">
    <w:name w:val="header"/>
    <w:basedOn w:val="Normal"/>
    <w:link w:val="HeaderChar"/>
    <w:uiPriority w:val="99"/>
    <w:unhideWhenUsed/>
    <w:rsid w:val="00A93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202"/>
  </w:style>
  <w:style w:type="paragraph" w:styleId="Footer">
    <w:name w:val="footer"/>
    <w:basedOn w:val="Normal"/>
    <w:link w:val="FooterChar"/>
    <w:uiPriority w:val="99"/>
    <w:unhideWhenUsed/>
    <w:rsid w:val="00A93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202"/>
  </w:style>
  <w:style w:type="paragraph" w:styleId="FootnoteText">
    <w:name w:val="footnote text"/>
    <w:basedOn w:val="Normal"/>
    <w:link w:val="FootnoteTextChar"/>
    <w:uiPriority w:val="99"/>
    <w:semiHidden/>
    <w:unhideWhenUsed/>
    <w:rsid w:val="002D35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549"/>
    <w:rPr>
      <w:sz w:val="20"/>
      <w:szCs w:val="20"/>
    </w:rPr>
  </w:style>
  <w:style w:type="character" w:styleId="FootnoteReference">
    <w:name w:val="footnote reference"/>
    <w:basedOn w:val="DefaultParagraphFont"/>
    <w:uiPriority w:val="99"/>
    <w:semiHidden/>
    <w:unhideWhenUsed/>
    <w:rsid w:val="002D3549"/>
    <w:rPr>
      <w:vertAlign w:val="superscript"/>
    </w:rPr>
  </w:style>
  <w:style w:type="paragraph" w:customStyle="1" w:styleId="Default">
    <w:name w:val="Default"/>
    <w:rsid w:val="002449AE"/>
    <w:pPr>
      <w:autoSpaceDE w:val="0"/>
      <w:autoSpaceDN w:val="0"/>
      <w:adjustRightInd w:val="0"/>
      <w:spacing w:after="0" w:line="240" w:lineRule="auto"/>
    </w:pPr>
    <w:rPr>
      <w:rFonts w:ascii="Times New Roman" w:eastAsiaTheme="minorHAnsi" w:hAnsi="Times New Roman" w:cs="Times New Roman"/>
      <w:color w:val="000000"/>
      <w:sz w:val="24"/>
      <w:szCs w:val="24"/>
      <w:lang w:val="en-AU"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E01A3D"/>
    <w:rPr>
      <w:color w:val="605E5C"/>
      <w:shd w:val="clear" w:color="auto" w:fill="E1DFDD"/>
    </w:rPr>
  </w:style>
  <w:style w:type="character" w:styleId="LineNumber">
    <w:name w:val="line number"/>
    <w:basedOn w:val="DefaultParagraphFont"/>
    <w:uiPriority w:val="99"/>
    <w:semiHidden/>
    <w:unhideWhenUsed/>
    <w:rsid w:val="0077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bac.pbs.gov.a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mf.org/external/datamapper/PPPEX@WEO/OEMDC/ADVEC/WEOWORLD/DA/IND/AU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hyperlink" Target="https://pbac.pbs.gov.au/"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f.org/external/datamapper/PPPEX@WEO/OEMDC/ADVEC/WEOWORLD/DA/IND/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D08B10468A4A8439DF566185A69F" ma:contentTypeVersion="11" ma:contentTypeDescription="Create a new document." ma:contentTypeScope="" ma:versionID="490d009a7096bd26ca1198949c63443e">
  <xsd:schema xmlns:xsd="http://www.w3.org/2001/XMLSchema" xmlns:xs="http://www.w3.org/2001/XMLSchema" xmlns:p="http://schemas.microsoft.com/office/2006/metadata/properties" xmlns:ns3="811d8273-e522-4be9-a65b-658c2ff2ac10" xmlns:ns4="d5b6411f-45a4-4b57-b557-c96b1c6e598d" targetNamespace="http://schemas.microsoft.com/office/2006/metadata/properties" ma:root="true" ma:fieldsID="4bfc803b653c6f4b83eaff8165a8356c" ns3:_="" ns4:_="">
    <xsd:import namespace="811d8273-e522-4be9-a65b-658c2ff2ac10"/>
    <xsd:import namespace="d5b6411f-45a4-4b57-b557-c96b1c6e59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d8273-e522-4be9-a65b-658c2ff2a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6411f-45a4-4b57-b557-c96b1c6e59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Q91CjAx2O2/UDHi0SIuc/QOzV8w==">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45DB3-6C01-42AF-A763-424777C01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d8273-e522-4be9-a65b-658c2ff2ac10"/>
    <ds:schemaRef ds:uri="d5b6411f-45a4-4b57-b557-c96b1c6e5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DFDCE82-31E3-44DA-AEA9-14C537A9A1CC}">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d5b6411f-45a4-4b57-b557-c96b1c6e598d"/>
    <ds:schemaRef ds:uri="811d8273-e522-4be9-a65b-658c2ff2ac10"/>
    <ds:schemaRef ds:uri="http://purl.org/dc/dcmitype/"/>
  </ds:schemaRefs>
</ds:datastoreItem>
</file>

<file path=customXml/itemProps4.xml><?xml version="1.0" encoding="utf-8"?>
<ds:datastoreItem xmlns:ds="http://schemas.openxmlformats.org/officeDocument/2006/customXml" ds:itemID="{75EF471B-D055-47B4-8434-4F3781792890}">
  <ds:schemaRefs>
    <ds:schemaRef ds:uri="http://schemas.microsoft.com/sharepoint/v3/contenttype/forms"/>
  </ds:schemaRefs>
</ds:datastoreItem>
</file>

<file path=customXml/itemProps5.xml><?xml version="1.0" encoding="utf-8"?>
<ds:datastoreItem xmlns:ds="http://schemas.openxmlformats.org/officeDocument/2006/customXml" ds:itemID="{5AB0F533-6758-45C3-A0AA-C7FD096E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5057</Words>
  <Characters>28829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Yang</dc:creator>
  <cp:lastModifiedBy>Fan Yang</cp:lastModifiedBy>
  <cp:revision>3</cp:revision>
  <cp:lastPrinted>2020-03-23T05:23:00Z</cp:lastPrinted>
  <dcterms:created xsi:type="dcterms:W3CDTF">2020-05-17T03:18:00Z</dcterms:created>
  <dcterms:modified xsi:type="dcterms:W3CDTF">2021-09-06T15:42:00Z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0x0101000B4ED08B10468A4A8439DF566185A69F</vt:lpwstr>
  </property>
</Properties>
</file>