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9EB5" w14:textId="77777777" w:rsidR="00F414ED" w:rsidRPr="004D56CB" w:rsidRDefault="00D9018D" w:rsidP="00E753A7">
      <w:pPr>
        <w:pStyle w:val="Heading1"/>
        <w:spacing w:line="360" w:lineRule="auto"/>
        <w:rPr>
          <w:rFonts w:ascii="Arial" w:hAnsi="Arial" w:cs="Arial"/>
          <w:sz w:val="22"/>
          <w:szCs w:val="22"/>
        </w:rPr>
      </w:pPr>
      <w:r w:rsidRPr="004D56CB">
        <w:rPr>
          <w:rFonts w:ascii="Arial" w:hAnsi="Arial" w:cs="Arial"/>
          <w:sz w:val="22"/>
          <w:szCs w:val="22"/>
        </w:rPr>
        <w:t>ABSTRACT</w:t>
      </w:r>
    </w:p>
    <w:p w14:paraId="3C26758C" w14:textId="77777777" w:rsidR="006A456C" w:rsidRPr="004D56CB" w:rsidRDefault="006A456C" w:rsidP="00B254E4">
      <w:pPr>
        <w:spacing w:line="360" w:lineRule="auto"/>
        <w:jc w:val="both"/>
        <w:rPr>
          <w:rFonts w:ascii="Arial" w:hAnsi="Arial" w:cs="Arial"/>
          <w:b/>
          <w:sz w:val="22"/>
          <w:szCs w:val="22"/>
        </w:rPr>
      </w:pPr>
      <w:r w:rsidRPr="004D56CB">
        <w:rPr>
          <w:rFonts w:ascii="Arial" w:hAnsi="Arial" w:cs="Arial"/>
          <w:b/>
          <w:sz w:val="22"/>
          <w:szCs w:val="22"/>
        </w:rPr>
        <w:t>Introduction</w:t>
      </w:r>
    </w:p>
    <w:p w14:paraId="2A785600" w14:textId="6FF42FEF" w:rsidR="006A456C" w:rsidRPr="004D56CB" w:rsidRDefault="00222B88" w:rsidP="00E753A7">
      <w:pPr>
        <w:spacing w:after="240" w:line="360" w:lineRule="auto"/>
        <w:jc w:val="both"/>
        <w:rPr>
          <w:rFonts w:ascii="Arial" w:hAnsi="Arial" w:cs="Arial"/>
          <w:sz w:val="22"/>
          <w:szCs w:val="22"/>
        </w:rPr>
      </w:pPr>
      <w:r w:rsidRPr="004D56CB">
        <w:rPr>
          <w:rFonts w:ascii="Arial" w:hAnsi="Arial" w:cs="Arial"/>
          <w:sz w:val="22"/>
          <w:szCs w:val="22"/>
        </w:rPr>
        <w:t>S</w:t>
      </w:r>
      <w:r w:rsidR="006A456C" w:rsidRPr="004D56CB">
        <w:rPr>
          <w:rFonts w:ascii="Arial" w:hAnsi="Arial" w:cs="Arial"/>
          <w:sz w:val="22"/>
          <w:szCs w:val="22"/>
        </w:rPr>
        <w:t>mokeless tobacco (ST) remains poorly regulated in Bangladesh. This paper describes the prevalence and trends of ST use in Bangladesh, presents ST</w:t>
      </w:r>
      <w:r w:rsidR="00F82616" w:rsidRPr="004D56CB">
        <w:rPr>
          <w:rFonts w:ascii="Arial" w:hAnsi="Arial" w:cs="Arial"/>
          <w:sz w:val="22"/>
          <w:szCs w:val="22"/>
        </w:rPr>
        <w:t>-</w:t>
      </w:r>
      <w:r w:rsidR="006A456C" w:rsidRPr="004D56CB">
        <w:rPr>
          <w:rFonts w:ascii="Arial" w:hAnsi="Arial" w:cs="Arial"/>
          <w:sz w:val="22"/>
          <w:szCs w:val="22"/>
        </w:rPr>
        <w:t>related disease burden, identifies relevant policy gaps, and highlights key implications for future policy and practice for effective ST control in Bangladesh.</w:t>
      </w:r>
    </w:p>
    <w:p w14:paraId="6588052E" w14:textId="77777777" w:rsidR="006A456C" w:rsidRPr="004D56CB" w:rsidRDefault="006A456C" w:rsidP="00B254E4">
      <w:pPr>
        <w:spacing w:line="360" w:lineRule="auto"/>
        <w:jc w:val="both"/>
        <w:rPr>
          <w:rFonts w:ascii="Arial" w:hAnsi="Arial" w:cs="Arial"/>
          <w:b/>
          <w:sz w:val="22"/>
          <w:szCs w:val="22"/>
        </w:rPr>
      </w:pPr>
      <w:r w:rsidRPr="004D56CB">
        <w:rPr>
          <w:rFonts w:ascii="Arial" w:hAnsi="Arial" w:cs="Arial"/>
          <w:b/>
          <w:sz w:val="22"/>
          <w:szCs w:val="22"/>
        </w:rPr>
        <w:t>Methods</w:t>
      </w:r>
    </w:p>
    <w:p w14:paraId="2E3BA4FB" w14:textId="75871CF7" w:rsidR="006A456C" w:rsidRPr="004D56CB" w:rsidRDefault="006A456C" w:rsidP="00E753A7">
      <w:pPr>
        <w:spacing w:after="240" w:line="360" w:lineRule="auto"/>
        <w:jc w:val="both"/>
        <w:rPr>
          <w:rFonts w:ascii="Arial" w:hAnsi="Arial" w:cs="Arial"/>
          <w:sz w:val="22"/>
          <w:szCs w:val="22"/>
        </w:rPr>
      </w:pPr>
      <w:r w:rsidRPr="004D56CB">
        <w:rPr>
          <w:rFonts w:ascii="Arial" w:hAnsi="Arial" w:cs="Arial"/>
          <w:sz w:val="22"/>
          <w:szCs w:val="22"/>
        </w:rPr>
        <w:t>We analysed secondary data from the two rounds (2009 and 2017) of The Global Adult Tobacco Survey, estimated ST</w:t>
      </w:r>
      <w:r w:rsidR="00E04C66" w:rsidRPr="004D56CB">
        <w:rPr>
          <w:rFonts w:ascii="Arial" w:hAnsi="Arial" w:cs="Arial"/>
          <w:sz w:val="22"/>
          <w:szCs w:val="22"/>
        </w:rPr>
        <w:t>-related disease burden, and conducted a review to assess differences in combustible tobacco and ST policies</w:t>
      </w:r>
      <w:r w:rsidRPr="004D56CB">
        <w:rPr>
          <w:rFonts w:ascii="Arial" w:hAnsi="Arial" w:cs="Arial"/>
          <w:sz w:val="22"/>
          <w:szCs w:val="22"/>
        </w:rPr>
        <w:t xml:space="preserve">. </w:t>
      </w:r>
      <w:r w:rsidR="00F82616" w:rsidRPr="004D56CB">
        <w:rPr>
          <w:rFonts w:ascii="Arial" w:hAnsi="Arial" w:cs="Arial"/>
          <w:sz w:val="22"/>
          <w:szCs w:val="22"/>
        </w:rPr>
        <w:t>In addition, w</w:t>
      </w:r>
      <w:r w:rsidRPr="004D56CB">
        <w:rPr>
          <w:rFonts w:ascii="Arial" w:hAnsi="Arial" w:cs="Arial"/>
          <w:sz w:val="22"/>
          <w:szCs w:val="22"/>
        </w:rPr>
        <w:t xml:space="preserve">e </w:t>
      </w:r>
      <w:r w:rsidR="002D4BF8" w:rsidRPr="004D56CB">
        <w:rPr>
          <w:rFonts w:ascii="Arial" w:hAnsi="Arial" w:cs="Arial"/>
          <w:sz w:val="22"/>
          <w:szCs w:val="22"/>
        </w:rPr>
        <w:t>gathered views</w:t>
      </w:r>
      <w:r w:rsidR="0089398A" w:rsidRPr="004D56CB">
        <w:rPr>
          <w:rFonts w:ascii="Arial" w:hAnsi="Arial" w:cs="Arial"/>
          <w:sz w:val="22"/>
          <w:szCs w:val="22"/>
        </w:rPr>
        <w:t xml:space="preserve"> </w:t>
      </w:r>
      <w:r w:rsidR="00AD2A76" w:rsidRPr="004D56CB">
        <w:rPr>
          <w:rFonts w:ascii="Arial" w:hAnsi="Arial" w:cs="Arial"/>
          <w:sz w:val="22"/>
          <w:szCs w:val="22"/>
        </w:rPr>
        <w:t xml:space="preserve">in a workshop </w:t>
      </w:r>
      <w:r w:rsidR="00B845C3" w:rsidRPr="004D56CB">
        <w:rPr>
          <w:rFonts w:ascii="Arial" w:hAnsi="Arial" w:cs="Arial"/>
          <w:sz w:val="22"/>
          <w:szCs w:val="22"/>
        </w:rPr>
        <w:t xml:space="preserve">with key stakeholders in the country </w:t>
      </w:r>
      <w:r w:rsidR="0089398A" w:rsidRPr="004D56CB">
        <w:rPr>
          <w:rFonts w:ascii="Arial" w:hAnsi="Arial" w:cs="Arial"/>
          <w:sz w:val="22"/>
          <w:szCs w:val="22"/>
        </w:rPr>
        <w:t>on gaps in existing tobacco control policies for ST control in Bangladesh</w:t>
      </w:r>
      <w:r w:rsidRPr="004D56CB">
        <w:rPr>
          <w:rFonts w:ascii="Arial" w:hAnsi="Arial" w:cs="Arial"/>
          <w:sz w:val="22"/>
          <w:szCs w:val="22"/>
        </w:rPr>
        <w:t xml:space="preserve"> and identified policy pr</w:t>
      </w:r>
      <w:r w:rsidR="00564EDA" w:rsidRPr="004D56CB">
        <w:rPr>
          <w:rFonts w:ascii="Arial" w:hAnsi="Arial" w:cs="Arial"/>
          <w:sz w:val="22"/>
          <w:szCs w:val="22"/>
        </w:rPr>
        <w:t>iorities using an online survey</w:t>
      </w:r>
      <w:r w:rsidR="00CE4C25" w:rsidRPr="004D56CB">
        <w:rPr>
          <w:rFonts w:ascii="Arial" w:hAnsi="Arial" w:cs="Arial"/>
          <w:sz w:val="22"/>
          <w:szCs w:val="22"/>
        </w:rPr>
        <w:t>.</w:t>
      </w:r>
    </w:p>
    <w:p w14:paraId="413500E8" w14:textId="77777777" w:rsidR="006A456C" w:rsidRPr="004D56CB" w:rsidRDefault="006A456C" w:rsidP="00B254E4">
      <w:pPr>
        <w:spacing w:line="360" w:lineRule="auto"/>
        <w:jc w:val="both"/>
        <w:rPr>
          <w:rFonts w:ascii="Arial" w:hAnsi="Arial" w:cs="Arial"/>
          <w:b/>
          <w:sz w:val="22"/>
          <w:szCs w:val="22"/>
        </w:rPr>
      </w:pPr>
      <w:r w:rsidRPr="004D56CB">
        <w:rPr>
          <w:rFonts w:ascii="Arial" w:hAnsi="Arial" w:cs="Arial"/>
          <w:b/>
          <w:sz w:val="22"/>
          <w:szCs w:val="22"/>
        </w:rPr>
        <w:t>Results</w:t>
      </w:r>
    </w:p>
    <w:p w14:paraId="2970A850" w14:textId="1B0CDB75" w:rsidR="006A456C" w:rsidRPr="004D56CB" w:rsidRDefault="006A456C" w:rsidP="00E753A7">
      <w:pPr>
        <w:spacing w:after="240" w:line="360" w:lineRule="auto"/>
        <w:jc w:val="both"/>
        <w:rPr>
          <w:rFonts w:ascii="Arial" w:hAnsi="Arial" w:cs="Arial"/>
          <w:sz w:val="22"/>
          <w:szCs w:val="22"/>
        </w:rPr>
      </w:pPr>
      <w:r w:rsidRPr="004D56CB">
        <w:rPr>
          <w:rFonts w:ascii="Arial" w:hAnsi="Arial" w:cs="Arial"/>
          <w:sz w:val="22"/>
          <w:szCs w:val="22"/>
        </w:rPr>
        <w:t>ST use – constituting more than half of all tobacco use in Bangladesh –</w:t>
      </w:r>
      <w:r w:rsidR="001B63E8" w:rsidRPr="004D56CB">
        <w:rPr>
          <w:rFonts w:ascii="Arial" w:hAnsi="Arial" w:cs="Arial"/>
          <w:sz w:val="22"/>
          <w:szCs w:val="22"/>
        </w:rPr>
        <w:t xml:space="preserve"> </w:t>
      </w:r>
      <w:r w:rsidRPr="004D56CB">
        <w:rPr>
          <w:rFonts w:ascii="Arial" w:hAnsi="Arial" w:cs="Arial"/>
          <w:sz w:val="22"/>
          <w:szCs w:val="22"/>
        </w:rPr>
        <w:t>declined from 27.2% (25.9 million)</w:t>
      </w:r>
      <w:r w:rsidR="001B63E8" w:rsidRPr="004D56CB">
        <w:rPr>
          <w:rFonts w:ascii="Arial" w:hAnsi="Arial" w:cs="Arial"/>
          <w:sz w:val="22"/>
          <w:szCs w:val="22"/>
        </w:rPr>
        <w:t xml:space="preserve"> in 2009</w:t>
      </w:r>
      <w:r w:rsidRPr="004D56CB">
        <w:rPr>
          <w:rFonts w:ascii="Arial" w:hAnsi="Arial" w:cs="Arial"/>
          <w:sz w:val="22"/>
          <w:szCs w:val="22"/>
        </w:rPr>
        <w:t xml:space="preserve"> to 20.6% (22 million)</w:t>
      </w:r>
      <w:r w:rsidR="001B63E8" w:rsidRPr="004D56CB">
        <w:rPr>
          <w:rFonts w:ascii="Arial" w:hAnsi="Arial" w:cs="Arial"/>
          <w:sz w:val="22"/>
          <w:szCs w:val="22"/>
        </w:rPr>
        <w:t xml:space="preserve"> in 2017</w:t>
      </w:r>
      <w:r w:rsidRPr="004D56CB">
        <w:rPr>
          <w:rFonts w:ascii="Arial" w:hAnsi="Arial" w:cs="Arial"/>
          <w:sz w:val="22"/>
          <w:szCs w:val="22"/>
        </w:rPr>
        <w:t xml:space="preserve">. </w:t>
      </w:r>
      <w:r w:rsidR="00F82616" w:rsidRPr="004D56CB">
        <w:rPr>
          <w:rFonts w:ascii="Arial" w:hAnsi="Arial" w:cs="Arial"/>
          <w:sz w:val="22"/>
          <w:szCs w:val="22"/>
        </w:rPr>
        <w:t>However, i</w:t>
      </w:r>
      <w:r w:rsidRPr="004D56CB">
        <w:rPr>
          <w:rFonts w:ascii="Arial" w:hAnsi="Arial" w:cs="Arial"/>
          <w:sz w:val="22"/>
          <w:szCs w:val="22"/>
        </w:rPr>
        <w:t xml:space="preserve">n 2017, at least 16,947 lives and 403,460 Disability Adjusted Life-Years (DALYs) were lost across Bangladesh due to ST use compared to 12,511 deaths and 324,020 DALYs lost in 2010. Policy priorities identified for ST control included: introducing specific taxes and increasing the present ad-valorem tax level, increasing the health development surcharge, designing and implementing a tax tracking and tracing system, standardising ST packaging, integrating ST cessation within existing health systems, comprehensive media campaigns, and licensing of ST manufactures. </w:t>
      </w:r>
    </w:p>
    <w:p w14:paraId="61F5CB58" w14:textId="77777777" w:rsidR="006A456C" w:rsidRPr="004D56CB" w:rsidRDefault="006A456C" w:rsidP="00B254E4">
      <w:pPr>
        <w:spacing w:line="360" w:lineRule="auto"/>
        <w:jc w:val="both"/>
        <w:rPr>
          <w:rFonts w:ascii="Arial" w:hAnsi="Arial" w:cs="Arial"/>
          <w:b/>
          <w:sz w:val="22"/>
          <w:szCs w:val="22"/>
        </w:rPr>
      </w:pPr>
      <w:r w:rsidRPr="004D56CB">
        <w:rPr>
          <w:rFonts w:ascii="Arial" w:hAnsi="Arial" w:cs="Arial"/>
          <w:b/>
          <w:sz w:val="22"/>
          <w:szCs w:val="22"/>
        </w:rPr>
        <w:t>Conclusions </w:t>
      </w:r>
    </w:p>
    <w:p w14:paraId="2D86D758" w14:textId="5DFC6966" w:rsidR="009F0F9E" w:rsidRPr="004D56CB" w:rsidRDefault="00E753A7" w:rsidP="00E753A7">
      <w:pPr>
        <w:spacing w:after="240" w:line="360" w:lineRule="auto"/>
        <w:jc w:val="both"/>
        <w:rPr>
          <w:rFonts w:ascii="Arial" w:hAnsi="Arial" w:cs="Arial"/>
          <w:sz w:val="22"/>
          <w:szCs w:val="22"/>
        </w:rPr>
      </w:pPr>
      <w:r w:rsidRPr="004D56CB">
        <w:rPr>
          <w:rFonts w:ascii="Arial" w:hAnsi="Arial" w:cs="Arial"/>
          <w:sz w:val="22"/>
          <w:szCs w:val="22"/>
        </w:rPr>
        <w:t xml:space="preserve">Our analysis shows that compared to combustible tobacco, there remain gaps in </w:t>
      </w:r>
      <w:r w:rsidR="00E04C66" w:rsidRPr="004D56CB">
        <w:rPr>
          <w:rFonts w:ascii="Arial" w:hAnsi="Arial" w:cs="Arial"/>
          <w:sz w:val="22"/>
          <w:szCs w:val="22"/>
        </w:rPr>
        <w:t>implementing</w:t>
      </w:r>
      <w:r w:rsidRPr="004D56CB">
        <w:rPr>
          <w:rFonts w:ascii="Arial" w:hAnsi="Arial" w:cs="Arial"/>
          <w:sz w:val="22"/>
          <w:szCs w:val="22"/>
        </w:rPr>
        <w:t xml:space="preserve"> and compliance </w:t>
      </w:r>
      <w:r w:rsidR="00DD6C86" w:rsidRPr="004D56CB">
        <w:rPr>
          <w:rFonts w:ascii="Arial" w:hAnsi="Arial" w:cs="Arial"/>
          <w:sz w:val="22"/>
          <w:szCs w:val="22"/>
        </w:rPr>
        <w:t>with</w:t>
      </w:r>
      <w:r w:rsidRPr="004D56CB">
        <w:rPr>
          <w:rFonts w:ascii="Arial" w:hAnsi="Arial" w:cs="Arial"/>
          <w:sz w:val="22"/>
          <w:szCs w:val="22"/>
        </w:rPr>
        <w:t xml:space="preserve"> ST control policies in Bangladesh. </w:t>
      </w:r>
      <w:r w:rsidR="00F82616" w:rsidRPr="004D56CB">
        <w:rPr>
          <w:rFonts w:ascii="Arial" w:hAnsi="Arial" w:cs="Arial"/>
          <w:sz w:val="22"/>
          <w:szCs w:val="22"/>
        </w:rPr>
        <w:t>Thus, c</w:t>
      </w:r>
      <w:r w:rsidRPr="004D56CB">
        <w:rPr>
          <w:rFonts w:ascii="Arial" w:hAnsi="Arial" w:cs="Arial"/>
          <w:sz w:val="22"/>
          <w:szCs w:val="22"/>
        </w:rPr>
        <w:t>ontrary to the decline in ST use and the usual time lag between tobacco exposure and the development of cancers, the ST-related disease burden is still on the rise in Bangladesh. S</w:t>
      </w:r>
      <w:r w:rsidR="006A456C" w:rsidRPr="004D56CB">
        <w:rPr>
          <w:rFonts w:ascii="Arial" w:hAnsi="Arial" w:cs="Arial"/>
          <w:sz w:val="22"/>
          <w:szCs w:val="22"/>
        </w:rPr>
        <w:t>trengthening ST control at this stage can accelerate this decline and reduce ST related morbidity and mortality.</w:t>
      </w:r>
    </w:p>
    <w:p w14:paraId="290025C9" w14:textId="77777777" w:rsidR="00E753A7" w:rsidRPr="004D56CB" w:rsidRDefault="00A848F5" w:rsidP="00B254E4">
      <w:pPr>
        <w:spacing w:line="360" w:lineRule="auto"/>
        <w:jc w:val="both"/>
        <w:rPr>
          <w:rFonts w:ascii="Arial" w:hAnsi="Arial" w:cs="Arial"/>
          <w:color w:val="000000" w:themeColor="text1"/>
          <w:sz w:val="22"/>
          <w:szCs w:val="22"/>
        </w:rPr>
      </w:pPr>
      <w:r w:rsidRPr="004D56CB">
        <w:rPr>
          <w:rFonts w:ascii="Arial" w:hAnsi="Arial" w:cs="Arial"/>
          <w:b/>
          <w:color w:val="000000" w:themeColor="text1"/>
          <w:sz w:val="22"/>
          <w:szCs w:val="22"/>
        </w:rPr>
        <w:t>Keywords:</w:t>
      </w:r>
    </w:p>
    <w:p w14:paraId="05B64932" w14:textId="77777777" w:rsidR="00A848F5" w:rsidRPr="004D56CB" w:rsidRDefault="00A848F5" w:rsidP="00B254E4">
      <w:pPr>
        <w:spacing w:line="360" w:lineRule="auto"/>
        <w:jc w:val="both"/>
        <w:rPr>
          <w:rFonts w:ascii="Arial" w:hAnsi="Arial" w:cs="Arial"/>
          <w:color w:val="000000" w:themeColor="text1"/>
          <w:sz w:val="22"/>
          <w:szCs w:val="22"/>
        </w:rPr>
      </w:pPr>
      <w:r w:rsidRPr="004D56CB">
        <w:rPr>
          <w:rFonts w:ascii="Arial" w:hAnsi="Arial" w:cs="Arial"/>
          <w:color w:val="000000" w:themeColor="text1"/>
          <w:sz w:val="22"/>
          <w:szCs w:val="22"/>
        </w:rPr>
        <w:t xml:space="preserve">Smokeless tobacco, tobacco control, regulation, tobacco tax, </w:t>
      </w:r>
      <w:r w:rsidR="008420C8" w:rsidRPr="004D56CB">
        <w:rPr>
          <w:rFonts w:ascii="Arial" w:hAnsi="Arial" w:cs="Arial"/>
          <w:color w:val="000000" w:themeColor="text1"/>
          <w:sz w:val="22"/>
          <w:szCs w:val="22"/>
        </w:rPr>
        <w:t xml:space="preserve">tobacco </w:t>
      </w:r>
      <w:r w:rsidRPr="004D56CB">
        <w:rPr>
          <w:rFonts w:ascii="Arial" w:hAnsi="Arial" w:cs="Arial"/>
          <w:color w:val="000000" w:themeColor="text1"/>
          <w:sz w:val="22"/>
          <w:szCs w:val="22"/>
        </w:rPr>
        <w:t>policy</w:t>
      </w:r>
      <w:r w:rsidR="00E753A7" w:rsidRPr="004D56CB">
        <w:rPr>
          <w:rFonts w:ascii="Arial" w:hAnsi="Arial" w:cs="Arial"/>
          <w:color w:val="000000" w:themeColor="text1"/>
          <w:sz w:val="22"/>
          <w:szCs w:val="22"/>
        </w:rPr>
        <w:t>.</w:t>
      </w:r>
    </w:p>
    <w:p w14:paraId="3D22A6FB" w14:textId="77777777" w:rsidR="00A848F5" w:rsidRPr="004D56CB" w:rsidRDefault="00A848F5" w:rsidP="00B254E4">
      <w:pPr>
        <w:spacing w:line="360" w:lineRule="auto"/>
        <w:jc w:val="both"/>
        <w:rPr>
          <w:rFonts w:ascii="Arial" w:hAnsi="Arial" w:cs="Arial"/>
          <w:sz w:val="22"/>
          <w:szCs w:val="22"/>
        </w:rPr>
      </w:pPr>
    </w:p>
    <w:p w14:paraId="756CBE47" w14:textId="77777777" w:rsidR="00A848F5" w:rsidRPr="004D56CB" w:rsidRDefault="00A848F5" w:rsidP="00B254E4">
      <w:pPr>
        <w:spacing w:line="360" w:lineRule="auto"/>
        <w:jc w:val="both"/>
        <w:rPr>
          <w:rFonts w:ascii="Arial" w:hAnsi="Arial" w:cs="Arial"/>
          <w:sz w:val="22"/>
          <w:szCs w:val="22"/>
        </w:rPr>
        <w:sectPr w:rsidR="00A848F5" w:rsidRPr="004D56CB">
          <w:footerReference w:type="even" r:id="rId9"/>
          <w:footerReference w:type="default" r:id="rId10"/>
          <w:pgSz w:w="11900" w:h="16840"/>
          <w:pgMar w:top="1304" w:right="1644" w:bottom="1304" w:left="1644" w:header="709" w:footer="709" w:gutter="0"/>
          <w:pgNumType w:start="1"/>
          <w:cols w:space="720"/>
        </w:sectPr>
      </w:pPr>
    </w:p>
    <w:p w14:paraId="67CC947D" w14:textId="77777777" w:rsidR="00F414ED" w:rsidRPr="004D56CB" w:rsidRDefault="006A2CDE" w:rsidP="00B254E4">
      <w:pPr>
        <w:pStyle w:val="Heading1"/>
        <w:spacing w:line="360" w:lineRule="auto"/>
        <w:rPr>
          <w:rFonts w:ascii="Arial" w:hAnsi="Arial" w:cs="Arial"/>
          <w:sz w:val="22"/>
          <w:szCs w:val="22"/>
        </w:rPr>
      </w:pPr>
      <w:r w:rsidRPr="004D56CB">
        <w:rPr>
          <w:rFonts w:ascii="Arial" w:hAnsi="Arial" w:cs="Arial"/>
          <w:sz w:val="22"/>
          <w:szCs w:val="22"/>
        </w:rPr>
        <w:lastRenderedPageBreak/>
        <w:t>INTRODUCTION</w:t>
      </w:r>
    </w:p>
    <w:p w14:paraId="2E69726D" w14:textId="43B156EF" w:rsidR="00F414ED" w:rsidRPr="004D56CB" w:rsidRDefault="00D9018D" w:rsidP="00B254E4">
      <w:pPr>
        <w:spacing w:line="360" w:lineRule="auto"/>
        <w:jc w:val="both"/>
        <w:rPr>
          <w:rFonts w:ascii="Arial" w:hAnsi="Arial" w:cs="Arial"/>
          <w:sz w:val="22"/>
          <w:szCs w:val="22"/>
        </w:rPr>
      </w:pPr>
      <w:r w:rsidRPr="004D56CB">
        <w:rPr>
          <w:rFonts w:ascii="Arial" w:hAnsi="Arial" w:cs="Arial"/>
          <w:sz w:val="22"/>
          <w:szCs w:val="22"/>
        </w:rPr>
        <w:t xml:space="preserve">A diverse range of </w:t>
      </w:r>
      <w:r w:rsidR="001B0DBC" w:rsidRPr="004D56CB">
        <w:rPr>
          <w:rFonts w:ascii="Arial" w:hAnsi="Arial" w:cs="Arial"/>
          <w:sz w:val="22"/>
          <w:szCs w:val="22"/>
        </w:rPr>
        <w:t>s</w:t>
      </w:r>
      <w:r w:rsidRPr="004D56CB">
        <w:rPr>
          <w:rFonts w:ascii="Arial" w:hAnsi="Arial" w:cs="Arial"/>
          <w:sz w:val="22"/>
          <w:szCs w:val="22"/>
        </w:rPr>
        <w:t xml:space="preserve">mokeless </w:t>
      </w:r>
      <w:r w:rsidR="001B0DBC" w:rsidRPr="004D56CB">
        <w:rPr>
          <w:rFonts w:ascii="Arial" w:hAnsi="Arial" w:cs="Arial"/>
          <w:sz w:val="22"/>
          <w:szCs w:val="22"/>
        </w:rPr>
        <w:t>t</w:t>
      </w:r>
      <w:r w:rsidRPr="004D56CB">
        <w:rPr>
          <w:rFonts w:ascii="Arial" w:hAnsi="Arial" w:cs="Arial"/>
          <w:sz w:val="22"/>
          <w:szCs w:val="22"/>
        </w:rPr>
        <w:t>obacco (ST) products are used worldwide</w:t>
      </w:r>
      <w:r w:rsidR="00E04C66" w:rsidRPr="004D56CB">
        <w:rPr>
          <w:rFonts w:ascii="Arial" w:hAnsi="Arial" w:cs="Arial"/>
          <w:sz w:val="22"/>
          <w:szCs w:val="22"/>
        </w:rPr>
        <w:t>. T</w:t>
      </w:r>
      <w:r w:rsidRPr="004D56CB">
        <w:rPr>
          <w:rFonts w:ascii="Arial" w:hAnsi="Arial" w:cs="Arial"/>
          <w:sz w:val="22"/>
          <w:szCs w:val="22"/>
        </w:rPr>
        <w:t>he pattern of ST consumption varies across countries due to differing socio-cultural norms,</w:t>
      </w:r>
      <w:r w:rsidR="001B0DBC" w:rsidRPr="004D56CB">
        <w:rPr>
          <w:rFonts w:ascii="Arial" w:hAnsi="Arial" w:cs="Arial"/>
          <w:sz w:val="22"/>
          <w:szCs w:val="22"/>
        </w:rPr>
        <w:t xml:space="preserve"> price,</w:t>
      </w:r>
      <w:r w:rsidRPr="004D56CB">
        <w:rPr>
          <w:rFonts w:ascii="Arial" w:hAnsi="Arial" w:cs="Arial"/>
          <w:sz w:val="22"/>
          <w:szCs w:val="22"/>
        </w:rPr>
        <w:t xml:space="preserve"> availability, accessibility</w:t>
      </w:r>
      <w:r w:rsidR="00F82616" w:rsidRPr="004D56CB">
        <w:rPr>
          <w:rFonts w:ascii="Arial" w:hAnsi="Arial" w:cs="Arial"/>
          <w:sz w:val="22"/>
          <w:szCs w:val="22"/>
        </w:rPr>
        <w:t>,</w:t>
      </w:r>
      <w:r w:rsidRPr="004D56CB">
        <w:rPr>
          <w:rFonts w:ascii="Arial" w:hAnsi="Arial" w:cs="Arial"/>
          <w:sz w:val="22"/>
          <w:szCs w:val="22"/>
        </w:rPr>
        <w:t xml:space="preserve"> and tobacco control policies</w:t>
      </w:r>
      <w:r w:rsidR="0076234A" w:rsidRPr="004D56CB">
        <w:rPr>
          <w:rFonts w:ascii="Arial" w:hAnsi="Arial" w:cs="Arial"/>
          <w:sz w:val="22"/>
          <w:szCs w:val="22"/>
        </w:rPr>
        <w:t xml:space="preserve"> </w:t>
      </w:r>
      <w:r w:rsidR="0076234A" w:rsidRPr="004D56CB">
        <w:rPr>
          <w:rFonts w:ascii="Arial" w:hAnsi="Arial" w:cs="Arial"/>
          <w:sz w:val="22"/>
        </w:rPr>
        <w:t>[1]</w:t>
      </w:r>
      <w:r w:rsidR="00464BAB" w:rsidRPr="004D56CB">
        <w:rPr>
          <w:rFonts w:ascii="Arial" w:hAnsi="Arial" w:cs="Arial"/>
          <w:sz w:val="22"/>
          <w:szCs w:val="22"/>
        </w:rPr>
        <w:t>.</w:t>
      </w:r>
      <w:r w:rsidRPr="004D56CB">
        <w:rPr>
          <w:rFonts w:ascii="Arial" w:hAnsi="Arial" w:cs="Arial"/>
          <w:sz w:val="22"/>
          <w:szCs w:val="22"/>
        </w:rPr>
        <w:t xml:space="preserve"> Betel quid with tobacco, Zarda, Gul, Naswar, Gutkha</w:t>
      </w:r>
      <w:r w:rsidR="00E04C66" w:rsidRPr="004D56CB">
        <w:rPr>
          <w:rFonts w:ascii="Arial" w:hAnsi="Arial" w:cs="Arial"/>
          <w:sz w:val="22"/>
          <w:szCs w:val="22"/>
        </w:rPr>
        <w:t>,</w:t>
      </w:r>
      <w:r w:rsidRPr="004D56CB">
        <w:rPr>
          <w:rFonts w:ascii="Arial" w:hAnsi="Arial" w:cs="Arial"/>
          <w:sz w:val="22"/>
          <w:szCs w:val="22"/>
        </w:rPr>
        <w:t xml:space="preserve"> and Khaini </w:t>
      </w:r>
      <w:r w:rsidR="00F82616" w:rsidRPr="004D56CB">
        <w:rPr>
          <w:rFonts w:ascii="Arial" w:hAnsi="Arial" w:cs="Arial"/>
          <w:sz w:val="22"/>
          <w:szCs w:val="22"/>
        </w:rPr>
        <w:t>is</w:t>
      </w:r>
      <w:r w:rsidRPr="004D56CB">
        <w:rPr>
          <w:rFonts w:ascii="Arial" w:hAnsi="Arial" w:cs="Arial"/>
          <w:sz w:val="22"/>
          <w:szCs w:val="22"/>
        </w:rPr>
        <w:t xml:space="preserve"> popular in South and South-East Asia</w:t>
      </w:r>
      <w:r w:rsidR="00F82616" w:rsidRPr="004D56CB">
        <w:rPr>
          <w:rFonts w:ascii="Arial" w:hAnsi="Arial" w:cs="Arial"/>
          <w:sz w:val="22"/>
          <w:szCs w:val="22"/>
        </w:rPr>
        <w:t>. At the same time,</w:t>
      </w:r>
      <w:r w:rsidRPr="004D56CB">
        <w:rPr>
          <w:rFonts w:ascii="Arial" w:hAnsi="Arial" w:cs="Arial"/>
          <w:sz w:val="22"/>
          <w:szCs w:val="22"/>
        </w:rPr>
        <w:t xml:space="preserve"> the most commonly used ST products in other parts of the world include Snus (Nordic countries and North America), Chimó (Venezuela), Nass (Kyrgyzstan</w:t>
      </w:r>
      <w:r w:rsidR="0083570F" w:rsidRPr="004D56CB">
        <w:rPr>
          <w:rFonts w:ascii="Arial" w:hAnsi="Arial" w:cs="Arial"/>
          <w:sz w:val="22"/>
          <w:szCs w:val="22"/>
        </w:rPr>
        <w:t>, Uzbekistan</w:t>
      </w:r>
      <w:r w:rsidRPr="004D56CB">
        <w:rPr>
          <w:rFonts w:ascii="Arial" w:hAnsi="Arial" w:cs="Arial"/>
          <w:sz w:val="22"/>
          <w:szCs w:val="22"/>
        </w:rPr>
        <w:t>), Tambook (Chad</w:t>
      </w:r>
      <w:r w:rsidR="0083570F" w:rsidRPr="004D56CB">
        <w:rPr>
          <w:rFonts w:ascii="Arial" w:hAnsi="Arial" w:cs="Arial"/>
          <w:sz w:val="22"/>
          <w:szCs w:val="22"/>
        </w:rPr>
        <w:t>, Sudan</w:t>
      </w:r>
      <w:r w:rsidRPr="004D56CB">
        <w:rPr>
          <w:rFonts w:ascii="Arial" w:hAnsi="Arial" w:cs="Arial"/>
          <w:sz w:val="22"/>
          <w:szCs w:val="22"/>
        </w:rPr>
        <w:t xml:space="preserve">), and Snuff (Ghana, </w:t>
      </w:r>
      <w:r w:rsidR="00652357" w:rsidRPr="004D56CB">
        <w:rPr>
          <w:rFonts w:ascii="Arial" w:hAnsi="Arial" w:cs="Arial"/>
          <w:sz w:val="22"/>
          <w:szCs w:val="22"/>
        </w:rPr>
        <w:t xml:space="preserve">Nigeria, </w:t>
      </w:r>
      <w:r w:rsidRPr="004D56CB">
        <w:rPr>
          <w:rFonts w:ascii="Arial" w:hAnsi="Arial" w:cs="Arial"/>
          <w:sz w:val="22"/>
          <w:szCs w:val="22"/>
        </w:rPr>
        <w:t>South Africa)</w:t>
      </w:r>
      <w:r w:rsidR="00C53A37" w:rsidRPr="004D56CB">
        <w:rPr>
          <w:rFonts w:ascii="Arial" w:hAnsi="Arial" w:cs="Arial"/>
          <w:sz w:val="22"/>
          <w:szCs w:val="22"/>
        </w:rPr>
        <w:t xml:space="preserve"> </w:t>
      </w:r>
      <w:r w:rsidR="00C53A37" w:rsidRPr="004D56CB">
        <w:rPr>
          <w:rFonts w:ascii="Arial" w:hAnsi="Arial" w:cs="Arial"/>
          <w:sz w:val="22"/>
        </w:rPr>
        <w:t>[2]</w:t>
      </w:r>
      <w:r w:rsidR="002B7516" w:rsidRPr="004D56CB">
        <w:rPr>
          <w:rFonts w:ascii="Arial" w:hAnsi="Arial" w:cs="Arial"/>
          <w:sz w:val="22"/>
          <w:szCs w:val="22"/>
        </w:rPr>
        <w:t xml:space="preserve">. </w:t>
      </w:r>
      <w:r w:rsidRPr="004D56CB">
        <w:rPr>
          <w:rFonts w:ascii="Arial" w:hAnsi="Arial" w:cs="Arial"/>
          <w:sz w:val="22"/>
          <w:szCs w:val="22"/>
        </w:rPr>
        <w:t>S</w:t>
      </w:r>
      <w:r w:rsidR="0063725A" w:rsidRPr="004D56CB">
        <w:rPr>
          <w:rFonts w:ascii="Arial" w:hAnsi="Arial" w:cs="Arial"/>
          <w:sz w:val="22"/>
          <w:szCs w:val="22"/>
        </w:rPr>
        <w:t>T products are highly addictive</w:t>
      </w:r>
      <w:r w:rsidRPr="004D56CB">
        <w:rPr>
          <w:rFonts w:ascii="Arial" w:hAnsi="Arial" w:cs="Arial"/>
          <w:sz w:val="22"/>
          <w:szCs w:val="22"/>
        </w:rPr>
        <w:t xml:space="preserve">, which results in high nicotine concentration and absorption. </w:t>
      </w:r>
      <w:r w:rsidR="00635D32" w:rsidRPr="004D56CB">
        <w:rPr>
          <w:rFonts w:ascii="Arial" w:hAnsi="Arial" w:cs="Arial"/>
          <w:sz w:val="22"/>
          <w:szCs w:val="22"/>
        </w:rPr>
        <w:t xml:space="preserve">All ST products consumed in South and South-East Asia also contain carcinogenic substances like tobacco-specific N-nitrosamines (TSNAs). </w:t>
      </w:r>
      <w:r w:rsidR="00AE2F85" w:rsidRPr="004D56CB">
        <w:rPr>
          <w:rFonts w:ascii="Arial" w:hAnsi="Arial" w:cs="Arial"/>
          <w:sz w:val="22"/>
          <w:szCs w:val="22"/>
        </w:rPr>
        <w:t>Many ST products are linked to wide-ranging harms</w:t>
      </w:r>
      <w:r w:rsidR="00E04C66" w:rsidRPr="004D56CB">
        <w:rPr>
          <w:rFonts w:ascii="Arial" w:hAnsi="Arial" w:cs="Arial"/>
          <w:sz w:val="22"/>
          <w:szCs w:val="22"/>
        </w:rPr>
        <w:t>,</w:t>
      </w:r>
      <w:r w:rsidR="00AE2F85" w:rsidRPr="004D56CB">
        <w:rPr>
          <w:rFonts w:ascii="Arial" w:hAnsi="Arial" w:cs="Arial"/>
          <w:sz w:val="22"/>
          <w:szCs w:val="22"/>
        </w:rPr>
        <w:t xml:space="preserve"> including specific types of cancers (head and neck), cardiovascular diseases, and poor perinatal outcomes</w:t>
      </w:r>
      <w:r w:rsidR="00C53A37" w:rsidRPr="004D56CB">
        <w:rPr>
          <w:rFonts w:ascii="Arial" w:hAnsi="Arial" w:cs="Arial"/>
          <w:sz w:val="22"/>
          <w:szCs w:val="22"/>
        </w:rPr>
        <w:t xml:space="preserve"> </w:t>
      </w:r>
      <w:r w:rsidR="00C53A37" w:rsidRPr="004D56CB">
        <w:rPr>
          <w:rFonts w:ascii="Arial" w:hAnsi="Arial" w:cs="Arial"/>
          <w:sz w:val="22"/>
        </w:rPr>
        <w:t>[3]</w:t>
      </w:r>
      <w:r w:rsidR="00464BAB" w:rsidRPr="004D56CB">
        <w:rPr>
          <w:rFonts w:ascii="Arial" w:hAnsi="Arial" w:cs="Arial"/>
          <w:sz w:val="22"/>
          <w:szCs w:val="22"/>
        </w:rPr>
        <w:t>.</w:t>
      </w:r>
      <w:r w:rsidR="00AE2F85" w:rsidRPr="004D56CB">
        <w:rPr>
          <w:rFonts w:ascii="Arial" w:hAnsi="Arial" w:cs="Arial"/>
          <w:sz w:val="22"/>
          <w:szCs w:val="22"/>
        </w:rPr>
        <w:t xml:space="preserve"> </w:t>
      </w:r>
      <w:r w:rsidR="00635D32" w:rsidRPr="004D56CB">
        <w:rPr>
          <w:rFonts w:ascii="Arial" w:hAnsi="Arial" w:cs="Arial"/>
          <w:sz w:val="22"/>
          <w:szCs w:val="22"/>
        </w:rPr>
        <w:t xml:space="preserve">ST use </w:t>
      </w:r>
      <w:r w:rsidRPr="004D56CB">
        <w:rPr>
          <w:rFonts w:ascii="Arial" w:hAnsi="Arial" w:cs="Arial"/>
          <w:sz w:val="22"/>
          <w:szCs w:val="22"/>
        </w:rPr>
        <w:t>lead</w:t>
      </w:r>
      <w:r w:rsidR="00635D32" w:rsidRPr="004D56CB">
        <w:rPr>
          <w:rFonts w:ascii="Arial" w:hAnsi="Arial" w:cs="Arial"/>
          <w:sz w:val="22"/>
          <w:szCs w:val="22"/>
        </w:rPr>
        <w:t>s</w:t>
      </w:r>
      <w:r w:rsidRPr="004D56CB">
        <w:rPr>
          <w:rFonts w:ascii="Arial" w:hAnsi="Arial" w:cs="Arial"/>
          <w:sz w:val="22"/>
          <w:szCs w:val="22"/>
        </w:rPr>
        <w:t xml:space="preserve"> to an increased risk of cancers of </w:t>
      </w:r>
      <w:r w:rsidR="00AB5159" w:rsidRPr="004D56CB">
        <w:rPr>
          <w:rFonts w:ascii="Arial" w:hAnsi="Arial" w:cs="Arial"/>
          <w:sz w:val="22"/>
          <w:szCs w:val="22"/>
        </w:rPr>
        <w:t xml:space="preserve">the </w:t>
      </w:r>
      <w:r w:rsidRPr="004D56CB">
        <w:rPr>
          <w:rFonts w:ascii="Arial" w:hAnsi="Arial" w:cs="Arial"/>
          <w:sz w:val="22"/>
          <w:szCs w:val="22"/>
        </w:rPr>
        <w:t>oral cavity, pharynx, and oesophagus and increased deaths due to cardiovascular disease</w:t>
      </w:r>
      <w:r w:rsidR="00C87259" w:rsidRPr="004D56CB">
        <w:rPr>
          <w:rFonts w:ascii="Arial" w:hAnsi="Arial" w:cs="Arial"/>
          <w:sz w:val="22"/>
          <w:szCs w:val="22"/>
        </w:rPr>
        <w:t>s</w:t>
      </w:r>
      <w:r w:rsidR="00E4619C" w:rsidRPr="004D56CB">
        <w:rPr>
          <w:rFonts w:ascii="Arial" w:hAnsi="Arial" w:cs="Arial"/>
          <w:sz w:val="22"/>
          <w:szCs w:val="22"/>
        </w:rPr>
        <w:t xml:space="preserve"> </w:t>
      </w:r>
      <w:r w:rsidR="00E4619C" w:rsidRPr="004D56CB">
        <w:rPr>
          <w:rFonts w:ascii="Arial" w:hAnsi="Arial" w:cs="Arial"/>
          <w:sz w:val="22"/>
        </w:rPr>
        <w:t>[4,5]</w:t>
      </w:r>
      <w:r w:rsidR="00464BAB" w:rsidRPr="004D56CB">
        <w:rPr>
          <w:rFonts w:ascii="Arial" w:hAnsi="Arial" w:cs="Arial"/>
          <w:sz w:val="22"/>
          <w:szCs w:val="22"/>
        </w:rPr>
        <w:t>.</w:t>
      </w:r>
      <w:r w:rsidR="0005210B" w:rsidRPr="004D56CB">
        <w:rPr>
          <w:rFonts w:ascii="Arial" w:hAnsi="Arial" w:cs="Arial"/>
          <w:sz w:val="22"/>
          <w:szCs w:val="22"/>
        </w:rPr>
        <w:t xml:space="preserve"> </w:t>
      </w:r>
      <w:r w:rsidR="00C87259" w:rsidRPr="004D56CB">
        <w:rPr>
          <w:rFonts w:ascii="Arial" w:hAnsi="Arial" w:cs="Arial"/>
          <w:sz w:val="22"/>
          <w:szCs w:val="22"/>
        </w:rPr>
        <w:t xml:space="preserve">Moreover, </w:t>
      </w:r>
      <w:r w:rsidRPr="004D56CB">
        <w:rPr>
          <w:rFonts w:ascii="Arial" w:hAnsi="Arial" w:cs="Arial"/>
          <w:sz w:val="22"/>
          <w:szCs w:val="22"/>
        </w:rPr>
        <w:t>ST consumption during pregnancy is associated with low birth weight and stillbirths</w:t>
      </w:r>
      <w:r w:rsidR="00E4619C" w:rsidRPr="004D56CB">
        <w:rPr>
          <w:rFonts w:ascii="Arial" w:hAnsi="Arial" w:cs="Arial"/>
          <w:sz w:val="22"/>
          <w:szCs w:val="22"/>
        </w:rPr>
        <w:t xml:space="preserve"> </w:t>
      </w:r>
      <w:r w:rsidR="00E4619C" w:rsidRPr="004D56CB">
        <w:rPr>
          <w:rFonts w:ascii="Arial" w:hAnsi="Arial" w:cs="Arial"/>
          <w:sz w:val="22"/>
        </w:rPr>
        <w:t>[6]</w:t>
      </w:r>
      <w:r w:rsidR="00464BAB" w:rsidRPr="004D56CB">
        <w:rPr>
          <w:rFonts w:ascii="Arial" w:hAnsi="Arial" w:cs="Arial"/>
          <w:sz w:val="22"/>
          <w:szCs w:val="22"/>
        </w:rPr>
        <w:t>.</w:t>
      </w:r>
    </w:p>
    <w:p w14:paraId="1E579279" w14:textId="77777777" w:rsidR="00F414ED" w:rsidRPr="004D56CB" w:rsidRDefault="00F414ED" w:rsidP="00B254E4">
      <w:pPr>
        <w:spacing w:line="360" w:lineRule="auto"/>
        <w:jc w:val="both"/>
        <w:rPr>
          <w:rFonts w:ascii="Arial" w:hAnsi="Arial" w:cs="Arial"/>
          <w:sz w:val="22"/>
          <w:szCs w:val="22"/>
        </w:rPr>
      </w:pPr>
    </w:p>
    <w:p w14:paraId="209ADB64" w14:textId="2EDF7AB7" w:rsidR="0023239A" w:rsidRPr="004D56CB" w:rsidRDefault="00D9018D" w:rsidP="00B254E4">
      <w:pPr>
        <w:spacing w:line="360" w:lineRule="auto"/>
        <w:jc w:val="both"/>
        <w:rPr>
          <w:rFonts w:ascii="Arial" w:hAnsi="Arial" w:cs="Arial"/>
          <w:sz w:val="22"/>
          <w:szCs w:val="22"/>
        </w:rPr>
      </w:pPr>
      <w:bookmarkStart w:id="0" w:name="_heading=h.gjdgxs" w:colFirst="0" w:colLast="0"/>
      <w:bookmarkEnd w:id="0"/>
      <w:r w:rsidRPr="004D56CB">
        <w:rPr>
          <w:rFonts w:ascii="Arial" w:hAnsi="Arial" w:cs="Arial"/>
          <w:sz w:val="22"/>
          <w:szCs w:val="22"/>
        </w:rPr>
        <w:t>The prevalence of ST use i</w:t>
      </w:r>
      <w:r w:rsidR="004F5E5E" w:rsidRPr="004D56CB">
        <w:rPr>
          <w:rFonts w:ascii="Arial" w:hAnsi="Arial" w:cs="Arial"/>
          <w:sz w:val="22"/>
          <w:szCs w:val="22"/>
        </w:rPr>
        <w:t xml:space="preserve">s high in Bangladesh. It ranks </w:t>
      </w:r>
      <w:r w:rsidR="00F82616" w:rsidRPr="004D56CB">
        <w:rPr>
          <w:rFonts w:ascii="Arial" w:hAnsi="Arial" w:cs="Arial"/>
          <w:sz w:val="22"/>
          <w:szCs w:val="22"/>
        </w:rPr>
        <w:t>second in the world</w:t>
      </w:r>
      <w:r w:rsidRPr="004D56CB">
        <w:rPr>
          <w:rFonts w:ascii="Arial" w:hAnsi="Arial" w:cs="Arial"/>
          <w:sz w:val="22"/>
          <w:szCs w:val="22"/>
        </w:rPr>
        <w:t xml:space="preserve"> </w:t>
      </w:r>
      <w:r w:rsidR="00734E47" w:rsidRPr="004D56CB">
        <w:rPr>
          <w:rFonts w:ascii="Arial" w:hAnsi="Arial" w:cs="Arial"/>
          <w:sz w:val="22"/>
          <w:szCs w:val="22"/>
        </w:rPr>
        <w:t xml:space="preserve">among </w:t>
      </w:r>
      <w:r w:rsidRPr="004D56CB">
        <w:rPr>
          <w:rFonts w:ascii="Arial" w:hAnsi="Arial" w:cs="Arial"/>
          <w:sz w:val="22"/>
          <w:szCs w:val="22"/>
        </w:rPr>
        <w:t>high ST burden countries</w:t>
      </w:r>
      <w:r w:rsidR="00491286" w:rsidRPr="004D56CB">
        <w:rPr>
          <w:rFonts w:ascii="Arial" w:hAnsi="Arial" w:cs="Arial"/>
          <w:sz w:val="22"/>
          <w:szCs w:val="22"/>
        </w:rPr>
        <w:t xml:space="preserve"> </w:t>
      </w:r>
      <w:r w:rsidR="00464BAB" w:rsidRPr="004D56CB">
        <w:rPr>
          <w:rFonts w:ascii="Arial" w:hAnsi="Arial" w:cs="Arial"/>
          <w:sz w:val="22"/>
          <w:szCs w:val="22"/>
        </w:rPr>
        <w:t xml:space="preserve"> </w:t>
      </w:r>
      <w:r w:rsidR="00491286" w:rsidRPr="004D56CB">
        <w:rPr>
          <w:rFonts w:ascii="Arial" w:hAnsi="Arial" w:cs="Arial"/>
          <w:sz w:val="22"/>
        </w:rPr>
        <w:t>[7]</w:t>
      </w:r>
      <w:r w:rsidR="00AA0671" w:rsidRPr="004D56CB">
        <w:rPr>
          <w:rFonts w:ascii="Arial" w:hAnsi="Arial" w:cs="Arial"/>
          <w:sz w:val="22"/>
        </w:rPr>
        <w:t>,</w:t>
      </w:r>
      <w:r w:rsidRPr="004D56CB">
        <w:rPr>
          <w:rFonts w:ascii="Arial" w:hAnsi="Arial" w:cs="Arial"/>
          <w:sz w:val="22"/>
          <w:szCs w:val="22"/>
        </w:rPr>
        <w:t xml:space="preserve"> with 22 million (20.6%) adults consuming at least one form of ST product </w:t>
      </w:r>
      <w:r w:rsidR="00963B2F" w:rsidRPr="004D56CB">
        <w:rPr>
          <w:rFonts w:ascii="Arial" w:hAnsi="Arial" w:cs="Arial"/>
          <w:sz w:val="22"/>
          <w:szCs w:val="22"/>
        </w:rPr>
        <w:t>regularly</w:t>
      </w:r>
      <w:r w:rsidR="00491286" w:rsidRPr="004D56CB">
        <w:rPr>
          <w:rFonts w:ascii="Arial" w:hAnsi="Arial" w:cs="Arial"/>
          <w:sz w:val="22"/>
          <w:szCs w:val="22"/>
        </w:rPr>
        <w:t xml:space="preserve"> </w:t>
      </w:r>
      <w:r w:rsidR="004B293A" w:rsidRPr="004D56CB">
        <w:rPr>
          <w:rFonts w:ascii="Arial" w:hAnsi="Arial" w:cs="Arial"/>
          <w:sz w:val="22"/>
        </w:rPr>
        <w:t>[8]</w:t>
      </w:r>
      <w:r w:rsidR="002B7516" w:rsidRPr="004D56CB">
        <w:rPr>
          <w:rFonts w:ascii="Arial" w:hAnsi="Arial" w:cs="Arial"/>
          <w:sz w:val="22"/>
          <w:szCs w:val="22"/>
        </w:rPr>
        <w:t>.</w:t>
      </w:r>
      <w:r w:rsidRPr="004D56CB">
        <w:rPr>
          <w:rFonts w:ascii="Arial" w:hAnsi="Arial" w:cs="Arial"/>
          <w:sz w:val="22"/>
          <w:szCs w:val="22"/>
        </w:rPr>
        <w:t xml:space="preserve"> </w:t>
      </w:r>
      <w:r w:rsidR="0023239A" w:rsidRPr="004D56CB">
        <w:rPr>
          <w:rFonts w:ascii="Arial" w:hAnsi="Arial" w:cs="Arial"/>
          <w:sz w:val="22"/>
          <w:szCs w:val="22"/>
        </w:rPr>
        <w:t>Amon</w:t>
      </w:r>
      <w:r w:rsidR="00815A03" w:rsidRPr="004D56CB">
        <w:rPr>
          <w:rFonts w:ascii="Arial" w:hAnsi="Arial" w:cs="Arial"/>
          <w:sz w:val="22"/>
          <w:szCs w:val="22"/>
        </w:rPr>
        <w:t xml:space="preserve">g adolescents aged 13-15 years, </w:t>
      </w:r>
      <w:r w:rsidR="00D95A23" w:rsidRPr="004D56CB">
        <w:rPr>
          <w:rFonts w:ascii="Arial" w:hAnsi="Arial" w:cs="Arial"/>
          <w:sz w:val="22"/>
          <w:szCs w:val="22"/>
        </w:rPr>
        <w:t xml:space="preserve">current </w:t>
      </w:r>
      <w:r w:rsidR="00C87259" w:rsidRPr="004D56CB">
        <w:rPr>
          <w:rFonts w:ascii="Arial" w:hAnsi="Arial" w:cs="Arial"/>
          <w:sz w:val="22"/>
          <w:szCs w:val="22"/>
        </w:rPr>
        <w:t xml:space="preserve">ST </w:t>
      </w:r>
      <w:r w:rsidR="004E2C53" w:rsidRPr="004D56CB">
        <w:rPr>
          <w:rFonts w:ascii="Arial" w:hAnsi="Arial" w:cs="Arial"/>
          <w:sz w:val="22"/>
          <w:szCs w:val="22"/>
        </w:rPr>
        <w:t>use</w:t>
      </w:r>
      <w:r w:rsidR="00C87259" w:rsidRPr="004D56CB">
        <w:rPr>
          <w:rFonts w:ascii="Arial" w:hAnsi="Arial" w:cs="Arial"/>
          <w:sz w:val="22"/>
          <w:szCs w:val="22"/>
        </w:rPr>
        <w:t xml:space="preserve"> is </w:t>
      </w:r>
      <w:r w:rsidR="00815A03" w:rsidRPr="004D56CB">
        <w:rPr>
          <w:rFonts w:ascii="Arial" w:hAnsi="Arial" w:cs="Arial"/>
          <w:sz w:val="22"/>
          <w:szCs w:val="22"/>
        </w:rPr>
        <w:t>4.5%</w:t>
      </w:r>
      <w:r w:rsidR="00D95A23" w:rsidRPr="004D56CB">
        <w:rPr>
          <w:rFonts w:ascii="Arial" w:hAnsi="Arial" w:cs="Arial"/>
          <w:sz w:val="22"/>
          <w:szCs w:val="22"/>
        </w:rPr>
        <w:t xml:space="preserve">, </w:t>
      </w:r>
      <w:r w:rsidR="0023239A" w:rsidRPr="004D56CB">
        <w:rPr>
          <w:rFonts w:ascii="Arial" w:hAnsi="Arial" w:cs="Arial"/>
          <w:sz w:val="22"/>
          <w:szCs w:val="22"/>
        </w:rPr>
        <w:t xml:space="preserve">with estimates of 5.9% and 2.0% in boys and </w:t>
      </w:r>
      <w:r w:rsidR="00D95A23" w:rsidRPr="004D56CB">
        <w:rPr>
          <w:rFonts w:ascii="Arial" w:hAnsi="Arial" w:cs="Arial"/>
          <w:sz w:val="22"/>
          <w:szCs w:val="22"/>
        </w:rPr>
        <w:t>girls</w:t>
      </w:r>
      <w:r w:rsidR="00DE1441" w:rsidRPr="004D56CB">
        <w:rPr>
          <w:rFonts w:ascii="Arial" w:hAnsi="Arial" w:cs="Arial"/>
          <w:sz w:val="22"/>
          <w:szCs w:val="22"/>
        </w:rPr>
        <w:t>,</w:t>
      </w:r>
      <w:r w:rsidR="00A07078" w:rsidRPr="004D56CB">
        <w:rPr>
          <w:rFonts w:ascii="Arial" w:hAnsi="Arial" w:cs="Arial"/>
          <w:sz w:val="22"/>
          <w:szCs w:val="22"/>
        </w:rPr>
        <w:t xml:space="preserve"> respectively</w:t>
      </w:r>
      <w:r w:rsidR="00464BAB" w:rsidRPr="004D56CB">
        <w:rPr>
          <w:rFonts w:ascii="Arial" w:hAnsi="Arial" w:cs="Arial"/>
          <w:sz w:val="22"/>
          <w:szCs w:val="22"/>
        </w:rPr>
        <w:t xml:space="preserve"> </w:t>
      </w:r>
      <w:r w:rsidR="00577442" w:rsidRPr="004D56CB">
        <w:rPr>
          <w:rFonts w:ascii="Arial" w:hAnsi="Arial" w:cs="Arial"/>
          <w:sz w:val="22"/>
        </w:rPr>
        <w:t>[9]</w:t>
      </w:r>
      <w:r w:rsidR="00464BAB" w:rsidRPr="004D56CB">
        <w:rPr>
          <w:rFonts w:ascii="Arial" w:hAnsi="Arial" w:cs="Arial"/>
          <w:sz w:val="22"/>
          <w:szCs w:val="22"/>
        </w:rPr>
        <w:t>.</w:t>
      </w:r>
      <w:r w:rsidR="00F82616" w:rsidRPr="004D56CB">
        <w:rPr>
          <w:rFonts w:ascii="Arial" w:hAnsi="Arial" w:cs="Arial"/>
          <w:sz w:val="22"/>
          <w:szCs w:val="22"/>
        </w:rPr>
        <w:t xml:space="preserve"> Thus,</w:t>
      </w:r>
      <w:r w:rsidR="00D95A23" w:rsidRPr="004D56CB">
        <w:rPr>
          <w:rFonts w:ascii="Arial" w:hAnsi="Arial" w:cs="Arial"/>
          <w:sz w:val="22"/>
          <w:szCs w:val="22"/>
        </w:rPr>
        <w:t xml:space="preserve"> ST use </w:t>
      </w:r>
      <w:r w:rsidR="00A07078" w:rsidRPr="004D56CB">
        <w:rPr>
          <w:rFonts w:ascii="Arial" w:hAnsi="Arial" w:cs="Arial"/>
          <w:sz w:val="22"/>
          <w:szCs w:val="22"/>
        </w:rPr>
        <w:t xml:space="preserve">is </w:t>
      </w:r>
      <w:r w:rsidR="008B06A2" w:rsidRPr="004D56CB">
        <w:rPr>
          <w:rFonts w:ascii="Arial" w:hAnsi="Arial" w:cs="Arial"/>
          <w:sz w:val="22"/>
          <w:szCs w:val="22"/>
        </w:rPr>
        <w:t xml:space="preserve">higher </w:t>
      </w:r>
      <w:r w:rsidR="007F37E4" w:rsidRPr="004D56CB">
        <w:rPr>
          <w:rFonts w:ascii="Arial" w:hAnsi="Arial" w:cs="Arial"/>
          <w:sz w:val="22"/>
          <w:szCs w:val="22"/>
        </w:rPr>
        <w:t xml:space="preserve">than combustible tobacco </w:t>
      </w:r>
      <w:r w:rsidR="008B06A2" w:rsidRPr="004D56CB">
        <w:rPr>
          <w:rFonts w:ascii="Arial" w:hAnsi="Arial" w:cs="Arial"/>
          <w:sz w:val="22"/>
          <w:szCs w:val="22"/>
        </w:rPr>
        <w:t xml:space="preserve">use </w:t>
      </w:r>
      <w:r w:rsidR="00A07078" w:rsidRPr="004D56CB">
        <w:rPr>
          <w:rFonts w:ascii="Arial" w:hAnsi="Arial" w:cs="Arial"/>
          <w:sz w:val="22"/>
          <w:szCs w:val="22"/>
        </w:rPr>
        <w:t xml:space="preserve">among </w:t>
      </w:r>
      <w:r w:rsidR="00872725" w:rsidRPr="004D56CB">
        <w:rPr>
          <w:rFonts w:ascii="Arial" w:hAnsi="Arial" w:cs="Arial"/>
          <w:sz w:val="22"/>
          <w:szCs w:val="22"/>
        </w:rPr>
        <w:t>adults</w:t>
      </w:r>
      <w:r w:rsidR="004B293A" w:rsidRPr="004D56CB">
        <w:rPr>
          <w:rFonts w:ascii="Arial" w:hAnsi="Arial" w:cs="Arial"/>
          <w:sz w:val="22"/>
          <w:szCs w:val="22"/>
        </w:rPr>
        <w:t xml:space="preserve"> </w:t>
      </w:r>
      <w:r w:rsidR="004B293A" w:rsidRPr="004D56CB">
        <w:rPr>
          <w:rFonts w:ascii="Arial" w:hAnsi="Arial" w:cs="Arial"/>
          <w:sz w:val="22"/>
        </w:rPr>
        <w:t>[8]</w:t>
      </w:r>
      <w:r w:rsidR="00872725" w:rsidRPr="004D56CB">
        <w:rPr>
          <w:rFonts w:ascii="Arial" w:hAnsi="Arial" w:cs="Arial"/>
          <w:sz w:val="22"/>
          <w:szCs w:val="22"/>
        </w:rPr>
        <w:t xml:space="preserve"> and </w:t>
      </w:r>
      <w:r w:rsidR="00A07078" w:rsidRPr="004D56CB">
        <w:rPr>
          <w:rFonts w:ascii="Arial" w:hAnsi="Arial" w:cs="Arial"/>
          <w:sz w:val="22"/>
          <w:szCs w:val="22"/>
        </w:rPr>
        <w:t>adolescents</w:t>
      </w:r>
      <w:r w:rsidR="00577442" w:rsidRPr="004D56CB">
        <w:rPr>
          <w:rFonts w:ascii="Arial" w:hAnsi="Arial" w:cs="Arial"/>
          <w:sz w:val="22"/>
          <w:szCs w:val="22"/>
        </w:rPr>
        <w:t xml:space="preserve"> </w:t>
      </w:r>
      <w:r w:rsidR="00577442" w:rsidRPr="004D56CB">
        <w:rPr>
          <w:rFonts w:ascii="Arial" w:hAnsi="Arial" w:cs="Arial"/>
          <w:sz w:val="22"/>
        </w:rPr>
        <w:t>[9]</w:t>
      </w:r>
      <w:r w:rsidR="00B87453" w:rsidRPr="004D56CB">
        <w:rPr>
          <w:rFonts w:ascii="Arial" w:hAnsi="Arial" w:cs="Arial"/>
          <w:sz w:val="22"/>
          <w:szCs w:val="22"/>
        </w:rPr>
        <w:t xml:space="preserve"> in Bangladesh</w:t>
      </w:r>
      <w:r w:rsidR="00A07078" w:rsidRPr="004D56CB">
        <w:rPr>
          <w:rFonts w:ascii="Arial" w:hAnsi="Arial" w:cs="Arial"/>
          <w:sz w:val="22"/>
          <w:szCs w:val="22"/>
        </w:rPr>
        <w:t xml:space="preserve">. </w:t>
      </w:r>
    </w:p>
    <w:p w14:paraId="6FDF3DFA" w14:textId="77777777" w:rsidR="0023239A" w:rsidRPr="004D56CB" w:rsidRDefault="0023239A" w:rsidP="00B254E4">
      <w:pPr>
        <w:spacing w:line="360" w:lineRule="auto"/>
        <w:jc w:val="both"/>
        <w:rPr>
          <w:rFonts w:ascii="Arial" w:hAnsi="Arial" w:cs="Arial"/>
          <w:sz w:val="22"/>
          <w:szCs w:val="22"/>
        </w:rPr>
      </w:pPr>
    </w:p>
    <w:p w14:paraId="625997EE" w14:textId="184F9276" w:rsidR="00F414ED" w:rsidRPr="004D56CB" w:rsidRDefault="00D9018D" w:rsidP="00B254E4">
      <w:pPr>
        <w:spacing w:line="360" w:lineRule="auto"/>
        <w:jc w:val="both"/>
        <w:rPr>
          <w:rFonts w:ascii="Arial" w:hAnsi="Arial" w:cs="Arial"/>
          <w:sz w:val="22"/>
          <w:szCs w:val="22"/>
        </w:rPr>
      </w:pPr>
      <w:r w:rsidRPr="004D56CB">
        <w:rPr>
          <w:rFonts w:ascii="Arial" w:hAnsi="Arial" w:cs="Arial"/>
          <w:sz w:val="22"/>
          <w:szCs w:val="22"/>
        </w:rPr>
        <w:t>ST products are popular, affordable</w:t>
      </w:r>
      <w:r w:rsidR="00F82616" w:rsidRPr="004D56CB">
        <w:rPr>
          <w:rFonts w:ascii="Arial" w:hAnsi="Arial" w:cs="Arial"/>
          <w:sz w:val="22"/>
          <w:szCs w:val="22"/>
        </w:rPr>
        <w:t>,</w:t>
      </w:r>
      <w:r w:rsidRPr="004D56CB">
        <w:rPr>
          <w:rFonts w:ascii="Arial" w:hAnsi="Arial" w:cs="Arial"/>
          <w:sz w:val="22"/>
          <w:szCs w:val="22"/>
        </w:rPr>
        <w:t xml:space="preserve"> and </w:t>
      </w:r>
      <w:r w:rsidR="00E04C66" w:rsidRPr="004D56CB">
        <w:rPr>
          <w:rFonts w:ascii="Arial" w:hAnsi="Arial" w:cs="Arial"/>
          <w:sz w:val="22"/>
          <w:szCs w:val="22"/>
        </w:rPr>
        <w:t>read</w:t>
      </w:r>
      <w:r w:rsidRPr="004D56CB">
        <w:rPr>
          <w:rFonts w:ascii="Arial" w:hAnsi="Arial" w:cs="Arial"/>
          <w:sz w:val="22"/>
          <w:szCs w:val="22"/>
        </w:rPr>
        <w:t xml:space="preserve">ily available in Bangladesh, and their use is socially acceptable, </w:t>
      </w:r>
      <w:r w:rsidR="0079678F" w:rsidRPr="004D56CB">
        <w:rPr>
          <w:rFonts w:ascii="Arial" w:hAnsi="Arial" w:cs="Arial"/>
          <w:sz w:val="22"/>
          <w:szCs w:val="22"/>
        </w:rPr>
        <w:t xml:space="preserve">also </w:t>
      </w:r>
      <w:r w:rsidR="00872725" w:rsidRPr="004D56CB">
        <w:rPr>
          <w:rFonts w:ascii="Arial" w:hAnsi="Arial" w:cs="Arial"/>
          <w:sz w:val="22"/>
          <w:szCs w:val="22"/>
        </w:rPr>
        <w:t xml:space="preserve">among </w:t>
      </w:r>
      <w:r w:rsidRPr="004D56CB">
        <w:rPr>
          <w:rFonts w:ascii="Arial" w:hAnsi="Arial" w:cs="Arial"/>
          <w:sz w:val="22"/>
          <w:szCs w:val="22"/>
        </w:rPr>
        <w:t>women and young people</w:t>
      </w:r>
      <w:r w:rsidR="0076234A" w:rsidRPr="004D56CB">
        <w:rPr>
          <w:rFonts w:ascii="Arial" w:hAnsi="Arial" w:cs="Arial"/>
          <w:sz w:val="22"/>
          <w:szCs w:val="22"/>
        </w:rPr>
        <w:t xml:space="preserve"> </w:t>
      </w:r>
      <w:r w:rsidR="00E4619C" w:rsidRPr="004D56CB">
        <w:rPr>
          <w:rFonts w:ascii="Arial" w:hAnsi="Arial" w:cs="Arial"/>
          <w:sz w:val="22"/>
        </w:rPr>
        <w:t>[1,5]</w:t>
      </w:r>
      <w:r w:rsidR="00464BAB" w:rsidRPr="004D56CB">
        <w:rPr>
          <w:rFonts w:ascii="Arial" w:hAnsi="Arial" w:cs="Arial"/>
          <w:sz w:val="22"/>
          <w:szCs w:val="22"/>
        </w:rPr>
        <w:t>.</w:t>
      </w:r>
      <w:r w:rsidRPr="004D56CB">
        <w:rPr>
          <w:rFonts w:ascii="Arial" w:hAnsi="Arial" w:cs="Arial"/>
          <w:sz w:val="22"/>
          <w:szCs w:val="22"/>
        </w:rPr>
        <w:t xml:space="preserve"> </w:t>
      </w:r>
      <w:r w:rsidR="00F82616" w:rsidRPr="004D56CB">
        <w:rPr>
          <w:rFonts w:ascii="Arial" w:hAnsi="Arial" w:cs="Arial"/>
          <w:sz w:val="22"/>
          <w:szCs w:val="22"/>
        </w:rPr>
        <w:t>However, l</w:t>
      </w:r>
      <w:r w:rsidRPr="004D56CB">
        <w:rPr>
          <w:rFonts w:ascii="Arial" w:hAnsi="Arial" w:cs="Arial"/>
          <w:sz w:val="22"/>
          <w:szCs w:val="22"/>
        </w:rPr>
        <w:t xml:space="preserve">ow price, </w:t>
      </w:r>
      <w:r w:rsidR="004965C1" w:rsidRPr="004D56CB">
        <w:rPr>
          <w:rFonts w:ascii="Arial" w:hAnsi="Arial" w:cs="Arial"/>
          <w:sz w:val="22"/>
          <w:szCs w:val="22"/>
        </w:rPr>
        <w:t>availability</w:t>
      </w:r>
      <w:r w:rsidR="00F82616" w:rsidRPr="004D56CB">
        <w:rPr>
          <w:rFonts w:ascii="Arial" w:hAnsi="Arial" w:cs="Arial"/>
          <w:sz w:val="22"/>
          <w:szCs w:val="22"/>
        </w:rPr>
        <w:t>,</w:t>
      </w:r>
      <w:r w:rsidR="004965C1" w:rsidRPr="004D56CB">
        <w:rPr>
          <w:rFonts w:ascii="Arial" w:hAnsi="Arial" w:cs="Arial"/>
          <w:sz w:val="22"/>
          <w:szCs w:val="22"/>
        </w:rPr>
        <w:t xml:space="preserve"> </w:t>
      </w:r>
      <w:r w:rsidRPr="004D56CB">
        <w:rPr>
          <w:rFonts w:ascii="Arial" w:hAnsi="Arial" w:cs="Arial"/>
          <w:sz w:val="22"/>
          <w:szCs w:val="22"/>
        </w:rPr>
        <w:t xml:space="preserve">and misconceptions regarding its </w:t>
      </w:r>
      <w:r w:rsidR="00E04C66" w:rsidRPr="004D56CB">
        <w:rPr>
          <w:rFonts w:ascii="Arial" w:hAnsi="Arial" w:cs="Arial"/>
          <w:sz w:val="22"/>
          <w:szCs w:val="22"/>
        </w:rPr>
        <w:t>beneficia</w:t>
      </w:r>
      <w:r w:rsidRPr="004D56CB">
        <w:rPr>
          <w:rFonts w:ascii="Arial" w:hAnsi="Arial" w:cs="Arial"/>
          <w:sz w:val="22"/>
          <w:szCs w:val="22"/>
        </w:rPr>
        <w:t>l health effects contribute to high ST use in Bangladesh</w:t>
      </w:r>
      <w:r w:rsidR="0076234A" w:rsidRPr="004D56CB">
        <w:rPr>
          <w:rFonts w:ascii="Arial" w:hAnsi="Arial" w:cs="Arial"/>
          <w:sz w:val="22"/>
          <w:szCs w:val="22"/>
        </w:rPr>
        <w:t xml:space="preserve"> </w:t>
      </w:r>
      <w:r w:rsidR="00577442" w:rsidRPr="004D56CB">
        <w:rPr>
          <w:rFonts w:ascii="Arial" w:hAnsi="Arial" w:cs="Arial"/>
          <w:sz w:val="22"/>
        </w:rPr>
        <w:t>[1,10]</w:t>
      </w:r>
      <w:r w:rsidR="00464BAB" w:rsidRPr="004D56CB">
        <w:rPr>
          <w:rFonts w:ascii="Arial" w:hAnsi="Arial" w:cs="Arial"/>
          <w:sz w:val="22"/>
          <w:szCs w:val="22"/>
        </w:rPr>
        <w:t>.</w:t>
      </w:r>
    </w:p>
    <w:p w14:paraId="222665E5" w14:textId="77777777" w:rsidR="00F414ED" w:rsidRPr="004D56CB" w:rsidRDefault="00F414ED" w:rsidP="00B254E4">
      <w:pPr>
        <w:spacing w:line="360" w:lineRule="auto"/>
        <w:jc w:val="both"/>
        <w:rPr>
          <w:rFonts w:ascii="Arial" w:hAnsi="Arial" w:cs="Arial"/>
          <w:sz w:val="22"/>
          <w:szCs w:val="22"/>
        </w:rPr>
      </w:pPr>
    </w:p>
    <w:p w14:paraId="361FD344" w14:textId="0E81A546" w:rsidR="005549E8" w:rsidRPr="004D56CB" w:rsidRDefault="00D9018D" w:rsidP="00B254E4">
      <w:pPr>
        <w:spacing w:line="360" w:lineRule="auto"/>
        <w:jc w:val="both"/>
        <w:rPr>
          <w:rFonts w:ascii="Arial" w:hAnsi="Arial" w:cs="Arial"/>
          <w:sz w:val="22"/>
          <w:szCs w:val="22"/>
        </w:rPr>
      </w:pPr>
      <w:r w:rsidRPr="004D56CB">
        <w:rPr>
          <w:rFonts w:ascii="Arial" w:hAnsi="Arial" w:cs="Arial"/>
          <w:sz w:val="22"/>
          <w:szCs w:val="22"/>
        </w:rPr>
        <w:t xml:space="preserve">Bangladesh is a signatory to the World Health Organization (WHO) Framework Convention for Tobacco Control (FCTC). However, less attention has been paid to ST </w:t>
      </w:r>
      <w:r w:rsidR="006227C8" w:rsidRPr="004D56CB">
        <w:rPr>
          <w:rFonts w:ascii="Arial" w:hAnsi="Arial" w:cs="Arial"/>
          <w:sz w:val="22"/>
          <w:szCs w:val="22"/>
        </w:rPr>
        <w:t xml:space="preserve">control </w:t>
      </w:r>
      <w:r w:rsidR="0023056E" w:rsidRPr="004D56CB">
        <w:rPr>
          <w:rFonts w:ascii="Arial" w:hAnsi="Arial" w:cs="Arial"/>
          <w:sz w:val="22"/>
          <w:szCs w:val="22"/>
        </w:rPr>
        <w:t>compared to combustible tobacco</w:t>
      </w:r>
      <w:r w:rsidR="00C53A37" w:rsidRPr="004D56CB">
        <w:rPr>
          <w:rFonts w:ascii="Arial" w:hAnsi="Arial" w:cs="Arial"/>
          <w:sz w:val="22"/>
          <w:szCs w:val="22"/>
        </w:rPr>
        <w:t xml:space="preserve"> </w:t>
      </w:r>
      <w:r w:rsidR="00C53A37" w:rsidRPr="004D56CB">
        <w:rPr>
          <w:rFonts w:ascii="Arial" w:hAnsi="Arial" w:cs="Arial"/>
          <w:sz w:val="22"/>
        </w:rPr>
        <w:t>[1]</w:t>
      </w:r>
      <w:r w:rsidR="00464BAB" w:rsidRPr="004D56CB">
        <w:rPr>
          <w:rFonts w:ascii="Arial" w:hAnsi="Arial" w:cs="Arial"/>
          <w:sz w:val="22"/>
          <w:szCs w:val="22"/>
        </w:rPr>
        <w:t>.</w:t>
      </w:r>
      <w:r w:rsidRPr="004D56CB">
        <w:rPr>
          <w:rFonts w:ascii="Arial" w:hAnsi="Arial" w:cs="Arial"/>
          <w:sz w:val="22"/>
          <w:szCs w:val="22"/>
        </w:rPr>
        <w:t xml:space="preserve"> With </w:t>
      </w:r>
      <w:r w:rsidR="004841DC" w:rsidRPr="004D56CB">
        <w:rPr>
          <w:rFonts w:ascii="Arial" w:hAnsi="Arial" w:cs="Arial"/>
          <w:sz w:val="22"/>
          <w:szCs w:val="22"/>
        </w:rPr>
        <w:t xml:space="preserve">funding </w:t>
      </w:r>
      <w:r w:rsidRPr="004D56CB">
        <w:rPr>
          <w:rFonts w:ascii="Arial" w:hAnsi="Arial" w:cs="Arial"/>
          <w:sz w:val="22"/>
          <w:szCs w:val="22"/>
        </w:rPr>
        <w:t>from the National Institute for Health Research</w:t>
      </w:r>
      <w:r w:rsidR="00D84F8C" w:rsidRPr="004D56CB">
        <w:rPr>
          <w:rFonts w:ascii="Arial" w:hAnsi="Arial" w:cs="Arial"/>
          <w:sz w:val="22"/>
          <w:szCs w:val="22"/>
        </w:rPr>
        <w:t xml:space="preserve"> (NIHR)</w:t>
      </w:r>
      <w:r w:rsidRPr="004D56CB">
        <w:rPr>
          <w:rFonts w:ascii="Arial" w:hAnsi="Arial" w:cs="Arial"/>
          <w:sz w:val="22"/>
          <w:szCs w:val="22"/>
        </w:rPr>
        <w:t xml:space="preserve">, UK, a </w:t>
      </w:r>
      <w:r w:rsidR="004841DC" w:rsidRPr="004D56CB">
        <w:rPr>
          <w:rFonts w:ascii="Arial" w:hAnsi="Arial" w:cs="Arial"/>
          <w:sz w:val="22"/>
          <w:szCs w:val="22"/>
        </w:rPr>
        <w:t>g</w:t>
      </w:r>
      <w:r w:rsidRPr="004D56CB">
        <w:rPr>
          <w:rFonts w:ascii="Arial" w:hAnsi="Arial" w:cs="Arial"/>
          <w:sz w:val="22"/>
          <w:szCs w:val="22"/>
        </w:rPr>
        <w:t>roup has been established by several academics, civil society organisations</w:t>
      </w:r>
      <w:r w:rsidR="00E04C66" w:rsidRPr="004D56CB">
        <w:rPr>
          <w:rFonts w:ascii="Arial" w:hAnsi="Arial" w:cs="Arial"/>
          <w:sz w:val="22"/>
          <w:szCs w:val="22"/>
        </w:rPr>
        <w:t>,</w:t>
      </w:r>
      <w:r w:rsidRPr="004D56CB">
        <w:rPr>
          <w:rFonts w:ascii="Arial" w:hAnsi="Arial" w:cs="Arial"/>
          <w:sz w:val="22"/>
          <w:szCs w:val="22"/>
        </w:rPr>
        <w:t xml:space="preserve"> and statutory bodies to address ST use in South Asia</w:t>
      </w:r>
      <w:r w:rsidR="00E04C66" w:rsidRPr="004D56CB">
        <w:rPr>
          <w:rFonts w:ascii="Arial" w:hAnsi="Arial" w:cs="Arial"/>
          <w:sz w:val="22"/>
          <w:szCs w:val="22"/>
        </w:rPr>
        <w:t>,</w:t>
      </w:r>
      <w:r w:rsidRPr="004D56CB">
        <w:rPr>
          <w:rFonts w:ascii="Arial" w:hAnsi="Arial" w:cs="Arial"/>
          <w:sz w:val="22"/>
          <w:szCs w:val="22"/>
        </w:rPr>
        <w:t xml:space="preserve"> including Bangladesh</w:t>
      </w:r>
      <w:r w:rsidR="00F82616" w:rsidRPr="004D56CB">
        <w:rPr>
          <w:rFonts w:ascii="Arial" w:hAnsi="Arial" w:cs="Arial"/>
          <w:sz w:val="22"/>
          <w:szCs w:val="22"/>
        </w:rPr>
        <w:t>. The group is</w:t>
      </w:r>
      <w:r w:rsidRPr="004D56CB">
        <w:rPr>
          <w:rFonts w:ascii="Arial" w:hAnsi="Arial" w:cs="Arial"/>
          <w:sz w:val="22"/>
          <w:szCs w:val="22"/>
        </w:rPr>
        <w:t xml:space="preserve"> called ASTRA</w:t>
      </w:r>
      <w:r w:rsidR="00F82616" w:rsidRPr="004D56CB">
        <w:rPr>
          <w:rFonts w:ascii="Arial" w:hAnsi="Arial" w:cs="Arial"/>
          <w:sz w:val="22"/>
          <w:szCs w:val="22"/>
        </w:rPr>
        <w:t xml:space="preserve"> - Addressing Smokeless Tobacco and Building Research Capacity in South Asia</w:t>
      </w:r>
      <w:r w:rsidR="001A77F3" w:rsidRPr="004D56CB">
        <w:rPr>
          <w:rFonts w:ascii="Arial" w:hAnsi="Arial" w:cs="Arial"/>
          <w:sz w:val="22"/>
          <w:szCs w:val="22"/>
        </w:rPr>
        <w:t xml:space="preserve"> </w:t>
      </w:r>
      <w:r w:rsidR="001A77F3" w:rsidRPr="004D56CB">
        <w:rPr>
          <w:rFonts w:ascii="Arial" w:hAnsi="Arial" w:cs="Arial"/>
          <w:sz w:val="22"/>
        </w:rPr>
        <w:t>[11]</w:t>
      </w:r>
      <w:r w:rsidR="00464BAB" w:rsidRPr="004D56CB">
        <w:rPr>
          <w:rFonts w:ascii="Arial" w:hAnsi="Arial" w:cs="Arial"/>
          <w:sz w:val="22"/>
          <w:szCs w:val="22"/>
        </w:rPr>
        <w:t>.</w:t>
      </w:r>
      <w:r w:rsidRPr="004D56CB">
        <w:rPr>
          <w:rFonts w:ascii="Arial" w:hAnsi="Arial" w:cs="Arial"/>
          <w:sz w:val="22"/>
          <w:szCs w:val="22"/>
        </w:rPr>
        <w:t xml:space="preserve"> On behalf of ASTRA, a </w:t>
      </w:r>
      <w:r w:rsidR="00513854" w:rsidRPr="004D56CB">
        <w:rPr>
          <w:rFonts w:ascii="Arial" w:hAnsi="Arial" w:cs="Arial"/>
          <w:sz w:val="22"/>
          <w:szCs w:val="22"/>
        </w:rPr>
        <w:t>mixed</w:t>
      </w:r>
      <w:r w:rsidR="002D477E" w:rsidRPr="004D56CB">
        <w:rPr>
          <w:rFonts w:ascii="Arial" w:hAnsi="Arial" w:cs="Arial"/>
          <w:sz w:val="22"/>
          <w:szCs w:val="22"/>
        </w:rPr>
        <w:t>-</w:t>
      </w:r>
      <w:r w:rsidRPr="004D56CB">
        <w:rPr>
          <w:rFonts w:ascii="Arial" w:hAnsi="Arial" w:cs="Arial"/>
          <w:sz w:val="22"/>
          <w:szCs w:val="22"/>
        </w:rPr>
        <w:t>method study</w:t>
      </w:r>
      <w:r w:rsidR="00354ACD" w:rsidRPr="004D56CB">
        <w:rPr>
          <w:rFonts w:ascii="Arial" w:hAnsi="Arial" w:cs="Arial"/>
          <w:sz w:val="22"/>
          <w:szCs w:val="22"/>
        </w:rPr>
        <w:t xml:space="preserve"> was conducted</w:t>
      </w:r>
      <w:r w:rsidRPr="004D56CB">
        <w:rPr>
          <w:rFonts w:ascii="Arial" w:hAnsi="Arial" w:cs="Arial"/>
          <w:sz w:val="22"/>
          <w:szCs w:val="22"/>
        </w:rPr>
        <w:t xml:space="preserve"> to </w:t>
      </w:r>
      <w:r w:rsidR="009E1F82" w:rsidRPr="004D56CB">
        <w:rPr>
          <w:rFonts w:ascii="Arial" w:hAnsi="Arial" w:cs="Arial"/>
          <w:sz w:val="22"/>
          <w:szCs w:val="22"/>
        </w:rPr>
        <w:t xml:space="preserve">describe ST prevalence and trend, estimate disease burden, </w:t>
      </w:r>
      <w:r w:rsidR="004C725A" w:rsidRPr="004D56CB">
        <w:rPr>
          <w:rFonts w:ascii="Arial" w:hAnsi="Arial" w:cs="Arial"/>
          <w:sz w:val="22"/>
          <w:szCs w:val="22"/>
        </w:rPr>
        <w:t xml:space="preserve">and </w:t>
      </w:r>
      <w:r w:rsidRPr="004D56CB">
        <w:rPr>
          <w:rFonts w:ascii="Arial" w:hAnsi="Arial" w:cs="Arial"/>
          <w:sz w:val="22"/>
          <w:szCs w:val="22"/>
        </w:rPr>
        <w:t>identify policy gaps, opportunities</w:t>
      </w:r>
      <w:r w:rsidR="00F82616" w:rsidRPr="004D56CB">
        <w:rPr>
          <w:rFonts w:ascii="Arial" w:hAnsi="Arial" w:cs="Arial"/>
          <w:sz w:val="22"/>
          <w:szCs w:val="22"/>
        </w:rPr>
        <w:t>,</w:t>
      </w:r>
      <w:r w:rsidRPr="004D56CB">
        <w:rPr>
          <w:rFonts w:ascii="Arial" w:hAnsi="Arial" w:cs="Arial"/>
          <w:sz w:val="22"/>
          <w:szCs w:val="22"/>
        </w:rPr>
        <w:t xml:space="preserve"> and priorities to improve ST</w:t>
      </w:r>
      <w:r w:rsidR="004C725A" w:rsidRPr="004D56CB">
        <w:rPr>
          <w:rFonts w:ascii="Arial" w:hAnsi="Arial" w:cs="Arial"/>
          <w:sz w:val="22"/>
          <w:szCs w:val="22"/>
        </w:rPr>
        <w:t xml:space="preserve"> control </w:t>
      </w:r>
      <w:r w:rsidRPr="004D56CB">
        <w:rPr>
          <w:rFonts w:ascii="Arial" w:hAnsi="Arial" w:cs="Arial"/>
          <w:sz w:val="22"/>
          <w:szCs w:val="22"/>
        </w:rPr>
        <w:t>in Bangladesh.</w:t>
      </w:r>
    </w:p>
    <w:p w14:paraId="7DF89FB5" w14:textId="77777777" w:rsidR="00F414ED" w:rsidRPr="004D56CB" w:rsidRDefault="006A2CDE" w:rsidP="00B254E4">
      <w:pPr>
        <w:pStyle w:val="Heading1"/>
        <w:spacing w:line="360" w:lineRule="auto"/>
        <w:rPr>
          <w:rFonts w:ascii="Arial" w:hAnsi="Arial" w:cs="Arial"/>
          <w:sz w:val="22"/>
          <w:szCs w:val="22"/>
        </w:rPr>
      </w:pPr>
      <w:r w:rsidRPr="004D56CB">
        <w:rPr>
          <w:rFonts w:ascii="Arial" w:hAnsi="Arial" w:cs="Arial"/>
          <w:sz w:val="22"/>
          <w:szCs w:val="22"/>
        </w:rPr>
        <w:lastRenderedPageBreak/>
        <w:t>METHODS</w:t>
      </w:r>
    </w:p>
    <w:p w14:paraId="4613D1F3" w14:textId="36364196" w:rsidR="00C641F3" w:rsidRPr="004D56CB" w:rsidRDefault="00D9018D" w:rsidP="00B254E4">
      <w:pPr>
        <w:spacing w:line="360" w:lineRule="auto"/>
        <w:jc w:val="both"/>
        <w:rPr>
          <w:rFonts w:ascii="Arial" w:hAnsi="Arial" w:cs="Arial"/>
          <w:sz w:val="22"/>
          <w:szCs w:val="22"/>
        </w:rPr>
      </w:pPr>
      <w:r w:rsidRPr="004D56CB">
        <w:rPr>
          <w:rFonts w:ascii="Arial" w:hAnsi="Arial" w:cs="Arial"/>
          <w:sz w:val="22"/>
          <w:szCs w:val="22"/>
        </w:rPr>
        <w:t>We</w:t>
      </w:r>
      <w:r w:rsidR="00AE2F85" w:rsidRPr="004D56CB">
        <w:rPr>
          <w:rFonts w:ascii="Arial" w:hAnsi="Arial" w:cs="Arial"/>
          <w:sz w:val="22"/>
          <w:szCs w:val="22"/>
        </w:rPr>
        <w:t xml:space="preserve">: </w:t>
      </w:r>
      <w:r w:rsidRPr="004D56CB">
        <w:rPr>
          <w:rFonts w:ascii="Arial" w:hAnsi="Arial" w:cs="Arial"/>
          <w:sz w:val="22"/>
          <w:szCs w:val="22"/>
        </w:rPr>
        <w:t>(</w:t>
      </w:r>
      <w:r w:rsidR="00715653" w:rsidRPr="004D56CB">
        <w:rPr>
          <w:rFonts w:ascii="Arial" w:hAnsi="Arial" w:cs="Arial"/>
          <w:sz w:val="22"/>
          <w:szCs w:val="22"/>
        </w:rPr>
        <w:t>a</w:t>
      </w:r>
      <w:r w:rsidRPr="004D56CB">
        <w:rPr>
          <w:rFonts w:ascii="Arial" w:hAnsi="Arial" w:cs="Arial"/>
          <w:sz w:val="22"/>
          <w:szCs w:val="22"/>
        </w:rPr>
        <w:t>) analysed secondary data from two rounds</w:t>
      </w:r>
      <w:r w:rsidR="00AE2F85" w:rsidRPr="004D56CB">
        <w:rPr>
          <w:rFonts w:ascii="Arial" w:hAnsi="Arial" w:cs="Arial"/>
          <w:sz w:val="22"/>
          <w:szCs w:val="22"/>
        </w:rPr>
        <w:t xml:space="preserve"> </w:t>
      </w:r>
      <w:r w:rsidRPr="004D56CB">
        <w:rPr>
          <w:rFonts w:ascii="Arial" w:hAnsi="Arial" w:cs="Arial"/>
          <w:sz w:val="22"/>
          <w:szCs w:val="22"/>
        </w:rPr>
        <w:t xml:space="preserve">of </w:t>
      </w:r>
      <w:r w:rsidR="00AB5159" w:rsidRPr="004D56CB">
        <w:rPr>
          <w:rFonts w:ascii="Arial" w:hAnsi="Arial" w:cs="Arial"/>
          <w:sz w:val="22"/>
          <w:szCs w:val="22"/>
        </w:rPr>
        <w:t xml:space="preserve">the </w:t>
      </w:r>
      <w:r w:rsidRPr="004D56CB">
        <w:rPr>
          <w:rFonts w:ascii="Arial" w:hAnsi="Arial" w:cs="Arial"/>
          <w:sz w:val="22"/>
          <w:szCs w:val="22"/>
        </w:rPr>
        <w:t>Global Adult Tobacco Survey</w:t>
      </w:r>
      <w:r w:rsidR="00AE2F85" w:rsidRPr="004D56CB">
        <w:rPr>
          <w:rFonts w:ascii="Arial" w:hAnsi="Arial" w:cs="Arial"/>
          <w:sz w:val="22"/>
          <w:szCs w:val="22"/>
        </w:rPr>
        <w:t xml:space="preserve">, 2009 and 2017 </w:t>
      </w:r>
      <w:r w:rsidRPr="004D56CB">
        <w:rPr>
          <w:rFonts w:ascii="Arial" w:hAnsi="Arial" w:cs="Arial"/>
          <w:sz w:val="22"/>
          <w:szCs w:val="22"/>
        </w:rPr>
        <w:t>(GATS)</w:t>
      </w:r>
      <w:r w:rsidR="008A2280" w:rsidRPr="004D56CB">
        <w:rPr>
          <w:rFonts w:ascii="Arial" w:hAnsi="Arial" w:cs="Arial"/>
          <w:sz w:val="22"/>
          <w:szCs w:val="22"/>
        </w:rPr>
        <w:t xml:space="preserve">; </w:t>
      </w:r>
      <w:r w:rsidR="000135E9" w:rsidRPr="004D56CB">
        <w:rPr>
          <w:rFonts w:ascii="Arial" w:hAnsi="Arial" w:cs="Arial"/>
          <w:sz w:val="22"/>
          <w:szCs w:val="22"/>
        </w:rPr>
        <w:t>b</w:t>
      </w:r>
      <w:r w:rsidRPr="004D56CB">
        <w:rPr>
          <w:rFonts w:ascii="Arial" w:hAnsi="Arial" w:cs="Arial"/>
          <w:sz w:val="22"/>
          <w:szCs w:val="22"/>
        </w:rPr>
        <w:t xml:space="preserve">) </w:t>
      </w:r>
      <w:r w:rsidR="0049519C" w:rsidRPr="004D56CB">
        <w:rPr>
          <w:rFonts w:ascii="Arial" w:hAnsi="Arial" w:cs="Arial"/>
          <w:sz w:val="22"/>
          <w:szCs w:val="22"/>
        </w:rPr>
        <w:t xml:space="preserve">estimated </w:t>
      </w:r>
      <w:r w:rsidR="00AB5159" w:rsidRPr="004D56CB">
        <w:rPr>
          <w:rFonts w:ascii="Arial" w:hAnsi="Arial" w:cs="Arial"/>
          <w:sz w:val="22"/>
          <w:szCs w:val="22"/>
        </w:rPr>
        <w:t xml:space="preserve">the </w:t>
      </w:r>
      <w:r w:rsidRPr="004D56CB">
        <w:rPr>
          <w:rFonts w:ascii="Arial" w:hAnsi="Arial" w:cs="Arial"/>
          <w:sz w:val="22"/>
          <w:szCs w:val="22"/>
        </w:rPr>
        <w:t xml:space="preserve">burden of disease due to </w:t>
      </w:r>
      <w:r w:rsidR="002D477E" w:rsidRPr="004D56CB">
        <w:rPr>
          <w:rFonts w:ascii="Arial" w:hAnsi="Arial" w:cs="Arial"/>
          <w:sz w:val="22"/>
          <w:szCs w:val="22"/>
        </w:rPr>
        <w:t>ST</w:t>
      </w:r>
      <w:r w:rsidRPr="004D56CB">
        <w:rPr>
          <w:rFonts w:ascii="Arial" w:hAnsi="Arial" w:cs="Arial"/>
          <w:sz w:val="22"/>
          <w:szCs w:val="22"/>
        </w:rPr>
        <w:t xml:space="preserve"> consumption in adults</w:t>
      </w:r>
      <w:r w:rsidR="00715653" w:rsidRPr="004D56CB">
        <w:rPr>
          <w:rFonts w:ascii="Arial" w:hAnsi="Arial" w:cs="Arial"/>
          <w:sz w:val="22"/>
          <w:szCs w:val="22"/>
        </w:rPr>
        <w:t xml:space="preserve"> and compare</w:t>
      </w:r>
      <w:r w:rsidR="00C046A2" w:rsidRPr="004D56CB">
        <w:rPr>
          <w:rFonts w:ascii="Arial" w:hAnsi="Arial" w:cs="Arial"/>
          <w:sz w:val="22"/>
          <w:szCs w:val="22"/>
        </w:rPr>
        <w:t>d</w:t>
      </w:r>
      <w:r w:rsidR="00AE2F85" w:rsidRPr="004D56CB">
        <w:rPr>
          <w:rFonts w:ascii="Arial" w:hAnsi="Arial" w:cs="Arial"/>
          <w:sz w:val="22"/>
          <w:szCs w:val="22"/>
        </w:rPr>
        <w:t xml:space="preserve"> it</w:t>
      </w:r>
      <w:r w:rsidR="00715653" w:rsidRPr="004D56CB">
        <w:rPr>
          <w:rFonts w:ascii="Arial" w:hAnsi="Arial" w:cs="Arial"/>
          <w:sz w:val="22"/>
          <w:szCs w:val="22"/>
        </w:rPr>
        <w:t xml:space="preserve"> </w:t>
      </w:r>
      <w:r w:rsidR="000135E9" w:rsidRPr="004D56CB">
        <w:rPr>
          <w:rFonts w:ascii="Arial" w:hAnsi="Arial" w:cs="Arial"/>
          <w:sz w:val="22"/>
          <w:szCs w:val="22"/>
        </w:rPr>
        <w:t>with 2010</w:t>
      </w:r>
      <w:r w:rsidR="00715653" w:rsidRPr="004D56CB">
        <w:rPr>
          <w:rFonts w:ascii="Arial" w:hAnsi="Arial" w:cs="Arial"/>
          <w:sz w:val="22"/>
          <w:szCs w:val="22"/>
        </w:rPr>
        <w:t xml:space="preserve"> </w:t>
      </w:r>
      <w:r w:rsidR="00C046A2" w:rsidRPr="004D56CB">
        <w:rPr>
          <w:rFonts w:ascii="Arial" w:hAnsi="Arial" w:cs="Arial"/>
          <w:sz w:val="22"/>
          <w:szCs w:val="22"/>
        </w:rPr>
        <w:t>estimation</w:t>
      </w:r>
      <w:r w:rsidRPr="004D56CB">
        <w:rPr>
          <w:rFonts w:ascii="Arial" w:hAnsi="Arial" w:cs="Arial"/>
          <w:sz w:val="22"/>
          <w:szCs w:val="22"/>
        </w:rPr>
        <w:t xml:space="preserve">; </w:t>
      </w:r>
      <w:r w:rsidR="00715653" w:rsidRPr="004D56CB">
        <w:rPr>
          <w:rFonts w:ascii="Arial" w:hAnsi="Arial" w:cs="Arial"/>
          <w:sz w:val="22"/>
          <w:szCs w:val="22"/>
        </w:rPr>
        <w:t>(</w:t>
      </w:r>
      <w:r w:rsidR="00C046A2" w:rsidRPr="004D56CB">
        <w:rPr>
          <w:rFonts w:ascii="Arial" w:hAnsi="Arial" w:cs="Arial"/>
          <w:sz w:val="22"/>
          <w:szCs w:val="22"/>
        </w:rPr>
        <w:t>c</w:t>
      </w:r>
      <w:r w:rsidR="00715653" w:rsidRPr="004D56CB">
        <w:rPr>
          <w:rFonts w:ascii="Arial" w:hAnsi="Arial" w:cs="Arial"/>
          <w:sz w:val="22"/>
          <w:szCs w:val="22"/>
        </w:rPr>
        <w:t>)</w:t>
      </w:r>
      <w:r w:rsidR="00C046A2" w:rsidRPr="004D56CB">
        <w:rPr>
          <w:rFonts w:ascii="Arial" w:hAnsi="Arial" w:cs="Arial"/>
          <w:sz w:val="22"/>
          <w:szCs w:val="22"/>
        </w:rPr>
        <w:t xml:space="preserve"> conducted </w:t>
      </w:r>
      <w:r w:rsidR="00AB5159" w:rsidRPr="004D56CB">
        <w:rPr>
          <w:rFonts w:ascii="Arial" w:hAnsi="Arial" w:cs="Arial"/>
          <w:sz w:val="22"/>
          <w:szCs w:val="22"/>
        </w:rPr>
        <w:t xml:space="preserve">a </w:t>
      </w:r>
      <w:r w:rsidR="00C046A2" w:rsidRPr="004D56CB">
        <w:rPr>
          <w:rFonts w:ascii="Arial" w:hAnsi="Arial" w:cs="Arial"/>
          <w:sz w:val="22"/>
          <w:szCs w:val="22"/>
        </w:rPr>
        <w:t xml:space="preserve">desk review of </w:t>
      </w:r>
      <w:r w:rsidR="005B7B33" w:rsidRPr="004D56CB">
        <w:rPr>
          <w:rFonts w:ascii="Arial" w:hAnsi="Arial" w:cs="Arial"/>
          <w:sz w:val="22"/>
          <w:szCs w:val="22"/>
        </w:rPr>
        <w:t>current tobacco control</w:t>
      </w:r>
      <w:r w:rsidR="00377361" w:rsidRPr="004D56CB">
        <w:rPr>
          <w:rFonts w:ascii="Arial" w:hAnsi="Arial" w:cs="Arial"/>
          <w:sz w:val="22"/>
          <w:szCs w:val="22"/>
        </w:rPr>
        <w:t xml:space="preserve"> policies</w:t>
      </w:r>
      <w:r w:rsidR="0049519C" w:rsidRPr="004D56CB">
        <w:rPr>
          <w:rFonts w:ascii="Arial" w:hAnsi="Arial" w:cs="Arial"/>
          <w:sz w:val="22"/>
          <w:szCs w:val="22"/>
        </w:rPr>
        <w:t>;</w:t>
      </w:r>
      <w:r w:rsidR="00377361" w:rsidRPr="004D56CB">
        <w:rPr>
          <w:rFonts w:ascii="Arial" w:hAnsi="Arial" w:cs="Arial"/>
          <w:sz w:val="22"/>
          <w:szCs w:val="22"/>
        </w:rPr>
        <w:t xml:space="preserve"> </w:t>
      </w:r>
      <w:r w:rsidRPr="004D56CB">
        <w:rPr>
          <w:rFonts w:ascii="Arial" w:hAnsi="Arial" w:cs="Arial"/>
          <w:sz w:val="22"/>
          <w:szCs w:val="22"/>
        </w:rPr>
        <w:t xml:space="preserve">(d) arranged an interactive workshop </w:t>
      </w:r>
      <w:r w:rsidR="00F82616" w:rsidRPr="004D56CB">
        <w:rPr>
          <w:rFonts w:ascii="Arial" w:hAnsi="Arial" w:cs="Arial"/>
          <w:sz w:val="22"/>
          <w:szCs w:val="22"/>
        </w:rPr>
        <w:t xml:space="preserve">during the last quarter of 2019 </w:t>
      </w:r>
      <w:r w:rsidRPr="004D56CB">
        <w:rPr>
          <w:rFonts w:ascii="Arial" w:hAnsi="Arial" w:cs="Arial"/>
          <w:sz w:val="22"/>
          <w:szCs w:val="22"/>
        </w:rPr>
        <w:t xml:space="preserve">to gather stakeholders’ views on gaps in </w:t>
      </w:r>
      <w:r w:rsidR="00AB5159" w:rsidRPr="004D56CB">
        <w:rPr>
          <w:rFonts w:ascii="Arial" w:hAnsi="Arial" w:cs="Arial"/>
          <w:sz w:val="22"/>
          <w:szCs w:val="22"/>
        </w:rPr>
        <w:t xml:space="preserve">the </w:t>
      </w:r>
      <w:r w:rsidR="00020356" w:rsidRPr="004D56CB">
        <w:rPr>
          <w:rFonts w:ascii="Arial" w:hAnsi="Arial" w:cs="Arial"/>
          <w:sz w:val="22"/>
          <w:szCs w:val="22"/>
        </w:rPr>
        <w:t xml:space="preserve">implementation of </w:t>
      </w:r>
      <w:r w:rsidRPr="004D56CB">
        <w:rPr>
          <w:rFonts w:ascii="Arial" w:hAnsi="Arial" w:cs="Arial"/>
          <w:sz w:val="22"/>
          <w:szCs w:val="22"/>
        </w:rPr>
        <w:t xml:space="preserve">existing tobacco control policies for ST </w:t>
      </w:r>
      <w:r w:rsidR="00EE062B" w:rsidRPr="004D56CB">
        <w:rPr>
          <w:rFonts w:ascii="Arial" w:hAnsi="Arial" w:cs="Arial"/>
          <w:sz w:val="22"/>
          <w:szCs w:val="22"/>
        </w:rPr>
        <w:t>control</w:t>
      </w:r>
      <w:r w:rsidRPr="004D56CB">
        <w:rPr>
          <w:rFonts w:ascii="Arial" w:hAnsi="Arial" w:cs="Arial"/>
          <w:sz w:val="22"/>
          <w:szCs w:val="22"/>
        </w:rPr>
        <w:t>; and (e) identified policy priorities using an online survey</w:t>
      </w:r>
      <w:r w:rsidR="00F82616" w:rsidRPr="004D56CB">
        <w:rPr>
          <w:rFonts w:ascii="Arial" w:hAnsi="Arial" w:cs="Arial"/>
          <w:sz w:val="22"/>
          <w:szCs w:val="22"/>
        </w:rPr>
        <w:t xml:space="preserve"> at the same period</w:t>
      </w:r>
      <w:r w:rsidRPr="004D56CB">
        <w:rPr>
          <w:rFonts w:ascii="Arial" w:hAnsi="Arial" w:cs="Arial"/>
          <w:sz w:val="22"/>
          <w:szCs w:val="22"/>
        </w:rPr>
        <w:t xml:space="preserve">. </w:t>
      </w:r>
    </w:p>
    <w:p w14:paraId="016A2009" w14:textId="77777777" w:rsidR="00F414ED" w:rsidRPr="004D56CB" w:rsidRDefault="00D9018D" w:rsidP="00B254E4">
      <w:pPr>
        <w:pStyle w:val="Heading2"/>
        <w:spacing w:line="360" w:lineRule="auto"/>
        <w:rPr>
          <w:rFonts w:ascii="Arial" w:hAnsi="Arial" w:cs="Arial"/>
          <w:sz w:val="22"/>
          <w:szCs w:val="22"/>
        </w:rPr>
      </w:pPr>
      <w:r w:rsidRPr="004D56CB">
        <w:rPr>
          <w:rFonts w:ascii="Arial" w:hAnsi="Arial" w:cs="Arial"/>
          <w:sz w:val="22"/>
          <w:szCs w:val="22"/>
        </w:rPr>
        <w:t>Secondary data analysis</w:t>
      </w:r>
    </w:p>
    <w:p w14:paraId="5F5BBB0E" w14:textId="1C37CA42" w:rsidR="00F414ED" w:rsidRPr="004D56CB" w:rsidRDefault="00354ACD" w:rsidP="00B254E4">
      <w:pPr>
        <w:spacing w:line="360" w:lineRule="auto"/>
        <w:jc w:val="both"/>
        <w:rPr>
          <w:rFonts w:ascii="Arial" w:hAnsi="Arial" w:cs="Arial"/>
          <w:sz w:val="22"/>
          <w:szCs w:val="22"/>
        </w:rPr>
      </w:pPr>
      <w:r w:rsidRPr="004D56CB">
        <w:rPr>
          <w:rFonts w:ascii="Arial" w:hAnsi="Arial" w:cs="Arial"/>
          <w:sz w:val="22"/>
          <w:szCs w:val="22"/>
        </w:rPr>
        <w:t>Data were analysed</w:t>
      </w:r>
      <w:r w:rsidR="00D9018D" w:rsidRPr="004D56CB">
        <w:rPr>
          <w:rFonts w:ascii="Arial" w:hAnsi="Arial" w:cs="Arial"/>
          <w:sz w:val="22"/>
          <w:szCs w:val="22"/>
        </w:rPr>
        <w:t xml:space="preserve"> from </w:t>
      </w:r>
      <w:r w:rsidR="00BA1FC1" w:rsidRPr="004D56CB">
        <w:rPr>
          <w:rFonts w:ascii="Arial" w:hAnsi="Arial" w:cs="Arial"/>
          <w:sz w:val="22"/>
          <w:szCs w:val="22"/>
        </w:rPr>
        <w:t xml:space="preserve">the </w:t>
      </w:r>
      <w:r w:rsidR="00D9018D" w:rsidRPr="004D56CB">
        <w:rPr>
          <w:rFonts w:ascii="Arial" w:hAnsi="Arial" w:cs="Arial"/>
          <w:sz w:val="22"/>
          <w:szCs w:val="22"/>
        </w:rPr>
        <w:t>GATS 2009 and 2017</w:t>
      </w:r>
      <w:r w:rsidR="005E0CE6" w:rsidRPr="004D56CB">
        <w:rPr>
          <w:rFonts w:ascii="Arial" w:hAnsi="Arial" w:cs="Arial"/>
          <w:sz w:val="22"/>
          <w:szCs w:val="22"/>
        </w:rPr>
        <w:t xml:space="preserve"> to </w:t>
      </w:r>
      <w:r w:rsidR="004B0C52" w:rsidRPr="004D56CB">
        <w:rPr>
          <w:rFonts w:ascii="Arial" w:hAnsi="Arial" w:cs="Arial"/>
          <w:sz w:val="22"/>
          <w:szCs w:val="22"/>
        </w:rPr>
        <w:t xml:space="preserve">compare </w:t>
      </w:r>
      <w:r w:rsidR="00001410" w:rsidRPr="004D56CB">
        <w:rPr>
          <w:rFonts w:ascii="Arial" w:hAnsi="Arial" w:cs="Arial"/>
          <w:sz w:val="22"/>
          <w:szCs w:val="22"/>
        </w:rPr>
        <w:t xml:space="preserve">tobacco </w:t>
      </w:r>
      <w:r w:rsidR="00B865A6" w:rsidRPr="004D56CB">
        <w:rPr>
          <w:rFonts w:ascii="Arial" w:hAnsi="Arial" w:cs="Arial"/>
          <w:sz w:val="22"/>
          <w:szCs w:val="22"/>
        </w:rPr>
        <w:t>(</w:t>
      </w:r>
      <w:r w:rsidR="00A47177" w:rsidRPr="004D56CB">
        <w:rPr>
          <w:rFonts w:ascii="Arial" w:hAnsi="Arial" w:cs="Arial"/>
          <w:sz w:val="22"/>
          <w:szCs w:val="22"/>
        </w:rPr>
        <w:t xml:space="preserve">total and </w:t>
      </w:r>
      <w:r w:rsidR="00B865A6" w:rsidRPr="004D56CB">
        <w:rPr>
          <w:rFonts w:ascii="Arial" w:hAnsi="Arial" w:cs="Arial"/>
          <w:sz w:val="22"/>
          <w:szCs w:val="22"/>
        </w:rPr>
        <w:t xml:space="preserve">prevalence) </w:t>
      </w:r>
      <w:r w:rsidR="004B0C52" w:rsidRPr="004D56CB">
        <w:rPr>
          <w:rFonts w:ascii="Arial" w:hAnsi="Arial" w:cs="Arial"/>
          <w:sz w:val="22"/>
          <w:szCs w:val="22"/>
        </w:rPr>
        <w:t xml:space="preserve">and ST consumption </w:t>
      </w:r>
      <w:r w:rsidR="00CA3FB2" w:rsidRPr="004D56CB">
        <w:rPr>
          <w:rFonts w:ascii="Arial" w:hAnsi="Arial" w:cs="Arial"/>
          <w:sz w:val="22"/>
          <w:szCs w:val="22"/>
        </w:rPr>
        <w:t>(</w:t>
      </w:r>
      <w:r w:rsidR="00A47177" w:rsidRPr="004D56CB">
        <w:rPr>
          <w:rFonts w:ascii="Arial" w:hAnsi="Arial" w:cs="Arial"/>
          <w:sz w:val="22"/>
          <w:szCs w:val="22"/>
        </w:rPr>
        <w:t>total and prevalence</w:t>
      </w:r>
      <w:r w:rsidR="00CA3FB2" w:rsidRPr="004D56CB">
        <w:rPr>
          <w:rFonts w:ascii="Arial" w:hAnsi="Arial" w:cs="Arial"/>
          <w:sz w:val="22"/>
          <w:szCs w:val="22"/>
        </w:rPr>
        <w:t xml:space="preserve">) </w:t>
      </w:r>
      <w:r w:rsidR="00B865A6" w:rsidRPr="004D56CB">
        <w:rPr>
          <w:rFonts w:ascii="Arial" w:hAnsi="Arial" w:cs="Arial"/>
          <w:sz w:val="22"/>
          <w:szCs w:val="22"/>
        </w:rPr>
        <w:t>between the two rounds</w:t>
      </w:r>
      <w:r w:rsidR="00001410" w:rsidRPr="004D56CB">
        <w:rPr>
          <w:rFonts w:ascii="Arial" w:hAnsi="Arial" w:cs="Arial"/>
          <w:sz w:val="22"/>
          <w:szCs w:val="22"/>
        </w:rPr>
        <w:t xml:space="preserve"> </w:t>
      </w:r>
      <w:r w:rsidR="00A61447" w:rsidRPr="004D56CB">
        <w:rPr>
          <w:rFonts w:ascii="Arial" w:hAnsi="Arial" w:cs="Arial"/>
          <w:sz w:val="22"/>
          <w:szCs w:val="22"/>
        </w:rPr>
        <w:t>and compare</w:t>
      </w:r>
      <w:r w:rsidR="007C49E5" w:rsidRPr="004D56CB">
        <w:rPr>
          <w:rFonts w:ascii="Arial" w:hAnsi="Arial" w:cs="Arial"/>
          <w:sz w:val="22"/>
          <w:szCs w:val="22"/>
        </w:rPr>
        <w:t>d</w:t>
      </w:r>
      <w:r w:rsidR="00A61447" w:rsidRPr="004D56CB">
        <w:rPr>
          <w:rFonts w:ascii="Arial" w:hAnsi="Arial" w:cs="Arial"/>
          <w:sz w:val="22"/>
          <w:szCs w:val="22"/>
        </w:rPr>
        <w:t xml:space="preserve"> </w:t>
      </w:r>
      <w:r w:rsidR="00E04C66" w:rsidRPr="004D56CB">
        <w:rPr>
          <w:rFonts w:ascii="Arial" w:hAnsi="Arial" w:cs="Arial"/>
          <w:sz w:val="22"/>
          <w:szCs w:val="22"/>
        </w:rPr>
        <w:t>ST use distribution</w:t>
      </w:r>
      <w:r w:rsidR="00EB485B" w:rsidRPr="004D56CB">
        <w:rPr>
          <w:rFonts w:ascii="Arial" w:hAnsi="Arial" w:cs="Arial"/>
          <w:sz w:val="22"/>
          <w:szCs w:val="22"/>
        </w:rPr>
        <w:t xml:space="preserve"> with combustible tobacco</w:t>
      </w:r>
      <w:r w:rsidR="00A61447" w:rsidRPr="004D56CB">
        <w:rPr>
          <w:rFonts w:ascii="Arial" w:hAnsi="Arial" w:cs="Arial"/>
          <w:sz w:val="22"/>
          <w:szCs w:val="22"/>
        </w:rPr>
        <w:t xml:space="preserve">. </w:t>
      </w:r>
    </w:p>
    <w:p w14:paraId="5D23F45B" w14:textId="77777777" w:rsidR="00F414ED" w:rsidRPr="004D56CB" w:rsidRDefault="00D9018D" w:rsidP="00B254E4">
      <w:pPr>
        <w:pStyle w:val="Heading2"/>
        <w:spacing w:line="360" w:lineRule="auto"/>
        <w:rPr>
          <w:rFonts w:ascii="Arial" w:hAnsi="Arial" w:cs="Arial"/>
          <w:sz w:val="22"/>
          <w:szCs w:val="22"/>
        </w:rPr>
      </w:pPr>
      <w:r w:rsidRPr="004D56CB">
        <w:rPr>
          <w:rFonts w:ascii="Arial" w:hAnsi="Arial" w:cs="Arial"/>
          <w:sz w:val="22"/>
          <w:szCs w:val="22"/>
        </w:rPr>
        <w:t xml:space="preserve">Estimating </w:t>
      </w:r>
      <w:r w:rsidR="00AB5159" w:rsidRPr="004D56CB">
        <w:rPr>
          <w:rFonts w:ascii="Arial" w:hAnsi="Arial" w:cs="Arial"/>
          <w:sz w:val="22"/>
          <w:szCs w:val="22"/>
        </w:rPr>
        <w:t xml:space="preserve">the </w:t>
      </w:r>
      <w:r w:rsidRPr="004D56CB">
        <w:rPr>
          <w:rFonts w:ascii="Arial" w:hAnsi="Arial" w:cs="Arial"/>
          <w:sz w:val="22"/>
          <w:szCs w:val="22"/>
        </w:rPr>
        <w:t>disease burden</w:t>
      </w:r>
    </w:p>
    <w:p w14:paraId="239C270C" w14:textId="27C6643E" w:rsidR="00232A4C" w:rsidRPr="004D56CB" w:rsidRDefault="00FC6A97" w:rsidP="00232A4C">
      <w:pPr>
        <w:pBdr>
          <w:top w:val="nil"/>
          <w:left w:val="nil"/>
          <w:bottom w:val="nil"/>
          <w:right w:val="nil"/>
          <w:between w:val="nil"/>
        </w:pBdr>
        <w:spacing w:line="360" w:lineRule="auto"/>
        <w:jc w:val="both"/>
        <w:rPr>
          <w:rFonts w:ascii="Arial" w:hAnsi="Arial" w:cs="Arial"/>
          <w:sz w:val="22"/>
          <w:szCs w:val="22"/>
        </w:rPr>
      </w:pPr>
      <w:r w:rsidRPr="004D56CB">
        <w:rPr>
          <w:rFonts w:ascii="Arial" w:hAnsi="Arial" w:cs="Arial"/>
          <w:sz w:val="22"/>
          <w:szCs w:val="22"/>
        </w:rPr>
        <w:t xml:space="preserve">As part of estimating </w:t>
      </w:r>
      <w:r w:rsidR="00AB5159" w:rsidRPr="004D56CB">
        <w:rPr>
          <w:rFonts w:ascii="Arial" w:hAnsi="Arial" w:cs="Arial"/>
          <w:sz w:val="22"/>
          <w:szCs w:val="22"/>
        </w:rPr>
        <w:t xml:space="preserve">the </w:t>
      </w:r>
      <w:r w:rsidRPr="004D56CB">
        <w:rPr>
          <w:rFonts w:ascii="Arial" w:hAnsi="Arial" w:cs="Arial"/>
          <w:sz w:val="22"/>
          <w:szCs w:val="22"/>
        </w:rPr>
        <w:t xml:space="preserve">global burden of </w:t>
      </w:r>
      <w:r w:rsidR="00606414" w:rsidRPr="004D56CB">
        <w:rPr>
          <w:rFonts w:ascii="Arial" w:hAnsi="Arial" w:cs="Arial"/>
          <w:sz w:val="22"/>
          <w:szCs w:val="22"/>
        </w:rPr>
        <w:t>ST</w:t>
      </w:r>
      <w:r w:rsidRPr="004D56CB">
        <w:rPr>
          <w:rFonts w:ascii="Arial" w:hAnsi="Arial" w:cs="Arial"/>
          <w:sz w:val="22"/>
          <w:szCs w:val="22"/>
        </w:rPr>
        <w:t xml:space="preserve"> use</w:t>
      </w:r>
      <w:r w:rsidR="00606414" w:rsidRPr="004D56CB">
        <w:rPr>
          <w:rFonts w:ascii="Arial" w:hAnsi="Arial" w:cs="Arial"/>
          <w:sz w:val="22"/>
          <w:szCs w:val="22"/>
        </w:rPr>
        <w:t xml:space="preserve"> in 127 countries</w:t>
      </w:r>
      <w:r w:rsidR="001A77F3" w:rsidRPr="004D56CB">
        <w:rPr>
          <w:rFonts w:ascii="Arial" w:hAnsi="Arial" w:cs="Arial"/>
          <w:sz w:val="22"/>
          <w:szCs w:val="22"/>
        </w:rPr>
        <w:t xml:space="preserve"> </w:t>
      </w:r>
      <w:r w:rsidR="001A77F3" w:rsidRPr="004D56CB">
        <w:rPr>
          <w:rFonts w:ascii="Arial" w:hAnsi="Arial" w:cs="Arial"/>
          <w:sz w:val="22"/>
        </w:rPr>
        <w:t>[12]</w:t>
      </w:r>
      <w:r w:rsidR="00464BAB" w:rsidRPr="004D56CB">
        <w:rPr>
          <w:rFonts w:ascii="Arial" w:hAnsi="Arial" w:cs="Arial"/>
          <w:sz w:val="22"/>
        </w:rPr>
        <w:t>]</w:t>
      </w:r>
      <w:r w:rsidR="00412E8D" w:rsidRPr="004D56CB">
        <w:rPr>
          <w:rFonts w:ascii="Arial" w:hAnsi="Arial" w:cs="Arial"/>
          <w:sz w:val="22"/>
          <w:szCs w:val="22"/>
        </w:rPr>
        <w:t>,</w:t>
      </w:r>
      <w:r w:rsidR="0005210B" w:rsidRPr="004D56CB">
        <w:rPr>
          <w:rFonts w:ascii="Arial" w:hAnsi="Arial" w:cs="Arial"/>
          <w:sz w:val="22"/>
          <w:szCs w:val="22"/>
        </w:rPr>
        <w:t xml:space="preserve"> </w:t>
      </w:r>
      <w:r w:rsidR="00E52240" w:rsidRPr="004D56CB">
        <w:rPr>
          <w:rFonts w:ascii="Arial" w:hAnsi="Arial" w:cs="Arial"/>
          <w:sz w:val="22"/>
          <w:szCs w:val="22"/>
        </w:rPr>
        <w:t>data w</w:t>
      </w:r>
      <w:r w:rsidR="0049519C" w:rsidRPr="004D56CB">
        <w:rPr>
          <w:rFonts w:ascii="Arial" w:hAnsi="Arial" w:cs="Arial"/>
          <w:sz w:val="22"/>
          <w:szCs w:val="22"/>
        </w:rPr>
        <w:t>ere</w:t>
      </w:r>
      <w:r w:rsidR="00E52240" w:rsidRPr="004D56CB">
        <w:rPr>
          <w:rFonts w:ascii="Arial" w:hAnsi="Arial" w:cs="Arial"/>
          <w:sz w:val="22"/>
          <w:szCs w:val="22"/>
        </w:rPr>
        <w:t xml:space="preserve"> extracted for Bangladesh to calculate </w:t>
      </w:r>
      <w:r w:rsidR="00382ACF" w:rsidRPr="004D56CB">
        <w:rPr>
          <w:rFonts w:ascii="Arial" w:hAnsi="Arial" w:cs="Arial"/>
          <w:sz w:val="22"/>
          <w:szCs w:val="22"/>
        </w:rPr>
        <w:t>t</w:t>
      </w:r>
      <w:r w:rsidR="00D9018D" w:rsidRPr="004D56CB">
        <w:rPr>
          <w:rFonts w:ascii="Arial" w:hAnsi="Arial" w:cs="Arial"/>
          <w:sz w:val="22"/>
          <w:szCs w:val="22"/>
        </w:rPr>
        <w:t xml:space="preserve">he disease burden due to ST use among adults. </w:t>
      </w:r>
      <w:r w:rsidR="00E924AF" w:rsidRPr="004D56CB">
        <w:rPr>
          <w:rFonts w:ascii="Arial" w:hAnsi="Arial" w:cs="Arial"/>
          <w:sz w:val="22"/>
          <w:szCs w:val="22"/>
        </w:rPr>
        <w:t>F</w:t>
      </w:r>
      <w:r w:rsidR="00D9018D" w:rsidRPr="004D56CB">
        <w:rPr>
          <w:rFonts w:ascii="Arial" w:hAnsi="Arial" w:cs="Arial"/>
          <w:sz w:val="22"/>
          <w:szCs w:val="22"/>
        </w:rPr>
        <w:t>irst</w:t>
      </w:r>
      <w:r w:rsidR="00E924AF" w:rsidRPr="004D56CB">
        <w:rPr>
          <w:rFonts w:ascii="Arial" w:hAnsi="Arial" w:cs="Arial"/>
          <w:sz w:val="22"/>
          <w:szCs w:val="22"/>
        </w:rPr>
        <w:t>,</w:t>
      </w:r>
      <w:r w:rsidR="00D9018D" w:rsidRPr="004D56CB">
        <w:rPr>
          <w:rFonts w:ascii="Arial" w:hAnsi="Arial" w:cs="Arial"/>
          <w:sz w:val="22"/>
          <w:szCs w:val="22"/>
        </w:rPr>
        <w:t xml:space="preserve"> </w:t>
      </w:r>
      <w:r w:rsidR="00AB5159" w:rsidRPr="004D56CB">
        <w:rPr>
          <w:rFonts w:ascii="Arial" w:hAnsi="Arial" w:cs="Arial"/>
          <w:sz w:val="22"/>
          <w:szCs w:val="22"/>
        </w:rPr>
        <w:t xml:space="preserve">the </w:t>
      </w:r>
      <w:r w:rsidR="00D9018D" w:rsidRPr="004D56CB">
        <w:rPr>
          <w:rFonts w:ascii="Arial" w:hAnsi="Arial" w:cs="Arial"/>
          <w:sz w:val="22"/>
          <w:szCs w:val="22"/>
        </w:rPr>
        <w:t>country-specific prevalence of ST use in both men and women in Banglades</w:t>
      </w:r>
      <w:r w:rsidR="0072446C" w:rsidRPr="004D56CB">
        <w:rPr>
          <w:rFonts w:ascii="Arial" w:hAnsi="Arial" w:cs="Arial"/>
          <w:sz w:val="22"/>
          <w:szCs w:val="22"/>
        </w:rPr>
        <w:t>h</w:t>
      </w:r>
      <w:r w:rsidR="00E924AF" w:rsidRPr="004D56CB">
        <w:rPr>
          <w:rFonts w:ascii="Arial" w:hAnsi="Arial" w:cs="Arial"/>
          <w:sz w:val="22"/>
          <w:szCs w:val="22"/>
        </w:rPr>
        <w:t xml:space="preserve"> was identified</w:t>
      </w:r>
      <w:r w:rsidR="001417C5" w:rsidRPr="004D56CB">
        <w:rPr>
          <w:rFonts w:ascii="Arial" w:hAnsi="Arial" w:cs="Arial"/>
          <w:sz w:val="22"/>
          <w:szCs w:val="22"/>
        </w:rPr>
        <w:t xml:space="preserve">. </w:t>
      </w:r>
      <w:r w:rsidR="00F82616" w:rsidRPr="004D56CB">
        <w:rPr>
          <w:rFonts w:ascii="Arial" w:hAnsi="Arial" w:cs="Arial"/>
          <w:sz w:val="22"/>
          <w:szCs w:val="22"/>
        </w:rPr>
        <w:t>Then, u</w:t>
      </w:r>
      <w:r w:rsidR="0072446C" w:rsidRPr="004D56CB">
        <w:rPr>
          <w:rFonts w:ascii="Arial" w:hAnsi="Arial" w:cs="Arial"/>
          <w:sz w:val="22"/>
          <w:szCs w:val="22"/>
        </w:rPr>
        <w:t>sing</w:t>
      </w:r>
      <w:r w:rsidR="00D9018D" w:rsidRPr="004D56CB">
        <w:rPr>
          <w:rFonts w:ascii="Arial" w:hAnsi="Arial" w:cs="Arial"/>
          <w:sz w:val="22"/>
          <w:szCs w:val="22"/>
        </w:rPr>
        <w:t xml:space="preserve"> </w:t>
      </w:r>
      <w:r w:rsidR="006B1B56" w:rsidRPr="004D56CB">
        <w:rPr>
          <w:rFonts w:ascii="Arial" w:hAnsi="Arial" w:cs="Arial"/>
          <w:sz w:val="22"/>
          <w:szCs w:val="22"/>
        </w:rPr>
        <w:t>th</w:t>
      </w:r>
      <w:r w:rsidR="0072446C" w:rsidRPr="004D56CB">
        <w:rPr>
          <w:rFonts w:ascii="Arial" w:hAnsi="Arial" w:cs="Arial"/>
          <w:sz w:val="22"/>
          <w:szCs w:val="22"/>
        </w:rPr>
        <w:t xml:space="preserve">e prevalence </w:t>
      </w:r>
      <w:r w:rsidR="00DB0899" w:rsidRPr="004D56CB">
        <w:rPr>
          <w:rFonts w:ascii="Arial" w:hAnsi="Arial" w:cs="Arial"/>
          <w:sz w:val="22"/>
          <w:szCs w:val="22"/>
        </w:rPr>
        <w:t xml:space="preserve">estimates </w:t>
      </w:r>
      <w:r w:rsidR="0072446C" w:rsidRPr="004D56CB">
        <w:rPr>
          <w:rFonts w:ascii="Arial" w:hAnsi="Arial" w:cs="Arial"/>
          <w:sz w:val="22"/>
          <w:szCs w:val="22"/>
        </w:rPr>
        <w:t>and</w:t>
      </w:r>
      <w:r w:rsidR="006B1B56" w:rsidRPr="004D56CB">
        <w:rPr>
          <w:rFonts w:ascii="Arial" w:hAnsi="Arial" w:cs="Arial"/>
          <w:sz w:val="22"/>
          <w:szCs w:val="22"/>
        </w:rPr>
        <w:t xml:space="preserve"> </w:t>
      </w:r>
      <w:r w:rsidR="00F82616" w:rsidRPr="004D56CB">
        <w:rPr>
          <w:rFonts w:ascii="Arial" w:hAnsi="Arial" w:cs="Arial"/>
          <w:sz w:val="22"/>
          <w:szCs w:val="22"/>
        </w:rPr>
        <w:t>known</w:t>
      </w:r>
      <w:r w:rsidR="0072446C" w:rsidRPr="004D56CB">
        <w:rPr>
          <w:rFonts w:ascii="Arial" w:hAnsi="Arial" w:cs="Arial"/>
          <w:sz w:val="22"/>
          <w:szCs w:val="22"/>
        </w:rPr>
        <w:t xml:space="preserve"> </w:t>
      </w:r>
      <w:r w:rsidR="006B1B56" w:rsidRPr="004D56CB">
        <w:rPr>
          <w:rFonts w:ascii="Arial" w:hAnsi="Arial" w:cs="Arial"/>
          <w:sz w:val="22"/>
          <w:szCs w:val="22"/>
        </w:rPr>
        <w:t>disease risk (relative risks/odds ratios)</w:t>
      </w:r>
      <w:r w:rsidR="0072446C" w:rsidRPr="004D56CB">
        <w:rPr>
          <w:rFonts w:ascii="Arial" w:hAnsi="Arial" w:cs="Arial"/>
          <w:sz w:val="22"/>
          <w:szCs w:val="22"/>
        </w:rPr>
        <w:t xml:space="preserve"> estimates</w:t>
      </w:r>
      <w:r w:rsidR="006B1B56" w:rsidRPr="004D56CB">
        <w:rPr>
          <w:rFonts w:ascii="Arial" w:hAnsi="Arial" w:cs="Arial"/>
          <w:sz w:val="22"/>
          <w:szCs w:val="22"/>
        </w:rPr>
        <w:t xml:space="preserve"> </w:t>
      </w:r>
      <w:r w:rsidR="00D9018D" w:rsidRPr="004D56CB">
        <w:rPr>
          <w:rFonts w:ascii="Arial" w:hAnsi="Arial" w:cs="Arial"/>
          <w:sz w:val="22"/>
          <w:szCs w:val="22"/>
        </w:rPr>
        <w:t>for oral, pharyngeal</w:t>
      </w:r>
      <w:r w:rsidR="00F82616" w:rsidRPr="004D56CB">
        <w:rPr>
          <w:rFonts w:ascii="Arial" w:hAnsi="Arial" w:cs="Arial"/>
          <w:sz w:val="22"/>
          <w:szCs w:val="22"/>
        </w:rPr>
        <w:t>,</w:t>
      </w:r>
      <w:r w:rsidR="00D9018D" w:rsidRPr="004D56CB">
        <w:rPr>
          <w:rFonts w:ascii="Arial" w:hAnsi="Arial" w:cs="Arial"/>
          <w:sz w:val="22"/>
          <w:szCs w:val="22"/>
        </w:rPr>
        <w:t xml:space="preserve"> and oesophageal cancers and cardiovascular diseases</w:t>
      </w:r>
      <w:r w:rsidR="00412E8D" w:rsidRPr="004D56CB">
        <w:rPr>
          <w:rFonts w:ascii="Arial" w:hAnsi="Arial" w:cs="Arial"/>
          <w:sz w:val="22"/>
          <w:szCs w:val="22"/>
        </w:rPr>
        <w:t xml:space="preserve"> </w:t>
      </w:r>
      <w:r w:rsidR="00464BAB" w:rsidRPr="004D56CB">
        <w:rPr>
          <w:rFonts w:ascii="Arial" w:hAnsi="Arial" w:cs="Arial"/>
          <w:sz w:val="22"/>
        </w:rPr>
        <w:t>[12]</w:t>
      </w:r>
      <w:r w:rsidR="00412E8D" w:rsidRPr="004D56CB">
        <w:rPr>
          <w:rFonts w:ascii="Arial" w:hAnsi="Arial" w:cs="Arial"/>
          <w:sz w:val="22"/>
          <w:szCs w:val="22"/>
        </w:rPr>
        <w:t>,</w:t>
      </w:r>
      <w:r w:rsidR="0072446C" w:rsidRPr="004D56CB">
        <w:rPr>
          <w:rFonts w:ascii="Arial" w:hAnsi="Arial" w:cs="Arial"/>
          <w:sz w:val="22"/>
          <w:szCs w:val="22"/>
        </w:rPr>
        <w:t xml:space="preserve"> </w:t>
      </w:r>
      <w:r w:rsidR="00D9018D" w:rsidRPr="004D56CB">
        <w:rPr>
          <w:rFonts w:ascii="Arial" w:hAnsi="Arial" w:cs="Arial"/>
          <w:sz w:val="22"/>
          <w:szCs w:val="22"/>
        </w:rPr>
        <w:t xml:space="preserve">the </w:t>
      </w:r>
      <w:r w:rsidR="00E04C66" w:rsidRPr="004D56CB">
        <w:rPr>
          <w:rFonts w:ascii="Arial" w:hAnsi="Arial" w:cs="Arial"/>
          <w:sz w:val="22"/>
          <w:szCs w:val="22"/>
        </w:rPr>
        <w:t>attributable population</w:t>
      </w:r>
      <w:r w:rsidR="00D9018D" w:rsidRPr="004D56CB">
        <w:rPr>
          <w:rFonts w:ascii="Arial" w:hAnsi="Arial" w:cs="Arial"/>
          <w:sz w:val="22"/>
          <w:szCs w:val="22"/>
        </w:rPr>
        <w:t xml:space="preserve"> fraction (PAF) </w:t>
      </w:r>
      <w:r w:rsidR="00354ACD" w:rsidRPr="004D56CB">
        <w:rPr>
          <w:rFonts w:ascii="Arial" w:hAnsi="Arial" w:cs="Arial"/>
          <w:sz w:val="22"/>
          <w:szCs w:val="22"/>
        </w:rPr>
        <w:t xml:space="preserve">was estimated </w:t>
      </w:r>
      <w:r w:rsidR="00D9018D" w:rsidRPr="004D56CB">
        <w:rPr>
          <w:rFonts w:ascii="Arial" w:hAnsi="Arial" w:cs="Arial"/>
          <w:sz w:val="22"/>
          <w:szCs w:val="22"/>
        </w:rPr>
        <w:t>for ST use for Bangladesh.</w:t>
      </w:r>
      <w:r w:rsidR="00232A4C" w:rsidRPr="004D56CB">
        <w:t xml:space="preserve"> </w:t>
      </w:r>
      <w:r w:rsidR="00232A4C" w:rsidRPr="004D56CB">
        <w:rPr>
          <w:rFonts w:ascii="Arial" w:hAnsi="Arial" w:cs="Arial"/>
          <w:sz w:val="22"/>
          <w:szCs w:val="22"/>
        </w:rPr>
        <w:t xml:space="preserve">PAF </w:t>
      </w:r>
      <w:r w:rsidR="004D23B9">
        <w:rPr>
          <w:rFonts w:ascii="Arial" w:hAnsi="Arial" w:cs="Arial"/>
          <w:sz w:val="22"/>
          <w:szCs w:val="22"/>
        </w:rPr>
        <w:t>would be</w:t>
      </w:r>
      <w:r w:rsidR="00232A4C" w:rsidRPr="004D56CB">
        <w:rPr>
          <w:rFonts w:ascii="Arial" w:hAnsi="Arial" w:cs="Arial"/>
          <w:sz w:val="22"/>
          <w:szCs w:val="22"/>
        </w:rPr>
        <w:t xml:space="preserve"> the proportional reduction in disease or mortality if exposure were reduced to zero</w:t>
      </w:r>
      <w:r w:rsidR="006B3F6D" w:rsidRPr="004D56CB">
        <w:rPr>
          <w:rFonts w:ascii="Arial" w:hAnsi="Arial" w:cs="Arial"/>
          <w:sz w:val="22"/>
          <w:szCs w:val="22"/>
        </w:rPr>
        <w:t xml:space="preserve"> </w:t>
      </w:r>
      <w:r w:rsidR="006B3F6D" w:rsidRPr="004D56CB">
        <w:rPr>
          <w:rFonts w:ascii="Arial" w:hAnsi="Arial" w:cs="Arial"/>
          <w:sz w:val="22"/>
        </w:rPr>
        <w:t>[13,14]</w:t>
      </w:r>
      <w:r w:rsidR="00232A4C" w:rsidRPr="004D56CB">
        <w:rPr>
          <w:rFonts w:ascii="Arial" w:hAnsi="Arial" w:cs="Arial"/>
          <w:sz w:val="22"/>
          <w:szCs w:val="22"/>
        </w:rPr>
        <w:t>. PAF was estimated for each disease for each country for both males and females, using the following formula:</w:t>
      </w:r>
    </w:p>
    <w:p w14:paraId="3892CBA8" w14:textId="77777777" w:rsidR="00232A4C" w:rsidRPr="004D56CB" w:rsidRDefault="00232A4C" w:rsidP="00232A4C">
      <w:pPr>
        <w:pBdr>
          <w:top w:val="nil"/>
          <w:left w:val="nil"/>
          <w:bottom w:val="nil"/>
          <w:right w:val="nil"/>
          <w:between w:val="nil"/>
        </w:pBdr>
        <w:spacing w:line="360" w:lineRule="auto"/>
        <w:jc w:val="both"/>
        <w:rPr>
          <w:rFonts w:ascii="Arial" w:hAnsi="Arial" w:cs="Arial"/>
          <w:sz w:val="22"/>
          <w:szCs w:val="22"/>
        </w:rPr>
      </w:pPr>
    </w:p>
    <w:p w14:paraId="6FE6095C" w14:textId="77777777" w:rsidR="00232A4C" w:rsidRPr="004D56CB" w:rsidRDefault="00232A4C" w:rsidP="00232A4C">
      <w:pPr>
        <w:pBdr>
          <w:top w:val="nil"/>
          <w:left w:val="nil"/>
          <w:bottom w:val="nil"/>
          <w:right w:val="nil"/>
          <w:between w:val="nil"/>
        </w:pBdr>
        <w:spacing w:line="360" w:lineRule="auto"/>
        <w:jc w:val="both"/>
        <w:rPr>
          <w:rFonts w:ascii="Arial" w:hAnsi="Arial" w:cs="Arial"/>
          <w:sz w:val="22"/>
          <w:szCs w:val="22"/>
        </w:rPr>
      </w:pPr>
      <w:r w:rsidRPr="004D56CB">
        <w:rPr>
          <w:rFonts w:ascii="Arial" w:hAnsi="Arial" w:cs="Arial"/>
          <w:sz w:val="22"/>
          <w:szCs w:val="22"/>
        </w:rPr>
        <w:t>PAF = Pe(RRe–1)/[1 + Pe(RRe–1)],</w:t>
      </w:r>
    </w:p>
    <w:p w14:paraId="5F8B048B" w14:textId="540274D0" w:rsidR="00232A4C" w:rsidRPr="004D56CB" w:rsidRDefault="00232A4C" w:rsidP="00232A4C">
      <w:pPr>
        <w:pBdr>
          <w:top w:val="nil"/>
          <w:left w:val="nil"/>
          <w:bottom w:val="nil"/>
          <w:right w:val="nil"/>
          <w:between w:val="nil"/>
        </w:pBdr>
        <w:spacing w:line="360" w:lineRule="auto"/>
        <w:jc w:val="both"/>
        <w:rPr>
          <w:rFonts w:ascii="Arial" w:hAnsi="Arial" w:cs="Arial"/>
          <w:sz w:val="22"/>
          <w:szCs w:val="22"/>
        </w:rPr>
      </w:pPr>
      <w:r w:rsidRPr="004D56CB">
        <w:rPr>
          <w:rFonts w:ascii="Arial" w:hAnsi="Arial" w:cs="Arial"/>
          <w:sz w:val="22"/>
          <w:szCs w:val="22"/>
        </w:rPr>
        <w:t xml:space="preserve">Here, Pe = prevalence of smokeless tobacco uses in that population and </w:t>
      </w:r>
    </w:p>
    <w:p w14:paraId="0174FAAC" w14:textId="32A107BA" w:rsidR="00232A4C" w:rsidRPr="004D56CB" w:rsidRDefault="00232A4C" w:rsidP="00232A4C">
      <w:pPr>
        <w:pBdr>
          <w:top w:val="nil"/>
          <w:left w:val="nil"/>
          <w:bottom w:val="nil"/>
          <w:right w:val="nil"/>
          <w:between w:val="nil"/>
        </w:pBdr>
        <w:spacing w:line="360" w:lineRule="auto"/>
        <w:jc w:val="both"/>
        <w:rPr>
          <w:rFonts w:ascii="Arial" w:hAnsi="Arial" w:cs="Arial"/>
          <w:sz w:val="22"/>
          <w:szCs w:val="22"/>
        </w:rPr>
      </w:pPr>
      <w:r w:rsidRPr="004D56CB">
        <w:rPr>
          <w:rFonts w:ascii="Arial" w:hAnsi="Arial" w:cs="Arial"/>
          <w:sz w:val="22"/>
          <w:szCs w:val="22"/>
        </w:rPr>
        <w:t>RRe = relative risk of disease (e.g. mouth cancer) due to SLT use</w:t>
      </w:r>
    </w:p>
    <w:p w14:paraId="578D5089" w14:textId="77777777" w:rsidR="00232A4C" w:rsidRPr="004D56CB" w:rsidRDefault="00232A4C" w:rsidP="00B254E4">
      <w:pPr>
        <w:pBdr>
          <w:top w:val="nil"/>
          <w:left w:val="nil"/>
          <w:bottom w:val="nil"/>
          <w:right w:val="nil"/>
          <w:between w:val="nil"/>
        </w:pBdr>
        <w:spacing w:line="360" w:lineRule="auto"/>
        <w:jc w:val="both"/>
        <w:rPr>
          <w:rFonts w:ascii="Arial" w:hAnsi="Arial" w:cs="Arial"/>
          <w:sz w:val="22"/>
          <w:szCs w:val="22"/>
        </w:rPr>
      </w:pPr>
    </w:p>
    <w:p w14:paraId="47623E6B" w14:textId="191CAF97" w:rsidR="00FC11DD" w:rsidRPr="004D56CB" w:rsidRDefault="00D9018D" w:rsidP="00B254E4">
      <w:pPr>
        <w:pBdr>
          <w:top w:val="nil"/>
          <w:left w:val="nil"/>
          <w:bottom w:val="nil"/>
          <w:right w:val="nil"/>
          <w:between w:val="nil"/>
        </w:pBdr>
        <w:spacing w:line="360" w:lineRule="auto"/>
        <w:jc w:val="both"/>
        <w:rPr>
          <w:rFonts w:ascii="Arial" w:hAnsi="Arial" w:cs="Arial"/>
          <w:sz w:val="22"/>
          <w:szCs w:val="22"/>
        </w:rPr>
      </w:pPr>
      <w:r w:rsidRPr="004D56CB">
        <w:rPr>
          <w:rFonts w:ascii="Arial" w:hAnsi="Arial" w:cs="Arial"/>
          <w:sz w:val="22"/>
          <w:szCs w:val="22"/>
        </w:rPr>
        <w:t xml:space="preserve">Finally, these PAFs </w:t>
      </w:r>
      <w:r w:rsidR="00354ACD" w:rsidRPr="004D56CB">
        <w:rPr>
          <w:rFonts w:ascii="Arial" w:hAnsi="Arial" w:cs="Arial"/>
          <w:sz w:val="22"/>
          <w:szCs w:val="22"/>
        </w:rPr>
        <w:t xml:space="preserve">were used </w:t>
      </w:r>
      <w:r w:rsidRPr="004D56CB">
        <w:rPr>
          <w:rFonts w:ascii="Arial" w:hAnsi="Arial" w:cs="Arial"/>
          <w:sz w:val="22"/>
          <w:szCs w:val="22"/>
        </w:rPr>
        <w:t>to estimate the disease burden attributable to ST for Bangladesh as a proportion of the deaths reported in the 2017 Global Burden of Disease study and Disability</w:t>
      </w:r>
      <w:r w:rsidR="00E04C66" w:rsidRPr="004D56CB">
        <w:rPr>
          <w:rFonts w:ascii="Arial" w:hAnsi="Arial" w:cs="Arial"/>
          <w:sz w:val="22"/>
          <w:szCs w:val="22"/>
        </w:rPr>
        <w:t>-</w:t>
      </w:r>
      <w:r w:rsidRPr="004D56CB">
        <w:rPr>
          <w:rFonts w:ascii="Arial" w:hAnsi="Arial" w:cs="Arial"/>
          <w:sz w:val="22"/>
          <w:szCs w:val="22"/>
        </w:rPr>
        <w:t>Adjusted Life Years (DALYs) lost.</w:t>
      </w:r>
      <w:r w:rsidR="00252EE2" w:rsidRPr="004D56CB">
        <w:rPr>
          <w:rFonts w:ascii="Arial" w:hAnsi="Arial" w:cs="Arial"/>
          <w:sz w:val="22"/>
          <w:szCs w:val="22"/>
        </w:rPr>
        <w:t xml:space="preserve"> </w:t>
      </w:r>
      <w:r w:rsidR="00E924AF" w:rsidRPr="004D56CB">
        <w:rPr>
          <w:rFonts w:ascii="Arial" w:hAnsi="Arial" w:cs="Arial"/>
          <w:sz w:val="22"/>
          <w:szCs w:val="22"/>
        </w:rPr>
        <w:t xml:space="preserve">Finally, </w:t>
      </w:r>
      <w:r w:rsidR="00B66BDA" w:rsidRPr="004D56CB">
        <w:rPr>
          <w:rFonts w:ascii="Arial" w:hAnsi="Arial" w:cs="Arial"/>
          <w:sz w:val="22"/>
          <w:szCs w:val="22"/>
        </w:rPr>
        <w:t>the findings</w:t>
      </w:r>
      <w:r w:rsidR="00E924AF" w:rsidRPr="004D56CB">
        <w:rPr>
          <w:rFonts w:ascii="Arial" w:hAnsi="Arial" w:cs="Arial"/>
          <w:sz w:val="22"/>
          <w:szCs w:val="22"/>
        </w:rPr>
        <w:t xml:space="preserve"> were compared</w:t>
      </w:r>
      <w:r w:rsidR="00B66BDA" w:rsidRPr="004D56CB">
        <w:rPr>
          <w:rFonts w:ascii="Arial" w:hAnsi="Arial" w:cs="Arial"/>
          <w:sz w:val="22"/>
          <w:szCs w:val="22"/>
        </w:rPr>
        <w:t xml:space="preserve"> </w:t>
      </w:r>
      <w:r w:rsidR="00252EE2" w:rsidRPr="004D56CB">
        <w:rPr>
          <w:rFonts w:ascii="Arial" w:hAnsi="Arial" w:cs="Arial"/>
          <w:sz w:val="22"/>
          <w:szCs w:val="22"/>
        </w:rPr>
        <w:t xml:space="preserve">with </w:t>
      </w:r>
      <w:r w:rsidR="006C2835" w:rsidRPr="004D56CB">
        <w:rPr>
          <w:rFonts w:ascii="Arial" w:hAnsi="Arial" w:cs="Arial"/>
          <w:sz w:val="22"/>
          <w:szCs w:val="22"/>
        </w:rPr>
        <w:t xml:space="preserve">similar </w:t>
      </w:r>
      <w:r w:rsidR="00581CBE" w:rsidRPr="004D56CB">
        <w:rPr>
          <w:rFonts w:ascii="Arial" w:hAnsi="Arial" w:cs="Arial"/>
          <w:sz w:val="22"/>
          <w:szCs w:val="22"/>
        </w:rPr>
        <w:t>estimat</w:t>
      </w:r>
      <w:r w:rsidR="0049519C" w:rsidRPr="004D56CB">
        <w:rPr>
          <w:rFonts w:ascii="Arial" w:hAnsi="Arial" w:cs="Arial"/>
          <w:sz w:val="22"/>
          <w:szCs w:val="22"/>
        </w:rPr>
        <w:t>es</w:t>
      </w:r>
      <w:r w:rsidR="00B66BDA" w:rsidRPr="004D56CB">
        <w:rPr>
          <w:rFonts w:ascii="Arial" w:hAnsi="Arial" w:cs="Arial"/>
          <w:sz w:val="22"/>
          <w:szCs w:val="22"/>
        </w:rPr>
        <w:t xml:space="preserve"> </w:t>
      </w:r>
      <w:r w:rsidR="006C2835" w:rsidRPr="004D56CB">
        <w:rPr>
          <w:rFonts w:ascii="Arial" w:hAnsi="Arial" w:cs="Arial"/>
          <w:sz w:val="22"/>
          <w:szCs w:val="22"/>
        </w:rPr>
        <w:t xml:space="preserve">using 2010 data </w:t>
      </w:r>
      <w:r w:rsidR="00B66BDA" w:rsidRPr="004D56CB">
        <w:rPr>
          <w:rFonts w:ascii="Arial" w:hAnsi="Arial" w:cs="Arial"/>
          <w:sz w:val="22"/>
          <w:szCs w:val="22"/>
        </w:rPr>
        <w:t xml:space="preserve">reported by </w:t>
      </w:r>
      <w:r w:rsidR="0049519C" w:rsidRPr="004D56CB">
        <w:rPr>
          <w:rFonts w:ascii="Arial" w:hAnsi="Arial" w:cs="Arial"/>
          <w:sz w:val="22"/>
          <w:szCs w:val="22"/>
        </w:rPr>
        <w:t xml:space="preserve">Siddiqi </w:t>
      </w:r>
      <w:r w:rsidR="00B66BDA" w:rsidRPr="004D56CB">
        <w:rPr>
          <w:rFonts w:ascii="Arial" w:hAnsi="Arial" w:cs="Arial"/>
          <w:sz w:val="22"/>
          <w:szCs w:val="22"/>
        </w:rPr>
        <w:t>et al</w:t>
      </w:r>
      <w:r w:rsidR="00E04C66" w:rsidRPr="004D56CB">
        <w:rPr>
          <w:rFonts w:ascii="Arial" w:hAnsi="Arial" w:cs="Arial"/>
          <w:sz w:val="22"/>
          <w:szCs w:val="22"/>
        </w:rPr>
        <w:t>.</w:t>
      </w:r>
      <w:r w:rsidR="00B66BDA" w:rsidRPr="004D56CB">
        <w:rPr>
          <w:rFonts w:ascii="Arial" w:hAnsi="Arial" w:cs="Arial"/>
          <w:sz w:val="22"/>
          <w:szCs w:val="22"/>
        </w:rPr>
        <w:t>, 2015</w:t>
      </w:r>
      <w:r w:rsidR="00412E8D" w:rsidRPr="004D56CB">
        <w:rPr>
          <w:rFonts w:ascii="Arial" w:hAnsi="Arial" w:cs="Arial"/>
          <w:sz w:val="22"/>
          <w:szCs w:val="22"/>
        </w:rPr>
        <w:t xml:space="preserve"> </w:t>
      </w:r>
      <w:r w:rsidR="001A77F3" w:rsidRPr="004D56CB">
        <w:rPr>
          <w:rFonts w:ascii="Arial" w:hAnsi="Arial" w:cs="Arial"/>
          <w:sz w:val="22"/>
        </w:rPr>
        <w:t>[2]</w:t>
      </w:r>
      <w:r w:rsidR="00464BAB" w:rsidRPr="004D56CB">
        <w:rPr>
          <w:rFonts w:ascii="Arial" w:hAnsi="Arial" w:cs="Arial"/>
          <w:sz w:val="22"/>
          <w:szCs w:val="22"/>
        </w:rPr>
        <w:t>.</w:t>
      </w:r>
      <w:r w:rsidR="00252EE2" w:rsidRPr="004D56CB">
        <w:rPr>
          <w:rFonts w:ascii="Arial" w:hAnsi="Arial" w:cs="Arial"/>
          <w:sz w:val="22"/>
          <w:szCs w:val="22"/>
        </w:rPr>
        <w:t xml:space="preserve"> </w:t>
      </w:r>
    </w:p>
    <w:p w14:paraId="1F017646" w14:textId="77777777" w:rsidR="00FC11DD" w:rsidRPr="004D56CB" w:rsidRDefault="00FC11DD" w:rsidP="00B254E4">
      <w:pPr>
        <w:pStyle w:val="Heading2"/>
        <w:spacing w:line="360" w:lineRule="auto"/>
        <w:rPr>
          <w:rFonts w:ascii="Arial" w:hAnsi="Arial" w:cs="Arial"/>
          <w:sz w:val="22"/>
          <w:szCs w:val="22"/>
        </w:rPr>
      </w:pPr>
      <w:r w:rsidRPr="004D56CB">
        <w:rPr>
          <w:rFonts w:ascii="Arial" w:hAnsi="Arial" w:cs="Arial"/>
          <w:sz w:val="22"/>
          <w:szCs w:val="22"/>
        </w:rPr>
        <w:t>Desk review</w:t>
      </w:r>
    </w:p>
    <w:p w14:paraId="16232862" w14:textId="54A4FF63" w:rsidR="00F414ED" w:rsidRPr="004D56CB" w:rsidRDefault="00E924AF" w:rsidP="00B254E4">
      <w:pPr>
        <w:spacing w:line="360" w:lineRule="auto"/>
        <w:jc w:val="both"/>
        <w:rPr>
          <w:rFonts w:ascii="Arial" w:hAnsi="Arial" w:cs="Arial"/>
          <w:sz w:val="22"/>
          <w:szCs w:val="22"/>
        </w:rPr>
      </w:pPr>
      <w:r w:rsidRPr="004D56CB">
        <w:rPr>
          <w:rFonts w:ascii="Arial" w:hAnsi="Arial" w:cs="Arial"/>
          <w:sz w:val="22"/>
          <w:szCs w:val="22"/>
        </w:rPr>
        <w:t>A</w:t>
      </w:r>
      <w:r w:rsidR="00FC11DD" w:rsidRPr="004D56CB">
        <w:rPr>
          <w:rFonts w:ascii="Arial" w:hAnsi="Arial" w:cs="Arial"/>
          <w:sz w:val="22"/>
          <w:szCs w:val="22"/>
        </w:rPr>
        <w:t xml:space="preserve"> desk review </w:t>
      </w:r>
      <w:r w:rsidRPr="004D56CB">
        <w:rPr>
          <w:rFonts w:ascii="Arial" w:hAnsi="Arial" w:cs="Arial"/>
          <w:sz w:val="22"/>
          <w:szCs w:val="22"/>
        </w:rPr>
        <w:t xml:space="preserve">was carried out </w:t>
      </w:r>
      <w:r w:rsidR="00FC11DD" w:rsidRPr="004D56CB">
        <w:rPr>
          <w:rFonts w:ascii="Arial" w:hAnsi="Arial" w:cs="Arial"/>
          <w:sz w:val="22"/>
          <w:szCs w:val="22"/>
        </w:rPr>
        <w:t>to assess differe</w:t>
      </w:r>
      <w:r w:rsidR="00EB485B" w:rsidRPr="004D56CB">
        <w:rPr>
          <w:rFonts w:ascii="Arial" w:hAnsi="Arial" w:cs="Arial"/>
          <w:sz w:val="22"/>
          <w:szCs w:val="22"/>
        </w:rPr>
        <w:t xml:space="preserve">nces in </w:t>
      </w:r>
      <w:r w:rsidR="00F82616" w:rsidRPr="004D56CB">
        <w:rPr>
          <w:rFonts w:ascii="Arial" w:hAnsi="Arial" w:cs="Arial"/>
          <w:sz w:val="22"/>
          <w:szCs w:val="22"/>
        </w:rPr>
        <w:t>combustible tobacco and ST policies</w:t>
      </w:r>
      <w:r w:rsidRPr="004D56CB">
        <w:rPr>
          <w:rFonts w:ascii="Arial" w:hAnsi="Arial" w:cs="Arial"/>
          <w:sz w:val="22"/>
          <w:szCs w:val="22"/>
        </w:rPr>
        <w:t>,</w:t>
      </w:r>
      <w:r w:rsidR="00FC11DD" w:rsidRPr="004D56CB">
        <w:rPr>
          <w:rFonts w:ascii="Arial" w:hAnsi="Arial" w:cs="Arial"/>
          <w:sz w:val="22"/>
          <w:szCs w:val="22"/>
        </w:rPr>
        <w:t xml:space="preserve"> if any. For this purpose, we reviewed tobacco-related policies, bills, acts</w:t>
      </w:r>
      <w:r w:rsidR="00F82616" w:rsidRPr="004D56CB">
        <w:rPr>
          <w:rFonts w:ascii="Arial" w:hAnsi="Arial" w:cs="Arial"/>
          <w:sz w:val="22"/>
          <w:szCs w:val="22"/>
        </w:rPr>
        <w:t>,</w:t>
      </w:r>
      <w:r w:rsidR="00FC11DD" w:rsidRPr="004D56CB">
        <w:rPr>
          <w:rFonts w:ascii="Arial" w:hAnsi="Arial" w:cs="Arial"/>
          <w:sz w:val="22"/>
          <w:szCs w:val="22"/>
        </w:rPr>
        <w:t xml:space="preserve"> and legislative documents</w:t>
      </w:r>
      <w:r w:rsidR="00F82616" w:rsidRPr="004D56CB">
        <w:rPr>
          <w:rFonts w:ascii="Arial" w:hAnsi="Arial" w:cs="Arial"/>
          <w:sz w:val="22"/>
          <w:szCs w:val="22"/>
        </w:rPr>
        <w:t>,</w:t>
      </w:r>
      <w:r w:rsidR="00FC11DD" w:rsidRPr="004D56CB">
        <w:rPr>
          <w:rFonts w:ascii="Arial" w:hAnsi="Arial" w:cs="Arial"/>
          <w:sz w:val="22"/>
          <w:szCs w:val="22"/>
        </w:rPr>
        <w:t xml:space="preserve"> and Statutory Regulatory Orders (SROs) issued in the last 15 years </w:t>
      </w:r>
      <w:r w:rsidR="00FC11DD" w:rsidRPr="004D56CB">
        <w:rPr>
          <w:rFonts w:ascii="Arial" w:hAnsi="Arial" w:cs="Arial"/>
          <w:sz w:val="22"/>
          <w:szCs w:val="22"/>
        </w:rPr>
        <w:lastRenderedPageBreak/>
        <w:t xml:space="preserve">(2005-2019) by the </w:t>
      </w:r>
      <w:r w:rsidR="004841DC" w:rsidRPr="004D56CB">
        <w:rPr>
          <w:rFonts w:ascii="Arial" w:hAnsi="Arial" w:cs="Arial"/>
          <w:sz w:val="22"/>
          <w:szCs w:val="22"/>
        </w:rPr>
        <w:t xml:space="preserve">Bangladesh </w:t>
      </w:r>
      <w:r w:rsidR="00FC11DD" w:rsidRPr="004D56CB">
        <w:rPr>
          <w:rFonts w:ascii="Arial" w:hAnsi="Arial" w:cs="Arial"/>
          <w:sz w:val="22"/>
          <w:szCs w:val="22"/>
        </w:rPr>
        <w:t xml:space="preserve">Ministry of Health and Family Welfare (MOHFW) and Ministry of Finance. The documents had been collected from the National Tobacco Control Cell (NTCC) and Non-Communicable Disease Control Programme (NCDC), MOHFW. </w:t>
      </w:r>
      <w:r w:rsidR="004F7D4A" w:rsidRPr="004D56CB">
        <w:rPr>
          <w:rFonts w:ascii="Arial" w:hAnsi="Arial" w:cs="Arial"/>
          <w:sz w:val="22"/>
          <w:szCs w:val="22"/>
        </w:rPr>
        <w:t>In addition, t</w:t>
      </w:r>
      <w:r w:rsidR="00E04C66" w:rsidRPr="004D56CB">
        <w:rPr>
          <w:rFonts w:ascii="Arial" w:hAnsi="Arial" w:cs="Arial"/>
          <w:sz w:val="22"/>
          <w:szCs w:val="22"/>
        </w:rPr>
        <w:t>wo ministries’ websites (www.mof.gov.bd; www.mohfw.gov.bd)</w:t>
      </w:r>
      <w:r w:rsidR="00FC11DD" w:rsidRPr="004D56CB">
        <w:rPr>
          <w:rFonts w:ascii="Arial" w:hAnsi="Arial" w:cs="Arial"/>
          <w:sz w:val="22"/>
          <w:szCs w:val="22"/>
        </w:rPr>
        <w:t xml:space="preserve"> </w:t>
      </w:r>
      <w:r w:rsidR="009117DB" w:rsidRPr="004D56CB">
        <w:rPr>
          <w:rFonts w:ascii="Arial" w:hAnsi="Arial" w:cs="Arial"/>
          <w:sz w:val="22"/>
          <w:szCs w:val="22"/>
        </w:rPr>
        <w:t>were also searched to</w:t>
      </w:r>
      <w:r w:rsidR="00FC11DD" w:rsidRPr="004D56CB">
        <w:rPr>
          <w:rFonts w:ascii="Arial" w:hAnsi="Arial" w:cs="Arial"/>
          <w:sz w:val="22"/>
          <w:szCs w:val="22"/>
        </w:rPr>
        <w:t xml:space="preserve"> extract relevant information. </w:t>
      </w:r>
    </w:p>
    <w:p w14:paraId="5DD0FFFB" w14:textId="77777777" w:rsidR="00F414ED" w:rsidRPr="004D56CB" w:rsidRDefault="00D9018D" w:rsidP="00B254E4">
      <w:pPr>
        <w:pStyle w:val="Heading2"/>
        <w:spacing w:line="360" w:lineRule="auto"/>
        <w:rPr>
          <w:rFonts w:ascii="Arial" w:hAnsi="Arial" w:cs="Arial"/>
          <w:sz w:val="22"/>
          <w:szCs w:val="22"/>
        </w:rPr>
      </w:pPr>
      <w:r w:rsidRPr="004D56CB">
        <w:rPr>
          <w:rFonts w:ascii="Arial" w:hAnsi="Arial" w:cs="Arial"/>
          <w:sz w:val="22"/>
          <w:szCs w:val="22"/>
        </w:rPr>
        <w:t>Priority setting workshop</w:t>
      </w:r>
    </w:p>
    <w:p w14:paraId="35F92BDB" w14:textId="737BFFEC" w:rsidR="00F414ED" w:rsidRPr="004D56CB" w:rsidRDefault="00D9018D" w:rsidP="00B254E4">
      <w:pPr>
        <w:spacing w:line="360" w:lineRule="auto"/>
        <w:jc w:val="both"/>
        <w:rPr>
          <w:rFonts w:ascii="Arial" w:hAnsi="Arial" w:cs="Arial"/>
          <w:sz w:val="22"/>
          <w:szCs w:val="22"/>
        </w:rPr>
      </w:pPr>
      <w:r w:rsidRPr="004D56CB">
        <w:rPr>
          <w:rFonts w:ascii="Arial" w:hAnsi="Arial" w:cs="Arial"/>
          <w:sz w:val="22"/>
          <w:szCs w:val="22"/>
        </w:rPr>
        <w:t>We shared the findings of the above t</w:t>
      </w:r>
      <w:r w:rsidR="00581CBE" w:rsidRPr="004D56CB">
        <w:rPr>
          <w:rFonts w:ascii="Arial" w:hAnsi="Arial" w:cs="Arial"/>
          <w:sz w:val="22"/>
          <w:szCs w:val="22"/>
        </w:rPr>
        <w:t>hree</w:t>
      </w:r>
      <w:r w:rsidRPr="004D56CB">
        <w:rPr>
          <w:rFonts w:ascii="Arial" w:hAnsi="Arial" w:cs="Arial"/>
          <w:sz w:val="22"/>
          <w:szCs w:val="22"/>
        </w:rPr>
        <w:t xml:space="preserve"> </w:t>
      </w:r>
      <w:r w:rsidR="00EE062B" w:rsidRPr="004D56CB">
        <w:rPr>
          <w:rFonts w:ascii="Arial" w:hAnsi="Arial" w:cs="Arial"/>
          <w:sz w:val="22"/>
          <w:szCs w:val="22"/>
        </w:rPr>
        <w:t>methods</w:t>
      </w:r>
      <w:r w:rsidR="002D477E" w:rsidRPr="004D56CB">
        <w:rPr>
          <w:rFonts w:ascii="Arial" w:hAnsi="Arial" w:cs="Arial"/>
          <w:sz w:val="22"/>
          <w:szCs w:val="22"/>
        </w:rPr>
        <w:t xml:space="preserve"> of work</w:t>
      </w:r>
      <w:r w:rsidRPr="004D56CB">
        <w:rPr>
          <w:rFonts w:ascii="Arial" w:hAnsi="Arial" w:cs="Arial"/>
          <w:sz w:val="22"/>
          <w:szCs w:val="22"/>
        </w:rPr>
        <w:t xml:space="preserve"> at a stakeholders’ workshop. While the </w:t>
      </w:r>
      <w:r w:rsidR="00E04C66" w:rsidRPr="004D56CB">
        <w:rPr>
          <w:rFonts w:ascii="Arial" w:hAnsi="Arial" w:cs="Arial"/>
          <w:sz w:val="22"/>
          <w:szCs w:val="22"/>
        </w:rPr>
        <w:t>workshop’s primary aim</w:t>
      </w:r>
      <w:r w:rsidRPr="004D56CB">
        <w:rPr>
          <w:rFonts w:ascii="Arial" w:hAnsi="Arial" w:cs="Arial"/>
          <w:sz w:val="22"/>
          <w:szCs w:val="22"/>
        </w:rPr>
        <w:t xml:space="preserve"> was to share and validate the emerging results of desk review and secondary data </w:t>
      </w:r>
      <w:r w:rsidR="00797D8C" w:rsidRPr="004D56CB">
        <w:rPr>
          <w:rFonts w:ascii="Arial" w:hAnsi="Arial" w:cs="Arial"/>
          <w:sz w:val="22"/>
          <w:szCs w:val="22"/>
        </w:rPr>
        <w:t>analyses</w:t>
      </w:r>
      <w:r w:rsidRPr="004D56CB">
        <w:rPr>
          <w:rFonts w:ascii="Arial" w:hAnsi="Arial" w:cs="Arial"/>
          <w:sz w:val="22"/>
          <w:szCs w:val="22"/>
        </w:rPr>
        <w:t xml:space="preserve"> with the key </w:t>
      </w:r>
      <w:r w:rsidR="00797D8C" w:rsidRPr="004D56CB">
        <w:rPr>
          <w:rFonts w:ascii="Arial" w:hAnsi="Arial" w:cs="Arial"/>
          <w:sz w:val="22"/>
          <w:szCs w:val="22"/>
        </w:rPr>
        <w:t>stakeholders</w:t>
      </w:r>
      <w:r w:rsidRPr="004D56CB">
        <w:rPr>
          <w:rFonts w:ascii="Arial" w:hAnsi="Arial" w:cs="Arial"/>
          <w:sz w:val="22"/>
          <w:szCs w:val="22"/>
        </w:rPr>
        <w:t xml:space="preserve">, the discussions during the workshop were expected to provide </w:t>
      </w:r>
      <w:r w:rsidR="00F82616" w:rsidRPr="004D56CB">
        <w:rPr>
          <w:rFonts w:ascii="Arial" w:hAnsi="Arial" w:cs="Arial"/>
          <w:sz w:val="22"/>
          <w:szCs w:val="22"/>
        </w:rPr>
        <w:t>valuable</w:t>
      </w:r>
      <w:r w:rsidRPr="004D56CB">
        <w:rPr>
          <w:rFonts w:ascii="Arial" w:hAnsi="Arial" w:cs="Arial"/>
          <w:sz w:val="22"/>
          <w:szCs w:val="22"/>
        </w:rPr>
        <w:t xml:space="preserve"> data</w:t>
      </w:r>
      <w:r w:rsidR="00EE062B" w:rsidRPr="004D56CB">
        <w:rPr>
          <w:rFonts w:ascii="Arial" w:hAnsi="Arial" w:cs="Arial"/>
          <w:sz w:val="22"/>
          <w:szCs w:val="22"/>
        </w:rPr>
        <w:t xml:space="preserve"> to identify the gaps in </w:t>
      </w:r>
      <w:r w:rsidR="00E04C66" w:rsidRPr="004D56CB">
        <w:rPr>
          <w:rFonts w:ascii="Arial" w:hAnsi="Arial" w:cs="Arial"/>
          <w:sz w:val="22"/>
          <w:szCs w:val="22"/>
        </w:rPr>
        <w:t>implementing</w:t>
      </w:r>
      <w:r w:rsidR="00EE062B" w:rsidRPr="004D56CB">
        <w:rPr>
          <w:rFonts w:ascii="Arial" w:hAnsi="Arial" w:cs="Arial"/>
          <w:sz w:val="22"/>
          <w:szCs w:val="22"/>
        </w:rPr>
        <w:t xml:space="preserve"> </w:t>
      </w:r>
      <w:r w:rsidR="007D48B3" w:rsidRPr="004D56CB">
        <w:rPr>
          <w:rFonts w:ascii="Arial" w:hAnsi="Arial" w:cs="Arial"/>
          <w:sz w:val="22"/>
          <w:szCs w:val="22"/>
        </w:rPr>
        <w:t xml:space="preserve">tobacco control policies </w:t>
      </w:r>
      <w:r w:rsidR="00497128" w:rsidRPr="004D56CB">
        <w:rPr>
          <w:rFonts w:ascii="Arial" w:hAnsi="Arial" w:cs="Arial"/>
          <w:sz w:val="22"/>
          <w:szCs w:val="22"/>
        </w:rPr>
        <w:t>for ST control</w:t>
      </w:r>
      <w:r w:rsidRPr="004D56CB">
        <w:rPr>
          <w:rFonts w:ascii="Arial" w:hAnsi="Arial" w:cs="Arial"/>
          <w:sz w:val="22"/>
          <w:szCs w:val="22"/>
        </w:rPr>
        <w:t>.</w:t>
      </w:r>
      <w:r w:rsidR="00120878" w:rsidRPr="004D56CB">
        <w:rPr>
          <w:rFonts w:ascii="Arial" w:hAnsi="Arial" w:cs="Arial"/>
          <w:sz w:val="22"/>
          <w:szCs w:val="22"/>
        </w:rPr>
        <w:t xml:space="preserve"> </w:t>
      </w:r>
      <w:r w:rsidRPr="004D56CB">
        <w:rPr>
          <w:rFonts w:ascii="Arial" w:hAnsi="Arial" w:cs="Arial"/>
          <w:sz w:val="22"/>
          <w:szCs w:val="22"/>
        </w:rPr>
        <w:t>Out of 44 invitees, a total of 38 policymakers, academics, advocates</w:t>
      </w:r>
      <w:r w:rsidR="00F82616" w:rsidRPr="004D56CB">
        <w:rPr>
          <w:rFonts w:ascii="Arial" w:hAnsi="Arial" w:cs="Arial"/>
          <w:sz w:val="22"/>
          <w:szCs w:val="22"/>
        </w:rPr>
        <w:t>,</w:t>
      </w:r>
      <w:r w:rsidRPr="004D56CB">
        <w:rPr>
          <w:rFonts w:ascii="Arial" w:hAnsi="Arial" w:cs="Arial"/>
          <w:sz w:val="22"/>
          <w:szCs w:val="22"/>
        </w:rPr>
        <w:t xml:space="preserve"> and media representatives joined the event. The discussions were organised </w:t>
      </w:r>
      <w:r w:rsidR="002D477E" w:rsidRPr="004D56CB">
        <w:rPr>
          <w:rFonts w:ascii="Arial" w:hAnsi="Arial" w:cs="Arial"/>
          <w:sz w:val="22"/>
          <w:szCs w:val="22"/>
        </w:rPr>
        <w:t xml:space="preserve">around </w:t>
      </w:r>
      <w:r w:rsidRPr="004D56CB">
        <w:rPr>
          <w:rFonts w:ascii="Arial" w:hAnsi="Arial" w:cs="Arial"/>
          <w:sz w:val="22"/>
          <w:szCs w:val="22"/>
        </w:rPr>
        <w:t>five themes: fiscal policies, product regulation, education and awareness, cessation support</w:t>
      </w:r>
      <w:r w:rsidR="00F82616" w:rsidRPr="004D56CB">
        <w:rPr>
          <w:rFonts w:ascii="Arial" w:hAnsi="Arial" w:cs="Arial"/>
          <w:sz w:val="22"/>
          <w:szCs w:val="22"/>
        </w:rPr>
        <w:t>,</w:t>
      </w:r>
      <w:r w:rsidRPr="004D56CB">
        <w:rPr>
          <w:rFonts w:ascii="Arial" w:hAnsi="Arial" w:cs="Arial"/>
          <w:sz w:val="22"/>
          <w:szCs w:val="22"/>
        </w:rPr>
        <w:t xml:space="preserve"> and knowledge gaps. </w:t>
      </w:r>
      <w:r w:rsidR="00120878" w:rsidRPr="004D56CB">
        <w:rPr>
          <w:rFonts w:ascii="Arial" w:hAnsi="Arial" w:cs="Arial"/>
          <w:sz w:val="22"/>
          <w:szCs w:val="22"/>
        </w:rPr>
        <w:t xml:space="preserve">We validated the policy gaps identified through the desk review with the experience and views of the participants in the workshop. </w:t>
      </w:r>
      <w:r w:rsidR="007F381A">
        <w:rPr>
          <w:rFonts w:ascii="Arial" w:hAnsi="Arial" w:cs="Arial"/>
          <w:sz w:val="22"/>
          <w:szCs w:val="22"/>
        </w:rPr>
        <w:t>Finally, w</w:t>
      </w:r>
      <w:r w:rsidR="00120878" w:rsidRPr="004D56CB">
        <w:rPr>
          <w:rFonts w:ascii="Arial" w:hAnsi="Arial" w:cs="Arial"/>
          <w:sz w:val="22"/>
          <w:szCs w:val="22"/>
        </w:rPr>
        <w:t xml:space="preserve">e presented the data and recorded comments </w:t>
      </w:r>
      <w:r w:rsidR="004D23B9">
        <w:rPr>
          <w:rFonts w:ascii="Arial" w:hAnsi="Arial" w:cs="Arial"/>
          <w:sz w:val="22"/>
          <w:szCs w:val="22"/>
        </w:rPr>
        <w:t>to</w:t>
      </w:r>
      <w:r w:rsidR="00120878" w:rsidRPr="004D56CB">
        <w:rPr>
          <w:rFonts w:ascii="Arial" w:hAnsi="Arial" w:cs="Arial"/>
          <w:sz w:val="22"/>
          <w:szCs w:val="22"/>
        </w:rPr>
        <w:t xml:space="preserve"> the participants</w:t>
      </w:r>
      <w:r w:rsidR="00C20927">
        <w:rPr>
          <w:rFonts w:ascii="Arial" w:hAnsi="Arial" w:cs="Arial"/>
          <w:sz w:val="22"/>
          <w:szCs w:val="22"/>
        </w:rPr>
        <w:t>,</w:t>
      </w:r>
      <w:r w:rsidR="00120878" w:rsidRPr="004D56CB">
        <w:rPr>
          <w:rFonts w:ascii="Arial" w:hAnsi="Arial" w:cs="Arial"/>
          <w:sz w:val="22"/>
          <w:szCs w:val="22"/>
        </w:rPr>
        <w:t xml:space="preserve"> which were later triangulated with the findings from the desk review and the survey. A total of 44 key stakeholders were invited who are working in tobacco control in Bangladesh. </w:t>
      </w:r>
      <w:r w:rsidRPr="004D56CB">
        <w:rPr>
          <w:rFonts w:ascii="Arial" w:hAnsi="Arial" w:cs="Arial"/>
          <w:sz w:val="22"/>
          <w:szCs w:val="22"/>
        </w:rPr>
        <w:t xml:space="preserve">The discussion was audio-recorded with </w:t>
      </w:r>
      <w:r w:rsidR="00BA1FC1" w:rsidRPr="004D56CB">
        <w:rPr>
          <w:rFonts w:ascii="Arial" w:hAnsi="Arial" w:cs="Arial"/>
          <w:sz w:val="22"/>
          <w:szCs w:val="22"/>
        </w:rPr>
        <w:t xml:space="preserve">the </w:t>
      </w:r>
      <w:r w:rsidRPr="004D56CB">
        <w:rPr>
          <w:rFonts w:ascii="Arial" w:hAnsi="Arial" w:cs="Arial"/>
          <w:sz w:val="22"/>
          <w:szCs w:val="22"/>
        </w:rPr>
        <w:t>p</w:t>
      </w:r>
      <w:r w:rsidR="00E04C66" w:rsidRPr="004D56CB">
        <w:rPr>
          <w:rFonts w:ascii="Arial" w:hAnsi="Arial" w:cs="Arial"/>
          <w:sz w:val="22"/>
          <w:szCs w:val="22"/>
        </w:rPr>
        <w:t>articipants’ prior written consent</w:t>
      </w:r>
      <w:r w:rsidRPr="004D56CB">
        <w:rPr>
          <w:rFonts w:ascii="Arial" w:hAnsi="Arial" w:cs="Arial"/>
          <w:sz w:val="22"/>
          <w:szCs w:val="22"/>
        </w:rPr>
        <w:t xml:space="preserve">, and two researchers took detailed notes. Consultations were analysed thematically to identify key priorities for and challenges and opportunities in addressing ST use in Bangladesh. </w:t>
      </w:r>
    </w:p>
    <w:p w14:paraId="33144B13" w14:textId="77777777" w:rsidR="00F414ED" w:rsidRPr="004D56CB" w:rsidRDefault="00D9018D" w:rsidP="00B254E4">
      <w:pPr>
        <w:pStyle w:val="Heading2"/>
        <w:spacing w:line="360" w:lineRule="auto"/>
        <w:rPr>
          <w:rFonts w:ascii="Arial" w:hAnsi="Arial" w:cs="Arial"/>
          <w:sz w:val="22"/>
          <w:szCs w:val="22"/>
        </w:rPr>
      </w:pPr>
      <w:r w:rsidRPr="004D56CB">
        <w:rPr>
          <w:rFonts w:ascii="Arial" w:hAnsi="Arial" w:cs="Arial"/>
          <w:sz w:val="22"/>
          <w:szCs w:val="22"/>
        </w:rPr>
        <w:t>Online survey</w:t>
      </w:r>
    </w:p>
    <w:p w14:paraId="2C90DB90" w14:textId="2D5A20BE" w:rsidR="002D477E" w:rsidRPr="004D56CB" w:rsidRDefault="00D9018D" w:rsidP="00B254E4">
      <w:pPr>
        <w:spacing w:line="360" w:lineRule="auto"/>
        <w:jc w:val="both"/>
        <w:rPr>
          <w:rFonts w:ascii="Arial" w:hAnsi="Arial" w:cs="Arial"/>
          <w:sz w:val="22"/>
          <w:szCs w:val="22"/>
        </w:rPr>
      </w:pPr>
      <w:r w:rsidRPr="004D56CB">
        <w:rPr>
          <w:rFonts w:ascii="Arial" w:hAnsi="Arial" w:cs="Arial"/>
          <w:sz w:val="22"/>
          <w:szCs w:val="22"/>
        </w:rPr>
        <w:t xml:space="preserve">Post-workshop, all 38 stakeholders </w:t>
      </w:r>
      <w:r w:rsidR="00765C42" w:rsidRPr="004D56CB">
        <w:rPr>
          <w:rFonts w:ascii="Arial" w:hAnsi="Arial" w:cs="Arial"/>
          <w:sz w:val="22"/>
          <w:szCs w:val="22"/>
        </w:rPr>
        <w:t xml:space="preserve">were </w:t>
      </w:r>
      <w:r w:rsidRPr="004D56CB">
        <w:rPr>
          <w:rFonts w:ascii="Arial" w:hAnsi="Arial" w:cs="Arial"/>
          <w:sz w:val="22"/>
          <w:szCs w:val="22"/>
        </w:rPr>
        <w:t xml:space="preserve">invited to </w:t>
      </w:r>
      <w:r w:rsidR="00765C42" w:rsidRPr="004D56CB">
        <w:rPr>
          <w:rFonts w:ascii="Arial" w:hAnsi="Arial" w:cs="Arial"/>
          <w:sz w:val="22"/>
          <w:szCs w:val="22"/>
        </w:rPr>
        <w:t xml:space="preserve">complete </w:t>
      </w:r>
      <w:r w:rsidRPr="004D56CB">
        <w:rPr>
          <w:rFonts w:ascii="Arial" w:hAnsi="Arial" w:cs="Arial"/>
          <w:sz w:val="22"/>
          <w:szCs w:val="22"/>
        </w:rPr>
        <w:t xml:space="preserve">an online survey to rank the policy options on a 5-point scale </w:t>
      </w:r>
      <w:r w:rsidR="00F82616" w:rsidRPr="004D56CB">
        <w:rPr>
          <w:rFonts w:ascii="Arial" w:hAnsi="Arial" w:cs="Arial"/>
          <w:sz w:val="22"/>
          <w:szCs w:val="22"/>
        </w:rPr>
        <w:t>regarding</w:t>
      </w:r>
      <w:r w:rsidRPr="004D56CB">
        <w:rPr>
          <w:rFonts w:ascii="Arial" w:hAnsi="Arial" w:cs="Arial"/>
          <w:sz w:val="22"/>
          <w:szCs w:val="22"/>
        </w:rPr>
        <w:t xml:space="preserve"> their priority level. Stakeholder’s responses (n=36) were analysed</w:t>
      </w:r>
      <w:r w:rsidR="00E04C66" w:rsidRPr="004D56CB">
        <w:rPr>
          <w:rFonts w:ascii="Arial" w:hAnsi="Arial" w:cs="Arial"/>
          <w:sz w:val="22"/>
          <w:szCs w:val="22"/>
        </w:rPr>
        <w:t>,</w:t>
      </w:r>
      <w:r w:rsidRPr="004D56CB">
        <w:rPr>
          <w:rFonts w:ascii="Arial" w:hAnsi="Arial" w:cs="Arial"/>
          <w:sz w:val="22"/>
          <w:szCs w:val="22"/>
        </w:rPr>
        <w:t xml:space="preserve"> and mean scores were estimated for the policy options and ranked accordingly.</w:t>
      </w:r>
    </w:p>
    <w:p w14:paraId="4C43FDFA" w14:textId="77777777" w:rsidR="002D477E" w:rsidRPr="004D56CB" w:rsidRDefault="002D477E" w:rsidP="00B254E4">
      <w:pPr>
        <w:pStyle w:val="Heading2"/>
        <w:spacing w:line="360" w:lineRule="auto"/>
        <w:rPr>
          <w:rFonts w:ascii="Arial" w:hAnsi="Arial" w:cs="Arial"/>
          <w:sz w:val="22"/>
          <w:szCs w:val="22"/>
        </w:rPr>
      </w:pPr>
      <w:r w:rsidRPr="004D56CB">
        <w:rPr>
          <w:rFonts w:ascii="Arial" w:hAnsi="Arial" w:cs="Arial"/>
          <w:sz w:val="22"/>
          <w:szCs w:val="22"/>
        </w:rPr>
        <w:t>Ethical considerations and permissions</w:t>
      </w:r>
    </w:p>
    <w:p w14:paraId="6773316A" w14:textId="77777777" w:rsidR="00F414ED" w:rsidRPr="004D56CB" w:rsidRDefault="005038FF" w:rsidP="00B254E4">
      <w:pPr>
        <w:spacing w:line="360" w:lineRule="auto"/>
        <w:jc w:val="both"/>
        <w:rPr>
          <w:rFonts w:ascii="Arial" w:hAnsi="Arial" w:cs="Arial"/>
          <w:sz w:val="22"/>
          <w:szCs w:val="22"/>
        </w:rPr>
      </w:pPr>
      <w:r w:rsidRPr="004D56CB">
        <w:rPr>
          <w:rFonts w:ascii="Arial" w:hAnsi="Arial" w:cs="Arial"/>
          <w:sz w:val="22"/>
          <w:szCs w:val="22"/>
        </w:rPr>
        <w:t xml:space="preserve">Ethical approval for the study </w:t>
      </w:r>
      <w:r w:rsidR="00EB5C46" w:rsidRPr="004D56CB">
        <w:rPr>
          <w:rFonts w:ascii="Arial" w:hAnsi="Arial" w:cs="Arial"/>
          <w:sz w:val="22"/>
          <w:szCs w:val="22"/>
        </w:rPr>
        <w:t xml:space="preserve">was </w:t>
      </w:r>
      <w:r w:rsidRPr="004D56CB">
        <w:rPr>
          <w:rFonts w:ascii="Arial" w:hAnsi="Arial" w:cs="Arial"/>
          <w:sz w:val="22"/>
          <w:szCs w:val="22"/>
        </w:rPr>
        <w:t xml:space="preserve">received from </w:t>
      </w:r>
      <w:r w:rsidR="00500672" w:rsidRPr="004D56CB">
        <w:rPr>
          <w:rFonts w:ascii="Arial" w:hAnsi="Arial" w:cs="Arial"/>
          <w:sz w:val="22"/>
          <w:szCs w:val="22"/>
        </w:rPr>
        <w:t xml:space="preserve">the </w:t>
      </w:r>
      <w:r w:rsidR="00D40485" w:rsidRPr="004D56CB">
        <w:rPr>
          <w:rFonts w:ascii="Arial" w:hAnsi="Arial" w:cs="Arial"/>
          <w:sz w:val="22"/>
          <w:szCs w:val="22"/>
        </w:rPr>
        <w:t xml:space="preserve">Bangladesh Medical </w:t>
      </w:r>
      <w:r w:rsidR="00E92052" w:rsidRPr="004D56CB">
        <w:rPr>
          <w:rFonts w:ascii="Arial" w:hAnsi="Arial" w:cs="Arial"/>
          <w:sz w:val="22"/>
          <w:szCs w:val="22"/>
        </w:rPr>
        <w:t>R</w:t>
      </w:r>
      <w:r w:rsidR="00D40485" w:rsidRPr="004D56CB">
        <w:rPr>
          <w:rFonts w:ascii="Arial" w:hAnsi="Arial" w:cs="Arial"/>
          <w:sz w:val="22"/>
          <w:szCs w:val="22"/>
        </w:rPr>
        <w:t>esearch</w:t>
      </w:r>
      <w:r w:rsidR="00E92052" w:rsidRPr="004D56CB">
        <w:rPr>
          <w:rFonts w:ascii="Arial" w:hAnsi="Arial" w:cs="Arial"/>
          <w:sz w:val="22"/>
          <w:szCs w:val="22"/>
        </w:rPr>
        <w:t xml:space="preserve"> Council (Ref: </w:t>
      </w:r>
      <w:r w:rsidR="00D562DB" w:rsidRPr="004D56CB">
        <w:rPr>
          <w:rFonts w:ascii="Arial" w:hAnsi="Arial" w:cs="Arial"/>
          <w:sz w:val="22"/>
          <w:szCs w:val="22"/>
        </w:rPr>
        <w:t>BMRC/NREC/2016-2019/961</w:t>
      </w:r>
      <w:r w:rsidR="00500672" w:rsidRPr="004D56CB">
        <w:rPr>
          <w:rFonts w:ascii="Arial" w:hAnsi="Arial" w:cs="Arial"/>
          <w:sz w:val="22"/>
          <w:szCs w:val="22"/>
        </w:rPr>
        <w:t>)</w:t>
      </w:r>
    </w:p>
    <w:p w14:paraId="493BA84B" w14:textId="77777777" w:rsidR="006403C5" w:rsidRPr="004D56CB" w:rsidRDefault="00D9018D" w:rsidP="00B254E4">
      <w:pPr>
        <w:pStyle w:val="Heading1"/>
        <w:spacing w:line="360" w:lineRule="auto"/>
        <w:rPr>
          <w:rFonts w:ascii="Arial" w:hAnsi="Arial" w:cs="Arial"/>
          <w:sz w:val="22"/>
          <w:szCs w:val="22"/>
        </w:rPr>
      </w:pPr>
      <w:r w:rsidRPr="004D56CB">
        <w:rPr>
          <w:rFonts w:ascii="Arial" w:hAnsi="Arial" w:cs="Arial"/>
          <w:sz w:val="22"/>
          <w:szCs w:val="22"/>
        </w:rPr>
        <w:t>Results</w:t>
      </w:r>
    </w:p>
    <w:p w14:paraId="10B41798" w14:textId="77777777" w:rsidR="00A5129F" w:rsidRPr="004D56CB" w:rsidRDefault="00A5129F" w:rsidP="00B254E4">
      <w:pPr>
        <w:pStyle w:val="Heading2"/>
        <w:spacing w:line="360" w:lineRule="auto"/>
        <w:rPr>
          <w:rFonts w:ascii="Arial" w:hAnsi="Arial" w:cs="Arial"/>
          <w:sz w:val="22"/>
          <w:szCs w:val="22"/>
        </w:rPr>
      </w:pPr>
      <w:r w:rsidRPr="004D56CB">
        <w:rPr>
          <w:rFonts w:ascii="Arial" w:hAnsi="Arial" w:cs="Arial"/>
          <w:sz w:val="22"/>
          <w:szCs w:val="22"/>
        </w:rPr>
        <w:t>Overall tobacco use</w:t>
      </w:r>
    </w:p>
    <w:p w14:paraId="67F9ED98" w14:textId="37851859" w:rsidR="009A4E8C" w:rsidRPr="004D56CB" w:rsidRDefault="009A4E8C" w:rsidP="00B254E4">
      <w:pPr>
        <w:spacing w:line="360" w:lineRule="auto"/>
        <w:jc w:val="both"/>
        <w:rPr>
          <w:rFonts w:ascii="Arial" w:hAnsi="Arial" w:cs="Arial"/>
          <w:sz w:val="22"/>
          <w:szCs w:val="22"/>
        </w:rPr>
      </w:pPr>
      <w:r w:rsidRPr="004D56CB">
        <w:rPr>
          <w:rFonts w:ascii="Arial" w:hAnsi="Arial" w:cs="Arial"/>
          <w:sz w:val="22"/>
          <w:szCs w:val="22"/>
        </w:rPr>
        <w:t xml:space="preserve">The two rounds of GATS indicated a decline in tobacco use among adults 15 years and older from 43.3% in 2009 to 35.3% in 2017, reflecting an 18.5% relative decline </w:t>
      </w:r>
      <w:r w:rsidR="008D2D1F" w:rsidRPr="004D56CB">
        <w:rPr>
          <w:rFonts w:ascii="Arial" w:hAnsi="Arial" w:cs="Arial"/>
          <w:sz w:val="22"/>
          <w:szCs w:val="22"/>
        </w:rPr>
        <w:t xml:space="preserve">(Table 1). </w:t>
      </w:r>
      <w:r w:rsidR="008D2D1F" w:rsidRPr="004D56CB">
        <w:rPr>
          <w:rFonts w:ascii="Arial" w:hAnsi="Arial" w:cs="Arial"/>
          <w:sz w:val="22"/>
          <w:szCs w:val="22"/>
        </w:rPr>
        <w:lastRenderedPageBreak/>
        <w:t>T</w:t>
      </w:r>
      <w:r w:rsidRPr="004D56CB">
        <w:rPr>
          <w:rFonts w:ascii="Arial" w:hAnsi="Arial" w:cs="Arial"/>
          <w:sz w:val="22"/>
          <w:szCs w:val="22"/>
        </w:rPr>
        <w:t xml:space="preserve">he </w:t>
      </w:r>
      <w:r w:rsidR="008D2D1F" w:rsidRPr="004D56CB">
        <w:rPr>
          <w:rFonts w:ascii="Arial" w:hAnsi="Arial" w:cs="Arial"/>
          <w:sz w:val="22"/>
          <w:szCs w:val="22"/>
        </w:rPr>
        <w:t xml:space="preserve">absolute </w:t>
      </w:r>
      <w:r w:rsidR="006169AA" w:rsidRPr="004D56CB">
        <w:rPr>
          <w:rFonts w:ascii="Arial" w:hAnsi="Arial" w:cs="Arial"/>
          <w:sz w:val="22"/>
          <w:szCs w:val="22"/>
        </w:rPr>
        <w:t xml:space="preserve">number of </w:t>
      </w:r>
      <w:r w:rsidR="008D2D1F" w:rsidRPr="004D56CB">
        <w:rPr>
          <w:rFonts w:ascii="Arial" w:hAnsi="Arial" w:cs="Arial"/>
          <w:sz w:val="22"/>
          <w:szCs w:val="22"/>
        </w:rPr>
        <w:t xml:space="preserve">regular </w:t>
      </w:r>
      <w:r w:rsidR="00FF0BEA" w:rsidRPr="004D56CB">
        <w:rPr>
          <w:rFonts w:ascii="Arial" w:hAnsi="Arial" w:cs="Arial"/>
          <w:sz w:val="22"/>
          <w:szCs w:val="22"/>
        </w:rPr>
        <w:t>tobacco users</w:t>
      </w:r>
      <w:r w:rsidR="008D2D1F" w:rsidRPr="004D56CB">
        <w:rPr>
          <w:rFonts w:ascii="Arial" w:hAnsi="Arial" w:cs="Arial"/>
          <w:sz w:val="22"/>
          <w:szCs w:val="22"/>
        </w:rPr>
        <w:t xml:space="preserve"> also de</w:t>
      </w:r>
      <w:r w:rsidR="006169AA" w:rsidRPr="004D56CB">
        <w:rPr>
          <w:rFonts w:ascii="Arial" w:hAnsi="Arial" w:cs="Arial"/>
          <w:sz w:val="22"/>
          <w:szCs w:val="22"/>
        </w:rPr>
        <w:t xml:space="preserve">creased over the period, from </w:t>
      </w:r>
      <w:r w:rsidR="008D2D1F" w:rsidRPr="004D56CB">
        <w:rPr>
          <w:rFonts w:ascii="Arial" w:hAnsi="Arial" w:cs="Arial"/>
          <w:sz w:val="22"/>
          <w:szCs w:val="22"/>
        </w:rPr>
        <w:t>41.3 million in 2009</w:t>
      </w:r>
      <w:r w:rsidR="00412E8D" w:rsidRPr="004D56CB">
        <w:rPr>
          <w:rFonts w:ascii="Arial" w:hAnsi="Arial" w:cs="Arial"/>
          <w:sz w:val="22"/>
          <w:szCs w:val="22"/>
        </w:rPr>
        <w:t xml:space="preserve"> </w:t>
      </w:r>
      <w:r w:rsidR="006B3F6D" w:rsidRPr="004D56CB">
        <w:rPr>
          <w:rFonts w:ascii="Arial" w:hAnsi="Arial" w:cs="Arial"/>
          <w:sz w:val="22"/>
        </w:rPr>
        <w:t>[15]</w:t>
      </w:r>
      <w:r w:rsidR="008B7B26" w:rsidRPr="004D56CB">
        <w:rPr>
          <w:rFonts w:ascii="Arial" w:hAnsi="Arial" w:cs="Arial"/>
          <w:sz w:val="22"/>
          <w:szCs w:val="22"/>
        </w:rPr>
        <w:t xml:space="preserve"> </w:t>
      </w:r>
      <w:r w:rsidR="008D2D1F" w:rsidRPr="004D56CB">
        <w:rPr>
          <w:rFonts w:ascii="Arial" w:hAnsi="Arial" w:cs="Arial"/>
          <w:sz w:val="22"/>
          <w:szCs w:val="22"/>
        </w:rPr>
        <w:t xml:space="preserve">to </w:t>
      </w:r>
      <w:r w:rsidR="00AB6CE8" w:rsidRPr="004D56CB">
        <w:rPr>
          <w:rFonts w:ascii="Arial" w:hAnsi="Arial" w:cs="Arial"/>
          <w:sz w:val="22"/>
          <w:szCs w:val="22"/>
        </w:rPr>
        <w:t>3</w:t>
      </w:r>
      <w:r w:rsidR="00F40922" w:rsidRPr="004D56CB">
        <w:rPr>
          <w:rFonts w:ascii="Arial" w:hAnsi="Arial" w:cs="Arial"/>
          <w:sz w:val="22"/>
          <w:szCs w:val="22"/>
        </w:rPr>
        <w:t>7.</w:t>
      </w:r>
      <w:r w:rsidR="002865A2" w:rsidRPr="004D56CB">
        <w:rPr>
          <w:rFonts w:ascii="Arial" w:hAnsi="Arial" w:cs="Arial"/>
          <w:sz w:val="22"/>
          <w:szCs w:val="22"/>
        </w:rPr>
        <w:t>8 million in 2017</w:t>
      </w:r>
      <w:r w:rsidR="004B293A" w:rsidRPr="004D56CB">
        <w:rPr>
          <w:rFonts w:ascii="Arial" w:hAnsi="Arial" w:cs="Arial"/>
          <w:sz w:val="22"/>
          <w:szCs w:val="22"/>
        </w:rPr>
        <w:t xml:space="preserve"> </w:t>
      </w:r>
      <w:r w:rsidR="004B293A" w:rsidRPr="004D56CB">
        <w:rPr>
          <w:rFonts w:ascii="Arial" w:hAnsi="Arial" w:cs="Arial"/>
          <w:sz w:val="22"/>
        </w:rPr>
        <w:t>[8]</w:t>
      </w:r>
      <w:r w:rsidR="00464BAB" w:rsidRPr="004D56CB">
        <w:rPr>
          <w:rFonts w:ascii="Arial" w:hAnsi="Arial" w:cs="Arial"/>
          <w:sz w:val="22"/>
          <w:szCs w:val="22"/>
        </w:rPr>
        <w:t>.</w:t>
      </w:r>
      <w:r w:rsidR="002865A2" w:rsidRPr="004D56CB">
        <w:rPr>
          <w:rFonts w:ascii="Arial" w:hAnsi="Arial" w:cs="Arial"/>
          <w:sz w:val="22"/>
          <w:szCs w:val="22"/>
        </w:rPr>
        <w:t xml:space="preserve"> </w:t>
      </w:r>
    </w:p>
    <w:p w14:paraId="7A1CD614" w14:textId="77777777" w:rsidR="00F414ED" w:rsidRPr="004D56CB" w:rsidRDefault="003A2483" w:rsidP="00B254E4">
      <w:pPr>
        <w:pStyle w:val="Heading2"/>
        <w:spacing w:line="360" w:lineRule="auto"/>
        <w:rPr>
          <w:rFonts w:ascii="Arial" w:hAnsi="Arial" w:cs="Arial"/>
          <w:sz w:val="22"/>
          <w:szCs w:val="22"/>
        </w:rPr>
      </w:pPr>
      <w:r w:rsidRPr="004D56CB">
        <w:rPr>
          <w:rFonts w:ascii="Arial" w:hAnsi="Arial" w:cs="Arial"/>
          <w:sz w:val="22"/>
          <w:szCs w:val="22"/>
        </w:rPr>
        <w:t>Combustible</w:t>
      </w:r>
      <w:r w:rsidR="00DE58A5" w:rsidRPr="004D56CB">
        <w:rPr>
          <w:rFonts w:ascii="Arial" w:hAnsi="Arial" w:cs="Arial"/>
          <w:sz w:val="22"/>
          <w:szCs w:val="22"/>
        </w:rPr>
        <w:t xml:space="preserve"> tobacco and </w:t>
      </w:r>
      <w:r w:rsidR="00D9018D" w:rsidRPr="004D56CB">
        <w:rPr>
          <w:rFonts w:ascii="Arial" w:hAnsi="Arial" w:cs="Arial"/>
          <w:sz w:val="22"/>
          <w:szCs w:val="22"/>
        </w:rPr>
        <w:t xml:space="preserve">ST use </w:t>
      </w:r>
    </w:p>
    <w:p w14:paraId="3F4DB2C1" w14:textId="6C408BB5" w:rsidR="005572D3" w:rsidRPr="004D56CB" w:rsidRDefault="006E39C9" w:rsidP="00B254E4">
      <w:pPr>
        <w:spacing w:line="360" w:lineRule="auto"/>
        <w:jc w:val="both"/>
        <w:rPr>
          <w:rFonts w:ascii="Arial" w:hAnsi="Arial" w:cs="Arial"/>
          <w:sz w:val="22"/>
          <w:szCs w:val="22"/>
        </w:rPr>
      </w:pPr>
      <w:r w:rsidRPr="004D56CB">
        <w:rPr>
          <w:rFonts w:ascii="Arial" w:hAnsi="Arial" w:cs="Arial"/>
          <w:sz w:val="22"/>
          <w:szCs w:val="22"/>
        </w:rPr>
        <w:t xml:space="preserve">ST </w:t>
      </w:r>
      <w:r w:rsidR="001517E0" w:rsidRPr="004D56CB">
        <w:rPr>
          <w:rFonts w:ascii="Arial" w:hAnsi="Arial" w:cs="Arial"/>
          <w:sz w:val="22"/>
          <w:szCs w:val="22"/>
        </w:rPr>
        <w:t>use</w:t>
      </w:r>
      <w:r w:rsidRPr="004D56CB">
        <w:rPr>
          <w:rFonts w:ascii="Arial" w:hAnsi="Arial" w:cs="Arial"/>
          <w:sz w:val="22"/>
          <w:szCs w:val="22"/>
        </w:rPr>
        <w:t xml:space="preserve"> among </w:t>
      </w:r>
      <w:r w:rsidR="00863862" w:rsidRPr="004D56CB">
        <w:rPr>
          <w:rFonts w:ascii="Arial" w:hAnsi="Arial" w:cs="Arial"/>
          <w:sz w:val="22"/>
          <w:szCs w:val="22"/>
        </w:rPr>
        <w:t>adults (15 years and older)</w:t>
      </w:r>
      <w:r w:rsidRPr="004D56CB">
        <w:rPr>
          <w:rFonts w:ascii="Arial" w:hAnsi="Arial" w:cs="Arial"/>
          <w:sz w:val="22"/>
          <w:szCs w:val="22"/>
        </w:rPr>
        <w:t xml:space="preserve"> declined from 27.2% in 2009 to 20.6% in 2017. </w:t>
      </w:r>
      <w:r w:rsidR="00A33ACE" w:rsidRPr="004D56CB">
        <w:rPr>
          <w:rFonts w:ascii="Arial" w:hAnsi="Arial" w:cs="Arial"/>
          <w:sz w:val="22"/>
          <w:szCs w:val="22"/>
        </w:rPr>
        <w:t>In 20</w:t>
      </w:r>
      <w:r w:rsidR="001517E0" w:rsidRPr="004D56CB">
        <w:rPr>
          <w:rFonts w:ascii="Arial" w:hAnsi="Arial" w:cs="Arial"/>
          <w:sz w:val="22"/>
          <w:szCs w:val="22"/>
        </w:rPr>
        <w:t>09, 25.9 million adults used</w:t>
      </w:r>
      <w:r w:rsidR="00A33ACE" w:rsidRPr="004D56CB">
        <w:rPr>
          <w:rFonts w:ascii="Arial" w:hAnsi="Arial" w:cs="Arial"/>
          <w:sz w:val="22"/>
          <w:szCs w:val="22"/>
        </w:rPr>
        <w:t xml:space="preserve"> ST, which represented 62.7% of all tobacco users,</w:t>
      </w:r>
      <w:r w:rsidR="005572D3" w:rsidRPr="004D56CB">
        <w:rPr>
          <w:rFonts w:ascii="Arial" w:hAnsi="Arial" w:cs="Arial"/>
          <w:sz w:val="22"/>
          <w:szCs w:val="22"/>
        </w:rPr>
        <w:t xml:space="preserve"> </w:t>
      </w:r>
      <w:r w:rsidR="00A552A3" w:rsidRPr="004D56CB">
        <w:rPr>
          <w:rFonts w:ascii="Arial" w:hAnsi="Arial" w:cs="Arial"/>
          <w:sz w:val="22"/>
          <w:szCs w:val="22"/>
        </w:rPr>
        <w:t xml:space="preserve">while in 2017, over 22 million adults </w:t>
      </w:r>
      <w:r w:rsidR="001517E0" w:rsidRPr="004D56CB">
        <w:rPr>
          <w:rFonts w:ascii="Arial" w:hAnsi="Arial" w:cs="Arial"/>
          <w:sz w:val="22"/>
          <w:szCs w:val="22"/>
        </w:rPr>
        <w:t xml:space="preserve">used </w:t>
      </w:r>
      <w:r w:rsidR="00A552A3" w:rsidRPr="004D56CB">
        <w:rPr>
          <w:rFonts w:ascii="Arial" w:hAnsi="Arial" w:cs="Arial"/>
          <w:sz w:val="22"/>
          <w:szCs w:val="22"/>
        </w:rPr>
        <w:t>ST regularly, which constitute</w:t>
      </w:r>
      <w:r w:rsidR="006C01E6" w:rsidRPr="004D56CB">
        <w:rPr>
          <w:rFonts w:ascii="Arial" w:hAnsi="Arial" w:cs="Arial"/>
          <w:sz w:val="22"/>
          <w:szCs w:val="22"/>
        </w:rPr>
        <w:t>d</w:t>
      </w:r>
      <w:r w:rsidR="00A552A3" w:rsidRPr="004D56CB">
        <w:rPr>
          <w:rFonts w:ascii="Arial" w:hAnsi="Arial" w:cs="Arial"/>
          <w:sz w:val="22"/>
          <w:szCs w:val="22"/>
        </w:rPr>
        <w:t xml:space="preserve"> more than half (58.0%) of all tobacco users</w:t>
      </w:r>
      <w:r w:rsidR="00412E8D" w:rsidRPr="004D56CB">
        <w:rPr>
          <w:rFonts w:ascii="Arial" w:hAnsi="Arial" w:cs="Arial"/>
          <w:sz w:val="22"/>
          <w:szCs w:val="22"/>
        </w:rPr>
        <w:t xml:space="preserve"> </w:t>
      </w:r>
      <w:r w:rsidR="006B3F6D" w:rsidRPr="004D56CB">
        <w:rPr>
          <w:rFonts w:ascii="Arial" w:hAnsi="Arial" w:cs="Arial"/>
          <w:sz w:val="22"/>
        </w:rPr>
        <w:t>[16]</w:t>
      </w:r>
      <w:r w:rsidR="00464BAB" w:rsidRPr="004D56CB">
        <w:rPr>
          <w:rFonts w:ascii="Arial" w:hAnsi="Arial" w:cs="Arial"/>
          <w:sz w:val="22"/>
          <w:szCs w:val="22"/>
        </w:rPr>
        <w:t>.</w:t>
      </w:r>
      <w:r w:rsidR="00A552A3" w:rsidRPr="004D56CB">
        <w:rPr>
          <w:rFonts w:ascii="Arial" w:hAnsi="Arial" w:cs="Arial"/>
          <w:sz w:val="22"/>
          <w:szCs w:val="22"/>
        </w:rPr>
        <w:t xml:space="preserve"> </w:t>
      </w:r>
      <w:r w:rsidR="00404682" w:rsidRPr="004D56CB">
        <w:rPr>
          <w:rFonts w:ascii="Arial" w:hAnsi="Arial" w:cs="Arial"/>
          <w:sz w:val="22"/>
          <w:szCs w:val="22"/>
        </w:rPr>
        <w:t xml:space="preserve">Among overall tobacco users, 18.7% were using betel quid with tobacco, and 3.6% </w:t>
      </w:r>
      <w:r w:rsidR="00DC0274" w:rsidRPr="004D56CB">
        <w:rPr>
          <w:rFonts w:ascii="Arial" w:hAnsi="Arial" w:cs="Arial"/>
          <w:sz w:val="22"/>
          <w:szCs w:val="22"/>
        </w:rPr>
        <w:t xml:space="preserve">were </w:t>
      </w:r>
      <w:r w:rsidR="00404682" w:rsidRPr="004D56CB">
        <w:rPr>
          <w:rFonts w:ascii="Arial" w:hAnsi="Arial" w:cs="Arial"/>
          <w:sz w:val="22"/>
          <w:szCs w:val="22"/>
        </w:rPr>
        <w:t>using Gul in 2017</w:t>
      </w:r>
      <w:r w:rsidR="001A77F3" w:rsidRPr="004D56CB">
        <w:rPr>
          <w:rFonts w:ascii="Arial" w:hAnsi="Arial" w:cs="Arial"/>
          <w:sz w:val="22"/>
          <w:szCs w:val="22"/>
        </w:rPr>
        <w:t xml:space="preserve"> </w:t>
      </w:r>
      <w:r w:rsidR="006B3F6D" w:rsidRPr="004D56CB">
        <w:rPr>
          <w:rFonts w:ascii="Arial" w:hAnsi="Arial" w:cs="Arial"/>
          <w:sz w:val="22"/>
        </w:rPr>
        <w:t>[16]</w:t>
      </w:r>
      <w:r w:rsidR="00464BAB" w:rsidRPr="004D56CB">
        <w:rPr>
          <w:rFonts w:ascii="Arial" w:hAnsi="Arial" w:cs="Arial"/>
          <w:sz w:val="22"/>
          <w:szCs w:val="22"/>
        </w:rPr>
        <w:t>.</w:t>
      </w:r>
      <w:r w:rsidR="00404682" w:rsidRPr="004D56CB">
        <w:rPr>
          <w:rFonts w:ascii="Arial" w:hAnsi="Arial" w:cs="Arial"/>
          <w:sz w:val="22"/>
          <w:szCs w:val="22"/>
        </w:rPr>
        <w:t xml:space="preserve"> </w:t>
      </w:r>
    </w:p>
    <w:p w14:paraId="22CF68C3" w14:textId="77777777" w:rsidR="005572D3" w:rsidRPr="004D56CB" w:rsidRDefault="005572D3" w:rsidP="00B254E4">
      <w:pPr>
        <w:spacing w:line="360" w:lineRule="auto"/>
        <w:jc w:val="both"/>
        <w:rPr>
          <w:rFonts w:ascii="Arial" w:hAnsi="Arial" w:cs="Arial"/>
          <w:sz w:val="22"/>
          <w:szCs w:val="22"/>
        </w:rPr>
      </w:pPr>
    </w:p>
    <w:p w14:paraId="09F2C1BB" w14:textId="0A0B14F8" w:rsidR="00F414ED" w:rsidRPr="004D56CB" w:rsidRDefault="008F23DF" w:rsidP="00B254E4">
      <w:pPr>
        <w:spacing w:line="360" w:lineRule="auto"/>
        <w:jc w:val="both"/>
        <w:rPr>
          <w:rFonts w:ascii="Arial" w:hAnsi="Arial" w:cs="Arial"/>
          <w:sz w:val="22"/>
          <w:szCs w:val="22"/>
        </w:rPr>
      </w:pPr>
      <w:r w:rsidRPr="004D56CB">
        <w:rPr>
          <w:rFonts w:ascii="Arial" w:hAnsi="Arial" w:cs="Arial"/>
          <w:sz w:val="22"/>
          <w:szCs w:val="22"/>
        </w:rPr>
        <w:t xml:space="preserve">The extent of change </w:t>
      </w:r>
      <w:r w:rsidR="006A476E" w:rsidRPr="004D56CB">
        <w:rPr>
          <w:rFonts w:ascii="Arial" w:hAnsi="Arial" w:cs="Arial"/>
          <w:sz w:val="22"/>
          <w:szCs w:val="22"/>
        </w:rPr>
        <w:t xml:space="preserve">in tobacco use over time </w:t>
      </w:r>
      <w:r w:rsidRPr="004D56CB">
        <w:rPr>
          <w:rFonts w:ascii="Arial" w:hAnsi="Arial" w:cs="Arial"/>
          <w:sz w:val="22"/>
          <w:szCs w:val="22"/>
        </w:rPr>
        <w:t>varied by cigarette, bi</w:t>
      </w:r>
      <w:r w:rsidR="00E72477" w:rsidRPr="004D56CB">
        <w:rPr>
          <w:rFonts w:ascii="Arial" w:hAnsi="Arial" w:cs="Arial"/>
          <w:sz w:val="22"/>
          <w:szCs w:val="22"/>
        </w:rPr>
        <w:t>d</w:t>
      </w:r>
      <w:r w:rsidRPr="004D56CB">
        <w:rPr>
          <w:rFonts w:ascii="Arial" w:hAnsi="Arial" w:cs="Arial"/>
          <w:sz w:val="22"/>
          <w:szCs w:val="22"/>
        </w:rPr>
        <w:t>i</w:t>
      </w:r>
      <w:r w:rsidR="00F82616" w:rsidRPr="004D56CB">
        <w:rPr>
          <w:rFonts w:ascii="Arial" w:hAnsi="Arial" w:cs="Arial"/>
          <w:sz w:val="22"/>
          <w:szCs w:val="22"/>
        </w:rPr>
        <w:t>,</w:t>
      </w:r>
      <w:r w:rsidRPr="004D56CB">
        <w:rPr>
          <w:rFonts w:ascii="Arial" w:hAnsi="Arial" w:cs="Arial"/>
          <w:sz w:val="22"/>
          <w:szCs w:val="22"/>
        </w:rPr>
        <w:t xml:space="preserve"> ST products</w:t>
      </w:r>
      <w:r w:rsidR="00F82616" w:rsidRPr="004D56CB">
        <w:rPr>
          <w:rFonts w:ascii="Arial" w:hAnsi="Arial" w:cs="Arial"/>
          <w:sz w:val="22"/>
          <w:szCs w:val="22"/>
        </w:rPr>
        <w:t>, and</w:t>
      </w:r>
      <w:r w:rsidRPr="004D56CB">
        <w:rPr>
          <w:rFonts w:ascii="Arial" w:hAnsi="Arial" w:cs="Arial"/>
          <w:sz w:val="22"/>
          <w:szCs w:val="22"/>
        </w:rPr>
        <w:t xml:space="preserve"> gender (Table 1). Overall </w:t>
      </w:r>
      <w:r w:rsidR="001517E0" w:rsidRPr="004D56CB">
        <w:rPr>
          <w:rFonts w:ascii="Arial" w:hAnsi="Arial" w:cs="Arial"/>
          <w:sz w:val="22"/>
          <w:szCs w:val="22"/>
        </w:rPr>
        <w:t>combustible</w:t>
      </w:r>
      <w:r w:rsidRPr="004D56CB">
        <w:rPr>
          <w:rFonts w:ascii="Arial" w:hAnsi="Arial" w:cs="Arial"/>
          <w:sz w:val="22"/>
          <w:szCs w:val="22"/>
        </w:rPr>
        <w:t xml:space="preserve"> tobacco use declined from 23.0% in 2009 to 18.0% in 2017, while ST consumption over the same per</w:t>
      </w:r>
      <w:r w:rsidR="00725795" w:rsidRPr="004D56CB">
        <w:rPr>
          <w:rFonts w:ascii="Arial" w:hAnsi="Arial" w:cs="Arial"/>
          <w:sz w:val="22"/>
          <w:szCs w:val="22"/>
        </w:rPr>
        <w:t>iod reduced from 27.2% to 20.0%</w:t>
      </w:r>
      <w:r w:rsidR="00E7020F" w:rsidRPr="004D56CB">
        <w:rPr>
          <w:rFonts w:ascii="Arial" w:hAnsi="Arial" w:cs="Arial"/>
          <w:sz w:val="22"/>
          <w:szCs w:val="22"/>
        </w:rPr>
        <w:t xml:space="preserve">. </w:t>
      </w:r>
      <w:r w:rsidR="00B740E6" w:rsidRPr="004D56CB">
        <w:rPr>
          <w:rFonts w:ascii="Arial" w:hAnsi="Arial" w:cs="Arial"/>
          <w:sz w:val="22"/>
          <w:szCs w:val="22"/>
        </w:rPr>
        <w:t xml:space="preserve">ST </w:t>
      </w:r>
      <w:r w:rsidR="00B61CFC" w:rsidRPr="004D56CB">
        <w:rPr>
          <w:rFonts w:ascii="Arial" w:hAnsi="Arial" w:cs="Arial"/>
          <w:sz w:val="22"/>
          <w:szCs w:val="22"/>
        </w:rPr>
        <w:t>use</w:t>
      </w:r>
      <w:r w:rsidR="00B740E6" w:rsidRPr="004D56CB">
        <w:rPr>
          <w:rFonts w:ascii="Arial" w:hAnsi="Arial" w:cs="Arial"/>
          <w:sz w:val="22"/>
          <w:szCs w:val="22"/>
        </w:rPr>
        <w:t xml:space="preserve"> e</w:t>
      </w:r>
      <w:r w:rsidR="007E40C4" w:rsidRPr="004D56CB">
        <w:rPr>
          <w:rFonts w:ascii="Arial" w:hAnsi="Arial" w:cs="Arial"/>
          <w:sz w:val="22"/>
          <w:szCs w:val="22"/>
        </w:rPr>
        <w:t>xceeded</w:t>
      </w:r>
      <w:r w:rsidR="00B740E6" w:rsidRPr="004D56CB">
        <w:rPr>
          <w:rFonts w:ascii="Arial" w:hAnsi="Arial" w:cs="Arial"/>
          <w:sz w:val="22"/>
          <w:szCs w:val="22"/>
        </w:rPr>
        <w:t xml:space="preserve"> the prevalence of </w:t>
      </w:r>
      <w:r w:rsidR="003A39EE" w:rsidRPr="004D56CB">
        <w:rPr>
          <w:rFonts w:ascii="Arial" w:hAnsi="Arial" w:cs="Arial"/>
          <w:sz w:val="22"/>
          <w:szCs w:val="22"/>
        </w:rPr>
        <w:t xml:space="preserve">combustible tobacco </w:t>
      </w:r>
      <w:r w:rsidR="00FD4E87" w:rsidRPr="004D56CB">
        <w:rPr>
          <w:rFonts w:ascii="Arial" w:hAnsi="Arial" w:cs="Arial"/>
          <w:sz w:val="22"/>
          <w:szCs w:val="22"/>
        </w:rPr>
        <w:t xml:space="preserve">use </w:t>
      </w:r>
      <w:r w:rsidR="00DC06F8" w:rsidRPr="004D56CB">
        <w:rPr>
          <w:rFonts w:ascii="Arial" w:hAnsi="Arial" w:cs="Arial"/>
          <w:sz w:val="22"/>
          <w:szCs w:val="22"/>
        </w:rPr>
        <w:t xml:space="preserve">among adults </w:t>
      </w:r>
      <w:r w:rsidR="00B740E6" w:rsidRPr="004D56CB">
        <w:rPr>
          <w:rFonts w:ascii="Arial" w:hAnsi="Arial" w:cs="Arial"/>
          <w:sz w:val="22"/>
          <w:szCs w:val="22"/>
        </w:rPr>
        <w:t xml:space="preserve">in </w:t>
      </w:r>
      <w:r w:rsidR="007E40C4" w:rsidRPr="004D56CB">
        <w:rPr>
          <w:rFonts w:ascii="Arial" w:hAnsi="Arial" w:cs="Arial"/>
          <w:sz w:val="22"/>
          <w:szCs w:val="22"/>
        </w:rPr>
        <w:t>2009</w:t>
      </w:r>
      <w:r w:rsidR="00412E8D" w:rsidRPr="004D56CB">
        <w:rPr>
          <w:rFonts w:ascii="Arial" w:hAnsi="Arial" w:cs="Arial"/>
          <w:sz w:val="22"/>
          <w:szCs w:val="22"/>
        </w:rPr>
        <w:t xml:space="preserve"> </w:t>
      </w:r>
      <w:r w:rsidR="006B3F6D" w:rsidRPr="004D56CB">
        <w:rPr>
          <w:rFonts w:ascii="Arial" w:hAnsi="Arial" w:cs="Arial"/>
          <w:sz w:val="22"/>
        </w:rPr>
        <w:t>[15]</w:t>
      </w:r>
      <w:r w:rsidR="00412E8D" w:rsidRPr="004D56CB">
        <w:rPr>
          <w:rFonts w:ascii="Arial" w:hAnsi="Arial" w:cs="Arial"/>
          <w:sz w:val="22"/>
          <w:szCs w:val="22"/>
        </w:rPr>
        <w:t>,</w:t>
      </w:r>
      <w:r w:rsidR="007E40C4" w:rsidRPr="004D56CB">
        <w:rPr>
          <w:rFonts w:ascii="Arial" w:hAnsi="Arial" w:cs="Arial"/>
          <w:sz w:val="22"/>
          <w:szCs w:val="22"/>
        </w:rPr>
        <w:t xml:space="preserve"> and </w:t>
      </w:r>
      <w:r w:rsidR="00EA57BD" w:rsidRPr="004D56CB">
        <w:rPr>
          <w:rFonts w:ascii="Arial" w:hAnsi="Arial" w:cs="Arial"/>
          <w:sz w:val="22"/>
          <w:szCs w:val="22"/>
        </w:rPr>
        <w:t>the pattern remain</w:t>
      </w:r>
      <w:r w:rsidR="00E04C66" w:rsidRPr="004D56CB">
        <w:rPr>
          <w:rFonts w:ascii="Arial" w:hAnsi="Arial" w:cs="Arial"/>
          <w:sz w:val="22"/>
          <w:szCs w:val="22"/>
        </w:rPr>
        <w:t>ed</w:t>
      </w:r>
      <w:r w:rsidR="00EA57BD" w:rsidRPr="004D56CB">
        <w:rPr>
          <w:rFonts w:ascii="Arial" w:hAnsi="Arial" w:cs="Arial"/>
          <w:sz w:val="22"/>
          <w:szCs w:val="22"/>
        </w:rPr>
        <w:t xml:space="preserve"> </w:t>
      </w:r>
      <w:r w:rsidR="00E04C66" w:rsidRPr="004D56CB">
        <w:rPr>
          <w:rFonts w:ascii="Arial" w:hAnsi="Arial" w:cs="Arial"/>
          <w:sz w:val="22"/>
          <w:szCs w:val="22"/>
        </w:rPr>
        <w:t xml:space="preserve">the </w:t>
      </w:r>
      <w:r w:rsidR="00EA57BD" w:rsidRPr="004D56CB">
        <w:rPr>
          <w:rFonts w:ascii="Arial" w:hAnsi="Arial" w:cs="Arial"/>
          <w:sz w:val="22"/>
          <w:szCs w:val="22"/>
        </w:rPr>
        <w:t>same in 2017</w:t>
      </w:r>
      <w:r w:rsidR="00B740E6" w:rsidRPr="004D56CB">
        <w:rPr>
          <w:rFonts w:ascii="Arial" w:hAnsi="Arial" w:cs="Arial"/>
          <w:sz w:val="22"/>
          <w:szCs w:val="22"/>
        </w:rPr>
        <w:t>.</w:t>
      </w:r>
    </w:p>
    <w:p w14:paraId="40FEE1F3" w14:textId="77777777" w:rsidR="00FF20B9" w:rsidRPr="004D56CB" w:rsidRDefault="00FF20B9" w:rsidP="00B254E4">
      <w:pPr>
        <w:spacing w:line="360" w:lineRule="auto"/>
        <w:jc w:val="both"/>
        <w:rPr>
          <w:rFonts w:ascii="Arial" w:hAnsi="Arial" w:cs="Arial"/>
          <w:sz w:val="22"/>
          <w:szCs w:val="22"/>
        </w:rPr>
      </w:pPr>
    </w:p>
    <w:p w14:paraId="0D2EF7E7" w14:textId="263C5179" w:rsidR="00F414ED" w:rsidRPr="004D56CB" w:rsidRDefault="00D9018D" w:rsidP="00B254E4">
      <w:pPr>
        <w:spacing w:line="360" w:lineRule="auto"/>
        <w:jc w:val="both"/>
        <w:rPr>
          <w:rFonts w:ascii="Arial" w:hAnsi="Arial" w:cs="Arial"/>
          <w:sz w:val="22"/>
          <w:szCs w:val="22"/>
        </w:rPr>
      </w:pPr>
      <w:r w:rsidRPr="004D56CB">
        <w:rPr>
          <w:rFonts w:ascii="Arial" w:hAnsi="Arial" w:cs="Arial"/>
          <w:sz w:val="22"/>
          <w:szCs w:val="22"/>
        </w:rPr>
        <w:t>While bi</w:t>
      </w:r>
      <w:r w:rsidR="000F7BBE" w:rsidRPr="004D56CB">
        <w:rPr>
          <w:rFonts w:ascii="Arial" w:hAnsi="Arial" w:cs="Arial"/>
          <w:sz w:val="22"/>
          <w:szCs w:val="22"/>
        </w:rPr>
        <w:t>d</w:t>
      </w:r>
      <w:r w:rsidRPr="004D56CB">
        <w:rPr>
          <w:rFonts w:ascii="Arial" w:hAnsi="Arial" w:cs="Arial"/>
          <w:sz w:val="22"/>
          <w:szCs w:val="22"/>
        </w:rPr>
        <w:t xml:space="preserve">i and ST </w:t>
      </w:r>
      <w:r w:rsidR="000F7BBE" w:rsidRPr="004D56CB">
        <w:rPr>
          <w:rFonts w:ascii="Arial" w:hAnsi="Arial" w:cs="Arial"/>
          <w:sz w:val="22"/>
          <w:szCs w:val="22"/>
        </w:rPr>
        <w:t xml:space="preserve">use </w:t>
      </w:r>
      <w:r w:rsidRPr="004D56CB">
        <w:rPr>
          <w:rFonts w:ascii="Arial" w:hAnsi="Arial" w:cs="Arial"/>
          <w:sz w:val="22"/>
          <w:szCs w:val="22"/>
        </w:rPr>
        <w:t>has declined</w:t>
      </w:r>
      <w:r w:rsidR="00B420AC" w:rsidRPr="004D56CB">
        <w:rPr>
          <w:rFonts w:ascii="Arial" w:hAnsi="Arial" w:cs="Arial"/>
          <w:sz w:val="22"/>
          <w:szCs w:val="22"/>
        </w:rPr>
        <w:t>, specifically among men</w:t>
      </w:r>
      <w:r w:rsidRPr="004D56CB">
        <w:rPr>
          <w:rFonts w:ascii="Arial" w:hAnsi="Arial" w:cs="Arial"/>
          <w:sz w:val="22"/>
          <w:szCs w:val="22"/>
        </w:rPr>
        <w:t xml:space="preserve">, cigarette </w:t>
      </w:r>
      <w:r w:rsidR="000F7BBE" w:rsidRPr="004D56CB">
        <w:rPr>
          <w:rFonts w:ascii="Arial" w:hAnsi="Arial" w:cs="Arial"/>
          <w:sz w:val="22"/>
          <w:szCs w:val="22"/>
        </w:rPr>
        <w:t xml:space="preserve">use </w:t>
      </w:r>
      <w:r w:rsidR="00FB3764" w:rsidRPr="004D56CB">
        <w:rPr>
          <w:rFonts w:ascii="Arial" w:hAnsi="Arial" w:cs="Arial"/>
          <w:sz w:val="22"/>
          <w:szCs w:val="22"/>
        </w:rPr>
        <w:t xml:space="preserve">has </w:t>
      </w:r>
      <w:r w:rsidRPr="004D56CB">
        <w:rPr>
          <w:rFonts w:ascii="Arial" w:hAnsi="Arial" w:cs="Arial"/>
          <w:sz w:val="22"/>
          <w:szCs w:val="22"/>
        </w:rPr>
        <w:t xml:space="preserve">remained the same </w:t>
      </w:r>
      <w:r w:rsidR="00E04C66" w:rsidRPr="004D56CB">
        <w:rPr>
          <w:rFonts w:ascii="Arial" w:hAnsi="Arial" w:cs="Arial"/>
          <w:sz w:val="22"/>
          <w:szCs w:val="22"/>
        </w:rPr>
        <w:t>from</w:t>
      </w:r>
      <w:r w:rsidRPr="004D56CB">
        <w:rPr>
          <w:rFonts w:ascii="Arial" w:hAnsi="Arial" w:cs="Arial"/>
          <w:sz w:val="22"/>
          <w:szCs w:val="22"/>
        </w:rPr>
        <w:t xml:space="preserve"> 2009</w:t>
      </w:r>
      <w:r w:rsidR="00FB3764" w:rsidRPr="004D56CB">
        <w:rPr>
          <w:rFonts w:ascii="Arial" w:hAnsi="Arial" w:cs="Arial"/>
          <w:sz w:val="22"/>
          <w:szCs w:val="22"/>
        </w:rPr>
        <w:t xml:space="preserve"> to 2017</w:t>
      </w:r>
      <w:r w:rsidR="00412E8D" w:rsidRPr="004D56CB">
        <w:rPr>
          <w:rFonts w:ascii="Arial" w:hAnsi="Arial" w:cs="Arial"/>
          <w:sz w:val="22"/>
          <w:szCs w:val="22"/>
        </w:rPr>
        <w:t xml:space="preserve"> </w:t>
      </w:r>
      <w:r w:rsidR="006B3F6D" w:rsidRPr="004D56CB">
        <w:rPr>
          <w:rFonts w:ascii="Arial" w:hAnsi="Arial" w:cs="Arial"/>
          <w:sz w:val="22"/>
        </w:rPr>
        <w:t>[15]</w:t>
      </w:r>
      <w:r w:rsidR="00464BAB" w:rsidRPr="004D56CB">
        <w:rPr>
          <w:rFonts w:ascii="Arial" w:hAnsi="Arial" w:cs="Arial"/>
          <w:sz w:val="22"/>
          <w:szCs w:val="22"/>
        </w:rPr>
        <w:t>.</w:t>
      </w:r>
      <w:r w:rsidRPr="004D56CB">
        <w:rPr>
          <w:rFonts w:ascii="Arial" w:hAnsi="Arial" w:cs="Arial"/>
          <w:sz w:val="22"/>
          <w:szCs w:val="22"/>
        </w:rPr>
        <w:t xml:space="preserve"> </w:t>
      </w:r>
      <w:r w:rsidR="000F7BBE" w:rsidRPr="004D56CB">
        <w:rPr>
          <w:rFonts w:ascii="Arial" w:hAnsi="Arial" w:cs="Arial"/>
          <w:sz w:val="22"/>
          <w:szCs w:val="22"/>
        </w:rPr>
        <w:t xml:space="preserve">Combustible </w:t>
      </w:r>
      <w:r w:rsidRPr="004D56CB">
        <w:rPr>
          <w:rFonts w:ascii="Arial" w:hAnsi="Arial" w:cs="Arial"/>
          <w:sz w:val="22"/>
          <w:szCs w:val="22"/>
        </w:rPr>
        <w:t xml:space="preserve">tobacco </w:t>
      </w:r>
      <w:r w:rsidR="000F6FA5" w:rsidRPr="004D56CB">
        <w:rPr>
          <w:rFonts w:ascii="Arial" w:hAnsi="Arial" w:cs="Arial"/>
          <w:sz w:val="22"/>
          <w:szCs w:val="22"/>
        </w:rPr>
        <w:t>use</w:t>
      </w:r>
      <w:r w:rsidRPr="004D56CB">
        <w:rPr>
          <w:rFonts w:ascii="Arial" w:hAnsi="Arial" w:cs="Arial"/>
          <w:sz w:val="22"/>
          <w:szCs w:val="22"/>
        </w:rPr>
        <w:t xml:space="preserve"> among men and ST </w:t>
      </w:r>
      <w:r w:rsidR="000F7BBE" w:rsidRPr="004D56CB">
        <w:rPr>
          <w:rFonts w:ascii="Arial" w:hAnsi="Arial" w:cs="Arial"/>
          <w:sz w:val="22"/>
          <w:szCs w:val="22"/>
        </w:rPr>
        <w:t>use</w:t>
      </w:r>
      <w:r w:rsidRPr="004D56CB">
        <w:rPr>
          <w:rFonts w:ascii="Arial" w:hAnsi="Arial" w:cs="Arial"/>
          <w:sz w:val="22"/>
          <w:szCs w:val="22"/>
        </w:rPr>
        <w:t xml:space="preserve"> among women </w:t>
      </w:r>
      <w:r w:rsidR="002D477E" w:rsidRPr="004D56CB">
        <w:rPr>
          <w:rFonts w:ascii="Arial" w:hAnsi="Arial" w:cs="Arial"/>
          <w:sz w:val="22"/>
          <w:szCs w:val="22"/>
        </w:rPr>
        <w:t>w</w:t>
      </w:r>
      <w:r w:rsidR="00E04C66" w:rsidRPr="004D56CB">
        <w:rPr>
          <w:rFonts w:ascii="Arial" w:hAnsi="Arial" w:cs="Arial"/>
          <w:sz w:val="22"/>
          <w:szCs w:val="22"/>
        </w:rPr>
        <w:t>as</w:t>
      </w:r>
      <w:r w:rsidR="002D477E" w:rsidRPr="004D56CB">
        <w:rPr>
          <w:rFonts w:ascii="Arial" w:hAnsi="Arial" w:cs="Arial"/>
          <w:sz w:val="22"/>
          <w:szCs w:val="22"/>
        </w:rPr>
        <w:t xml:space="preserve"> </w:t>
      </w:r>
      <w:r w:rsidRPr="004D56CB">
        <w:rPr>
          <w:rFonts w:ascii="Arial" w:hAnsi="Arial" w:cs="Arial"/>
          <w:sz w:val="22"/>
          <w:szCs w:val="22"/>
        </w:rPr>
        <w:t>still very high</w:t>
      </w:r>
      <w:r w:rsidR="000A36FB" w:rsidRPr="004D56CB">
        <w:rPr>
          <w:rFonts w:ascii="Arial" w:hAnsi="Arial" w:cs="Arial"/>
          <w:sz w:val="22"/>
          <w:szCs w:val="22"/>
        </w:rPr>
        <w:t xml:space="preserve"> in 2017</w:t>
      </w:r>
      <w:r w:rsidRPr="004D56CB">
        <w:rPr>
          <w:rFonts w:ascii="Arial" w:hAnsi="Arial" w:cs="Arial"/>
          <w:sz w:val="22"/>
          <w:szCs w:val="22"/>
        </w:rPr>
        <w:t xml:space="preserve">. </w:t>
      </w:r>
    </w:p>
    <w:p w14:paraId="5DE91D7A" w14:textId="77777777" w:rsidR="00F414ED" w:rsidRPr="004D56CB" w:rsidRDefault="00D9018D" w:rsidP="00B254E4">
      <w:pPr>
        <w:pStyle w:val="Heading2"/>
        <w:spacing w:line="360" w:lineRule="auto"/>
        <w:rPr>
          <w:rFonts w:ascii="Arial" w:hAnsi="Arial" w:cs="Arial"/>
          <w:sz w:val="22"/>
          <w:szCs w:val="22"/>
        </w:rPr>
      </w:pPr>
      <w:r w:rsidRPr="004D56CB">
        <w:rPr>
          <w:rFonts w:ascii="Arial" w:hAnsi="Arial" w:cs="Arial"/>
          <w:sz w:val="22"/>
          <w:szCs w:val="22"/>
        </w:rPr>
        <w:t>Disease burden due to ST use</w:t>
      </w:r>
    </w:p>
    <w:p w14:paraId="531CB2E0" w14:textId="6E53722D" w:rsidR="000E3CAB" w:rsidRPr="004D56CB" w:rsidRDefault="0029655E" w:rsidP="00B254E4">
      <w:pPr>
        <w:spacing w:line="360" w:lineRule="auto"/>
        <w:jc w:val="both"/>
        <w:rPr>
          <w:rFonts w:ascii="Arial" w:hAnsi="Arial" w:cs="Arial"/>
          <w:sz w:val="22"/>
          <w:szCs w:val="22"/>
        </w:rPr>
      </w:pPr>
      <w:r w:rsidRPr="004D56CB">
        <w:rPr>
          <w:rFonts w:ascii="Arial" w:hAnsi="Arial" w:cs="Arial"/>
          <w:sz w:val="22"/>
          <w:szCs w:val="22"/>
        </w:rPr>
        <w:t xml:space="preserve">Contrary to the decline in ST use and </w:t>
      </w:r>
      <w:r w:rsidR="00AB5159" w:rsidRPr="004D56CB">
        <w:rPr>
          <w:rFonts w:ascii="Arial" w:hAnsi="Arial" w:cs="Arial"/>
          <w:sz w:val="22"/>
          <w:szCs w:val="22"/>
        </w:rPr>
        <w:t>in line</w:t>
      </w:r>
      <w:r w:rsidRPr="004D56CB">
        <w:rPr>
          <w:rFonts w:ascii="Arial" w:hAnsi="Arial" w:cs="Arial"/>
          <w:sz w:val="22"/>
          <w:szCs w:val="22"/>
        </w:rPr>
        <w:t xml:space="preserve"> with the usual time lag between tobacco exposure and the development of cancers, the ST-related disease burden is still on the</w:t>
      </w:r>
      <w:r w:rsidR="00352701" w:rsidRPr="004D56CB">
        <w:rPr>
          <w:rFonts w:ascii="Arial" w:hAnsi="Arial" w:cs="Arial"/>
          <w:sz w:val="22"/>
          <w:szCs w:val="22"/>
        </w:rPr>
        <w:t xml:space="preserve"> rise</w:t>
      </w:r>
      <w:r w:rsidRPr="004D56CB">
        <w:rPr>
          <w:rFonts w:ascii="Arial" w:hAnsi="Arial" w:cs="Arial"/>
          <w:sz w:val="22"/>
          <w:szCs w:val="22"/>
        </w:rPr>
        <w:t xml:space="preserve">. </w:t>
      </w:r>
      <w:r w:rsidR="00E80FAE" w:rsidRPr="004D56CB">
        <w:rPr>
          <w:rFonts w:ascii="Arial" w:hAnsi="Arial" w:cs="Arial"/>
          <w:sz w:val="22"/>
          <w:szCs w:val="22"/>
        </w:rPr>
        <w:t>Using GATS 2009 data, Siddiqi</w:t>
      </w:r>
      <w:r w:rsidR="00572A86" w:rsidRPr="004D56CB">
        <w:rPr>
          <w:rFonts w:ascii="Arial" w:hAnsi="Arial" w:cs="Arial"/>
          <w:sz w:val="22"/>
          <w:szCs w:val="22"/>
        </w:rPr>
        <w:t xml:space="preserve"> et al</w:t>
      </w:r>
      <w:r w:rsidR="00E04C66" w:rsidRPr="004D56CB">
        <w:rPr>
          <w:rFonts w:ascii="Arial" w:hAnsi="Arial" w:cs="Arial"/>
          <w:sz w:val="22"/>
          <w:szCs w:val="22"/>
        </w:rPr>
        <w:t>.</w:t>
      </w:r>
      <w:r w:rsidR="00572A86" w:rsidRPr="004D56CB">
        <w:rPr>
          <w:rFonts w:ascii="Arial" w:hAnsi="Arial" w:cs="Arial"/>
          <w:sz w:val="22"/>
          <w:szCs w:val="22"/>
        </w:rPr>
        <w:t xml:space="preserve"> estimated </w:t>
      </w:r>
      <w:r w:rsidR="004E09A6" w:rsidRPr="004D56CB">
        <w:rPr>
          <w:rFonts w:ascii="Arial" w:hAnsi="Arial" w:cs="Arial"/>
          <w:sz w:val="22"/>
          <w:szCs w:val="22"/>
        </w:rPr>
        <w:t xml:space="preserve">that </w:t>
      </w:r>
      <w:r w:rsidR="00FB6753" w:rsidRPr="004D56CB">
        <w:rPr>
          <w:rFonts w:ascii="Arial" w:hAnsi="Arial" w:cs="Arial"/>
          <w:sz w:val="22"/>
          <w:szCs w:val="22"/>
        </w:rPr>
        <w:t>12,511</w:t>
      </w:r>
      <w:r w:rsidR="00352701" w:rsidRPr="004D56CB">
        <w:rPr>
          <w:rFonts w:ascii="Arial" w:hAnsi="Arial" w:cs="Arial"/>
          <w:sz w:val="22"/>
          <w:szCs w:val="22"/>
        </w:rPr>
        <w:t xml:space="preserve"> deaths and </w:t>
      </w:r>
      <w:r w:rsidR="00FB6753" w:rsidRPr="004D56CB">
        <w:rPr>
          <w:rFonts w:ascii="Arial" w:hAnsi="Arial" w:cs="Arial"/>
          <w:sz w:val="22"/>
          <w:szCs w:val="22"/>
        </w:rPr>
        <w:t xml:space="preserve">324,020 </w:t>
      </w:r>
      <w:r w:rsidR="00352701" w:rsidRPr="004D56CB">
        <w:rPr>
          <w:rFonts w:ascii="Arial" w:hAnsi="Arial" w:cs="Arial"/>
          <w:sz w:val="22"/>
          <w:szCs w:val="22"/>
        </w:rPr>
        <w:t>DALYs were lost in Bangladesh due to ST</w:t>
      </w:r>
      <w:r w:rsidR="00F82616" w:rsidRPr="004D56CB">
        <w:rPr>
          <w:rFonts w:ascii="Arial" w:hAnsi="Arial" w:cs="Arial"/>
          <w:sz w:val="22"/>
          <w:szCs w:val="22"/>
        </w:rPr>
        <w:t>-</w:t>
      </w:r>
      <w:r w:rsidR="00352701" w:rsidRPr="004D56CB">
        <w:rPr>
          <w:rFonts w:ascii="Arial" w:hAnsi="Arial" w:cs="Arial"/>
          <w:sz w:val="22"/>
          <w:szCs w:val="22"/>
        </w:rPr>
        <w:t>related diseases</w:t>
      </w:r>
      <w:r w:rsidR="001A77F3" w:rsidRPr="004D56CB">
        <w:rPr>
          <w:rFonts w:ascii="Arial" w:hAnsi="Arial" w:cs="Arial"/>
          <w:sz w:val="22"/>
          <w:szCs w:val="22"/>
        </w:rPr>
        <w:t xml:space="preserve"> </w:t>
      </w:r>
      <w:r w:rsidR="001A77F3" w:rsidRPr="004D56CB">
        <w:rPr>
          <w:rFonts w:ascii="Arial" w:hAnsi="Arial" w:cs="Arial"/>
          <w:sz w:val="22"/>
        </w:rPr>
        <w:t>[2]</w:t>
      </w:r>
      <w:r w:rsidR="00352701" w:rsidRPr="004D56CB">
        <w:rPr>
          <w:rFonts w:ascii="Arial" w:hAnsi="Arial" w:cs="Arial"/>
          <w:sz w:val="22"/>
          <w:szCs w:val="22"/>
        </w:rPr>
        <w:t xml:space="preserve">. </w:t>
      </w:r>
      <w:r w:rsidR="001A51AC" w:rsidRPr="004D56CB">
        <w:rPr>
          <w:rFonts w:ascii="Arial" w:hAnsi="Arial" w:cs="Arial"/>
          <w:sz w:val="22"/>
          <w:szCs w:val="22"/>
        </w:rPr>
        <w:t>Data extracted from the estimation of the global disease burden</w:t>
      </w:r>
      <w:r w:rsidR="001A77F3" w:rsidRPr="004D56CB">
        <w:rPr>
          <w:rFonts w:ascii="Arial" w:hAnsi="Arial" w:cs="Arial"/>
          <w:sz w:val="22"/>
          <w:szCs w:val="22"/>
        </w:rPr>
        <w:t xml:space="preserve"> </w:t>
      </w:r>
      <w:r w:rsidR="001A77F3" w:rsidRPr="004D56CB">
        <w:rPr>
          <w:rFonts w:ascii="Arial" w:hAnsi="Arial" w:cs="Arial"/>
          <w:sz w:val="22"/>
        </w:rPr>
        <w:t>[12]</w:t>
      </w:r>
      <w:r w:rsidR="001A51AC" w:rsidRPr="004D56CB">
        <w:rPr>
          <w:rFonts w:ascii="Arial" w:hAnsi="Arial" w:cs="Arial"/>
          <w:sz w:val="22"/>
          <w:szCs w:val="22"/>
        </w:rPr>
        <w:t xml:space="preserve"> suggests </w:t>
      </w:r>
      <w:r w:rsidR="00D9018D" w:rsidRPr="004D56CB">
        <w:rPr>
          <w:rFonts w:ascii="Arial" w:hAnsi="Arial" w:cs="Arial"/>
          <w:sz w:val="22"/>
          <w:szCs w:val="22"/>
        </w:rPr>
        <w:t>that in 2017, at least 16</w:t>
      </w:r>
      <w:r w:rsidR="002D477E" w:rsidRPr="004D56CB">
        <w:rPr>
          <w:rFonts w:ascii="Arial" w:hAnsi="Arial" w:cs="Arial"/>
          <w:sz w:val="22"/>
          <w:szCs w:val="22"/>
        </w:rPr>
        <w:t>,</w:t>
      </w:r>
      <w:r w:rsidR="00D9018D" w:rsidRPr="004D56CB">
        <w:rPr>
          <w:rFonts w:ascii="Arial" w:hAnsi="Arial" w:cs="Arial"/>
          <w:sz w:val="22"/>
          <w:szCs w:val="22"/>
        </w:rPr>
        <w:t>947 lives and 403</w:t>
      </w:r>
      <w:r w:rsidR="002D477E" w:rsidRPr="004D56CB">
        <w:rPr>
          <w:rFonts w:ascii="Arial" w:hAnsi="Arial" w:cs="Arial"/>
          <w:sz w:val="22"/>
          <w:szCs w:val="22"/>
        </w:rPr>
        <w:t>,</w:t>
      </w:r>
      <w:r w:rsidR="00D9018D" w:rsidRPr="004D56CB">
        <w:rPr>
          <w:rFonts w:ascii="Arial" w:hAnsi="Arial" w:cs="Arial"/>
          <w:sz w:val="22"/>
          <w:szCs w:val="22"/>
        </w:rPr>
        <w:t>4</w:t>
      </w:r>
      <w:r w:rsidR="001D324C" w:rsidRPr="004D56CB">
        <w:rPr>
          <w:rFonts w:ascii="Arial" w:hAnsi="Arial" w:cs="Arial"/>
          <w:sz w:val="22"/>
          <w:szCs w:val="22"/>
        </w:rPr>
        <w:t>60</w:t>
      </w:r>
      <w:r w:rsidR="00D9018D" w:rsidRPr="004D56CB">
        <w:rPr>
          <w:rFonts w:ascii="Arial" w:hAnsi="Arial" w:cs="Arial"/>
          <w:sz w:val="22"/>
          <w:szCs w:val="22"/>
        </w:rPr>
        <w:t xml:space="preserve"> DALYs were lost across Bangladesh due to oral, pharyngeal, oesophageal cancers</w:t>
      </w:r>
      <w:r w:rsidR="00F82616" w:rsidRPr="004D56CB">
        <w:rPr>
          <w:rFonts w:ascii="Arial" w:hAnsi="Arial" w:cs="Arial"/>
          <w:sz w:val="22"/>
          <w:szCs w:val="22"/>
        </w:rPr>
        <w:t>,</w:t>
      </w:r>
      <w:r w:rsidR="00D9018D" w:rsidRPr="004D56CB">
        <w:rPr>
          <w:rFonts w:ascii="Arial" w:hAnsi="Arial" w:cs="Arial"/>
          <w:sz w:val="22"/>
          <w:szCs w:val="22"/>
        </w:rPr>
        <w:t xml:space="preserve"> and ischemic heart diseases that can be attributed to ST. Disease</w:t>
      </w:r>
      <w:r w:rsidR="00E04C66" w:rsidRPr="004D56CB">
        <w:rPr>
          <w:rFonts w:ascii="Arial" w:hAnsi="Arial" w:cs="Arial"/>
          <w:sz w:val="22"/>
          <w:szCs w:val="22"/>
        </w:rPr>
        <w:t>-</w:t>
      </w:r>
      <w:r w:rsidR="00D9018D" w:rsidRPr="004D56CB">
        <w:rPr>
          <w:rFonts w:ascii="Arial" w:hAnsi="Arial" w:cs="Arial"/>
          <w:sz w:val="22"/>
          <w:szCs w:val="22"/>
        </w:rPr>
        <w:t xml:space="preserve">specific DALYs and deaths that </w:t>
      </w:r>
      <w:r w:rsidRPr="004D56CB">
        <w:rPr>
          <w:rFonts w:ascii="Arial" w:hAnsi="Arial" w:cs="Arial"/>
          <w:sz w:val="22"/>
          <w:szCs w:val="22"/>
        </w:rPr>
        <w:t>are</w:t>
      </w:r>
      <w:r w:rsidR="00D9018D" w:rsidRPr="004D56CB">
        <w:rPr>
          <w:rFonts w:ascii="Arial" w:hAnsi="Arial" w:cs="Arial"/>
          <w:sz w:val="22"/>
          <w:szCs w:val="22"/>
        </w:rPr>
        <w:t xml:space="preserve"> attributed to ST use are shown in </w:t>
      </w:r>
      <w:r w:rsidR="00D05FD1" w:rsidRPr="004D56CB">
        <w:rPr>
          <w:rFonts w:ascii="Arial" w:hAnsi="Arial" w:cs="Arial"/>
          <w:sz w:val="22"/>
          <w:szCs w:val="22"/>
        </w:rPr>
        <w:t>Figure 1</w:t>
      </w:r>
      <w:r w:rsidR="00D9018D" w:rsidRPr="004D56CB">
        <w:rPr>
          <w:rFonts w:ascii="Arial" w:hAnsi="Arial" w:cs="Arial"/>
          <w:sz w:val="22"/>
          <w:szCs w:val="22"/>
        </w:rPr>
        <w:t xml:space="preserve">. </w:t>
      </w:r>
    </w:p>
    <w:p w14:paraId="0F072840" w14:textId="60EE2325" w:rsidR="00F414ED" w:rsidRPr="004D56CB" w:rsidRDefault="00D9018D" w:rsidP="00B254E4">
      <w:pPr>
        <w:pStyle w:val="Heading2"/>
        <w:spacing w:line="360" w:lineRule="auto"/>
        <w:rPr>
          <w:rFonts w:ascii="Arial" w:hAnsi="Arial" w:cs="Arial"/>
          <w:sz w:val="22"/>
          <w:szCs w:val="22"/>
        </w:rPr>
      </w:pPr>
      <w:r w:rsidRPr="004D56CB">
        <w:rPr>
          <w:rFonts w:ascii="Arial" w:hAnsi="Arial" w:cs="Arial"/>
          <w:sz w:val="22"/>
          <w:szCs w:val="22"/>
        </w:rPr>
        <w:t>Tobacco control policies</w:t>
      </w:r>
      <w:r w:rsidR="00120878" w:rsidRPr="004D56CB">
        <w:rPr>
          <w:rFonts w:ascii="Arial" w:hAnsi="Arial" w:cs="Arial"/>
          <w:sz w:val="22"/>
          <w:szCs w:val="22"/>
        </w:rPr>
        <w:t xml:space="preserve"> and gaps in ST control</w:t>
      </w:r>
    </w:p>
    <w:p w14:paraId="7FF0312C" w14:textId="370647CA" w:rsidR="00F414ED" w:rsidRPr="004D56CB" w:rsidRDefault="00646FF9" w:rsidP="00120878">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line="360" w:lineRule="auto"/>
        <w:jc w:val="both"/>
        <w:rPr>
          <w:rFonts w:ascii="Arial" w:hAnsi="Arial" w:cs="Arial"/>
          <w:sz w:val="22"/>
          <w:szCs w:val="22"/>
        </w:rPr>
      </w:pPr>
      <w:r w:rsidRPr="004D56CB">
        <w:rPr>
          <w:rFonts w:ascii="Arial" w:hAnsi="Arial" w:cs="Arial"/>
          <w:sz w:val="22"/>
          <w:szCs w:val="22"/>
        </w:rPr>
        <w:t xml:space="preserve">Smoking and </w:t>
      </w:r>
      <w:r w:rsidR="00D9018D" w:rsidRPr="004D56CB">
        <w:rPr>
          <w:rFonts w:ascii="Arial" w:hAnsi="Arial" w:cs="Arial"/>
          <w:sz w:val="22"/>
          <w:szCs w:val="22"/>
        </w:rPr>
        <w:t xml:space="preserve">Tobacco </w:t>
      </w:r>
      <w:r w:rsidRPr="004D56CB">
        <w:rPr>
          <w:rFonts w:ascii="Arial" w:hAnsi="Arial" w:cs="Arial"/>
          <w:sz w:val="22"/>
          <w:szCs w:val="22"/>
        </w:rPr>
        <w:t xml:space="preserve">Product Usage </w:t>
      </w:r>
      <w:r w:rsidR="005D6E30" w:rsidRPr="004D56CB">
        <w:rPr>
          <w:rFonts w:ascii="Arial" w:hAnsi="Arial" w:cs="Arial"/>
          <w:sz w:val="22"/>
          <w:szCs w:val="22"/>
        </w:rPr>
        <w:t xml:space="preserve">(Control) </w:t>
      </w:r>
      <w:r w:rsidRPr="004D56CB">
        <w:rPr>
          <w:rFonts w:ascii="Arial" w:hAnsi="Arial" w:cs="Arial"/>
          <w:sz w:val="22"/>
          <w:szCs w:val="22"/>
        </w:rPr>
        <w:t>Act</w:t>
      </w:r>
      <w:r w:rsidR="00E04C66" w:rsidRPr="004D56CB">
        <w:rPr>
          <w:rFonts w:ascii="Arial" w:hAnsi="Arial" w:cs="Arial"/>
          <w:sz w:val="22"/>
          <w:szCs w:val="22"/>
        </w:rPr>
        <w:t xml:space="preserve"> in</w:t>
      </w:r>
      <w:r w:rsidRPr="004D56CB">
        <w:rPr>
          <w:rFonts w:ascii="Arial" w:hAnsi="Arial" w:cs="Arial"/>
          <w:sz w:val="22"/>
          <w:szCs w:val="22"/>
        </w:rPr>
        <w:t xml:space="preserve"> </w:t>
      </w:r>
      <w:r w:rsidR="005D6E30" w:rsidRPr="004D56CB">
        <w:rPr>
          <w:rFonts w:ascii="Arial" w:hAnsi="Arial" w:cs="Arial"/>
          <w:sz w:val="22"/>
          <w:szCs w:val="22"/>
        </w:rPr>
        <w:t xml:space="preserve">2005 </w:t>
      </w:r>
      <w:r w:rsidR="00D9018D" w:rsidRPr="004D56CB">
        <w:rPr>
          <w:rFonts w:ascii="Arial" w:hAnsi="Arial" w:cs="Arial"/>
          <w:sz w:val="22"/>
          <w:szCs w:val="22"/>
        </w:rPr>
        <w:t xml:space="preserve">only covered </w:t>
      </w:r>
      <w:r w:rsidR="00E72477" w:rsidRPr="004D56CB">
        <w:rPr>
          <w:rFonts w:ascii="Arial" w:hAnsi="Arial" w:cs="Arial"/>
          <w:sz w:val="22"/>
          <w:szCs w:val="22"/>
        </w:rPr>
        <w:t xml:space="preserve">combustible </w:t>
      </w:r>
      <w:r w:rsidR="00D9018D" w:rsidRPr="004D56CB">
        <w:rPr>
          <w:rFonts w:ascii="Arial" w:hAnsi="Arial" w:cs="Arial"/>
          <w:sz w:val="22"/>
          <w:szCs w:val="22"/>
        </w:rPr>
        <w:t xml:space="preserve">tobacco. The definition of ‘tobacco’ did not include ST as a tobacco product </w:t>
      </w:r>
      <w:r w:rsidR="006516D5" w:rsidRPr="004D56CB">
        <w:rPr>
          <w:rFonts w:ascii="Arial" w:hAnsi="Arial" w:cs="Arial"/>
          <w:sz w:val="22"/>
          <w:szCs w:val="22"/>
        </w:rPr>
        <w:t>un</w:t>
      </w:r>
      <w:r w:rsidR="00D9018D" w:rsidRPr="004D56CB">
        <w:rPr>
          <w:rFonts w:ascii="Arial" w:hAnsi="Arial" w:cs="Arial"/>
          <w:sz w:val="22"/>
          <w:szCs w:val="22"/>
        </w:rPr>
        <w:t>til</w:t>
      </w:r>
      <w:r w:rsidR="0029655E" w:rsidRPr="004D56CB">
        <w:rPr>
          <w:rFonts w:ascii="Arial" w:hAnsi="Arial" w:cs="Arial"/>
          <w:sz w:val="22"/>
          <w:szCs w:val="22"/>
        </w:rPr>
        <w:t xml:space="preserve"> </w:t>
      </w:r>
      <w:r w:rsidR="00D9018D" w:rsidRPr="004D56CB">
        <w:rPr>
          <w:rFonts w:ascii="Arial" w:hAnsi="Arial" w:cs="Arial"/>
          <w:sz w:val="22"/>
          <w:szCs w:val="22"/>
        </w:rPr>
        <w:t>2013</w:t>
      </w:r>
      <w:r w:rsidR="00E04C66" w:rsidRPr="004D56CB">
        <w:rPr>
          <w:rFonts w:ascii="Arial" w:hAnsi="Arial" w:cs="Arial"/>
          <w:sz w:val="22"/>
          <w:szCs w:val="22"/>
        </w:rPr>
        <w:t>;</w:t>
      </w:r>
      <w:r w:rsidR="00D9018D" w:rsidRPr="004D56CB">
        <w:rPr>
          <w:rFonts w:ascii="Arial" w:hAnsi="Arial" w:cs="Arial"/>
          <w:sz w:val="22"/>
          <w:szCs w:val="22"/>
        </w:rPr>
        <w:t xml:space="preserve"> the </w:t>
      </w:r>
      <w:r w:rsidR="00BD1231" w:rsidRPr="004D56CB">
        <w:rPr>
          <w:rFonts w:ascii="Arial" w:hAnsi="Arial" w:cs="Arial"/>
          <w:sz w:val="22"/>
          <w:szCs w:val="22"/>
        </w:rPr>
        <w:t xml:space="preserve">Act </w:t>
      </w:r>
      <w:r w:rsidR="00D9018D" w:rsidRPr="004D56CB">
        <w:rPr>
          <w:rFonts w:ascii="Arial" w:hAnsi="Arial" w:cs="Arial"/>
          <w:sz w:val="22"/>
          <w:szCs w:val="22"/>
        </w:rPr>
        <w:t>w</w:t>
      </w:r>
      <w:r w:rsidR="007D2D25" w:rsidRPr="004D56CB">
        <w:rPr>
          <w:rFonts w:ascii="Arial" w:hAnsi="Arial" w:cs="Arial"/>
          <w:sz w:val="22"/>
          <w:szCs w:val="22"/>
        </w:rPr>
        <w:t>as</w:t>
      </w:r>
      <w:r w:rsidR="00D9018D" w:rsidRPr="004D56CB">
        <w:rPr>
          <w:rFonts w:ascii="Arial" w:hAnsi="Arial" w:cs="Arial"/>
          <w:sz w:val="22"/>
          <w:szCs w:val="22"/>
        </w:rPr>
        <w:t xml:space="preserve"> not applicable for ST control (</w:t>
      </w:r>
      <w:r w:rsidR="00592F84" w:rsidRPr="004D56CB">
        <w:rPr>
          <w:rFonts w:ascii="Arial" w:hAnsi="Arial" w:cs="Arial"/>
          <w:sz w:val="22"/>
          <w:szCs w:val="22"/>
        </w:rPr>
        <w:t xml:space="preserve">See </w:t>
      </w:r>
      <w:r w:rsidR="00D9018D" w:rsidRPr="004D56CB">
        <w:rPr>
          <w:rFonts w:ascii="Arial" w:hAnsi="Arial" w:cs="Arial"/>
          <w:sz w:val="22"/>
          <w:szCs w:val="22"/>
        </w:rPr>
        <w:t>Fig</w:t>
      </w:r>
      <w:r w:rsidR="00592F84" w:rsidRPr="004D56CB">
        <w:rPr>
          <w:rFonts w:ascii="Arial" w:hAnsi="Arial" w:cs="Arial"/>
          <w:sz w:val="22"/>
          <w:szCs w:val="22"/>
        </w:rPr>
        <w:t>ure</w:t>
      </w:r>
      <w:r w:rsidR="00D9018D" w:rsidRPr="004D56CB">
        <w:rPr>
          <w:rFonts w:ascii="Arial" w:hAnsi="Arial" w:cs="Arial"/>
          <w:sz w:val="22"/>
          <w:szCs w:val="22"/>
        </w:rPr>
        <w:t xml:space="preserve"> </w:t>
      </w:r>
      <w:r w:rsidR="00B7016F" w:rsidRPr="004D56CB">
        <w:rPr>
          <w:rFonts w:ascii="Arial" w:hAnsi="Arial" w:cs="Arial"/>
          <w:sz w:val="22"/>
          <w:szCs w:val="22"/>
        </w:rPr>
        <w:t>2</w:t>
      </w:r>
      <w:r w:rsidR="00344A7F" w:rsidRPr="004D56CB">
        <w:rPr>
          <w:rFonts w:ascii="Arial" w:hAnsi="Arial" w:cs="Arial"/>
          <w:sz w:val="22"/>
          <w:szCs w:val="22"/>
        </w:rPr>
        <w:t xml:space="preserve">). The </w:t>
      </w:r>
      <w:r w:rsidR="00510FD8" w:rsidRPr="004D56CB">
        <w:rPr>
          <w:rFonts w:ascii="Arial" w:hAnsi="Arial" w:cs="Arial"/>
          <w:sz w:val="22"/>
          <w:szCs w:val="22"/>
        </w:rPr>
        <w:t>A</w:t>
      </w:r>
      <w:r w:rsidR="00120878" w:rsidRPr="004D56CB">
        <w:rPr>
          <w:rFonts w:ascii="Arial" w:hAnsi="Arial" w:cs="Arial"/>
          <w:sz w:val="22"/>
          <w:szCs w:val="22"/>
        </w:rPr>
        <w:t>ct</w:t>
      </w:r>
      <w:r w:rsidR="00D9018D" w:rsidRPr="004D56CB">
        <w:rPr>
          <w:rFonts w:ascii="Arial" w:hAnsi="Arial" w:cs="Arial"/>
          <w:sz w:val="22"/>
          <w:szCs w:val="22"/>
        </w:rPr>
        <w:t xml:space="preserve"> </w:t>
      </w:r>
      <w:r w:rsidR="00723369" w:rsidRPr="004D56CB">
        <w:rPr>
          <w:rFonts w:ascii="Arial" w:hAnsi="Arial" w:cs="Arial"/>
          <w:sz w:val="22"/>
          <w:szCs w:val="22"/>
        </w:rPr>
        <w:t xml:space="preserve">was </w:t>
      </w:r>
      <w:r w:rsidR="00D9018D" w:rsidRPr="004D56CB">
        <w:rPr>
          <w:rFonts w:ascii="Arial" w:hAnsi="Arial" w:cs="Arial"/>
          <w:sz w:val="22"/>
          <w:szCs w:val="22"/>
        </w:rPr>
        <w:t xml:space="preserve">amended in 2013, and the </w:t>
      </w:r>
      <w:r w:rsidR="00AB1D09" w:rsidRPr="004D56CB">
        <w:rPr>
          <w:rFonts w:ascii="Arial" w:hAnsi="Arial" w:cs="Arial"/>
          <w:sz w:val="22"/>
          <w:szCs w:val="22"/>
        </w:rPr>
        <w:t>Smoking and Tobacco Product Usage (Control) R</w:t>
      </w:r>
      <w:r w:rsidR="00D9018D" w:rsidRPr="004D56CB">
        <w:rPr>
          <w:rFonts w:ascii="Arial" w:hAnsi="Arial" w:cs="Arial"/>
          <w:sz w:val="22"/>
          <w:szCs w:val="22"/>
        </w:rPr>
        <w:t xml:space="preserve">ules have been passed in 2015, which now covers both </w:t>
      </w:r>
      <w:r w:rsidR="009D77B7" w:rsidRPr="004D56CB">
        <w:rPr>
          <w:rFonts w:ascii="Arial" w:hAnsi="Arial" w:cs="Arial"/>
          <w:sz w:val="22"/>
          <w:szCs w:val="22"/>
        </w:rPr>
        <w:t xml:space="preserve">combustible tobacco </w:t>
      </w:r>
      <w:r w:rsidR="00D9018D" w:rsidRPr="004D56CB">
        <w:rPr>
          <w:rFonts w:ascii="Arial" w:hAnsi="Arial" w:cs="Arial"/>
          <w:sz w:val="22"/>
          <w:szCs w:val="22"/>
        </w:rPr>
        <w:t xml:space="preserve">and </w:t>
      </w:r>
      <w:r w:rsidR="002D477E" w:rsidRPr="004D56CB">
        <w:rPr>
          <w:rFonts w:ascii="Arial" w:hAnsi="Arial" w:cs="Arial"/>
          <w:sz w:val="22"/>
          <w:szCs w:val="22"/>
        </w:rPr>
        <w:t>ST</w:t>
      </w:r>
      <w:r w:rsidR="00D9018D" w:rsidRPr="004D56CB">
        <w:rPr>
          <w:rFonts w:ascii="Arial" w:hAnsi="Arial" w:cs="Arial"/>
          <w:sz w:val="22"/>
          <w:szCs w:val="22"/>
        </w:rPr>
        <w:t xml:space="preserve"> products</w:t>
      </w:r>
      <w:r w:rsidR="00C53A37" w:rsidRPr="004D56CB">
        <w:rPr>
          <w:rFonts w:ascii="Arial" w:hAnsi="Arial" w:cs="Arial"/>
          <w:sz w:val="22"/>
          <w:szCs w:val="22"/>
        </w:rPr>
        <w:t xml:space="preserve"> </w:t>
      </w:r>
      <w:r w:rsidR="00C53A37" w:rsidRPr="004D56CB">
        <w:rPr>
          <w:rFonts w:ascii="Arial" w:hAnsi="Arial" w:cs="Arial"/>
          <w:sz w:val="22"/>
        </w:rPr>
        <w:t>[1]</w:t>
      </w:r>
      <w:r w:rsidR="00464BAB" w:rsidRPr="004D56CB">
        <w:rPr>
          <w:rFonts w:ascii="Arial" w:hAnsi="Arial" w:cs="Arial"/>
          <w:sz w:val="22"/>
          <w:szCs w:val="22"/>
        </w:rPr>
        <w:t>.</w:t>
      </w:r>
      <w:r w:rsidR="00D9018D" w:rsidRPr="004D56CB">
        <w:rPr>
          <w:rFonts w:ascii="Arial" w:hAnsi="Arial" w:cs="Arial"/>
          <w:sz w:val="22"/>
          <w:szCs w:val="22"/>
        </w:rPr>
        <w:t xml:space="preserve"> </w:t>
      </w:r>
      <w:r w:rsidR="00120878" w:rsidRPr="004D56CB">
        <w:rPr>
          <w:rFonts w:ascii="Arial" w:hAnsi="Arial" w:cs="Arial"/>
          <w:sz w:val="22"/>
          <w:szCs w:val="22"/>
        </w:rPr>
        <w:t xml:space="preserve"> </w:t>
      </w:r>
      <w:r w:rsidR="00D9018D" w:rsidRPr="004D56CB">
        <w:rPr>
          <w:rFonts w:ascii="Arial" w:hAnsi="Arial" w:cs="Arial"/>
          <w:sz w:val="22"/>
          <w:szCs w:val="22"/>
        </w:rPr>
        <w:t>A comparison of the tobacco contro</w:t>
      </w:r>
      <w:r w:rsidR="00FA1553" w:rsidRPr="004D56CB">
        <w:rPr>
          <w:rFonts w:ascii="Arial" w:hAnsi="Arial" w:cs="Arial"/>
          <w:sz w:val="22"/>
          <w:szCs w:val="22"/>
        </w:rPr>
        <w:t>l laws in Bangladesh for combustible tobacco</w:t>
      </w:r>
      <w:r w:rsidR="00D9018D" w:rsidRPr="004D56CB">
        <w:rPr>
          <w:rFonts w:ascii="Arial" w:hAnsi="Arial" w:cs="Arial"/>
          <w:sz w:val="22"/>
          <w:szCs w:val="22"/>
        </w:rPr>
        <w:t xml:space="preserve"> and </w:t>
      </w:r>
      <w:r w:rsidR="00CD564F" w:rsidRPr="004D56CB">
        <w:rPr>
          <w:rFonts w:ascii="Arial" w:hAnsi="Arial" w:cs="Arial"/>
          <w:sz w:val="22"/>
          <w:szCs w:val="22"/>
        </w:rPr>
        <w:t>ST</w:t>
      </w:r>
      <w:r w:rsidR="00D9018D" w:rsidRPr="004D56CB">
        <w:rPr>
          <w:rFonts w:ascii="Arial" w:hAnsi="Arial" w:cs="Arial"/>
          <w:sz w:val="22"/>
          <w:szCs w:val="22"/>
        </w:rPr>
        <w:t xml:space="preserve"> </w:t>
      </w:r>
      <w:r w:rsidR="00F82616" w:rsidRPr="004D56CB">
        <w:rPr>
          <w:rFonts w:ascii="Arial" w:hAnsi="Arial" w:cs="Arial"/>
          <w:sz w:val="22"/>
          <w:szCs w:val="22"/>
        </w:rPr>
        <w:t>are</w:t>
      </w:r>
      <w:r w:rsidR="00D9018D" w:rsidRPr="004D56CB">
        <w:rPr>
          <w:rFonts w:ascii="Arial" w:hAnsi="Arial" w:cs="Arial"/>
          <w:sz w:val="22"/>
          <w:szCs w:val="22"/>
        </w:rPr>
        <w:t xml:space="preserve"> summarised in Table </w:t>
      </w:r>
      <w:r w:rsidR="00D05FD1" w:rsidRPr="004D56CB">
        <w:rPr>
          <w:rFonts w:ascii="Arial" w:hAnsi="Arial" w:cs="Arial"/>
          <w:sz w:val="22"/>
          <w:szCs w:val="22"/>
        </w:rPr>
        <w:t>2</w:t>
      </w:r>
      <w:r w:rsidR="00D9018D" w:rsidRPr="004D56CB">
        <w:rPr>
          <w:rFonts w:ascii="Arial" w:hAnsi="Arial" w:cs="Arial"/>
          <w:sz w:val="22"/>
          <w:szCs w:val="22"/>
        </w:rPr>
        <w:t>.</w:t>
      </w:r>
      <w:r w:rsidR="009A47C5" w:rsidRPr="004D56CB">
        <w:rPr>
          <w:rFonts w:ascii="Arial" w:hAnsi="Arial" w:cs="Arial"/>
          <w:sz w:val="22"/>
          <w:szCs w:val="22"/>
        </w:rPr>
        <w:t xml:space="preserve"> </w:t>
      </w:r>
      <w:r w:rsidR="0059612D" w:rsidRPr="004D56CB">
        <w:rPr>
          <w:rFonts w:ascii="Arial" w:hAnsi="Arial" w:cs="Arial"/>
          <w:sz w:val="22"/>
          <w:szCs w:val="22"/>
        </w:rPr>
        <w:t xml:space="preserve">Almost all tobacco control </w:t>
      </w:r>
      <w:r w:rsidR="00FA1553" w:rsidRPr="004D56CB">
        <w:rPr>
          <w:rFonts w:ascii="Arial" w:hAnsi="Arial" w:cs="Arial"/>
          <w:sz w:val="22"/>
          <w:szCs w:val="22"/>
        </w:rPr>
        <w:t>laws apply to both combustible and ST</w:t>
      </w:r>
      <w:r w:rsidR="0059612D" w:rsidRPr="004D56CB">
        <w:rPr>
          <w:rFonts w:ascii="Arial" w:hAnsi="Arial" w:cs="Arial"/>
          <w:sz w:val="22"/>
          <w:szCs w:val="22"/>
        </w:rPr>
        <w:t xml:space="preserve"> products, </w:t>
      </w:r>
      <w:r w:rsidR="0059612D" w:rsidRPr="004D56CB">
        <w:rPr>
          <w:rFonts w:ascii="Arial" w:hAnsi="Arial" w:cs="Arial"/>
          <w:sz w:val="22"/>
          <w:szCs w:val="22"/>
        </w:rPr>
        <w:lastRenderedPageBreak/>
        <w:t>except smoke</w:t>
      </w:r>
      <w:r w:rsidR="00780049" w:rsidRPr="004D56CB">
        <w:rPr>
          <w:rFonts w:ascii="Arial" w:hAnsi="Arial" w:cs="Arial"/>
          <w:sz w:val="22"/>
          <w:szCs w:val="22"/>
        </w:rPr>
        <w:t>-</w:t>
      </w:r>
      <w:r w:rsidR="0059612D" w:rsidRPr="004D56CB">
        <w:rPr>
          <w:rFonts w:ascii="Arial" w:hAnsi="Arial" w:cs="Arial"/>
          <w:sz w:val="22"/>
          <w:szCs w:val="22"/>
        </w:rPr>
        <w:t>free laws</w:t>
      </w:r>
      <w:r w:rsidR="005A5DF6" w:rsidRPr="004D56CB">
        <w:rPr>
          <w:rFonts w:ascii="Arial" w:hAnsi="Arial" w:cs="Arial"/>
          <w:sz w:val="22"/>
          <w:szCs w:val="22"/>
        </w:rPr>
        <w:t xml:space="preserve">. </w:t>
      </w:r>
      <w:r w:rsidR="00F024F9" w:rsidRPr="004D56CB">
        <w:rPr>
          <w:rFonts w:ascii="Arial" w:hAnsi="Arial" w:cs="Arial"/>
          <w:sz w:val="22"/>
          <w:szCs w:val="22"/>
        </w:rPr>
        <w:t>There is no law to p</w:t>
      </w:r>
      <w:r w:rsidR="00D9018D" w:rsidRPr="004D56CB">
        <w:rPr>
          <w:rFonts w:ascii="Arial" w:hAnsi="Arial" w:cs="Arial"/>
          <w:sz w:val="22"/>
          <w:szCs w:val="22"/>
        </w:rPr>
        <w:t xml:space="preserve">rohibit </w:t>
      </w:r>
      <w:r w:rsidR="006516D5" w:rsidRPr="004D56CB">
        <w:rPr>
          <w:rFonts w:ascii="Arial" w:hAnsi="Arial" w:cs="Arial"/>
          <w:sz w:val="22"/>
          <w:szCs w:val="22"/>
        </w:rPr>
        <w:t xml:space="preserve">the </w:t>
      </w:r>
      <w:r w:rsidR="00D9018D" w:rsidRPr="004D56CB">
        <w:rPr>
          <w:rFonts w:ascii="Arial" w:hAnsi="Arial" w:cs="Arial"/>
          <w:sz w:val="22"/>
          <w:szCs w:val="22"/>
        </w:rPr>
        <w:t xml:space="preserve">quantity of sale </w:t>
      </w:r>
      <w:r w:rsidR="00F024F9" w:rsidRPr="004D56CB">
        <w:rPr>
          <w:rFonts w:ascii="Arial" w:hAnsi="Arial" w:cs="Arial"/>
          <w:sz w:val="22"/>
          <w:szCs w:val="22"/>
        </w:rPr>
        <w:t xml:space="preserve">of </w:t>
      </w:r>
      <w:r w:rsidR="00D9018D" w:rsidRPr="004D56CB">
        <w:rPr>
          <w:rFonts w:ascii="Arial" w:hAnsi="Arial" w:cs="Arial"/>
          <w:sz w:val="22"/>
          <w:szCs w:val="22"/>
        </w:rPr>
        <w:t>any tobacco product. ST can be sold in any amount and is available in different</w:t>
      </w:r>
      <w:r w:rsidR="00F82616" w:rsidRPr="004D56CB">
        <w:rPr>
          <w:rFonts w:ascii="Arial" w:hAnsi="Arial" w:cs="Arial"/>
          <w:sz w:val="22"/>
          <w:szCs w:val="22"/>
        </w:rPr>
        <w:t>-</w:t>
      </w:r>
      <w:r w:rsidR="00D9018D" w:rsidRPr="004D56CB">
        <w:rPr>
          <w:rFonts w:ascii="Arial" w:hAnsi="Arial" w:cs="Arial"/>
          <w:sz w:val="22"/>
          <w:szCs w:val="22"/>
        </w:rPr>
        <w:t>sized</w:t>
      </w:r>
      <w:r w:rsidR="0029655E" w:rsidRPr="004D56CB">
        <w:rPr>
          <w:rFonts w:ascii="Arial" w:hAnsi="Arial" w:cs="Arial"/>
          <w:sz w:val="22"/>
          <w:szCs w:val="22"/>
        </w:rPr>
        <w:t xml:space="preserve"> </w:t>
      </w:r>
      <w:r w:rsidR="00D9018D" w:rsidRPr="004D56CB">
        <w:rPr>
          <w:rFonts w:ascii="Arial" w:hAnsi="Arial" w:cs="Arial"/>
          <w:sz w:val="22"/>
          <w:szCs w:val="22"/>
        </w:rPr>
        <w:t xml:space="preserve">packs. This also restricts the </w:t>
      </w:r>
      <w:r w:rsidR="00F82616" w:rsidRPr="004D56CB">
        <w:rPr>
          <w:rFonts w:ascii="Arial" w:hAnsi="Arial" w:cs="Arial"/>
          <w:sz w:val="22"/>
          <w:szCs w:val="22"/>
        </w:rPr>
        <w:t>law’s implementation</w:t>
      </w:r>
      <w:r w:rsidR="00D9018D" w:rsidRPr="004D56CB">
        <w:rPr>
          <w:rFonts w:ascii="Arial" w:hAnsi="Arial" w:cs="Arial"/>
          <w:sz w:val="22"/>
          <w:szCs w:val="22"/>
        </w:rPr>
        <w:t xml:space="preserve"> </w:t>
      </w:r>
      <w:r w:rsidR="00F82616" w:rsidRPr="004D56CB">
        <w:rPr>
          <w:rFonts w:ascii="Arial" w:hAnsi="Arial" w:cs="Arial"/>
          <w:sz w:val="22"/>
          <w:szCs w:val="22"/>
        </w:rPr>
        <w:t>of</w:t>
      </w:r>
      <w:r w:rsidR="00D9018D" w:rsidRPr="004D56CB">
        <w:rPr>
          <w:rFonts w:ascii="Arial" w:hAnsi="Arial" w:cs="Arial"/>
          <w:sz w:val="22"/>
          <w:szCs w:val="22"/>
        </w:rPr>
        <w:t xml:space="preserve"> pack warning</w:t>
      </w:r>
      <w:r w:rsidR="0059612D" w:rsidRPr="004D56CB">
        <w:rPr>
          <w:rFonts w:ascii="Arial" w:hAnsi="Arial" w:cs="Arial"/>
          <w:sz w:val="22"/>
          <w:szCs w:val="22"/>
        </w:rPr>
        <w:t xml:space="preserve"> and banderols</w:t>
      </w:r>
      <w:r w:rsidR="00D9018D" w:rsidRPr="004D56CB">
        <w:rPr>
          <w:rFonts w:ascii="Arial" w:hAnsi="Arial" w:cs="Arial"/>
          <w:sz w:val="22"/>
          <w:szCs w:val="22"/>
        </w:rPr>
        <w:t xml:space="preserve">; warning labels </w:t>
      </w:r>
      <w:r w:rsidR="0059612D" w:rsidRPr="004D56CB">
        <w:rPr>
          <w:rFonts w:ascii="Arial" w:hAnsi="Arial" w:cs="Arial"/>
          <w:sz w:val="22"/>
          <w:szCs w:val="22"/>
        </w:rPr>
        <w:t xml:space="preserve">and banderols </w:t>
      </w:r>
      <w:r w:rsidR="00D9018D" w:rsidRPr="004D56CB">
        <w:rPr>
          <w:rFonts w:ascii="Arial" w:hAnsi="Arial" w:cs="Arial"/>
          <w:sz w:val="22"/>
          <w:szCs w:val="22"/>
        </w:rPr>
        <w:t>cannot be added to small-sized ST packs, such as 5</w:t>
      </w:r>
      <w:r w:rsidR="00827D04" w:rsidRPr="004D56CB">
        <w:rPr>
          <w:rFonts w:ascii="Arial" w:hAnsi="Arial" w:cs="Arial"/>
          <w:sz w:val="22"/>
          <w:szCs w:val="22"/>
        </w:rPr>
        <w:t>-</w:t>
      </w:r>
      <w:r w:rsidR="00D9018D" w:rsidRPr="004D56CB">
        <w:rPr>
          <w:rFonts w:ascii="Arial" w:hAnsi="Arial" w:cs="Arial"/>
          <w:sz w:val="22"/>
          <w:szCs w:val="22"/>
        </w:rPr>
        <w:t xml:space="preserve"> and 10</w:t>
      </w:r>
      <w:r w:rsidR="00827D04" w:rsidRPr="004D56CB">
        <w:rPr>
          <w:rFonts w:ascii="Arial" w:hAnsi="Arial" w:cs="Arial"/>
          <w:sz w:val="22"/>
          <w:szCs w:val="22"/>
        </w:rPr>
        <w:t>-</w:t>
      </w:r>
      <w:r w:rsidR="00D9018D" w:rsidRPr="004D56CB">
        <w:rPr>
          <w:rFonts w:ascii="Arial" w:hAnsi="Arial" w:cs="Arial"/>
          <w:sz w:val="22"/>
          <w:szCs w:val="22"/>
        </w:rPr>
        <w:t xml:space="preserve"> grams p</w:t>
      </w:r>
      <w:r w:rsidR="00F30E96" w:rsidRPr="004D56CB">
        <w:rPr>
          <w:rFonts w:ascii="Arial" w:hAnsi="Arial" w:cs="Arial"/>
          <w:sz w:val="22"/>
          <w:szCs w:val="22"/>
        </w:rPr>
        <w:t>ack</w:t>
      </w:r>
      <w:r w:rsidR="00F82616" w:rsidRPr="004D56CB">
        <w:rPr>
          <w:rFonts w:ascii="Arial" w:hAnsi="Arial" w:cs="Arial"/>
          <w:sz w:val="22"/>
          <w:szCs w:val="22"/>
        </w:rPr>
        <w:t>s</w:t>
      </w:r>
      <w:r w:rsidR="00F30E96" w:rsidRPr="004D56CB">
        <w:rPr>
          <w:rFonts w:ascii="Arial" w:hAnsi="Arial" w:cs="Arial"/>
          <w:sz w:val="22"/>
          <w:szCs w:val="22"/>
        </w:rPr>
        <w:t>. Tobacco packs- both combustible</w:t>
      </w:r>
      <w:r w:rsidR="00D9018D" w:rsidRPr="004D56CB">
        <w:rPr>
          <w:rFonts w:ascii="Arial" w:hAnsi="Arial" w:cs="Arial"/>
          <w:sz w:val="22"/>
          <w:szCs w:val="22"/>
        </w:rPr>
        <w:t xml:space="preserve"> and ST- are not require</w:t>
      </w:r>
      <w:r w:rsidR="00CD564F" w:rsidRPr="004D56CB">
        <w:rPr>
          <w:rFonts w:ascii="Arial" w:hAnsi="Arial" w:cs="Arial"/>
          <w:sz w:val="22"/>
          <w:szCs w:val="22"/>
        </w:rPr>
        <w:t>d</w:t>
      </w:r>
      <w:r w:rsidR="00D9018D" w:rsidRPr="004D56CB">
        <w:rPr>
          <w:rFonts w:ascii="Arial" w:hAnsi="Arial" w:cs="Arial"/>
          <w:sz w:val="22"/>
          <w:szCs w:val="22"/>
        </w:rPr>
        <w:t xml:space="preserve"> to contain</w:t>
      </w:r>
      <w:r w:rsidR="00F82616" w:rsidRPr="004D56CB">
        <w:rPr>
          <w:rFonts w:ascii="Arial" w:hAnsi="Arial" w:cs="Arial"/>
          <w:sz w:val="22"/>
          <w:szCs w:val="22"/>
        </w:rPr>
        <w:t xml:space="preserve"> </w:t>
      </w:r>
      <w:r w:rsidR="00D9018D" w:rsidRPr="004D56CB">
        <w:rPr>
          <w:rFonts w:ascii="Arial" w:hAnsi="Arial" w:cs="Arial"/>
          <w:sz w:val="22"/>
          <w:szCs w:val="22"/>
        </w:rPr>
        <w:t>information on nicotine and tar contents by law</w:t>
      </w:r>
      <w:r w:rsidR="00F82616" w:rsidRPr="004D56CB">
        <w:rPr>
          <w:rFonts w:ascii="Arial" w:hAnsi="Arial" w:cs="Arial"/>
          <w:sz w:val="22"/>
          <w:szCs w:val="22"/>
        </w:rPr>
        <w:t>. N</w:t>
      </w:r>
      <w:r w:rsidR="00E51BE0" w:rsidRPr="004D56CB">
        <w:rPr>
          <w:rFonts w:ascii="Arial" w:hAnsi="Arial" w:cs="Arial"/>
          <w:sz w:val="22"/>
          <w:szCs w:val="22"/>
        </w:rPr>
        <w:t xml:space="preserve">either do the manufacturers </w:t>
      </w:r>
      <w:r w:rsidR="0029655E" w:rsidRPr="004D56CB">
        <w:rPr>
          <w:rFonts w:ascii="Arial" w:hAnsi="Arial" w:cs="Arial"/>
          <w:sz w:val="22"/>
          <w:szCs w:val="22"/>
        </w:rPr>
        <w:t xml:space="preserve">are </w:t>
      </w:r>
      <w:r w:rsidR="006909EB" w:rsidRPr="004D56CB">
        <w:rPr>
          <w:rFonts w:ascii="Arial" w:hAnsi="Arial" w:cs="Arial"/>
          <w:sz w:val="22"/>
          <w:szCs w:val="22"/>
        </w:rPr>
        <w:t>obliged</w:t>
      </w:r>
      <w:r w:rsidR="00C72362" w:rsidRPr="004D56CB">
        <w:rPr>
          <w:rFonts w:ascii="Arial" w:hAnsi="Arial" w:cs="Arial"/>
          <w:sz w:val="22"/>
          <w:szCs w:val="22"/>
        </w:rPr>
        <w:t xml:space="preserve"> to disclose the </w:t>
      </w:r>
      <w:r w:rsidR="00CE03FF" w:rsidRPr="004D56CB">
        <w:rPr>
          <w:rFonts w:ascii="Arial" w:hAnsi="Arial" w:cs="Arial"/>
          <w:sz w:val="22"/>
          <w:szCs w:val="22"/>
        </w:rPr>
        <w:t xml:space="preserve">contents to </w:t>
      </w:r>
      <w:r w:rsidR="00F82616" w:rsidRPr="004D56CB">
        <w:rPr>
          <w:rFonts w:ascii="Arial" w:hAnsi="Arial" w:cs="Arial"/>
          <w:sz w:val="22"/>
          <w:szCs w:val="22"/>
        </w:rPr>
        <w:t xml:space="preserve">the </w:t>
      </w:r>
      <w:r w:rsidR="00CE03FF" w:rsidRPr="004D56CB">
        <w:rPr>
          <w:rFonts w:ascii="Arial" w:hAnsi="Arial" w:cs="Arial"/>
          <w:sz w:val="22"/>
          <w:szCs w:val="22"/>
        </w:rPr>
        <w:t>appropriate authorit</w:t>
      </w:r>
      <w:r w:rsidR="00F82616" w:rsidRPr="004D56CB">
        <w:rPr>
          <w:rFonts w:ascii="Arial" w:hAnsi="Arial" w:cs="Arial"/>
          <w:sz w:val="22"/>
          <w:szCs w:val="22"/>
        </w:rPr>
        <w:t>ies</w:t>
      </w:r>
      <w:r w:rsidR="00D9018D" w:rsidRPr="004D56CB">
        <w:rPr>
          <w:rFonts w:ascii="Arial" w:hAnsi="Arial" w:cs="Arial"/>
          <w:sz w:val="22"/>
          <w:szCs w:val="22"/>
        </w:rPr>
        <w:t xml:space="preserve">. </w:t>
      </w:r>
    </w:p>
    <w:p w14:paraId="3C9B7153" w14:textId="77777777" w:rsidR="00F414ED" w:rsidRPr="004D56CB" w:rsidRDefault="00D9018D" w:rsidP="00B254E4">
      <w:pPr>
        <w:pStyle w:val="Heading2"/>
        <w:spacing w:line="360" w:lineRule="auto"/>
        <w:rPr>
          <w:rFonts w:ascii="Arial" w:hAnsi="Arial" w:cs="Arial"/>
          <w:sz w:val="22"/>
          <w:szCs w:val="22"/>
        </w:rPr>
      </w:pPr>
      <w:r w:rsidRPr="004D56CB">
        <w:rPr>
          <w:rFonts w:ascii="Arial" w:hAnsi="Arial" w:cs="Arial"/>
          <w:sz w:val="22"/>
          <w:szCs w:val="22"/>
        </w:rPr>
        <w:t>Barriers and opportunities</w:t>
      </w:r>
    </w:p>
    <w:p w14:paraId="32575F3C" w14:textId="22290932" w:rsidR="00F414ED" w:rsidRPr="004D56CB" w:rsidRDefault="00AD30AA" w:rsidP="00B254E4">
      <w:pPr>
        <w:spacing w:line="360" w:lineRule="auto"/>
        <w:jc w:val="both"/>
        <w:rPr>
          <w:rFonts w:ascii="Arial" w:hAnsi="Arial" w:cs="Arial"/>
          <w:sz w:val="22"/>
          <w:szCs w:val="22"/>
        </w:rPr>
      </w:pPr>
      <w:r w:rsidRPr="004D56CB">
        <w:rPr>
          <w:rFonts w:ascii="Arial" w:hAnsi="Arial" w:cs="Arial"/>
          <w:sz w:val="22"/>
          <w:szCs w:val="22"/>
        </w:rPr>
        <w:t>Most of</w:t>
      </w:r>
      <w:r w:rsidR="00D9018D" w:rsidRPr="004D56CB">
        <w:rPr>
          <w:rFonts w:ascii="Arial" w:hAnsi="Arial" w:cs="Arial"/>
          <w:sz w:val="22"/>
          <w:szCs w:val="22"/>
        </w:rPr>
        <w:t xml:space="preserve"> the</w:t>
      </w:r>
      <w:r w:rsidR="00596DD2" w:rsidRPr="004D56CB">
        <w:rPr>
          <w:rFonts w:ascii="Arial" w:hAnsi="Arial" w:cs="Arial"/>
          <w:sz w:val="22"/>
          <w:szCs w:val="22"/>
        </w:rPr>
        <w:t xml:space="preserve"> participants in the</w:t>
      </w:r>
      <w:r w:rsidR="00D9018D" w:rsidRPr="004D56CB">
        <w:rPr>
          <w:rFonts w:ascii="Arial" w:hAnsi="Arial" w:cs="Arial"/>
          <w:sz w:val="22"/>
          <w:szCs w:val="22"/>
        </w:rPr>
        <w:t xml:space="preserve"> stakeholders’ workshop acknowledged that despite </w:t>
      </w:r>
      <w:r w:rsidR="00827D04" w:rsidRPr="004D56CB">
        <w:rPr>
          <w:rFonts w:ascii="Arial" w:hAnsi="Arial" w:cs="Arial"/>
          <w:sz w:val="22"/>
          <w:szCs w:val="22"/>
        </w:rPr>
        <w:t xml:space="preserve">the </w:t>
      </w:r>
      <w:r w:rsidR="00D9018D" w:rsidRPr="004D56CB">
        <w:rPr>
          <w:rFonts w:ascii="Arial" w:hAnsi="Arial" w:cs="Arial"/>
          <w:sz w:val="22"/>
          <w:szCs w:val="22"/>
        </w:rPr>
        <w:t xml:space="preserve">continuous </w:t>
      </w:r>
      <w:r w:rsidR="009C058D" w:rsidRPr="004D56CB">
        <w:rPr>
          <w:rFonts w:ascii="Arial" w:hAnsi="Arial" w:cs="Arial"/>
          <w:sz w:val="22"/>
          <w:szCs w:val="22"/>
        </w:rPr>
        <w:t xml:space="preserve">government </w:t>
      </w:r>
      <w:r w:rsidR="00D9018D" w:rsidRPr="004D56CB">
        <w:rPr>
          <w:rFonts w:ascii="Arial" w:hAnsi="Arial" w:cs="Arial"/>
          <w:sz w:val="22"/>
          <w:szCs w:val="22"/>
        </w:rPr>
        <w:t xml:space="preserve">commitment for tobacco control, there remain gaps in </w:t>
      </w:r>
      <w:r w:rsidR="002F2400" w:rsidRPr="004D56CB">
        <w:rPr>
          <w:rFonts w:ascii="Arial" w:hAnsi="Arial" w:cs="Arial"/>
          <w:sz w:val="22"/>
          <w:szCs w:val="22"/>
        </w:rPr>
        <w:t xml:space="preserve">implementation and compliance to </w:t>
      </w:r>
      <w:r w:rsidR="00D9018D" w:rsidRPr="004D56CB">
        <w:rPr>
          <w:rFonts w:ascii="Arial" w:hAnsi="Arial" w:cs="Arial"/>
          <w:sz w:val="22"/>
          <w:szCs w:val="22"/>
        </w:rPr>
        <w:t xml:space="preserve">ST </w:t>
      </w:r>
      <w:r w:rsidR="00940277" w:rsidRPr="004D56CB">
        <w:rPr>
          <w:rFonts w:ascii="Arial" w:hAnsi="Arial" w:cs="Arial"/>
          <w:sz w:val="22"/>
          <w:szCs w:val="22"/>
        </w:rPr>
        <w:t xml:space="preserve">policies and </w:t>
      </w:r>
      <w:r w:rsidR="00D9018D" w:rsidRPr="004D56CB">
        <w:rPr>
          <w:rFonts w:ascii="Arial" w:hAnsi="Arial" w:cs="Arial"/>
          <w:sz w:val="22"/>
          <w:szCs w:val="22"/>
        </w:rPr>
        <w:t>regulations</w:t>
      </w:r>
      <w:r w:rsidR="005D41B7" w:rsidRPr="004D56CB">
        <w:rPr>
          <w:rFonts w:ascii="Arial" w:hAnsi="Arial" w:cs="Arial"/>
          <w:sz w:val="22"/>
          <w:szCs w:val="22"/>
        </w:rPr>
        <w:t xml:space="preserve">, </w:t>
      </w:r>
      <w:r w:rsidR="00D9018D" w:rsidRPr="004D56CB">
        <w:rPr>
          <w:rFonts w:ascii="Arial" w:hAnsi="Arial" w:cs="Arial"/>
          <w:sz w:val="22"/>
          <w:szCs w:val="22"/>
        </w:rPr>
        <w:t>requir</w:t>
      </w:r>
      <w:r w:rsidR="005D41B7" w:rsidRPr="004D56CB">
        <w:rPr>
          <w:rFonts w:ascii="Arial" w:hAnsi="Arial" w:cs="Arial"/>
          <w:sz w:val="22"/>
          <w:szCs w:val="22"/>
        </w:rPr>
        <w:t xml:space="preserve">ing </w:t>
      </w:r>
      <w:r w:rsidR="00E04C66" w:rsidRPr="004D56CB">
        <w:rPr>
          <w:rFonts w:ascii="Arial" w:hAnsi="Arial" w:cs="Arial"/>
          <w:sz w:val="22"/>
          <w:szCs w:val="22"/>
        </w:rPr>
        <w:t>policymakers’ attention</w:t>
      </w:r>
      <w:r w:rsidR="00D9018D" w:rsidRPr="004D56CB">
        <w:rPr>
          <w:rFonts w:ascii="Arial" w:hAnsi="Arial" w:cs="Arial"/>
          <w:sz w:val="22"/>
          <w:szCs w:val="22"/>
        </w:rPr>
        <w:t xml:space="preserve"> to reduce ST-related disease and economic burden in Bangladesh. Participants </w:t>
      </w:r>
      <w:r w:rsidR="00CD564F" w:rsidRPr="004D56CB">
        <w:rPr>
          <w:rFonts w:ascii="Arial" w:hAnsi="Arial" w:cs="Arial"/>
          <w:sz w:val="22"/>
          <w:szCs w:val="22"/>
        </w:rPr>
        <w:t xml:space="preserve">noted </w:t>
      </w:r>
      <w:r w:rsidR="00D9018D" w:rsidRPr="004D56CB">
        <w:rPr>
          <w:rFonts w:ascii="Arial" w:hAnsi="Arial" w:cs="Arial"/>
          <w:sz w:val="22"/>
          <w:szCs w:val="22"/>
        </w:rPr>
        <w:t xml:space="preserve">that ST </w:t>
      </w:r>
      <w:r w:rsidR="00CD564F" w:rsidRPr="004D56CB">
        <w:rPr>
          <w:rFonts w:ascii="Arial" w:hAnsi="Arial" w:cs="Arial"/>
          <w:sz w:val="22"/>
          <w:szCs w:val="22"/>
        </w:rPr>
        <w:t>was ingrained</w:t>
      </w:r>
      <w:r w:rsidR="00D9018D" w:rsidRPr="004D56CB">
        <w:rPr>
          <w:rFonts w:ascii="Arial" w:hAnsi="Arial" w:cs="Arial"/>
          <w:sz w:val="22"/>
          <w:szCs w:val="22"/>
        </w:rPr>
        <w:t xml:space="preserve"> with</w:t>
      </w:r>
      <w:r w:rsidR="00CD564F" w:rsidRPr="004D56CB">
        <w:rPr>
          <w:rFonts w:ascii="Arial" w:hAnsi="Arial" w:cs="Arial"/>
          <w:sz w:val="22"/>
          <w:szCs w:val="22"/>
        </w:rPr>
        <w:t>in Bangladeshi culture</w:t>
      </w:r>
      <w:r w:rsidR="00054A0B" w:rsidRPr="004D56CB">
        <w:rPr>
          <w:rFonts w:ascii="Arial" w:hAnsi="Arial" w:cs="Arial"/>
          <w:sz w:val="22"/>
          <w:szCs w:val="22"/>
        </w:rPr>
        <w:t xml:space="preserve">; </w:t>
      </w:r>
      <w:r w:rsidR="00D9018D" w:rsidRPr="004D56CB">
        <w:rPr>
          <w:rFonts w:ascii="Arial" w:hAnsi="Arial" w:cs="Arial"/>
          <w:sz w:val="22"/>
          <w:szCs w:val="22"/>
        </w:rPr>
        <w:t>hence awareness programs w</w:t>
      </w:r>
      <w:r w:rsidR="00CD564F" w:rsidRPr="004D56CB">
        <w:rPr>
          <w:rFonts w:ascii="Arial" w:hAnsi="Arial" w:cs="Arial"/>
          <w:sz w:val="22"/>
          <w:szCs w:val="22"/>
        </w:rPr>
        <w:t xml:space="preserve">ould likely only be </w:t>
      </w:r>
      <w:r w:rsidR="00D9018D" w:rsidRPr="004D56CB">
        <w:rPr>
          <w:rFonts w:ascii="Arial" w:hAnsi="Arial" w:cs="Arial"/>
          <w:sz w:val="22"/>
          <w:szCs w:val="22"/>
        </w:rPr>
        <w:t xml:space="preserve">effective </w:t>
      </w:r>
      <w:r w:rsidR="00CD564F" w:rsidRPr="004D56CB">
        <w:rPr>
          <w:rFonts w:ascii="Arial" w:hAnsi="Arial" w:cs="Arial"/>
          <w:sz w:val="22"/>
          <w:szCs w:val="22"/>
        </w:rPr>
        <w:t xml:space="preserve">if </w:t>
      </w:r>
      <w:r w:rsidR="00D9018D" w:rsidRPr="004D56CB">
        <w:rPr>
          <w:rFonts w:ascii="Arial" w:hAnsi="Arial" w:cs="Arial"/>
          <w:sz w:val="22"/>
          <w:szCs w:val="22"/>
        </w:rPr>
        <w:t>strict</w:t>
      </w:r>
      <w:r w:rsidR="00CD564F" w:rsidRPr="004D56CB">
        <w:rPr>
          <w:rFonts w:ascii="Arial" w:hAnsi="Arial" w:cs="Arial"/>
          <w:sz w:val="22"/>
          <w:szCs w:val="22"/>
        </w:rPr>
        <w:t>ly enforced</w:t>
      </w:r>
      <w:r w:rsidR="00D9018D" w:rsidRPr="004D56CB">
        <w:rPr>
          <w:rFonts w:ascii="Arial" w:hAnsi="Arial" w:cs="Arial"/>
          <w:sz w:val="22"/>
          <w:szCs w:val="22"/>
        </w:rPr>
        <w:t xml:space="preserve"> policies and regulations for ST control</w:t>
      </w:r>
      <w:r w:rsidR="00F82616" w:rsidRPr="004D56CB">
        <w:rPr>
          <w:rFonts w:ascii="Arial" w:hAnsi="Arial" w:cs="Arial"/>
          <w:sz w:val="22"/>
          <w:szCs w:val="22"/>
        </w:rPr>
        <w:t xml:space="preserve"> were there</w:t>
      </w:r>
      <w:r w:rsidR="00D9018D" w:rsidRPr="004D56CB">
        <w:rPr>
          <w:rFonts w:ascii="Arial" w:hAnsi="Arial" w:cs="Arial"/>
          <w:sz w:val="22"/>
          <w:szCs w:val="22"/>
        </w:rPr>
        <w:t>. The large informal sector of ST manufacturing, storage</w:t>
      </w:r>
      <w:r w:rsidR="00F82616" w:rsidRPr="004D56CB">
        <w:rPr>
          <w:rFonts w:ascii="Arial" w:hAnsi="Arial" w:cs="Arial"/>
          <w:sz w:val="22"/>
          <w:szCs w:val="22"/>
        </w:rPr>
        <w:t>,</w:t>
      </w:r>
      <w:r w:rsidR="00D9018D" w:rsidRPr="004D56CB">
        <w:rPr>
          <w:rFonts w:ascii="Arial" w:hAnsi="Arial" w:cs="Arial"/>
          <w:sz w:val="22"/>
          <w:szCs w:val="22"/>
        </w:rPr>
        <w:t xml:space="preserve"> and distribution in Bangladesh </w:t>
      </w:r>
      <w:r w:rsidR="00AB5159" w:rsidRPr="004D56CB">
        <w:rPr>
          <w:rFonts w:ascii="Arial" w:hAnsi="Arial" w:cs="Arial"/>
          <w:sz w:val="22"/>
          <w:szCs w:val="22"/>
        </w:rPr>
        <w:t>makes</w:t>
      </w:r>
      <w:r w:rsidR="00D9018D" w:rsidRPr="004D56CB">
        <w:rPr>
          <w:rFonts w:ascii="Arial" w:hAnsi="Arial" w:cs="Arial"/>
          <w:sz w:val="22"/>
          <w:szCs w:val="22"/>
        </w:rPr>
        <w:t xml:space="preserve"> it challenging to </w:t>
      </w:r>
      <w:r w:rsidR="008B07B5" w:rsidRPr="004D56CB">
        <w:rPr>
          <w:rFonts w:ascii="Arial" w:hAnsi="Arial" w:cs="Arial"/>
          <w:sz w:val="22"/>
          <w:szCs w:val="22"/>
        </w:rPr>
        <w:t xml:space="preserve">carry out product </w:t>
      </w:r>
      <w:r w:rsidR="00D9018D" w:rsidRPr="004D56CB">
        <w:rPr>
          <w:rFonts w:ascii="Arial" w:hAnsi="Arial" w:cs="Arial"/>
          <w:sz w:val="22"/>
          <w:szCs w:val="22"/>
        </w:rPr>
        <w:t>regulat</w:t>
      </w:r>
      <w:r w:rsidR="008B07B5" w:rsidRPr="004D56CB">
        <w:rPr>
          <w:rFonts w:ascii="Arial" w:hAnsi="Arial" w:cs="Arial"/>
          <w:sz w:val="22"/>
          <w:szCs w:val="22"/>
        </w:rPr>
        <w:t>ion</w:t>
      </w:r>
      <w:r w:rsidR="00D9018D" w:rsidRPr="004D56CB">
        <w:rPr>
          <w:rFonts w:ascii="Arial" w:hAnsi="Arial" w:cs="Arial"/>
          <w:sz w:val="22"/>
          <w:szCs w:val="22"/>
        </w:rPr>
        <w:t xml:space="preserve"> through l</w:t>
      </w:r>
      <w:r w:rsidR="007F381A">
        <w:rPr>
          <w:rFonts w:ascii="Arial" w:hAnsi="Arial" w:cs="Arial"/>
          <w:sz w:val="22"/>
          <w:szCs w:val="22"/>
        </w:rPr>
        <w:t>i</w:t>
      </w:r>
      <w:r w:rsidR="00D9018D" w:rsidRPr="004D56CB">
        <w:rPr>
          <w:rFonts w:ascii="Arial" w:hAnsi="Arial" w:cs="Arial"/>
          <w:sz w:val="22"/>
          <w:szCs w:val="22"/>
        </w:rPr>
        <w:t>censing and tax</w:t>
      </w:r>
      <w:r w:rsidR="008B07B5" w:rsidRPr="004D56CB">
        <w:rPr>
          <w:rFonts w:ascii="Arial" w:hAnsi="Arial" w:cs="Arial"/>
          <w:sz w:val="22"/>
          <w:szCs w:val="22"/>
        </w:rPr>
        <w:t>ation</w:t>
      </w:r>
      <w:r w:rsidR="00D9018D" w:rsidRPr="004D56CB">
        <w:rPr>
          <w:rFonts w:ascii="Arial" w:hAnsi="Arial" w:cs="Arial"/>
          <w:sz w:val="22"/>
          <w:szCs w:val="22"/>
        </w:rPr>
        <w:t>. Other barriers to implementing policies against ST include</w:t>
      </w:r>
      <w:r w:rsidR="009F0DD8" w:rsidRPr="004D56CB">
        <w:rPr>
          <w:rFonts w:ascii="Arial" w:hAnsi="Arial" w:cs="Arial"/>
          <w:sz w:val="22"/>
          <w:szCs w:val="22"/>
        </w:rPr>
        <w:t xml:space="preserve"> </w:t>
      </w:r>
      <w:r w:rsidR="00FB1F9B" w:rsidRPr="004D56CB">
        <w:rPr>
          <w:rFonts w:ascii="Arial" w:hAnsi="Arial" w:cs="Arial"/>
          <w:sz w:val="22"/>
          <w:szCs w:val="22"/>
        </w:rPr>
        <w:t>a lack</w:t>
      </w:r>
      <w:r w:rsidR="00D9018D" w:rsidRPr="004D56CB">
        <w:rPr>
          <w:rFonts w:ascii="Arial" w:hAnsi="Arial" w:cs="Arial"/>
          <w:sz w:val="22"/>
          <w:szCs w:val="22"/>
        </w:rPr>
        <w:t xml:space="preserve"> of government</w:t>
      </w:r>
      <w:r w:rsidR="00FB1F9B" w:rsidRPr="004D56CB">
        <w:rPr>
          <w:rFonts w:ascii="Arial" w:hAnsi="Arial" w:cs="Arial"/>
          <w:sz w:val="22"/>
          <w:szCs w:val="22"/>
        </w:rPr>
        <w:t>al prioritisation</w:t>
      </w:r>
      <w:r w:rsidR="00D9018D" w:rsidRPr="004D56CB">
        <w:rPr>
          <w:rFonts w:ascii="Arial" w:hAnsi="Arial" w:cs="Arial"/>
          <w:sz w:val="22"/>
          <w:szCs w:val="22"/>
        </w:rPr>
        <w:t xml:space="preserve"> for ST control, </w:t>
      </w:r>
      <w:r w:rsidR="00FB1F9B" w:rsidRPr="004D56CB">
        <w:rPr>
          <w:rFonts w:ascii="Arial" w:hAnsi="Arial" w:cs="Arial"/>
          <w:sz w:val="22"/>
          <w:szCs w:val="22"/>
        </w:rPr>
        <w:t xml:space="preserve">the </w:t>
      </w:r>
      <w:r w:rsidR="00DE1C39" w:rsidRPr="004D56CB">
        <w:rPr>
          <w:rFonts w:ascii="Arial" w:hAnsi="Arial" w:cs="Arial"/>
          <w:sz w:val="22"/>
          <w:szCs w:val="22"/>
        </w:rPr>
        <w:t>diverse nature of the ST,</w:t>
      </w:r>
      <w:r w:rsidR="00D9018D" w:rsidRPr="004D56CB">
        <w:rPr>
          <w:rFonts w:ascii="Arial" w:hAnsi="Arial" w:cs="Arial"/>
          <w:sz w:val="22"/>
          <w:szCs w:val="22"/>
        </w:rPr>
        <w:t xml:space="preserve"> variations in </w:t>
      </w:r>
      <w:r w:rsidR="00AC2E66" w:rsidRPr="004D56CB">
        <w:rPr>
          <w:rFonts w:ascii="Arial" w:hAnsi="Arial" w:cs="Arial"/>
          <w:sz w:val="22"/>
          <w:szCs w:val="22"/>
        </w:rPr>
        <w:t xml:space="preserve">the </w:t>
      </w:r>
      <w:r w:rsidR="00D9018D" w:rsidRPr="004D56CB">
        <w:rPr>
          <w:rFonts w:ascii="Arial" w:hAnsi="Arial" w:cs="Arial"/>
          <w:sz w:val="22"/>
          <w:szCs w:val="22"/>
        </w:rPr>
        <w:t xml:space="preserve">packaging, </w:t>
      </w:r>
      <w:r w:rsidR="002D6556" w:rsidRPr="004D56CB">
        <w:rPr>
          <w:rFonts w:ascii="Arial" w:hAnsi="Arial" w:cs="Arial"/>
          <w:sz w:val="22"/>
          <w:szCs w:val="22"/>
        </w:rPr>
        <w:t xml:space="preserve">the </w:t>
      </w:r>
      <w:r w:rsidR="00D9018D" w:rsidRPr="004D56CB">
        <w:rPr>
          <w:rFonts w:ascii="Arial" w:hAnsi="Arial" w:cs="Arial"/>
          <w:sz w:val="22"/>
          <w:szCs w:val="22"/>
        </w:rPr>
        <w:t xml:space="preserve">complex supply chain </w:t>
      </w:r>
      <w:r w:rsidR="002D6556" w:rsidRPr="004D56CB">
        <w:rPr>
          <w:rFonts w:ascii="Arial" w:hAnsi="Arial" w:cs="Arial"/>
          <w:sz w:val="22"/>
          <w:szCs w:val="22"/>
        </w:rPr>
        <w:t>with a</w:t>
      </w:r>
      <w:r w:rsidR="00D9018D" w:rsidRPr="004D56CB">
        <w:rPr>
          <w:rFonts w:ascii="Arial" w:hAnsi="Arial" w:cs="Arial"/>
          <w:sz w:val="22"/>
          <w:szCs w:val="22"/>
        </w:rPr>
        <w:t xml:space="preserve"> limited understanding of the actors and their relationships, </w:t>
      </w:r>
      <w:r w:rsidR="002D6556" w:rsidRPr="004D56CB">
        <w:rPr>
          <w:rFonts w:ascii="Arial" w:hAnsi="Arial" w:cs="Arial"/>
          <w:sz w:val="22"/>
          <w:szCs w:val="22"/>
        </w:rPr>
        <w:t xml:space="preserve">a </w:t>
      </w:r>
      <w:r w:rsidR="00D9018D" w:rsidRPr="004D56CB">
        <w:rPr>
          <w:rFonts w:ascii="Arial" w:hAnsi="Arial" w:cs="Arial"/>
          <w:sz w:val="22"/>
          <w:szCs w:val="22"/>
        </w:rPr>
        <w:t xml:space="preserve">lack of awareness of the ST-related health risks among policymakers and legislators, non-coordination among different ministries and departments, and an absence of evidence on cessation strategies. It was argued that attaining information about the ingredients used in ST products and </w:t>
      </w:r>
      <w:r w:rsidR="007F79DF" w:rsidRPr="004D56CB">
        <w:rPr>
          <w:rFonts w:ascii="Arial" w:hAnsi="Arial" w:cs="Arial"/>
          <w:sz w:val="22"/>
          <w:szCs w:val="22"/>
        </w:rPr>
        <w:t xml:space="preserve">the </w:t>
      </w:r>
      <w:r w:rsidR="00D9018D" w:rsidRPr="004D56CB">
        <w:rPr>
          <w:rFonts w:ascii="Arial" w:hAnsi="Arial" w:cs="Arial"/>
          <w:sz w:val="22"/>
          <w:szCs w:val="22"/>
        </w:rPr>
        <w:t xml:space="preserve">date of manufacturing </w:t>
      </w:r>
      <w:r w:rsidR="00314DBC" w:rsidRPr="004D56CB">
        <w:rPr>
          <w:rFonts w:ascii="Arial" w:hAnsi="Arial" w:cs="Arial"/>
          <w:sz w:val="22"/>
          <w:szCs w:val="22"/>
        </w:rPr>
        <w:t>is</w:t>
      </w:r>
      <w:r w:rsidR="00CD564F" w:rsidRPr="004D56CB">
        <w:rPr>
          <w:rFonts w:ascii="Arial" w:hAnsi="Arial" w:cs="Arial"/>
          <w:sz w:val="22"/>
          <w:szCs w:val="22"/>
        </w:rPr>
        <w:t xml:space="preserve"> </w:t>
      </w:r>
      <w:r w:rsidR="00D9018D" w:rsidRPr="004D56CB">
        <w:rPr>
          <w:rFonts w:ascii="Arial" w:hAnsi="Arial" w:cs="Arial"/>
          <w:sz w:val="22"/>
          <w:szCs w:val="22"/>
        </w:rPr>
        <w:t xml:space="preserve">the </w:t>
      </w:r>
      <w:r w:rsidR="00E04C66" w:rsidRPr="004D56CB">
        <w:rPr>
          <w:rFonts w:ascii="Arial" w:hAnsi="Arial" w:cs="Arial"/>
          <w:sz w:val="22"/>
          <w:szCs w:val="22"/>
        </w:rPr>
        <w:t>people’s right,</w:t>
      </w:r>
      <w:r w:rsidR="00D9018D" w:rsidRPr="004D56CB">
        <w:rPr>
          <w:rFonts w:ascii="Arial" w:hAnsi="Arial" w:cs="Arial"/>
          <w:sz w:val="22"/>
          <w:szCs w:val="22"/>
        </w:rPr>
        <w:t xml:space="preserve"> which may </w:t>
      </w:r>
      <w:r w:rsidR="00540E90" w:rsidRPr="004D56CB">
        <w:rPr>
          <w:rFonts w:ascii="Arial" w:hAnsi="Arial" w:cs="Arial"/>
          <w:sz w:val="22"/>
          <w:szCs w:val="22"/>
        </w:rPr>
        <w:t>encourage users to</w:t>
      </w:r>
      <w:r w:rsidR="00D9018D" w:rsidRPr="004D56CB">
        <w:rPr>
          <w:rFonts w:ascii="Arial" w:hAnsi="Arial" w:cs="Arial"/>
          <w:sz w:val="22"/>
          <w:szCs w:val="22"/>
        </w:rPr>
        <w:t xml:space="preserve"> quit ST </w:t>
      </w:r>
      <w:r w:rsidR="00540E90" w:rsidRPr="004D56CB">
        <w:rPr>
          <w:rFonts w:ascii="Arial" w:hAnsi="Arial" w:cs="Arial"/>
          <w:sz w:val="22"/>
          <w:szCs w:val="22"/>
        </w:rPr>
        <w:t xml:space="preserve">use for attaining </w:t>
      </w:r>
      <w:r w:rsidR="00D9018D" w:rsidRPr="004D56CB">
        <w:rPr>
          <w:rFonts w:ascii="Arial" w:hAnsi="Arial" w:cs="Arial"/>
          <w:sz w:val="22"/>
          <w:szCs w:val="22"/>
        </w:rPr>
        <w:t xml:space="preserve">a healthy life. It was also suggested that manufacturers notify </w:t>
      </w:r>
      <w:r w:rsidR="00AB5159" w:rsidRPr="004D56CB">
        <w:rPr>
          <w:rFonts w:ascii="Arial" w:hAnsi="Arial" w:cs="Arial"/>
          <w:sz w:val="22"/>
          <w:szCs w:val="22"/>
        </w:rPr>
        <w:t xml:space="preserve">the </w:t>
      </w:r>
      <w:r w:rsidR="00D9018D" w:rsidRPr="004D56CB">
        <w:rPr>
          <w:rFonts w:ascii="Arial" w:hAnsi="Arial" w:cs="Arial"/>
          <w:sz w:val="22"/>
          <w:szCs w:val="22"/>
        </w:rPr>
        <w:t xml:space="preserve">government about the levels of nitrosamines and tar they use in ST products. </w:t>
      </w:r>
      <w:r w:rsidR="00FF6C72" w:rsidRPr="004D56CB">
        <w:rPr>
          <w:rFonts w:ascii="Arial" w:hAnsi="Arial" w:cs="Arial"/>
          <w:sz w:val="22"/>
          <w:szCs w:val="22"/>
        </w:rPr>
        <w:t xml:space="preserve"> </w:t>
      </w:r>
      <w:r w:rsidR="004D43C6" w:rsidRPr="004D56CB">
        <w:rPr>
          <w:rFonts w:ascii="Arial" w:hAnsi="Arial" w:cs="Arial"/>
          <w:sz w:val="22"/>
          <w:szCs w:val="22"/>
        </w:rPr>
        <w:t xml:space="preserve">A multi-sectoral approach </w:t>
      </w:r>
      <w:r w:rsidR="00F82616" w:rsidRPr="004D56CB">
        <w:rPr>
          <w:rFonts w:ascii="Arial" w:hAnsi="Arial" w:cs="Arial"/>
          <w:sz w:val="22"/>
          <w:szCs w:val="22"/>
        </w:rPr>
        <w:t>must</w:t>
      </w:r>
      <w:r w:rsidR="00E04C66" w:rsidRPr="004D56CB">
        <w:rPr>
          <w:rFonts w:ascii="Arial" w:hAnsi="Arial" w:cs="Arial"/>
          <w:sz w:val="22"/>
          <w:szCs w:val="22"/>
        </w:rPr>
        <w:t xml:space="preserve"> coordinate</w:t>
      </w:r>
      <w:r w:rsidR="00FF6C72" w:rsidRPr="004D56CB">
        <w:rPr>
          <w:rFonts w:ascii="Arial" w:hAnsi="Arial" w:cs="Arial"/>
          <w:sz w:val="22"/>
          <w:szCs w:val="22"/>
        </w:rPr>
        <w:t xml:space="preserve"> decision</w:t>
      </w:r>
      <w:r w:rsidR="00E04C66" w:rsidRPr="004D56CB">
        <w:rPr>
          <w:rFonts w:ascii="Arial" w:hAnsi="Arial" w:cs="Arial"/>
          <w:sz w:val="22"/>
          <w:szCs w:val="22"/>
        </w:rPr>
        <w:t>-</w:t>
      </w:r>
      <w:r w:rsidR="00FF6C72" w:rsidRPr="004D56CB">
        <w:rPr>
          <w:rFonts w:ascii="Arial" w:hAnsi="Arial" w:cs="Arial"/>
          <w:sz w:val="22"/>
          <w:szCs w:val="22"/>
        </w:rPr>
        <w:t>makers within different ministries, tobacco control advocates</w:t>
      </w:r>
      <w:r w:rsidR="00F82616" w:rsidRPr="004D56CB">
        <w:rPr>
          <w:rFonts w:ascii="Arial" w:hAnsi="Arial" w:cs="Arial"/>
          <w:sz w:val="22"/>
          <w:szCs w:val="22"/>
        </w:rPr>
        <w:t>,</w:t>
      </w:r>
      <w:r w:rsidR="00FF6C72" w:rsidRPr="004D56CB">
        <w:rPr>
          <w:rFonts w:ascii="Arial" w:hAnsi="Arial" w:cs="Arial"/>
          <w:sz w:val="22"/>
          <w:szCs w:val="22"/>
        </w:rPr>
        <w:t xml:space="preserve"> and wider stakeholder groups. </w:t>
      </w:r>
    </w:p>
    <w:p w14:paraId="5CED51B8" w14:textId="77777777" w:rsidR="00F414ED" w:rsidRPr="004D56CB" w:rsidRDefault="00D9018D" w:rsidP="00B254E4">
      <w:pPr>
        <w:pStyle w:val="Heading2"/>
        <w:spacing w:line="360" w:lineRule="auto"/>
        <w:rPr>
          <w:rFonts w:ascii="Arial" w:hAnsi="Arial" w:cs="Arial"/>
          <w:sz w:val="22"/>
          <w:szCs w:val="22"/>
        </w:rPr>
      </w:pPr>
      <w:r w:rsidRPr="004D56CB">
        <w:rPr>
          <w:rFonts w:ascii="Arial" w:hAnsi="Arial" w:cs="Arial"/>
          <w:sz w:val="22"/>
          <w:szCs w:val="22"/>
        </w:rPr>
        <w:t>Policy priorities</w:t>
      </w:r>
    </w:p>
    <w:p w14:paraId="1764E047" w14:textId="77777777" w:rsidR="0013271B" w:rsidRPr="004D56CB" w:rsidRDefault="00D9018D" w:rsidP="00B254E4">
      <w:pPr>
        <w:spacing w:line="360" w:lineRule="auto"/>
        <w:jc w:val="both"/>
        <w:rPr>
          <w:rFonts w:ascii="Arial" w:hAnsi="Arial" w:cs="Arial"/>
          <w:sz w:val="22"/>
          <w:szCs w:val="22"/>
        </w:rPr>
      </w:pPr>
      <w:r w:rsidRPr="004D56CB">
        <w:rPr>
          <w:rFonts w:ascii="Arial" w:hAnsi="Arial" w:cs="Arial"/>
          <w:sz w:val="22"/>
          <w:szCs w:val="22"/>
        </w:rPr>
        <w:t xml:space="preserve">The following priorities were identified (and ranked by </w:t>
      </w:r>
      <w:r w:rsidR="00CD564F" w:rsidRPr="004D56CB">
        <w:rPr>
          <w:rFonts w:ascii="Arial" w:hAnsi="Arial" w:cs="Arial"/>
          <w:sz w:val="22"/>
          <w:szCs w:val="22"/>
        </w:rPr>
        <w:t xml:space="preserve">the </w:t>
      </w:r>
      <w:r w:rsidRPr="004D56CB">
        <w:rPr>
          <w:rFonts w:ascii="Arial" w:hAnsi="Arial" w:cs="Arial"/>
          <w:sz w:val="22"/>
          <w:szCs w:val="22"/>
        </w:rPr>
        <w:t>36</w:t>
      </w:r>
      <w:r w:rsidR="00CD564F" w:rsidRPr="004D56CB">
        <w:rPr>
          <w:rFonts w:ascii="Arial" w:hAnsi="Arial" w:cs="Arial"/>
          <w:sz w:val="22"/>
          <w:szCs w:val="22"/>
        </w:rPr>
        <w:t xml:space="preserve"> workshop participants</w:t>
      </w:r>
      <w:r w:rsidRPr="004D56CB">
        <w:rPr>
          <w:rFonts w:ascii="Arial" w:hAnsi="Arial" w:cs="Arial"/>
          <w:sz w:val="22"/>
          <w:szCs w:val="22"/>
        </w:rPr>
        <w:t>):</w:t>
      </w:r>
    </w:p>
    <w:p w14:paraId="13FCD4DE" w14:textId="77777777" w:rsidR="002A53FE" w:rsidRPr="004D56CB" w:rsidRDefault="00D9018D" w:rsidP="00B254E4">
      <w:pPr>
        <w:pStyle w:val="Heading3"/>
        <w:spacing w:line="360" w:lineRule="auto"/>
        <w:rPr>
          <w:rFonts w:ascii="Arial" w:hAnsi="Arial" w:cs="Arial"/>
          <w:sz w:val="22"/>
          <w:szCs w:val="22"/>
        </w:rPr>
      </w:pPr>
      <w:r w:rsidRPr="004D56CB">
        <w:rPr>
          <w:rFonts w:ascii="Arial" w:hAnsi="Arial" w:cs="Arial"/>
          <w:sz w:val="22"/>
          <w:szCs w:val="22"/>
        </w:rPr>
        <w:t>Fiscal policies:</w:t>
      </w:r>
    </w:p>
    <w:p w14:paraId="657F10A7" w14:textId="7355755D" w:rsidR="00F414ED" w:rsidRPr="004D56CB" w:rsidRDefault="00D9018D" w:rsidP="00B254E4">
      <w:pPr>
        <w:pBdr>
          <w:top w:val="nil"/>
          <w:left w:val="nil"/>
          <w:bottom w:val="nil"/>
          <w:right w:val="nil"/>
          <w:between w:val="nil"/>
        </w:pBdr>
        <w:spacing w:line="360" w:lineRule="auto"/>
        <w:jc w:val="both"/>
        <w:rPr>
          <w:rFonts w:ascii="Arial" w:hAnsi="Arial" w:cs="Arial"/>
          <w:sz w:val="22"/>
          <w:szCs w:val="22"/>
        </w:rPr>
      </w:pPr>
      <w:r w:rsidRPr="004D56CB">
        <w:rPr>
          <w:rFonts w:ascii="Arial" w:hAnsi="Arial" w:cs="Arial"/>
          <w:sz w:val="22"/>
          <w:szCs w:val="22"/>
        </w:rPr>
        <w:t xml:space="preserve">83% </w:t>
      </w:r>
      <w:r w:rsidR="008A7ADA" w:rsidRPr="004D56CB">
        <w:rPr>
          <w:rFonts w:ascii="Arial" w:hAnsi="Arial" w:cs="Arial"/>
          <w:sz w:val="22"/>
          <w:szCs w:val="22"/>
        </w:rPr>
        <w:t>suggested</w:t>
      </w:r>
      <w:r w:rsidRPr="004D56CB">
        <w:rPr>
          <w:rFonts w:ascii="Arial" w:hAnsi="Arial" w:cs="Arial"/>
          <w:sz w:val="22"/>
          <w:szCs w:val="22"/>
        </w:rPr>
        <w:t xml:space="preserve"> imposing </w:t>
      </w:r>
      <w:r w:rsidR="0070281B" w:rsidRPr="004D56CB">
        <w:rPr>
          <w:rFonts w:ascii="Arial" w:hAnsi="Arial" w:cs="Arial"/>
          <w:sz w:val="22"/>
          <w:szCs w:val="22"/>
        </w:rPr>
        <w:t>a</w:t>
      </w:r>
      <w:r w:rsidRPr="004D56CB">
        <w:rPr>
          <w:rFonts w:ascii="Arial" w:hAnsi="Arial" w:cs="Arial"/>
          <w:sz w:val="22"/>
          <w:szCs w:val="22"/>
        </w:rPr>
        <w:t xml:space="preserve"> specific tax on ST</w:t>
      </w:r>
      <w:r w:rsidR="00E04C66" w:rsidRPr="004D56CB">
        <w:rPr>
          <w:rFonts w:ascii="Arial" w:hAnsi="Arial" w:cs="Arial"/>
          <w:sz w:val="22"/>
          <w:szCs w:val="22"/>
        </w:rPr>
        <w:t xml:space="preserve"> </w:t>
      </w:r>
      <w:r w:rsidRPr="004D56CB">
        <w:rPr>
          <w:rFonts w:ascii="Arial" w:hAnsi="Arial" w:cs="Arial"/>
          <w:sz w:val="22"/>
          <w:szCs w:val="22"/>
        </w:rPr>
        <w:t xml:space="preserve">products as the most important fiscal measure to regulate ST products. A large proportion of participants (73%) also suggested increasing the current tax level for ST products, especially increasing the </w:t>
      </w:r>
      <w:r w:rsidR="00F82616" w:rsidRPr="004D56CB">
        <w:rPr>
          <w:rFonts w:ascii="Arial" w:hAnsi="Arial" w:cs="Arial"/>
          <w:sz w:val="22"/>
          <w:szCs w:val="22"/>
        </w:rPr>
        <w:t>curr</w:t>
      </w:r>
      <w:r w:rsidRPr="004D56CB">
        <w:rPr>
          <w:rFonts w:ascii="Arial" w:hAnsi="Arial" w:cs="Arial"/>
          <w:sz w:val="22"/>
          <w:szCs w:val="22"/>
        </w:rPr>
        <w:t xml:space="preserve">ent health development surcharge on </w:t>
      </w:r>
      <w:r w:rsidR="00E04C66" w:rsidRPr="004D56CB">
        <w:rPr>
          <w:rFonts w:ascii="Arial" w:hAnsi="Arial" w:cs="Arial"/>
          <w:sz w:val="22"/>
          <w:szCs w:val="22"/>
        </w:rPr>
        <w:t>all tobacco products’ retail price</w:t>
      </w:r>
      <w:r w:rsidRPr="004D56CB">
        <w:rPr>
          <w:rFonts w:ascii="Arial" w:hAnsi="Arial" w:cs="Arial"/>
          <w:sz w:val="22"/>
          <w:szCs w:val="22"/>
        </w:rPr>
        <w:t>s, either manufactured or imported (67%)</w:t>
      </w:r>
      <w:r w:rsidR="00E04C66" w:rsidRPr="004D56CB">
        <w:rPr>
          <w:rFonts w:ascii="Arial" w:hAnsi="Arial" w:cs="Arial"/>
          <w:sz w:val="22"/>
          <w:szCs w:val="22"/>
        </w:rPr>
        <w:t>,</w:t>
      </w:r>
      <w:r w:rsidRPr="004D56CB">
        <w:rPr>
          <w:rFonts w:ascii="Arial" w:hAnsi="Arial" w:cs="Arial"/>
          <w:sz w:val="22"/>
          <w:szCs w:val="22"/>
        </w:rPr>
        <w:t xml:space="preserve"> as a priority. Designing and implementing a tax tracking and tracing </w:t>
      </w:r>
      <w:r w:rsidRPr="004D56CB">
        <w:rPr>
          <w:rFonts w:ascii="Arial" w:hAnsi="Arial" w:cs="Arial"/>
          <w:sz w:val="22"/>
          <w:szCs w:val="22"/>
        </w:rPr>
        <w:lastRenderedPageBreak/>
        <w:t xml:space="preserve">system for ST (61%) should also be considered </w:t>
      </w:r>
      <w:r w:rsidR="00E04C66" w:rsidRPr="004D56CB">
        <w:rPr>
          <w:rFonts w:ascii="Arial" w:hAnsi="Arial" w:cs="Arial"/>
          <w:sz w:val="22"/>
          <w:szCs w:val="22"/>
        </w:rPr>
        <w:t>the government’s highest priority</w:t>
      </w:r>
      <w:r w:rsidRPr="004D56CB">
        <w:rPr>
          <w:rFonts w:ascii="Arial" w:hAnsi="Arial" w:cs="Arial"/>
          <w:sz w:val="22"/>
          <w:szCs w:val="22"/>
        </w:rPr>
        <w:t xml:space="preserve">. Participants also suggested earmarking the tobacco taxes generated through the health development surcharge on tobacco products </w:t>
      </w:r>
      <w:r w:rsidR="00E04C66" w:rsidRPr="004D56CB">
        <w:rPr>
          <w:rFonts w:ascii="Arial" w:hAnsi="Arial" w:cs="Arial"/>
          <w:sz w:val="22"/>
          <w:szCs w:val="22"/>
        </w:rPr>
        <w:t>to provide alternative livelihoods to tobacco cultivators and labours by</w:t>
      </w:r>
      <w:r w:rsidRPr="004D56CB">
        <w:rPr>
          <w:rFonts w:ascii="Arial" w:hAnsi="Arial" w:cs="Arial"/>
          <w:sz w:val="22"/>
          <w:szCs w:val="22"/>
        </w:rPr>
        <w:t xml:space="preserve"> ensuring the proper use of budget from the 1% health development surcharge. </w:t>
      </w:r>
    </w:p>
    <w:p w14:paraId="56AEC5DC" w14:textId="77777777" w:rsidR="002A53FE" w:rsidRPr="004D56CB" w:rsidRDefault="00D9018D" w:rsidP="00B254E4">
      <w:pPr>
        <w:pStyle w:val="Heading3"/>
        <w:spacing w:line="360" w:lineRule="auto"/>
        <w:rPr>
          <w:rFonts w:ascii="Arial" w:hAnsi="Arial" w:cs="Arial"/>
          <w:sz w:val="22"/>
          <w:szCs w:val="22"/>
        </w:rPr>
      </w:pPr>
      <w:r w:rsidRPr="004D56CB">
        <w:rPr>
          <w:rFonts w:ascii="Arial" w:hAnsi="Arial" w:cs="Arial"/>
          <w:sz w:val="22"/>
          <w:szCs w:val="22"/>
        </w:rPr>
        <w:t>Cessation services:</w:t>
      </w:r>
    </w:p>
    <w:p w14:paraId="09E9780B" w14:textId="7675C436" w:rsidR="00F414ED" w:rsidRPr="004D56CB" w:rsidRDefault="00D9018D" w:rsidP="00B254E4">
      <w:pPr>
        <w:pBdr>
          <w:top w:val="nil"/>
          <w:left w:val="nil"/>
          <w:bottom w:val="nil"/>
          <w:right w:val="nil"/>
          <w:between w:val="nil"/>
        </w:pBdr>
        <w:spacing w:line="360" w:lineRule="auto"/>
        <w:jc w:val="both"/>
        <w:rPr>
          <w:rFonts w:ascii="Arial" w:hAnsi="Arial" w:cs="Arial"/>
          <w:sz w:val="22"/>
          <w:szCs w:val="22"/>
        </w:rPr>
      </w:pPr>
      <w:r w:rsidRPr="004D56CB">
        <w:rPr>
          <w:rFonts w:ascii="Arial" w:hAnsi="Arial" w:cs="Arial"/>
          <w:sz w:val="22"/>
          <w:szCs w:val="22"/>
        </w:rPr>
        <w:t xml:space="preserve">About two-thirds of the participants (61%) considered </w:t>
      </w:r>
      <w:r w:rsidR="00E04C66" w:rsidRPr="004D56CB">
        <w:rPr>
          <w:rFonts w:ascii="Arial" w:hAnsi="Arial" w:cs="Arial"/>
          <w:sz w:val="22"/>
          <w:szCs w:val="22"/>
        </w:rPr>
        <w:t>integrating</w:t>
      </w:r>
      <w:r w:rsidRPr="004D56CB">
        <w:rPr>
          <w:rFonts w:ascii="Arial" w:hAnsi="Arial" w:cs="Arial"/>
          <w:sz w:val="22"/>
          <w:szCs w:val="22"/>
        </w:rPr>
        <w:t xml:space="preserve"> treatment for tobacco dependence within </w:t>
      </w:r>
      <w:r w:rsidR="00C52737" w:rsidRPr="004D56CB">
        <w:rPr>
          <w:rFonts w:ascii="Arial" w:hAnsi="Arial" w:cs="Arial"/>
          <w:sz w:val="22"/>
          <w:szCs w:val="22"/>
        </w:rPr>
        <w:t xml:space="preserve">the </w:t>
      </w:r>
      <w:r w:rsidRPr="004D56CB">
        <w:rPr>
          <w:rFonts w:ascii="Arial" w:hAnsi="Arial" w:cs="Arial"/>
          <w:sz w:val="22"/>
          <w:szCs w:val="22"/>
        </w:rPr>
        <w:t xml:space="preserve">existing health systems as a very high priority. </w:t>
      </w:r>
      <w:r w:rsidR="004F7D4A" w:rsidRPr="004D56CB">
        <w:rPr>
          <w:rFonts w:ascii="Arial" w:hAnsi="Arial" w:cs="Arial"/>
          <w:sz w:val="22"/>
          <w:szCs w:val="22"/>
        </w:rPr>
        <w:t>In addition, a</w:t>
      </w:r>
      <w:r w:rsidRPr="004D56CB">
        <w:rPr>
          <w:rFonts w:ascii="Arial" w:hAnsi="Arial" w:cs="Arial"/>
          <w:sz w:val="22"/>
          <w:szCs w:val="22"/>
        </w:rPr>
        <w:t xml:space="preserve"> national guideline for treating tobacco dependence</w:t>
      </w:r>
      <w:r w:rsidR="004F7D4A" w:rsidRPr="004D56CB">
        <w:rPr>
          <w:rFonts w:ascii="Arial" w:hAnsi="Arial" w:cs="Arial"/>
          <w:sz w:val="22"/>
          <w:szCs w:val="22"/>
        </w:rPr>
        <w:t>,</w:t>
      </w:r>
      <w:r w:rsidRPr="004D56CB">
        <w:rPr>
          <w:rFonts w:ascii="Arial" w:hAnsi="Arial" w:cs="Arial"/>
          <w:sz w:val="22"/>
          <w:szCs w:val="22"/>
        </w:rPr>
        <w:t xml:space="preserve"> including smokeless tobacco (56%), comprehensive services to treat tobacco dependence (cessation clinics, quit-lines) (53%)</w:t>
      </w:r>
      <w:r w:rsidR="004F7D4A" w:rsidRPr="004D56CB">
        <w:rPr>
          <w:rFonts w:ascii="Arial" w:hAnsi="Arial" w:cs="Arial"/>
          <w:sz w:val="22"/>
          <w:szCs w:val="22"/>
        </w:rPr>
        <w:t>,</w:t>
      </w:r>
      <w:r w:rsidRPr="004D56CB">
        <w:rPr>
          <w:rFonts w:ascii="Arial" w:hAnsi="Arial" w:cs="Arial"/>
          <w:sz w:val="22"/>
          <w:szCs w:val="22"/>
        </w:rPr>
        <w:t xml:space="preserve"> and incorporating treatment of tobacco dependence in health professionals’ curriculum (50%) were also considered highly important to reduce ST use.</w:t>
      </w:r>
    </w:p>
    <w:p w14:paraId="5CAEFFC8" w14:textId="77777777" w:rsidR="002A53FE" w:rsidRPr="004D56CB" w:rsidRDefault="00D9018D" w:rsidP="00B254E4">
      <w:pPr>
        <w:pStyle w:val="Heading3"/>
        <w:spacing w:line="360" w:lineRule="auto"/>
        <w:rPr>
          <w:rFonts w:ascii="Arial" w:hAnsi="Arial" w:cs="Arial"/>
          <w:sz w:val="22"/>
          <w:szCs w:val="22"/>
        </w:rPr>
      </w:pPr>
      <w:r w:rsidRPr="004D56CB">
        <w:rPr>
          <w:rFonts w:ascii="Arial" w:hAnsi="Arial" w:cs="Arial"/>
          <w:sz w:val="22"/>
          <w:szCs w:val="22"/>
        </w:rPr>
        <w:t>Education and awareness:</w:t>
      </w:r>
    </w:p>
    <w:p w14:paraId="409787EE" w14:textId="0A97570F" w:rsidR="00F414ED" w:rsidRPr="004D56CB" w:rsidRDefault="004D16B6" w:rsidP="00B254E4">
      <w:pPr>
        <w:pBdr>
          <w:top w:val="nil"/>
          <w:left w:val="nil"/>
          <w:bottom w:val="nil"/>
          <w:right w:val="nil"/>
          <w:between w:val="nil"/>
        </w:pBdr>
        <w:spacing w:line="360" w:lineRule="auto"/>
        <w:jc w:val="both"/>
        <w:rPr>
          <w:rFonts w:ascii="Arial" w:hAnsi="Arial" w:cs="Arial"/>
          <w:sz w:val="22"/>
          <w:szCs w:val="22"/>
        </w:rPr>
      </w:pPr>
      <w:r w:rsidRPr="004D56CB">
        <w:rPr>
          <w:rFonts w:ascii="Arial" w:hAnsi="Arial" w:cs="Arial"/>
          <w:sz w:val="22"/>
          <w:szCs w:val="22"/>
        </w:rPr>
        <w:t>H</w:t>
      </w:r>
      <w:r w:rsidR="00D9018D" w:rsidRPr="004D56CB">
        <w:rPr>
          <w:rFonts w:ascii="Arial" w:hAnsi="Arial" w:cs="Arial"/>
          <w:sz w:val="22"/>
          <w:szCs w:val="22"/>
        </w:rPr>
        <w:t xml:space="preserve">igh priority for ST control was given to comprehensive media campaigns to raise public awareness (86%). Half of the participants discoursed that anti-tobacco messages must be included within educational institutions and their curriculum. </w:t>
      </w:r>
      <w:r w:rsidR="004F7D4A" w:rsidRPr="004D56CB">
        <w:rPr>
          <w:rFonts w:ascii="Arial" w:hAnsi="Arial" w:cs="Arial"/>
          <w:sz w:val="22"/>
          <w:szCs w:val="22"/>
        </w:rPr>
        <w:t>However, a</w:t>
      </w:r>
      <w:r w:rsidR="00D9018D" w:rsidRPr="004D56CB">
        <w:rPr>
          <w:rFonts w:ascii="Arial" w:hAnsi="Arial" w:cs="Arial"/>
          <w:sz w:val="22"/>
          <w:szCs w:val="22"/>
        </w:rPr>
        <w:t>s a strong network of tobacco control advocates is already in place, only 44% of participants thought that an anti-tobacco advocacy coalition consisting of legislators, health professionals, journalists, cancer charities</w:t>
      </w:r>
      <w:r w:rsidR="004F7D4A" w:rsidRPr="004D56CB">
        <w:rPr>
          <w:rFonts w:ascii="Arial" w:hAnsi="Arial" w:cs="Arial"/>
          <w:sz w:val="22"/>
          <w:szCs w:val="22"/>
        </w:rPr>
        <w:t>,</w:t>
      </w:r>
      <w:r w:rsidR="00D9018D" w:rsidRPr="004D56CB">
        <w:rPr>
          <w:rFonts w:ascii="Arial" w:hAnsi="Arial" w:cs="Arial"/>
          <w:sz w:val="22"/>
          <w:szCs w:val="22"/>
        </w:rPr>
        <w:t xml:space="preserve"> and patient support groups was mandatory to control ST in the country.</w:t>
      </w:r>
    </w:p>
    <w:p w14:paraId="10467AFF" w14:textId="77777777" w:rsidR="002A53FE" w:rsidRPr="004D56CB" w:rsidRDefault="00D9018D" w:rsidP="00B254E4">
      <w:pPr>
        <w:pStyle w:val="Heading3"/>
        <w:spacing w:line="360" w:lineRule="auto"/>
        <w:rPr>
          <w:rFonts w:ascii="Arial" w:hAnsi="Arial" w:cs="Arial"/>
          <w:sz w:val="22"/>
          <w:szCs w:val="22"/>
        </w:rPr>
      </w:pPr>
      <w:r w:rsidRPr="004D56CB">
        <w:rPr>
          <w:rFonts w:ascii="Arial" w:hAnsi="Arial" w:cs="Arial"/>
          <w:sz w:val="22"/>
          <w:szCs w:val="22"/>
        </w:rPr>
        <w:t>Product regulation:</w:t>
      </w:r>
    </w:p>
    <w:p w14:paraId="7AE951B0" w14:textId="434DCA54" w:rsidR="00F414ED" w:rsidRPr="004D56CB" w:rsidRDefault="00D9018D" w:rsidP="00B254E4">
      <w:pPr>
        <w:pBdr>
          <w:top w:val="nil"/>
          <w:left w:val="nil"/>
          <w:bottom w:val="nil"/>
          <w:right w:val="nil"/>
          <w:between w:val="nil"/>
        </w:pBdr>
        <w:spacing w:line="360" w:lineRule="auto"/>
        <w:jc w:val="both"/>
        <w:rPr>
          <w:rFonts w:ascii="Arial" w:hAnsi="Arial" w:cs="Arial"/>
          <w:sz w:val="22"/>
          <w:szCs w:val="22"/>
        </w:rPr>
      </w:pPr>
      <w:r w:rsidRPr="004D56CB">
        <w:rPr>
          <w:rFonts w:ascii="Arial" w:hAnsi="Arial" w:cs="Arial"/>
          <w:sz w:val="22"/>
          <w:szCs w:val="22"/>
        </w:rPr>
        <w:t xml:space="preserve">Almost all agreed that formalising </w:t>
      </w:r>
      <w:r w:rsidR="00AB5159" w:rsidRPr="004D56CB">
        <w:rPr>
          <w:rFonts w:ascii="Arial" w:hAnsi="Arial" w:cs="Arial"/>
          <w:sz w:val="22"/>
          <w:szCs w:val="22"/>
        </w:rPr>
        <w:t xml:space="preserve">the </w:t>
      </w:r>
      <w:r w:rsidRPr="004D56CB">
        <w:rPr>
          <w:rFonts w:ascii="Arial" w:hAnsi="Arial" w:cs="Arial"/>
          <w:sz w:val="22"/>
          <w:szCs w:val="22"/>
        </w:rPr>
        <w:t>ST industry (</w:t>
      </w:r>
      <w:r w:rsidR="00F65C7B" w:rsidRPr="004D56CB">
        <w:rPr>
          <w:rFonts w:ascii="Arial" w:hAnsi="Arial" w:cs="Arial"/>
          <w:sz w:val="22"/>
          <w:szCs w:val="22"/>
        </w:rPr>
        <w:t>e.g.,</w:t>
      </w:r>
      <w:r w:rsidRPr="004D56CB">
        <w:rPr>
          <w:rFonts w:ascii="Arial" w:hAnsi="Arial" w:cs="Arial"/>
          <w:sz w:val="22"/>
          <w:szCs w:val="22"/>
        </w:rPr>
        <w:t xml:space="preserve"> licensing manufacturers, suppliers</w:t>
      </w:r>
      <w:r w:rsidR="004F7D4A" w:rsidRPr="004D56CB">
        <w:rPr>
          <w:rFonts w:ascii="Arial" w:hAnsi="Arial" w:cs="Arial"/>
          <w:sz w:val="22"/>
          <w:szCs w:val="22"/>
        </w:rPr>
        <w:t>,</w:t>
      </w:r>
      <w:r w:rsidRPr="004D56CB">
        <w:rPr>
          <w:rFonts w:ascii="Arial" w:hAnsi="Arial" w:cs="Arial"/>
          <w:sz w:val="22"/>
          <w:szCs w:val="22"/>
        </w:rPr>
        <w:t xml:space="preserve"> and vendors) needed to be highly prioritised to control ST (89%). The formalisation should be followed by the government formulating necessary policy to discourage the production and usage of ST and related crops (86%) and standardising ST packaging and labelling, including pictorial warnings (81%). More than two-thirds of the participants pointed out that manufacturers must be obligated to list and disclose all ingredients to relevant authorities (70%).</w:t>
      </w:r>
    </w:p>
    <w:p w14:paraId="63EFD0F6" w14:textId="77777777" w:rsidR="002A53FE" w:rsidRPr="004D56CB" w:rsidRDefault="00D9018D" w:rsidP="00B254E4">
      <w:pPr>
        <w:pStyle w:val="Heading3"/>
        <w:spacing w:line="360" w:lineRule="auto"/>
        <w:rPr>
          <w:rFonts w:ascii="Arial" w:hAnsi="Arial" w:cs="Arial"/>
          <w:sz w:val="22"/>
          <w:szCs w:val="22"/>
        </w:rPr>
      </w:pPr>
      <w:r w:rsidRPr="004D56CB">
        <w:rPr>
          <w:rFonts w:ascii="Arial" w:hAnsi="Arial" w:cs="Arial"/>
          <w:sz w:val="22"/>
          <w:szCs w:val="22"/>
        </w:rPr>
        <w:t>Research priorities:</w:t>
      </w:r>
    </w:p>
    <w:p w14:paraId="0230494F" w14:textId="6C5C99A7" w:rsidR="00F414ED" w:rsidRPr="004D56CB" w:rsidRDefault="00E04C66" w:rsidP="00B254E4">
      <w:pPr>
        <w:pBdr>
          <w:top w:val="nil"/>
          <w:left w:val="nil"/>
          <w:bottom w:val="nil"/>
          <w:right w:val="nil"/>
          <w:between w:val="nil"/>
        </w:pBdr>
        <w:spacing w:line="360" w:lineRule="auto"/>
        <w:jc w:val="both"/>
        <w:rPr>
          <w:rFonts w:ascii="Arial" w:hAnsi="Arial" w:cs="Arial"/>
          <w:sz w:val="22"/>
          <w:szCs w:val="22"/>
        </w:rPr>
      </w:pPr>
      <w:r w:rsidRPr="004D56CB">
        <w:rPr>
          <w:rFonts w:ascii="Arial" w:hAnsi="Arial" w:cs="Arial"/>
          <w:sz w:val="22"/>
          <w:szCs w:val="22"/>
        </w:rPr>
        <w:t>The m</w:t>
      </w:r>
      <w:r w:rsidR="00D9018D" w:rsidRPr="004D56CB">
        <w:rPr>
          <w:rFonts w:ascii="Arial" w:hAnsi="Arial" w:cs="Arial"/>
          <w:sz w:val="22"/>
          <w:szCs w:val="22"/>
        </w:rPr>
        <w:t xml:space="preserve">ost important research priorities were </w:t>
      </w:r>
      <w:r w:rsidRPr="004D56CB">
        <w:rPr>
          <w:rFonts w:ascii="Arial" w:hAnsi="Arial" w:cs="Arial"/>
          <w:sz w:val="22"/>
          <w:szCs w:val="22"/>
        </w:rPr>
        <w:t>identifying</w:t>
      </w:r>
      <w:r w:rsidR="00D9018D" w:rsidRPr="004D56CB">
        <w:rPr>
          <w:rFonts w:ascii="Arial" w:hAnsi="Arial" w:cs="Arial"/>
          <w:sz w:val="22"/>
          <w:szCs w:val="22"/>
        </w:rPr>
        <w:t xml:space="preserve"> points in the ST supply chain where taxes can be levied (64%) and </w:t>
      </w:r>
      <w:r w:rsidRPr="004D56CB">
        <w:rPr>
          <w:rFonts w:ascii="Arial" w:hAnsi="Arial" w:cs="Arial"/>
          <w:sz w:val="22"/>
          <w:szCs w:val="22"/>
        </w:rPr>
        <w:t>estimating</w:t>
      </w:r>
      <w:r w:rsidR="00035557" w:rsidRPr="004D56CB">
        <w:rPr>
          <w:rFonts w:ascii="Arial" w:hAnsi="Arial" w:cs="Arial"/>
          <w:sz w:val="22"/>
          <w:szCs w:val="22"/>
        </w:rPr>
        <w:t xml:space="preserve"> </w:t>
      </w:r>
      <w:r w:rsidR="00D9018D" w:rsidRPr="004D56CB">
        <w:rPr>
          <w:rFonts w:ascii="Arial" w:hAnsi="Arial" w:cs="Arial"/>
          <w:sz w:val="22"/>
          <w:szCs w:val="22"/>
        </w:rPr>
        <w:t xml:space="preserve">the economic burden of ST in the country (53%). </w:t>
      </w:r>
      <w:r w:rsidR="004F7D4A" w:rsidRPr="004D56CB">
        <w:rPr>
          <w:rFonts w:ascii="Arial" w:hAnsi="Arial" w:cs="Arial"/>
          <w:sz w:val="22"/>
          <w:szCs w:val="22"/>
        </w:rPr>
        <w:t>In addition, h</w:t>
      </w:r>
      <w:r w:rsidR="00D9018D" w:rsidRPr="004D56CB">
        <w:rPr>
          <w:rFonts w:ascii="Arial" w:hAnsi="Arial" w:cs="Arial"/>
          <w:sz w:val="22"/>
          <w:szCs w:val="22"/>
        </w:rPr>
        <w:t xml:space="preserve">alf of the participants thought </w:t>
      </w:r>
      <w:r w:rsidRPr="004D56CB">
        <w:rPr>
          <w:rFonts w:ascii="Arial" w:hAnsi="Arial" w:cs="Arial"/>
          <w:sz w:val="22"/>
          <w:szCs w:val="22"/>
        </w:rPr>
        <w:t>it would be ideal to establish a technical group of experts to support the country’s national tobacco control cell</w:t>
      </w:r>
      <w:r w:rsidR="00D9018D" w:rsidRPr="004D56CB">
        <w:rPr>
          <w:rFonts w:ascii="Arial" w:hAnsi="Arial" w:cs="Arial"/>
          <w:sz w:val="22"/>
          <w:szCs w:val="22"/>
        </w:rPr>
        <w:t xml:space="preserve">. A few participants </w:t>
      </w:r>
      <w:r w:rsidR="00D9018D" w:rsidRPr="004D56CB">
        <w:rPr>
          <w:rFonts w:ascii="Arial" w:hAnsi="Arial" w:cs="Arial"/>
          <w:sz w:val="22"/>
          <w:szCs w:val="22"/>
        </w:rPr>
        <w:lastRenderedPageBreak/>
        <w:t>also emphasised the importance of assessing potential intervention</w:t>
      </w:r>
      <w:r w:rsidR="004F7D4A" w:rsidRPr="004D56CB">
        <w:rPr>
          <w:rFonts w:ascii="Arial" w:hAnsi="Arial" w:cs="Arial"/>
          <w:sz w:val="22"/>
          <w:szCs w:val="22"/>
        </w:rPr>
        <w:t>s</w:t>
      </w:r>
      <w:r w:rsidR="00D9018D" w:rsidRPr="004D56CB">
        <w:rPr>
          <w:rFonts w:ascii="Arial" w:hAnsi="Arial" w:cs="Arial"/>
          <w:sz w:val="22"/>
          <w:szCs w:val="22"/>
        </w:rPr>
        <w:t xml:space="preserve"> to address ST use in different contexts.</w:t>
      </w:r>
    </w:p>
    <w:p w14:paraId="11790A4F" w14:textId="77777777" w:rsidR="00A00D00" w:rsidRPr="004D56CB" w:rsidRDefault="00A00D00" w:rsidP="00B254E4">
      <w:pPr>
        <w:spacing w:line="360" w:lineRule="auto"/>
        <w:jc w:val="both"/>
        <w:rPr>
          <w:rFonts w:ascii="Arial" w:hAnsi="Arial" w:cs="Arial"/>
          <w:b/>
          <w:sz w:val="22"/>
          <w:szCs w:val="22"/>
        </w:rPr>
      </w:pPr>
    </w:p>
    <w:p w14:paraId="6B8D2B6D" w14:textId="77777777" w:rsidR="00F414ED" w:rsidRPr="004D56CB" w:rsidRDefault="00D9018D" w:rsidP="00B254E4">
      <w:pPr>
        <w:pStyle w:val="Heading1"/>
        <w:spacing w:line="360" w:lineRule="auto"/>
        <w:rPr>
          <w:rFonts w:ascii="Arial" w:hAnsi="Arial" w:cs="Arial"/>
          <w:sz w:val="22"/>
          <w:szCs w:val="22"/>
        </w:rPr>
      </w:pPr>
      <w:r w:rsidRPr="004D56CB">
        <w:rPr>
          <w:rFonts w:ascii="Arial" w:hAnsi="Arial" w:cs="Arial"/>
          <w:sz w:val="22"/>
          <w:szCs w:val="22"/>
        </w:rPr>
        <w:t>Discussion</w:t>
      </w:r>
    </w:p>
    <w:p w14:paraId="21C7E451" w14:textId="2DF0126E" w:rsidR="00F414ED" w:rsidRPr="004D56CB" w:rsidRDefault="008D59DA" w:rsidP="00B254E4">
      <w:pPr>
        <w:spacing w:line="360" w:lineRule="auto"/>
        <w:jc w:val="both"/>
        <w:rPr>
          <w:rFonts w:ascii="Arial" w:hAnsi="Arial" w:cs="Arial"/>
          <w:sz w:val="22"/>
          <w:szCs w:val="22"/>
        </w:rPr>
      </w:pPr>
      <w:r w:rsidRPr="004D56CB">
        <w:rPr>
          <w:rFonts w:ascii="Arial" w:hAnsi="Arial" w:cs="Arial"/>
          <w:sz w:val="22"/>
          <w:szCs w:val="22"/>
        </w:rPr>
        <w:t xml:space="preserve">While </w:t>
      </w:r>
      <w:r w:rsidR="002B19AB" w:rsidRPr="004D56CB">
        <w:rPr>
          <w:rFonts w:ascii="Arial" w:hAnsi="Arial" w:cs="Arial"/>
          <w:sz w:val="22"/>
          <w:szCs w:val="22"/>
        </w:rPr>
        <w:t xml:space="preserve">ST use among adults declined </w:t>
      </w:r>
      <w:r w:rsidRPr="004D56CB">
        <w:rPr>
          <w:rFonts w:ascii="Arial" w:hAnsi="Arial" w:cs="Arial"/>
          <w:sz w:val="22"/>
          <w:szCs w:val="22"/>
        </w:rPr>
        <w:t xml:space="preserve">between </w:t>
      </w:r>
      <w:r w:rsidR="002B19AB" w:rsidRPr="004D56CB">
        <w:rPr>
          <w:rFonts w:ascii="Arial" w:hAnsi="Arial" w:cs="Arial"/>
          <w:sz w:val="22"/>
          <w:szCs w:val="22"/>
        </w:rPr>
        <w:t xml:space="preserve">2009 </w:t>
      </w:r>
      <w:r w:rsidRPr="004D56CB">
        <w:rPr>
          <w:rFonts w:ascii="Arial" w:hAnsi="Arial" w:cs="Arial"/>
          <w:sz w:val="22"/>
          <w:szCs w:val="22"/>
        </w:rPr>
        <w:t xml:space="preserve">and </w:t>
      </w:r>
      <w:r w:rsidR="002B19AB" w:rsidRPr="004D56CB">
        <w:rPr>
          <w:rFonts w:ascii="Arial" w:hAnsi="Arial" w:cs="Arial"/>
          <w:sz w:val="22"/>
          <w:szCs w:val="22"/>
        </w:rPr>
        <w:t>2017</w:t>
      </w:r>
      <w:r w:rsidRPr="004D56CB">
        <w:rPr>
          <w:rFonts w:ascii="Arial" w:hAnsi="Arial" w:cs="Arial"/>
          <w:sz w:val="22"/>
          <w:szCs w:val="22"/>
        </w:rPr>
        <w:t xml:space="preserve"> in Bangladesh, there has been a considerable rise in ST</w:t>
      </w:r>
      <w:r w:rsidR="004F7D4A" w:rsidRPr="004D56CB">
        <w:rPr>
          <w:rFonts w:ascii="Arial" w:hAnsi="Arial" w:cs="Arial"/>
          <w:sz w:val="22"/>
          <w:szCs w:val="22"/>
        </w:rPr>
        <w:t>-</w:t>
      </w:r>
      <w:r w:rsidRPr="004D56CB">
        <w:rPr>
          <w:rFonts w:ascii="Arial" w:hAnsi="Arial" w:cs="Arial"/>
          <w:sz w:val="22"/>
          <w:szCs w:val="22"/>
        </w:rPr>
        <w:t xml:space="preserve">related morbidity and mortality over the same period. </w:t>
      </w:r>
      <w:r w:rsidR="00271ADF" w:rsidRPr="004D56CB">
        <w:rPr>
          <w:rFonts w:ascii="Arial" w:hAnsi="Arial" w:cs="Arial"/>
          <w:sz w:val="22"/>
          <w:szCs w:val="22"/>
        </w:rPr>
        <w:t>W</w:t>
      </w:r>
      <w:r w:rsidR="00D31E89" w:rsidRPr="004D56CB">
        <w:rPr>
          <w:rFonts w:ascii="Arial" w:hAnsi="Arial" w:cs="Arial"/>
          <w:sz w:val="22"/>
          <w:szCs w:val="22"/>
        </w:rPr>
        <w:t xml:space="preserve">e found that Bangladesh </w:t>
      </w:r>
      <w:r w:rsidR="002A5B4A" w:rsidRPr="004D56CB">
        <w:rPr>
          <w:rFonts w:ascii="Arial" w:hAnsi="Arial" w:cs="Arial"/>
          <w:sz w:val="22"/>
          <w:szCs w:val="22"/>
        </w:rPr>
        <w:t xml:space="preserve">has made notable progress </w:t>
      </w:r>
      <w:r w:rsidR="00B75C09" w:rsidRPr="004D56CB">
        <w:rPr>
          <w:rFonts w:ascii="Arial" w:hAnsi="Arial" w:cs="Arial"/>
          <w:sz w:val="22"/>
          <w:szCs w:val="22"/>
        </w:rPr>
        <w:t xml:space="preserve">in adopting </w:t>
      </w:r>
      <w:r w:rsidR="00145492" w:rsidRPr="004D56CB">
        <w:rPr>
          <w:rFonts w:ascii="Arial" w:hAnsi="Arial" w:cs="Arial"/>
          <w:sz w:val="22"/>
          <w:szCs w:val="22"/>
        </w:rPr>
        <w:t xml:space="preserve">ST </w:t>
      </w:r>
      <w:r w:rsidR="00B75C09" w:rsidRPr="004D56CB">
        <w:rPr>
          <w:rFonts w:ascii="Arial" w:hAnsi="Arial" w:cs="Arial"/>
          <w:sz w:val="22"/>
          <w:szCs w:val="22"/>
        </w:rPr>
        <w:t>control policies</w:t>
      </w:r>
      <w:r w:rsidR="00E04C66" w:rsidRPr="004D56CB">
        <w:rPr>
          <w:rFonts w:ascii="Arial" w:hAnsi="Arial" w:cs="Arial"/>
          <w:sz w:val="22"/>
          <w:szCs w:val="22"/>
        </w:rPr>
        <w:t>,</w:t>
      </w:r>
      <w:r w:rsidR="00B75C09" w:rsidRPr="004D56CB">
        <w:rPr>
          <w:rFonts w:ascii="Arial" w:hAnsi="Arial" w:cs="Arial"/>
          <w:sz w:val="22"/>
          <w:szCs w:val="22"/>
        </w:rPr>
        <w:t xml:space="preserve"> </w:t>
      </w:r>
      <w:r w:rsidR="00145492" w:rsidRPr="004D56CB">
        <w:rPr>
          <w:rFonts w:ascii="Arial" w:hAnsi="Arial" w:cs="Arial"/>
          <w:sz w:val="22"/>
          <w:szCs w:val="22"/>
        </w:rPr>
        <w:t xml:space="preserve">including </w:t>
      </w:r>
      <w:r w:rsidR="00B10FC6" w:rsidRPr="004D56CB">
        <w:rPr>
          <w:rFonts w:ascii="Arial" w:hAnsi="Arial" w:cs="Arial"/>
          <w:sz w:val="22"/>
          <w:szCs w:val="22"/>
        </w:rPr>
        <w:t xml:space="preserve">levying taxes on their retail price, </w:t>
      </w:r>
      <w:r w:rsidR="002A5B4A" w:rsidRPr="004D56CB">
        <w:rPr>
          <w:rFonts w:ascii="Arial" w:hAnsi="Arial" w:cs="Arial"/>
          <w:sz w:val="22"/>
          <w:szCs w:val="22"/>
        </w:rPr>
        <w:t>introducing pictorial health warnings, and ban</w:t>
      </w:r>
      <w:r w:rsidR="0013271B" w:rsidRPr="004D56CB">
        <w:rPr>
          <w:rFonts w:ascii="Arial" w:hAnsi="Arial" w:cs="Arial"/>
          <w:sz w:val="22"/>
          <w:szCs w:val="22"/>
        </w:rPr>
        <w:t>ning</w:t>
      </w:r>
      <w:r w:rsidR="002A5B4A" w:rsidRPr="004D56CB">
        <w:rPr>
          <w:rFonts w:ascii="Arial" w:hAnsi="Arial" w:cs="Arial"/>
          <w:sz w:val="22"/>
          <w:szCs w:val="22"/>
        </w:rPr>
        <w:t xml:space="preserve"> advertising. However, </w:t>
      </w:r>
      <w:r w:rsidR="007F5D0D" w:rsidRPr="004D56CB">
        <w:rPr>
          <w:rFonts w:ascii="Arial" w:hAnsi="Arial" w:cs="Arial"/>
          <w:sz w:val="22"/>
          <w:szCs w:val="22"/>
        </w:rPr>
        <w:t xml:space="preserve">implementation </w:t>
      </w:r>
      <w:r w:rsidR="00753DB4" w:rsidRPr="004D56CB">
        <w:rPr>
          <w:rFonts w:ascii="Arial" w:hAnsi="Arial" w:cs="Arial"/>
          <w:sz w:val="22"/>
          <w:szCs w:val="22"/>
        </w:rPr>
        <w:t xml:space="preserve">of </w:t>
      </w:r>
      <w:r w:rsidR="007F5D0D" w:rsidRPr="004D56CB">
        <w:rPr>
          <w:rFonts w:ascii="Arial" w:hAnsi="Arial" w:cs="Arial"/>
          <w:sz w:val="22"/>
          <w:szCs w:val="22"/>
        </w:rPr>
        <w:t xml:space="preserve">and compliance </w:t>
      </w:r>
      <w:r w:rsidR="0013271B" w:rsidRPr="004D56CB">
        <w:rPr>
          <w:rFonts w:ascii="Arial" w:hAnsi="Arial" w:cs="Arial"/>
          <w:sz w:val="22"/>
          <w:szCs w:val="22"/>
        </w:rPr>
        <w:t>with</w:t>
      </w:r>
      <w:r w:rsidR="007F5D0D" w:rsidRPr="004D56CB">
        <w:rPr>
          <w:rFonts w:ascii="Arial" w:hAnsi="Arial" w:cs="Arial"/>
          <w:sz w:val="22"/>
          <w:szCs w:val="22"/>
        </w:rPr>
        <w:t xml:space="preserve"> </w:t>
      </w:r>
      <w:r w:rsidR="00A3757F" w:rsidRPr="004D56CB">
        <w:rPr>
          <w:rFonts w:ascii="Arial" w:hAnsi="Arial" w:cs="Arial"/>
          <w:sz w:val="22"/>
          <w:szCs w:val="22"/>
        </w:rPr>
        <w:t xml:space="preserve">ST </w:t>
      </w:r>
      <w:r w:rsidR="00027F4D" w:rsidRPr="004D56CB">
        <w:rPr>
          <w:rFonts w:ascii="Arial" w:hAnsi="Arial" w:cs="Arial"/>
          <w:sz w:val="22"/>
          <w:szCs w:val="22"/>
        </w:rPr>
        <w:t xml:space="preserve">control </w:t>
      </w:r>
      <w:r w:rsidR="00A96ECD" w:rsidRPr="004D56CB">
        <w:rPr>
          <w:rFonts w:ascii="Arial" w:hAnsi="Arial" w:cs="Arial"/>
          <w:sz w:val="22"/>
          <w:szCs w:val="22"/>
        </w:rPr>
        <w:t xml:space="preserve">policies </w:t>
      </w:r>
      <w:r w:rsidR="002C68BD" w:rsidRPr="004D56CB">
        <w:rPr>
          <w:rFonts w:ascii="Arial" w:hAnsi="Arial" w:cs="Arial"/>
          <w:sz w:val="22"/>
          <w:szCs w:val="22"/>
        </w:rPr>
        <w:t>are</w:t>
      </w:r>
      <w:r w:rsidR="004B0256" w:rsidRPr="004D56CB">
        <w:rPr>
          <w:rFonts w:ascii="Arial" w:hAnsi="Arial" w:cs="Arial"/>
          <w:sz w:val="22"/>
          <w:szCs w:val="22"/>
        </w:rPr>
        <w:t xml:space="preserve"> weak </w:t>
      </w:r>
      <w:r w:rsidR="00A3757F" w:rsidRPr="004D56CB">
        <w:rPr>
          <w:rFonts w:ascii="Arial" w:hAnsi="Arial" w:cs="Arial"/>
          <w:sz w:val="22"/>
          <w:szCs w:val="22"/>
        </w:rPr>
        <w:t>compared to</w:t>
      </w:r>
      <w:r w:rsidR="0005373F" w:rsidRPr="004D56CB">
        <w:rPr>
          <w:rFonts w:ascii="Arial" w:hAnsi="Arial" w:cs="Arial"/>
          <w:sz w:val="22"/>
          <w:szCs w:val="22"/>
        </w:rPr>
        <w:t xml:space="preserve"> regulatory</w:t>
      </w:r>
      <w:r w:rsidR="00A3757F" w:rsidRPr="004D56CB">
        <w:rPr>
          <w:rFonts w:ascii="Arial" w:hAnsi="Arial" w:cs="Arial"/>
          <w:sz w:val="22"/>
          <w:szCs w:val="22"/>
        </w:rPr>
        <w:t xml:space="preserve"> </w:t>
      </w:r>
      <w:r w:rsidR="00E2514B" w:rsidRPr="004D56CB">
        <w:rPr>
          <w:rFonts w:ascii="Arial" w:hAnsi="Arial" w:cs="Arial"/>
          <w:sz w:val="22"/>
          <w:szCs w:val="22"/>
        </w:rPr>
        <w:t xml:space="preserve">efforts </w:t>
      </w:r>
      <w:r w:rsidR="0005373F" w:rsidRPr="004D56CB">
        <w:rPr>
          <w:rFonts w:ascii="Arial" w:hAnsi="Arial" w:cs="Arial"/>
          <w:sz w:val="22"/>
          <w:szCs w:val="22"/>
        </w:rPr>
        <w:t>for</w:t>
      </w:r>
      <w:r w:rsidR="00E2514B" w:rsidRPr="004D56CB">
        <w:rPr>
          <w:rFonts w:ascii="Arial" w:hAnsi="Arial" w:cs="Arial"/>
          <w:sz w:val="22"/>
          <w:szCs w:val="22"/>
        </w:rPr>
        <w:t xml:space="preserve"> </w:t>
      </w:r>
      <w:r w:rsidR="00AA5607" w:rsidRPr="004D56CB">
        <w:rPr>
          <w:rFonts w:ascii="Arial" w:hAnsi="Arial" w:cs="Arial"/>
          <w:sz w:val="22"/>
          <w:szCs w:val="22"/>
        </w:rPr>
        <w:t>combustible tobacco</w:t>
      </w:r>
      <w:r w:rsidR="00C911F0" w:rsidRPr="004D56CB">
        <w:rPr>
          <w:rFonts w:ascii="Arial" w:hAnsi="Arial" w:cs="Arial"/>
          <w:sz w:val="22"/>
          <w:szCs w:val="22"/>
        </w:rPr>
        <w:t xml:space="preserve"> products. </w:t>
      </w:r>
      <w:r w:rsidR="00FA2B1E" w:rsidRPr="004D56CB">
        <w:rPr>
          <w:rFonts w:ascii="Arial" w:hAnsi="Arial" w:cs="Arial"/>
          <w:sz w:val="22"/>
          <w:szCs w:val="22"/>
        </w:rPr>
        <w:t>M</w:t>
      </w:r>
      <w:r w:rsidR="00D57E46" w:rsidRPr="004D56CB">
        <w:rPr>
          <w:rFonts w:ascii="Arial" w:hAnsi="Arial" w:cs="Arial"/>
          <w:sz w:val="22"/>
          <w:szCs w:val="22"/>
        </w:rPr>
        <w:t>oreover, m</w:t>
      </w:r>
      <w:r w:rsidR="00D9018D" w:rsidRPr="004D56CB">
        <w:rPr>
          <w:rFonts w:ascii="Arial" w:hAnsi="Arial" w:cs="Arial"/>
          <w:sz w:val="22"/>
          <w:szCs w:val="22"/>
        </w:rPr>
        <w:t xml:space="preserve">ost </w:t>
      </w:r>
      <w:r w:rsidR="00B44BDE" w:rsidRPr="004D56CB">
        <w:rPr>
          <w:rFonts w:ascii="Arial" w:hAnsi="Arial" w:cs="Arial"/>
          <w:sz w:val="22"/>
          <w:szCs w:val="22"/>
        </w:rPr>
        <w:t>policies cannot</w:t>
      </w:r>
      <w:r w:rsidR="00367022" w:rsidRPr="004D56CB">
        <w:rPr>
          <w:rFonts w:ascii="Arial" w:hAnsi="Arial" w:cs="Arial"/>
          <w:sz w:val="22"/>
          <w:szCs w:val="22"/>
        </w:rPr>
        <w:t xml:space="preserve"> be </w:t>
      </w:r>
      <w:r w:rsidR="003631C1" w:rsidRPr="004D56CB">
        <w:rPr>
          <w:rFonts w:ascii="Arial" w:hAnsi="Arial" w:cs="Arial"/>
          <w:sz w:val="22"/>
          <w:szCs w:val="22"/>
        </w:rPr>
        <w:t xml:space="preserve">implemented </w:t>
      </w:r>
      <w:r w:rsidR="003A52D1" w:rsidRPr="004D56CB">
        <w:rPr>
          <w:rFonts w:ascii="Arial" w:hAnsi="Arial" w:cs="Arial"/>
          <w:sz w:val="22"/>
          <w:szCs w:val="22"/>
        </w:rPr>
        <w:t xml:space="preserve">adequately </w:t>
      </w:r>
      <w:r w:rsidR="003631C1" w:rsidRPr="004D56CB">
        <w:rPr>
          <w:rFonts w:ascii="Arial" w:hAnsi="Arial" w:cs="Arial"/>
          <w:sz w:val="22"/>
          <w:szCs w:val="22"/>
        </w:rPr>
        <w:t xml:space="preserve">to </w:t>
      </w:r>
      <w:r w:rsidR="00D9018D" w:rsidRPr="004D56CB">
        <w:rPr>
          <w:rFonts w:ascii="Arial" w:hAnsi="Arial" w:cs="Arial"/>
          <w:sz w:val="22"/>
          <w:szCs w:val="22"/>
        </w:rPr>
        <w:t>address ST</w:t>
      </w:r>
      <w:r w:rsidR="00982339" w:rsidRPr="004D56CB">
        <w:rPr>
          <w:rFonts w:ascii="Arial" w:hAnsi="Arial" w:cs="Arial"/>
          <w:sz w:val="22"/>
          <w:szCs w:val="22"/>
        </w:rPr>
        <w:t>, mainly</w:t>
      </w:r>
      <w:r w:rsidR="00D9018D" w:rsidRPr="004D56CB">
        <w:rPr>
          <w:rFonts w:ascii="Arial" w:hAnsi="Arial" w:cs="Arial"/>
          <w:sz w:val="22"/>
          <w:szCs w:val="22"/>
        </w:rPr>
        <w:t xml:space="preserve"> </w:t>
      </w:r>
      <w:r w:rsidR="00B44BDE" w:rsidRPr="004D56CB">
        <w:rPr>
          <w:rFonts w:ascii="Arial" w:hAnsi="Arial" w:cs="Arial"/>
          <w:sz w:val="22"/>
          <w:szCs w:val="22"/>
        </w:rPr>
        <w:t>due to the</w:t>
      </w:r>
      <w:r w:rsidR="003A52D1" w:rsidRPr="004D56CB">
        <w:rPr>
          <w:rFonts w:ascii="Arial" w:hAnsi="Arial" w:cs="Arial"/>
          <w:sz w:val="22"/>
          <w:szCs w:val="22"/>
        </w:rPr>
        <w:t>ir</w:t>
      </w:r>
      <w:r w:rsidR="00B44BDE" w:rsidRPr="004D56CB">
        <w:rPr>
          <w:rFonts w:ascii="Arial" w:hAnsi="Arial" w:cs="Arial"/>
          <w:sz w:val="22"/>
          <w:szCs w:val="22"/>
        </w:rPr>
        <w:t xml:space="preserve"> diverse nature and </w:t>
      </w:r>
      <w:r w:rsidR="005E4BDC" w:rsidRPr="004D56CB">
        <w:rPr>
          <w:rFonts w:ascii="Arial" w:hAnsi="Arial" w:cs="Arial"/>
          <w:sz w:val="22"/>
          <w:szCs w:val="22"/>
        </w:rPr>
        <w:t xml:space="preserve">manufacturing </w:t>
      </w:r>
      <w:r w:rsidR="00B44BDE" w:rsidRPr="004D56CB">
        <w:rPr>
          <w:rFonts w:ascii="Arial" w:hAnsi="Arial" w:cs="Arial"/>
          <w:sz w:val="22"/>
          <w:szCs w:val="22"/>
        </w:rPr>
        <w:t>in informal settings</w:t>
      </w:r>
      <w:r w:rsidR="00D9018D" w:rsidRPr="004D56CB">
        <w:rPr>
          <w:rFonts w:ascii="Arial" w:hAnsi="Arial" w:cs="Arial"/>
          <w:sz w:val="22"/>
          <w:szCs w:val="22"/>
        </w:rPr>
        <w:t xml:space="preserve">. This implies that ST control policies </w:t>
      </w:r>
      <w:r w:rsidR="002C68BD" w:rsidRPr="004D56CB">
        <w:rPr>
          <w:rFonts w:ascii="Arial" w:hAnsi="Arial" w:cs="Arial"/>
          <w:sz w:val="22"/>
          <w:szCs w:val="22"/>
        </w:rPr>
        <w:t xml:space="preserve">and their implementation </w:t>
      </w:r>
      <w:r w:rsidR="00D9018D" w:rsidRPr="004D56CB">
        <w:rPr>
          <w:rFonts w:ascii="Arial" w:hAnsi="Arial" w:cs="Arial"/>
          <w:sz w:val="22"/>
          <w:szCs w:val="22"/>
        </w:rPr>
        <w:t>need to be strengthened</w:t>
      </w:r>
      <w:r w:rsidR="0013271B" w:rsidRPr="004D56CB">
        <w:rPr>
          <w:rFonts w:ascii="Arial" w:hAnsi="Arial" w:cs="Arial"/>
          <w:sz w:val="22"/>
          <w:szCs w:val="22"/>
        </w:rPr>
        <w:t>.</w:t>
      </w:r>
      <w:r w:rsidR="00D9018D" w:rsidRPr="004D56CB">
        <w:rPr>
          <w:rFonts w:ascii="Arial" w:hAnsi="Arial" w:cs="Arial"/>
          <w:sz w:val="22"/>
          <w:szCs w:val="22"/>
        </w:rPr>
        <w:t xml:space="preserve"> </w:t>
      </w:r>
      <w:r w:rsidR="0013271B" w:rsidRPr="004D56CB">
        <w:rPr>
          <w:rFonts w:ascii="Arial" w:hAnsi="Arial" w:cs="Arial"/>
          <w:sz w:val="22"/>
          <w:szCs w:val="22"/>
        </w:rPr>
        <w:t>T</w:t>
      </w:r>
      <w:r w:rsidR="00D9018D" w:rsidRPr="004D56CB">
        <w:rPr>
          <w:rFonts w:ascii="Arial" w:hAnsi="Arial" w:cs="Arial"/>
          <w:sz w:val="22"/>
          <w:szCs w:val="22"/>
        </w:rPr>
        <w:t>his priority setting exercise provided a list of policy actions to address ST use in Bangladesh</w:t>
      </w:r>
      <w:r w:rsidR="003D1CD4" w:rsidRPr="004D56CB">
        <w:rPr>
          <w:rFonts w:ascii="Arial" w:hAnsi="Arial" w:cs="Arial"/>
          <w:sz w:val="22"/>
          <w:szCs w:val="22"/>
        </w:rPr>
        <w:t>, including introducing specific taxes and increasing the present ad-valorem tax level for ST, especially increasing the health development surcharge, standardising ST packaging, integration of ST cessation within existing health systems, comprehensive media campaign, and an introduction of licensing of ST manufactures.</w:t>
      </w:r>
    </w:p>
    <w:p w14:paraId="0C8ECAAD" w14:textId="77777777" w:rsidR="00F414ED" w:rsidRPr="004D56CB" w:rsidRDefault="00F414ED" w:rsidP="00B254E4">
      <w:pPr>
        <w:spacing w:line="360" w:lineRule="auto"/>
        <w:jc w:val="both"/>
        <w:rPr>
          <w:rFonts w:ascii="Arial" w:hAnsi="Arial" w:cs="Arial"/>
          <w:sz w:val="22"/>
          <w:szCs w:val="22"/>
        </w:rPr>
      </w:pPr>
    </w:p>
    <w:p w14:paraId="62D091B6" w14:textId="7FDD72AE" w:rsidR="00492A2E" w:rsidRPr="004D56CB" w:rsidRDefault="004974A7" w:rsidP="00B254E4">
      <w:pPr>
        <w:spacing w:line="360" w:lineRule="auto"/>
        <w:jc w:val="both"/>
        <w:rPr>
          <w:rFonts w:ascii="Arial" w:hAnsi="Arial" w:cs="Arial"/>
          <w:sz w:val="22"/>
          <w:szCs w:val="22"/>
        </w:rPr>
      </w:pPr>
      <w:r w:rsidRPr="004D56CB">
        <w:rPr>
          <w:rFonts w:ascii="Arial" w:hAnsi="Arial" w:cs="Arial"/>
          <w:sz w:val="22"/>
          <w:szCs w:val="22"/>
        </w:rPr>
        <w:t>Taxation on ST remain</w:t>
      </w:r>
      <w:r w:rsidR="00EA7468" w:rsidRPr="004D56CB">
        <w:rPr>
          <w:rFonts w:ascii="Arial" w:hAnsi="Arial" w:cs="Arial"/>
          <w:sz w:val="22"/>
          <w:szCs w:val="22"/>
        </w:rPr>
        <w:t xml:space="preserve">s </w:t>
      </w:r>
      <w:r w:rsidRPr="004D56CB">
        <w:rPr>
          <w:rFonts w:ascii="Arial" w:hAnsi="Arial" w:cs="Arial"/>
          <w:sz w:val="22"/>
          <w:szCs w:val="22"/>
        </w:rPr>
        <w:t xml:space="preserve">low in Bangladesh compared to cigarettes. </w:t>
      </w:r>
      <w:r w:rsidR="00510FD8" w:rsidRPr="004D56CB">
        <w:rPr>
          <w:rFonts w:ascii="Arial" w:hAnsi="Arial" w:cs="Arial"/>
          <w:sz w:val="22"/>
          <w:szCs w:val="22"/>
        </w:rPr>
        <w:t xml:space="preserve">According to the budget speech presented </w:t>
      </w:r>
      <w:r w:rsidR="00B14E97" w:rsidRPr="004D56CB">
        <w:rPr>
          <w:rFonts w:ascii="Arial" w:hAnsi="Arial" w:cs="Arial"/>
          <w:sz w:val="22"/>
          <w:szCs w:val="22"/>
        </w:rPr>
        <w:t>at</w:t>
      </w:r>
      <w:r w:rsidR="00510FD8" w:rsidRPr="004D56CB">
        <w:rPr>
          <w:rFonts w:ascii="Arial" w:hAnsi="Arial" w:cs="Arial"/>
          <w:sz w:val="22"/>
          <w:szCs w:val="22"/>
        </w:rPr>
        <w:t xml:space="preserve"> the Bangladesh National Parliament in 2020, i</w:t>
      </w:r>
      <w:r w:rsidR="00EF6C38" w:rsidRPr="004D56CB">
        <w:rPr>
          <w:rFonts w:ascii="Arial" w:hAnsi="Arial" w:cs="Arial"/>
          <w:sz w:val="22"/>
          <w:szCs w:val="22"/>
        </w:rPr>
        <w:t xml:space="preserve">n </w:t>
      </w:r>
      <w:r w:rsidR="00AB5159" w:rsidRPr="004D56CB">
        <w:rPr>
          <w:rFonts w:ascii="Arial" w:hAnsi="Arial" w:cs="Arial"/>
          <w:sz w:val="22"/>
          <w:szCs w:val="22"/>
        </w:rPr>
        <w:t xml:space="preserve">the </w:t>
      </w:r>
      <w:r w:rsidR="0005373F" w:rsidRPr="004D56CB">
        <w:rPr>
          <w:rFonts w:ascii="Arial" w:hAnsi="Arial" w:cs="Arial"/>
          <w:sz w:val="22"/>
          <w:szCs w:val="22"/>
        </w:rPr>
        <w:t>fiscal year</w:t>
      </w:r>
      <w:r w:rsidR="00B93555" w:rsidRPr="004D56CB">
        <w:rPr>
          <w:rFonts w:ascii="Arial" w:hAnsi="Arial" w:cs="Arial"/>
          <w:sz w:val="22"/>
          <w:szCs w:val="22"/>
        </w:rPr>
        <w:t xml:space="preserve"> (FY)</w:t>
      </w:r>
      <w:r w:rsidR="0005373F" w:rsidRPr="004D56CB">
        <w:rPr>
          <w:rFonts w:ascii="Arial" w:hAnsi="Arial" w:cs="Arial"/>
          <w:sz w:val="22"/>
          <w:szCs w:val="22"/>
        </w:rPr>
        <w:t xml:space="preserve"> 2021</w:t>
      </w:r>
      <w:r w:rsidR="00EF6C38" w:rsidRPr="004D56CB">
        <w:rPr>
          <w:rFonts w:ascii="Arial" w:hAnsi="Arial" w:cs="Arial"/>
          <w:sz w:val="22"/>
          <w:szCs w:val="22"/>
        </w:rPr>
        <w:t>, t</w:t>
      </w:r>
      <w:r w:rsidR="00315DBE" w:rsidRPr="004D56CB">
        <w:rPr>
          <w:rFonts w:ascii="Arial" w:hAnsi="Arial" w:cs="Arial"/>
          <w:sz w:val="22"/>
          <w:szCs w:val="22"/>
        </w:rPr>
        <w:t xml:space="preserve">he </w:t>
      </w:r>
      <w:r w:rsidR="0030126E" w:rsidRPr="004D56CB">
        <w:rPr>
          <w:rFonts w:ascii="Arial" w:hAnsi="Arial" w:cs="Arial"/>
          <w:sz w:val="22"/>
          <w:szCs w:val="22"/>
        </w:rPr>
        <w:t xml:space="preserve">supplementary duty </w:t>
      </w:r>
      <w:r w:rsidR="009E24A4" w:rsidRPr="004D56CB">
        <w:rPr>
          <w:rFonts w:ascii="Arial" w:hAnsi="Arial" w:cs="Arial"/>
          <w:sz w:val="22"/>
          <w:szCs w:val="22"/>
        </w:rPr>
        <w:t xml:space="preserve">(SD) </w:t>
      </w:r>
      <w:r w:rsidR="00315DBE" w:rsidRPr="004D56CB">
        <w:rPr>
          <w:rFonts w:ascii="Arial" w:hAnsi="Arial" w:cs="Arial"/>
          <w:sz w:val="22"/>
          <w:szCs w:val="22"/>
        </w:rPr>
        <w:t xml:space="preserve">of </w:t>
      </w:r>
      <w:r w:rsidR="00AB5159" w:rsidRPr="004D56CB">
        <w:rPr>
          <w:rFonts w:ascii="Arial" w:hAnsi="Arial" w:cs="Arial"/>
          <w:sz w:val="22"/>
          <w:szCs w:val="22"/>
        </w:rPr>
        <w:t>cigarettes</w:t>
      </w:r>
      <w:r w:rsidR="00FC5578" w:rsidRPr="004D56CB">
        <w:rPr>
          <w:rFonts w:ascii="Arial" w:hAnsi="Arial" w:cs="Arial"/>
          <w:sz w:val="22"/>
          <w:szCs w:val="22"/>
        </w:rPr>
        <w:t xml:space="preserve"> for </w:t>
      </w:r>
      <w:r w:rsidR="007D160D" w:rsidRPr="004D56CB">
        <w:rPr>
          <w:rFonts w:ascii="Arial" w:hAnsi="Arial" w:cs="Arial"/>
          <w:sz w:val="22"/>
          <w:szCs w:val="22"/>
        </w:rPr>
        <w:t xml:space="preserve">low-tier </w:t>
      </w:r>
      <w:r w:rsidR="00FC5578" w:rsidRPr="004D56CB">
        <w:rPr>
          <w:rFonts w:ascii="Arial" w:hAnsi="Arial" w:cs="Arial"/>
          <w:sz w:val="22"/>
          <w:szCs w:val="22"/>
        </w:rPr>
        <w:t xml:space="preserve">and three other tiers </w:t>
      </w:r>
      <w:r w:rsidR="0030126E" w:rsidRPr="004D56CB">
        <w:rPr>
          <w:rFonts w:ascii="Arial" w:hAnsi="Arial" w:cs="Arial"/>
          <w:sz w:val="22"/>
          <w:szCs w:val="22"/>
        </w:rPr>
        <w:t>is</w:t>
      </w:r>
      <w:r w:rsidR="00EF6C38" w:rsidRPr="004D56CB">
        <w:rPr>
          <w:rFonts w:ascii="Arial" w:hAnsi="Arial" w:cs="Arial"/>
          <w:sz w:val="22"/>
          <w:szCs w:val="22"/>
        </w:rPr>
        <w:t xml:space="preserve"> </w:t>
      </w:r>
      <w:r w:rsidR="0030126E" w:rsidRPr="004D56CB">
        <w:rPr>
          <w:rFonts w:ascii="Arial" w:hAnsi="Arial" w:cs="Arial"/>
          <w:sz w:val="22"/>
          <w:szCs w:val="22"/>
        </w:rPr>
        <w:t>57</w:t>
      </w:r>
      <w:r w:rsidR="007D160D" w:rsidRPr="004D56CB">
        <w:rPr>
          <w:rFonts w:ascii="Arial" w:hAnsi="Arial" w:cs="Arial"/>
          <w:sz w:val="22"/>
          <w:szCs w:val="22"/>
        </w:rPr>
        <w:t>%</w:t>
      </w:r>
      <w:r w:rsidR="009C61D4" w:rsidRPr="004D56CB">
        <w:rPr>
          <w:rFonts w:ascii="Arial" w:hAnsi="Arial" w:cs="Arial"/>
          <w:sz w:val="22"/>
          <w:szCs w:val="22"/>
        </w:rPr>
        <w:t xml:space="preserve"> </w:t>
      </w:r>
      <w:r w:rsidR="009E24A4" w:rsidRPr="004D56CB">
        <w:rPr>
          <w:rFonts w:ascii="Arial" w:hAnsi="Arial" w:cs="Arial"/>
          <w:sz w:val="22"/>
          <w:szCs w:val="22"/>
        </w:rPr>
        <w:t>and 65%</w:t>
      </w:r>
      <w:r w:rsidR="00626FAD" w:rsidRPr="004D56CB">
        <w:rPr>
          <w:rFonts w:ascii="Arial" w:hAnsi="Arial" w:cs="Arial"/>
          <w:sz w:val="22"/>
          <w:szCs w:val="22"/>
        </w:rPr>
        <w:t xml:space="preserve"> </w:t>
      </w:r>
      <w:r w:rsidR="009C61D4" w:rsidRPr="004D56CB">
        <w:rPr>
          <w:rFonts w:ascii="Arial" w:hAnsi="Arial" w:cs="Arial"/>
          <w:sz w:val="22"/>
          <w:szCs w:val="22"/>
        </w:rPr>
        <w:t>of maximum retail price (MRP)</w:t>
      </w:r>
      <w:r w:rsidR="00E04C66" w:rsidRPr="004D56CB">
        <w:rPr>
          <w:rFonts w:ascii="Arial" w:hAnsi="Arial" w:cs="Arial"/>
          <w:sz w:val="22"/>
          <w:szCs w:val="22"/>
        </w:rPr>
        <w:t>,</w:t>
      </w:r>
      <w:r w:rsidR="00626FAD" w:rsidRPr="004D56CB">
        <w:rPr>
          <w:rFonts w:ascii="Arial" w:hAnsi="Arial" w:cs="Arial"/>
          <w:sz w:val="22"/>
          <w:szCs w:val="22"/>
        </w:rPr>
        <w:t xml:space="preserve"> respectively</w:t>
      </w:r>
      <w:r w:rsidR="007D160D" w:rsidRPr="004D56CB">
        <w:rPr>
          <w:rFonts w:ascii="Arial" w:hAnsi="Arial" w:cs="Arial"/>
          <w:sz w:val="22"/>
          <w:szCs w:val="22"/>
        </w:rPr>
        <w:t>, while</w:t>
      </w:r>
      <w:r w:rsidR="009C61D4" w:rsidRPr="004D56CB">
        <w:rPr>
          <w:rFonts w:ascii="Arial" w:hAnsi="Arial" w:cs="Arial"/>
          <w:sz w:val="22"/>
          <w:szCs w:val="22"/>
        </w:rPr>
        <w:t xml:space="preserve"> the </w:t>
      </w:r>
      <w:r w:rsidR="009E24A4" w:rsidRPr="004D56CB">
        <w:rPr>
          <w:rFonts w:ascii="Arial" w:hAnsi="Arial" w:cs="Arial"/>
          <w:sz w:val="22"/>
          <w:szCs w:val="22"/>
        </w:rPr>
        <w:t>SD is 55</w:t>
      </w:r>
      <w:r w:rsidR="009C61D4" w:rsidRPr="004D56CB">
        <w:rPr>
          <w:rFonts w:ascii="Arial" w:hAnsi="Arial" w:cs="Arial"/>
          <w:sz w:val="22"/>
          <w:szCs w:val="22"/>
        </w:rPr>
        <w:t xml:space="preserve">% of MRP for Zarda and Gul. </w:t>
      </w:r>
      <w:r w:rsidR="00D9018D" w:rsidRPr="004D56CB">
        <w:rPr>
          <w:rFonts w:ascii="Arial" w:hAnsi="Arial" w:cs="Arial"/>
          <w:sz w:val="22"/>
          <w:szCs w:val="22"/>
        </w:rPr>
        <w:t xml:space="preserve">Imposing specific tax along with considerable increases in current </w:t>
      </w:r>
      <w:r w:rsidR="00AB5159" w:rsidRPr="004D56CB">
        <w:rPr>
          <w:rFonts w:ascii="Arial" w:hAnsi="Arial" w:cs="Arial"/>
          <w:sz w:val="22"/>
          <w:szCs w:val="22"/>
        </w:rPr>
        <w:t>ad Valorem</w:t>
      </w:r>
      <w:r w:rsidR="00D9018D" w:rsidRPr="004D56CB">
        <w:rPr>
          <w:rFonts w:ascii="Arial" w:hAnsi="Arial" w:cs="Arial"/>
          <w:sz w:val="22"/>
          <w:szCs w:val="22"/>
        </w:rPr>
        <w:t xml:space="preserve"> tax (supplementary duty) and price increase of all types of tobacco products to ensure that the affordability of heterogeneous ST products continues to decline was considered as a priority. Tax increases should be comparable across all tobacco products to reduce opportunities for substitution in response to changes in relative prices</w:t>
      </w:r>
      <w:r w:rsidR="00CD7AB5" w:rsidRPr="004D56CB">
        <w:rPr>
          <w:rFonts w:ascii="Arial" w:hAnsi="Arial" w:cs="Arial"/>
          <w:sz w:val="22"/>
          <w:szCs w:val="22"/>
        </w:rPr>
        <w:t xml:space="preserve"> </w:t>
      </w:r>
      <w:r w:rsidR="006B3F6D" w:rsidRPr="004D56CB">
        <w:rPr>
          <w:rFonts w:ascii="Arial" w:hAnsi="Arial" w:cs="Arial"/>
          <w:sz w:val="22"/>
        </w:rPr>
        <w:t>[17,18]</w:t>
      </w:r>
      <w:r w:rsidR="00D9018D" w:rsidRPr="004D56CB">
        <w:rPr>
          <w:rFonts w:ascii="Arial" w:hAnsi="Arial" w:cs="Arial"/>
          <w:sz w:val="22"/>
          <w:szCs w:val="22"/>
        </w:rPr>
        <w:t xml:space="preserve">. </w:t>
      </w:r>
      <w:r w:rsidR="00453397" w:rsidRPr="004D56CB">
        <w:rPr>
          <w:rFonts w:ascii="Arial" w:hAnsi="Arial" w:cs="Arial"/>
          <w:sz w:val="22"/>
          <w:szCs w:val="22"/>
        </w:rPr>
        <w:t>The g</w:t>
      </w:r>
      <w:r w:rsidR="00DB7F8B" w:rsidRPr="004D56CB">
        <w:rPr>
          <w:rFonts w:ascii="Arial" w:hAnsi="Arial" w:cs="Arial"/>
          <w:sz w:val="22"/>
          <w:szCs w:val="22"/>
        </w:rPr>
        <w:t xml:space="preserve">overnment </w:t>
      </w:r>
      <w:r w:rsidR="003131FD" w:rsidRPr="004D56CB">
        <w:rPr>
          <w:rFonts w:ascii="Arial" w:hAnsi="Arial" w:cs="Arial"/>
          <w:sz w:val="22"/>
          <w:szCs w:val="22"/>
        </w:rPr>
        <w:t>changed</w:t>
      </w:r>
      <w:r w:rsidR="00DB7F8B" w:rsidRPr="004D56CB">
        <w:rPr>
          <w:rFonts w:ascii="Arial" w:hAnsi="Arial" w:cs="Arial"/>
          <w:sz w:val="22"/>
          <w:szCs w:val="22"/>
        </w:rPr>
        <w:t xml:space="preserve"> the tax base for </w:t>
      </w:r>
      <w:r w:rsidR="002F2DAC" w:rsidRPr="004D56CB">
        <w:rPr>
          <w:rFonts w:ascii="Arial" w:hAnsi="Arial" w:cs="Arial"/>
          <w:sz w:val="22"/>
          <w:szCs w:val="22"/>
        </w:rPr>
        <w:t xml:space="preserve">Zarda and Gul </w:t>
      </w:r>
      <w:r w:rsidR="00DB7F8B" w:rsidRPr="004D56CB">
        <w:rPr>
          <w:rFonts w:ascii="Arial" w:hAnsi="Arial" w:cs="Arial"/>
          <w:sz w:val="22"/>
          <w:szCs w:val="22"/>
        </w:rPr>
        <w:t xml:space="preserve">from ex-factory price to </w:t>
      </w:r>
      <w:r w:rsidR="00461D88" w:rsidRPr="004D56CB">
        <w:rPr>
          <w:rFonts w:ascii="Arial" w:hAnsi="Arial" w:cs="Arial"/>
          <w:sz w:val="22"/>
          <w:szCs w:val="22"/>
        </w:rPr>
        <w:t xml:space="preserve">MRP </w:t>
      </w:r>
      <w:r w:rsidR="001A1369" w:rsidRPr="004D56CB">
        <w:rPr>
          <w:rFonts w:ascii="Arial" w:hAnsi="Arial" w:cs="Arial"/>
          <w:sz w:val="22"/>
          <w:szCs w:val="22"/>
        </w:rPr>
        <w:t xml:space="preserve">in </w:t>
      </w:r>
      <w:r w:rsidR="00B93555" w:rsidRPr="004D56CB">
        <w:rPr>
          <w:rFonts w:ascii="Arial" w:hAnsi="Arial" w:cs="Arial"/>
          <w:sz w:val="22"/>
          <w:szCs w:val="22"/>
        </w:rPr>
        <w:t xml:space="preserve">FY </w:t>
      </w:r>
      <w:r w:rsidR="002F2DAC" w:rsidRPr="004D56CB">
        <w:rPr>
          <w:rFonts w:ascii="Arial" w:hAnsi="Arial" w:cs="Arial"/>
          <w:sz w:val="22"/>
          <w:szCs w:val="22"/>
        </w:rPr>
        <w:t>2020</w:t>
      </w:r>
      <w:r w:rsidR="00DB7F8B" w:rsidRPr="004D56CB">
        <w:rPr>
          <w:rFonts w:ascii="Arial" w:hAnsi="Arial" w:cs="Arial"/>
          <w:sz w:val="22"/>
          <w:szCs w:val="22"/>
        </w:rPr>
        <w:t xml:space="preserve"> and </w:t>
      </w:r>
      <w:r w:rsidR="003131FD" w:rsidRPr="004D56CB">
        <w:rPr>
          <w:rFonts w:ascii="Arial" w:hAnsi="Arial" w:cs="Arial"/>
          <w:sz w:val="22"/>
          <w:szCs w:val="22"/>
        </w:rPr>
        <w:t>increased</w:t>
      </w:r>
      <w:r w:rsidR="00DB7F8B" w:rsidRPr="004D56CB">
        <w:rPr>
          <w:rFonts w:ascii="Arial" w:hAnsi="Arial" w:cs="Arial"/>
          <w:sz w:val="22"/>
          <w:szCs w:val="22"/>
        </w:rPr>
        <w:t xml:space="preserve"> the price of </w:t>
      </w:r>
      <w:r w:rsidR="004221D5" w:rsidRPr="004D56CB">
        <w:rPr>
          <w:rFonts w:ascii="Arial" w:hAnsi="Arial" w:cs="Arial"/>
          <w:sz w:val="22"/>
          <w:szCs w:val="22"/>
        </w:rPr>
        <w:t>10</w:t>
      </w:r>
      <w:r w:rsidR="00E04C66" w:rsidRPr="004D56CB">
        <w:rPr>
          <w:rFonts w:ascii="Arial" w:hAnsi="Arial" w:cs="Arial"/>
          <w:sz w:val="22"/>
          <w:szCs w:val="22"/>
        </w:rPr>
        <w:t>-</w:t>
      </w:r>
      <w:r w:rsidR="004221D5" w:rsidRPr="004D56CB">
        <w:rPr>
          <w:rFonts w:ascii="Arial" w:hAnsi="Arial" w:cs="Arial"/>
          <w:sz w:val="22"/>
          <w:szCs w:val="22"/>
        </w:rPr>
        <w:t xml:space="preserve">gram pack </w:t>
      </w:r>
      <w:r w:rsidR="00DB7F8B" w:rsidRPr="004D56CB">
        <w:rPr>
          <w:rFonts w:ascii="Arial" w:hAnsi="Arial" w:cs="Arial"/>
          <w:sz w:val="22"/>
          <w:szCs w:val="22"/>
        </w:rPr>
        <w:t>Z</w:t>
      </w:r>
      <w:r w:rsidR="004221D5" w:rsidRPr="004D56CB">
        <w:rPr>
          <w:rFonts w:ascii="Arial" w:hAnsi="Arial" w:cs="Arial"/>
          <w:sz w:val="22"/>
          <w:szCs w:val="22"/>
        </w:rPr>
        <w:t>arda</w:t>
      </w:r>
      <w:r w:rsidR="005E1B6F" w:rsidRPr="004D56CB">
        <w:rPr>
          <w:rFonts w:ascii="Arial" w:hAnsi="Arial" w:cs="Arial"/>
          <w:sz w:val="22"/>
          <w:szCs w:val="22"/>
        </w:rPr>
        <w:t xml:space="preserve"> </w:t>
      </w:r>
      <w:r w:rsidR="00DB7F8B" w:rsidRPr="004D56CB">
        <w:rPr>
          <w:rFonts w:ascii="Arial" w:hAnsi="Arial" w:cs="Arial"/>
          <w:sz w:val="22"/>
          <w:szCs w:val="22"/>
        </w:rPr>
        <w:t xml:space="preserve">and Gul </w:t>
      </w:r>
      <w:r w:rsidR="003131FD" w:rsidRPr="004D56CB">
        <w:rPr>
          <w:rFonts w:ascii="Arial" w:hAnsi="Arial" w:cs="Arial"/>
          <w:sz w:val="22"/>
          <w:szCs w:val="22"/>
        </w:rPr>
        <w:t xml:space="preserve">from </w:t>
      </w:r>
      <w:r w:rsidR="005E1B6F" w:rsidRPr="004D56CB">
        <w:rPr>
          <w:rFonts w:ascii="Arial" w:hAnsi="Arial" w:cs="Arial"/>
          <w:sz w:val="22"/>
          <w:szCs w:val="22"/>
        </w:rPr>
        <w:t>12 Taka</w:t>
      </w:r>
      <w:r w:rsidR="003131FD" w:rsidRPr="004D56CB">
        <w:rPr>
          <w:rFonts w:ascii="Arial" w:hAnsi="Arial" w:cs="Arial"/>
          <w:sz w:val="22"/>
          <w:szCs w:val="22"/>
        </w:rPr>
        <w:t xml:space="preserve"> </w:t>
      </w:r>
      <w:r w:rsidR="00A2235F" w:rsidRPr="004D56CB">
        <w:rPr>
          <w:rFonts w:ascii="Arial" w:hAnsi="Arial" w:cs="Arial"/>
          <w:sz w:val="22"/>
          <w:szCs w:val="22"/>
        </w:rPr>
        <w:t>(</w:t>
      </w:r>
      <w:r w:rsidR="00CD04E1" w:rsidRPr="004D56CB">
        <w:rPr>
          <w:rFonts w:ascii="Arial" w:hAnsi="Arial" w:cs="Arial"/>
          <w:sz w:val="22"/>
          <w:szCs w:val="22"/>
        </w:rPr>
        <w:t xml:space="preserve">USD 0.14) </w:t>
      </w:r>
      <w:r w:rsidR="003131FD" w:rsidRPr="004D56CB">
        <w:rPr>
          <w:rFonts w:ascii="Arial" w:hAnsi="Arial" w:cs="Arial"/>
          <w:sz w:val="22"/>
          <w:szCs w:val="22"/>
        </w:rPr>
        <w:t xml:space="preserve">and </w:t>
      </w:r>
      <w:r w:rsidR="005E1B6F" w:rsidRPr="004D56CB">
        <w:rPr>
          <w:rFonts w:ascii="Arial" w:hAnsi="Arial" w:cs="Arial"/>
          <w:sz w:val="22"/>
          <w:szCs w:val="22"/>
        </w:rPr>
        <w:t>6</w:t>
      </w:r>
      <w:r w:rsidR="00787366" w:rsidRPr="004D56CB">
        <w:rPr>
          <w:rFonts w:ascii="Arial" w:hAnsi="Arial" w:cs="Arial"/>
          <w:sz w:val="22"/>
          <w:szCs w:val="22"/>
        </w:rPr>
        <w:t xml:space="preserve"> T</w:t>
      </w:r>
      <w:r w:rsidR="00036377" w:rsidRPr="004D56CB">
        <w:rPr>
          <w:rFonts w:ascii="Arial" w:hAnsi="Arial" w:cs="Arial"/>
          <w:sz w:val="22"/>
          <w:szCs w:val="22"/>
        </w:rPr>
        <w:t>aka</w:t>
      </w:r>
      <w:r w:rsidR="00A151A7" w:rsidRPr="004D56CB">
        <w:rPr>
          <w:rFonts w:ascii="Arial" w:hAnsi="Arial" w:cs="Arial"/>
          <w:sz w:val="22"/>
          <w:szCs w:val="22"/>
        </w:rPr>
        <w:t xml:space="preserve"> (USD 0.07)</w:t>
      </w:r>
      <w:r w:rsidR="00036377" w:rsidRPr="004D56CB">
        <w:rPr>
          <w:rFonts w:ascii="Arial" w:hAnsi="Arial" w:cs="Arial"/>
          <w:sz w:val="22"/>
          <w:szCs w:val="22"/>
        </w:rPr>
        <w:t xml:space="preserve"> in </w:t>
      </w:r>
      <w:r w:rsidR="00B93555" w:rsidRPr="004D56CB">
        <w:rPr>
          <w:rFonts w:ascii="Arial" w:hAnsi="Arial" w:cs="Arial"/>
          <w:sz w:val="22"/>
          <w:szCs w:val="22"/>
        </w:rPr>
        <w:t xml:space="preserve">FY </w:t>
      </w:r>
      <w:r w:rsidR="00036377" w:rsidRPr="004D56CB">
        <w:rPr>
          <w:rFonts w:ascii="Arial" w:hAnsi="Arial" w:cs="Arial"/>
          <w:sz w:val="22"/>
          <w:szCs w:val="22"/>
        </w:rPr>
        <w:t>20</w:t>
      </w:r>
      <w:r w:rsidR="005E1B6F" w:rsidRPr="004D56CB">
        <w:rPr>
          <w:rFonts w:ascii="Arial" w:hAnsi="Arial" w:cs="Arial"/>
          <w:sz w:val="22"/>
          <w:szCs w:val="22"/>
        </w:rPr>
        <w:t>19</w:t>
      </w:r>
      <w:r w:rsidR="001A77F3" w:rsidRPr="004D56CB">
        <w:rPr>
          <w:rFonts w:ascii="Arial" w:hAnsi="Arial" w:cs="Arial"/>
          <w:sz w:val="22"/>
          <w:szCs w:val="22"/>
        </w:rPr>
        <w:t xml:space="preserve"> </w:t>
      </w:r>
      <w:r w:rsidR="006B3F6D" w:rsidRPr="004D56CB">
        <w:rPr>
          <w:rFonts w:ascii="Arial" w:hAnsi="Arial" w:cs="Arial"/>
          <w:sz w:val="22"/>
        </w:rPr>
        <w:t>[19]</w:t>
      </w:r>
      <w:r w:rsidR="005E1B6F" w:rsidRPr="004D56CB">
        <w:rPr>
          <w:rFonts w:ascii="Arial" w:hAnsi="Arial" w:cs="Arial"/>
          <w:sz w:val="22"/>
          <w:szCs w:val="22"/>
        </w:rPr>
        <w:t xml:space="preserve"> to </w:t>
      </w:r>
      <w:r w:rsidR="00515715" w:rsidRPr="004D56CB">
        <w:rPr>
          <w:rFonts w:ascii="Arial" w:hAnsi="Arial" w:cs="Arial"/>
          <w:sz w:val="22"/>
          <w:szCs w:val="22"/>
        </w:rPr>
        <w:t xml:space="preserve">40 </w:t>
      </w:r>
      <w:r w:rsidR="005E1B6F" w:rsidRPr="004D56CB">
        <w:rPr>
          <w:rFonts w:ascii="Arial" w:hAnsi="Arial" w:cs="Arial"/>
          <w:sz w:val="22"/>
          <w:szCs w:val="22"/>
        </w:rPr>
        <w:t xml:space="preserve">Taka </w:t>
      </w:r>
      <w:r w:rsidR="00667A47" w:rsidRPr="004D56CB">
        <w:rPr>
          <w:rFonts w:ascii="Arial" w:hAnsi="Arial" w:cs="Arial"/>
          <w:sz w:val="22"/>
          <w:szCs w:val="22"/>
        </w:rPr>
        <w:t>(U</w:t>
      </w:r>
      <w:r w:rsidR="00CA2462" w:rsidRPr="004D56CB">
        <w:rPr>
          <w:rFonts w:ascii="Arial" w:hAnsi="Arial" w:cs="Arial"/>
          <w:sz w:val="22"/>
          <w:szCs w:val="22"/>
        </w:rPr>
        <w:t>S</w:t>
      </w:r>
      <w:r w:rsidR="00667A47" w:rsidRPr="004D56CB">
        <w:rPr>
          <w:rFonts w:ascii="Arial" w:hAnsi="Arial" w:cs="Arial"/>
          <w:sz w:val="22"/>
          <w:szCs w:val="22"/>
        </w:rPr>
        <w:t xml:space="preserve">D 0.47) </w:t>
      </w:r>
      <w:r w:rsidR="005E1B6F" w:rsidRPr="004D56CB">
        <w:rPr>
          <w:rFonts w:ascii="Arial" w:hAnsi="Arial" w:cs="Arial"/>
          <w:sz w:val="22"/>
          <w:szCs w:val="22"/>
        </w:rPr>
        <w:t xml:space="preserve">and </w:t>
      </w:r>
      <w:r w:rsidR="00515715" w:rsidRPr="004D56CB">
        <w:rPr>
          <w:rFonts w:ascii="Arial" w:hAnsi="Arial" w:cs="Arial"/>
          <w:sz w:val="22"/>
          <w:szCs w:val="22"/>
        </w:rPr>
        <w:t>20</w:t>
      </w:r>
      <w:r w:rsidR="00036377" w:rsidRPr="004D56CB">
        <w:rPr>
          <w:rFonts w:ascii="Arial" w:hAnsi="Arial" w:cs="Arial"/>
          <w:sz w:val="22"/>
          <w:szCs w:val="22"/>
        </w:rPr>
        <w:t xml:space="preserve"> Taka </w:t>
      </w:r>
      <w:r w:rsidR="00667A47" w:rsidRPr="004D56CB">
        <w:rPr>
          <w:rFonts w:ascii="Arial" w:hAnsi="Arial" w:cs="Arial"/>
          <w:sz w:val="22"/>
          <w:szCs w:val="22"/>
        </w:rPr>
        <w:t xml:space="preserve">(USD 0.24) </w:t>
      </w:r>
      <w:r w:rsidR="00036377" w:rsidRPr="004D56CB">
        <w:rPr>
          <w:rFonts w:ascii="Arial" w:hAnsi="Arial" w:cs="Arial"/>
          <w:sz w:val="22"/>
          <w:szCs w:val="22"/>
        </w:rPr>
        <w:t xml:space="preserve">in </w:t>
      </w:r>
      <w:r w:rsidR="00162AFB" w:rsidRPr="004D56CB">
        <w:rPr>
          <w:rFonts w:ascii="Arial" w:hAnsi="Arial" w:cs="Arial"/>
          <w:sz w:val="22"/>
          <w:szCs w:val="22"/>
        </w:rPr>
        <w:t xml:space="preserve">FY </w:t>
      </w:r>
      <w:r w:rsidR="00036377" w:rsidRPr="004D56CB">
        <w:rPr>
          <w:rFonts w:ascii="Arial" w:hAnsi="Arial" w:cs="Arial"/>
          <w:sz w:val="22"/>
          <w:szCs w:val="22"/>
        </w:rPr>
        <w:t>20</w:t>
      </w:r>
      <w:r w:rsidR="005E1B6F" w:rsidRPr="004D56CB">
        <w:rPr>
          <w:rFonts w:ascii="Arial" w:hAnsi="Arial" w:cs="Arial"/>
          <w:sz w:val="22"/>
          <w:szCs w:val="22"/>
        </w:rPr>
        <w:t xml:space="preserve">21, respectively. </w:t>
      </w:r>
      <w:r w:rsidR="00DB7F8B" w:rsidRPr="004D56CB">
        <w:rPr>
          <w:rFonts w:ascii="Arial" w:hAnsi="Arial" w:cs="Arial"/>
          <w:sz w:val="22"/>
          <w:szCs w:val="22"/>
        </w:rPr>
        <w:t xml:space="preserve">However, </w:t>
      </w:r>
      <w:r w:rsidR="00787366" w:rsidRPr="004D56CB">
        <w:rPr>
          <w:rFonts w:ascii="Arial" w:hAnsi="Arial" w:cs="Arial"/>
          <w:sz w:val="22"/>
          <w:szCs w:val="22"/>
        </w:rPr>
        <w:t xml:space="preserve">this </w:t>
      </w:r>
      <w:r w:rsidR="00E04C66" w:rsidRPr="004D56CB">
        <w:rPr>
          <w:rFonts w:ascii="Arial" w:hAnsi="Arial" w:cs="Arial"/>
          <w:sz w:val="22"/>
          <w:szCs w:val="22"/>
        </w:rPr>
        <w:t>price increas</w:t>
      </w:r>
      <w:r w:rsidR="00787366" w:rsidRPr="004D56CB">
        <w:rPr>
          <w:rFonts w:ascii="Arial" w:hAnsi="Arial" w:cs="Arial"/>
          <w:sz w:val="22"/>
          <w:szCs w:val="22"/>
        </w:rPr>
        <w:t xml:space="preserve">e </w:t>
      </w:r>
      <w:r w:rsidR="00515715" w:rsidRPr="004D56CB">
        <w:rPr>
          <w:rFonts w:ascii="Arial" w:hAnsi="Arial" w:cs="Arial"/>
          <w:sz w:val="22"/>
          <w:szCs w:val="22"/>
        </w:rPr>
        <w:t xml:space="preserve">will </w:t>
      </w:r>
      <w:r w:rsidR="009D4A63" w:rsidRPr="004D56CB">
        <w:rPr>
          <w:rFonts w:ascii="Arial" w:hAnsi="Arial" w:cs="Arial"/>
          <w:sz w:val="22"/>
          <w:szCs w:val="22"/>
        </w:rPr>
        <w:t xml:space="preserve">not </w:t>
      </w:r>
      <w:r w:rsidR="00F82616" w:rsidRPr="004D56CB">
        <w:rPr>
          <w:rFonts w:ascii="Arial" w:hAnsi="Arial" w:cs="Arial"/>
          <w:sz w:val="22"/>
          <w:szCs w:val="22"/>
        </w:rPr>
        <w:t>impact</w:t>
      </w:r>
      <w:r w:rsidR="00C30A96" w:rsidRPr="004D56CB">
        <w:rPr>
          <w:rFonts w:ascii="Arial" w:hAnsi="Arial" w:cs="Arial"/>
          <w:sz w:val="22"/>
          <w:szCs w:val="22"/>
        </w:rPr>
        <w:t xml:space="preserve"> </w:t>
      </w:r>
      <w:r w:rsidR="00515715" w:rsidRPr="004D56CB">
        <w:rPr>
          <w:rFonts w:ascii="Arial" w:hAnsi="Arial" w:cs="Arial"/>
          <w:sz w:val="22"/>
          <w:szCs w:val="22"/>
        </w:rPr>
        <w:t xml:space="preserve">ST consumption as </w:t>
      </w:r>
      <w:r w:rsidR="00E04C66" w:rsidRPr="004D56CB">
        <w:rPr>
          <w:rFonts w:ascii="Arial" w:hAnsi="Arial" w:cs="Arial"/>
          <w:sz w:val="22"/>
          <w:szCs w:val="22"/>
        </w:rPr>
        <w:t>many</w:t>
      </w:r>
      <w:r w:rsidR="00DB7F8B" w:rsidRPr="004D56CB">
        <w:rPr>
          <w:rFonts w:ascii="Arial" w:hAnsi="Arial" w:cs="Arial"/>
          <w:sz w:val="22"/>
          <w:szCs w:val="22"/>
        </w:rPr>
        <w:t xml:space="preserve"> ST manufacturers are not registered and </w:t>
      </w:r>
      <w:r w:rsidR="00C30A96" w:rsidRPr="004D56CB">
        <w:rPr>
          <w:rFonts w:ascii="Arial" w:hAnsi="Arial" w:cs="Arial"/>
          <w:sz w:val="22"/>
          <w:szCs w:val="22"/>
        </w:rPr>
        <w:t xml:space="preserve">therefore </w:t>
      </w:r>
      <w:r w:rsidR="00DB7F8B" w:rsidRPr="004D56CB">
        <w:rPr>
          <w:rFonts w:ascii="Arial" w:hAnsi="Arial" w:cs="Arial"/>
          <w:sz w:val="22"/>
          <w:szCs w:val="22"/>
        </w:rPr>
        <w:t>not paying taxes and VAT to the government</w:t>
      </w:r>
      <w:r w:rsidR="00C53A37" w:rsidRPr="004D56CB">
        <w:rPr>
          <w:rFonts w:ascii="Arial" w:hAnsi="Arial" w:cs="Arial"/>
          <w:sz w:val="22"/>
          <w:szCs w:val="22"/>
        </w:rPr>
        <w:t xml:space="preserve"> </w:t>
      </w:r>
      <w:r w:rsidR="00C53A37" w:rsidRPr="004D56CB">
        <w:rPr>
          <w:rFonts w:ascii="Arial" w:hAnsi="Arial" w:cs="Arial"/>
          <w:sz w:val="22"/>
        </w:rPr>
        <w:t>[1]</w:t>
      </w:r>
      <w:r w:rsidR="00464BAB" w:rsidRPr="004D56CB">
        <w:rPr>
          <w:rFonts w:ascii="Arial" w:hAnsi="Arial" w:cs="Arial"/>
          <w:sz w:val="22"/>
          <w:szCs w:val="22"/>
        </w:rPr>
        <w:t>.</w:t>
      </w:r>
      <w:r w:rsidR="00DB7F8B" w:rsidRPr="004D56CB">
        <w:rPr>
          <w:rFonts w:ascii="Arial" w:hAnsi="Arial" w:cs="Arial"/>
          <w:sz w:val="22"/>
          <w:szCs w:val="22"/>
        </w:rPr>
        <w:t xml:space="preserve"> </w:t>
      </w:r>
      <w:r w:rsidR="00D9018D" w:rsidRPr="004D56CB">
        <w:rPr>
          <w:rFonts w:ascii="Arial" w:hAnsi="Arial" w:cs="Arial"/>
          <w:sz w:val="22"/>
          <w:szCs w:val="22"/>
        </w:rPr>
        <w:t xml:space="preserve">ST manufacturing units need to be </w:t>
      </w:r>
      <w:r w:rsidR="00B9149D" w:rsidRPr="004D56CB">
        <w:rPr>
          <w:rFonts w:ascii="Arial" w:hAnsi="Arial" w:cs="Arial"/>
          <w:sz w:val="22"/>
          <w:szCs w:val="22"/>
        </w:rPr>
        <w:t xml:space="preserve">formalised </w:t>
      </w:r>
      <w:r w:rsidR="00D9018D" w:rsidRPr="004D56CB">
        <w:rPr>
          <w:rFonts w:ascii="Arial" w:hAnsi="Arial" w:cs="Arial"/>
          <w:sz w:val="22"/>
          <w:szCs w:val="22"/>
        </w:rPr>
        <w:t xml:space="preserve">by bringing them under </w:t>
      </w:r>
      <w:r w:rsidR="008B0C4B" w:rsidRPr="004D56CB">
        <w:rPr>
          <w:rFonts w:ascii="Arial" w:hAnsi="Arial" w:cs="Arial"/>
          <w:sz w:val="22"/>
          <w:szCs w:val="22"/>
        </w:rPr>
        <w:t xml:space="preserve">the </w:t>
      </w:r>
      <w:r w:rsidR="00D9018D" w:rsidRPr="004D56CB">
        <w:rPr>
          <w:rFonts w:ascii="Arial" w:hAnsi="Arial" w:cs="Arial"/>
          <w:sz w:val="22"/>
          <w:szCs w:val="22"/>
        </w:rPr>
        <w:t>licensing and registration process. This will also increase the tax revenue as ST</w:t>
      </w:r>
      <w:r w:rsidR="005A2C62" w:rsidRPr="004D56CB">
        <w:rPr>
          <w:rFonts w:ascii="Arial" w:hAnsi="Arial" w:cs="Arial"/>
          <w:sz w:val="22"/>
          <w:szCs w:val="22"/>
        </w:rPr>
        <w:t xml:space="preserve"> taxation</w:t>
      </w:r>
      <w:r w:rsidR="00D9018D" w:rsidRPr="004D56CB">
        <w:rPr>
          <w:rFonts w:ascii="Arial" w:hAnsi="Arial" w:cs="Arial"/>
          <w:sz w:val="22"/>
          <w:szCs w:val="22"/>
        </w:rPr>
        <w:t xml:space="preserve"> contributes only 0.22% of the tobacco </w:t>
      </w:r>
      <w:r w:rsidR="005A2C62" w:rsidRPr="004D56CB">
        <w:rPr>
          <w:rFonts w:ascii="Arial" w:hAnsi="Arial" w:cs="Arial"/>
          <w:sz w:val="22"/>
          <w:szCs w:val="22"/>
        </w:rPr>
        <w:t xml:space="preserve">tax </w:t>
      </w:r>
      <w:r w:rsidR="00D9018D" w:rsidRPr="004D56CB">
        <w:rPr>
          <w:rFonts w:ascii="Arial" w:hAnsi="Arial" w:cs="Arial"/>
          <w:sz w:val="22"/>
          <w:szCs w:val="22"/>
        </w:rPr>
        <w:t xml:space="preserve">revenue collected by the National </w:t>
      </w:r>
      <w:r w:rsidR="00D9018D" w:rsidRPr="004D56CB">
        <w:rPr>
          <w:rFonts w:ascii="Arial" w:hAnsi="Arial" w:cs="Arial"/>
          <w:sz w:val="22"/>
          <w:szCs w:val="22"/>
        </w:rPr>
        <w:lastRenderedPageBreak/>
        <w:t>Board of Revenue in B</w:t>
      </w:r>
      <w:r w:rsidR="007922C2" w:rsidRPr="004D56CB">
        <w:rPr>
          <w:rFonts w:ascii="Arial" w:hAnsi="Arial" w:cs="Arial"/>
          <w:sz w:val="22"/>
          <w:szCs w:val="22"/>
        </w:rPr>
        <w:t>anglades</w:t>
      </w:r>
      <w:r w:rsidR="00385CEE" w:rsidRPr="004D56CB">
        <w:rPr>
          <w:rFonts w:ascii="Arial" w:hAnsi="Arial" w:cs="Arial"/>
          <w:sz w:val="22"/>
          <w:szCs w:val="22"/>
        </w:rPr>
        <w:t>h</w:t>
      </w:r>
      <w:r w:rsidR="00A77B08" w:rsidRPr="004D56CB">
        <w:rPr>
          <w:rFonts w:ascii="Arial" w:hAnsi="Arial" w:cs="Arial"/>
          <w:sz w:val="22"/>
          <w:szCs w:val="22"/>
        </w:rPr>
        <w:t xml:space="preserve"> </w:t>
      </w:r>
      <w:r w:rsidR="00464BAB" w:rsidRPr="004D56CB">
        <w:rPr>
          <w:rFonts w:ascii="Arial" w:hAnsi="Arial" w:cs="Arial"/>
          <w:sz w:val="22"/>
        </w:rPr>
        <w:t>[16]</w:t>
      </w:r>
      <w:r w:rsidR="00464BAB" w:rsidRPr="004D56CB">
        <w:rPr>
          <w:rFonts w:ascii="Arial" w:hAnsi="Arial" w:cs="Arial"/>
          <w:sz w:val="22"/>
          <w:szCs w:val="22"/>
        </w:rPr>
        <w:t>.</w:t>
      </w:r>
      <w:r w:rsidR="00E34CAC" w:rsidRPr="004D56CB">
        <w:rPr>
          <w:rFonts w:ascii="Arial" w:hAnsi="Arial" w:cs="Arial"/>
          <w:sz w:val="22"/>
          <w:szCs w:val="22"/>
        </w:rPr>
        <w:t xml:space="preserve"> </w:t>
      </w:r>
      <w:r w:rsidR="00E04C66" w:rsidRPr="004D56CB">
        <w:rPr>
          <w:rFonts w:ascii="Arial" w:hAnsi="Arial" w:cs="Arial"/>
          <w:sz w:val="22"/>
          <w:szCs w:val="22"/>
        </w:rPr>
        <w:t>Also</w:t>
      </w:r>
      <w:r w:rsidR="0051140F" w:rsidRPr="004D56CB">
        <w:rPr>
          <w:rFonts w:ascii="Arial" w:hAnsi="Arial" w:cs="Arial"/>
          <w:sz w:val="22"/>
          <w:szCs w:val="22"/>
        </w:rPr>
        <w:t xml:space="preserve">, </w:t>
      </w:r>
      <w:r w:rsidR="00F82616" w:rsidRPr="004D56CB">
        <w:rPr>
          <w:rFonts w:ascii="Arial" w:hAnsi="Arial" w:cs="Arial"/>
          <w:sz w:val="22"/>
          <w:szCs w:val="22"/>
        </w:rPr>
        <w:t>several</w:t>
      </w:r>
      <w:r w:rsidR="0051140F" w:rsidRPr="004D56CB">
        <w:rPr>
          <w:rFonts w:ascii="Arial" w:hAnsi="Arial" w:cs="Arial"/>
          <w:sz w:val="22"/>
          <w:szCs w:val="22"/>
        </w:rPr>
        <w:t xml:space="preserve"> non-manufactured ST products are available in the open market</w:t>
      </w:r>
      <w:r w:rsidR="002663BF" w:rsidRPr="004D56CB">
        <w:rPr>
          <w:rFonts w:ascii="Arial" w:hAnsi="Arial" w:cs="Arial"/>
          <w:sz w:val="22"/>
          <w:szCs w:val="22"/>
        </w:rPr>
        <w:t>, which</w:t>
      </w:r>
      <w:r w:rsidR="0051140F" w:rsidRPr="004D56CB">
        <w:rPr>
          <w:rFonts w:ascii="Arial" w:hAnsi="Arial" w:cs="Arial"/>
          <w:sz w:val="22"/>
          <w:szCs w:val="22"/>
        </w:rPr>
        <w:t xml:space="preserve"> remains outside the tax net. </w:t>
      </w:r>
    </w:p>
    <w:p w14:paraId="305B2014" w14:textId="77777777" w:rsidR="00492A2E" w:rsidRPr="004D56CB" w:rsidRDefault="00492A2E" w:rsidP="00B254E4">
      <w:pPr>
        <w:spacing w:line="360" w:lineRule="auto"/>
        <w:jc w:val="both"/>
        <w:rPr>
          <w:rFonts w:ascii="Arial" w:hAnsi="Arial" w:cs="Arial"/>
          <w:sz w:val="22"/>
          <w:szCs w:val="22"/>
        </w:rPr>
      </w:pPr>
    </w:p>
    <w:p w14:paraId="58A1F259" w14:textId="4E24C95A" w:rsidR="00FB2E3A" w:rsidRPr="004D56CB" w:rsidRDefault="00836EFC" w:rsidP="00FB2E3A">
      <w:pPr>
        <w:spacing w:line="360" w:lineRule="auto"/>
        <w:jc w:val="both"/>
        <w:rPr>
          <w:rFonts w:ascii="Arial" w:hAnsi="Arial" w:cs="Arial"/>
          <w:sz w:val="22"/>
          <w:szCs w:val="22"/>
        </w:rPr>
      </w:pPr>
      <w:r w:rsidRPr="004D56CB">
        <w:rPr>
          <w:rFonts w:ascii="Arial" w:hAnsi="Arial" w:cs="Arial"/>
          <w:sz w:val="22"/>
          <w:szCs w:val="22"/>
        </w:rPr>
        <w:t xml:space="preserve">In addition to </w:t>
      </w:r>
      <w:r w:rsidR="00AB5159" w:rsidRPr="004D56CB">
        <w:rPr>
          <w:rFonts w:ascii="Arial" w:hAnsi="Arial" w:cs="Arial"/>
          <w:sz w:val="22"/>
          <w:szCs w:val="22"/>
        </w:rPr>
        <w:t>affixing</w:t>
      </w:r>
      <w:r w:rsidRPr="004D56CB">
        <w:rPr>
          <w:rFonts w:ascii="Arial" w:hAnsi="Arial" w:cs="Arial"/>
          <w:sz w:val="22"/>
          <w:szCs w:val="22"/>
        </w:rPr>
        <w:t xml:space="preserve"> banderol on ST products, d</w:t>
      </w:r>
      <w:r w:rsidR="0046533D" w:rsidRPr="004D56CB">
        <w:rPr>
          <w:rFonts w:ascii="Arial" w:hAnsi="Arial" w:cs="Arial"/>
          <w:sz w:val="22"/>
          <w:szCs w:val="22"/>
        </w:rPr>
        <w:t>esigning and implementing a</w:t>
      </w:r>
      <w:r w:rsidR="00A305AB" w:rsidRPr="004D56CB">
        <w:rPr>
          <w:rFonts w:ascii="Arial" w:hAnsi="Arial" w:cs="Arial"/>
          <w:sz w:val="22"/>
          <w:szCs w:val="22"/>
        </w:rPr>
        <w:t>n effective</w:t>
      </w:r>
      <w:r w:rsidR="0046533D" w:rsidRPr="004D56CB">
        <w:rPr>
          <w:rFonts w:ascii="Arial" w:hAnsi="Arial" w:cs="Arial"/>
          <w:sz w:val="22"/>
          <w:szCs w:val="22"/>
        </w:rPr>
        <w:t xml:space="preserve"> tax t</w:t>
      </w:r>
      <w:r w:rsidR="00535C63" w:rsidRPr="004D56CB">
        <w:rPr>
          <w:rFonts w:ascii="Arial" w:hAnsi="Arial" w:cs="Arial"/>
          <w:sz w:val="22"/>
          <w:szCs w:val="22"/>
        </w:rPr>
        <w:t xml:space="preserve">racking and tracing </w:t>
      </w:r>
      <w:r w:rsidR="001E6C77" w:rsidRPr="004D56CB">
        <w:rPr>
          <w:rFonts w:ascii="Arial" w:hAnsi="Arial" w:cs="Arial"/>
          <w:sz w:val="22"/>
          <w:szCs w:val="22"/>
        </w:rPr>
        <w:t xml:space="preserve">system </w:t>
      </w:r>
      <w:r w:rsidR="002663BF" w:rsidRPr="004D56CB">
        <w:rPr>
          <w:rFonts w:ascii="Arial" w:hAnsi="Arial" w:cs="Arial"/>
          <w:sz w:val="22"/>
          <w:szCs w:val="22"/>
        </w:rPr>
        <w:t xml:space="preserve">has been identified as a priority </w:t>
      </w:r>
      <w:r w:rsidR="00375AA3" w:rsidRPr="004D56CB">
        <w:rPr>
          <w:rFonts w:ascii="Arial" w:hAnsi="Arial" w:cs="Arial"/>
          <w:sz w:val="22"/>
          <w:szCs w:val="22"/>
        </w:rPr>
        <w:t xml:space="preserve">to </w:t>
      </w:r>
      <w:r w:rsidR="0038652C" w:rsidRPr="004D56CB">
        <w:rPr>
          <w:rFonts w:ascii="Arial" w:hAnsi="Arial" w:cs="Arial"/>
          <w:sz w:val="22"/>
          <w:szCs w:val="22"/>
        </w:rPr>
        <w:t>monitor</w:t>
      </w:r>
      <w:r w:rsidR="00375AA3" w:rsidRPr="004D56CB">
        <w:rPr>
          <w:rFonts w:ascii="Arial" w:hAnsi="Arial" w:cs="Arial"/>
          <w:sz w:val="22"/>
          <w:szCs w:val="22"/>
        </w:rPr>
        <w:t xml:space="preserve"> the real</w:t>
      </w:r>
      <w:r w:rsidR="00E04C66" w:rsidRPr="004D56CB">
        <w:rPr>
          <w:rFonts w:ascii="Arial" w:hAnsi="Arial" w:cs="Arial"/>
          <w:sz w:val="22"/>
          <w:szCs w:val="22"/>
        </w:rPr>
        <w:t>-</w:t>
      </w:r>
      <w:r w:rsidR="00375AA3" w:rsidRPr="004D56CB">
        <w:rPr>
          <w:rFonts w:ascii="Arial" w:hAnsi="Arial" w:cs="Arial"/>
          <w:sz w:val="22"/>
          <w:szCs w:val="22"/>
        </w:rPr>
        <w:t xml:space="preserve">time </w:t>
      </w:r>
      <w:r w:rsidR="0038652C" w:rsidRPr="004D56CB">
        <w:rPr>
          <w:rFonts w:ascii="Arial" w:hAnsi="Arial" w:cs="Arial"/>
          <w:sz w:val="22"/>
          <w:szCs w:val="22"/>
        </w:rPr>
        <w:t xml:space="preserve">movement of </w:t>
      </w:r>
      <w:r w:rsidR="00375AA3" w:rsidRPr="004D56CB">
        <w:rPr>
          <w:rFonts w:ascii="Arial" w:hAnsi="Arial" w:cs="Arial"/>
          <w:sz w:val="22"/>
          <w:szCs w:val="22"/>
        </w:rPr>
        <w:t xml:space="preserve">the </w:t>
      </w:r>
      <w:r w:rsidR="001E6C77" w:rsidRPr="004D56CB">
        <w:rPr>
          <w:rFonts w:ascii="Arial" w:hAnsi="Arial" w:cs="Arial"/>
          <w:sz w:val="22"/>
          <w:szCs w:val="22"/>
        </w:rPr>
        <w:t xml:space="preserve">ST </w:t>
      </w:r>
      <w:r w:rsidR="0038652C" w:rsidRPr="004D56CB">
        <w:rPr>
          <w:rFonts w:ascii="Arial" w:hAnsi="Arial" w:cs="Arial"/>
          <w:sz w:val="22"/>
          <w:szCs w:val="22"/>
        </w:rPr>
        <w:t xml:space="preserve">products through all stages of the supply chain </w:t>
      </w:r>
      <w:r w:rsidR="00375AA3" w:rsidRPr="004D56CB">
        <w:rPr>
          <w:rFonts w:ascii="Arial" w:hAnsi="Arial" w:cs="Arial"/>
          <w:sz w:val="22"/>
          <w:szCs w:val="22"/>
        </w:rPr>
        <w:t>and verify tax payment</w:t>
      </w:r>
      <w:r w:rsidR="00C206FF" w:rsidRPr="004D56CB">
        <w:rPr>
          <w:rFonts w:ascii="Arial" w:hAnsi="Arial" w:cs="Arial"/>
          <w:sz w:val="22"/>
          <w:szCs w:val="22"/>
        </w:rPr>
        <w:t>s</w:t>
      </w:r>
      <w:r w:rsidR="00375AA3" w:rsidRPr="004D56CB">
        <w:rPr>
          <w:rFonts w:ascii="Arial" w:hAnsi="Arial" w:cs="Arial"/>
          <w:sz w:val="22"/>
          <w:szCs w:val="22"/>
        </w:rPr>
        <w:t xml:space="preserve">. </w:t>
      </w:r>
      <w:r w:rsidR="00FB2E3A" w:rsidRPr="004D56CB">
        <w:rPr>
          <w:rFonts w:ascii="Arial" w:hAnsi="Arial" w:cs="Arial"/>
          <w:sz w:val="22"/>
          <w:szCs w:val="22"/>
        </w:rPr>
        <w:t>Track and trace systems have successfully used in Moldova, Turkey, Brazil to increase tax collection, create new legal businesses, decrease tobacco use and improve public health</w:t>
      </w:r>
      <w:r w:rsidR="000F7AB6" w:rsidRPr="004D56CB">
        <w:rPr>
          <w:rFonts w:ascii="Arial" w:hAnsi="Arial" w:cs="Arial"/>
          <w:sz w:val="22"/>
          <w:szCs w:val="22"/>
        </w:rPr>
        <w:t xml:space="preserve"> </w:t>
      </w:r>
      <w:r w:rsidR="006B3F6D" w:rsidRPr="004D56CB">
        <w:rPr>
          <w:rFonts w:ascii="Arial" w:hAnsi="Arial" w:cs="Arial"/>
          <w:sz w:val="22"/>
        </w:rPr>
        <w:t>[20,21]</w:t>
      </w:r>
      <w:r w:rsidR="00FB2E3A" w:rsidRPr="004D56CB">
        <w:rPr>
          <w:rFonts w:ascii="Arial" w:hAnsi="Arial" w:cs="Arial"/>
          <w:sz w:val="22"/>
          <w:szCs w:val="22"/>
        </w:rPr>
        <w:t xml:space="preserve">. </w:t>
      </w:r>
    </w:p>
    <w:p w14:paraId="76E0ECC1" w14:textId="3434620A" w:rsidR="00B32F58" w:rsidRPr="004D56CB" w:rsidRDefault="00B32F58" w:rsidP="00B32F58">
      <w:pPr>
        <w:spacing w:line="360" w:lineRule="auto"/>
        <w:jc w:val="both"/>
        <w:rPr>
          <w:rFonts w:ascii="Arial" w:hAnsi="Arial" w:cs="Arial"/>
          <w:sz w:val="22"/>
          <w:szCs w:val="22"/>
        </w:rPr>
      </w:pPr>
    </w:p>
    <w:p w14:paraId="5D01FAC1" w14:textId="65BA746A" w:rsidR="00F414ED" w:rsidRPr="004D56CB" w:rsidRDefault="00D9018D" w:rsidP="00B254E4">
      <w:pPr>
        <w:spacing w:line="360" w:lineRule="auto"/>
        <w:jc w:val="both"/>
        <w:rPr>
          <w:rFonts w:ascii="Arial" w:hAnsi="Arial" w:cs="Arial"/>
          <w:sz w:val="22"/>
          <w:szCs w:val="22"/>
        </w:rPr>
      </w:pPr>
      <w:r w:rsidRPr="004D56CB">
        <w:rPr>
          <w:rFonts w:ascii="Arial" w:hAnsi="Arial" w:cs="Arial"/>
          <w:sz w:val="22"/>
          <w:szCs w:val="22"/>
        </w:rPr>
        <w:t xml:space="preserve">Pictorial </w:t>
      </w:r>
      <w:r w:rsidR="00C206FF" w:rsidRPr="004D56CB">
        <w:rPr>
          <w:rFonts w:ascii="Arial" w:hAnsi="Arial" w:cs="Arial"/>
          <w:sz w:val="22"/>
          <w:szCs w:val="22"/>
        </w:rPr>
        <w:t>h</w:t>
      </w:r>
      <w:r w:rsidRPr="004D56CB">
        <w:rPr>
          <w:rFonts w:ascii="Arial" w:hAnsi="Arial" w:cs="Arial"/>
          <w:sz w:val="22"/>
          <w:szCs w:val="22"/>
        </w:rPr>
        <w:t xml:space="preserve">ealth </w:t>
      </w:r>
      <w:r w:rsidR="00C206FF" w:rsidRPr="004D56CB">
        <w:rPr>
          <w:rFonts w:ascii="Arial" w:hAnsi="Arial" w:cs="Arial"/>
          <w:sz w:val="22"/>
          <w:szCs w:val="22"/>
        </w:rPr>
        <w:t>w</w:t>
      </w:r>
      <w:r w:rsidRPr="004D56CB">
        <w:rPr>
          <w:rFonts w:ascii="Arial" w:hAnsi="Arial" w:cs="Arial"/>
          <w:sz w:val="22"/>
          <w:szCs w:val="22"/>
        </w:rPr>
        <w:t>arning</w:t>
      </w:r>
      <w:r w:rsidR="0004530E" w:rsidRPr="004D56CB">
        <w:rPr>
          <w:rFonts w:ascii="Arial" w:hAnsi="Arial" w:cs="Arial"/>
          <w:sz w:val="22"/>
          <w:szCs w:val="22"/>
        </w:rPr>
        <w:t>s</w:t>
      </w:r>
      <w:r w:rsidRPr="004D56CB">
        <w:rPr>
          <w:rFonts w:ascii="Arial" w:hAnsi="Arial" w:cs="Arial"/>
          <w:sz w:val="22"/>
          <w:szCs w:val="22"/>
        </w:rPr>
        <w:t xml:space="preserve"> need to be enforced for all types of products. This may require </w:t>
      </w:r>
      <w:r w:rsidR="00E04C66" w:rsidRPr="004D56CB">
        <w:rPr>
          <w:rFonts w:ascii="Arial" w:hAnsi="Arial" w:cs="Arial"/>
          <w:sz w:val="22"/>
          <w:szCs w:val="22"/>
        </w:rPr>
        <w:t xml:space="preserve">the </w:t>
      </w:r>
      <w:r w:rsidR="00B9149D" w:rsidRPr="004D56CB">
        <w:rPr>
          <w:rFonts w:ascii="Arial" w:hAnsi="Arial" w:cs="Arial"/>
          <w:sz w:val="22"/>
          <w:szCs w:val="22"/>
        </w:rPr>
        <w:t xml:space="preserve">standardisation </w:t>
      </w:r>
      <w:r w:rsidRPr="004D56CB">
        <w:rPr>
          <w:rFonts w:ascii="Arial" w:hAnsi="Arial" w:cs="Arial"/>
          <w:sz w:val="22"/>
          <w:szCs w:val="22"/>
        </w:rPr>
        <w:t xml:space="preserve">of ST packs to ensure compliance </w:t>
      </w:r>
      <w:r w:rsidR="008B0C4B" w:rsidRPr="004D56CB">
        <w:rPr>
          <w:rFonts w:ascii="Arial" w:hAnsi="Arial" w:cs="Arial"/>
          <w:sz w:val="22"/>
          <w:szCs w:val="22"/>
        </w:rPr>
        <w:t xml:space="preserve">with </w:t>
      </w:r>
      <w:r w:rsidRPr="004D56CB">
        <w:rPr>
          <w:rFonts w:ascii="Arial" w:hAnsi="Arial" w:cs="Arial"/>
          <w:sz w:val="22"/>
          <w:szCs w:val="22"/>
        </w:rPr>
        <w:t xml:space="preserve">the current law of 50% pack warning. Despite </w:t>
      </w:r>
      <w:r w:rsidR="00E8671D" w:rsidRPr="004D56CB">
        <w:rPr>
          <w:rFonts w:ascii="Arial" w:hAnsi="Arial" w:cs="Arial"/>
          <w:sz w:val="22"/>
          <w:szCs w:val="22"/>
        </w:rPr>
        <w:t xml:space="preserve">a </w:t>
      </w:r>
      <w:r w:rsidRPr="004D56CB">
        <w:rPr>
          <w:rFonts w:ascii="Arial" w:hAnsi="Arial" w:cs="Arial"/>
          <w:sz w:val="22"/>
          <w:szCs w:val="22"/>
        </w:rPr>
        <w:t>high disease burden associated with ST use, cessation services are not available for ST users in routine health care at public facilities in Bangladesh</w:t>
      </w:r>
      <w:r w:rsidR="00A77B08" w:rsidRPr="004D56CB">
        <w:rPr>
          <w:rFonts w:ascii="Arial" w:hAnsi="Arial" w:cs="Arial"/>
          <w:sz w:val="22"/>
          <w:szCs w:val="22"/>
        </w:rPr>
        <w:t xml:space="preserve"> </w:t>
      </w:r>
      <w:r w:rsidR="00C53A37" w:rsidRPr="004D56CB">
        <w:rPr>
          <w:rFonts w:ascii="Arial" w:hAnsi="Arial" w:cs="Arial"/>
          <w:sz w:val="22"/>
        </w:rPr>
        <w:t>[1]</w:t>
      </w:r>
      <w:r w:rsidR="00C53A37" w:rsidRPr="004D56CB">
        <w:rPr>
          <w:rFonts w:ascii="Arial" w:hAnsi="Arial" w:cs="Arial"/>
          <w:sz w:val="22"/>
          <w:szCs w:val="22"/>
        </w:rPr>
        <w:t xml:space="preserve"> </w:t>
      </w:r>
      <w:r w:rsidR="00232A4C" w:rsidRPr="004D56CB">
        <w:rPr>
          <w:rFonts w:ascii="Arial" w:hAnsi="Arial" w:cs="Arial"/>
          <w:sz w:val="22"/>
        </w:rPr>
        <w:t>and integrated policy including cessation support is warranted</w:t>
      </w:r>
      <w:r w:rsidR="00D737BD" w:rsidRPr="004D56CB">
        <w:rPr>
          <w:rFonts w:ascii="Arial" w:hAnsi="Arial" w:cs="Arial"/>
          <w:sz w:val="22"/>
        </w:rPr>
        <w:t xml:space="preserve"> </w:t>
      </w:r>
      <w:r w:rsidR="006B3F6D" w:rsidRPr="004D56CB">
        <w:rPr>
          <w:rFonts w:ascii="Arial" w:hAnsi="Arial" w:cs="Arial"/>
          <w:sz w:val="22"/>
        </w:rPr>
        <w:t>[22]</w:t>
      </w:r>
      <w:r w:rsidR="008265C1" w:rsidRPr="004D56CB">
        <w:rPr>
          <w:rFonts w:ascii="Arial" w:hAnsi="Arial" w:cs="Arial"/>
          <w:sz w:val="22"/>
          <w:szCs w:val="22"/>
        </w:rPr>
        <w:t>. Also, as per the participants in the</w:t>
      </w:r>
      <w:r w:rsidR="00513854" w:rsidRPr="004D56CB">
        <w:rPr>
          <w:rFonts w:ascii="Arial" w:hAnsi="Arial" w:cs="Arial"/>
          <w:sz w:val="22"/>
          <w:szCs w:val="22"/>
        </w:rPr>
        <w:t xml:space="preserve"> present</w:t>
      </w:r>
      <w:r w:rsidR="008265C1" w:rsidRPr="004D56CB">
        <w:rPr>
          <w:rFonts w:ascii="Arial" w:hAnsi="Arial" w:cs="Arial"/>
          <w:sz w:val="22"/>
          <w:szCs w:val="22"/>
        </w:rPr>
        <w:t xml:space="preserve"> study, </w:t>
      </w:r>
      <w:r w:rsidR="007F381A">
        <w:rPr>
          <w:rFonts w:ascii="Arial" w:hAnsi="Arial" w:cs="Arial"/>
          <w:sz w:val="22"/>
          <w:szCs w:val="22"/>
        </w:rPr>
        <w:t xml:space="preserve">a </w:t>
      </w:r>
      <w:r w:rsidR="00513854" w:rsidRPr="004D56CB">
        <w:rPr>
          <w:rFonts w:ascii="Arial" w:hAnsi="Arial" w:cs="Arial"/>
          <w:sz w:val="22"/>
          <w:szCs w:val="22"/>
        </w:rPr>
        <w:t>dearth</w:t>
      </w:r>
      <w:r w:rsidR="008265C1" w:rsidRPr="004D56CB">
        <w:rPr>
          <w:rFonts w:ascii="Arial" w:hAnsi="Arial" w:cs="Arial"/>
          <w:sz w:val="22"/>
          <w:szCs w:val="22"/>
        </w:rPr>
        <w:t xml:space="preserve"> of research on effective contextual intervention and lack of evidence </w:t>
      </w:r>
      <w:r w:rsidR="00513854" w:rsidRPr="004D56CB">
        <w:rPr>
          <w:rFonts w:ascii="Arial" w:hAnsi="Arial" w:cs="Arial"/>
          <w:sz w:val="22"/>
          <w:szCs w:val="22"/>
        </w:rPr>
        <w:t xml:space="preserve">on </w:t>
      </w:r>
      <w:r w:rsidR="008265C1" w:rsidRPr="004D56CB">
        <w:rPr>
          <w:rFonts w:ascii="Arial" w:hAnsi="Arial" w:cs="Arial"/>
          <w:sz w:val="22"/>
          <w:szCs w:val="22"/>
        </w:rPr>
        <w:t>supply chain control remains a need in the country</w:t>
      </w:r>
      <w:r w:rsidR="007F381A">
        <w:rPr>
          <w:rFonts w:ascii="Arial" w:hAnsi="Arial" w:cs="Arial"/>
          <w:sz w:val="22"/>
          <w:szCs w:val="22"/>
        </w:rPr>
        <w:t>,</w:t>
      </w:r>
      <w:r w:rsidR="008265C1" w:rsidRPr="004D56CB">
        <w:rPr>
          <w:rFonts w:ascii="Arial" w:hAnsi="Arial" w:cs="Arial"/>
          <w:sz w:val="22"/>
          <w:szCs w:val="22"/>
        </w:rPr>
        <w:t xml:space="preserve"> and it matches with the findings from another recent study</w:t>
      </w:r>
      <w:r w:rsidR="00D737BD" w:rsidRPr="004D56CB">
        <w:rPr>
          <w:rFonts w:ascii="Arial" w:hAnsi="Arial" w:cs="Arial"/>
          <w:sz w:val="22"/>
          <w:szCs w:val="22"/>
        </w:rPr>
        <w:t xml:space="preserve"> </w:t>
      </w:r>
      <w:r w:rsidR="006B3F6D" w:rsidRPr="004D56CB">
        <w:rPr>
          <w:rFonts w:ascii="Arial" w:hAnsi="Arial" w:cs="Arial"/>
          <w:sz w:val="22"/>
        </w:rPr>
        <w:t>[23]</w:t>
      </w:r>
      <w:r w:rsidR="008265C1" w:rsidRPr="004D56CB">
        <w:rPr>
          <w:rFonts w:ascii="Arial" w:hAnsi="Arial" w:cs="Arial"/>
          <w:sz w:val="22"/>
          <w:szCs w:val="22"/>
        </w:rPr>
        <w:t xml:space="preserve">. </w:t>
      </w:r>
      <w:r w:rsidR="00FB1EA4" w:rsidRPr="004D56CB">
        <w:rPr>
          <w:rFonts w:ascii="Arial" w:hAnsi="Arial" w:cs="Arial"/>
          <w:sz w:val="22"/>
          <w:szCs w:val="22"/>
        </w:rPr>
        <w:t>The same study also suggests that t</w:t>
      </w:r>
      <w:r w:rsidR="008265C1" w:rsidRPr="004D56CB">
        <w:rPr>
          <w:rFonts w:ascii="Arial" w:hAnsi="Arial" w:cs="Arial"/>
          <w:sz w:val="22"/>
          <w:szCs w:val="22"/>
        </w:rPr>
        <w:t xml:space="preserve">he implementation of FCTC has not been in alignment with the requirements of ST control policies and vice versa. </w:t>
      </w:r>
    </w:p>
    <w:p w14:paraId="2FFDA8E3" w14:textId="77777777" w:rsidR="00F414ED" w:rsidRPr="004D56CB" w:rsidRDefault="00F414ED" w:rsidP="00B254E4">
      <w:pPr>
        <w:spacing w:line="360" w:lineRule="auto"/>
        <w:jc w:val="both"/>
        <w:rPr>
          <w:rFonts w:ascii="Arial" w:hAnsi="Arial" w:cs="Arial"/>
          <w:sz w:val="22"/>
          <w:szCs w:val="22"/>
        </w:rPr>
      </w:pPr>
    </w:p>
    <w:p w14:paraId="3144E016" w14:textId="0914A4DC" w:rsidR="00F13373" w:rsidRPr="004D56CB" w:rsidRDefault="00F13373" w:rsidP="00B254E4">
      <w:pPr>
        <w:spacing w:line="360" w:lineRule="auto"/>
        <w:jc w:val="both"/>
        <w:rPr>
          <w:rFonts w:ascii="Arial" w:hAnsi="Arial" w:cs="Arial"/>
          <w:sz w:val="22"/>
          <w:szCs w:val="22"/>
        </w:rPr>
      </w:pPr>
      <w:r w:rsidRPr="004D56CB">
        <w:rPr>
          <w:rFonts w:ascii="Arial" w:hAnsi="Arial" w:cs="Arial"/>
          <w:sz w:val="22"/>
          <w:szCs w:val="22"/>
        </w:rPr>
        <w:t xml:space="preserve">The two rounds of GATS </w:t>
      </w:r>
      <w:r w:rsidR="004B7BF6" w:rsidRPr="004D56CB">
        <w:rPr>
          <w:rFonts w:ascii="Arial" w:hAnsi="Arial" w:cs="Arial"/>
          <w:sz w:val="22"/>
          <w:szCs w:val="22"/>
        </w:rPr>
        <w:t>highlight</w:t>
      </w:r>
      <w:r w:rsidR="00664768" w:rsidRPr="004D56CB">
        <w:rPr>
          <w:rFonts w:ascii="Arial" w:hAnsi="Arial" w:cs="Arial"/>
          <w:sz w:val="22"/>
          <w:szCs w:val="22"/>
        </w:rPr>
        <w:t>ed</w:t>
      </w:r>
      <w:r w:rsidR="004B7BF6" w:rsidRPr="004D56CB">
        <w:rPr>
          <w:rFonts w:ascii="Arial" w:hAnsi="Arial" w:cs="Arial"/>
          <w:sz w:val="22"/>
          <w:szCs w:val="22"/>
        </w:rPr>
        <w:t xml:space="preserve"> both </w:t>
      </w:r>
      <w:r w:rsidR="00E8671D" w:rsidRPr="004D56CB">
        <w:rPr>
          <w:rFonts w:ascii="Arial" w:hAnsi="Arial" w:cs="Arial"/>
          <w:sz w:val="22"/>
          <w:szCs w:val="22"/>
        </w:rPr>
        <w:t xml:space="preserve">a </w:t>
      </w:r>
      <w:r w:rsidRPr="004D56CB">
        <w:rPr>
          <w:rFonts w:ascii="Arial" w:hAnsi="Arial" w:cs="Arial"/>
          <w:sz w:val="22"/>
          <w:szCs w:val="22"/>
        </w:rPr>
        <w:t>sharp decline in bi</w:t>
      </w:r>
      <w:r w:rsidR="00E8671D" w:rsidRPr="004D56CB">
        <w:rPr>
          <w:rFonts w:ascii="Arial" w:hAnsi="Arial" w:cs="Arial"/>
          <w:sz w:val="22"/>
          <w:szCs w:val="22"/>
        </w:rPr>
        <w:t>d</w:t>
      </w:r>
      <w:r w:rsidRPr="004D56CB">
        <w:rPr>
          <w:rFonts w:ascii="Arial" w:hAnsi="Arial" w:cs="Arial"/>
          <w:sz w:val="22"/>
          <w:szCs w:val="22"/>
        </w:rPr>
        <w:t xml:space="preserve">i </w:t>
      </w:r>
      <w:r w:rsidR="00E8671D" w:rsidRPr="004D56CB">
        <w:rPr>
          <w:rFonts w:ascii="Arial" w:hAnsi="Arial" w:cs="Arial"/>
          <w:sz w:val="22"/>
          <w:szCs w:val="22"/>
        </w:rPr>
        <w:t>use</w:t>
      </w:r>
      <w:r w:rsidRPr="004D56CB">
        <w:rPr>
          <w:rFonts w:ascii="Arial" w:hAnsi="Arial" w:cs="Arial"/>
          <w:sz w:val="22"/>
          <w:szCs w:val="22"/>
        </w:rPr>
        <w:t xml:space="preserve"> and </w:t>
      </w:r>
      <w:r w:rsidR="00E8671D" w:rsidRPr="004D56CB">
        <w:rPr>
          <w:rFonts w:ascii="Arial" w:hAnsi="Arial" w:cs="Arial"/>
          <w:sz w:val="22"/>
          <w:szCs w:val="22"/>
        </w:rPr>
        <w:t xml:space="preserve">a </w:t>
      </w:r>
      <w:r w:rsidRPr="004D56CB">
        <w:rPr>
          <w:rFonts w:ascii="Arial" w:hAnsi="Arial" w:cs="Arial"/>
          <w:sz w:val="22"/>
          <w:szCs w:val="22"/>
        </w:rPr>
        <w:t xml:space="preserve">considerable reduction in ST </w:t>
      </w:r>
      <w:r w:rsidR="00E8671D" w:rsidRPr="004D56CB">
        <w:rPr>
          <w:rFonts w:ascii="Arial" w:hAnsi="Arial" w:cs="Arial"/>
          <w:sz w:val="22"/>
          <w:szCs w:val="22"/>
        </w:rPr>
        <w:t xml:space="preserve">use </w:t>
      </w:r>
      <w:r w:rsidRPr="004D56CB">
        <w:rPr>
          <w:rFonts w:ascii="Arial" w:hAnsi="Arial" w:cs="Arial"/>
          <w:sz w:val="22"/>
          <w:szCs w:val="22"/>
        </w:rPr>
        <w:t xml:space="preserve">in Bangladesh over the last </w:t>
      </w:r>
      <w:r w:rsidR="00E04C66" w:rsidRPr="004D56CB">
        <w:rPr>
          <w:rFonts w:ascii="Arial" w:hAnsi="Arial" w:cs="Arial"/>
          <w:sz w:val="22"/>
          <w:szCs w:val="22"/>
        </w:rPr>
        <w:t>ten</w:t>
      </w:r>
      <w:r w:rsidRPr="004D56CB">
        <w:rPr>
          <w:rFonts w:ascii="Arial" w:hAnsi="Arial" w:cs="Arial"/>
          <w:sz w:val="22"/>
          <w:szCs w:val="22"/>
        </w:rPr>
        <w:t xml:space="preserve"> years. However, cigarette</w:t>
      </w:r>
      <w:r w:rsidR="00E8671D" w:rsidRPr="004D56CB">
        <w:rPr>
          <w:rFonts w:ascii="Arial" w:hAnsi="Arial" w:cs="Arial"/>
          <w:sz w:val="22"/>
          <w:szCs w:val="22"/>
        </w:rPr>
        <w:t>s</w:t>
      </w:r>
      <w:r w:rsidRPr="004D56CB">
        <w:rPr>
          <w:rFonts w:ascii="Arial" w:hAnsi="Arial" w:cs="Arial"/>
          <w:sz w:val="22"/>
          <w:szCs w:val="22"/>
        </w:rPr>
        <w:t xml:space="preserve">, which </w:t>
      </w:r>
      <w:r w:rsidR="00445E5B" w:rsidRPr="004D56CB">
        <w:rPr>
          <w:rFonts w:ascii="Arial" w:hAnsi="Arial" w:cs="Arial"/>
          <w:sz w:val="22"/>
          <w:szCs w:val="22"/>
        </w:rPr>
        <w:t xml:space="preserve">remain a </w:t>
      </w:r>
      <w:r w:rsidRPr="004D56CB">
        <w:rPr>
          <w:rFonts w:ascii="Arial" w:hAnsi="Arial" w:cs="Arial"/>
          <w:sz w:val="22"/>
          <w:szCs w:val="22"/>
        </w:rPr>
        <w:t>more expensive form of tobacco, remained the same over the years. This indicates that sustained growth of the market of cheap cigarettes</w:t>
      </w:r>
      <w:r w:rsidR="00E04C66" w:rsidRPr="004D56CB">
        <w:rPr>
          <w:rFonts w:ascii="Arial" w:hAnsi="Arial" w:cs="Arial"/>
          <w:sz w:val="22"/>
          <w:szCs w:val="22"/>
        </w:rPr>
        <w:t xml:space="preserve"> and inappropriate tobacco tax structure combined with socioeconomic development might have resulted in brand and product switching rather than reducing or quitting</w:t>
      </w:r>
      <w:r w:rsidRPr="004D56CB">
        <w:rPr>
          <w:rFonts w:ascii="Arial" w:hAnsi="Arial" w:cs="Arial"/>
          <w:sz w:val="22"/>
          <w:szCs w:val="22"/>
        </w:rPr>
        <w:t xml:space="preserve"> tobacco use when taxes and prices </w:t>
      </w:r>
      <w:r w:rsidR="00F82616" w:rsidRPr="004D56CB">
        <w:rPr>
          <w:rFonts w:ascii="Arial" w:hAnsi="Arial" w:cs="Arial"/>
          <w:sz w:val="22"/>
          <w:szCs w:val="22"/>
        </w:rPr>
        <w:t>increase</w:t>
      </w:r>
      <w:r w:rsidR="00A77B08" w:rsidRPr="004D56CB">
        <w:rPr>
          <w:rFonts w:ascii="Arial" w:hAnsi="Arial" w:cs="Arial"/>
          <w:sz w:val="22"/>
          <w:szCs w:val="22"/>
        </w:rPr>
        <w:t xml:space="preserve"> </w:t>
      </w:r>
      <w:r w:rsidR="006B3F6D" w:rsidRPr="004D56CB">
        <w:rPr>
          <w:rFonts w:ascii="Arial" w:hAnsi="Arial" w:cs="Arial"/>
          <w:sz w:val="22"/>
        </w:rPr>
        <w:t>[24,25]</w:t>
      </w:r>
      <w:r w:rsidR="00464BAB" w:rsidRPr="004D56CB">
        <w:rPr>
          <w:rFonts w:ascii="Arial" w:hAnsi="Arial" w:cs="Arial"/>
          <w:sz w:val="22"/>
          <w:szCs w:val="22"/>
        </w:rPr>
        <w:t>.</w:t>
      </w:r>
      <w:r w:rsidRPr="004D56CB">
        <w:rPr>
          <w:rFonts w:ascii="Arial" w:hAnsi="Arial" w:cs="Arial"/>
          <w:sz w:val="22"/>
          <w:szCs w:val="22"/>
        </w:rPr>
        <w:t xml:space="preserve"> </w:t>
      </w:r>
    </w:p>
    <w:p w14:paraId="3A557ABE" w14:textId="77777777" w:rsidR="009A2EA4" w:rsidRPr="004D56CB" w:rsidRDefault="009A2EA4" w:rsidP="00B254E4">
      <w:pPr>
        <w:spacing w:line="360" w:lineRule="auto"/>
        <w:jc w:val="both"/>
        <w:rPr>
          <w:rFonts w:ascii="Arial" w:hAnsi="Arial" w:cs="Arial"/>
          <w:sz w:val="22"/>
          <w:szCs w:val="22"/>
        </w:rPr>
      </w:pPr>
    </w:p>
    <w:p w14:paraId="7C52A130" w14:textId="1339E15A" w:rsidR="00E41ED4" w:rsidRPr="004D56CB" w:rsidRDefault="00C11D3C" w:rsidP="00B254E4">
      <w:pPr>
        <w:spacing w:line="360" w:lineRule="auto"/>
        <w:jc w:val="both"/>
        <w:rPr>
          <w:rFonts w:ascii="Arial" w:hAnsi="Arial" w:cs="Arial"/>
          <w:sz w:val="22"/>
          <w:szCs w:val="22"/>
        </w:rPr>
      </w:pPr>
      <w:r w:rsidRPr="004D56CB">
        <w:rPr>
          <w:rFonts w:ascii="Arial" w:hAnsi="Arial" w:cs="Arial"/>
          <w:sz w:val="22"/>
          <w:szCs w:val="22"/>
        </w:rPr>
        <w:t>P</w:t>
      </w:r>
      <w:r w:rsidR="00225D9B" w:rsidRPr="004D56CB">
        <w:rPr>
          <w:rFonts w:ascii="Arial" w:hAnsi="Arial" w:cs="Arial"/>
          <w:sz w:val="22"/>
          <w:szCs w:val="22"/>
        </w:rPr>
        <w:t xml:space="preserve">revious studies also suggested that </w:t>
      </w:r>
      <w:r w:rsidR="00F82616" w:rsidRPr="004D56CB">
        <w:rPr>
          <w:rFonts w:ascii="Arial" w:hAnsi="Arial" w:cs="Arial"/>
          <w:sz w:val="22"/>
          <w:szCs w:val="22"/>
        </w:rPr>
        <w:t xml:space="preserve">the </w:t>
      </w:r>
      <w:r w:rsidR="009B7B40" w:rsidRPr="004D56CB">
        <w:rPr>
          <w:rFonts w:ascii="Arial" w:hAnsi="Arial" w:cs="Arial"/>
          <w:sz w:val="22"/>
          <w:szCs w:val="22"/>
        </w:rPr>
        <w:t>ST</w:t>
      </w:r>
      <w:r w:rsidR="00F82616" w:rsidRPr="004D56CB">
        <w:rPr>
          <w:rFonts w:ascii="Arial" w:hAnsi="Arial" w:cs="Arial"/>
          <w:sz w:val="22"/>
          <w:szCs w:val="22"/>
        </w:rPr>
        <w:t>-</w:t>
      </w:r>
      <w:r w:rsidR="009B7B40" w:rsidRPr="004D56CB">
        <w:rPr>
          <w:rFonts w:ascii="Arial" w:hAnsi="Arial" w:cs="Arial"/>
          <w:sz w:val="22"/>
          <w:szCs w:val="22"/>
        </w:rPr>
        <w:t>related disease burden is substantial</w:t>
      </w:r>
      <w:r w:rsidR="00E04C66" w:rsidRPr="004D56CB">
        <w:rPr>
          <w:rFonts w:ascii="Arial" w:hAnsi="Arial" w:cs="Arial"/>
          <w:sz w:val="22"/>
          <w:szCs w:val="22"/>
        </w:rPr>
        <w:t>,</w:t>
      </w:r>
      <w:r w:rsidR="009B7B40" w:rsidRPr="004D56CB">
        <w:rPr>
          <w:rFonts w:ascii="Arial" w:hAnsi="Arial" w:cs="Arial"/>
          <w:sz w:val="22"/>
          <w:szCs w:val="22"/>
        </w:rPr>
        <w:t xml:space="preserve"> with at least 2.5 </w:t>
      </w:r>
      <w:r w:rsidR="00E5762A" w:rsidRPr="004D56CB">
        <w:rPr>
          <w:rFonts w:ascii="Arial" w:hAnsi="Arial" w:cs="Arial"/>
          <w:sz w:val="22"/>
          <w:szCs w:val="22"/>
        </w:rPr>
        <w:t xml:space="preserve">million </w:t>
      </w:r>
      <w:r w:rsidR="009B7B40" w:rsidRPr="004D56CB">
        <w:rPr>
          <w:rFonts w:ascii="Arial" w:hAnsi="Arial" w:cs="Arial"/>
          <w:sz w:val="22"/>
          <w:szCs w:val="22"/>
        </w:rPr>
        <w:t xml:space="preserve">DALYs </w:t>
      </w:r>
      <w:r w:rsidR="002C6FD8" w:rsidRPr="004D56CB">
        <w:rPr>
          <w:rFonts w:ascii="Arial" w:hAnsi="Arial" w:cs="Arial"/>
          <w:sz w:val="22"/>
          <w:szCs w:val="22"/>
        </w:rPr>
        <w:t>lost in 2017</w:t>
      </w:r>
      <w:r w:rsidR="00A77B08" w:rsidRPr="004D56CB">
        <w:rPr>
          <w:rFonts w:ascii="Arial" w:hAnsi="Arial" w:cs="Arial"/>
          <w:sz w:val="22"/>
          <w:szCs w:val="22"/>
        </w:rPr>
        <w:t xml:space="preserve"> </w:t>
      </w:r>
      <w:r w:rsidR="001A77F3" w:rsidRPr="004D56CB">
        <w:rPr>
          <w:rFonts w:ascii="Arial" w:hAnsi="Arial" w:cs="Arial"/>
          <w:sz w:val="22"/>
        </w:rPr>
        <w:t>[12]</w:t>
      </w:r>
      <w:r w:rsidR="00464BAB" w:rsidRPr="004D56CB">
        <w:rPr>
          <w:rFonts w:ascii="Arial" w:hAnsi="Arial" w:cs="Arial"/>
          <w:sz w:val="22"/>
          <w:szCs w:val="22"/>
        </w:rPr>
        <w:t>.</w:t>
      </w:r>
      <w:r w:rsidR="00722CE4" w:rsidRPr="004D56CB" w:rsidDel="00722CE4">
        <w:rPr>
          <w:rFonts w:ascii="Arial" w:hAnsi="Arial" w:cs="Arial"/>
          <w:sz w:val="22"/>
          <w:szCs w:val="22"/>
        </w:rPr>
        <w:t xml:space="preserve"> </w:t>
      </w:r>
      <w:r w:rsidR="00722CE4" w:rsidRPr="004D56CB">
        <w:rPr>
          <w:rFonts w:ascii="Arial" w:hAnsi="Arial" w:cs="Arial"/>
          <w:sz w:val="22"/>
          <w:szCs w:val="22"/>
        </w:rPr>
        <w:t>H</w:t>
      </w:r>
      <w:r w:rsidR="002C6FD8" w:rsidRPr="004D56CB">
        <w:rPr>
          <w:rFonts w:ascii="Arial" w:hAnsi="Arial" w:cs="Arial"/>
          <w:sz w:val="22"/>
          <w:szCs w:val="22"/>
        </w:rPr>
        <w:t xml:space="preserve">owever, </w:t>
      </w:r>
      <w:r w:rsidR="0057157E" w:rsidRPr="004D56CB">
        <w:rPr>
          <w:rFonts w:ascii="Arial" w:hAnsi="Arial" w:cs="Arial"/>
          <w:sz w:val="22"/>
          <w:szCs w:val="22"/>
        </w:rPr>
        <w:t>efforts to control ST use</w:t>
      </w:r>
      <w:r w:rsidR="00F82616" w:rsidRPr="004D56CB">
        <w:rPr>
          <w:rFonts w:ascii="Arial" w:hAnsi="Arial" w:cs="Arial"/>
          <w:sz w:val="22"/>
          <w:szCs w:val="22"/>
        </w:rPr>
        <w:t>, in general,</w:t>
      </w:r>
      <w:r w:rsidR="0057157E" w:rsidRPr="004D56CB">
        <w:rPr>
          <w:rFonts w:ascii="Arial" w:hAnsi="Arial" w:cs="Arial"/>
          <w:sz w:val="22"/>
          <w:szCs w:val="22"/>
        </w:rPr>
        <w:t xml:space="preserve"> remain sub-optimal compared to cigarette consumption</w:t>
      </w:r>
      <w:r w:rsidR="00A77B08" w:rsidRPr="004D56CB">
        <w:rPr>
          <w:rFonts w:ascii="Arial" w:hAnsi="Arial" w:cs="Arial"/>
          <w:sz w:val="22"/>
          <w:szCs w:val="22"/>
        </w:rPr>
        <w:t xml:space="preserve"> </w:t>
      </w:r>
      <w:r w:rsidR="006B3F6D" w:rsidRPr="004D56CB">
        <w:rPr>
          <w:rFonts w:ascii="Arial" w:hAnsi="Arial" w:cs="Arial"/>
          <w:sz w:val="22"/>
        </w:rPr>
        <w:t>[26]</w:t>
      </w:r>
      <w:r w:rsidR="00464BAB" w:rsidRPr="004D56CB">
        <w:rPr>
          <w:rFonts w:ascii="Arial" w:hAnsi="Arial" w:cs="Arial"/>
          <w:sz w:val="22"/>
          <w:szCs w:val="22"/>
        </w:rPr>
        <w:t>.</w:t>
      </w:r>
      <w:r w:rsidR="00D060D7" w:rsidRPr="004D56CB">
        <w:rPr>
          <w:rFonts w:ascii="Arial" w:hAnsi="Arial" w:cs="Arial"/>
          <w:sz w:val="22"/>
          <w:szCs w:val="22"/>
        </w:rPr>
        <w:t xml:space="preserve"> </w:t>
      </w:r>
      <w:r w:rsidR="00D9018D" w:rsidRPr="004D56CB">
        <w:rPr>
          <w:rFonts w:ascii="Arial" w:hAnsi="Arial" w:cs="Arial"/>
          <w:sz w:val="22"/>
          <w:szCs w:val="22"/>
        </w:rPr>
        <w:t>The policy priorities identified in our analysis are consistent with global priorities for ST control</w:t>
      </w:r>
      <w:r w:rsidR="00C53A37" w:rsidRPr="004D56CB">
        <w:rPr>
          <w:rFonts w:ascii="Arial" w:hAnsi="Arial" w:cs="Arial"/>
          <w:sz w:val="22"/>
          <w:szCs w:val="22"/>
        </w:rPr>
        <w:t xml:space="preserve"> </w:t>
      </w:r>
      <w:r w:rsidR="006B3F6D" w:rsidRPr="004D56CB">
        <w:rPr>
          <w:rFonts w:ascii="Arial" w:hAnsi="Arial" w:cs="Arial"/>
          <w:sz w:val="22"/>
        </w:rPr>
        <w:t>[3,27]</w:t>
      </w:r>
      <w:r w:rsidR="00464BAB" w:rsidRPr="004D56CB">
        <w:rPr>
          <w:rFonts w:ascii="Arial" w:hAnsi="Arial" w:cs="Arial"/>
          <w:sz w:val="22"/>
          <w:szCs w:val="22"/>
        </w:rPr>
        <w:t>.</w:t>
      </w:r>
      <w:r w:rsidR="00D9018D" w:rsidRPr="004D56CB">
        <w:rPr>
          <w:rFonts w:ascii="Arial" w:hAnsi="Arial" w:cs="Arial"/>
          <w:sz w:val="22"/>
          <w:szCs w:val="22"/>
        </w:rPr>
        <w:t xml:space="preserve"> Further research is needed to assess the impact of these policies and interventions on health. </w:t>
      </w:r>
      <w:r w:rsidR="004F7D4A" w:rsidRPr="004D56CB">
        <w:rPr>
          <w:rFonts w:ascii="Arial" w:hAnsi="Arial" w:cs="Arial"/>
          <w:sz w:val="22"/>
          <w:szCs w:val="22"/>
        </w:rPr>
        <w:t>We recommend a</w:t>
      </w:r>
      <w:r w:rsidR="00D9018D" w:rsidRPr="004D56CB">
        <w:rPr>
          <w:rFonts w:ascii="Arial" w:hAnsi="Arial" w:cs="Arial"/>
          <w:sz w:val="22"/>
          <w:szCs w:val="22"/>
        </w:rPr>
        <w:t xml:space="preserve"> multi-sectoral approach and </w:t>
      </w:r>
      <w:r w:rsidR="004F7D4A" w:rsidRPr="004D56CB">
        <w:rPr>
          <w:rFonts w:ascii="Arial" w:hAnsi="Arial" w:cs="Arial"/>
          <w:sz w:val="22"/>
          <w:szCs w:val="22"/>
        </w:rPr>
        <w:t xml:space="preserve">a </w:t>
      </w:r>
      <w:r w:rsidR="00D9018D" w:rsidRPr="004D56CB">
        <w:rPr>
          <w:rFonts w:ascii="Arial" w:hAnsi="Arial" w:cs="Arial"/>
          <w:sz w:val="22"/>
          <w:szCs w:val="22"/>
        </w:rPr>
        <w:t xml:space="preserve">comprehensive media campaign to address public health issues like ST. </w:t>
      </w:r>
    </w:p>
    <w:p w14:paraId="08FEAA4C" w14:textId="77777777" w:rsidR="00F414ED" w:rsidRPr="004D56CB" w:rsidRDefault="00F414ED" w:rsidP="00B254E4">
      <w:pPr>
        <w:spacing w:line="360" w:lineRule="auto"/>
        <w:jc w:val="both"/>
        <w:rPr>
          <w:rFonts w:ascii="Arial" w:hAnsi="Arial" w:cs="Arial"/>
          <w:sz w:val="22"/>
          <w:szCs w:val="22"/>
        </w:rPr>
      </w:pPr>
    </w:p>
    <w:p w14:paraId="2CD7E2D4" w14:textId="2AEA08C3" w:rsidR="00F414ED" w:rsidRPr="004D56CB" w:rsidRDefault="00B9149D" w:rsidP="00DE3F97">
      <w:pPr>
        <w:spacing w:line="360" w:lineRule="auto"/>
        <w:jc w:val="both"/>
        <w:rPr>
          <w:rFonts w:ascii="Arial" w:hAnsi="Arial" w:cs="Arial"/>
          <w:sz w:val="22"/>
          <w:szCs w:val="22"/>
        </w:rPr>
      </w:pPr>
      <w:r w:rsidRPr="004D56CB">
        <w:rPr>
          <w:rFonts w:ascii="Arial" w:hAnsi="Arial" w:cs="Arial"/>
          <w:sz w:val="22"/>
          <w:szCs w:val="22"/>
        </w:rPr>
        <w:lastRenderedPageBreak/>
        <w:t xml:space="preserve">Our </w:t>
      </w:r>
      <w:r w:rsidR="00D9018D" w:rsidRPr="004D56CB">
        <w:rPr>
          <w:rFonts w:ascii="Arial" w:hAnsi="Arial" w:cs="Arial"/>
          <w:sz w:val="22"/>
          <w:szCs w:val="22"/>
        </w:rPr>
        <w:t xml:space="preserve">study has </w:t>
      </w:r>
      <w:r w:rsidR="00E04C66" w:rsidRPr="004D56CB">
        <w:rPr>
          <w:rFonts w:ascii="Arial" w:hAnsi="Arial" w:cs="Arial"/>
          <w:sz w:val="22"/>
          <w:szCs w:val="22"/>
        </w:rPr>
        <w:t>several</w:t>
      </w:r>
      <w:r w:rsidR="00D9018D" w:rsidRPr="004D56CB">
        <w:rPr>
          <w:rFonts w:ascii="Arial" w:hAnsi="Arial" w:cs="Arial"/>
          <w:sz w:val="22"/>
          <w:szCs w:val="22"/>
        </w:rPr>
        <w:t xml:space="preserve"> limitations. </w:t>
      </w:r>
      <w:r w:rsidR="00F82616" w:rsidRPr="004D56CB">
        <w:rPr>
          <w:rFonts w:ascii="Arial" w:hAnsi="Arial" w:cs="Arial"/>
          <w:sz w:val="22"/>
          <w:szCs w:val="22"/>
        </w:rPr>
        <w:t xml:space="preserve">First, </w:t>
      </w:r>
      <w:r w:rsidR="00D9018D" w:rsidRPr="004D56CB">
        <w:rPr>
          <w:rFonts w:ascii="Arial" w:hAnsi="Arial" w:cs="Arial"/>
          <w:sz w:val="22"/>
          <w:szCs w:val="22"/>
        </w:rPr>
        <w:t xml:space="preserve">a </w:t>
      </w:r>
      <w:r w:rsidR="00C55881" w:rsidRPr="004D56CB">
        <w:rPr>
          <w:rFonts w:ascii="Arial" w:hAnsi="Arial" w:cs="Arial"/>
          <w:sz w:val="22"/>
          <w:szCs w:val="22"/>
        </w:rPr>
        <w:t>selected</w:t>
      </w:r>
      <w:r w:rsidR="00D9018D" w:rsidRPr="004D56CB">
        <w:rPr>
          <w:rFonts w:ascii="Arial" w:hAnsi="Arial" w:cs="Arial"/>
          <w:sz w:val="22"/>
          <w:szCs w:val="22"/>
        </w:rPr>
        <w:t xml:space="preserve"> number of participants</w:t>
      </w:r>
      <w:r w:rsidR="00DD7C6A" w:rsidRPr="004D56CB">
        <w:rPr>
          <w:rFonts w:ascii="Arial" w:hAnsi="Arial" w:cs="Arial"/>
          <w:sz w:val="22"/>
          <w:szCs w:val="22"/>
        </w:rPr>
        <w:t xml:space="preserve"> were invited</w:t>
      </w:r>
      <w:r w:rsidR="00D9018D" w:rsidRPr="004D56CB">
        <w:rPr>
          <w:rFonts w:ascii="Arial" w:hAnsi="Arial" w:cs="Arial"/>
          <w:sz w:val="22"/>
          <w:szCs w:val="22"/>
        </w:rPr>
        <w:t xml:space="preserve"> for the workshop and the online survey, who had been purposively </w:t>
      </w:r>
      <w:r w:rsidR="00C55881" w:rsidRPr="004D56CB">
        <w:rPr>
          <w:rFonts w:ascii="Arial" w:hAnsi="Arial" w:cs="Arial"/>
          <w:sz w:val="22"/>
          <w:szCs w:val="22"/>
        </w:rPr>
        <w:t xml:space="preserve">chosen </w:t>
      </w:r>
      <w:r w:rsidR="00D9018D" w:rsidRPr="004D56CB">
        <w:rPr>
          <w:rFonts w:ascii="Arial" w:hAnsi="Arial" w:cs="Arial"/>
          <w:sz w:val="22"/>
          <w:szCs w:val="22"/>
        </w:rPr>
        <w:t>from the wider stakeholder group (health advocates,</w:t>
      </w:r>
      <w:r w:rsidR="00D83660" w:rsidRPr="004D56CB">
        <w:rPr>
          <w:rFonts w:ascii="Arial" w:hAnsi="Arial" w:cs="Arial"/>
          <w:sz w:val="22"/>
          <w:szCs w:val="22"/>
        </w:rPr>
        <w:t xml:space="preserve"> </w:t>
      </w:r>
      <w:r w:rsidR="00D9018D" w:rsidRPr="004D56CB">
        <w:rPr>
          <w:rFonts w:ascii="Arial" w:hAnsi="Arial" w:cs="Arial"/>
          <w:sz w:val="22"/>
          <w:szCs w:val="22"/>
        </w:rPr>
        <w:t>healthcare providers, media representatives</w:t>
      </w:r>
      <w:r w:rsidR="00F82616" w:rsidRPr="004D56CB">
        <w:rPr>
          <w:rFonts w:ascii="Arial" w:hAnsi="Arial" w:cs="Arial"/>
          <w:sz w:val="22"/>
          <w:szCs w:val="22"/>
        </w:rPr>
        <w:t>,</w:t>
      </w:r>
      <w:r w:rsidR="00D9018D" w:rsidRPr="004D56CB">
        <w:rPr>
          <w:rFonts w:ascii="Arial" w:hAnsi="Arial" w:cs="Arial"/>
          <w:sz w:val="22"/>
          <w:szCs w:val="22"/>
        </w:rPr>
        <w:t xml:space="preserve"> and researchers) working on tobacco control. However, the stakeholders had long working experience in the field, and many of them had closely worked with the policymakers in developing tobacco control policies in Bangladesh. </w:t>
      </w:r>
      <w:r w:rsidR="00DE3F97" w:rsidRPr="004D56CB">
        <w:rPr>
          <w:rFonts w:ascii="Arial" w:hAnsi="Arial" w:cs="Arial"/>
          <w:sz w:val="22"/>
          <w:szCs w:val="22"/>
        </w:rPr>
        <w:t xml:space="preserve">Second, the GATS 2017 full data set was not available during the study period, which restricted further analysis of the data.  </w:t>
      </w:r>
      <w:r w:rsidR="00D9018D" w:rsidRPr="004D56CB">
        <w:rPr>
          <w:rFonts w:ascii="Arial" w:hAnsi="Arial" w:cs="Arial"/>
          <w:sz w:val="22"/>
          <w:szCs w:val="22"/>
        </w:rPr>
        <w:t xml:space="preserve">Despite the limitations, this paper is the first attempt to consolidate and coordinate research and advocacy expertise in ST use in Bangladesh and identified policy priorities for ST control in Bangladesh. </w:t>
      </w:r>
    </w:p>
    <w:p w14:paraId="7125A1D9" w14:textId="77777777" w:rsidR="00F414ED" w:rsidRPr="004D56CB" w:rsidRDefault="00D9018D" w:rsidP="00B254E4">
      <w:pPr>
        <w:pStyle w:val="Heading1"/>
        <w:spacing w:line="360" w:lineRule="auto"/>
        <w:rPr>
          <w:rFonts w:ascii="Arial" w:hAnsi="Arial" w:cs="Arial"/>
          <w:sz w:val="22"/>
          <w:szCs w:val="22"/>
        </w:rPr>
      </w:pPr>
      <w:r w:rsidRPr="004D56CB">
        <w:rPr>
          <w:rFonts w:ascii="Arial" w:hAnsi="Arial" w:cs="Arial"/>
          <w:sz w:val="22"/>
          <w:szCs w:val="22"/>
        </w:rPr>
        <w:t>Conclusion</w:t>
      </w:r>
    </w:p>
    <w:p w14:paraId="4BBF02EF" w14:textId="7E030987" w:rsidR="00AF3AD3" w:rsidRPr="004D56CB" w:rsidRDefault="002A01FE" w:rsidP="00F04725">
      <w:pPr>
        <w:pBdr>
          <w:top w:val="nil"/>
          <w:left w:val="nil"/>
          <w:bottom w:val="nil"/>
          <w:right w:val="nil"/>
          <w:between w:val="nil"/>
        </w:pBdr>
        <w:shd w:val="clear" w:color="auto" w:fill="FFFFFF"/>
        <w:spacing w:line="360" w:lineRule="auto"/>
        <w:jc w:val="both"/>
        <w:rPr>
          <w:rFonts w:ascii="Arial" w:hAnsi="Arial" w:cs="Arial"/>
          <w:sz w:val="22"/>
          <w:szCs w:val="22"/>
        </w:rPr>
      </w:pPr>
      <w:r w:rsidRPr="004D56CB">
        <w:rPr>
          <w:rFonts w:ascii="Arial" w:hAnsi="Arial" w:cs="Arial"/>
          <w:sz w:val="22"/>
          <w:szCs w:val="22"/>
        </w:rPr>
        <w:t>ST</w:t>
      </w:r>
      <w:r w:rsidR="00302BD2" w:rsidRPr="004D56CB">
        <w:rPr>
          <w:rFonts w:ascii="Arial" w:hAnsi="Arial" w:cs="Arial"/>
          <w:sz w:val="22"/>
          <w:szCs w:val="22"/>
        </w:rPr>
        <w:t xml:space="preserve"> consumption has declined in Bangladesh since 2009, </w:t>
      </w:r>
      <w:r w:rsidRPr="004D56CB">
        <w:rPr>
          <w:rFonts w:ascii="Arial" w:hAnsi="Arial" w:cs="Arial"/>
          <w:sz w:val="22"/>
          <w:szCs w:val="22"/>
        </w:rPr>
        <w:t xml:space="preserve">and </w:t>
      </w:r>
      <w:r w:rsidR="0061350D" w:rsidRPr="004D56CB">
        <w:rPr>
          <w:rFonts w:ascii="Arial" w:hAnsi="Arial" w:cs="Arial"/>
          <w:sz w:val="22"/>
          <w:szCs w:val="22"/>
        </w:rPr>
        <w:t>s</w:t>
      </w:r>
      <w:r w:rsidR="00C46F5B" w:rsidRPr="004D56CB">
        <w:rPr>
          <w:rFonts w:ascii="Arial" w:hAnsi="Arial" w:cs="Arial"/>
          <w:sz w:val="22"/>
          <w:szCs w:val="22"/>
        </w:rPr>
        <w:t xml:space="preserve">trengthening ST control at this stage can </w:t>
      </w:r>
      <w:r w:rsidR="00664768" w:rsidRPr="004D56CB">
        <w:rPr>
          <w:rFonts w:ascii="Arial" w:hAnsi="Arial" w:cs="Arial"/>
          <w:sz w:val="22"/>
          <w:szCs w:val="22"/>
        </w:rPr>
        <w:t xml:space="preserve">accelerate </w:t>
      </w:r>
      <w:r w:rsidR="00262622" w:rsidRPr="004D56CB">
        <w:rPr>
          <w:rFonts w:ascii="Arial" w:hAnsi="Arial" w:cs="Arial"/>
          <w:sz w:val="22"/>
          <w:szCs w:val="22"/>
        </w:rPr>
        <w:t>this decline and reduce ST</w:t>
      </w:r>
      <w:r w:rsidR="00F82616" w:rsidRPr="004D56CB">
        <w:rPr>
          <w:rFonts w:ascii="Arial" w:hAnsi="Arial" w:cs="Arial"/>
          <w:sz w:val="22"/>
          <w:szCs w:val="22"/>
        </w:rPr>
        <w:t>-</w:t>
      </w:r>
      <w:r w:rsidR="00262622" w:rsidRPr="004D56CB">
        <w:rPr>
          <w:rFonts w:ascii="Arial" w:hAnsi="Arial" w:cs="Arial"/>
          <w:sz w:val="22"/>
          <w:szCs w:val="22"/>
        </w:rPr>
        <w:t>related morbidity and mortality</w:t>
      </w:r>
      <w:r w:rsidR="00E04C66" w:rsidRPr="004D56CB">
        <w:rPr>
          <w:rFonts w:ascii="Arial" w:hAnsi="Arial" w:cs="Arial"/>
          <w:sz w:val="22"/>
          <w:szCs w:val="22"/>
        </w:rPr>
        <w:t>,</w:t>
      </w:r>
      <w:r w:rsidR="00262622" w:rsidRPr="004D56CB">
        <w:rPr>
          <w:rFonts w:ascii="Arial" w:hAnsi="Arial" w:cs="Arial"/>
          <w:sz w:val="22"/>
          <w:szCs w:val="22"/>
        </w:rPr>
        <w:t xml:space="preserve"> including oral cancer deaths</w:t>
      </w:r>
      <w:r w:rsidR="00F82616" w:rsidRPr="004D56CB">
        <w:rPr>
          <w:rFonts w:ascii="Arial" w:hAnsi="Arial" w:cs="Arial"/>
          <w:sz w:val="22"/>
          <w:szCs w:val="22"/>
        </w:rPr>
        <w:t>,</w:t>
      </w:r>
      <w:r w:rsidR="00664768" w:rsidRPr="004D56CB">
        <w:rPr>
          <w:rFonts w:ascii="Arial" w:hAnsi="Arial" w:cs="Arial"/>
          <w:sz w:val="22"/>
          <w:szCs w:val="22"/>
        </w:rPr>
        <w:t xml:space="preserve"> over the coming decades</w:t>
      </w:r>
      <w:r w:rsidR="00262622" w:rsidRPr="004D56CB">
        <w:rPr>
          <w:rFonts w:ascii="Arial" w:hAnsi="Arial" w:cs="Arial"/>
          <w:sz w:val="22"/>
          <w:szCs w:val="22"/>
        </w:rPr>
        <w:t xml:space="preserve">. </w:t>
      </w:r>
      <w:r w:rsidR="00FF4C94" w:rsidRPr="004D56CB">
        <w:rPr>
          <w:rFonts w:ascii="Arial" w:hAnsi="Arial" w:cs="Arial"/>
          <w:sz w:val="22"/>
          <w:szCs w:val="22"/>
        </w:rPr>
        <w:t>S</w:t>
      </w:r>
      <w:r w:rsidR="00D9018D" w:rsidRPr="004D56CB">
        <w:rPr>
          <w:rFonts w:ascii="Arial" w:hAnsi="Arial" w:cs="Arial"/>
          <w:sz w:val="22"/>
          <w:szCs w:val="22"/>
        </w:rPr>
        <w:t>trict enforcement of the law, stringent tax measures</w:t>
      </w:r>
      <w:r w:rsidR="008F10DC" w:rsidRPr="004D56CB">
        <w:rPr>
          <w:rFonts w:ascii="Arial" w:hAnsi="Arial" w:cs="Arial"/>
          <w:sz w:val="22"/>
          <w:szCs w:val="22"/>
        </w:rPr>
        <w:t xml:space="preserve"> and</w:t>
      </w:r>
      <w:r w:rsidR="00D9018D" w:rsidRPr="004D56CB">
        <w:rPr>
          <w:rFonts w:ascii="Arial" w:hAnsi="Arial" w:cs="Arial"/>
          <w:sz w:val="22"/>
          <w:szCs w:val="22"/>
        </w:rPr>
        <w:t xml:space="preserve">, cessation support need to be provided by strengthening </w:t>
      </w:r>
      <w:r w:rsidR="008F10DC" w:rsidRPr="004D56CB">
        <w:rPr>
          <w:rFonts w:ascii="Arial" w:hAnsi="Arial" w:cs="Arial"/>
          <w:sz w:val="22"/>
          <w:szCs w:val="22"/>
        </w:rPr>
        <w:t xml:space="preserve">the </w:t>
      </w:r>
      <w:r w:rsidR="00D9018D" w:rsidRPr="004D56CB">
        <w:rPr>
          <w:rFonts w:ascii="Arial" w:hAnsi="Arial" w:cs="Arial"/>
          <w:sz w:val="22"/>
          <w:szCs w:val="22"/>
        </w:rPr>
        <w:t>tobacco control programme.  </w:t>
      </w:r>
    </w:p>
    <w:p w14:paraId="79E06376" w14:textId="77777777" w:rsidR="00C26752" w:rsidRPr="004D56CB" w:rsidRDefault="00C26752" w:rsidP="00C530B5">
      <w:pPr>
        <w:spacing w:line="360" w:lineRule="auto"/>
        <w:jc w:val="both"/>
        <w:rPr>
          <w:rFonts w:ascii="Arial" w:hAnsi="Arial" w:cs="Arial"/>
          <w:sz w:val="22"/>
          <w:szCs w:val="22"/>
        </w:rPr>
        <w:sectPr w:rsidR="00C26752" w:rsidRPr="004D56CB">
          <w:pgSz w:w="11900" w:h="16840"/>
          <w:pgMar w:top="1304" w:right="1644" w:bottom="1304" w:left="1644" w:header="709" w:footer="709" w:gutter="0"/>
          <w:pgNumType w:start="1"/>
          <w:cols w:space="720"/>
        </w:sectPr>
      </w:pPr>
    </w:p>
    <w:p w14:paraId="41BFE179" w14:textId="0F1F8A8E" w:rsidR="00D737BD" w:rsidRPr="004D56CB" w:rsidRDefault="00D9018D" w:rsidP="00D737BD">
      <w:pPr>
        <w:pStyle w:val="Heading1"/>
        <w:spacing w:line="360" w:lineRule="auto"/>
        <w:rPr>
          <w:rFonts w:ascii="Arial" w:hAnsi="Arial" w:cs="Arial"/>
          <w:sz w:val="22"/>
          <w:szCs w:val="22"/>
        </w:rPr>
      </w:pPr>
      <w:r w:rsidRPr="004D56CB">
        <w:rPr>
          <w:rFonts w:ascii="Arial" w:hAnsi="Arial" w:cs="Arial"/>
          <w:sz w:val="22"/>
          <w:szCs w:val="22"/>
        </w:rPr>
        <w:lastRenderedPageBreak/>
        <w:t xml:space="preserve">References </w:t>
      </w:r>
    </w:p>
    <w:p w14:paraId="7EC431D6" w14:textId="204179CE" w:rsidR="006B3F6D" w:rsidRPr="004D56CB" w:rsidRDefault="006B3F6D" w:rsidP="006B3F6D">
      <w:pPr>
        <w:pStyle w:val="Bibliography"/>
      </w:pPr>
      <w:r w:rsidRPr="004D56CB">
        <w:t xml:space="preserve">1. Huque R, Zaman MM, Huq SM, Sinha DN. Smokeless tobacco and public health in Bangladesh. Indian J Public Health. Europe PMC Funders; 2017;61:S18. </w:t>
      </w:r>
    </w:p>
    <w:p w14:paraId="47B8EC6E" w14:textId="77777777" w:rsidR="006B3F6D" w:rsidRPr="004D56CB" w:rsidRDefault="006B3F6D" w:rsidP="006B3F6D">
      <w:pPr>
        <w:pStyle w:val="Bibliography"/>
      </w:pPr>
      <w:r w:rsidRPr="004D56CB">
        <w:t xml:space="preserve">2. Siddiqi K, Shah S, Abbas SM, Vidyasagaran A, Jawad M, Dogar O, et al. Global burden of disease due to smokeless tobacco consumption in adults: analysis of data from 113 countries. BMC Med. Springer; 2015;13:194. </w:t>
      </w:r>
    </w:p>
    <w:p w14:paraId="1C532462" w14:textId="77777777" w:rsidR="006B3F6D" w:rsidRPr="004D56CB" w:rsidRDefault="006B3F6D" w:rsidP="006B3F6D">
      <w:pPr>
        <w:pStyle w:val="Bibliography"/>
      </w:pPr>
      <w:r w:rsidRPr="004D56CB">
        <w:t xml:space="preserve">3. Siddiqi K, Islam Z, Khan Z, Siddiqui F, Mishu M, Dogar O, et al. Identification of Policy Priorities to Address the Burden of Smokeless Tobacco in Pakistan: A Multimethod Analysis. Nicotine Tob Res. 2019; </w:t>
      </w:r>
    </w:p>
    <w:p w14:paraId="3CA79712" w14:textId="77777777" w:rsidR="006B3F6D" w:rsidRPr="004D56CB" w:rsidRDefault="006B3F6D" w:rsidP="006B3F6D">
      <w:pPr>
        <w:pStyle w:val="Bibliography"/>
      </w:pPr>
      <w:r w:rsidRPr="004D56CB">
        <w:t xml:space="preserve">4. Boffetta P, Hecht S, Gray N, Gupta P, Straif K. Smokeless tobacco and cancer. Lancet Oncol. Elsevier; 2008;9:667–75. </w:t>
      </w:r>
    </w:p>
    <w:p w14:paraId="045B74B8" w14:textId="77777777" w:rsidR="006B3F6D" w:rsidRPr="004D56CB" w:rsidRDefault="006B3F6D" w:rsidP="006B3F6D">
      <w:pPr>
        <w:pStyle w:val="Bibliography"/>
      </w:pPr>
      <w:r w:rsidRPr="004D56CB">
        <w:t xml:space="preserve">5. Zaman MM, Ahmed J, Choudhury SR, Numan SM, Parvin K, Islam MS. Prevalence of ischemic heart disease in a rural population of Bangladesh. Indian Heart J. 2007;59:239–41. </w:t>
      </w:r>
    </w:p>
    <w:p w14:paraId="43996EE4" w14:textId="77777777" w:rsidR="006B3F6D" w:rsidRPr="004D56CB" w:rsidRDefault="006B3F6D" w:rsidP="006B3F6D">
      <w:pPr>
        <w:pStyle w:val="Bibliography"/>
      </w:pPr>
      <w:r w:rsidRPr="004D56CB">
        <w:t xml:space="preserve">6. Inamdar AS, Croucher RE, Chokhandre MK, Mashyakhy MH, Marinho VC. Maternal smokeless tobacco use in pregnancy and adverse health outcomes in newborns: a systematic review. Nicotine Tob Res. Society for Research on Nicotine and Tobacco; 2014;17:1058–66. </w:t>
      </w:r>
    </w:p>
    <w:p w14:paraId="703FF592" w14:textId="77777777" w:rsidR="006B3F6D" w:rsidRPr="004D56CB" w:rsidRDefault="006B3F6D" w:rsidP="006B3F6D">
      <w:pPr>
        <w:pStyle w:val="Bibliography"/>
      </w:pPr>
      <w:r w:rsidRPr="004D56CB">
        <w:t xml:space="preserve">7. Sinha DN, Gupta PC, Kumar A, Bhartiya D, Agarwal N, Sharma S, et al. The poorest of poor suffer the greatest burden from smokeless tobacco use: A study from 140 countries. Nicotine Tob Res. Oxford University Press US; 2018;20:1529–32. </w:t>
      </w:r>
    </w:p>
    <w:p w14:paraId="60BCCC96" w14:textId="77777777" w:rsidR="006B3F6D" w:rsidRPr="004D56CB" w:rsidRDefault="006B3F6D" w:rsidP="006B3F6D">
      <w:pPr>
        <w:pStyle w:val="Bibliography"/>
      </w:pPr>
      <w:r w:rsidRPr="004D56CB">
        <w:t>8. Organization WH. Global adult tobacco survey: Bangladesh Report 2017 [Internet]. WHO Regional Office for South-East Asia; 2017. Available from: http://bbs.portal.gov.bd/sites/default/files/files/bbs.portal.gov.bd/page/57def76a_aa3c_46e3_9f80_53732eb94a83/Preliminary%20Report%20on%20GATS%20Bangladesh%202017.pdf</w:t>
      </w:r>
    </w:p>
    <w:p w14:paraId="46017BB8" w14:textId="77777777" w:rsidR="006B3F6D" w:rsidRPr="004D56CB" w:rsidRDefault="006B3F6D" w:rsidP="006B3F6D">
      <w:pPr>
        <w:pStyle w:val="Bibliography"/>
      </w:pPr>
      <w:r w:rsidRPr="004D56CB">
        <w:t xml:space="preserve">9. Organization WH. WHO report on the global tobacco epidemic, 2013: enforcing bans on tobacco advertising, promotion and sponsorship. World Health Organization; 2013. </w:t>
      </w:r>
    </w:p>
    <w:p w14:paraId="41F42AE5" w14:textId="77777777" w:rsidR="006B3F6D" w:rsidRPr="004D56CB" w:rsidRDefault="006B3F6D" w:rsidP="006B3F6D">
      <w:pPr>
        <w:pStyle w:val="Bibliography"/>
      </w:pPr>
      <w:r w:rsidRPr="004D56CB">
        <w:t xml:space="preserve">10. Rahman MA, Mahmood MA, Spurrier N, Rahman M, Choudhury SR, Leeder S. Why do Bangladeshi people use smokeless tobacco products? Asia Pac J Public Health. SAGE Publications Sage CA: Los Angeles, CA; 2015;27:NP2197–209. </w:t>
      </w:r>
    </w:p>
    <w:p w14:paraId="4F1E5FFE" w14:textId="77777777" w:rsidR="006B3F6D" w:rsidRPr="004D56CB" w:rsidRDefault="006B3F6D" w:rsidP="006B3F6D">
      <w:pPr>
        <w:pStyle w:val="Bibliography"/>
      </w:pPr>
      <w:r w:rsidRPr="004D56CB">
        <w:t xml:space="preserve">11. Readshaw A, Mehrotra R, Mishu M, Khan Z, Siddiqui F, Coyle K, et al. Addressing smokeless tobacco use and building research capacity in South Asia (ASTRA). J Glob Health. International Society for Global Health; 2020;10. </w:t>
      </w:r>
    </w:p>
    <w:p w14:paraId="5B557414" w14:textId="77777777" w:rsidR="006B3F6D" w:rsidRPr="004D56CB" w:rsidRDefault="006B3F6D" w:rsidP="006B3F6D">
      <w:pPr>
        <w:pStyle w:val="Bibliography"/>
      </w:pPr>
      <w:r w:rsidRPr="004D56CB">
        <w:t xml:space="preserve">12. Siddiqi K, Husain S, Vidyasagaran A, Readshaw A, Mishu MP, Sheikh A. Global burden of disease due to smokeless tobacco consumption in adults: an updated analysis of data from 127 countries. BMC Med. BioMed Central; 2020;18:1–22. </w:t>
      </w:r>
    </w:p>
    <w:p w14:paraId="7853172D" w14:textId="77777777" w:rsidR="006B3F6D" w:rsidRPr="004D56CB" w:rsidRDefault="006B3F6D" w:rsidP="006B3F6D">
      <w:pPr>
        <w:pStyle w:val="Bibliography"/>
      </w:pPr>
      <w:r w:rsidRPr="004D56CB">
        <w:lastRenderedPageBreak/>
        <w:t xml:space="preserve">13. Rockhill B, Newman B, Weinberg C. Use and misuse of population attributable fractions. Am J Public Health. American Public Health Association; 1998;88:15–9. </w:t>
      </w:r>
    </w:p>
    <w:p w14:paraId="26AD197A" w14:textId="77777777" w:rsidR="006B3F6D" w:rsidRPr="004D56CB" w:rsidRDefault="006B3F6D" w:rsidP="006B3F6D">
      <w:pPr>
        <w:pStyle w:val="Bibliography"/>
      </w:pPr>
      <w:r w:rsidRPr="004D56CB">
        <w:t xml:space="preserve">14. Öberg M, Jaakkola MS, Woodward A, Peruga A, Prüss-Ustün A. Worldwide burden of disease from exposure to second-hand smoke: a retrospective analysis of data from 192 countries. The lancet. Elsevier; 2011;377:139–46. </w:t>
      </w:r>
    </w:p>
    <w:p w14:paraId="59B7282C" w14:textId="77777777" w:rsidR="006B3F6D" w:rsidRPr="004D56CB" w:rsidRDefault="006B3F6D" w:rsidP="006B3F6D">
      <w:pPr>
        <w:pStyle w:val="Bibliography"/>
      </w:pPr>
      <w:r w:rsidRPr="004D56CB">
        <w:t xml:space="preserve">15. Organization WH. Global adult tobacco survey: Bangladesh Report 2009. WHO Regional Office for South-East Asia; 2009; </w:t>
      </w:r>
    </w:p>
    <w:p w14:paraId="628D0B6E" w14:textId="77777777" w:rsidR="006B3F6D" w:rsidRPr="004D56CB" w:rsidRDefault="006B3F6D" w:rsidP="006B3F6D">
      <w:pPr>
        <w:pStyle w:val="Bibliography"/>
      </w:pPr>
      <w:r w:rsidRPr="004D56CB">
        <w:t xml:space="preserve">16. Organization WH. WHO report on the global tobacco epidemic, 2017: monitoring tobacco use and prevention policies. World Health Organization; 2017. </w:t>
      </w:r>
    </w:p>
    <w:p w14:paraId="57FC66EE" w14:textId="77777777" w:rsidR="006B3F6D" w:rsidRPr="004D56CB" w:rsidRDefault="006B3F6D" w:rsidP="006B3F6D">
      <w:pPr>
        <w:pStyle w:val="Bibliography"/>
      </w:pPr>
      <w:r w:rsidRPr="004D56CB">
        <w:t xml:space="preserve">17. Nargis N, Hussain A, Fong GT. Smokeless tobacco product prices and taxation in Bangladesh: Findings from the ITC Survey. Indian J Cancer. NIH Public Access; 2014;51:S33. </w:t>
      </w:r>
    </w:p>
    <w:p w14:paraId="0905AEDA" w14:textId="77777777" w:rsidR="006B3F6D" w:rsidRPr="004D56CB" w:rsidRDefault="006B3F6D" w:rsidP="006B3F6D">
      <w:pPr>
        <w:pStyle w:val="Bibliography"/>
      </w:pPr>
      <w:r w:rsidRPr="004D56CB">
        <w:t xml:space="preserve">18. Ahmed N, Mozumder TA, Hassan MT, Huque R. Demand for tobacco products in Bangladesh. Tob Control. BMJ Publishing Group Ltd; 2021; </w:t>
      </w:r>
    </w:p>
    <w:p w14:paraId="3A11945F" w14:textId="77777777" w:rsidR="006B3F6D" w:rsidRPr="004D56CB" w:rsidRDefault="006B3F6D" w:rsidP="006B3F6D">
      <w:pPr>
        <w:pStyle w:val="Bibliography"/>
      </w:pPr>
      <w:r w:rsidRPr="004D56CB">
        <w:t xml:space="preserve">19. National Board of Revenue. Annual Report 2017-2018. 2018. </w:t>
      </w:r>
    </w:p>
    <w:p w14:paraId="4F75DCAC" w14:textId="77777777" w:rsidR="006B3F6D" w:rsidRPr="004D56CB" w:rsidRDefault="006B3F6D" w:rsidP="006B3F6D">
      <w:pPr>
        <w:pStyle w:val="Bibliography"/>
      </w:pPr>
      <w:r w:rsidRPr="004D56CB">
        <w:t>20. Marquez PV, Guban I. What countries can learn from Moldova’s successful tobacco taxation efforts [Internet]. What Ctries. Can Learn Mold. Success. Tob. Tax. Efforts. 2018 [cited 2021 Jun 28]. Available from: https://blogs.worldbank.org/health/what-countries-can-learn-moldova-s-successful-tobacco-taxation-efforts</w:t>
      </w:r>
    </w:p>
    <w:p w14:paraId="779F9C5B" w14:textId="77777777" w:rsidR="006B3F6D" w:rsidRPr="004D56CB" w:rsidRDefault="006B3F6D" w:rsidP="006B3F6D">
      <w:pPr>
        <w:pStyle w:val="Bibliography"/>
      </w:pPr>
      <w:r w:rsidRPr="004D56CB">
        <w:t>21. Krasovsky K. Tobacco taxation policy in the Republic of Moldova [Internet]. 2016. Available from: https://www.euro.who.int/__data/assets/pdf_file/0011/354692/Tobacco-taxation-policy-in-the-Republic-of-Moldova.pdf</w:t>
      </w:r>
    </w:p>
    <w:p w14:paraId="413E4226" w14:textId="77777777" w:rsidR="006B3F6D" w:rsidRPr="004D56CB" w:rsidRDefault="006B3F6D" w:rsidP="006B3F6D">
      <w:pPr>
        <w:pStyle w:val="Bibliography"/>
      </w:pPr>
      <w:r w:rsidRPr="004D56CB">
        <w:t xml:space="preserve">22. Siddiqui F, Croucher R, Ahmad F, Ahmed Z, Babu R, Bauld L, et al. Smokeless tobacco initiation, use and cessation in South Asia: a qualitative assessment. Nicotine Tob Res. York; 2021; </w:t>
      </w:r>
    </w:p>
    <w:p w14:paraId="0C7C85A6" w14:textId="77777777" w:rsidR="006B3F6D" w:rsidRPr="004D56CB" w:rsidRDefault="006B3F6D" w:rsidP="006B3F6D">
      <w:pPr>
        <w:pStyle w:val="Bibliography"/>
      </w:pPr>
      <w:r w:rsidRPr="004D56CB">
        <w:t>23. Naznin E, Wynne O, George J, Denham AMJ, Hoque ME, Milton AH, et al. Smokeless tobacco policy in Bangladesh: A stakeholder study of compatibility with the World Health Organization’s Framework Convention on Tobacco Control. Drug Alcohol Rev [Internet]. [cited 2021 Jun 28];n/a. Available from: https://onlinelibrary.wiley.com/doi/abs/10.1111/dar.13243</w:t>
      </w:r>
    </w:p>
    <w:p w14:paraId="201FDC9E" w14:textId="77777777" w:rsidR="006B3F6D" w:rsidRPr="004D56CB" w:rsidRDefault="006B3F6D" w:rsidP="006B3F6D">
      <w:pPr>
        <w:pStyle w:val="Bibliography"/>
      </w:pPr>
      <w:r w:rsidRPr="004D56CB">
        <w:t xml:space="preserve">24. Ahmed N, Hossain J, Huque R, Hassan MT, Mozumder TA. The Economics of Tobacco Taxation in Bangladesh. Brac Inst Gov Dev BIGD Brac Univ. 2019; </w:t>
      </w:r>
    </w:p>
    <w:p w14:paraId="015F4C6E" w14:textId="77777777" w:rsidR="006B3F6D" w:rsidRPr="004D56CB" w:rsidRDefault="006B3F6D" w:rsidP="006B3F6D">
      <w:pPr>
        <w:pStyle w:val="Bibliography"/>
      </w:pPr>
      <w:r w:rsidRPr="004D56CB">
        <w:t xml:space="preserve">25. Nargis N, Hussain AG, Goodchild M, Quah AC, Fong GT. A decade of cigarette taxation in Bangladesh: lessons learnt for tobacco control. Bull World Health Organ. World Health Organization; 2019;97:221. </w:t>
      </w:r>
    </w:p>
    <w:p w14:paraId="4003BFD3" w14:textId="77777777" w:rsidR="006B3F6D" w:rsidRPr="004D56CB" w:rsidRDefault="006B3F6D" w:rsidP="006B3F6D">
      <w:pPr>
        <w:pStyle w:val="Bibliography"/>
      </w:pPr>
      <w:r w:rsidRPr="004D56CB">
        <w:lastRenderedPageBreak/>
        <w:t xml:space="preserve">26. Mehrotra R, Yadav A, Sinha DN, Parascandola M, John RM, Ayo-Yusuf O, et al. Smokeless tobacco control in 180 countries across the globe: call to action for full implementation of WHO FCTC measures. Lancet Oncol. Elsevier; 2019;20:e208–17. </w:t>
      </w:r>
    </w:p>
    <w:p w14:paraId="6AE2CD67" w14:textId="77777777" w:rsidR="006B3F6D" w:rsidRPr="004D56CB" w:rsidRDefault="006B3F6D" w:rsidP="006B3F6D">
      <w:pPr>
        <w:pStyle w:val="Bibliography"/>
      </w:pPr>
      <w:r w:rsidRPr="004D56CB">
        <w:t xml:space="preserve">27. Yadav A, Singh PK, Yadav N, Kaushik R, Chandan K, Chandra A, et al. Smokeless tobacco control in India: policy review and lessons for high-burden countries. BMJ Glob Health. BMJ Specialist Journals; 2020;5:e002367. </w:t>
      </w:r>
    </w:p>
    <w:p w14:paraId="58C406C1" w14:textId="39E4F96C" w:rsidR="00D737BD" w:rsidRPr="004D56CB" w:rsidRDefault="00D737BD" w:rsidP="00D737BD">
      <w:pPr>
        <w:sectPr w:rsidR="00D737BD" w:rsidRPr="004D56CB">
          <w:pgSz w:w="11900" w:h="16840"/>
          <w:pgMar w:top="1304" w:right="1644" w:bottom="1304" w:left="1644" w:header="709" w:footer="709" w:gutter="0"/>
          <w:pgNumType w:start="1"/>
          <w:cols w:space="720"/>
        </w:sectPr>
      </w:pPr>
    </w:p>
    <w:p w14:paraId="7343F7C5"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b/>
          <w:bCs/>
          <w:sz w:val="22"/>
          <w:szCs w:val="22"/>
        </w:rPr>
        <w:lastRenderedPageBreak/>
        <w:t>Table 1:</w:t>
      </w:r>
      <w:r w:rsidRPr="004D56CB">
        <w:rPr>
          <w:rFonts w:ascii="Arial" w:hAnsi="Arial" w:cs="Arial"/>
          <w:sz w:val="22"/>
          <w:szCs w:val="22"/>
        </w:rPr>
        <w:t xml:space="preserve"> Percentage of tobacco use by gender (GATS, 2009 and 2017)</w:t>
      </w:r>
    </w:p>
    <w:p w14:paraId="118542B8" w14:textId="77777777" w:rsidR="000A4D75" w:rsidRPr="004D56CB" w:rsidRDefault="000A4D75" w:rsidP="00B254E4">
      <w:pPr>
        <w:spacing w:line="360" w:lineRule="auto"/>
        <w:jc w:val="both"/>
        <w:rPr>
          <w:rFonts w:ascii="Arial" w:hAnsi="Arial" w:cs="Arial"/>
          <w:sz w:val="22"/>
          <w:szCs w:val="22"/>
        </w:rPr>
      </w:pPr>
    </w:p>
    <w:tbl>
      <w:tblPr>
        <w:tblStyle w:val="Zwykatabela21"/>
        <w:tblW w:w="8989" w:type="dxa"/>
        <w:tblLayout w:type="fixed"/>
        <w:tblLook w:val="0400" w:firstRow="0" w:lastRow="0" w:firstColumn="0" w:lastColumn="0" w:noHBand="0" w:noVBand="1"/>
      </w:tblPr>
      <w:tblGrid>
        <w:gridCol w:w="2269"/>
        <w:gridCol w:w="2400"/>
        <w:gridCol w:w="1260"/>
        <w:gridCol w:w="1350"/>
        <w:gridCol w:w="1710"/>
      </w:tblGrid>
      <w:tr w:rsidR="000A4D75" w:rsidRPr="004D56CB" w14:paraId="5D333A52" w14:textId="77777777" w:rsidTr="00583EF6">
        <w:trPr>
          <w:cnfStyle w:val="000000100000" w:firstRow="0" w:lastRow="0" w:firstColumn="0" w:lastColumn="0" w:oddVBand="0" w:evenVBand="0" w:oddHBand="1" w:evenHBand="0" w:firstRowFirstColumn="0" w:firstRowLastColumn="0" w:lastRowFirstColumn="0" w:lastRowLastColumn="0"/>
        </w:trPr>
        <w:tc>
          <w:tcPr>
            <w:tcW w:w="4669" w:type="dxa"/>
            <w:gridSpan w:val="2"/>
          </w:tcPr>
          <w:p w14:paraId="405D53F3" w14:textId="77777777" w:rsidR="000A4D75" w:rsidRPr="004D56CB" w:rsidRDefault="000A4D75" w:rsidP="00B254E4">
            <w:pPr>
              <w:spacing w:line="360" w:lineRule="auto"/>
              <w:jc w:val="both"/>
              <w:rPr>
                <w:rFonts w:ascii="Arial" w:hAnsi="Arial" w:cs="Arial"/>
                <w:b/>
                <w:sz w:val="22"/>
                <w:szCs w:val="22"/>
              </w:rPr>
            </w:pPr>
            <w:r w:rsidRPr="004D56CB">
              <w:rPr>
                <w:rFonts w:ascii="Arial" w:hAnsi="Arial" w:cs="Arial"/>
                <w:b/>
                <w:sz w:val="22"/>
                <w:szCs w:val="22"/>
              </w:rPr>
              <w:t>Tobacco use</w:t>
            </w:r>
          </w:p>
        </w:tc>
        <w:tc>
          <w:tcPr>
            <w:tcW w:w="1260" w:type="dxa"/>
          </w:tcPr>
          <w:p w14:paraId="576A7994" w14:textId="77777777" w:rsidR="000A4D75" w:rsidRPr="004D56CB" w:rsidRDefault="000A4D75" w:rsidP="00B254E4">
            <w:pPr>
              <w:spacing w:line="360" w:lineRule="auto"/>
              <w:jc w:val="both"/>
              <w:rPr>
                <w:rFonts w:ascii="Arial" w:hAnsi="Arial" w:cs="Arial"/>
                <w:b/>
                <w:sz w:val="22"/>
                <w:szCs w:val="22"/>
              </w:rPr>
            </w:pPr>
            <w:r w:rsidRPr="004D56CB">
              <w:rPr>
                <w:rFonts w:ascii="Arial" w:hAnsi="Arial" w:cs="Arial"/>
                <w:b/>
                <w:sz w:val="22"/>
                <w:szCs w:val="22"/>
              </w:rPr>
              <w:t>2009</w:t>
            </w:r>
          </w:p>
        </w:tc>
        <w:tc>
          <w:tcPr>
            <w:tcW w:w="1350" w:type="dxa"/>
          </w:tcPr>
          <w:p w14:paraId="2AC6F69D" w14:textId="77777777" w:rsidR="000A4D75" w:rsidRPr="004D56CB" w:rsidRDefault="000A4D75" w:rsidP="00B254E4">
            <w:pPr>
              <w:spacing w:line="360" w:lineRule="auto"/>
              <w:jc w:val="both"/>
              <w:rPr>
                <w:rFonts w:ascii="Arial" w:hAnsi="Arial" w:cs="Arial"/>
                <w:b/>
                <w:sz w:val="22"/>
                <w:szCs w:val="22"/>
              </w:rPr>
            </w:pPr>
            <w:r w:rsidRPr="004D56CB">
              <w:rPr>
                <w:rFonts w:ascii="Arial" w:hAnsi="Arial" w:cs="Arial"/>
                <w:b/>
                <w:sz w:val="22"/>
                <w:szCs w:val="22"/>
              </w:rPr>
              <w:t>2017</w:t>
            </w:r>
          </w:p>
        </w:tc>
        <w:tc>
          <w:tcPr>
            <w:tcW w:w="1710" w:type="dxa"/>
          </w:tcPr>
          <w:p w14:paraId="2DEFA254" w14:textId="33C01756" w:rsidR="000A4D75" w:rsidRPr="004D56CB" w:rsidRDefault="000A4D75" w:rsidP="00B254E4">
            <w:pPr>
              <w:spacing w:line="360" w:lineRule="auto"/>
              <w:jc w:val="both"/>
              <w:rPr>
                <w:rFonts w:ascii="Arial" w:hAnsi="Arial" w:cs="Arial"/>
                <w:b/>
                <w:sz w:val="22"/>
                <w:szCs w:val="22"/>
                <w:vertAlign w:val="superscript"/>
              </w:rPr>
            </w:pPr>
            <w:r w:rsidRPr="004D56CB">
              <w:rPr>
                <w:rFonts w:ascii="Arial" w:hAnsi="Arial" w:cs="Arial"/>
                <w:b/>
                <w:sz w:val="22"/>
                <w:szCs w:val="22"/>
              </w:rPr>
              <w:t>% change since 2009</w:t>
            </w:r>
            <w:r w:rsidR="00C57537" w:rsidRPr="004D56CB">
              <w:rPr>
                <w:rFonts w:ascii="Arial" w:hAnsi="Arial" w:cs="Arial"/>
                <w:b/>
                <w:sz w:val="22"/>
                <w:szCs w:val="22"/>
                <w:vertAlign w:val="superscript"/>
              </w:rPr>
              <w:t>1</w:t>
            </w:r>
          </w:p>
        </w:tc>
      </w:tr>
      <w:tr w:rsidR="000A4D75" w:rsidRPr="004D56CB" w14:paraId="6072AD40" w14:textId="77777777" w:rsidTr="00583EF6">
        <w:trPr>
          <w:trHeight w:val="1431"/>
        </w:trPr>
        <w:tc>
          <w:tcPr>
            <w:tcW w:w="2269" w:type="dxa"/>
            <w:tcBorders>
              <w:bottom w:val="single" w:sz="4" w:space="0" w:color="FFFFFF" w:themeColor="background1"/>
            </w:tcBorders>
          </w:tcPr>
          <w:p w14:paraId="11513269"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 xml:space="preserve">Overall </w:t>
            </w:r>
          </w:p>
        </w:tc>
        <w:tc>
          <w:tcPr>
            <w:tcW w:w="2400" w:type="dxa"/>
            <w:tcBorders>
              <w:bottom w:val="single" w:sz="4" w:space="0" w:color="FFFFFF" w:themeColor="background1"/>
            </w:tcBorders>
          </w:tcPr>
          <w:p w14:paraId="730798B8"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 xml:space="preserve">Overall tobacco use </w:t>
            </w:r>
          </w:p>
          <w:p w14:paraId="057ABBFD"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Among male</w:t>
            </w:r>
          </w:p>
          <w:p w14:paraId="508A972D"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 xml:space="preserve">Among female                </w:t>
            </w:r>
          </w:p>
        </w:tc>
        <w:tc>
          <w:tcPr>
            <w:tcW w:w="1260" w:type="dxa"/>
            <w:tcBorders>
              <w:bottom w:val="single" w:sz="4" w:space="0" w:color="FFFFFF" w:themeColor="background1"/>
            </w:tcBorders>
          </w:tcPr>
          <w:p w14:paraId="6FD67103"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43.3</w:t>
            </w:r>
          </w:p>
          <w:p w14:paraId="10BA6DDD"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58.0</w:t>
            </w:r>
          </w:p>
          <w:p w14:paraId="5B156ECE"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28.7</w:t>
            </w:r>
          </w:p>
        </w:tc>
        <w:tc>
          <w:tcPr>
            <w:tcW w:w="1350" w:type="dxa"/>
            <w:tcBorders>
              <w:bottom w:val="single" w:sz="4" w:space="0" w:color="FFFFFF" w:themeColor="background1"/>
            </w:tcBorders>
          </w:tcPr>
          <w:p w14:paraId="6048C587"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35.3</w:t>
            </w:r>
          </w:p>
          <w:p w14:paraId="62CEAD13"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46.0</w:t>
            </w:r>
          </w:p>
          <w:p w14:paraId="2DD2945C"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25.2</w:t>
            </w:r>
          </w:p>
        </w:tc>
        <w:tc>
          <w:tcPr>
            <w:tcW w:w="1710" w:type="dxa"/>
            <w:tcBorders>
              <w:bottom w:val="single" w:sz="4" w:space="0" w:color="FFFFFF" w:themeColor="background1"/>
            </w:tcBorders>
          </w:tcPr>
          <w:p w14:paraId="02925AD4"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-18.5</w:t>
            </w:r>
          </w:p>
          <w:p w14:paraId="43B31C7B"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-20.7</w:t>
            </w:r>
          </w:p>
          <w:p w14:paraId="49586DA2"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-12.2</w:t>
            </w:r>
          </w:p>
        </w:tc>
      </w:tr>
      <w:tr w:rsidR="000A4D75" w:rsidRPr="004D56CB" w14:paraId="7766F15B" w14:textId="77777777" w:rsidTr="00583EF6">
        <w:trPr>
          <w:cnfStyle w:val="000000100000" w:firstRow="0" w:lastRow="0" w:firstColumn="0" w:lastColumn="0" w:oddVBand="0" w:evenVBand="0" w:oddHBand="1" w:evenHBand="0" w:firstRowFirstColumn="0" w:firstRowLastColumn="0" w:lastRowFirstColumn="0" w:lastRowLastColumn="0"/>
          <w:trHeight w:val="1521"/>
        </w:trPr>
        <w:tc>
          <w:tcPr>
            <w:tcW w:w="2269" w:type="dxa"/>
            <w:tcBorders>
              <w:top w:val="single" w:sz="4" w:space="0" w:color="FFFFFF" w:themeColor="background1"/>
              <w:bottom w:val="single" w:sz="4" w:space="0" w:color="FFFFFF" w:themeColor="background1"/>
            </w:tcBorders>
          </w:tcPr>
          <w:p w14:paraId="2A6D6271"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Combustible (Cigarette)</w:t>
            </w:r>
          </w:p>
        </w:tc>
        <w:tc>
          <w:tcPr>
            <w:tcW w:w="2400" w:type="dxa"/>
            <w:tcBorders>
              <w:top w:val="single" w:sz="4" w:space="0" w:color="FFFFFF" w:themeColor="background1"/>
              <w:bottom w:val="single" w:sz="4" w:space="0" w:color="FFFFFF" w:themeColor="background1"/>
            </w:tcBorders>
          </w:tcPr>
          <w:p w14:paraId="41665BFF"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Overall cigarette use</w:t>
            </w:r>
          </w:p>
          <w:p w14:paraId="0EE42267"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Among male</w:t>
            </w:r>
          </w:p>
          <w:p w14:paraId="610877F2"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 xml:space="preserve">Among female                </w:t>
            </w:r>
          </w:p>
        </w:tc>
        <w:tc>
          <w:tcPr>
            <w:tcW w:w="1260" w:type="dxa"/>
            <w:tcBorders>
              <w:top w:val="single" w:sz="4" w:space="0" w:color="FFFFFF" w:themeColor="background1"/>
              <w:bottom w:val="single" w:sz="4" w:space="0" w:color="FFFFFF" w:themeColor="background1"/>
            </w:tcBorders>
          </w:tcPr>
          <w:p w14:paraId="1CEE7767"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14.2</w:t>
            </w:r>
          </w:p>
          <w:p w14:paraId="036760E5"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28.3</w:t>
            </w:r>
          </w:p>
          <w:p w14:paraId="2FFCE6B1"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0.2</w:t>
            </w:r>
          </w:p>
        </w:tc>
        <w:tc>
          <w:tcPr>
            <w:tcW w:w="1350" w:type="dxa"/>
            <w:tcBorders>
              <w:top w:val="single" w:sz="4" w:space="0" w:color="FFFFFF" w:themeColor="background1"/>
              <w:bottom w:val="single" w:sz="4" w:space="0" w:color="FFFFFF" w:themeColor="background1"/>
            </w:tcBorders>
          </w:tcPr>
          <w:p w14:paraId="142AE24E"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14.0</w:t>
            </w:r>
          </w:p>
          <w:p w14:paraId="4C38812F"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28.7</w:t>
            </w:r>
          </w:p>
          <w:p w14:paraId="2EC0C06B"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0.2</w:t>
            </w:r>
          </w:p>
        </w:tc>
        <w:tc>
          <w:tcPr>
            <w:tcW w:w="1710" w:type="dxa"/>
            <w:tcBorders>
              <w:top w:val="single" w:sz="4" w:space="0" w:color="FFFFFF" w:themeColor="background1"/>
              <w:bottom w:val="single" w:sz="4" w:space="0" w:color="FFFFFF" w:themeColor="background1"/>
            </w:tcBorders>
          </w:tcPr>
          <w:p w14:paraId="33A28244"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-1.4</w:t>
            </w:r>
          </w:p>
          <w:p w14:paraId="7C6C49C9"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1.4</w:t>
            </w:r>
          </w:p>
          <w:p w14:paraId="6157911D"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0.0</w:t>
            </w:r>
          </w:p>
        </w:tc>
      </w:tr>
      <w:tr w:rsidR="000A4D75" w:rsidRPr="004D56CB" w14:paraId="3A293C61" w14:textId="77777777" w:rsidTr="00583EF6">
        <w:trPr>
          <w:trHeight w:val="1422"/>
        </w:trPr>
        <w:tc>
          <w:tcPr>
            <w:tcW w:w="2269" w:type="dxa"/>
            <w:tcBorders>
              <w:top w:val="single" w:sz="4" w:space="0" w:color="FFFFFF" w:themeColor="background1"/>
              <w:bottom w:val="single" w:sz="4" w:space="0" w:color="FFFFFF" w:themeColor="background1"/>
            </w:tcBorders>
          </w:tcPr>
          <w:p w14:paraId="43461882"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Combustible (Bidi)</w:t>
            </w:r>
          </w:p>
        </w:tc>
        <w:tc>
          <w:tcPr>
            <w:tcW w:w="2400" w:type="dxa"/>
            <w:tcBorders>
              <w:top w:val="single" w:sz="4" w:space="0" w:color="FFFFFF" w:themeColor="background1"/>
              <w:bottom w:val="single" w:sz="4" w:space="0" w:color="FFFFFF" w:themeColor="background1"/>
            </w:tcBorders>
          </w:tcPr>
          <w:p w14:paraId="73271528"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Overall bidi use</w:t>
            </w:r>
          </w:p>
          <w:p w14:paraId="3D6388E2"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Among male</w:t>
            </w:r>
          </w:p>
          <w:p w14:paraId="2E870890"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Among female</w:t>
            </w:r>
          </w:p>
        </w:tc>
        <w:tc>
          <w:tcPr>
            <w:tcW w:w="1260" w:type="dxa"/>
            <w:tcBorders>
              <w:top w:val="single" w:sz="4" w:space="0" w:color="FFFFFF" w:themeColor="background1"/>
              <w:bottom w:val="single" w:sz="4" w:space="0" w:color="FFFFFF" w:themeColor="background1"/>
            </w:tcBorders>
          </w:tcPr>
          <w:p w14:paraId="0D605A93"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11.2</w:t>
            </w:r>
          </w:p>
          <w:p w14:paraId="447F8036"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21.4</w:t>
            </w:r>
          </w:p>
          <w:p w14:paraId="6A66640B"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1.1</w:t>
            </w:r>
          </w:p>
        </w:tc>
        <w:tc>
          <w:tcPr>
            <w:tcW w:w="1350" w:type="dxa"/>
            <w:tcBorders>
              <w:top w:val="single" w:sz="4" w:space="0" w:color="FFFFFF" w:themeColor="background1"/>
              <w:bottom w:val="single" w:sz="4" w:space="0" w:color="FFFFFF" w:themeColor="background1"/>
            </w:tcBorders>
          </w:tcPr>
          <w:p w14:paraId="7518DE52"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4.8</w:t>
            </w:r>
          </w:p>
          <w:p w14:paraId="5615F84F"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9.7</w:t>
            </w:r>
          </w:p>
          <w:p w14:paraId="23E3C6BE"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0.6</w:t>
            </w:r>
          </w:p>
        </w:tc>
        <w:tc>
          <w:tcPr>
            <w:tcW w:w="1710" w:type="dxa"/>
            <w:tcBorders>
              <w:top w:val="single" w:sz="4" w:space="0" w:color="FFFFFF" w:themeColor="background1"/>
              <w:bottom w:val="single" w:sz="4" w:space="0" w:color="FFFFFF" w:themeColor="background1"/>
            </w:tcBorders>
          </w:tcPr>
          <w:p w14:paraId="744C2AE8"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-57.1</w:t>
            </w:r>
          </w:p>
          <w:p w14:paraId="2916F5DA"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-54.7</w:t>
            </w:r>
          </w:p>
          <w:p w14:paraId="70E27180"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-45.5</w:t>
            </w:r>
          </w:p>
        </w:tc>
      </w:tr>
      <w:tr w:rsidR="000A4D75" w:rsidRPr="004D56CB" w14:paraId="46475652" w14:textId="77777777" w:rsidTr="00583EF6">
        <w:trPr>
          <w:cnfStyle w:val="000000100000" w:firstRow="0" w:lastRow="0" w:firstColumn="0" w:lastColumn="0" w:oddVBand="0" w:evenVBand="0" w:oddHBand="1" w:evenHBand="0" w:firstRowFirstColumn="0" w:firstRowLastColumn="0" w:lastRowFirstColumn="0" w:lastRowLastColumn="0"/>
          <w:trHeight w:val="864"/>
        </w:trPr>
        <w:tc>
          <w:tcPr>
            <w:tcW w:w="2269" w:type="dxa"/>
            <w:tcBorders>
              <w:top w:val="single" w:sz="4" w:space="0" w:color="FFFFFF" w:themeColor="background1"/>
            </w:tcBorders>
          </w:tcPr>
          <w:p w14:paraId="5AFE18E6"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Smokeless (any)</w:t>
            </w:r>
          </w:p>
        </w:tc>
        <w:tc>
          <w:tcPr>
            <w:tcW w:w="2400" w:type="dxa"/>
            <w:tcBorders>
              <w:top w:val="single" w:sz="4" w:space="0" w:color="FFFFFF" w:themeColor="background1"/>
            </w:tcBorders>
          </w:tcPr>
          <w:p w14:paraId="610E0A37"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Overall ST use</w:t>
            </w:r>
          </w:p>
          <w:p w14:paraId="72AAD7F0"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Among male</w:t>
            </w:r>
          </w:p>
          <w:p w14:paraId="1F2B0AF9"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Among female</w:t>
            </w:r>
          </w:p>
        </w:tc>
        <w:tc>
          <w:tcPr>
            <w:tcW w:w="1260" w:type="dxa"/>
            <w:tcBorders>
              <w:top w:val="single" w:sz="4" w:space="0" w:color="FFFFFF" w:themeColor="background1"/>
            </w:tcBorders>
          </w:tcPr>
          <w:p w14:paraId="5150C4CD"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27.2</w:t>
            </w:r>
          </w:p>
          <w:p w14:paraId="229ADE37"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26.4</w:t>
            </w:r>
          </w:p>
          <w:p w14:paraId="2A4BB37B"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27.9</w:t>
            </w:r>
          </w:p>
        </w:tc>
        <w:tc>
          <w:tcPr>
            <w:tcW w:w="1350" w:type="dxa"/>
            <w:tcBorders>
              <w:top w:val="single" w:sz="4" w:space="0" w:color="FFFFFF" w:themeColor="background1"/>
            </w:tcBorders>
          </w:tcPr>
          <w:p w14:paraId="353144CF"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20.6</w:t>
            </w:r>
          </w:p>
          <w:p w14:paraId="3E298BD8"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16.2</w:t>
            </w:r>
          </w:p>
          <w:p w14:paraId="5AE6C4B8"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24.8</w:t>
            </w:r>
          </w:p>
        </w:tc>
        <w:tc>
          <w:tcPr>
            <w:tcW w:w="1710" w:type="dxa"/>
            <w:tcBorders>
              <w:top w:val="single" w:sz="4" w:space="0" w:color="FFFFFF" w:themeColor="background1"/>
            </w:tcBorders>
          </w:tcPr>
          <w:p w14:paraId="6215AC38"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-24.3</w:t>
            </w:r>
          </w:p>
          <w:p w14:paraId="747CD754"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-38.6</w:t>
            </w:r>
          </w:p>
          <w:p w14:paraId="745D9C6F" w14:textId="77777777" w:rsidR="000A4D75" w:rsidRPr="004D56CB" w:rsidRDefault="000A4D75" w:rsidP="00B254E4">
            <w:pPr>
              <w:spacing w:line="360" w:lineRule="auto"/>
              <w:jc w:val="both"/>
              <w:rPr>
                <w:rFonts w:ascii="Arial" w:hAnsi="Arial" w:cs="Arial"/>
                <w:sz w:val="22"/>
                <w:szCs w:val="22"/>
              </w:rPr>
            </w:pPr>
            <w:r w:rsidRPr="004D56CB">
              <w:rPr>
                <w:rFonts w:ascii="Arial" w:hAnsi="Arial" w:cs="Arial"/>
                <w:sz w:val="22"/>
                <w:szCs w:val="22"/>
              </w:rPr>
              <w:t>-11.1</w:t>
            </w:r>
          </w:p>
        </w:tc>
      </w:tr>
    </w:tbl>
    <w:p w14:paraId="5E7EAF3E" w14:textId="706D750A" w:rsidR="00C57537" w:rsidRPr="004D56CB" w:rsidRDefault="00120878" w:rsidP="00B254E4">
      <w:pPr>
        <w:spacing w:line="360" w:lineRule="auto"/>
        <w:jc w:val="both"/>
        <w:rPr>
          <w:rFonts w:ascii="Arial" w:hAnsi="Arial" w:cs="Arial"/>
          <w:sz w:val="22"/>
          <w:szCs w:val="22"/>
        </w:rPr>
      </w:pPr>
      <w:r w:rsidRPr="004D56CB">
        <w:rPr>
          <w:rFonts w:ascii="Arial" w:hAnsi="Arial" w:cs="Arial"/>
          <w:sz w:val="22"/>
          <w:szCs w:val="22"/>
          <w:vertAlign w:val="superscript"/>
        </w:rPr>
        <w:t>1</w:t>
      </w:r>
      <w:r w:rsidR="00C57537" w:rsidRPr="004D56CB">
        <w:rPr>
          <w:rFonts w:ascii="Arial" w:hAnsi="Arial" w:cs="Arial"/>
          <w:sz w:val="22"/>
          <w:szCs w:val="22"/>
        </w:rPr>
        <w:t>: % change is estimated as (t</w:t>
      </w:r>
      <w:r w:rsidR="00C57537" w:rsidRPr="004D56CB">
        <w:rPr>
          <w:rFonts w:ascii="Arial" w:hAnsi="Arial" w:cs="Arial"/>
          <w:sz w:val="22"/>
          <w:szCs w:val="22"/>
          <w:vertAlign w:val="subscript"/>
        </w:rPr>
        <w:t>1</w:t>
      </w:r>
      <w:r w:rsidR="00C57537" w:rsidRPr="004D56CB">
        <w:rPr>
          <w:rFonts w:ascii="Arial" w:hAnsi="Arial" w:cs="Arial"/>
          <w:sz w:val="22"/>
          <w:szCs w:val="22"/>
        </w:rPr>
        <w:t xml:space="preserve"> -t</w:t>
      </w:r>
      <w:r w:rsidR="00C57537" w:rsidRPr="004D56CB">
        <w:rPr>
          <w:rFonts w:ascii="Arial" w:hAnsi="Arial" w:cs="Arial"/>
          <w:sz w:val="22"/>
          <w:szCs w:val="22"/>
          <w:vertAlign w:val="subscript"/>
        </w:rPr>
        <w:t>2</w:t>
      </w:r>
      <w:r w:rsidR="00C57537" w:rsidRPr="004D56CB">
        <w:rPr>
          <w:rFonts w:ascii="Arial" w:hAnsi="Arial" w:cs="Arial"/>
          <w:sz w:val="22"/>
          <w:szCs w:val="22"/>
        </w:rPr>
        <w:t>)/t</w:t>
      </w:r>
      <w:r w:rsidR="00C57537" w:rsidRPr="004D56CB">
        <w:rPr>
          <w:rFonts w:ascii="Arial" w:hAnsi="Arial" w:cs="Arial"/>
          <w:sz w:val="22"/>
          <w:szCs w:val="22"/>
          <w:vertAlign w:val="subscript"/>
        </w:rPr>
        <w:t xml:space="preserve">1, </w:t>
      </w:r>
      <w:r w:rsidR="00C57537" w:rsidRPr="004D56CB">
        <w:rPr>
          <w:rFonts w:ascii="Arial" w:hAnsi="Arial" w:cs="Arial"/>
          <w:sz w:val="22"/>
          <w:szCs w:val="22"/>
        </w:rPr>
        <w:t>where t</w:t>
      </w:r>
      <w:r w:rsidR="00C57537" w:rsidRPr="004D56CB">
        <w:rPr>
          <w:rFonts w:ascii="Arial" w:hAnsi="Arial" w:cs="Arial"/>
          <w:sz w:val="22"/>
          <w:szCs w:val="22"/>
          <w:vertAlign w:val="subscript"/>
        </w:rPr>
        <w:t>1</w:t>
      </w:r>
      <w:r w:rsidR="00C57537" w:rsidRPr="004D56CB">
        <w:rPr>
          <w:rFonts w:ascii="Arial" w:hAnsi="Arial" w:cs="Arial"/>
          <w:sz w:val="22"/>
          <w:szCs w:val="22"/>
        </w:rPr>
        <w:t xml:space="preserve"> is the base value in year 2009 and t</w:t>
      </w:r>
      <w:r w:rsidR="00C57537" w:rsidRPr="004D56CB">
        <w:rPr>
          <w:rFonts w:ascii="Arial" w:hAnsi="Arial" w:cs="Arial"/>
          <w:sz w:val="22"/>
          <w:szCs w:val="22"/>
          <w:vertAlign w:val="subscript"/>
        </w:rPr>
        <w:t>2</w:t>
      </w:r>
      <w:r w:rsidR="00C57537" w:rsidRPr="004D56CB">
        <w:rPr>
          <w:rFonts w:ascii="Arial" w:hAnsi="Arial" w:cs="Arial"/>
          <w:sz w:val="22"/>
          <w:szCs w:val="22"/>
        </w:rPr>
        <w:t xml:space="preserve"> is value in 2017</w:t>
      </w:r>
    </w:p>
    <w:p w14:paraId="082A99CD" w14:textId="77777777" w:rsidR="00C57537" w:rsidRPr="004D56CB" w:rsidRDefault="00C57537" w:rsidP="00B254E4">
      <w:pPr>
        <w:spacing w:line="360" w:lineRule="auto"/>
        <w:jc w:val="both"/>
        <w:rPr>
          <w:rFonts w:ascii="Arial" w:hAnsi="Arial" w:cs="Arial"/>
          <w:sz w:val="22"/>
          <w:szCs w:val="22"/>
        </w:rPr>
      </w:pPr>
    </w:p>
    <w:p w14:paraId="39C75557" w14:textId="3D15CB72" w:rsidR="00583EF6" w:rsidRPr="004D56CB" w:rsidRDefault="00583EF6" w:rsidP="00B254E4">
      <w:pPr>
        <w:spacing w:line="360" w:lineRule="auto"/>
        <w:jc w:val="both"/>
        <w:rPr>
          <w:rFonts w:ascii="Arial" w:hAnsi="Arial" w:cs="Arial"/>
          <w:sz w:val="22"/>
          <w:szCs w:val="22"/>
        </w:rPr>
      </w:pPr>
      <w:r w:rsidRPr="004D56CB">
        <w:rPr>
          <w:rFonts w:ascii="Arial" w:hAnsi="Arial" w:cs="Arial"/>
          <w:sz w:val="22"/>
          <w:szCs w:val="22"/>
        </w:rPr>
        <w:br w:type="page"/>
      </w:r>
    </w:p>
    <w:p w14:paraId="2F21C45F" w14:textId="77777777" w:rsidR="000A4D75" w:rsidRPr="004D56CB" w:rsidRDefault="000A4D75" w:rsidP="00B254E4">
      <w:pPr>
        <w:keepNext/>
        <w:pBdr>
          <w:top w:val="nil"/>
          <w:left w:val="nil"/>
          <w:bottom w:val="nil"/>
          <w:right w:val="nil"/>
          <w:between w:val="nil"/>
        </w:pBdr>
        <w:spacing w:line="360" w:lineRule="auto"/>
        <w:jc w:val="both"/>
        <w:rPr>
          <w:rFonts w:ascii="Arial" w:hAnsi="Arial" w:cs="Arial"/>
          <w:bCs/>
          <w:sz w:val="22"/>
          <w:szCs w:val="22"/>
        </w:rPr>
      </w:pPr>
      <w:r w:rsidRPr="004D56CB">
        <w:rPr>
          <w:rFonts w:ascii="Arial" w:hAnsi="Arial" w:cs="Arial"/>
          <w:b/>
          <w:sz w:val="22"/>
          <w:szCs w:val="22"/>
        </w:rPr>
        <w:lastRenderedPageBreak/>
        <w:t>Table 2:</w:t>
      </w:r>
      <w:r w:rsidRPr="004D56CB">
        <w:rPr>
          <w:rFonts w:ascii="Arial" w:hAnsi="Arial" w:cs="Arial"/>
          <w:bCs/>
          <w:sz w:val="22"/>
          <w:szCs w:val="22"/>
        </w:rPr>
        <w:t xml:space="preserve"> A comparative analysis of tobacco control laws in Bangladesh for both combustible tobacco and ST</w:t>
      </w:r>
    </w:p>
    <w:p w14:paraId="3D773B37" w14:textId="77777777" w:rsidR="000A4D75" w:rsidRPr="004D56CB" w:rsidRDefault="000A4D75" w:rsidP="00B254E4">
      <w:pPr>
        <w:keepNext/>
        <w:pBdr>
          <w:top w:val="nil"/>
          <w:left w:val="nil"/>
          <w:bottom w:val="nil"/>
          <w:right w:val="nil"/>
          <w:between w:val="nil"/>
        </w:pBdr>
        <w:spacing w:line="360" w:lineRule="auto"/>
        <w:jc w:val="both"/>
        <w:rPr>
          <w:rFonts w:ascii="Arial" w:hAnsi="Arial" w:cs="Arial"/>
          <w:b/>
          <w:sz w:val="22"/>
          <w:szCs w:val="22"/>
        </w:rPr>
      </w:pPr>
    </w:p>
    <w:tbl>
      <w:tblPr>
        <w:tblStyle w:val="Zwykatabela21"/>
        <w:tblW w:w="10170" w:type="dxa"/>
        <w:tblInd w:w="-900" w:type="dxa"/>
        <w:tblLayout w:type="fixed"/>
        <w:tblLook w:val="04A0" w:firstRow="1" w:lastRow="0" w:firstColumn="1" w:lastColumn="0" w:noHBand="0" w:noVBand="1"/>
      </w:tblPr>
      <w:tblGrid>
        <w:gridCol w:w="6768"/>
        <w:gridCol w:w="1692"/>
        <w:gridCol w:w="1710"/>
      </w:tblGrid>
      <w:tr w:rsidR="000A4D75" w:rsidRPr="004D56CB" w14:paraId="7AF847A2" w14:textId="77777777" w:rsidTr="00583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22278A7E" w14:textId="77777777" w:rsidR="000A4D75" w:rsidRPr="004D56CB" w:rsidRDefault="000A4D75" w:rsidP="00583EF6">
            <w:pPr>
              <w:spacing w:line="360" w:lineRule="auto"/>
              <w:rPr>
                <w:rFonts w:ascii="Arial" w:hAnsi="Arial" w:cs="Arial"/>
                <w:sz w:val="22"/>
                <w:szCs w:val="22"/>
              </w:rPr>
            </w:pPr>
            <w:r w:rsidRPr="004D56CB">
              <w:rPr>
                <w:rFonts w:ascii="Arial" w:hAnsi="Arial" w:cs="Arial"/>
                <w:sz w:val="22"/>
                <w:szCs w:val="22"/>
              </w:rPr>
              <w:t>Sections under Smoking and Tobacco Product Usage (Control) Act, 2005 in Bangladesh</w:t>
            </w:r>
          </w:p>
        </w:tc>
        <w:tc>
          <w:tcPr>
            <w:tcW w:w="1692" w:type="dxa"/>
          </w:tcPr>
          <w:p w14:paraId="61F8D19F" w14:textId="77777777" w:rsidR="000A4D75" w:rsidRPr="004D56CB" w:rsidRDefault="000A4D75" w:rsidP="00B254E4">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Combustible</w:t>
            </w:r>
          </w:p>
        </w:tc>
        <w:tc>
          <w:tcPr>
            <w:tcW w:w="1710" w:type="dxa"/>
          </w:tcPr>
          <w:p w14:paraId="218EB667" w14:textId="77777777" w:rsidR="000A4D75" w:rsidRPr="004D56CB" w:rsidRDefault="000A4D75" w:rsidP="00B254E4">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Smokeless tobacco</w:t>
            </w:r>
          </w:p>
        </w:tc>
      </w:tr>
      <w:tr w:rsidR="000A4D75" w:rsidRPr="004D56CB" w14:paraId="42C923DD" w14:textId="77777777" w:rsidTr="00583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Borders>
              <w:bottom w:val="single" w:sz="4" w:space="0" w:color="FFFFFF" w:themeColor="background1"/>
            </w:tcBorders>
          </w:tcPr>
          <w:p w14:paraId="21E1173A" w14:textId="77777777" w:rsidR="000A4D75" w:rsidRPr="004D56CB" w:rsidRDefault="000A4D75" w:rsidP="006B5D37">
            <w:pPr>
              <w:spacing w:after="120" w:line="276" w:lineRule="auto"/>
              <w:rPr>
                <w:rFonts w:ascii="Arial" w:hAnsi="Arial" w:cs="Arial"/>
                <w:sz w:val="22"/>
                <w:szCs w:val="22"/>
              </w:rPr>
            </w:pPr>
            <w:r w:rsidRPr="004D56CB">
              <w:rPr>
                <w:rFonts w:ascii="Arial" w:hAnsi="Arial" w:cs="Arial"/>
                <w:b w:val="0"/>
                <w:sz w:val="22"/>
                <w:szCs w:val="22"/>
              </w:rPr>
              <w:t>Requirements to have nicotine and tar contents on the label produced locally</w:t>
            </w:r>
          </w:p>
        </w:tc>
        <w:tc>
          <w:tcPr>
            <w:tcW w:w="1692" w:type="dxa"/>
            <w:tcBorders>
              <w:bottom w:val="single" w:sz="4" w:space="0" w:color="FFFFFF" w:themeColor="background1"/>
            </w:tcBorders>
          </w:tcPr>
          <w:p w14:paraId="5344CBD5" w14:textId="77777777" w:rsidR="000A4D75" w:rsidRPr="004D56CB" w:rsidRDefault="000A4D75" w:rsidP="00583EF6">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D56CB">
              <w:rPr>
                <w:rFonts w:ascii="Arial" w:hAnsi="Arial" w:cs="Arial"/>
                <w:sz w:val="22"/>
                <w:szCs w:val="22"/>
              </w:rPr>
              <w:t>No</w:t>
            </w:r>
          </w:p>
        </w:tc>
        <w:tc>
          <w:tcPr>
            <w:tcW w:w="1710" w:type="dxa"/>
            <w:tcBorders>
              <w:bottom w:val="single" w:sz="4" w:space="0" w:color="FFFFFF" w:themeColor="background1"/>
            </w:tcBorders>
          </w:tcPr>
          <w:p w14:paraId="114C9A53" w14:textId="77777777" w:rsidR="000A4D75" w:rsidRPr="004D56CB" w:rsidRDefault="000A4D75" w:rsidP="00583EF6">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D56CB">
              <w:rPr>
                <w:rFonts w:ascii="Arial" w:hAnsi="Arial" w:cs="Arial"/>
                <w:sz w:val="22"/>
                <w:szCs w:val="22"/>
              </w:rPr>
              <w:t>No</w:t>
            </w:r>
          </w:p>
        </w:tc>
      </w:tr>
      <w:tr w:rsidR="000A4D75" w:rsidRPr="004D56CB" w14:paraId="16329640" w14:textId="77777777" w:rsidTr="00583EF6">
        <w:tc>
          <w:tcPr>
            <w:cnfStyle w:val="001000000000" w:firstRow="0" w:lastRow="0" w:firstColumn="1" w:lastColumn="0" w:oddVBand="0" w:evenVBand="0" w:oddHBand="0" w:evenHBand="0" w:firstRowFirstColumn="0" w:firstRowLastColumn="0" w:lastRowFirstColumn="0" w:lastRowLastColumn="0"/>
            <w:tcW w:w="6768" w:type="dxa"/>
            <w:tcBorders>
              <w:top w:val="single" w:sz="4" w:space="0" w:color="FFFFFF" w:themeColor="background1"/>
              <w:bottom w:val="single" w:sz="4" w:space="0" w:color="FFFFFF" w:themeColor="background1"/>
            </w:tcBorders>
          </w:tcPr>
          <w:p w14:paraId="3971BA97" w14:textId="77777777" w:rsidR="000A4D75" w:rsidRPr="004D56CB" w:rsidRDefault="000A4D75" w:rsidP="006B5D37">
            <w:pPr>
              <w:spacing w:after="120" w:line="276" w:lineRule="auto"/>
              <w:rPr>
                <w:rFonts w:ascii="Arial" w:hAnsi="Arial" w:cs="Arial"/>
                <w:sz w:val="22"/>
                <w:szCs w:val="22"/>
              </w:rPr>
            </w:pPr>
            <w:r w:rsidRPr="004D56CB">
              <w:rPr>
                <w:rFonts w:ascii="Arial" w:hAnsi="Arial" w:cs="Arial"/>
                <w:b w:val="0"/>
                <w:sz w:val="22"/>
                <w:szCs w:val="22"/>
              </w:rPr>
              <w:t>Requirements to have excise stamp, affixing banderols on the pack</w:t>
            </w:r>
          </w:p>
        </w:tc>
        <w:tc>
          <w:tcPr>
            <w:tcW w:w="1692" w:type="dxa"/>
            <w:tcBorders>
              <w:top w:val="single" w:sz="4" w:space="0" w:color="FFFFFF" w:themeColor="background1"/>
              <w:bottom w:val="single" w:sz="4" w:space="0" w:color="FFFFFF" w:themeColor="background1"/>
            </w:tcBorders>
          </w:tcPr>
          <w:p w14:paraId="5B0FFC82" w14:textId="77777777" w:rsidR="000A4D75" w:rsidRPr="004D56CB" w:rsidRDefault="000A4D75" w:rsidP="00583EF6">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c>
          <w:tcPr>
            <w:tcW w:w="1710" w:type="dxa"/>
            <w:tcBorders>
              <w:top w:val="single" w:sz="4" w:space="0" w:color="FFFFFF" w:themeColor="background1"/>
              <w:bottom w:val="single" w:sz="4" w:space="0" w:color="FFFFFF" w:themeColor="background1"/>
            </w:tcBorders>
          </w:tcPr>
          <w:p w14:paraId="0F56F646" w14:textId="77777777" w:rsidR="000A4D75" w:rsidRPr="004D56CB" w:rsidRDefault="000A4D75" w:rsidP="00583EF6">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r>
      <w:tr w:rsidR="000A4D75" w:rsidRPr="004D56CB" w14:paraId="31ACC46B" w14:textId="77777777" w:rsidTr="00583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Borders>
              <w:top w:val="single" w:sz="4" w:space="0" w:color="FFFFFF" w:themeColor="background1"/>
              <w:bottom w:val="single" w:sz="4" w:space="0" w:color="FFFFFF" w:themeColor="background1"/>
            </w:tcBorders>
          </w:tcPr>
          <w:p w14:paraId="2DBADF48" w14:textId="77777777" w:rsidR="000A4D75" w:rsidRPr="004D56CB" w:rsidRDefault="000A4D75" w:rsidP="006B5D37">
            <w:pPr>
              <w:spacing w:after="120" w:line="276" w:lineRule="auto"/>
              <w:rPr>
                <w:rFonts w:ascii="Arial" w:hAnsi="Arial" w:cs="Arial"/>
                <w:sz w:val="22"/>
                <w:szCs w:val="22"/>
              </w:rPr>
            </w:pPr>
            <w:r w:rsidRPr="004D56CB">
              <w:rPr>
                <w:rFonts w:ascii="Arial" w:hAnsi="Arial" w:cs="Arial"/>
                <w:b w:val="0"/>
                <w:sz w:val="22"/>
                <w:szCs w:val="22"/>
              </w:rPr>
              <w:t>Prohibition on quantity</w:t>
            </w:r>
            <w:r w:rsidR="00780049" w:rsidRPr="004D56CB">
              <w:rPr>
                <w:rFonts w:ascii="Arial" w:hAnsi="Arial" w:cs="Arial"/>
                <w:b w:val="0"/>
                <w:sz w:val="22"/>
                <w:szCs w:val="22"/>
              </w:rPr>
              <w:t>,</w:t>
            </w:r>
            <w:r w:rsidRPr="004D56CB">
              <w:rPr>
                <w:rFonts w:ascii="Arial" w:hAnsi="Arial" w:cs="Arial"/>
                <w:b w:val="0"/>
                <w:sz w:val="22"/>
                <w:szCs w:val="22"/>
              </w:rPr>
              <w:t xml:space="preserve"> i.e. sale less than 20 per pack</w:t>
            </w:r>
          </w:p>
        </w:tc>
        <w:tc>
          <w:tcPr>
            <w:tcW w:w="1692" w:type="dxa"/>
            <w:tcBorders>
              <w:top w:val="single" w:sz="4" w:space="0" w:color="FFFFFF" w:themeColor="background1"/>
              <w:bottom w:val="single" w:sz="4" w:space="0" w:color="FFFFFF" w:themeColor="background1"/>
            </w:tcBorders>
          </w:tcPr>
          <w:p w14:paraId="75149250" w14:textId="77777777" w:rsidR="000A4D75" w:rsidRPr="004D56CB" w:rsidRDefault="000A4D75" w:rsidP="00583EF6">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D56CB">
              <w:rPr>
                <w:rFonts w:ascii="Arial" w:hAnsi="Arial" w:cs="Arial"/>
                <w:sz w:val="22"/>
                <w:szCs w:val="22"/>
              </w:rPr>
              <w:t>No</w:t>
            </w:r>
          </w:p>
        </w:tc>
        <w:tc>
          <w:tcPr>
            <w:tcW w:w="1710" w:type="dxa"/>
            <w:tcBorders>
              <w:top w:val="single" w:sz="4" w:space="0" w:color="FFFFFF" w:themeColor="background1"/>
              <w:bottom w:val="single" w:sz="4" w:space="0" w:color="FFFFFF" w:themeColor="background1"/>
            </w:tcBorders>
          </w:tcPr>
          <w:p w14:paraId="313DFA01" w14:textId="77777777" w:rsidR="000A4D75" w:rsidRPr="004D56CB" w:rsidRDefault="000A4D75" w:rsidP="00583EF6">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D56CB">
              <w:rPr>
                <w:rFonts w:ascii="Arial" w:hAnsi="Arial" w:cs="Arial"/>
                <w:sz w:val="22"/>
                <w:szCs w:val="22"/>
              </w:rPr>
              <w:t>No</w:t>
            </w:r>
          </w:p>
        </w:tc>
      </w:tr>
      <w:tr w:rsidR="000A4D75" w:rsidRPr="004D56CB" w14:paraId="33E40B42" w14:textId="77777777" w:rsidTr="00583EF6">
        <w:tc>
          <w:tcPr>
            <w:cnfStyle w:val="001000000000" w:firstRow="0" w:lastRow="0" w:firstColumn="1" w:lastColumn="0" w:oddVBand="0" w:evenVBand="0" w:oddHBand="0" w:evenHBand="0" w:firstRowFirstColumn="0" w:firstRowLastColumn="0" w:lastRowFirstColumn="0" w:lastRowLastColumn="0"/>
            <w:tcW w:w="6768" w:type="dxa"/>
            <w:tcBorders>
              <w:top w:val="single" w:sz="4" w:space="0" w:color="FFFFFF" w:themeColor="background1"/>
              <w:bottom w:val="single" w:sz="4" w:space="0" w:color="FFFFFF" w:themeColor="background1"/>
            </w:tcBorders>
          </w:tcPr>
          <w:p w14:paraId="4BF7FE5C" w14:textId="77777777" w:rsidR="000A4D75" w:rsidRPr="004D56CB" w:rsidRDefault="000A4D75" w:rsidP="006B5D37">
            <w:pPr>
              <w:spacing w:after="120" w:line="276" w:lineRule="auto"/>
              <w:rPr>
                <w:rFonts w:ascii="Arial" w:hAnsi="Arial" w:cs="Arial"/>
                <w:sz w:val="22"/>
                <w:szCs w:val="22"/>
              </w:rPr>
            </w:pPr>
            <w:r w:rsidRPr="004D56CB">
              <w:rPr>
                <w:rFonts w:ascii="Arial" w:hAnsi="Arial" w:cs="Arial"/>
                <w:b w:val="0"/>
                <w:sz w:val="22"/>
                <w:szCs w:val="22"/>
              </w:rPr>
              <w:t>Smoke</w:t>
            </w:r>
            <w:r w:rsidR="00780049" w:rsidRPr="004D56CB">
              <w:rPr>
                <w:rFonts w:ascii="Arial" w:hAnsi="Arial" w:cs="Arial"/>
                <w:b w:val="0"/>
                <w:sz w:val="22"/>
                <w:szCs w:val="22"/>
              </w:rPr>
              <w:t>-</w:t>
            </w:r>
            <w:r w:rsidRPr="004D56CB">
              <w:rPr>
                <w:rFonts w:ascii="Arial" w:hAnsi="Arial" w:cs="Arial"/>
                <w:b w:val="0"/>
                <w:sz w:val="22"/>
                <w:szCs w:val="22"/>
              </w:rPr>
              <w:t>free laws</w:t>
            </w:r>
          </w:p>
        </w:tc>
        <w:tc>
          <w:tcPr>
            <w:tcW w:w="1692" w:type="dxa"/>
            <w:tcBorders>
              <w:top w:val="single" w:sz="4" w:space="0" w:color="FFFFFF" w:themeColor="background1"/>
              <w:bottom w:val="single" w:sz="4" w:space="0" w:color="FFFFFF" w:themeColor="background1"/>
            </w:tcBorders>
          </w:tcPr>
          <w:p w14:paraId="03E5DFD3" w14:textId="77777777" w:rsidR="000A4D75" w:rsidRPr="004D56CB" w:rsidRDefault="000A4D75" w:rsidP="00583EF6">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c>
          <w:tcPr>
            <w:tcW w:w="1710" w:type="dxa"/>
            <w:tcBorders>
              <w:top w:val="single" w:sz="4" w:space="0" w:color="FFFFFF" w:themeColor="background1"/>
              <w:bottom w:val="single" w:sz="4" w:space="0" w:color="FFFFFF" w:themeColor="background1"/>
            </w:tcBorders>
          </w:tcPr>
          <w:p w14:paraId="24C8514F" w14:textId="77777777" w:rsidR="000A4D75" w:rsidRPr="004D56CB" w:rsidRDefault="000A4D75" w:rsidP="00583EF6">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Not applicable</w:t>
            </w:r>
          </w:p>
        </w:tc>
      </w:tr>
      <w:tr w:rsidR="000A4D75" w:rsidRPr="004D56CB" w14:paraId="5A65AC53" w14:textId="77777777" w:rsidTr="00583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Borders>
              <w:top w:val="single" w:sz="4" w:space="0" w:color="FFFFFF" w:themeColor="background1"/>
              <w:bottom w:val="single" w:sz="4" w:space="0" w:color="FFFFFF" w:themeColor="background1"/>
            </w:tcBorders>
          </w:tcPr>
          <w:p w14:paraId="4E90A85C" w14:textId="77777777" w:rsidR="000A4D75" w:rsidRPr="004D56CB" w:rsidRDefault="000A4D75" w:rsidP="006B5D37">
            <w:pPr>
              <w:spacing w:after="120" w:line="276" w:lineRule="auto"/>
              <w:rPr>
                <w:rFonts w:ascii="Arial" w:hAnsi="Arial" w:cs="Arial"/>
                <w:sz w:val="22"/>
                <w:szCs w:val="22"/>
              </w:rPr>
            </w:pPr>
            <w:r w:rsidRPr="004D56CB">
              <w:rPr>
                <w:rFonts w:ascii="Arial" w:hAnsi="Arial" w:cs="Arial"/>
                <w:b w:val="0"/>
                <w:sz w:val="22"/>
                <w:szCs w:val="22"/>
              </w:rPr>
              <w:t>Pictorial Health Warning on packs</w:t>
            </w:r>
          </w:p>
        </w:tc>
        <w:tc>
          <w:tcPr>
            <w:tcW w:w="1692" w:type="dxa"/>
            <w:tcBorders>
              <w:top w:val="single" w:sz="4" w:space="0" w:color="FFFFFF" w:themeColor="background1"/>
              <w:bottom w:val="single" w:sz="4" w:space="0" w:color="FFFFFF" w:themeColor="background1"/>
            </w:tcBorders>
          </w:tcPr>
          <w:p w14:paraId="1E97B2E8" w14:textId="77777777" w:rsidR="000A4D75" w:rsidRPr="004D56CB" w:rsidRDefault="000A4D75" w:rsidP="00583EF6">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c>
          <w:tcPr>
            <w:tcW w:w="1710" w:type="dxa"/>
            <w:tcBorders>
              <w:top w:val="single" w:sz="4" w:space="0" w:color="FFFFFF" w:themeColor="background1"/>
              <w:bottom w:val="single" w:sz="4" w:space="0" w:color="FFFFFF" w:themeColor="background1"/>
            </w:tcBorders>
          </w:tcPr>
          <w:p w14:paraId="3CB72DD2" w14:textId="77777777" w:rsidR="000A4D75" w:rsidRPr="004D56CB" w:rsidRDefault="000A4D75" w:rsidP="00583EF6">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r>
      <w:tr w:rsidR="000A4D75" w:rsidRPr="004D56CB" w14:paraId="4BDCC18B" w14:textId="77777777" w:rsidTr="00583EF6">
        <w:tc>
          <w:tcPr>
            <w:cnfStyle w:val="001000000000" w:firstRow="0" w:lastRow="0" w:firstColumn="1" w:lastColumn="0" w:oddVBand="0" w:evenVBand="0" w:oddHBand="0" w:evenHBand="0" w:firstRowFirstColumn="0" w:firstRowLastColumn="0" w:lastRowFirstColumn="0" w:lastRowLastColumn="0"/>
            <w:tcW w:w="6768" w:type="dxa"/>
            <w:tcBorders>
              <w:top w:val="single" w:sz="4" w:space="0" w:color="FFFFFF" w:themeColor="background1"/>
              <w:bottom w:val="single" w:sz="4" w:space="0" w:color="FFFFFF" w:themeColor="background1"/>
            </w:tcBorders>
          </w:tcPr>
          <w:p w14:paraId="0990E098" w14:textId="77777777" w:rsidR="000A4D75" w:rsidRPr="004D56CB" w:rsidRDefault="000A4D75" w:rsidP="006B5D37">
            <w:pPr>
              <w:spacing w:after="120" w:line="276" w:lineRule="auto"/>
              <w:rPr>
                <w:rFonts w:ascii="Arial" w:hAnsi="Arial" w:cs="Arial"/>
                <w:sz w:val="22"/>
                <w:szCs w:val="22"/>
              </w:rPr>
            </w:pPr>
            <w:r w:rsidRPr="004D56CB">
              <w:rPr>
                <w:rFonts w:ascii="Arial" w:hAnsi="Arial" w:cs="Arial"/>
                <w:b w:val="0"/>
                <w:sz w:val="22"/>
                <w:szCs w:val="22"/>
              </w:rPr>
              <w:t>Restriction on advertisement of tobacco</w:t>
            </w:r>
          </w:p>
        </w:tc>
        <w:tc>
          <w:tcPr>
            <w:tcW w:w="1692" w:type="dxa"/>
            <w:tcBorders>
              <w:top w:val="single" w:sz="4" w:space="0" w:color="FFFFFF" w:themeColor="background1"/>
              <w:bottom w:val="single" w:sz="4" w:space="0" w:color="FFFFFF" w:themeColor="background1"/>
            </w:tcBorders>
          </w:tcPr>
          <w:p w14:paraId="1604E50A" w14:textId="77777777" w:rsidR="000A4D75" w:rsidRPr="004D56CB" w:rsidRDefault="000A4D75" w:rsidP="00583EF6">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c>
          <w:tcPr>
            <w:tcW w:w="1710" w:type="dxa"/>
            <w:tcBorders>
              <w:top w:val="single" w:sz="4" w:space="0" w:color="FFFFFF" w:themeColor="background1"/>
              <w:bottom w:val="single" w:sz="4" w:space="0" w:color="FFFFFF" w:themeColor="background1"/>
            </w:tcBorders>
          </w:tcPr>
          <w:p w14:paraId="54D35E7D" w14:textId="77777777" w:rsidR="000A4D75" w:rsidRPr="004D56CB" w:rsidRDefault="000A4D75" w:rsidP="00583EF6">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r>
      <w:tr w:rsidR="000A4D75" w:rsidRPr="004D56CB" w14:paraId="13A978D2" w14:textId="77777777" w:rsidTr="00583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Borders>
              <w:top w:val="single" w:sz="4" w:space="0" w:color="FFFFFF" w:themeColor="background1"/>
              <w:bottom w:val="single" w:sz="4" w:space="0" w:color="FFFFFF" w:themeColor="background1"/>
            </w:tcBorders>
          </w:tcPr>
          <w:p w14:paraId="6EF9CD0E" w14:textId="77777777" w:rsidR="000A4D75" w:rsidRPr="004D56CB" w:rsidRDefault="000A4D75" w:rsidP="006B5D37">
            <w:pPr>
              <w:spacing w:after="120" w:line="276" w:lineRule="auto"/>
              <w:rPr>
                <w:rFonts w:ascii="Arial" w:hAnsi="Arial" w:cs="Arial"/>
                <w:sz w:val="22"/>
                <w:szCs w:val="22"/>
              </w:rPr>
            </w:pPr>
            <w:r w:rsidRPr="004D56CB">
              <w:rPr>
                <w:rFonts w:ascii="Arial" w:hAnsi="Arial" w:cs="Arial"/>
                <w:b w:val="0"/>
                <w:sz w:val="22"/>
                <w:szCs w:val="22"/>
              </w:rPr>
              <w:t>Restriction of promotion of samples</w:t>
            </w:r>
          </w:p>
        </w:tc>
        <w:tc>
          <w:tcPr>
            <w:tcW w:w="1692" w:type="dxa"/>
            <w:tcBorders>
              <w:top w:val="single" w:sz="4" w:space="0" w:color="FFFFFF" w:themeColor="background1"/>
              <w:bottom w:val="single" w:sz="4" w:space="0" w:color="FFFFFF" w:themeColor="background1"/>
            </w:tcBorders>
          </w:tcPr>
          <w:p w14:paraId="003C90F2" w14:textId="77777777" w:rsidR="000A4D75" w:rsidRPr="004D56CB" w:rsidRDefault="000A4D75" w:rsidP="00583EF6">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c>
          <w:tcPr>
            <w:tcW w:w="1710" w:type="dxa"/>
            <w:tcBorders>
              <w:top w:val="single" w:sz="4" w:space="0" w:color="FFFFFF" w:themeColor="background1"/>
              <w:bottom w:val="single" w:sz="4" w:space="0" w:color="FFFFFF" w:themeColor="background1"/>
            </w:tcBorders>
          </w:tcPr>
          <w:p w14:paraId="2E9134F5" w14:textId="77777777" w:rsidR="000A4D75" w:rsidRPr="004D56CB" w:rsidRDefault="000A4D75" w:rsidP="00583EF6">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r>
      <w:tr w:rsidR="000A4D75" w:rsidRPr="004D56CB" w14:paraId="7B385887" w14:textId="77777777" w:rsidTr="00583EF6">
        <w:tc>
          <w:tcPr>
            <w:cnfStyle w:val="001000000000" w:firstRow="0" w:lastRow="0" w:firstColumn="1" w:lastColumn="0" w:oddVBand="0" w:evenVBand="0" w:oddHBand="0" w:evenHBand="0" w:firstRowFirstColumn="0" w:firstRowLastColumn="0" w:lastRowFirstColumn="0" w:lastRowLastColumn="0"/>
            <w:tcW w:w="6768" w:type="dxa"/>
            <w:tcBorders>
              <w:top w:val="single" w:sz="4" w:space="0" w:color="FFFFFF" w:themeColor="background1"/>
              <w:bottom w:val="single" w:sz="4" w:space="0" w:color="FFFFFF" w:themeColor="background1"/>
            </w:tcBorders>
          </w:tcPr>
          <w:p w14:paraId="678CBBAC" w14:textId="77777777" w:rsidR="000A4D75" w:rsidRPr="004D56CB" w:rsidRDefault="000A4D75" w:rsidP="006B5D37">
            <w:pPr>
              <w:spacing w:after="120" w:line="276" w:lineRule="auto"/>
              <w:rPr>
                <w:rFonts w:ascii="Arial" w:hAnsi="Arial" w:cs="Arial"/>
                <w:sz w:val="22"/>
                <w:szCs w:val="22"/>
              </w:rPr>
            </w:pPr>
            <w:r w:rsidRPr="004D56CB">
              <w:rPr>
                <w:rFonts w:ascii="Arial" w:hAnsi="Arial" w:cs="Arial"/>
                <w:b w:val="0"/>
                <w:sz w:val="22"/>
                <w:szCs w:val="22"/>
              </w:rPr>
              <w:t>Prohibition of sale of tobacco to minors and by minors</w:t>
            </w:r>
          </w:p>
        </w:tc>
        <w:tc>
          <w:tcPr>
            <w:tcW w:w="1692" w:type="dxa"/>
            <w:tcBorders>
              <w:top w:val="single" w:sz="4" w:space="0" w:color="FFFFFF" w:themeColor="background1"/>
              <w:bottom w:val="single" w:sz="4" w:space="0" w:color="FFFFFF" w:themeColor="background1"/>
            </w:tcBorders>
          </w:tcPr>
          <w:p w14:paraId="1D0895D8" w14:textId="77777777" w:rsidR="000A4D75" w:rsidRPr="004D56CB" w:rsidRDefault="000A4D75" w:rsidP="00583EF6">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c>
          <w:tcPr>
            <w:tcW w:w="1710" w:type="dxa"/>
            <w:tcBorders>
              <w:top w:val="single" w:sz="4" w:space="0" w:color="FFFFFF" w:themeColor="background1"/>
              <w:bottom w:val="single" w:sz="4" w:space="0" w:color="FFFFFF" w:themeColor="background1"/>
            </w:tcBorders>
          </w:tcPr>
          <w:p w14:paraId="6D694992" w14:textId="77777777" w:rsidR="000A4D75" w:rsidRPr="004D56CB" w:rsidRDefault="000A4D75" w:rsidP="00583EF6">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r>
      <w:tr w:rsidR="000A4D75" w:rsidRPr="004D56CB" w14:paraId="528F2EAE" w14:textId="77777777" w:rsidTr="00583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Borders>
              <w:top w:val="single" w:sz="4" w:space="0" w:color="FFFFFF" w:themeColor="background1"/>
              <w:bottom w:val="single" w:sz="4" w:space="0" w:color="FFFFFF" w:themeColor="background1"/>
            </w:tcBorders>
          </w:tcPr>
          <w:p w14:paraId="3BA921DD" w14:textId="77777777" w:rsidR="000A4D75" w:rsidRPr="004D56CB" w:rsidRDefault="000A4D75" w:rsidP="006B5D37">
            <w:pPr>
              <w:spacing w:after="120" w:line="276" w:lineRule="auto"/>
              <w:rPr>
                <w:rFonts w:ascii="Arial" w:hAnsi="Arial" w:cs="Arial"/>
                <w:sz w:val="22"/>
                <w:szCs w:val="22"/>
              </w:rPr>
            </w:pPr>
            <w:r w:rsidRPr="004D56CB">
              <w:rPr>
                <w:rFonts w:ascii="Arial" w:hAnsi="Arial" w:cs="Arial"/>
                <w:b w:val="0"/>
                <w:sz w:val="22"/>
                <w:szCs w:val="22"/>
              </w:rPr>
              <w:t xml:space="preserve">Prohibition of storage, sale and distribution of tobacco in the immediate vicinity of educational institutions </w:t>
            </w:r>
          </w:p>
        </w:tc>
        <w:tc>
          <w:tcPr>
            <w:tcW w:w="1692" w:type="dxa"/>
            <w:tcBorders>
              <w:top w:val="single" w:sz="4" w:space="0" w:color="FFFFFF" w:themeColor="background1"/>
              <w:bottom w:val="single" w:sz="4" w:space="0" w:color="FFFFFF" w:themeColor="background1"/>
            </w:tcBorders>
          </w:tcPr>
          <w:p w14:paraId="6284E7A3" w14:textId="77777777" w:rsidR="000A4D75" w:rsidRPr="004D56CB" w:rsidRDefault="000A4D75" w:rsidP="00583EF6">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D56CB">
              <w:rPr>
                <w:rFonts w:ascii="Arial" w:hAnsi="Arial" w:cs="Arial"/>
                <w:sz w:val="22"/>
                <w:szCs w:val="22"/>
              </w:rPr>
              <w:t>No</w:t>
            </w:r>
          </w:p>
        </w:tc>
        <w:tc>
          <w:tcPr>
            <w:tcW w:w="1710" w:type="dxa"/>
            <w:tcBorders>
              <w:top w:val="single" w:sz="4" w:space="0" w:color="FFFFFF" w:themeColor="background1"/>
              <w:bottom w:val="single" w:sz="4" w:space="0" w:color="FFFFFF" w:themeColor="background1"/>
            </w:tcBorders>
          </w:tcPr>
          <w:p w14:paraId="1FB73594" w14:textId="77777777" w:rsidR="000A4D75" w:rsidRPr="004D56CB" w:rsidRDefault="000A4D75" w:rsidP="00583EF6">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D56CB">
              <w:rPr>
                <w:rFonts w:ascii="Arial" w:hAnsi="Arial" w:cs="Arial"/>
                <w:sz w:val="22"/>
                <w:szCs w:val="22"/>
              </w:rPr>
              <w:t>No</w:t>
            </w:r>
          </w:p>
        </w:tc>
      </w:tr>
      <w:tr w:rsidR="000A4D75" w:rsidRPr="004D56CB" w14:paraId="2101DC92" w14:textId="77777777" w:rsidTr="00583EF6">
        <w:tc>
          <w:tcPr>
            <w:cnfStyle w:val="001000000000" w:firstRow="0" w:lastRow="0" w:firstColumn="1" w:lastColumn="0" w:oddVBand="0" w:evenVBand="0" w:oddHBand="0" w:evenHBand="0" w:firstRowFirstColumn="0" w:firstRowLastColumn="0" w:lastRowFirstColumn="0" w:lastRowLastColumn="0"/>
            <w:tcW w:w="6768" w:type="dxa"/>
            <w:tcBorders>
              <w:top w:val="single" w:sz="4" w:space="0" w:color="FFFFFF" w:themeColor="background1"/>
            </w:tcBorders>
          </w:tcPr>
          <w:p w14:paraId="59FEA0BA" w14:textId="77777777" w:rsidR="000A4D75" w:rsidRPr="004D56CB" w:rsidRDefault="000A4D75" w:rsidP="006B5D37">
            <w:pPr>
              <w:spacing w:after="120" w:line="276" w:lineRule="auto"/>
              <w:rPr>
                <w:rFonts w:ascii="Arial" w:hAnsi="Arial" w:cs="Arial"/>
                <w:sz w:val="22"/>
                <w:szCs w:val="22"/>
              </w:rPr>
            </w:pPr>
            <w:r w:rsidRPr="004D56CB">
              <w:rPr>
                <w:rFonts w:ascii="Arial" w:hAnsi="Arial" w:cs="Arial"/>
                <w:b w:val="0"/>
                <w:sz w:val="22"/>
                <w:szCs w:val="22"/>
              </w:rPr>
              <w:t xml:space="preserve">Restriction on use in </w:t>
            </w:r>
            <w:r w:rsidR="00780049" w:rsidRPr="004D56CB">
              <w:rPr>
                <w:rFonts w:ascii="Arial" w:hAnsi="Arial" w:cs="Arial"/>
                <w:b w:val="0"/>
                <w:sz w:val="22"/>
                <w:szCs w:val="22"/>
              </w:rPr>
              <w:t xml:space="preserve">a </w:t>
            </w:r>
            <w:r w:rsidRPr="004D56CB">
              <w:rPr>
                <w:rFonts w:ascii="Arial" w:hAnsi="Arial" w:cs="Arial"/>
                <w:b w:val="0"/>
                <w:sz w:val="22"/>
                <w:szCs w:val="22"/>
              </w:rPr>
              <w:t>public place and public transport</w:t>
            </w:r>
          </w:p>
        </w:tc>
        <w:tc>
          <w:tcPr>
            <w:tcW w:w="1692" w:type="dxa"/>
            <w:tcBorders>
              <w:top w:val="single" w:sz="4" w:space="0" w:color="FFFFFF" w:themeColor="background1"/>
            </w:tcBorders>
          </w:tcPr>
          <w:p w14:paraId="1868DF68" w14:textId="77777777" w:rsidR="000A4D75" w:rsidRPr="004D56CB" w:rsidRDefault="000A4D75" w:rsidP="00583EF6">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Yes</w:t>
            </w:r>
          </w:p>
        </w:tc>
        <w:tc>
          <w:tcPr>
            <w:tcW w:w="1710" w:type="dxa"/>
            <w:tcBorders>
              <w:top w:val="single" w:sz="4" w:space="0" w:color="FFFFFF" w:themeColor="background1"/>
            </w:tcBorders>
          </w:tcPr>
          <w:p w14:paraId="0A4F5879" w14:textId="77777777" w:rsidR="000A4D75" w:rsidRPr="004D56CB" w:rsidRDefault="000A4D75" w:rsidP="00583EF6">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D56CB">
              <w:rPr>
                <w:rFonts w:ascii="Arial" w:hAnsi="Arial" w:cs="Arial"/>
                <w:sz w:val="22"/>
                <w:szCs w:val="22"/>
              </w:rPr>
              <w:t>No</w:t>
            </w:r>
          </w:p>
        </w:tc>
      </w:tr>
    </w:tbl>
    <w:p w14:paraId="5F7792DF" w14:textId="77777777" w:rsidR="00583EF6" w:rsidRPr="004D56CB" w:rsidRDefault="00583EF6" w:rsidP="00780049">
      <w:pPr>
        <w:spacing w:line="360" w:lineRule="auto"/>
        <w:jc w:val="both"/>
        <w:rPr>
          <w:rFonts w:ascii="Arial" w:hAnsi="Arial" w:cs="Arial"/>
          <w:b/>
          <w:bCs/>
          <w:sz w:val="22"/>
          <w:szCs w:val="22"/>
        </w:rPr>
      </w:pPr>
    </w:p>
    <w:p w14:paraId="094A59F2" w14:textId="77777777" w:rsidR="00583EF6" w:rsidRPr="004D56CB" w:rsidRDefault="00583EF6" w:rsidP="00780049">
      <w:pPr>
        <w:spacing w:line="360" w:lineRule="auto"/>
        <w:jc w:val="both"/>
        <w:rPr>
          <w:rFonts w:ascii="Arial" w:hAnsi="Arial" w:cs="Arial"/>
          <w:b/>
          <w:bCs/>
          <w:sz w:val="22"/>
          <w:szCs w:val="22"/>
        </w:rPr>
      </w:pPr>
      <w:r w:rsidRPr="004D56CB">
        <w:rPr>
          <w:rFonts w:ascii="Arial" w:hAnsi="Arial" w:cs="Arial"/>
          <w:b/>
          <w:bCs/>
          <w:sz w:val="22"/>
          <w:szCs w:val="22"/>
        </w:rPr>
        <w:br w:type="page"/>
      </w:r>
    </w:p>
    <w:p w14:paraId="04693FBB" w14:textId="77777777" w:rsidR="00780049" w:rsidRPr="004D56CB" w:rsidRDefault="00C426B9" w:rsidP="00780049">
      <w:pPr>
        <w:spacing w:line="360" w:lineRule="auto"/>
        <w:jc w:val="both"/>
        <w:rPr>
          <w:rFonts w:ascii="Arial" w:hAnsi="Arial" w:cs="Arial"/>
          <w:sz w:val="22"/>
          <w:szCs w:val="22"/>
        </w:rPr>
      </w:pPr>
      <w:r w:rsidRPr="004D56CB">
        <w:rPr>
          <w:rFonts w:ascii="Arial" w:hAnsi="Arial" w:cs="Arial"/>
          <w:b/>
          <w:bCs/>
          <w:sz w:val="22"/>
          <w:szCs w:val="22"/>
        </w:rPr>
        <w:lastRenderedPageBreak/>
        <w:t>Figure 1:</w:t>
      </w:r>
      <w:r w:rsidRPr="004D56CB">
        <w:rPr>
          <w:rFonts w:ascii="Arial" w:hAnsi="Arial" w:cs="Arial"/>
          <w:sz w:val="22"/>
          <w:szCs w:val="22"/>
        </w:rPr>
        <w:t xml:space="preserve"> Burden of diseases due to ST use in Bangladesh (deaths per year, DALYs’ loss per year)</w:t>
      </w:r>
    </w:p>
    <w:p w14:paraId="54BE9FDB" w14:textId="77777777" w:rsidR="00780049" w:rsidRPr="004D56CB" w:rsidRDefault="00780049" w:rsidP="00780049">
      <w:pPr>
        <w:spacing w:line="360" w:lineRule="auto"/>
        <w:jc w:val="both"/>
        <w:rPr>
          <w:rFonts w:ascii="Arial" w:hAnsi="Arial" w:cs="Arial"/>
          <w:sz w:val="22"/>
          <w:szCs w:val="22"/>
        </w:rPr>
      </w:pPr>
      <w:r w:rsidRPr="004D56CB">
        <w:rPr>
          <w:rFonts w:ascii="Arial" w:hAnsi="Arial" w:cs="Arial"/>
          <w:noProof/>
          <w:sz w:val="22"/>
          <w:szCs w:val="22"/>
          <w:lang w:val="pl-PL" w:eastAsia="pl-PL"/>
        </w:rPr>
        <w:drawing>
          <wp:inline distT="0" distB="0" distL="0" distR="0" wp14:anchorId="4D5ADF5F" wp14:editId="32381DB3">
            <wp:extent cx="5468620" cy="3645535"/>
            <wp:effectExtent l="0" t="0" r="17780" b="12065"/>
            <wp:docPr id="1" name="Chart 1">
              <a:extLst xmlns:a="http://schemas.openxmlformats.org/drawingml/2006/main">
                <a:ext uri="{FF2B5EF4-FFF2-40B4-BE49-F238E27FC236}">
                  <a16:creationId xmlns:a16="http://schemas.microsoft.com/office/drawing/2014/main" id="{370EDD47-A9B0-4F28-9D91-6190E895D8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0773DE" w14:textId="77777777" w:rsidR="00C426B9" w:rsidRPr="004D56CB" w:rsidRDefault="00C426B9" w:rsidP="00780049">
      <w:pPr>
        <w:spacing w:line="360" w:lineRule="auto"/>
        <w:jc w:val="both"/>
        <w:rPr>
          <w:rFonts w:ascii="Arial" w:hAnsi="Arial" w:cs="Arial"/>
          <w:sz w:val="22"/>
          <w:szCs w:val="22"/>
        </w:rPr>
      </w:pPr>
    </w:p>
    <w:p w14:paraId="28F4E74A" w14:textId="77777777" w:rsidR="00583EF6" w:rsidRPr="004D56CB" w:rsidRDefault="00583EF6" w:rsidP="00C426B9">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before="240" w:line="360" w:lineRule="auto"/>
        <w:jc w:val="both"/>
        <w:rPr>
          <w:rFonts w:ascii="Arial" w:hAnsi="Arial" w:cs="Arial"/>
          <w:b/>
          <w:bCs/>
          <w:sz w:val="22"/>
          <w:szCs w:val="22"/>
        </w:rPr>
      </w:pPr>
      <w:r w:rsidRPr="004D56CB">
        <w:rPr>
          <w:rFonts w:ascii="Arial" w:hAnsi="Arial" w:cs="Arial"/>
          <w:b/>
          <w:bCs/>
          <w:sz w:val="22"/>
          <w:szCs w:val="22"/>
        </w:rPr>
        <w:br w:type="page"/>
      </w:r>
    </w:p>
    <w:p w14:paraId="5659BAFA" w14:textId="77777777" w:rsidR="00C426B9" w:rsidRPr="004D56CB" w:rsidRDefault="00373479" w:rsidP="00C426B9">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before="240" w:line="360" w:lineRule="auto"/>
        <w:jc w:val="both"/>
        <w:rPr>
          <w:rFonts w:ascii="Arial" w:hAnsi="Arial" w:cs="Arial"/>
          <w:sz w:val="22"/>
          <w:szCs w:val="22"/>
        </w:rPr>
      </w:pPr>
      <w:r w:rsidRPr="004D56CB">
        <w:rPr>
          <w:noProof/>
          <w:lang w:val="pl-PL" w:eastAsia="pl-PL"/>
        </w:rPr>
        <w:lastRenderedPageBreak/>
        <w:drawing>
          <wp:anchor distT="0" distB="0" distL="114300" distR="114300" simplePos="0" relativeHeight="251659264" behindDoc="0" locked="0" layoutInCell="1" allowOverlap="1" wp14:anchorId="2DD81BDE" wp14:editId="56B1E432">
            <wp:simplePos x="0" y="0"/>
            <wp:positionH relativeFrom="column">
              <wp:posOffset>-906780</wp:posOffset>
            </wp:positionH>
            <wp:positionV relativeFrom="paragraph">
              <wp:posOffset>368300</wp:posOffset>
            </wp:positionV>
            <wp:extent cx="7322674" cy="3886200"/>
            <wp:effectExtent l="0" t="0" r="0" b="0"/>
            <wp:wrapTopAndBottom/>
            <wp:docPr id="4" name="Picture 3">
              <a:extLst xmlns:a="http://schemas.openxmlformats.org/drawingml/2006/main">
                <a:ext uri="{FF2B5EF4-FFF2-40B4-BE49-F238E27FC236}">
                  <a16:creationId xmlns:a16="http://schemas.microsoft.com/office/drawing/2014/main" id="{8F8EF03F-E93D-4ACC-BA3A-89E1004215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F8EF03F-E93D-4ACC-BA3A-89E100421533}"/>
                        </a:ext>
                      </a:extLst>
                    </pic:cNvPr>
                    <pic:cNvPicPr>
                      <a:picLocks noChangeAspect="1"/>
                    </pic:cNvPicPr>
                  </pic:nvPicPr>
                  <pic:blipFill>
                    <a:blip r:embed="rId12"/>
                    <a:stretch>
                      <a:fillRect/>
                    </a:stretch>
                  </pic:blipFill>
                  <pic:spPr>
                    <a:xfrm>
                      <a:off x="0" y="0"/>
                      <a:ext cx="7322674" cy="3886200"/>
                    </a:xfrm>
                    <a:prstGeom prst="rect">
                      <a:avLst/>
                    </a:prstGeom>
                  </pic:spPr>
                </pic:pic>
              </a:graphicData>
            </a:graphic>
          </wp:anchor>
        </w:drawing>
      </w:r>
      <w:r w:rsidR="00C426B9" w:rsidRPr="004D56CB">
        <w:rPr>
          <w:rFonts w:ascii="Arial" w:hAnsi="Arial" w:cs="Arial"/>
          <w:b/>
          <w:bCs/>
          <w:sz w:val="22"/>
          <w:szCs w:val="22"/>
        </w:rPr>
        <w:t>Figure 2:</w:t>
      </w:r>
      <w:r w:rsidR="00C426B9" w:rsidRPr="004D56CB">
        <w:rPr>
          <w:rFonts w:ascii="Arial" w:hAnsi="Arial" w:cs="Arial"/>
          <w:sz w:val="22"/>
          <w:szCs w:val="22"/>
        </w:rPr>
        <w:t xml:space="preserve"> Tobacco control policies and law in Bangladesh</w:t>
      </w:r>
    </w:p>
    <w:p w14:paraId="4B66F265" w14:textId="77777777" w:rsidR="00780049" w:rsidRPr="004D56CB" w:rsidRDefault="00C426B9" w:rsidP="00570634">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before="240" w:line="360" w:lineRule="auto"/>
        <w:jc w:val="both"/>
        <w:rPr>
          <w:rFonts w:ascii="Arial" w:hAnsi="Arial" w:cs="Arial"/>
          <w:b/>
          <w:bCs/>
          <w:sz w:val="22"/>
          <w:szCs w:val="22"/>
        </w:rPr>
      </w:pPr>
      <w:r w:rsidRPr="004D56CB">
        <w:rPr>
          <w:rFonts w:ascii="Arial" w:hAnsi="Arial" w:cs="Arial"/>
          <w:b/>
          <w:bCs/>
          <w:sz w:val="22"/>
          <w:szCs w:val="22"/>
        </w:rPr>
        <w:t xml:space="preserve"> </w:t>
      </w:r>
    </w:p>
    <w:p w14:paraId="476DE3E8" w14:textId="77777777" w:rsidR="003A7FCF" w:rsidRPr="004D56CB" w:rsidRDefault="003A7FCF" w:rsidP="00570634">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before="240" w:line="360" w:lineRule="auto"/>
        <w:jc w:val="both"/>
        <w:rPr>
          <w:rFonts w:ascii="Arial" w:hAnsi="Arial" w:cs="Arial"/>
          <w:b/>
          <w:bCs/>
          <w:sz w:val="22"/>
          <w:szCs w:val="22"/>
        </w:rPr>
      </w:pPr>
    </w:p>
    <w:p w14:paraId="5DCD259A" w14:textId="77777777" w:rsidR="003A7FCF" w:rsidRPr="004D56CB" w:rsidRDefault="003A7FCF" w:rsidP="00570634">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before="240" w:line="360" w:lineRule="auto"/>
        <w:jc w:val="both"/>
        <w:rPr>
          <w:rFonts w:ascii="Arial" w:hAnsi="Arial" w:cs="Arial"/>
          <w:b/>
          <w:bCs/>
          <w:sz w:val="22"/>
          <w:szCs w:val="22"/>
        </w:rPr>
      </w:pPr>
    </w:p>
    <w:p w14:paraId="22287B7C" w14:textId="77777777" w:rsidR="003A7FCF" w:rsidRPr="004D56CB" w:rsidRDefault="003A7FCF" w:rsidP="00570634">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before="240" w:line="360" w:lineRule="auto"/>
        <w:jc w:val="both"/>
        <w:rPr>
          <w:rFonts w:ascii="Arial" w:hAnsi="Arial" w:cs="Arial"/>
          <w:b/>
          <w:bCs/>
          <w:sz w:val="22"/>
          <w:szCs w:val="22"/>
        </w:rPr>
      </w:pPr>
    </w:p>
    <w:p w14:paraId="0616052A" w14:textId="77777777" w:rsidR="003A7FCF" w:rsidRPr="004D56CB" w:rsidRDefault="003A7FCF" w:rsidP="00570634">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before="240" w:line="360" w:lineRule="auto"/>
        <w:jc w:val="both"/>
        <w:rPr>
          <w:rFonts w:ascii="Arial" w:hAnsi="Arial" w:cs="Arial"/>
          <w:b/>
          <w:bCs/>
          <w:sz w:val="22"/>
          <w:szCs w:val="22"/>
        </w:rPr>
      </w:pPr>
    </w:p>
    <w:p w14:paraId="15D0C9D1" w14:textId="77777777" w:rsidR="003A7FCF" w:rsidRPr="004D56CB" w:rsidRDefault="003A7FCF" w:rsidP="00570634">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before="240" w:line="360" w:lineRule="auto"/>
        <w:jc w:val="both"/>
        <w:rPr>
          <w:rFonts w:ascii="Arial" w:hAnsi="Arial" w:cs="Arial"/>
          <w:b/>
          <w:bCs/>
          <w:sz w:val="22"/>
          <w:szCs w:val="22"/>
        </w:rPr>
      </w:pPr>
    </w:p>
    <w:p w14:paraId="05DB1B30" w14:textId="77777777" w:rsidR="003A7FCF" w:rsidRPr="004D56CB" w:rsidRDefault="003A7FCF" w:rsidP="00570634">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before="240" w:line="360" w:lineRule="auto"/>
        <w:jc w:val="both"/>
        <w:rPr>
          <w:rFonts w:ascii="Arial" w:hAnsi="Arial" w:cs="Arial"/>
          <w:b/>
          <w:bCs/>
          <w:sz w:val="22"/>
          <w:szCs w:val="22"/>
        </w:rPr>
      </w:pPr>
    </w:p>
    <w:p w14:paraId="41AEC61F" w14:textId="77777777" w:rsidR="003A7FCF" w:rsidRPr="004D56CB" w:rsidRDefault="003A7FCF" w:rsidP="00570634">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before="240" w:line="360" w:lineRule="auto"/>
        <w:jc w:val="both"/>
        <w:rPr>
          <w:rFonts w:ascii="Arial" w:hAnsi="Arial" w:cs="Arial"/>
          <w:b/>
          <w:bCs/>
          <w:sz w:val="22"/>
          <w:szCs w:val="22"/>
        </w:rPr>
      </w:pPr>
      <w:r w:rsidRPr="004D56CB">
        <w:rPr>
          <w:rFonts w:ascii="Arial" w:hAnsi="Arial" w:cs="Arial"/>
          <w:b/>
          <w:bCs/>
          <w:sz w:val="22"/>
          <w:szCs w:val="22"/>
        </w:rPr>
        <w:t>_______________________</w:t>
      </w:r>
    </w:p>
    <w:p w14:paraId="68F36A40" w14:textId="77777777" w:rsidR="003A7FCF" w:rsidRPr="004D56CB" w:rsidRDefault="00717ACA" w:rsidP="004C4D23">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jc w:val="both"/>
        <w:rPr>
          <w:rFonts w:ascii="Arial" w:hAnsi="Arial" w:cs="Arial"/>
          <w:sz w:val="22"/>
          <w:szCs w:val="22"/>
        </w:rPr>
      </w:pPr>
      <w:r w:rsidRPr="004D56CB">
        <w:rPr>
          <w:rFonts w:ascii="Arial" w:hAnsi="Arial" w:cs="Arial"/>
          <w:sz w:val="22"/>
          <w:szCs w:val="22"/>
          <w:vertAlign w:val="superscript"/>
        </w:rPr>
        <w:t xml:space="preserve">1 </w:t>
      </w:r>
      <w:r w:rsidR="003A7FCF" w:rsidRPr="004D56CB">
        <w:rPr>
          <w:rFonts w:ascii="Arial" w:hAnsi="Arial" w:cs="Arial"/>
          <w:sz w:val="22"/>
          <w:szCs w:val="22"/>
        </w:rPr>
        <w:t>ST means Smokeless Tobacco</w:t>
      </w:r>
    </w:p>
    <w:p w14:paraId="5D401508" w14:textId="77777777" w:rsidR="003A7FCF" w:rsidRPr="004D56CB" w:rsidRDefault="003A7FCF" w:rsidP="004C4D23">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jc w:val="both"/>
        <w:rPr>
          <w:rFonts w:ascii="Arial" w:hAnsi="Arial" w:cs="Arial"/>
          <w:sz w:val="22"/>
          <w:szCs w:val="22"/>
        </w:rPr>
      </w:pPr>
      <w:r w:rsidRPr="004D56CB">
        <w:rPr>
          <w:rFonts w:ascii="Arial" w:hAnsi="Arial" w:cs="Arial"/>
          <w:sz w:val="22"/>
          <w:szCs w:val="22"/>
          <w:vertAlign w:val="superscript"/>
        </w:rPr>
        <w:t xml:space="preserve">2 </w:t>
      </w:r>
      <w:r w:rsidRPr="004D56CB">
        <w:rPr>
          <w:rFonts w:ascii="Arial" w:hAnsi="Arial" w:cs="Arial"/>
          <w:sz w:val="22"/>
          <w:szCs w:val="22"/>
        </w:rPr>
        <w:t>TAPS means Tobacco Advertisement, Promotion and Sponsorship</w:t>
      </w:r>
    </w:p>
    <w:p w14:paraId="7E73B070" w14:textId="77777777" w:rsidR="00F349E8" w:rsidRPr="004D56CB" w:rsidRDefault="003A7FCF" w:rsidP="004C4D23">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jc w:val="both"/>
        <w:rPr>
          <w:rFonts w:ascii="Arial" w:hAnsi="Arial" w:cs="Arial"/>
          <w:sz w:val="22"/>
          <w:szCs w:val="22"/>
        </w:rPr>
      </w:pPr>
      <w:r w:rsidRPr="004D56CB">
        <w:rPr>
          <w:rFonts w:ascii="Arial" w:hAnsi="Arial" w:cs="Arial"/>
          <w:sz w:val="22"/>
          <w:szCs w:val="22"/>
          <w:vertAlign w:val="superscript"/>
        </w:rPr>
        <w:t xml:space="preserve">3 </w:t>
      </w:r>
      <w:r w:rsidR="00717ACA" w:rsidRPr="004D56CB">
        <w:rPr>
          <w:rFonts w:ascii="Arial" w:hAnsi="Arial" w:cs="Arial"/>
          <w:sz w:val="22"/>
          <w:szCs w:val="22"/>
        </w:rPr>
        <w:t>SD means Supplementary Duty</w:t>
      </w:r>
    </w:p>
    <w:p w14:paraId="3744C567" w14:textId="77777777" w:rsidR="003A7FCF" w:rsidRPr="004D56CB" w:rsidRDefault="003A7FCF" w:rsidP="004C4D23">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jc w:val="both"/>
        <w:rPr>
          <w:rFonts w:ascii="Arial" w:hAnsi="Arial" w:cs="Arial"/>
          <w:sz w:val="22"/>
          <w:szCs w:val="22"/>
        </w:rPr>
      </w:pPr>
      <w:r w:rsidRPr="004D56CB">
        <w:rPr>
          <w:rFonts w:ascii="Arial" w:hAnsi="Arial" w:cs="Arial"/>
          <w:sz w:val="22"/>
          <w:szCs w:val="22"/>
          <w:vertAlign w:val="superscript"/>
        </w:rPr>
        <w:t xml:space="preserve">4 </w:t>
      </w:r>
      <w:r w:rsidRPr="004D56CB">
        <w:rPr>
          <w:rFonts w:ascii="Arial" w:hAnsi="Arial" w:cs="Arial"/>
          <w:sz w:val="22"/>
          <w:szCs w:val="22"/>
        </w:rPr>
        <w:t>BDT means Bangladeshi Taka (Currency of Bangladesh)</w:t>
      </w:r>
    </w:p>
    <w:p w14:paraId="6455DF0D" w14:textId="77777777" w:rsidR="00717ACA" w:rsidRPr="00717ACA" w:rsidRDefault="003A7FCF" w:rsidP="004C4D23">
      <w:pP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jc w:val="both"/>
        <w:rPr>
          <w:rFonts w:ascii="Arial" w:hAnsi="Arial" w:cs="Arial"/>
          <w:sz w:val="22"/>
          <w:szCs w:val="22"/>
        </w:rPr>
      </w:pPr>
      <w:r w:rsidRPr="004D56CB">
        <w:rPr>
          <w:rFonts w:ascii="Arial" w:hAnsi="Arial" w:cs="Arial"/>
          <w:sz w:val="22"/>
          <w:szCs w:val="22"/>
          <w:vertAlign w:val="superscript"/>
        </w:rPr>
        <w:t>5</w:t>
      </w:r>
      <w:r w:rsidRPr="004D56CB">
        <w:rPr>
          <w:rFonts w:ascii="Arial" w:hAnsi="Arial" w:cs="Arial"/>
          <w:sz w:val="22"/>
          <w:szCs w:val="22"/>
        </w:rPr>
        <w:t xml:space="preserve"> HDS means Health Development Surcharge</w:t>
      </w:r>
    </w:p>
    <w:sectPr w:rsidR="00717ACA" w:rsidRPr="00717ACA" w:rsidSect="00087AAA">
      <w:pgSz w:w="11900" w:h="16840"/>
      <w:pgMar w:top="1304" w:right="1644" w:bottom="1304" w:left="1644"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6057" w14:textId="77777777" w:rsidR="00055035" w:rsidRDefault="00055035">
      <w:r>
        <w:separator/>
      </w:r>
    </w:p>
  </w:endnote>
  <w:endnote w:type="continuationSeparator" w:id="0">
    <w:p w14:paraId="5ADA26CE" w14:textId="77777777" w:rsidR="00055035" w:rsidRDefault="0005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Helvetica">
    <w:panose1 w:val="020B0504020202020204"/>
    <w:charset w:val="00"/>
    <w:family w:val="auto"/>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B759" w14:textId="77777777" w:rsidR="00464BAB" w:rsidRDefault="00087AAA">
    <w:pPr>
      <w:pBdr>
        <w:top w:val="nil"/>
        <w:left w:val="nil"/>
        <w:bottom w:val="nil"/>
        <w:right w:val="nil"/>
        <w:between w:val="nil"/>
      </w:pBdr>
      <w:tabs>
        <w:tab w:val="center" w:pos="4320"/>
        <w:tab w:val="right" w:pos="8640"/>
      </w:tabs>
      <w:jc w:val="right"/>
      <w:rPr>
        <w:color w:val="000000"/>
      </w:rPr>
    </w:pPr>
    <w:r>
      <w:rPr>
        <w:color w:val="000000"/>
      </w:rPr>
      <w:fldChar w:fldCharType="begin"/>
    </w:r>
    <w:r w:rsidR="00464BAB">
      <w:rPr>
        <w:color w:val="000000"/>
      </w:rPr>
      <w:instrText>PAGE</w:instrText>
    </w:r>
    <w:r>
      <w:rPr>
        <w:color w:val="000000"/>
      </w:rPr>
      <w:fldChar w:fldCharType="end"/>
    </w:r>
  </w:p>
  <w:p w14:paraId="3ADFD522" w14:textId="77777777" w:rsidR="00464BAB" w:rsidRDefault="00464BA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F10F" w14:textId="77777777" w:rsidR="00464BAB" w:rsidRDefault="00464BAB">
    <w:pPr>
      <w:pBdr>
        <w:top w:val="nil"/>
        <w:left w:val="nil"/>
        <w:bottom w:val="nil"/>
        <w:right w:val="nil"/>
        <w:between w:val="nil"/>
      </w:pBdr>
      <w:tabs>
        <w:tab w:val="center" w:pos="4320"/>
        <w:tab w:val="right" w:pos="8640"/>
      </w:tabs>
      <w:jc w:val="right"/>
      <w:rPr>
        <w:color w:val="000000"/>
      </w:rPr>
    </w:pPr>
  </w:p>
  <w:p w14:paraId="04BFCEE7" w14:textId="77777777" w:rsidR="00464BAB" w:rsidRDefault="00464BA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21C5" w14:textId="77777777" w:rsidR="00055035" w:rsidRDefault="00055035">
      <w:r>
        <w:separator/>
      </w:r>
    </w:p>
  </w:footnote>
  <w:footnote w:type="continuationSeparator" w:id="0">
    <w:p w14:paraId="28D6C4F8" w14:textId="77777777" w:rsidR="00055035" w:rsidRDefault="00055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CAE"/>
    <w:multiLevelType w:val="hybridMultilevel"/>
    <w:tmpl w:val="AD1C9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FA46F1"/>
    <w:multiLevelType w:val="hybridMultilevel"/>
    <w:tmpl w:val="B562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B6AE8"/>
    <w:multiLevelType w:val="hybridMultilevel"/>
    <w:tmpl w:val="3232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56296"/>
    <w:multiLevelType w:val="hybridMultilevel"/>
    <w:tmpl w:val="E488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77596"/>
    <w:multiLevelType w:val="multilevel"/>
    <w:tmpl w:val="9E6C0E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BB9359F"/>
    <w:multiLevelType w:val="multilevel"/>
    <w:tmpl w:val="C802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80629"/>
    <w:multiLevelType w:val="multilevel"/>
    <w:tmpl w:val="E2B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B7C01"/>
    <w:multiLevelType w:val="hybridMultilevel"/>
    <w:tmpl w:val="24E24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A57D7"/>
    <w:multiLevelType w:val="hybridMultilevel"/>
    <w:tmpl w:val="37C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50051"/>
    <w:multiLevelType w:val="hybridMultilevel"/>
    <w:tmpl w:val="143CB690"/>
    <w:lvl w:ilvl="0" w:tplc="619E415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06C3A46"/>
    <w:multiLevelType w:val="hybridMultilevel"/>
    <w:tmpl w:val="F98E65F8"/>
    <w:lvl w:ilvl="0" w:tplc="DFD0B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947DF"/>
    <w:multiLevelType w:val="hybridMultilevel"/>
    <w:tmpl w:val="39F0F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33D9D"/>
    <w:multiLevelType w:val="multilevel"/>
    <w:tmpl w:val="C908AAD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7"/>
  </w:num>
  <w:num w:numId="7">
    <w:abstractNumId w:val="0"/>
  </w:num>
  <w:num w:numId="8">
    <w:abstractNumId w:val="1"/>
  </w:num>
  <w:num w:numId="9">
    <w:abstractNumId w:val="3"/>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NDA0NTExMDAxtTBU0lEKTi0uzszPAymwrAUAu2NYDywAAAA="/>
  </w:docVars>
  <w:rsids>
    <w:rsidRoot w:val="00F414ED"/>
    <w:rsid w:val="00001410"/>
    <w:rsid w:val="000051D8"/>
    <w:rsid w:val="00005802"/>
    <w:rsid w:val="00006541"/>
    <w:rsid w:val="00012053"/>
    <w:rsid w:val="000120E6"/>
    <w:rsid w:val="000135E9"/>
    <w:rsid w:val="0001645A"/>
    <w:rsid w:val="000173EC"/>
    <w:rsid w:val="00017B47"/>
    <w:rsid w:val="00020356"/>
    <w:rsid w:val="00020957"/>
    <w:rsid w:val="0002420D"/>
    <w:rsid w:val="0002489C"/>
    <w:rsid w:val="00027F4D"/>
    <w:rsid w:val="0003387A"/>
    <w:rsid w:val="00035557"/>
    <w:rsid w:val="00036377"/>
    <w:rsid w:val="00037727"/>
    <w:rsid w:val="00037BF8"/>
    <w:rsid w:val="00041F73"/>
    <w:rsid w:val="00043A8B"/>
    <w:rsid w:val="0004530E"/>
    <w:rsid w:val="0004749E"/>
    <w:rsid w:val="000475B7"/>
    <w:rsid w:val="000515BC"/>
    <w:rsid w:val="00051CF6"/>
    <w:rsid w:val="0005210B"/>
    <w:rsid w:val="000529B5"/>
    <w:rsid w:val="00052A2A"/>
    <w:rsid w:val="00052EBD"/>
    <w:rsid w:val="0005373F"/>
    <w:rsid w:val="00054A0B"/>
    <w:rsid w:val="00054CE4"/>
    <w:rsid w:val="00055035"/>
    <w:rsid w:val="00056615"/>
    <w:rsid w:val="0006207E"/>
    <w:rsid w:val="00063D52"/>
    <w:rsid w:val="00075B0A"/>
    <w:rsid w:val="0008187B"/>
    <w:rsid w:val="0008367B"/>
    <w:rsid w:val="00087AAA"/>
    <w:rsid w:val="000909D5"/>
    <w:rsid w:val="00090B1F"/>
    <w:rsid w:val="000933AE"/>
    <w:rsid w:val="00094FD6"/>
    <w:rsid w:val="000A0171"/>
    <w:rsid w:val="000A36FB"/>
    <w:rsid w:val="000A4D75"/>
    <w:rsid w:val="000A6646"/>
    <w:rsid w:val="000B19E5"/>
    <w:rsid w:val="000B264D"/>
    <w:rsid w:val="000B3715"/>
    <w:rsid w:val="000C07C0"/>
    <w:rsid w:val="000C22BA"/>
    <w:rsid w:val="000C3E47"/>
    <w:rsid w:val="000C6E84"/>
    <w:rsid w:val="000C7B52"/>
    <w:rsid w:val="000D0803"/>
    <w:rsid w:val="000D4546"/>
    <w:rsid w:val="000E224E"/>
    <w:rsid w:val="000E3CAB"/>
    <w:rsid w:val="000E5147"/>
    <w:rsid w:val="000E6822"/>
    <w:rsid w:val="000E6831"/>
    <w:rsid w:val="000F37B7"/>
    <w:rsid w:val="000F6FA5"/>
    <w:rsid w:val="000F7AB6"/>
    <w:rsid w:val="000F7BBE"/>
    <w:rsid w:val="00107983"/>
    <w:rsid w:val="00111188"/>
    <w:rsid w:val="0011290D"/>
    <w:rsid w:val="00120878"/>
    <w:rsid w:val="00120D8A"/>
    <w:rsid w:val="001320B0"/>
    <w:rsid w:val="0013271B"/>
    <w:rsid w:val="00135E05"/>
    <w:rsid w:val="001417C5"/>
    <w:rsid w:val="00144B07"/>
    <w:rsid w:val="00145492"/>
    <w:rsid w:val="001517E0"/>
    <w:rsid w:val="001518F3"/>
    <w:rsid w:val="001519D3"/>
    <w:rsid w:val="0015246C"/>
    <w:rsid w:val="00152FE0"/>
    <w:rsid w:val="00162AFB"/>
    <w:rsid w:val="001732D2"/>
    <w:rsid w:val="0017688A"/>
    <w:rsid w:val="00181E6E"/>
    <w:rsid w:val="00182B46"/>
    <w:rsid w:val="001961D7"/>
    <w:rsid w:val="00196282"/>
    <w:rsid w:val="00196FDE"/>
    <w:rsid w:val="00197F8E"/>
    <w:rsid w:val="001A1369"/>
    <w:rsid w:val="001A1C97"/>
    <w:rsid w:val="001A49BC"/>
    <w:rsid w:val="001A51AC"/>
    <w:rsid w:val="001A77F3"/>
    <w:rsid w:val="001B0DBC"/>
    <w:rsid w:val="001B6296"/>
    <w:rsid w:val="001B63E8"/>
    <w:rsid w:val="001B7B6B"/>
    <w:rsid w:val="001C6705"/>
    <w:rsid w:val="001D2805"/>
    <w:rsid w:val="001D324C"/>
    <w:rsid w:val="001E54EB"/>
    <w:rsid w:val="001E6C77"/>
    <w:rsid w:val="001F15A1"/>
    <w:rsid w:val="001F293C"/>
    <w:rsid w:val="00200D2F"/>
    <w:rsid w:val="002034C1"/>
    <w:rsid w:val="00207E16"/>
    <w:rsid w:val="00212C08"/>
    <w:rsid w:val="00216EE5"/>
    <w:rsid w:val="00222B88"/>
    <w:rsid w:val="0022554D"/>
    <w:rsid w:val="00225D9B"/>
    <w:rsid w:val="00226014"/>
    <w:rsid w:val="00227E89"/>
    <w:rsid w:val="0023056E"/>
    <w:rsid w:val="00232397"/>
    <w:rsid w:val="0023239A"/>
    <w:rsid w:val="00232A4C"/>
    <w:rsid w:val="00234C90"/>
    <w:rsid w:val="0023509F"/>
    <w:rsid w:val="0023693C"/>
    <w:rsid w:val="00251DCD"/>
    <w:rsid w:val="00252481"/>
    <w:rsid w:val="00252768"/>
    <w:rsid w:val="00252EE2"/>
    <w:rsid w:val="00254202"/>
    <w:rsid w:val="00257E85"/>
    <w:rsid w:val="0026090D"/>
    <w:rsid w:val="00262622"/>
    <w:rsid w:val="002663BF"/>
    <w:rsid w:val="00267671"/>
    <w:rsid w:val="00270F95"/>
    <w:rsid w:val="0027124A"/>
    <w:rsid w:val="002718E0"/>
    <w:rsid w:val="00271ADF"/>
    <w:rsid w:val="002735F9"/>
    <w:rsid w:val="002865A2"/>
    <w:rsid w:val="00287EFD"/>
    <w:rsid w:val="00290DC9"/>
    <w:rsid w:val="00291349"/>
    <w:rsid w:val="0029655E"/>
    <w:rsid w:val="002A01FE"/>
    <w:rsid w:val="002A1684"/>
    <w:rsid w:val="002A53FE"/>
    <w:rsid w:val="002A5B4A"/>
    <w:rsid w:val="002A78D1"/>
    <w:rsid w:val="002A7CF8"/>
    <w:rsid w:val="002B16D3"/>
    <w:rsid w:val="002B19AB"/>
    <w:rsid w:val="002B30A1"/>
    <w:rsid w:val="002B7516"/>
    <w:rsid w:val="002C2300"/>
    <w:rsid w:val="002C2C29"/>
    <w:rsid w:val="002C42DB"/>
    <w:rsid w:val="002C4587"/>
    <w:rsid w:val="002C68BD"/>
    <w:rsid w:val="002C6B2D"/>
    <w:rsid w:val="002C6FD8"/>
    <w:rsid w:val="002C7449"/>
    <w:rsid w:val="002D3024"/>
    <w:rsid w:val="002D3FE2"/>
    <w:rsid w:val="002D477E"/>
    <w:rsid w:val="002D4B0F"/>
    <w:rsid w:val="002D4BF8"/>
    <w:rsid w:val="002D6556"/>
    <w:rsid w:val="002E3883"/>
    <w:rsid w:val="002E4449"/>
    <w:rsid w:val="002E7782"/>
    <w:rsid w:val="002F174D"/>
    <w:rsid w:val="002F2400"/>
    <w:rsid w:val="002F2DAC"/>
    <w:rsid w:val="002F3687"/>
    <w:rsid w:val="002F4270"/>
    <w:rsid w:val="002F7C51"/>
    <w:rsid w:val="00301181"/>
    <w:rsid w:val="0030126E"/>
    <w:rsid w:val="00302543"/>
    <w:rsid w:val="00302BD2"/>
    <w:rsid w:val="00302E0A"/>
    <w:rsid w:val="00304E1C"/>
    <w:rsid w:val="003131FD"/>
    <w:rsid w:val="00314DBC"/>
    <w:rsid w:val="00315DBE"/>
    <w:rsid w:val="00317DC6"/>
    <w:rsid w:val="00321A6E"/>
    <w:rsid w:val="00322C8F"/>
    <w:rsid w:val="0032555D"/>
    <w:rsid w:val="00326431"/>
    <w:rsid w:val="003267F2"/>
    <w:rsid w:val="003276FA"/>
    <w:rsid w:val="00335830"/>
    <w:rsid w:val="00336D53"/>
    <w:rsid w:val="00340370"/>
    <w:rsid w:val="00341EF6"/>
    <w:rsid w:val="00344A7F"/>
    <w:rsid w:val="00352701"/>
    <w:rsid w:val="003533E1"/>
    <w:rsid w:val="00354ACD"/>
    <w:rsid w:val="00356265"/>
    <w:rsid w:val="00357245"/>
    <w:rsid w:val="003576C4"/>
    <w:rsid w:val="003631C1"/>
    <w:rsid w:val="00363390"/>
    <w:rsid w:val="003662B3"/>
    <w:rsid w:val="00367022"/>
    <w:rsid w:val="00373479"/>
    <w:rsid w:val="00375AA3"/>
    <w:rsid w:val="00377361"/>
    <w:rsid w:val="003823BB"/>
    <w:rsid w:val="0038268B"/>
    <w:rsid w:val="00382ACF"/>
    <w:rsid w:val="00385CEE"/>
    <w:rsid w:val="0038652C"/>
    <w:rsid w:val="00386997"/>
    <w:rsid w:val="003959E3"/>
    <w:rsid w:val="003960C5"/>
    <w:rsid w:val="003A2483"/>
    <w:rsid w:val="003A39EE"/>
    <w:rsid w:val="003A4AB2"/>
    <w:rsid w:val="003A52D1"/>
    <w:rsid w:val="003A532D"/>
    <w:rsid w:val="003A7FCF"/>
    <w:rsid w:val="003B0D12"/>
    <w:rsid w:val="003B1503"/>
    <w:rsid w:val="003B195D"/>
    <w:rsid w:val="003B4C90"/>
    <w:rsid w:val="003B5DA8"/>
    <w:rsid w:val="003C2927"/>
    <w:rsid w:val="003C4470"/>
    <w:rsid w:val="003C7012"/>
    <w:rsid w:val="003D113B"/>
    <w:rsid w:val="003D1729"/>
    <w:rsid w:val="003D1CD4"/>
    <w:rsid w:val="003D6888"/>
    <w:rsid w:val="003D734C"/>
    <w:rsid w:val="003E409C"/>
    <w:rsid w:val="003E59E8"/>
    <w:rsid w:val="003E734C"/>
    <w:rsid w:val="003F4D31"/>
    <w:rsid w:val="003F6BD0"/>
    <w:rsid w:val="003F6C13"/>
    <w:rsid w:val="00404682"/>
    <w:rsid w:val="00412534"/>
    <w:rsid w:val="00412E8D"/>
    <w:rsid w:val="00413716"/>
    <w:rsid w:val="0041438B"/>
    <w:rsid w:val="00421407"/>
    <w:rsid w:val="004221D5"/>
    <w:rsid w:val="00424A5D"/>
    <w:rsid w:val="00427482"/>
    <w:rsid w:val="00432A65"/>
    <w:rsid w:val="00436BF2"/>
    <w:rsid w:val="00445E5B"/>
    <w:rsid w:val="00452374"/>
    <w:rsid w:val="004528F6"/>
    <w:rsid w:val="00453397"/>
    <w:rsid w:val="00461D88"/>
    <w:rsid w:val="00464BAB"/>
    <w:rsid w:val="0046533D"/>
    <w:rsid w:val="00472CB2"/>
    <w:rsid w:val="0047429C"/>
    <w:rsid w:val="00474681"/>
    <w:rsid w:val="004841DC"/>
    <w:rsid w:val="00490CDE"/>
    <w:rsid w:val="00491286"/>
    <w:rsid w:val="00491287"/>
    <w:rsid w:val="00492A2E"/>
    <w:rsid w:val="0049519C"/>
    <w:rsid w:val="004965C1"/>
    <w:rsid w:val="00497128"/>
    <w:rsid w:val="004974A7"/>
    <w:rsid w:val="004A25B7"/>
    <w:rsid w:val="004A2FC4"/>
    <w:rsid w:val="004B0256"/>
    <w:rsid w:val="004B0357"/>
    <w:rsid w:val="004B0C52"/>
    <w:rsid w:val="004B293A"/>
    <w:rsid w:val="004B4E0E"/>
    <w:rsid w:val="004B58E6"/>
    <w:rsid w:val="004B5C6F"/>
    <w:rsid w:val="004B7BF6"/>
    <w:rsid w:val="004C4D23"/>
    <w:rsid w:val="004C577A"/>
    <w:rsid w:val="004C725A"/>
    <w:rsid w:val="004D16B6"/>
    <w:rsid w:val="004D1969"/>
    <w:rsid w:val="004D23B9"/>
    <w:rsid w:val="004D3B9E"/>
    <w:rsid w:val="004D43C6"/>
    <w:rsid w:val="004D56CB"/>
    <w:rsid w:val="004D619E"/>
    <w:rsid w:val="004D72EF"/>
    <w:rsid w:val="004E09A6"/>
    <w:rsid w:val="004E2734"/>
    <w:rsid w:val="004E2C53"/>
    <w:rsid w:val="004F2223"/>
    <w:rsid w:val="004F5E5E"/>
    <w:rsid w:val="004F6C57"/>
    <w:rsid w:val="004F6D04"/>
    <w:rsid w:val="004F7D4A"/>
    <w:rsid w:val="005000AD"/>
    <w:rsid w:val="00500672"/>
    <w:rsid w:val="005038FF"/>
    <w:rsid w:val="005049BF"/>
    <w:rsid w:val="00505047"/>
    <w:rsid w:val="0050700A"/>
    <w:rsid w:val="00510FD8"/>
    <w:rsid w:val="0051140F"/>
    <w:rsid w:val="00513854"/>
    <w:rsid w:val="00515715"/>
    <w:rsid w:val="005216D3"/>
    <w:rsid w:val="00523D0E"/>
    <w:rsid w:val="005259BA"/>
    <w:rsid w:val="005269DF"/>
    <w:rsid w:val="005328C9"/>
    <w:rsid w:val="00532C8E"/>
    <w:rsid w:val="005335F7"/>
    <w:rsid w:val="00535C63"/>
    <w:rsid w:val="00540E90"/>
    <w:rsid w:val="005520DC"/>
    <w:rsid w:val="005549E8"/>
    <w:rsid w:val="005552D8"/>
    <w:rsid w:val="0055590F"/>
    <w:rsid w:val="005572D3"/>
    <w:rsid w:val="00564EDA"/>
    <w:rsid w:val="00565B8F"/>
    <w:rsid w:val="00570634"/>
    <w:rsid w:val="0057157E"/>
    <w:rsid w:val="005719BD"/>
    <w:rsid w:val="00572A86"/>
    <w:rsid w:val="00577442"/>
    <w:rsid w:val="00581CBE"/>
    <w:rsid w:val="00583EF6"/>
    <w:rsid w:val="00585459"/>
    <w:rsid w:val="00587B44"/>
    <w:rsid w:val="00591404"/>
    <w:rsid w:val="00592F84"/>
    <w:rsid w:val="00593452"/>
    <w:rsid w:val="0059612D"/>
    <w:rsid w:val="0059637B"/>
    <w:rsid w:val="00596DD2"/>
    <w:rsid w:val="005A1D88"/>
    <w:rsid w:val="005A2717"/>
    <w:rsid w:val="005A2C62"/>
    <w:rsid w:val="005A4E83"/>
    <w:rsid w:val="005A5DF6"/>
    <w:rsid w:val="005A726B"/>
    <w:rsid w:val="005B12BE"/>
    <w:rsid w:val="005B715F"/>
    <w:rsid w:val="005B7B33"/>
    <w:rsid w:val="005C089B"/>
    <w:rsid w:val="005C0BBE"/>
    <w:rsid w:val="005C1B66"/>
    <w:rsid w:val="005C60C5"/>
    <w:rsid w:val="005D08E3"/>
    <w:rsid w:val="005D13F4"/>
    <w:rsid w:val="005D1582"/>
    <w:rsid w:val="005D2103"/>
    <w:rsid w:val="005D41B7"/>
    <w:rsid w:val="005D6339"/>
    <w:rsid w:val="005D6E30"/>
    <w:rsid w:val="005E0508"/>
    <w:rsid w:val="005E0CE6"/>
    <w:rsid w:val="005E1B6F"/>
    <w:rsid w:val="005E4BDC"/>
    <w:rsid w:val="005E7E4C"/>
    <w:rsid w:val="005F5254"/>
    <w:rsid w:val="005F6B3B"/>
    <w:rsid w:val="005F77C7"/>
    <w:rsid w:val="006035AA"/>
    <w:rsid w:val="00604184"/>
    <w:rsid w:val="00606414"/>
    <w:rsid w:val="00610413"/>
    <w:rsid w:val="0061350D"/>
    <w:rsid w:val="0061496A"/>
    <w:rsid w:val="00614AC2"/>
    <w:rsid w:val="00614E07"/>
    <w:rsid w:val="00615EE1"/>
    <w:rsid w:val="006169AA"/>
    <w:rsid w:val="00621068"/>
    <w:rsid w:val="006227C8"/>
    <w:rsid w:val="0062424F"/>
    <w:rsid w:val="00626FAD"/>
    <w:rsid w:val="00634BE2"/>
    <w:rsid w:val="00634FF2"/>
    <w:rsid w:val="00635D32"/>
    <w:rsid w:val="00636D41"/>
    <w:rsid w:val="0063725A"/>
    <w:rsid w:val="006403C5"/>
    <w:rsid w:val="00641381"/>
    <w:rsid w:val="00646FF9"/>
    <w:rsid w:val="00647E15"/>
    <w:rsid w:val="006516D5"/>
    <w:rsid w:val="0065209F"/>
    <w:rsid w:val="00652357"/>
    <w:rsid w:val="00664768"/>
    <w:rsid w:val="006666AD"/>
    <w:rsid w:val="00667756"/>
    <w:rsid w:val="00667A47"/>
    <w:rsid w:val="006731A0"/>
    <w:rsid w:val="0067439E"/>
    <w:rsid w:val="00675E94"/>
    <w:rsid w:val="006801B0"/>
    <w:rsid w:val="00681570"/>
    <w:rsid w:val="00682062"/>
    <w:rsid w:val="00683869"/>
    <w:rsid w:val="006847E1"/>
    <w:rsid w:val="006909EB"/>
    <w:rsid w:val="006A266D"/>
    <w:rsid w:val="006A2CDE"/>
    <w:rsid w:val="006A395F"/>
    <w:rsid w:val="006A456C"/>
    <w:rsid w:val="006A476E"/>
    <w:rsid w:val="006A4F68"/>
    <w:rsid w:val="006B1B56"/>
    <w:rsid w:val="006B28CE"/>
    <w:rsid w:val="006B3F6D"/>
    <w:rsid w:val="006B4537"/>
    <w:rsid w:val="006B4B36"/>
    <w:rsid w:val="006B5D37"/>
    <w:rsid w:val="006B742C"/>
    <w:rsid w:val="006C01E6"/>
    <w:rsid w:val="006C0226"/>
    <w:rsid w:val="006C105B"/>
    <w:rsid w:val="006C2835"/>
    <w:rsid w:val="006D595D"/>
    <w:rsid w:val="006E252F"/>
    <w:rsid w:val="006E39C9"/>
    <w:rsid w:val="006E680F"/>
    <w:rsid w:val="006F40E0"/>
    <w:rsid w:val="006F54E8"/>
    <w:rsid w:val="006F73DB"/>
    <w:rsid w:val="00701212"/>
    <w:rsid w:val="00701DF4"/>
    <w:rsid w:val="0070281B"/>
    <w:rsid w:val="0070293A"/>
    <w:rsid w:val="0070677A"/>
    <w:rsid w:val="00711765"/>
    <w:rsid w:val="00711D63"/>
    <w:rsid w:val="007148B3"/>
    <w:rsid w:val="00715653"/>
    <w:rsid w:val="00715A36"/>
    <w:rsid w:val="00715FFC"/>
    <w:rsid w:val="007178CA"/>
    <w:rsid w:val="00717ACA"/>
    <w:rsid w:val="00722CE4"/>
    <w:rsid w:val="00723369"/>
    <w:rsid w:val="0072446C"/>
    <w:rsid w:val="00725795"/>
    <w:rsid w:val="00734E47"/>
    <w:rsid w:val="0075007C"/>
    <w:rsid w:val="00751B36"/>
    <w:rsid w:val="00753612"/>
    <w:rsid w:val="00753DB4"/>
    <w:rsid w:val="0075404C"/>
    <w:rsid w:val="0075707E"/>
    <w:rsid w:val="0076234A"/>
    <w:rsid w:val="007635E2"/>
    <w:rsid w:val="00764948"/>
    <w:rsid w:val="00765C42"/>
    <w:rsid w:val="007745CA"/>
    <w:rsid w:val="00777479"/>
    <w:rsid w:val="00780049"/>
    <w:rsid w:val="0078309C"/>
    <w:rsid w:val="00784614"/>
    <w:rsid w:val="00787366"/>
    <w:rsid w:val="007922C2"/>
    <w:rsid w:val="00795C38"/>
    <w:rsid w:val="0079678F"/>
    <w:rsid w:val="00797D8C"/>
    <w:rsid w:val="007A41D1"/>
    <w:rsid w:val="007A5AB9"/>
    <w:rsid w:val="007A6FD9"/>
    <w:rsid w:val="007A79C5"/>
    <w:rsid w:val="007B10A9"/>
    <w:rsid w:val="007B7B76"/>
    <w:rsid w:val="007C49E5"/>
    <w:rsid w:val="007C7272"/>
    <w:rsid w:val="007C7D39"/>
    <w:rsid w:val="007D03FF"/>
    <w:rsid w:val="007D160D"/>
    <w:rsid w:val="007D2D25"/>
    <w:rsid w:val="007D4878"/>
    <w:rsid w:val="007D48B3"/>
    <w:rsid w:val="007D72F7"/>
    <w:rsid w:val="007E40C4"/>
    <w:rsid w:val="007E7537"/>
    <w:rsid w:val="007E7A89"/>
    <w:rsid w:val="007F0050"/>
    <w:rsid w:val="007F1CB9"/>
    <w:rsid w:val="007F3363"/>
    <w:rsid w:val="007F37E4"/>
    <w:rsid w:val="007F381A"/>
    <w:rsid w:val="007F5D0D"/>
    <w:rsid w:val="007F79DF"/>
    <w:rsid w:val="00803F1A"/>
    <w:rsid w:val="00806F27"/>
    <w:rsid w:val="008114D8"/>
    <w:rsid w:val="008137A4"/>
    <w:rsid w:val="008159FA"/>
    <w:rsid w:val="00815A03"/>
    <w:rsid w:val="00820688"/>
    <w:rsid w:val="008230E4"/>
    <w:rsid w:val="008265C1"/>
    <w:rsid w:val="00827D04"/>
    <w:rsid w:val="0083570F"/>
    <w:rsid w:val="00836EFC"/>
    <w:rsid w:val="008420C8"/>
    <w:rsid w:val="00844D57"/>
    <w:rsid w:val="00853B3F"/>
    <w:rsid w:val="00861061"/>
    <w:rsid w:val="00863125"/>
    <w:rsid w:val="008631C6"/>
    <w:rsid w:val="00863862"/>
    <w:rsid w:val="00871F57"/>
    <w:rsid w:val="00872725"/>
    <w:rsid w:val="00872CD7"/>
    <w:rsid w:val="0087378A"/>
    <w:rsid w:val="008775B9"/>
    <w:rsid w:val="00880AE9"/>
    <w:rsid w:val="008831FC"/>
    <w:rsid w:val="0088368B"/>
    <w:rsid w:val="00884969"/>
    <w:rsid w:val="0089398A"/>
    <w:rsid w:val="008A2280"/>
    <w:rsid w:val="008A7ADA"/>
    <w:rsid w:val="008B06A2"/>
    <w:rsid w:val="008B07B5"/>
    <w:rsid w:val="008B0C4B"/>
    <w:rsid w:val="008B7B26"/>
    <w:rsid w:val="008C0B66"/>
    <w:rsid w:val="008C6788"/>
    <w:rsid w:val="008D14EF"/>
    <w:rsid w:val="008D2D1F"/>
    <w:rsid w:val="008D2FA4"/>
    <w:rsid w:val="008D3C07"/>
    <w:rsid w:val="008D4383"/>
    <w:rsid w:val="008D59DA"/>
    <w:rsid w:val="008D7805"/>
    <w:rsid w:val="008E2454"/>
    <w:rsid w:val="008E74F8"/>
    <w:rsid w:val="008F10DC"/>
    <w:rsid w:val="008F12D7"/>
    <w:rsid w:val="008F23DF"/>
    <w:rsid w:val="008F38DB"/>
    <w:rsid w:val="008F3A33"/>
    <w:rsid w:val="008F47A3"/>
    <w:rsid w:val="009117DB"/>
    <w:rsid w:val="009126ED"/>
    <w:rsid w:val="00913B01"/>
    <w:rsid w:val="00914AD3"/>
    <w:rsid w:val="00917191"/>
    <w:rsid w:val="00921A75"/>
    <w:rsid w:val="00922799"/>
    <w:rsid w:val="00935F6A"/>
    <w:rsid w:val="00940277"/>
    <w:rsid w:val="009474B1"/>
    <w:rsid w:val="00952376"/>
    <w:rsid w:val="009534ED"/>
    <w:rsid w:val="00954399"/>
    <w:rsid w:val="00955360"/>
    <w:rsid w:val="00955B8B"/>
    <w:rsid w:val="009611D6"/>
    <w:rsid w:val="00963B2F"/>
    <w:rsid w:val="0097127E"/>
    <w:rsid w:val="00972303"/>
    <w:rsid w:val="009723AD"/>
    <w:rsid w:val="00982339"/>
    <w:rsid w:val="0098463F"/>
    <w:rsid w:val="00994768"/>
    <w:rsid w:val="00995D57"/>
    <w:rsid w:val="009A2558"/>
    <w:rsid w:val="009A27FF"/>
    <w:rsid w:val="009A2EA4"/>
    <w:rsid w:val="009A47C5"/>
    <w:rsid w:val="009A4E8C"/>
    <w:rsid w:val="009B02B5"/>
    <w:rsid w:val="009B09E5"/>
    <w:rsid w:val="009B15DF"/>
    <w:rsid w:val="009B1846"/>
    <w:rsid w:val="009B2CB0"/>
    <w:rsid w:val="009B34D1"/>
    <w:rsid w:val="009B7B40"/>
    <w:rsid w:val="009B7E47"/>
    <w:rsid w:val="009C058D"/>
    <w:rsid w:val="009C1586"/>
    <w:rsid w:val="009C22BF"/>
    <w:rsid w:val="009C61D4"/>
    <w:rsid w:val="009D2FB5"/>
    <w:rsid w:val="009D4A63"/>
    <w:rsid w:val="009D77B7"/>
    <w:rsid w:val="009D7FFE"/>
    <w:rsid w:val="009E1CDA"/>
    <w:rsid w:val="009E1F82"/>
    <w:rsid w:val="009E24A4"/>
    <w:rsid w:val="009E447F"/>
    <w:rsid w:val="009F0DD8"/>
    <w:rsid w:val="009F0F9E"/>
    <w:rsid w:val="009F3303"/>
    <w:rsid w:val="009F355D"/>
    <w:rsid w:val="009F7CAF"/>
    <w:rsid w:val="00A00D00"/>
    <w:rsid w:val="00A038BE"/>
    <w:rsid w:val="00A07078"/>
    <w:rsid w:val="00A10CA2"/>
    <w:rsid w:val="00A151A7"/>
    <w:rsid w:val="00A21570"/>
    <w:rsid w:val="00A2235F"/>
    <w:rsid w:val="00A261EB"/>
    <w:rsid w:val="00A305AB"/>
    <w:rsid w:val="00A33ACE"/>
    <w:rsid w:val="00A34373"/>
    <w:rsid w:val="00A35453"/>
    <w:rsid w:val="00A3757F"/>
    <w:rsid w:val="00A37EBD"/>
    <w:rsid w:val="00A405E4"/>
    <w:rsid w:val="00A426CE"/>
    <w:rsid w:val="00A47177"/>
    <w:rsid w:val="00A5129F"/>
    <w:rsid w:val="00A53C30"/>
    <w:rsid w:val="00A552A3"/>
    <w:rsid w:val="00A56BD3"/>
    <w:rsid w:val="00A61447"/>
    <w:rsid w:val="00A62B6D"/>
    <w:rsid w:val="00A754D3"/>
    <w:rsid w:val="00A75702"/>
    <w:rsid w:val="00A77B08"/>
    <w:rsid w:val="00A848F5"/>
    <w:rsid w:val="00A96ECD"/>
    <w:rsid w:val="00AA0671"/>
    <w:rsid w:val="00AA2BC1"/>
    <w:rsid w:val="00AA4166"/>
    <w:rsid w:val="00AA4213"/>
    <w:rsid w:val="00AA5607"/>
    <w:rsid w:val="00AA703E"/>
    <w:rsid w:val="00AA7A07"/>
    <w:rsid w:val="00AB1D09"/>
    <w:rsid w:val="00AB2174"/>
    <w:rsid w:val="00AB2F28"/>
    <w:rsid w:val="00AB5159"/>
    <w:rsid w:val="00AB6CE8"/>
    <w:rsid w:val="00AC2E66"/>
    <w:rsid w:val="00AC4234"/>
    <w:rsid w:val="00AC63FB"/>
    <w:rsid w:val="00AD2A76"/>
    <w:rsid w:val="00AD30AA"/>
    <w:rsid w:val="00AD7F17"/>
    <w:rsid w:val="00AE055E"/>
    <w:rsid w:val="00AE2F85"/>
    <w:rsid w:val="00AE5658"/>
    <w:rsid w:val="00AE7213"/>
    <w:rsid w:val="00AF280F"/>
    <w:rsid w:val="00AF3AD3"/>
    <w:rsid w:val="00AF4706"/>
    <w:rsid w:val="00AF63D4"/>
    <w:rsid w:val="00AF6EC4"/>
    <w:rsid w:val="00B0260E"/>
    <w:rsid w:val="00B10FC6"/>
    <w:rsid w:val="00B14E97"/>
    <w:rsid w:val="00B17AF0"/>
    <w:rsid w:val="00B21965"/>
    <w:rsid w:val="00B254E4"/>
    <w:rsid w:val="00B279F0"/>
    <w:rsid w:val="00B32189"/>
    <w:rsid w:val="00B32418"/>
    <w:rsid w:val="00B32F58"/>
    <w:rsid w:val="00B33338"/>
    <w:rsid w:val="00B37080"/>
    <w:rsid w:val="00B4025B"/>
    <w:rsid w:val="00B420AC"/>
    <w:rsid w:val="00B44BDE"/>
    <w:rsid w:val="00B45895"/>
    <w:rsid w:val="00B5109A"/>
    <w:rsid w:val="00B60C9E"/>
    <w:rsid w:val="00B61CFC"/>
    <w:rsid w:val="00B626A6"/>
    <w:rsid w:val="00B66BDA"/>
    <w:rsid w:val="00B7016F"/>
    <w:rsid w:val="00B73CFE"/>
    <w:rsid w:val="00B740E6"/>
    <w:rsid w:val="00B74994"/>
    <w:rsid w:val="00B74F2D"/>
    <w:rsid w:val="00B75C09"/>
    <w:rsid w:val="00B7778B"/>
    <w:rsid w:val="00B779DF"/>
    <w:rsid w:val="00B845C3"/>
    <w:rsid w:val="00B85B9E"/>
    <w:rsid w:val="00B865A6"/>
    <w:rsid w:val="00B87453"/>
    <w:rsid w:val="00B87A22"/>
    <w:rsid w:val="00B9149D"/>
    <w:rsid w:val="00B919FF"/>
    <w:rsid w:val="00B93555"/>
    <w:rsid w:val="00B9538C"/>
    <w:rsid w:val="00B95453"/>
    <w:rsid w:val="00BA1FC1"/>
    <w:rsid w:val="00BA6820"/>
    <w:rsid w:val="00BB2E45"/>
    <w:rsid w:val="00BC0C2C"/>
    <w:rsid w:val="00BC0E6F"/>
    <w:rsid w:val="00BC5643"/>
    <w:rsid w:val="00BD0CB6"/>
    <w:rsid w:val="00BD1231"/>
    <w:rsid w:val="00BD4F54"/>
    <w:rsid w:val="00BD5640"/>
    <w:rsid w:val="00BE7128"/>
    <w:rsid w:val="00BF7D6A"/>
    <w:rsid w:val="00C037DC"/>
    <w:rsid w:val="00C046A2"/>
    <w:rsid w:val="00C108B4"/>
    <w:rsid w:val="00C11D3C"/>
    <w:rsid w:val="00C206D8"/>
    <w:rsid w:val="00C206FF"/>
    <w:rsid w:val="00C20927"/>
    <w:rsid w:val="00C21336"/>
    <w:rsid w:val="00C22685"/>
    <w:rsid w:val="00C26241"/>
    <w:rsid w:val="00C26752"/>
    <w:rsid w:val="00C303DD"/>
    <w:rsid w:val="00C30A96"/>
    <w:rsid w:val="00C317AB"/>
    <w:rsid w:val="00C31CB9"/>
    <w:rsid w:val="00C34FF3"/>
    <w:rsid w:val="00C426B9"/>
    <w:rsid w:val="00C4459E"/>
    <w:rsid w:val="00C469E4"/>
    <w:rsid w:val="00C46F5B"/>
    <w:rsid w:val="00C52737"/>
    <w:rsid w:val="00C530B5"/>
    <w:rsid w:val="00C53A37"/>
    <w:rsid w:val="00C55881"/>
    <w:rsid w:val="00C57537"/>
    <w:rsid w:val="00C57CCF"/>
    <w:rsid w:val="00C61E89"/>
    <w:rsid w:val="00C641F3"/>
    <w:rsid w:val="00C67016"/>
    <w:rsid w:val="00C72362"/>
    <w:rsid w:val="00C74FD0"/>
    <w:rsid w:val="00C7626B"/>
    <w:rsid w:val="00C766BA"/>
    <w:rsid w:val="00C85242"/>
    <w:rsid w:val="00C85EA1"/>
    <w:rsid w:val="00C86A1A"/>
    <w:rsid w:val="00C87259"/>
    <w:rsid w:val="00C90A55"/>
    <w:rsid w:val="00C911F0"/>
    <w:rsid w:val="00C932F2"/>
    <w:rsid w:val="00C9604D"/>
    <w:rsid w:val="00CA2462"/>
    <w:rsid w:val="00CA3C7F"/>
    <w:rsid w:val="00CA3FB2"/>
    <w:rsid w:val="00CB5D76"/>
    <w:rsid w:val="00CB5E40"/>
    <w:rsid w:val="00CC24F5"/>
    <w:rsid w:val="00CC31AB"/>
    <w:rsid w:val="00CC3837"/>
    <w:rsid w:val="00CC4E8A"/>
    <w:rsid w:val="00CD04E1"/>
    <w:rsid w:val="00CD2E92"/>
    <w:rsid w:val="00CD564F"/>
    <w:rsid w:val="00CD591E"/>
    <w:rsid w:val="00CD7AB5"/>
    <w:rsid w:val="00CD7F11"/>
    <w:rsid w:val="00CE03FF"/>
    <w:rsid w:val="00CE12CA"/>
    <w:rsid w:val="00CE30FE"/>
    <w:rsid w:val="00CE4478"/>
    <w:rsid w:val="00CE4C25"/>
    <w:rsid w:val="00CE5167"/>
    <w:rsid w:val="00CE5D47"/>
    <w:rsid w:val="00CF0C2A"/>
    <w:rsid w:val="00CF4B9F"/>
    <w:rsid w:val="00D01431"/>
    <w:rsid w:val="00D01C77"/>
    <w:rsid w:val="00D02BF5"/>
    <w:rsid w:val="00D05FD1"/>
    <w:rsid w:val="00D060D7"/>
    <w:rsid w:val="00D235F3"/>
    <w:rsid w:val="00D24E60"/>
    <w:rsid w:val="00D31E89"/>
    <w:rsid w:val="00D33F22"/>
    <w:rsid w:val="00D36636"/>
    <w:rsid w:val="00D40485"/>
    <w:rsid w:val="00D423D1"/>
    <w:rsid w:val="00D4267E"/>
    <w:rsid w:val="00D42C13"/>
    <w:rsid w:val="00D45186"/>
    <w:rsid w:val="00D50B80"/>
    <w:rsid w:val="00D51EDD"/>
    <w:rsid w:val="00D52789"/>
    <w:rsid w:val="00D538CE"/>
    <w:rsid w:val="00D562DB"/>
    <w:rsid w:val="00D57A13"/>
    <w:rsid w:val="00D57E46"/>
    <w:rsid w:val="00D626BF"/>
    <w:rsid w:val="00D675B6"/>
    <w:rsid w:val="00D7212D"/>
    <w:rsid w:val="00D737BD"/>
    <w:rsid w:val="00D804DE"/>
    <w:rsid w:val="00D81D0E"/>
    <w:rsid w:val="00D83660"/>
    <w:rsid w:val="00D84F8C"/>
    <w:rsid w:val="00D9018D"/>
    <w:rsid w:val="00D91E38"/>
    <w:rsid w:val="00D93A70"/>
    <w:rsid w:val="00D94951"/>
    <w:rsid w:val="00D95A23"/>
    <w:rsid w:val="00DA1846"/>
    <w:rsid w:val="00DA4305"/>
    <w:rsid w:val="00DA7C31"/>
    <w:rsid w:val="00DB0899"/>
    <w:rsid w:val="00DB1C0D"/>
    <w:rsid w:val="00DB3158"/>
    <w:rsid w:val="00DB7F8B"/>
    <w:rsid w:val="00DC0274"/>
    <w:rsid w:val="00DC06F8"/>
    <w:rsid w:val="00DC1486"/>
    <w:rsid w:val="00DC51DF"/>
    <w:rsid w:val="00DC5B23"/>
    <w:rsid w:val="00DD6C86"/>
    <w:rsid w:val="00DD7C6A"/>
    <w:rsid w:val="00DE1441"/>
    <w:rsid w:val="00DE1C39"/>
    <w:rsid w:val="00DE3F97"/>
    <w:rsid w:val="00DE4946"/>
    <w:rsid w:val="00DE58A5"/>
    <w:rsid w:val="00DF3D06"/>
    <w:rsid w:val="00DF4602"/>
    <w:rsid w:val="00DF482B"/>
    <w:rsid w:val="00E04C66"/>
    <w:rsid w:val="00E12DCE"/>
    <w:rsid w:val="00E20716"/>
    <w:rsid w:val="00E20A0F"/>
    <w:rsid w:val="00E2514B"/>
    <w:rsid w:val="00E344E1"/>
    <w:rsid w:val="00E34CAC"/>
    <w:rsid w:val="00E34EC6"/>
    <w:rsid w:val="00E35DFF"/>
    <w:rsid w:val="00E41ED4"/>
    <w:rsid w:val="00E424AD"/>
    <w:rsid w:val="00E44DBE"/>
    <w:rsid w:val="00E4552B"/>
    <w:rsid w:val="00E4619C"/>
    <w:rsid w:val="00E47656"/>
    <w:rsid w:val="00E50F1D"/>
    <w:rsid w:val="00E51A2C"/>
    <w:rsid w:val="00E51BE0"/>
    <w:rsid w:val="00E51F08"/>
    <w:rsid w:val="00E52240"/>
    <w:rsid w:val="00E52DB9"/>
    <w:rsid w:val="00E53A70"/>
    <w:rsid w:val="00E550E7"/>
    <w:rsid w:val="00E554A4"/>
    <w:rsid w:val="00E56B83"/>
    <w:rsid w:val="00E5762A"/>
    <w:rsid w:val="00E577A7"/>
    <w:rsid w:val="00E65EC4"/>
    <w:rsid w:val="00E7020F"/>
    <w:rsid w:val="00E72477"/>
    <w:rsid w:val="00E738C9"/>
    <w:rsid w:val="00E73BE8"/>
    <w:rsid w:val="00E753A7"/>
    <w:rsid w:val="00E76285"/>
    <w:rsid w:val="00E803C4"/>
    <w:rsid w:val="00E80FAE"/>
    <w:rsid w:val="00E8274A"/>
    <w:rsid w:val="00E8318B"/>
    <w:rsid w:val="00E8433C"/>
    <w:rsid w:val="00E8671D"/>
    <w:rsid w:val="00E879D1"/>
    <w:rsid w:val="00E92052"/>
    <w:rsid w:val="00E924AF"/>
    <w:rsid w:val="00E9305A"/>
    <w:rsid w:val="00EA0E73"/>
    <w:rsid w:val="00EA2A3E"/>
    <w:rsid w:val="00EA3673"/>
    <w:rsid w:val="00EA5384"/>
    <w:rsid w:val="00EA57BD"/>
    <w:rsid w:val="00EA7468"/>
    <w:rsid w:val="00EB2A28"/>
    <w:rsid w:val="00EB485B"/>
    <w:rsid w:val="00EB5774"/>
    <w:rsid w:val="00EB5C45"/>
    <w:rsid w:val="00EB5C46"/>
    <w:rsid w:val="00EC13F2"/>
    <w:rsid w:val="00EC4D0E"/>
    <w:rsid w:val="00EE062B"/>
    <w:rsid w:val="00EE68D5"/>
    <w:rsid w:val="00EE698E"/>
    <w:rsid w:val="00EF6C38"/>
    <w:rsid w:val="00F01032"/>
    <w:rsid w:val="00F024F9"/>
    <w:rsid w:val="00F04725"/>
    <w:rsid w:val="00F04990"/>
    <w:rsid w:val="00F053D9"/>
    <w:rsid w:val="00F13373"/>
    <w:rsid w:val="00F1723A"/>
    <w:rsid w:val="00F20D0E"/>
    <w:rsid w:val="00F219AB"/>
    <w:rsid w:val="00F23BCD"/>
    <w:rsid w:val="00F25AD9"/>
    <w:rsid w:val="00F25D57"/>
    <w:rsid w:val="00F26EC5"/>
    <w:rsid w:val="00F30E96"/>
    <w:rsid w:val="00F349E8"/>
    <w:rsid w:val="00F36FC0"/>
    <w:rsid w:val="00F40922"/>
    <w:rsid w:val="00F414ED"/>
    <w:rsid w:val="00F42FA6"/>
    <w:rsid w:val="00F4778F"/>
    <w:rsid w:val="00F5001D"/>
    <w:rsid w:val="00F5229D"/>
    <w:rsid w:val="00F54A77"/>
    <w:rsid w:val="00F54C7E"/>
    <w:rsid w:val="00F565DC"/>
    <w:rsid w:val="00F5750B"/>
    <w:rsid w:val="00F62C43"/>
    <w:rsid w:val="00F65C7B"/>
    <w:rsid w:val="00F67BEE"/>
    <w:rsid w:val="00F75CE2"/>
    <w:rsid w:val="00F7628D"/>
    <w:rsid w:val="00F82616"/>
    <w:rsid w:val="00F85761"/>
    <w:rsid w:val="00F8625F"/>
    <w:rsid w:val="00F86F12"/>
    <w:rsid w:val="00F91251"/>
    <w:rsid w:val="00F92301"/>
    <w:rsid w:val="00F94A56"/>
    <w:rsid w:val="00FA0FC2"/>
    <w:rsid w:val="00FA1553"/>
    <w:rsid w:val="00FA2B1E"/>
    <w:rsid w:val="00FB1EA4"/>
    <w:rsid w:val="00FB1F0D"/>
    <w:rsid w:val="00FB1F9B"/>
    <w:rsid w:val="00FB2E3A"/>
    <w:rsid w:val="00FB36B7"/>
    <w:rsid w:val="00FB3764"/>
    <w:rsid w:val="00FB539F"/>
    <w:rsid w:val="00FB6753"/>
    <w:rsid w:val="00FC07EA"/>
    <w:rsid w:val="00FC0F90"/>
    <w:rsid w:val="00FC11DD"/>
    <w:rsid w:val="00FC2693"/>
    <w:rsid w:val="00FC2C1B"/>
    <w:rsid w:val="00FC38FA"/>
    <w:rsid w:val="00FC5578"/>
    <w:rsid w:val="00FC6A97"/>
    <w:rsid w:val="00FC6F3D"/>
    <w:rsid w:val="00FD4D93"/>
    <w:rsid w:val="00FD4E87"/>
    <w:rsid w:val="00FD57C8"/>
    <w:rsid w:val="00FD5991"/>
    <w:rsid w:val="00FE02F4"/>
    <w:rsid w:val="00FE40A6"/>
    <w:rsid w:val="00FE41D4"/>
    <w:rsid w:val="00FE4258"/>
    <w:rsid w:val="00FE4600"/>
    <w:rsid w:val="00FE5C23"/>
    <w:rsid w:val="00FE7BD9"/>
    <w:rsid w:val="00FF0BEA"/>
    <w:rsid w:val="00FF0FCA"/>
    <w:rsid w:val="00FF20B9"/>
    <w:rsid w:val="00FF4C94"/>
    <w:rsid w:val="00FF6C72"/>
    <w:rsid w:val="00FF7FD9"/>
  </w:rsids>
  <m:mathPr>
    <m:mathFont m:val="Cambria Math"/>
    <m:brkBin m:val="before"/>
    <m:brkBinSub m:val="--"/>
    <m:smallFrac m:val="0"/>
    <m:dispDef/>
    <m:lMargin m:val="0"/>
    <m:rMargin m:val="0"/>
    <m:defJc m:val="centerGroup"/>
    <m:wrapIndent m:val="1440"/>
    <m:intLim m:val="subSup"/>
    <m:naryLim m:val="undOvr"/>
  </m:mathPr>
  <w:themeFontLang w:val="el-GR"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5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AAA"/>
  </w:style>
  <w:style w:type="paragraph" w:styleId="Heading1">
    <w:name w:val="heading 1"/>
    <w:basedOn w:val="Normal"/>
    <w:next w:val="Normal"/>
    <w:link w:val="Heading1Char"/>
    <w:uiPriority w:val="9"/>
    <w:qFormat/>
    <w:rsid w:val="006A2CDE"/>
    <w:pPr>
      <w:keepNext/>
      <w:spacing w:before="240" w:after="60" w:line="276" w:lineRule="auto"/>
      <w:jc w:val="both"/>
      <w:outlineLvl w:val="0"/>
    </w:pPr>
    <w:rPr>
      <w:rFonts w:eastAsiaTheme="majorEastAsia" w:cstheme="majorBidi"/>
      <w:b/>
      <w:bCs/>
      <w:caps/>
      <w:kern w:val="32"/>
      <w:sz w:val="28"/>
      <w:szCs w:val="32"/>
    </w:rPr>
  </w:style>
  <w:style w:type="paragraph" w:styleId="Heading2">
    <w:name w:val="heading 2"/>
    <w:basedOn w:val="Normal"/>
    <w:next w:val="Normal"/>
    <w:link w:val="Heading2Char"/>
    <w:uiPriority w:val="9"/>
    <w:unhideWhenUsed/>
    <w:qFormat/>
    <w:rsid w:val="006A2CDE"/>
    <w:pPr>
      <w:keepNext/>
      <w:spacing w:before="240" w:after="60" w:line="276" w:lineRule="auto"/>
      <w:jc w:val="both"/>
      <w:outlineLvl w:val="1"/>
    </w:pPr>
    <w:rPr>
      <w:rFonts w:asciiTheme="minorHAnsi" w:eastAsiaTheme="majorEastAsia" w:hAnsiTheme="minorHAnsi" w:cstheme="majorBidi"/>
      <w:b/>
      <w:bCs/>
      <w:iCs/>
      <w:szCs w:val="28"/>
    </w:rPr>
  </w:style>
  <w:style w:type="paragraph" w:styleId="Heading3">
    <w:name w:val="heading 3"/>
    <w:basedOn w:val="Normal"/>
    <w:next w:val="Normal"/>
    <w:link w:val="Heading3Char"/>
    <w:uiPriority w:val="9"/>
    <w:unhideWhenUsed/>
    <w:qFormat/>
    <w:rsid w:val="002A53FE"/>
    <w:pPr>
      <w:keepNext/>
      <w:spacing w:before="240" w:after="60" w:line="276" w:lineRule="auto"/>
      <w:jc w:val="both"/>
      <w:outlineLvl w:val="2"/>
    </w:pPr>
    <w:rPr>
      <w:rFonts w:asciiTheme="minorHAnsi" w:eastAsiaTheme="majorEastAsia" w:hAnsiTheme="minorHAnsi" w:cstheme="majorBidi"/>
      <w:bCs/>
      <w:i/>
      <w:szCs w:val="26"/>
    </w:rPr>
  </w:style>
  <w:style w:type="paragraph" w:styleId="Heading4">
    <w:name w:val="heading 4"/>
    <w:basedOn w:val="Normal"/>
    <w:next w:val="Normal"/>
    <w:link w:val="Heading4Char"/>
    <w:uiPriority w:val="9"/>
    <w:unhideWhenUsed/>
    <w:qFormat/>
    <w:rsid w:val="00DC6259"/>
    <w:pPr>
      <w:keepNext/>
      <w:numPr>
        <w:ilvl w:val="3"/>
        <w:numId w:val="3"/>
      </w:numPr>
      <w:spacing w:before="240" w:after="60" w:line="276" w:lineRule="auto"/>
      <w:ind w:left="1728" w:hanging="648"/>
      <w:jc w:val="both"/>
      <w:outlineLvl w:val="3"/>
    </w:pPr>
    <w:rPr>
      <w:rFonts w:ascii="Arial" w:hAnsi="Arial"/>
      <w:b/>
      <w:bCs/>
      <w:szCs w:val="28"/>
    </w:rPr>
  </w:style>
  <w:style w:type="paragraph" w:styleId="Heading5">
    <w:name w:val="heading 5"/>
    <w:basedOn w:val="Normal"/>
    <w:next w:val="Normal"/>
    <w:link w:val="Heading5Char"/>
    <w:uiPriority w:val="9"/>
    <w:unhideWhenUsed/>
    <w:qFormat/>
    <w:rsid w:val="00E20B9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rsid w:val="00087AA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87AAA"/>
    <w:pPr>
      <w:keepNext/>
      <w:keepLines/>
      <w:spacing w:before="480" w:after="120"/>
    </w:pPr>
    <w:rPr>
      <w:b/>
      <w:sz w:val="72"/>
      <w:szCs w:val="72"/>
    </w:rPr>
  </w:style>
  <w:style w:type="character" w:customStyle="1" w:styleId="Heading1Char">
    <w:name w:val="Heading 1 Char"/>
    <w:basedOn w:val="DefaultParagraphFont"/>
    <w:link w:val="Heading1"/>
    <w:uiPriority w:val="9"/>
    <w:rsid w:val="006A2CDE"/>
    <w:rPr>
      <w:rFonts w:eastAsiaTheme="majorEastAsia" w:cstheme="majorBidi"/>
      <w:b/>
      <w:bCs/>
      <w:caps/>
      <w:kern w:val="32"/>
      <w:sz w:val="28"/>
      <w:szCs w:val="32"/>
    </w:rPr>
  </w:style>
  <w:style w:type="character" w:customStyle="1" w:styleId="Heading2Char">
    <w:name w:val="Heading 2 Char"/>
    <w:basedOn w:val="DefaultParagraphFont"/>
    <w:link w:val="Heading2"/>
    <w:uiPriority w:val="9"/>
    <w:rsid w:val="006A2CDE"/>
    <w:rPr>
      <w:rFonts w:asciiTheme="minorHAnsi" w:eastAsiaTheme="majorEastAsia" w:hAnsiTheme="minorHAnsi" w:cstheme="majorBidi"/>
      <w:b/>
      <w:bCs/>
      <w:iCs/>
      <w:szCs w:val="28"/>
    </w:rPr>
  </w:style>
  <w:style w:type="character" w:customStyle="1" w:styleId="Heading3Char">
    <w:name w:val="Heading 3 Char"/>
    <w:basedOn w:val="DefaultParagraphFont"/>
    <w:link w:val="Heading3"/>
    <w:uiPriority w:val="9"/>
    <w:rsid w:val="002A53FE"/>
    <w:rPr>
      <w:rFonts w:asciiTheme="minorHAnsi" w:eastAsiaTheme="majorEastAsia" w:hAnsiTheme="minorHAnsi" w:cstheme="majorBidi"/>
      <w:bCs/>
      <w:i/>
      <w:szCs w:val="26"/>
    </w:rPr>
  </w:style>
  <w:style w:type="character" w:customStyle="1" w:styleId="Heading4Char">
    <w:name w:val="Heading 4 Char"/>
    <w:basedOn w:val="DefaultParagraphFont"/>
    <w:link w:val="Heading4"/>
    <w:uiPriority w:val="9"/>
    <w:rsid w:val="00DC6259"/>
    <w:rPr>
      <w:rFonts w:ascii="Arial" w:hAnsi="Arial"/>
      <w:b/>
      <w:bCs/>
      <w:szCs w:val="28"/>
      <w:lang w:eastAsia="en-GB"/>
    </w:rPr>
  </w:style>
  <w:style w:type="character" w:styleId="Hyperlink">
    <w:name w:val="Hyperlink"/>
    <w:basedOn w:val="DefaultParagraphFont"/>
    <w:uiPriority w:val="99"/>
    <w:unhideWhenUsed/>
    <w:rsid w:val="00DC5BA5"/>
    <w:rPr>
      <w:color w:val="0000FF" w:themeColor="hyperlink"/>
      <w:u w:val="single"/>
    </w:rPr>
  </w:style>
  <w:style w:type="character" w:styleId="HTMLCite">
    <w:name w:val="HTML Cite"/>
    <w:basedOn w:val="DefaultParagraphFont"/>
    <w:uiPriority w:val="99"/>
    <w:semiHidden/>
    <w:unhideWhenUsed/>
    <w:rsid w:val="00DC5BA5"/>
    <w:rPr>
      <w:i/>
      <w:iCs/>
    </w:rPr>
  </w:style>
  <w:style w:type="character" w:customStyle="1" w:styleId="name">
    <w:name w:val="name"/>
    <w:basedOn w:val="DefaultParagraphFont"/>
    <w:rsid w:val="00DC5BA5"/>
  </w:style>
  <w:style w:type="character" w:customStyle="1" w:styleId="xref-sep">
    <w:name w:val="xref-sep"/>
    <w:basedOn w:val="DefaultParagraphFont"/>
    <w:rsid w:val="00DC5BA5"/>
  </w:style>
  <w:style w:type="paragraph" w:styleId="NormalWeb">
    <w:name w:val="Normal (Web)"/>
    <w:basedOn w:val="Normal"/>
    <w:uiPriority w:val="99"/>
    <w:unhideWhenUsed/>
    <w:rsid w:val="00DC5BA5"/>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C5BA5"/>
    <w:rPr>
      <w:b/>
      <w:bCs/>
    </w:rPr>
  </w:style>
  <w:style w:type="character" w:styleId="CommentReference">
    <w:name w:val="annotation reference"/>
    <w:basedOn w:val="DefaultParagraphFont"/>
    <w:uiPriority w:val="99"/>
    <w:semiHidden/>
    <w:unhideWhenUsed/>
    <w:rsid w:val="00A97449"/>
    <w:rPr>
      <w:sz w:val="16"/>
      <w:szCs w:val="16"/>
    </w:rPr>
  </w:style>
  <w:style w:type="paragraph" w:styleId="CommentText">
    <w:name w:val="annotation text"/>
    <w:basedOn w:val="Normal"/>
    <w:link w:val="CommentTextChar"/>
    <w:uiPriority w:val="99"/>
    <w:semiHidden/>
    <w:unhideWhenUsed/>
    <w:rsid w:val="00A97449"/>
    <w:rPr>
      <w:sz w:val="20"/>
      <w:szCs w:val="20"/>
    </w:rPr>
  </w:style>
  <w:style w:type="character" w:customStyle="1" w:styleId="CommentTextChar">
    <w:name w:val="Comment Text Char"/>
    <w:basedOn w:val="DefaultParagraphFont"/>
    <w:link w:val="CommentText"/>
    <w:uiPriority w:val="99"/>
    <w:semiHidden/>
    <w:rsid w:val="00A97449"/>
    <w:rPr>
      <w:sz w:val="20"/>
      <w:szCs w:val="20"/>
    </w:rPr>
  </w:style>
  <w:style w:type="paragraph" w:styleId="CommentSubject">
    <w:name w:val="annotation subject"/>
    <w:basedOn w:val="CommentText"/>
    <w:next w:val="CommentText"/>
    <w:link w:val="CommentSubjectChar"/>
    <w:uiPriority w:val="99"/>
    <w:semiHidden/>
    <w:unhideWhenUsed/>
    <w:rsid w:val="00A97449"/>
    <w:rPr>
      <w:b/>
      <w:bCs/>
    </w:rPr>
  </w:style>
  <w:style w:type="character" w:customStyle="1" w:styleId="CommentSubjectChar">
    <w:name w:val="Comment Subject Char"/>
    <w:basedOn w:val="CommentTextChar"/>
    <w:link w:val="CommentSubject"/>
    <w:uiPriority w:val="99"/>
    <w:semiHidden/>
    <w:rsid w:val="00A97449"/>
    <w:rPr>
      <w:b/>
      <w:bCs/>
      <w:sz w:val="20"/>
      <w:szCs w:val="20"/>
    </w:rPr>
  </w:style>
  <w:style w:type="paragraph" w:styleId="BalloonText">
    <w:name w:val="Balloon Text"/>
    <w:basedOn w:val="Normal"/>
    <w:link w:val="BalloonTextChar"/>
    <w:uiPriority w:val="99"/>
    <w:semiHidden/>
    <w:unhideWhenUsed/>
    <w:rsid w:val="00A97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449"/>
    <w:rPr>
      <w:rFonts w:ascii="Segoe UI" w:hAnsi="Segoe UI" w:cs="Segoe UI"/>
      <w:sz w:val="18"/>
      <w:szCs w:val="18"/>
    </w:rPr>
  </w:style>
  <w:style w:type="table" w:styleId="TableGrid">
    <w:name w:val="Table Grid"/>
    <w:basedOn w:val="TableNormal"/>
    <w:uiPriority w:val="39"/>
    <w:rsid w:val="0067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20B90"/>
    <w:rPr>
      <w:rFonts w:asciiTheme="majorHAnsi" w:eastAsiaTheme="majorEastAsia" w:hAnsiTheme="majorHAnsi" w:cstheme="majorBidi"/>
      <w:color w:val="243F60" w:themeColor="accent1" w:themeShade="7F"/>
    </w:rPr>
  </w:style>
  <w:style w:type="character" w:customStyle="1" w:styleId="caption1">
    <w:name w:val="caption1"/>
    <w:basedOn w:val="DefaultParagraphFont"/>
    <w:rsid w:val="00711E35"/>
  </w:style>
  <w:style w:type="character" w:customStyle="1" w:styleId="attribution">
    <w:name w:val="attribution"/>
    <w:basedOn w:val="DefaultParagraphFont"/>
    <w:rsid w:val="00711E35"/>
  </w:style>
  <w:style w:type="character" w:styleId="FollowedHyperlink">
    <w:name w:val="FollowedHyperlink"/>
    <w:basedOn w:val="DefaultParagraphFont"/>
    <w:uiPriority w:val="99"/>
    <w:semiHidden/>
    <w:unhideWhenUsed/>
    <w:rsid w:val="00711E35"/>
    <w:rPr>
      <w:color w:val="800080" w:themeColor="followedHyperlink"/>
      <w:u w:val="single"/>
    </w:rPr>
  </w:style>
  <w:style w:type="paragraph" w:customStyle="1" w:styleId="EndNoteBibliographyTitle">
    <w:name w:val="EndNote Bibliography Title"/>
    <w:basedOn w:val="Normal"/>
    <w:rsid w:val="00711E35"/>
    <w:pPr>
      <w:jc w:val="center"/>
    </w:pPr>
    <w:rPr>
      <w:lang w:val="en-US"/>
    </w:rPr>
  </w:style>
  <w:style w:type="paragraph" w:customStyle="1" w:styleId="EndNoteBibliography">
    <w:name w:val="EndNote Bibliography"/>
    <w:basedOn w:val="Normal"/>
    <w:link w:val="EndNoteBibliographyChar"/>
    <w:rsid w:val="00711E35"/>
    <w:pPr>
      <w:jc w:val="both"/>
    </w:pPr>
    <w:rPr>
      <w:lang w:val="en-US"/>
    </w:rPr>
  </w:style>
  <w:style w:type="paragraph" w:styleId="FootnoteText">
    <w:name w:val="footnote text"/>
    <w:basedOn w:val="Normal"/>
    <w:link w:val="FootnoteTextChar"/>
    <w:uiPriority w:val="99"/>
    <w:unhideWhenUsed/>
    <w:rsid w:val="00C741C9"/>
  </w:style>
  <w:style w:type="character" w:customStyle="1" w:styleId="FootnoteTextChar">
    <w:name w:val="Footnote Text Char"/>
    <w:basedOn w:val="DefaultParagraphFont"/>
    <w:link w:val="FootnoteText"/>
    <w:uiPriority w:val="99"/>
    <w:rsid w:val="00C741C9"/>
  </w:style>
  <w:style w:type="character" w:styleId="FootnoteReference">
    <w:name w:val="footnote reference"/>
    <w:basedOn w:val="DefaultParagraphFont"/>
    <w:uiPriority w:val="99"/>
    <w:unhideWhenUsed/>
    <w:rsid w:val="00C741C9"/>
    <w:rPr>
      <w:vertAlign w:val="superscript"/>
    </w:rPr>
  </w:style>
  <w:style w:type="table" w:styleId="LightShading-Accent5">
    <w:name w:val="Light Shading Accent 5"/>
    <w:basedOn w:val="TableNormal"/>
    <w:uiPriority w:val="60"/>
    <w:rsid w:val="00C741C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C741C9"/>
    <w:pPr>
      <w:spacing w:after="200"/>
    </w:pPr>
    <w:rPr>
      <w:b/>
      <w:bCs/>
      <w:color w:val="4F81BD" w:themeColor="accent1"/>
      <w:sz w:val="18"/>
      <w:szCs w:val="18"/>
    </w:rPr>
  </w:style>
  <w:style w:type="paragraph" w:styleId="ListParagraph">
    <w:name w:val="List Paragraph"/>
    <w:basedOn w:val="Normal"/>
    <w:uiPriority w:val="34"/>
    <w:qFormat/>
    <w:rsid w:val="00CE108A"/>
    <w:pPr>
      <w:ind w:left="720"/>
      <w:contextualSpacing/>
    </w:pPr>
  </w:style>
  <w:style w:type="paragraph" w:styleId="Revision">
    <w:name w:val="Revision"/>
    <w:hidden/>
    <w:uiPriority w:val="99"/>
    <w:semiHidden/>
    <w:rsid w:val="00FD6862"/>
  </w:style>
  <w:style w:type="paragraph" w:styleId="Header">
    <w:name w:val="header"/>
    <w:basedOn w:val="Normal"/>
    <w:link w:val="HeaderChar"/>
    <w:uiPriority w:val="99"/>
    <w:unhideWhenUsed/>
    <w:rsid w:val="00080AC4"/>
    <w:pPr>
      <w:tabs>
        <w:tab w:val="center" w:pos="4320"/>
        <w:tab w:val="right" w:pos="8640"/>
      </w:tabs>
    </w:pPr>
  </w:style>
  <w:style w:type="character" w:customStyle="1" w:styleId="HeaderChar">
    <w:name w:val="Header Char"/>
    <w:basedOn w:val="DefaultParagraphFont"/>
    <w:link w:val="Header"/>
    <w:uiPriority w:val="99"/>
    <w:rsid w:val="00080AC4"/>
  </w:style>
  <w:style w:type="paragraph" w:styleId="Footer">
    <w:name w:val="footer"/>
    <w:basedOn w:val="Normal"/>
    <w:link w:val="FooterChar"/>
    <w:uiPriority w:val="99"/>
    <w:unhideWhenUsed/>
    <w:rsid w:val="00080AC4"/>
    <w:pPr>
      <w:tabs>
        <w:tab w:val="center" w:pos="4320"/>
        <w:tab w:val="right" w:pos="8640"/>
      </w:tabs>
    </w:pPr>
  </w:style>
  <w:style w:type="character" w:customStyle="1" w:styleId="FooterChar">
    <w:name w:val="Footer Char"/>
    <w:basedOn w:val="DefaultParagraphFont"/>
    <w:link w:val="Footer"/>
    <w:uiPriority w:val="99"/>
    <w:rsid w:val="00080AC4"/>
  </w:style>
  <w:style w:type="paragraph" w:styleId="DocumentMap">
    <w:name w:val="Document Map"/>
    <w:basedOn w:val="Normal"/>
    <w:link w:val="DocumentMapChar"/>
    <w:uiPriority w:val="99"/>
    <w:semiHidden/>
    <w:unhideWhenUsed/>
    <w:rsid w:val="008862B2"/>
    <w:rPr>
      <w:rFonts w:ascii="Lucida Grande" w:hAnsi="Lucida Grande" w:cs="Lucida Grande"/>
    </w:rPr>
  </w:style>
  <w:style w:type="character" w:customStyle="1" w:styleId="DocumentMapChar">
    <w:name w:val="Document Map Char"/>
    <w:basedOn w:val="DefaultParagraphFont"/>
    <w:link w:val="DocumentMap"/>
    <w:uiPriority w:val="99"/>
    <w:semiHidden/>
    <w:rsid w:val="008862B2"/>
    <w:rPr>
      <w:rFonts w:ascii="Lucida Grande" w:hAnsi="Lucida Grande" w:cs="Lucida Grande"/>
    </w:rPr>
  </w:style>
  <w:style w:type="paragraph" w:customStyle="1" w:styleId="p1">
    <w:name w:val="p1"/>
    <w:basedOn w:val="Normal"/>
    <w:rsid w:val="008C37B2"/>
    <w:rPr>
      <w:rFonts w:ascii="Helvetica" w:hAnsi="Helvetica" w:cs="Times New Roman"/>
      <w:sz w:val="17"/>
      <w:szCs w:val="17"/>
    </w:rPr>
  </w:style>
  <w:style w:type="paragraph" w:customStyle="1" w:styleId="p2">
    <w:name w:val="p2"/>
    <w:basedOn w:val="Normal"/>
    <w:rsid w:val="008C37B2"/>
    <w:rPr>
      <w:rFonts w:ascii="Helvetica" w:hAnsi="Helvetica" w:cs="Times New Roman"/>
      <w:color w:val="00DC00"/>
      <w:sz w:val="12"/>
      <w:szCs w:val="12"/>
    </w:rPr>
  </w:style>
  <w:style w:type="paragraph" w:customStyle="1" w:styleId="p3">
    <w:name w:val="p3"/>
    <w:basedOn w:val="Normal"/>
    <w:rsid w:val="008C37B2"/>
    <w:rPr>
      <w:rFonts w:ascii="Helvetica" w:hAnsi="Helvetica" w:cs="Times New Roman"/>
      <w:sz w:val="8"/>
      <w:szCs w:val="8"/>
    </w:rPr>
  </w:style>
  <w:style w:type="paragraph" w:customStyle="1" w:styleId="p4">
    <w:name w:val="p4"/>
    <w:basedOn w:val="Normal"/>
    <w:rsid w:val="008C37B2"/>
    <w:rPr>
      <w:rFonts w:ascii="Helvetica" w:hAnsi="Helvetica" w:cs="Times New Roman"/>
      <w:sz w:val="12"/>
      <w:szCs w:val="12"/>
    </w:rPr>
  </w:style>
  <w:style w:type="character" w:customStyle="1" w:styleId="s1">
    <w:name w:val="s1"/>
    <w:basedOn w:val="DefaultParagraphFont"/>
    <w:rsid w:val="00EC5BC8"/>
    <w:rPr>
      <w:color w:val="3977FC"/>
    </w:rPr>
  </w:style>
  <w:style w:type="character" w:styleId="PageNumber">
    <w:name w:val="page number"/>
    <w:basedOn w:val="DefaultParagraphFont"/>
    <w:uiPriority w:val="99"/>
    <w:semiHidden/>
    <w:unhideWhenUsed/>
    <w:rsid w:val="00906C2B"/>
  </w:style>
  <w:style w:type="character" w:customStyle="1" w:styleId="EndNoteBibliographyChar">
    <w:name w:val="EndNote Bibliography Char"/>
    <w:basedOn w:val="DefaultParagraphFont"/>
    <w:link w:val="EndNoteBibliography"/>
    <w:rsid w:val="008E50C5"/>
    <w:rPr>
      <w:rFonts w:ascii="Cambria" w:hAnsi="Cambria"/>
      <w:lang w:val="en-US"/>
    </w:rPr>
  </w:style>
  <w:style w:type="paragraph" w:styleId="Subtitle">
    <w:name w:val="Subtitle"/>
    <w:basedOn w:val="Normal"/>
    <w:next w:val="Normal"/>
    <w:rsid w:val="00087AAA"/>
    <w:pPr>
      <w:keepNext/>
      <w:keepLines/>
      <w:spacing w:before="360" w:after="80"/>
    </w:pPr>
    <w:rPr>
      <w:rFonts w:ascii="Georgia" w:eastAsia="Georgia" w:hAnsi="Georgia" w:cs="Georgia"/>
      <w:i/>
      <w:color w:val="666666"/>
      <w:sz w:val="48"/>
      <w:szCs w:val="48"/>
    </w:rPr>
  </w:style>
  <w:style w:type="table" w:customStyle="1" w:styleId="a">
    <w:basedOn w:val="TableNormal"/>
    <w:rsid w:val="00087AAA"/>
    <w:rPr>
      <w:color w:val="31849B"/>
    </w:rPr>
    <w:tblPr>
      <w:tblStyleRowBandSize w:val="1"/>
      <w:tblStyleColBandSize w:val="1"/>
    </w:tblPr>
  </w:style>
  <w:style w:type="table" w:customStyle="1" w:styleId="a0">
    <w:basedOn w:val="TableNormal"/>
    <w:rsid w:val="00087AAA"/>
    <w:rPr>
      <w:color w:val="31849B"/>
    </w:rPr>
    <w:tblPr>
      <w:tblStyleRowBandSize w:val="1"/>
      <w:tblStyleColBandSize w:val="1"/>
    </w:tblPr>
  </w:style>
  <w:style w:type="table" w:customStyle="1" w:styleId="a1">
    <w:basedOn w:val="TableNormal"/>
    <w:rsid w:val="00087AAA"/>
    <w:rPr>
      <w:color w:val="31849B"/>
    </w:rPr>
    <w:tblPr>
      <w:tblStyleRowBandSize w:val="1"/>
      <w:tblStyleColBandSize w:val="1"/>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customStyle="1" w:styleId="a2">
    <w:basedOn w:val="TableNormal"/>
    <w:rsid w:val="00087AAA"/>
    <w:rPr>
      <w:color w:val="31849B"/>
    </w:rPr>
    <w:tblPr>
      <w:tblStyleRowBandSize w:val="1"/>
      <w:tblStyleColBandSize w:val="1"/>
    </w:tblPr>
  </w:style>
  <w:style w:type="table" w:customStyle="1" w:styleId="a3">
    <w:basedOn w:val="TableNormal"/>
    <w:rsid w:val="00087AAA"/>
    <w:rPr>
      <w:color w:val="31849B"/>
    </w:rPr>
    <w:tblPr>
      <w:tblStyleRowBandSize w:val="1"/>
      <w:tblStyleColBandSize w:val="1"/>
    </w:tblPr>
  </w:style>
  <w:style w:type="table" w:customStyle="1" w:styleId="a4">
    <w:basedOn w:val="TableNormal"/>
    <w:rsid w:val="00087AAA"/>
    <w:rPr>
      <w:color w:val="31849B"/>
    </w:rPr>
    <w:tblPr>
      <w:tblStyleRowBandSize w:val="1"/>
      <w:tblStyleColBandSize w:val="1"/>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paragraph" w:styleId="Bibliography">
    <w:name w:val="Bibliography"/>
    <w:basedOn w:val="Normal"/>
    <w:next w:val="Normal"/>
    <w:uiPriority w:val="37"/>
    <w:unhideWhenUsed/>
    <w:rsid w:val="000F6FA5"/>
    <w:pPr>
      <w:spacing w:after="240"/>
    </w:pPr>
  </w:style>
  <w:style w:type="table" w:customStyle="1" w:styleId="PlainTable11">
    <w:name w:val="Plain Table 11"/>
    <w:basedOn w:val="TableNormal"/>
    <w:uiPriority w:val="41"/>
    <w:rsid w:val="00A00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it">
    <w:name w:val="cit"/>
    <w:basedOn w:val="DefaultParagraphFont"/>
    <w:rsid w:val="000E5147"/>
  </w:style>
  <w:style w:type="character" w:customStyle="1" w:styleId="fm-vol-iss-date">
    <w:name w:val="fm-vol-iss-date"/>
    <w:basedOn w:val="DefaultParagraphFont"/>
    <w:rsid w:val="000E5147"/>
  </w:style>
  <w:style w:type="character" w:customStyle="1" w:styleId="doi">
    <w:name w:val="doi"/>
    <w:basedOn w:val="DefaultParagraphFont"/>
    <w:rsid w:val="000E5147"/>
  </w:style>
  <w:style w:type="paragraph" w:customStyle="1" w:styleId="yiv7745903076msonormal">
    <w:name w:val="yiv7745903076msonormal"/>
    <w:basedOn w:val="Normal"/>
    <w:rsid w:val="00532C8E"/>
    <w:pPr>
      <w:spacing w:before="100" w:beforeAutospacing="1" w:after="100" w:afterAutospacing="1"/>
    </w:pPr>
    <w:rPr>
      <w:rFonts w:ascii="Times New Roman" w:eastAsia="Times New Roman" w:hAnsi="Times New Roman" w:cs="Times New Roman"/>
      <w:lang w:val="en-US" w:eastAsia="en-US"/>
    </w:rPr>
  </w:style>
  <w:style w:type="paragraph" w:customStyle="1" w:styleId="yiv7314992166xydpbb3994b1msonormal">
    <w:name w:val="yiv7314992166x_ydpbb3994b1msonormal"/>
    <w:basedOn w:val="Normal"/>
    <w:rsid w:val="00532C8E"/>
    <w:pPr>
      <w:spacing w:before="100" w:beforeAutospacing="1" w:after="100" w:afterAutospacing="1"/>
    </w:pPr>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2C4587"/>
    <w:rPr>
      <w:color w:val="605E5C"/>
      <w:shd w:val="clear" w:color="auto" w:fill="E1DFDD"/>
    </w:rPr>
  </w:style>
  <w:style w:type="table" w:customStyle="1" w:styleId="Zwykatabela21">
    <w:name w:val="Zwykła tabela 21"/>
    <w:basedOn w:val="TableNormal"/>
    <w:uiPriority w:val="99"/>
    <w:rsid w:val="00583E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EE698E"/>
    <w:rPr>
      <w:color w:val="605E5C"/>
      <w:shd w:val="clear" w:color="auto" w:fill="E1DFDD"/>
    </w:rPr>
  </w:style>
  <w:style w:type="paragraph" w:styleId="EndnoteText">
    <w:name w:val="endnote text"/>
    <w:basedOn w:val="Normal"/>
    <w:link w:val="EndnoteTextChar"/>
    <w:uiPriority w:val="99"/>
    <w:semiHidden/>
    <w:unhideWhenUsed/>
    <w:rsid w:val="00F349E8"/>
    <w:rPr>
      <w:sz w:val="20"/>
      <w:szCs w:val="20"/>
    </w:rPr>
  </w:style>
  <w:style w:type="character" w:customStyle="1" w:styleId="EndnoteTextChar">
    <w:name w:val="Endnote Text Char"/>
    <w:basedOn w:val="DefaultParagraphFont"/>
    <w:link w:val="EndnoteText"/>
    <w:uiPriority w:val="99"/>
    <w:semiHidden/>
    <w:rsid w:val="00F349E8"/>
    <w:rPr>
      <w:sz w:val="20"/>
      <w:szCs w:val="20"/>
    </w:rPr>
  </w:style>
  <w:style w:type="character" w:styleId="EndnoteReference">
    <w:name w:val="endnote reference"/>
    <w:basedOn w:val="DefaultParagraphFont"/>
    <w:uiPriority w:val="99"/>
    <w:semiHidden/>
    <w:unhideWhenUsed/>
    <w:rsid w:val="00F349E8"/>
    <w:rPr>
      <w:vertAlign w:val="superscript"/>
    </w:rPr>
  </w:style>
  <w:style w:type="character" w:customStyle="1" w:styleId="authors-list-item">
    <w:name w:val="authors-list-item"/>
    <w:basedOn w:val="DefaultParagraphFont"/>
    <w:rsid w:val="009D4A63"/>
  </w:style>
  <w:style w:type="character" w:customStyle="1" w:styleId="author-sup-separator">
    <w:name w:val="author-sup-separator"/>
    <w:basedOn w:val="DefaultParagraphFont"/>
    <w:rsid w:val="009D4A63"/>
  </w:style>
  <w:style w:type="character" w:customStyle="1" w:styleId="comma">
    <w:name w:val="comma"/>
    <w:basedOn w:val="DefaultParagraphFont"/>
    <w:rsid w:val="009D4A63"/>
  </w:style>
  <w:style w:type="character" w:customStyle="1" w:styleId="period">
    <w:name w:val="period"/>
    <w:basedOn w:val="DefaultParagraphFont"/>
    <w:rsid w:val="009D4A63"/>
  </w:style>
  <w:style w:type="character" w:customStyle="1" w:styleId="citation-doi">
    <w:name w:val="citation-doi"/>
    <w:basedOn w:val="DefaultParagraphFont"/>
    <w:rsid w:val="009D4A63"/>
  </w:style>
  <w:style w:type="character" w:customStyle="1" w:styleId="field-content">
    <w:name w:val="field-content"/>
    <w:basedOn w:val="DefaultParagraphFont"/>
    <w:rsid w:val="00135E05"/>
  </w:style>
  <w:style w:type="character" w:styleId="UnresolvedMention">
    <w:name w:val="Unresolved Mention"/>
    <w:basedOn w:val="DefaultParagraphFont"/>
    <w:uiPriority w:val="99"/>
    <w:semiHidden/>
    <w:unhideWhenUsed/>
    <w:rsid w:val="00396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77">
      <w:bodyDiv w:val="1"/>
      <w:marLeft w:val="0"/>
      <w:marRight w:val="0"/>
      <w:marTop w:val="0"/>
      <w:marBottom w:val="0"/>
      <w:divBdr>
        <w:top w:val="none" w:sz="0" w:space="0" w:color="auto"/>
        <w:left w:val="none" w:sz="0" w:space="0" w:color="auto"/>
        <w:bottom w:val="none" w:sz="0" w:space="0" w:color="auto"/>
        <w:right w:val="none" w:sz="0" w:space="0" w:color="auto"/>
      </w:divBdr>
    </w:div>
    <w:div w:id="58751904">
      <w:bodyDiv w:val="1"/>
      <w:marLeft w:val="0"/>
      <w:marRight w:val="0"/>
      <w:marTop w:val="0"/>
      <w:marBottom w:val="0"/>
      <w:divBdr>
        <w:top w:val="none" w:sz="0" w:space="0" w:color="auto"/>
        <w:left w:val="none" w:sz="0" w:space="0" w:color="auto"/>
        <w:bottom w:val="none" w:sz="0" w:space="0" w:color="auto"/>
        <w:right w:val="none" w:sz="0" w:space="0" w:color="auto"/>
      </w:divBdr>
    </w:div>
    <w:div w:id="277418091">
      <w:bodyDiv w:val="1"/>
      <w:marLeft w:val="0"/>
      <w:marRight w:val="0"/>
      <w:marTop w:val="0"/>
      <w:marBottom w:val="0"/>
      <w:divBdr>
        <w:top w:val="none" w:sz="0" w:space="0" w:color="auto"/>
        <w:left w:val="none" w:sz="0" w:space="0" w:color="auto"/>
        <w:bottom w:val="none" w:sz="0" w:space="0" w:color="auto"/>
        <w:right w:val="none" w:sz="0" w:space="0" w:color="auto"/>
      </w:divBdr>
      <w:divsChild>
        <w:div w:id="172186305">
          <w:marLeft w:val="0"/>
          <w:marRight w:val="0"/>
          <w:marTop w:val="0"/>
          <w:marBottom w:val="0"/>
          <w:divBdr>
            <w:top w:val="none" w:sz="0" w:space="0" w:color="auto"/>
            <w:left w:val="none" w:sz="0" w:space="0" w:color="auto"/>
            <w:bottom w:val="none" w:sz="0" w:space="0" w:color="auto"/>
            <w:right w:val="none" w:sz="0" w:space="0" w:color="auto"/>
          </w:divBdr>
          <w:divsChild>
            <w:div w:id="1469783512">
              <w:marLeft w:val="0"/>
              <w:marRight w:val="0"/>
              <w:marTop w:val="332"/>
              <w:marBottom w:val="332"/>
              <w:divBdr>
                <w:top w:val="none" w:sz="0" w:space="0" w:color="auto"/>
                <w:left w:val="none" w:sz="0" w:space="0" w:color="auto"/>
                <w:bottom w:val="none" w:sz="0" w:space="0" w:color="auto"/>
                <w:right w:val="none" w:sz="0" w:space="0" w:color="auto"/>
              </w:divBdr>
              <w:divsChild>
                <w:div w:id="374935265">
                  <w:marLeft w:val="0"/>
                  <w:marRight w:val="0"/>
                  <w:marTop w:val="0"/>
                  <w:marBottom w:val="0"/>
                  <w:divBdr>
                    <w:top w:val="none" w:sz="0" w:space="0" w:color="auto"/>
                    <w:left w:val="none" w:sz="0" w:space="0" w:color="auto"/>
                    <w:bottom w:val="none" w:sz="0" w:space="0" w:color="auto"/>
                    <w:right w:val="none" w:sz="0" w:space="0" w:color="auto"/>
                  </w:divBdr>
                </w:div>
              </w:divsChild>
            </w:div>
            <w:div w:id="303585982">
              <w:marLeft w:val="0"/>
              <w:marRight w:val="0"/>
              <w:marTop w:val="332"/>
              <w:marBottom w:val="332"/>
              <w:divBdr>
                <w:top w:val="none" w:sz="0" w:space="0" w:color="auto"/>
                <w:left w:val="none" w:sz="0" w:space="0" w:color="auto"/>
                <w:bottom w:val="none" w:sz="0" w:space="0" w:color="auto"/>
                <w:right w:val="none" w:sz="0" w:space="0" w:color="auto"/>
              </w:divBdr>
              <w:divsChild>
                <w:div w:id="1768116150">
                  <w:marLeft w:val="0"/>
                  <w:marRight w:val="0"/>
                  <w:marTop w:val="0"/>
                  <w:marBottom w:val="0"/>
                  <w:divBdr>
                    <w:top w:val="none" w:sz="0" w:space="0" w:color="auto"/>
                    <w:left w:val="none" w:sz="0" w:space="0" w:color="auto"/>
                    <w:bottom w:val="none" w:sz="0" w:space="0" w:color="auto"/>
                    <w:right w:val="none" w:sz="0" w:space="0" w:color="auto"/>
                  </w:divBdr>
                </w:div>
              </w:divsChild>
            </w:div>
            <w:div w:id="1952199430">
              <w:marLeft w:val="0"/>
              <w:marRight w:val="0"/>
              <w:marTop w:val="332"/>
              <w:marBottom w:val="332"/>
              <w:divBdr>
                <w:top w:val="none" w:sz="0" w:space="0" w:color="auto"/>
                <w:left w:val="none" w:sz="0" w:space="0" w:color="auto"/>
                <w:bottom w:val="none" w:sz="0" w:space="0" w:color="auto"/>
                <w:right w:val="none" w:sz="0" w:space="0" w:color="auto"/>
              </w:divBdr>
              <w:divsChild>
                <w:div w:id="14574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7657">
          <w:marLeft w:val="0"/>
          <w:marRight w:val="0"/>
          <w:marTop w:val="0"/>
          <w:marBottom w:val="0"/>
          <w:divBdr>
            <w:top w:val="none" w:sz="0" w:space="0" w:color="auto"/>
            <w:left w:val="none" w:sz="0" w:space="0" w:color="auto"/>
            <w:bottom w:val="none" w:sz="0" w:space="0" w:color="auto"/>
            <w:right w:val="none" w:sz="0" w:space="0" w:color="auto"/>
          </w:divBdr>
        </w:div>
        <w:div w:id="1165631984">
          <w:marLeft w:val="0"/>
          <w:marRight w:val="0"/>
          <w:marTop w:val="0"/>
          <w:marBottom w:val="0"/>
          <w:divBdr>
            <w:top w:val="none" w:sz="0" w:space="0" w:color="auto"/>
            <w:left w:val="none" w:sz="0" w:space="0" w:color="auto"/>
            <w:bottom w:val="none" w:sz="0" w:space="0" w:color="auto"/>
            <w:right w:val="none" w:sz="0" w:space="0" w:color="auto"/>
          </w:divBdr>
        </w:div>
        <w:div w:id="249703586">
          <w:marLeft w:val="0"/>
          <w:marRight w:val="0"/>
          <w:marTop w:val="0"/>
          <w:marBottom w:val="0"/>
          <w:divBdr>
            <w:top w:val="none" w:sz="0" w:space="0" w:color="auto"/>
            <w:left w:val="none" w:sz="0" w:space="0" w:color="auto"/>
            <w:bottom w:val="none" w:sz="0" w:space="0" w:color="auto"/>
            <w:right w:val="none" w:sz="0" w:space="0" w:color="auto"/>
          </w:divBdr>
        </w:div>
        <w:div w:id="1158424859">
          <w:marLeft w:val="0"/>
          <w:marRight w:val="0"/>
          <w:marTop w:val="0"/>
          <w:marBottom w:val="0"/>
          <w:divBdr>
            <w:top w:val="none" w:sz="0" w:space="0" w:color="auto"/>
            <w:left w:val="none" w:sz="0" w:space="0" w:color="auto"/>
            <w:bottom w:val="none" w:sz="0" w:space="0" w:color="auto"/>
            <w:right w:val="none" w:sz="0" w:space="0" w:color="auto"/>
          </w:divBdr>
        </w:div>
        <w:div w:id="2140606488">
          <w:marLeft w:val="0"/>
          <w:marRight w:val="0"/>
          <w:marTop w:val="0"/>
          <w:marBottom w:val="0"/>
          <w:divBdr>
            <w:top w:val="none" w:sz="0" w:space="0" w:color="auto"/>
            <w:left w:val="none" w:sz="0" w:space="0" w:color="auto"/>
            <w:bottom w:val="none" w:sz="0" w:space="0" w:color="auto"/>
            <w:right w:val="none" w:sz="0" w:space="0" w:color="auto"/>
          </w:divBdr>
        </w:div>
        <w:div w:id="1728798164">
          <w:marLeft w:val="0"/>
          <w:marRight w:val="0"/>
          <w:marTop w:val="0"/>
          <w:marBottom w:val="0"/>
          <w:divBdr>
            <w:top w:val="none" w:sz="0" w:space="0" w:color="auto"/>
            <w:left w:val="none" w:sz="0" w:space="0" w:color="auto"/>
            <w:bottom w:val="none" w:sz="0" w:space="0" w:color="auto"/>
            <w:right w:val="none" w:sz="0" w:space="0" w:color="auto"/>
          </w:divBdr>
        </w:div>
        <w:div w:id="909534779">
          <w:marLeft w:val="0"/>
          <w:marRight w:val="0"/>
          <w:marTop w:val="0"/>
          <w:marBottom w:val="0"/>
          <w:divBdr>
            <w:top w:val="none" w:sz="0" w:space="0" w:color="auto"/>
            <w:left w:val="none" w:sz="0" w:space="0" w:color="auto"/>
            <w:bottom w:val="none" w:sz="0" w:space="0" w:color="auto"/>
            <w:right w:val="none" w:sz="0" w:space="0" w:color="auto"/>
          </w:divBdr>
        </w:div>
      </w:divsChild>
    </w:div>
    <w:div w:id="449786764">
      <w:bodyDiv w:val="1"/>
      <w:marLeft w:val="0"/>
      <w:marRight w:val="0"/>
      <w:marTop w:val="0"/>
      <w:marBottom w:val="0"/>
      <w:divBdr>
        <w:top w:val="none" w:sz="0" w:space="0" w:color="auto"/>
        <w:left w:val="none" w:sz="0" w:space="0" w:color="auto"/>
        <w:bottom w:val="none" w:sz="0" w:space="0" w:color="auto"/>
        <w:right w:val="none" w:sz="0" w:space="0" w:color="auto"/>
      </w:divBdr>
    </w:div>
    <w:div w:id="539823984">
      <w:bodyDiv w:val="1"/>
      <w:marLeft w:val="0"/>
      <w:marRight w:val="0"/>
      <w:marTop w:val="0"/>
      <w:marBottom w:val="0"/>
      <w:divBdr>
        <w:top w:val="none" w:sz="0" w:space="0" w:color="auto"/>
        <w:left w:val="none" w:sz="0" w:space="0" w:color="auto"/>
        <w:bottom w:val="none" w:sz="0" w:space="0" w:color="auto"/>
        <w:right w:val="none" w:sz="0" w:space="0" w:color="auto"/>
      </w:divBdr>
    </w:div>
    <w:div w:id="600727760">
      <w:bodyDiv w:val="1"/>
      <w:marLeft w:val="0"/>
      <w:marRight w:val="0"/>
      <w:marTop w:val="0"/>
      <w:marBottom w:val="0"/>
      <w:divBdr>
        <w:top w:val="none" w:sz="0" w:space="0" w:color="auto"/>
        <w:left w:val="none" w:sz="0" w:space="0" w:color="auto"/>
        <w:bottom w:val="none" w:sz="0" w:space="0" w:color="auto"/>
        <w:right w:val="none" w:sz="0" w:space="0" w:color="auto"/>
      </w:divBdr>
    </w:div>
    <w:div w:id="1067461886">
      <w:bodyDiv w:val="1"/>
      <w:marLeft w:val="0"/>
      <w:marRight w:val="0"/>
      <w:marTop w:val="0"/>
      <w:marBottom w:val="0"/>
      <w:divBdr>
        <w:top w:val="none" w:sz="0" w:space="0" w:color="auto"/>
        <w:left w:val="none" w:sz="0" w:space="0" w:color="auto"/>
        <w:bottom w:val="none" w:sz="0" w:space="0" w:color="auto"/>
        <w:right w:val="none" w:sz="0" w:space="0" w:color="auto"/>
      </w:divBdr>
    </w:div>
    <w:div w:id="1152679566">
      <w:bodyDiv w:val="1"/>
      <w:marLeft w:val="0"/>
      <w:marRight w:val="0"/>
      <w:marTop w:val="0"/>
      <w:marBottom w:val="0"/>
      <w:divBdr>
        <w:top w:val="none" w:sz="0" w:space="0" w:color="auto"/>
        <w:left w:val="none" w:sz="0" w:space="0" w:color="auto"/>
        <w:bottom w:val="none" w:sz="0" w:space="0" w:color="auto"/>
        <w:right w:val="none" w:sz="0" w:space="0" w:color="auto"/>
      </w:divBdr>
    </w:div>
    <w:div w:id="1302543660">
      <w:bodyDiv w:val="1"/>
      <w:marLeft w:val="0"/>
      <w:marRight w:val="0"/>
      <w:marTop w:val="0"/>
      <w:marBottom w:val="0"/>
      <w:divBdr>
        <w:top w:val="none" w:sz="0" w:space="0" w:color="auto"/>
        <w:left w:val="none" w:sz="0" w:space="0" w:color="auto"/>
        <w:bottom w:val="none" w:sz="0" w:space="0" w:color="auto"/>
        <w:right w:val="none" w:sz="0" w:space="0" w:color="auto"/>
      </w:divBdr>
    </w:div>
    <w:div w:id="1381050802">
      <w:bodyDiv w:val="1"/>
      <w:marLeft w:val="0"/>
      <w:marRight w:val="0"/>
      <w:marTop w:val="0"/>
      <w:marBottom w:val="0"/>
      <w:divBdr>
        <w:top w:val="none" w:sz="0" w:space="0" w:color="auto"/>
        <w:left w:val="none" w:sz="0" w:space="0" w:color="auto"/>
        <w:bottom w:val="none" w:sz="0" w:space="0" w:color="auto"/>
        <w:right w:val="none" w:sz="0" w:space="0" w:color="auto"/>
      </w:divBdr>
    </w:div>
    <w:div w:id="1461607000">
      <w:bodyDiv w:val="1"/>
      <w:marLeft w:val="0"/>
      <w:marRight w:val="0"/>
      <w:marTop w:val="0"/>
      <w:marBottom w:val="0"/>
      <w:divBdr>
        <w:top w:val="none" w:sz="0" w:space="0" w:color="auto"/>
        <w:left w:val="none" w:sz="0" w:space="0" w:color="auto"/>
        <w:bottom w:val="none" w:sz="0" w:space="0" w:color="auto"/>
        <w:right w:val="none" w:sz="0" w:space="0" w:color="auto"/>
      </w:divBdr>
    </w:div>
    <w:div w:id="1514875431">
      <w:bodyDiv w:val="1"/>
      <w:marLeft w:val="0"/>
      <w:marRight w:val="0"/>
      <w:marTop w:val="0"/>
      <w:marBottom w:val="0"/>
      <w:divBdr>
        <w:top w:val="none" w:sz="0" w:space="0" w:color="auto"/>
        <w:left w:val="none" w:sz="0" w:space="0" w:color="auto"/>
        <w:bottom w:val="none" w:sz="0" w:space="0" w:color="auto"/>
        <w:right w:val="none" w:sz="0" w:space="0" w:color="auto"/>
      </w:divBdr>
    </w:div>
    <w:div w:id="1663314484">
      <w:bodyDiv w:val="1"/>
      <w:marLeft w:val="0"/>
      <w:marRight w:val="0"/>
      <w:marTop w:val="0"/>
      <w:marBottom w:val="0"/>
      <w:divBdr>
        <w:top w:val="none" w:sz="0" w:space="0" w:color="auto"/>
        <w:left w:val="none" w:sz="0" w:space="0" w:color="auto"/>
        <w:bottom w:val="none" w:sz="0" w:space="0" w:color="auto"/>
        <w:right w:val="none" w:sz="0" w:space="0" w:color="auto"/>
      </w:divBdr>
      <w:divsChild>
        <w:div w:id="2031374007">
          <w:marLeft w:val="0"/>
          <w:marRight w:val="0"/>
          <w:marTop w:val="0"/>
          <w:marBottom w:val="0"/>
          <w:divBdr>
            <w:top w:val="none" w:sz="0" w:space="0" w:color="auto"/>
            <w:left w:val="none" w:sz="0" w:space="0" w:color="auto"/>
            <w:bottom w:val="none" w:sz="0" w:space="0" w:color="auto"/>
            <w:right w:val="none" w:sz="0" w:space="0" w:color="auto"/>
          </w:divBdr>
          <w:divsChild>
            <w:div w:id="877936167">
              <w:marLeft w:val="0"/>
              <w:marRight w:val="0"/>
              <w:marTop w:val="0"/>
              <w:marBottom w:val="0"/>
              <w:divBdr>
                <w:top w:val="none" w:sz="0" w:space="0" w:color="auto"/>
                <w:left w:val="none" w:sz="0" w:space="0" w:color="auto"/>
                <w:bottom w:val="none" w:sz="0" w:space="0" w:color="auto"/>
                <w:right w:val="none" w:sz="0" w:space="0" w:color="auto"/>
              </w:divBdr>
              <w:divsChild>
                <w:div w:id="78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6157">
      <w:bodyDiv w:val="1"/>
      <w:marLeft w:val="0"/>
      <w:marRight w:val="0"/>
      <w:marTop w:val="0"/>
      <w:marBottom w:val="0"/>
      <w:divBdr>
        <w:top w:val="none" w:sz="0" w:space="0" w:color="auto"/>
        <w:left w:val="none" w:sz="0" w:space="0" w:color="auto"/>
        <w:bottom w:val="none" w:sz="0" w:space="0" w:color="auto"/>
        <w:right w:val="none" w:sz="0" w:space="0" w:color="auto"/>
      </w:divBdr>
      <w:divsChild>
        <w:div w:id="765881651">
          <w:marLeft w:val="0"/>
          <w:marRight w:val="0"/>
          <w:marTop w:val="0"/>
          <w:marBottom w:val="0"/>
          <w:divBdr>
            <w:top w:val="none" w:sz="0" w:space="0" w:color="auto"/>
            <w:left w:val="none" w:sz="0" w:space="0" w:color="auto"/>
            <w:bottom w:val="none" w:sz="0" w:space="0" w:color="auto"/>
            <w:right w:val="none" w:sz="0" w:space="0" w:color="auto"/>
          </w:divBdr>
          <w:divsChild>
            <w:div w:id="539099918">
              <w:marLeft w:val="0"/>
              <w:marRight w:val="0"/>
              <w:marTop w:val="0"/>
              <w:marBottom w:val="0"/>
              <w:divBdr>
                <w:top w:val="none" w:sz="0" w:space="0" w:color="auto"/>
                <w:left w:val="none" w:sz="0" w:space="0" w:color="auto"/>
                <w:bottom w:val="none" w:sz="0" w:space="0" w:color="auto"/>
                <w:right w:val="none" w:sz="0" w:space="0" w:color="auto"/>
              </w:divBdr>
              <w:divsChild>
                <w:div w:id="21325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7239">
      <w:bodyDiv w:val="1"/>
      <w:marLeft w:val="0"/>
      <w:marRight w:val="0"/>
      <w:marTop w:val="0"/>
      <w:marBottom w:val="0"/>
      <w:divBdr>
        <w:top w:val="none" w:sz="0" w:space="0" w:color="auto"/>
        <w:left w:val="none" w:sz="0" w:space="0" w:color="auto"/>
        <w:bottom w:val="none" w:sz="0" w:space="0" w:color="auto"/>
        <w:right w:val="none" w:sz="0" w:space="0" w:color="auto"/>
      </w:divBdr>
    </w:div>
    <w:div w:id="2056543584">
      <w:bodyDiv w:val="1"/>
      <w:marLeft w:val="0"/>
      <w:marRight w:val="0"/>
      <w:marTop w:val="0"/>
      <w:marBottom w:val="0"/>
      <w:divBdr>
        <w:top w:val="none" w:sz="0" w:space="0" w:color="auto"/>
        <w:left w:val="none" w:sz="0" w:space="0" w:color="auto"/>
        <w:bottom w:val="none" w:sz="0" w:space="0" w:color="auto"/>
        <w:right w:val="none" w:sz="0" w:space="0" w:color="auto"/>
      </w:divBdr>
      <w:divsChild>
        <w:div w:id="737097385">
          <w:marLeft w:val="0"/>
          <w:marRight w:val="0"/>
          <w:marTop w:val="166"/>
          <w:marBottom w:val="166"/>
          <w:divBdr>
            <w:top w:val="none" w:sz="0" w:space="0" w:color="auto"/>
            <w:left w:val="none" w:sz="0" w:space="0" w:color="auto"/>
            <w:bottom w:val="none" w:sz="0" w:space="0" w:color="auto"/>
            <w:right w:val="none" w:sz="0" w:space="0" w:color="auto"/>
          </w:divBdr>
          <w:divsChild>
            <w:div w:id="6722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0600">
      <w:bodyDiv w:val="1"/>
      <w:marLeft w:val="0"/>
      <w:marRight w:val="0"/>
      <w:marTop w:val="0"/>
      <w:marBottom w:val="0"/>
      <w:divBdr>
        <w:top w:val="none" w:sz="0" w:space="0" w:color="auto"/>
        <w:left w:val="none" w:sz="0" w:space="0" w:color="auto"/>
        <w:bottom w:val="none" w:sz="0" w:space="0" w:color="auto"/>
        <w:right w:val="none" w:sz="0" w:space="0" w:color="auto"/>
      </w:divBdr>
      <w:divsChild>
        <w:div w:id="5435615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694094488188989"/>
          <c:y val="7.9003563053422585E-2"/>
          <c:w val="0.50611823326771654"/>
          <c:h val="0.75917730320021515"/>
        </c:manualLayout>
      </c:layout>
      <c:doughnutChart>
        <c:varyColors val="1"/>
        <c:ser>
          <c:idx val="0"/>
          <c:order val="0"/>
          <c:tx>
            <c:strRef>
              <c:f>Sheet1!$B$1</c:f>
              <c:strCache>
                <c:ptCount val="1"/>
                <c:pt idx="0">
                  <c:v>Total Deaths</c:v>
                </c:pt>
              </c:strCache>
            </c:strRef>
          </c:tx>
          <c:spPr>
            <a:scene3d>
              <a:camera prst="orthographicFront"/>
              <a:lightRig rig="threePt" dir="t"/>
            </a:scene3d>
            <a:sp3d/>
          </c:spPr>
          <c:dPt>
            <c:idx val="0"/>
            <c:bubble3D val="0"/>
            <c:spPr>
              <a:solidFill>
                <a:schemeClr val="accent2"/>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1-A456-46FF-9C5C-39529B9519C5}"/>
              </c:ext>
            </c:extLst>
          </c:dPt>
          <c:dPt>
            <c:idx val="1"/>
            <c:bubble3D val="0"/>
            <c:spPr>
              <a:solidFill>
                <a:schemeClr val="accent4"/>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3-A456-46FF-9C5C-39529B9519C5}"/>
              </c:ext>
            </c:extLst>
          </c:dPt>
          <c:dPt>
            <c:idx val="2"/>
            <c:bubble3D val="0"/>
            <c:spPr>
              <a:solidFill>
                <a:schemeClr val="accent6"/>
              </a:solidFill>
              <a:ln w="0">
                <a:solidFill>
                  <a:schemeClr val="lt1"/>
                </a:solidFill>
              </a:ln>
              <a:effectLst/>
              <a:scene3d>
                <a:camera prst="orthographicFront"/>
                <a:lightRig rig="threePt" dir="t"/>
              </a:scene3d>
              <a:sp3d/>
            </c:spPr>
            <c:extLst>
              <c:ext xmlns:c16="http://schemas.microsoft.com/office/drawing/2014/chart" uri="{C3380CC4-5D6E-409C-BE32-E72D297353CC}">
                <c16:uniqueId val="{00000005-A456-46FF-9C5C-39529B9519C5}"/>
              </c:ext>
            </c:extLst>
          </c:dPt>
          <c:dPt>
            <c:idx val="3"/>
            <c:bubble3D val="0"/>
            <c:spPr>
              <a:solidFill>
                <a:schemeClr val="accent2">
                  <a:lumMod val="6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7-A456-46FF-9C5C-39529B9519C5}"/>
              </c:ext>
            </c:extLst>
          </c:dPt>
          <c:dLbls>
            <c:dLbl>
              <c:idx val="0"/>
              <c:layout>
                <c:manualLayout>
                  <c:x val="-2.2677567649608148E-2"/>
                  <c:y val="0.159183494329364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56-46FF-9C5C-39529B9519C5}"/>
                </c:ext>
              </c:extLst>
            </c:dLbl>
            <c:dLbl>
              <c:idx val="1"/>
              <c:layout>
                <c:manualLayout>
                  <c:x val="-5.9332153267186279E-2"/>
                  <c:y val="8.9062373561082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56-46FF-9C5C-39529B9519C5}"/>
                </c:ext>
              </c:extLst>
            </c:dLbl>
            <c:dLbl>
              <c:idx val="2"/>
              <c:layout>
                <c:manualLayout>
                  <c:x val="-2.4282908668000435E-2"/>
                  <c:y val="0.139421237212096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56-46FF-9C5C-39529B9519C5}"/>
                </c:ext>
              </c:extLst>
            </c:dLbl>
            <c:dLbl>
              <c:idx val="3"/>
              <c:layout>
                <c:manualLayout>
                  <c:x val="-3.1035983483950272E-2"/>
                  <c:y val="-0.127702518286067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56-46FF-9C5C-39529B9519C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Mouth cancer</c:v>
                </c:pt>
                <c:pt idx="1">
                  <c:v>Oesophageal cancer</c:v>
                </c:pt>
                <c:pt idx="2">
                  <c:v>Pharyngeal cancer</c:v>
                </c:pt>
                <c:pt idx="3">
                  <c:v>Ischemic heart diseases</c:v>
                </c:pt>
              </c:strCache>
            </c:strRef>
          </c:cat>
          <c:val>
            <c:numRef>
              <c:f>Sheet1!$B$2:$B$5</c:f>
              <c:numCache>
                <c:formatCode>General</c:formatCode>
                <c:ptCount val="4"/>
                <c:pt idx="0">
                  <c:v>2277.9499999999998</c:v>
                </c:pt>
                <c:pt idx="1">
                  <c:v>658.93999999999983</c:v>
                </c:pt>
                <c:pt idx="2">
                  <c:v>1031.01</c:v>
                </c:pt>
                <c:pt idx="3">
                  <c:v>12979.08</c:v>
                </c:pt>
              </c:numCache>
            </c:numRef>
          </c:val>
          <c:extLst>
            <c:ext xmlns:c16="http://schemas.microsoft.com/office/drawing/2014/chart" uri="{C3380CC4-5D6E-409C-BE32-E72D297353CC}">
              <c16:uniqueId val="{00000008-A456-46FF-9C5C-39529B9519C5}"/>
            </c:ext>
          </c:extLst>
        </c:ser>
        <c:ser>
          <c:idx val="1"/>
          <c:order val="1"/>
          <c:tx>
            <c:strRef>
              <c:f>Sheet1!$C$1</c:f>
              <c:strCache>
                <c:ptCount val="1"/>
                <c:pt idx="0">
                  <c:v>Column1</c:v>
                </c:pt>
              </c:strCache>
            </c:strRef>
          </c:tx>
          <c:spPr>
            <a:ln w="22225"/>
          </c:spPr>
          <c:dPt>
            <c:idx val="0"/>
            <c:bubble3D val="0"/>
            <c:spPr>
              <a:solidFill>
                <a:schemeClr val="accent2"/>
              </a:solidFill>
              <a:ln w="22225">
                <a:solidFill>
                  <a:schemeClr val="lt1"/>
                </a:solidFill>
              </a:ln>
              <a:effectLst/>
            </c:spPr>
            <c:extLst>
              <c:ext xmlns:c16="http://schemas.microsoft.com/office/drawing/2014/chart" uri="{C3380CC4-5D6E-409C-BE32-E72D297353CC}">
                <c16:uniqueId val="{0000000A-A456-46FF-9C5C-39529B9519C5}"/>
              </c:ext>
            </c:extLst>
          </c:dPt>
          <c:dPt>
            <c:idx val="1"/>
            <c:bubble3D val="0"/>
            <c:spPr>
              <a:solidFill>
                <a:schemeClr val="accent4"/>
              </a:solidFill>
              <a:ln w="22225">
                <a:solidFill>
                  <a:schemeClr val="lt1"/>
                </a:solidFill>
              </a:ln>
              <a:effectLst/>
            </c:spPr>
            <c:extLst>
              <c:ext xmlns:c16="http://schemas.microsoft.com/office/drawing/2014/chart" uri="{C3380CC4-5D6E-409C-BE32-E72D297353CC}">
                <c16:uniqueId val="{0000000C-A456-46FF-9C5C-39529B9519C5}"/>
              </c:ext>
            </c:extLst>
          </c:dPt>
          <c:dPt>
            <c:idx val="2"/>
            <c:bubble3D val="0"/>
            <c:spPr>
              <a:solidFill>
                <a:schemeClr val="accent6"/>
              </a:solidFill>
              <a:ln w="22225">
                <a:solidFill>
                  <a:schemeClr val="lt1"/>
                </a:solidFill>
              </a:ln>
              <a:effectLst/>
            </c:spPr>
            <c:extLst>
              <c:ext xmlns:c16="http://schemas.microsoft.com/office/drawing/2014/chart" uri="{C3380CC4-5D6E-409C-BE32-E72D297353CC}">
                <c16:uniqueId val="{0000000E-A456-46FF-9C5C-39529B9519C5}"/>
              </c:ext>
            </c:extLst>
          </c:dPt>
          <c:dPt>
            <c:idx val="3"/>
            <c:bubble3D val="0"/>
            <c:spPr>
              <a:solidFill>
                <a:schemeClr val="accent2">
                  <a:lumMod val="60000"/>
                </a:schemeClr>
              </a:solidFill>
              <a:ln w="22225">
                <a:solidFill>
                  <a:schemeClr val="lt1"/>
                </a:solidFill>
              </a:ln>
              <a:effectLst/>
            </c:spPr>
            <c:extLst>
              <c:ext xmlns:c16="http://schemas.microsoft.com/office/drawing/2014/chart" uri="{C3380CC4-5D6E-409C-BE32-E72D297353CC}">
                <c16:uniqueId val="{00000010-A456-46FF-9C5C-39529B9519C5}"/>
              </c:ext>
            </c:extLst>
          </c:dPt>
          <c:dLbls>
            <c:dLbl>
              <c:idx val="0"/>
              <c:layout>
                <c:manualLayout>
                  <c:x val="-9.6072318061960787E-2"/>
                  <c:y val="-8.424744241928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456-46FF-9C5C-39529B9519C5}"/>
                </c:ext>
              </c:extLst>
            </c:dLbl>
            <c:dLbl>
              <c:idx val="1"/>
              <c:layout>
                <c:manualLayout>
                  <c:x val="1.7530016713540167E-2"/>
                  <c:y val="-9.8245936467486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456-46FF-9C5C-39529B9519C5}"/>
                </c:ext>
              </c:extLst>
            </c:dLbl>
            <c:dLbl>
              <c:idx val="2"/>
              <c:layout>
                <c:manualLayout>
                  <c:x val="7.9559011231352811E-2"/>
                  <c:y val="-7.8356126055572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456-46FF-9C5C-39529B9519C5}"/>
                </c:ext>
              </c:extLst>
            </c:dLbl>
            <c:dLbl>
              <c:idx val="3"/>
              <c:layout>
                <c:manualLayout>
                  <c:x val="9.2647688082185251E-2"/>
                  <c:y val="8.1839839694310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456-46FF-9C5C-39529B9519C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Mouth cancer</c:v>
                </c:pt>
                <c:pt idx="1">
                  <c:v>Oesophageal cancer</c:v>
                </c:pt>
                <c:pt idx="2">
                  <c:v>Pharyngeal cancer</c:v>
                </c:pt>
                <c:pt idx="3">
                  <c:v>Ischemic heart diseases</c:v>
                </c:pt>
              </c:strCache>
            </c:strRef>
          </c:cat>
          <c:val>
            <c:numRef>
              <c:f>Sheet1!$C$2:$C$5</c:f>
              <c:numCache>
                <c:formatCode>General</c:formatCode>
                <c:ptCount val="4"/>
                <c:pt idx="0">
                  <c:v>51261.07</c:v>
                </c:pt>
                <c:pt idx="1">
                  <c:v>16083.29</c:v>
                </c:pt>
                <c:pt idx="2">
                  <c:v>30023.87</c:v>
                </c:pt>
                <c:pt idx="3">
                  <c:v>306091.61</c:v>
                </c:pt>
              </c:numCache>
            </c:numRef>
          </c:val>
          <c:extLst>
            <c:ext xmlns:c16="http://schemas.microsoft.com/office/drawing/2014/chart" uri="{C3380CC4-5D6E-409C-BE32-E72D297353CC}">
              <c16:uniqueId val="{00000011-A456-46FF-9C5C-39529B9519C5}"/>
            </c:ext>
          </c:extLst>
        </c:ser>
        <c:dLbls>
          <c:showLegendKey val="0"/>
          <c:showVal val="1"/>
          <c:showCatName val="0"/>
          <c:showSerName val="0"/>
          <c:showPercent val="0"/>
          <c:showBubbleSize val="0"/>
          <c:showLeaderLines val="1"/>
        </c:dLbls>
        <c:firstSliceAng val="319"/>
        <c:holeSize val="60"/>
      </c:doughnutChart>
      <c:spPr>
        <a:noFill/>
        <a:ln w="0">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0.49631</cdr:x>
      <cdr:y>0.24836</cdr:y>
    </cdr:from>
    <cdr:to>
      <cdr:x>0.76326</cdr:x>
      <cdr:y>0.85566</cdr:y>
    </cdr:to>
    <cdr:grpSp>
      <cdr:nvGrpSpPr>
        <cdr:cNvPr id="4" name="Group 3">
          <a:extLst xmlns:a="http://schemas.openxmlformats.org/drawingml/2006/main">
            <a:ext uri="{FF2B5EF4-FFF2-40B4-BE49-F238E27FC236}">
              <a16:creationId xmlns:a16="http://schemas.microsoft.com/office/drawing/2014/main" id="{A4F827B1-164D-45DC-B96A-6EDAF7FA56E5}"/>
            </a:ext>
          </a:extLst>
        </cdr:cNvPr>
        <cdr:cNvGrpSpPr/>
      </cdr:nvGrpSpPr>
      <cdr:grpSpPr>
        <a:xfrm xmlns:a="http://schemas.openxmlformats.org/drawingml/2006/main">
          <a:off x="2714131" y="905405"/>
          <a:ext cx="1459848" cy="2213933"/>
          <a:chOff x="2714116" y="905395"/>
          <a:chExt cx="1459841" cy="2213931"/>
        </a:xfrm>
      </cdr:grpSpPr>
      <cdr:sp macro="" textlink="">
        <cdr:nvSpPr>
          <cdr:cNvPr id="2" name="Rectangle 1">
            <a:extLst xmlns:a="http://schemas.openxmlformats.org/drawingml/2006/main">
              <a:ext uri="{FF2B5EF4-FFF2-40B4-BE49-F238E27FC236}">
                <a16:creationId xmlns:a16="http://schemas.microsoft.com/office/drawing/2014/main" id="{E012A438-993C-4745-A6CA-AC52346635EC}"/>
              </a:ext>
            </a:extLst>
          </cdr:cNvPr>
          <cdr:cNvSpPr/>
        </cdr:nvSpPr>
        <cdr:spPr>
          <a:xfrm xmlns:a="http://schemas.openxmlformats.org/drawingml/2006/main" rot="17691078">
            <a:off x="2478323" y="1471632"/>
            <a:ext cx="1187557" cy="715972"/>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prstTxWarp prst="textArchDown">
              <a:avLst/>
            </a:prstTxWarp>
            <a:spAutoFit/>
          </a:bodyPr>
          <a:lstStyle xmlns:a="http://schemas.openxmlformats.org/drawingml/2006/main"/>
          <a:p xmlns:a="http://schemas.openxmlformats.org/drawingml/2006/main">
            <a:pPr algn="ctr"/>
            <a:r>
              <a:rPr lang="en-US" sz="1200" b="1" cap="none" spc="0" dirty="0">
                <a:ln w="0"/>
                <a:solidFill>
                  <a:schemeClr val="tx1"/>
                </a:solidFill>
                <a:effectLst>
                  <a:outerShdw blurRad="38100" dist="19050" dir="2700000" algn="tl" rotWithShape="0">
                    <a:schemeClr val="dk1">
                      <a:alpha val="40000"/>
                    </a:schemeClr>
                  </a:outerShdw>
                </a:effectLst>
              </a:rPr>
              <a:t>Total Deaths</a:t>
            </a:r>
          </a:p>
        </cdr:txBody>
      </cdr:sp>
      <cdr:sp macro="" textlink="">
        <cdr:nvSpPr>
          <cdr:cNvPr id="3" name="Rectangle 2">
            <a:extLst xmlns:a="http://schemas.openxmlformats.org/drawingml/2006/main">
              <a:ext uri="{FF2B5EF4-FFF2-40B4-BE49-F238E27FC236}">
                <a16:creationId xmlns:a16="http://schemas.microsoft.com/office/drawing/2014/main" id="{FFCB7F51-115E-4451-8F51-6F21A7D7D59F}"/>
              </a:ext>
            </a:extLst>
          </cdr:cNvPr>
          <cdr:cNvSpPr/>
        </cdr:nvSpPr>
        <cdr:spPr>
          <a:xfrm xmlns:a="http://schemas.openxmlformats.org/drawingml/2006/main" rot="17694052">
            <a:off x="2338629" y="1283999"/>
            <a:ext cx="2213931" cy="1456724"/>
          </a:xfrm>
          <a:prstGeom xmlns:a="http://schemas.openxmlformats.org/drawingml/2006/main" prst="rect">
            <a:avLst/>
          </a:prstGeom>
          <a:noFill xmlns:a="http://schemas.openxmlformats.org/drawingml/2006/main"/>
        </cdr:spPr>
        <cdr:txBody>
          <a:bodyPr xmlns:a="http://schemas.openxmlformats.org/drawingml/2006/main" spcFirstLastPara="1" wrap="none" lIns="91440" tIns="45720" rIns="91440" bIns="45720" numCol="1">
            <a:prstTxWarp prst="textArchDown">
              <a:avLst/>
            </a:prstTxWarp>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200" b="1" cap="none" spc="0" dirty="0">
                <a:ln w="0"/>
                <a:solidFill>
                  <a:schemeClr val="tx1"/>
                </a:solidFill>
                <a:effectLst>
                  <a:outerShdw blurRad="38100" dist="19050" dir="2700000" algn="tl" rotWithShape="0">
                    <a:schemeClr val="dk1">
                      <a:alpha val="40000"/>
                    </a:schemeClr>
                  </a:outerShdw>
                </a:effectLst>
              </a:rPr>
              <a:t>Day Adjusted Life Years</a:t>
            </a: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1FF3C9-7776-4C4D-B402-FD257F8F8668}">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tVBzF5BpKIzK/QG6VS1Kj280lA==">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511743-078F-3249-9C00-5A51B765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4639</Words>
  <Characters>26447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2021-06-28T00:08:00Z</dcterms:created>
  <dcterms:modified xsi:type="dcterms:W3CDTF">2021-06-28T00:08:00Z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id="491IePNe"/&gt;&lt;style id="http://www.zotero.org/styles/tobacco-induced-diseases" hasBibliography="1" bibliographyStyleHasBeenSet="1"/&gt;&lt;prefs&gt;&lt;pref name="automaticJournalAbbreviations" value="true"/</vt:lpwstr>
  </property>
  <property fmtid="{D5CDD505-2E9C-101B-9397-08002B2CF9AE}" pid="3" name="ZOTERO_PREF_2">
    <vt:lpwstr>&gt;&lt;pref name="fieldType" value="Field"/&gt;&lt;/prefs&gt;&lt;/data&gt;</vt:lpwstr>
  </property>
  <property fmtid="{D5CDD505-2E9C-101B-9397-08002B2CF9AE}" pid="4" name="grammarly_documentId">
    <vt:lpwstr>documentId_9363</vt:lpwstr>
  </property>
</Properties>
</file>