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F8" w:rsidRDefault="00361EF8" w:rsidP="00361EF8">
      <w:pPr>
        <w:spacing w:after="0" w:line="360" w:lineRule="auto"/>
      </w:pPr>
      <w:r w:rsidRPr="00A30880">
        <w:rPr>
          <w:rStyle w:val="Heading3Char"/>
        </w:rPr>
        <w:t>Title:</w:t>
      </w:r>
      <w:r>
        <w:t xml:space="preserve"> </w:t>
      </w:r>
      <w:bookmarkStart w:id="0" w:name="_Hlk65229991"/>
      <w:r>
        <w:t xml:space="preserve">Cost-effectiveness </w:t>
      </w:r>
      <w:r w:rsidRPr="001531E2">
        <w:t>of point-of-care creatinine</w:t>
      </w:r>
      <w:r>
        <w:t xml:space="preserve"> </w:t>
      </w:r>
      <w:r w:rsidRPr="001531E2">
        <w:t>testing</w:t>
      </w:r>
      <w:r>
        <w:t xml:space="preserve"> to assess kidney function prior to contrast-enhanced </w:t>
      </w:r>
      <w:r w:rsidRPr="00A30880">
        <w:t>computed tomography imaging</w:t>
      </w:r>
      <w:bookmarkEnd w:id="0"/>
    </w:p>
    <w:p w:rsidR="00361EF8" w:rsidRDefault="00361EF8" w:rsidP="00361EF8">
      <w:pPr>
        <w:spacing w:after="0" w:line="360" w:lineRule="auto"/>
        <w:rPr>
          <w:b/>
        </w:rPr>
      </w:pPr>
    </w:p>
    <w:p w:rsidR="00361EF8" w:rsidRPr="006E0325" w:rsidRDefault="00361EF8" w:rsidP="00361EF8">
      <w:pPr>
        <w:spacing w:after="0" w:line="360" w:lineRule="auto"/>
        <w:rPr>
          <w:b/>
        </w:rPr>
      </w:pPr>
      <w:r w:rsidRPr="006E0325">
        <w:rPr>
          <w:b/>
        </w:rPr>
        <w:t xml:space="preserve">Authors: </w:t>
      </w:r>
    </w:p>
    <w:p w:rsidR="00361EF8" w:rsidRPr="00036C20" w:rsidRDefault="00361EF8" w:rsidP="00361EF8">
      <w:pPr>
        <w:spacing w:after="0" w:line="360" w:lineRule="auto"/>
      </w:pPr>
      <w:r w:rsidRPr="00077F03">
        <w:t>Ana Duarte</w:t>
      </w:r>
      <w:r w:rsidRPr="00077F03">
        <w:rPr>
          <w:vertAlign w:val="superscript"/>
        </w:rPr>
        <w:t>1</w:t>
      </w:r>
      <w:r>
        <w:t xml:space="preserve">, </w:t>
      </w:r>
      <w:r w:rsidRPr="00077F03">
        <w:t>Simon Walker</w:t>
      </w:r>
      <w:r w:rsidRPr="00077F03">
        <w:rPr>
          <w:vertAlign w:val="superscript"/>
        </w:rPr>
        <w:t>1</w:t>
      </w:r>
      <w:r>
        <w:t xml:space="preserve">, </w:t>
      </w:r>
      <w:r w:rsidRPr="00077F03">
        <w:t>James Altunkaya</w:t>
      </w:r>
      <w:r w:rsidRPr="00077F03">
        <w:rPr>
          <w:vertAlign w:val="superscript"/>
        </w:rPr>
        <w:t>2</w:t>
      </w:r>
      <w:r>
        <w:t xml:space="preserve">, </w:t>
      </w:r>
      <w:r w:rsidRPr="007D2B9B">
        <w:rPr>
          <w:lang w:val="pt-PT"/>
        </w:rPr>
        <w:t>Sofia Dias</w:t>
      </w:r>
      <w:r>
        <w:rPr>
          <w:vertAlign w:val="superscript"/>
          <w:lang w:val="pt-PT"/>
        </w:rPr>
        <w:t>3</w:t>
      </w:r>
      <w:r>
        <w:t xml:space="preserve">, </w:t>
      </w:r>
      <w:r>
        <w:rPr>
          <w:lang w:val="pt-PT"/>
        </w:rPr>
        <w:t>Mark Corbett</w:t>
      </w:r>
      <w:r>
        <w:rPr>
          <w:vertAlign w:val="superscript"/>
          <w:lang w:val="pt-PT"/>
        </w:rPr>
        <w:t>3</w:t>
      </w:r>
      <w:r>
        <w:t xml:space="preserve">, </w:t>
      </w:r>
      <w:r>
        <w:rPr>
          <w:lang w:val="pt-PT"/>
        </w:rPr>
        <w:t xml:space="preserve">Alexis </w:t>
      </w:r>
      <w:r w:rsidRPr="00DF0381">
        <w:rPr>
          <w:lang w:val="pt-PT"/>
        </w:rPr>
        <w:t>Llewellyn</w:t>
      </w:r>
      <w:r>
        <w:rPr>
          <w:vertAlign w:val="superscript"/>
          <w:lang w:val="pt-PT"/>
        </w:rPr>
        <w:t>3</w:t>
      </w:r>
      <w:r>
        <w:t xml:space="preserve">, </w:t>
      </w:r>
      <w:r w:rsidRPr="007D2B9B">
        <w:rPr>
          <w:lang w:val="pt-PT"/>
        </w:rPr>
        <w:t>Martine</w:t>
      </w:r>
      <w:r>
        <w:rPr>
          <w:lang w:val="pt-PT"/>
        </w:rPr>
        <w:t xml:space="preserve"> A.</w:t>
      </w:r>
      <w:r w:rsidRPr="007D2B9B">
        <w:rPr>
          <w:lang w:val="pt-PT"/>
        </w:rPr>
        <w:t xml:space="preserve"> Harris</w:t>
      </w:r>
      <w:r>
        <w:rPr>
          <w:vertAlign w:val="superscript"/>
          <w:lang w:val="pt-PT"/>
        </w:rPr>
        <w:t>4</w:t>
      </w:r>
      <w:r>
        <w:rPr>
          <w:lang w:val="pt-PT"/>
        </w:rPr>
        <w:t xml:space="preserve">, </w:t>
      </w:r>
      <w:r w:rsidRPr="00531290">
        <w:rPr>
          <w:lang w:val="pt-PT"/>
        </w:rPr>
        <w:t>Stephen Palmer</w:t>
      </w:r>
      <w:r w:rsidRPr="00531290">
        <w:rPr>
          <w:vertAlign w:val="superscript"/>
          <w:lang w:val="pt-PT"/>
        </w:rPr>
        <w:t>1</w:t>
      </w:r>
      <w:r>
        <w:rPr>
          <w:lang w:val="pt-PT"/>
        </w:rPr>
        <w:t xml:space="preserve">, </w:t>
      </w:r>
      <w:r w:rsidRPr="00531290">
        <w:rPr>
          <w:lang w:val="pt-PT"/>
        </w:rPr>
        <w:t>Marta Soares</w:t>
      </w:r>
      <w:r w:rsidRPr="00531290">
        <w:rPr>
          <w:vertAlign w:val="superscript"/>
          <w:lang w:val="pt-PT"/>
        </w:rPr>
        <w:t>1</w:t>
      </w:r>
    </w:p>
    <w:p w:rsidR="00361EF8" w:rsidRPr="00531290" w:rsidRDefault="00361EF8" w:rsidP="00361EF8">
      <w:pPr>
        <w:spacing w:after="0" w:line="360" w:lineRule="auto"/>
        <w:rPr>
          <w:lang w:val="pt-PT"/>
        </w:rPr>
      </w:pPr>
    </w:p>
    <w:p w:rsidR="00361EF8" w:rsidRPr="006E0325" w:rsidRDefault="00361EF8" w:rsidP="00361EF8">
      <w:pPr>
        <w:spacing w:after="0" w:line="360" w:lineRule="auto"/>
        <w:rPr>
          <w:b/>
        </w:rPr>
      </w:pPr>
      <w:r w:rsidRPr="006E0325">
        <w:rPr>
          <w:b/>
        </w:rPr>
        <w:t>Affiliation</w:t>
      </w:r>
      <w:r>
        <w:rPr>
          <w:b/>
        </w:rPr>
        <w:t>s</w:t>
      </w:r>
      <w:r w:rsidRPr="006E0325">
        <w:rPr>
          <w:b/>
        </w:rPr>
        <w:t>:</w:t>
      </w:r>
    </w:p>
    <w:p w:rsidR="00361EF8" w:rsidRDefault="00361EF8" w:rsidP="00361EF8">
      <w:pPr>
        <w:spacing w:after="0" w:line="360" w:lineRule="auto"/>
      </w:pPr>
      <w:r w:rsidRPr="00870EC3">
        <w:rPr>
          <w:vertAlign w:val="superscript"/>
        </w:rPr>
        <w:t>1</w:t>
      </w:r>
      <w:r>
        <w:t xml:space="preserve">Centre for Health Economics, University of York, </w:t>
      </w:r>
      <w:proofErr w:type="spellStart"/>
      <w:r>
        <w:t>Heslington</w:t>
      </w:r>
      <w:proofErr w:type="spellEnd"/>
      <w:r>
        <w:t>, UK</w:t>
      </w:r>
    </w:p>
    <w:p w:rsidR="00361EF8" w:rsidRDefault="00361EF8" w:rsidP="00361EF8">
      <w:pPr>
        <w:spacing w:after="0" w:line="360" w:lineRule="auto"/>
      </w:pPr>
      <w:r w:rsidRPr="00870EC3">
        <w:rPr>
          <w:vertAlign w:val="superscript"/>
        </w:rPr>
        <w:t>2</w:t>
      </w:r>
      <w:r w:rsidRPr="00870EC3">
        <w:t>Nuffield Department of Population Health</w:t>
      </w:r>
      <w:r>
        <w:t>, University of Oxford, Oxford, UK</w:t>
      </w:r>
    </w:p>
    <w:p w:rsidR="00361EF8" w:rsidRDefault="00361EF8" w:rsidP="00361EF8">
      <w:pPr>
        <w:spacing w:after="0" w:line="360" w:lineRule="auto"/>
      </w:pPr>
      <w:r>
        <w:rPr>
          <w:vertAlign w:val="superscript"/>
        </w:rPr>
        <w:t>3</w:t>
      </w:r>
      <w:r>
        <w:t xml:space="preserve">Centre for Reviews and Dissemination, University of York, </w:t>
      </w:r>
      <w:proofErr w:type="spellStart"/>
      <w:r>
        <w:t>Heslington</w:t>
      </w:r>
      <w:proofErr w:type="spellEnd"/>
      <w:r>
        <w:t>, UK</w:t>
      </w:r>
    </w:p>
    <w:p w:rsidR="00361EF8" w:rsidRDefault="00361EF8" w:rsidP="00361EF8">
      <w:pPr>
        <w:spacing w:after="0" w:line="360" w:lineRule="auto"/>
        <w:rPr>
          <w:vertAlign w:val="superscript"/>
        </w:rPr>
      </w:pPr>
      <w:r>
        <w:rPr>
          <w:vertAlign w:val="superscript"/>
        </w:rPr>
        <w:t>4</w:t>
      </w:r>
      <w:r w:rsidRPr="00983FF2">
        <w:t>Mid Yorkshire NHS Hospitals Trust, Wakefield, UK</w:t>
      </w:r>
    </w:p>
    <w:p w:rsidR="00361EF8" w:rsidRDefault="00361EF8" w:rsidP="00361EF8">
      <w:pPr>
        <w:spacing w:after="0" w:line="360" w:lineRule="auto"/>
      </w:pPr>
    </w:p>
    <w:p w:rsidR="00361EF8" w:rsidRPr="006E0325" w:rsidRDefault="00361EF8" w:rsidP="00361EF8">
      <w:pPr>
        <w:spacing w:after="0" w:line="360" w:lineRule="auto"/>
        <w:rPr>
          <w:b/>
        </w:rPr>
      </w:pPr>
      <w:r w:rsidRPr="006E0325">
        <w:rPr>
          <w:b/>
        </w:rPr>
        <w:t xml:space="preserve">Corresponding author: </w:t>
      </w:r>
    </w:p>
    <w:p w:rsidR="00361EF8" w:rsidRPr="00727B87" w:rsidRDefault="00361EF8" w:rsidP="00361EF8">
      <w:pPr>
        <w:spacing w:after="0" w:line="360" w:lineRule="auto"/>
      </w:pPr>
      <w:r>
        <w:t>Ana Duarte</w:t>
      </w:r>
    </w:p>
    <w:p w:rsidR="00361EF8" w:rsidRPr="007D2B9B" w:rsidRDefault="00361EF8" w:rsidP="00361EF8">
      <w:pPr>
        <w:spacing w:after="0" w:line="360" w:lineRule="auto"/>
      </w:pPr>
      <w:r w:rsidRPr="007D2B9B">
        <w:t xml:space="preserve">Centre for Health Economics, University of York, </w:t>
      </w:r>
      <w:proofErr w:type="spellStart"/>
      <w:r>
        <w:t>Heslington</w:t>
      </w:r>
      <w:proofErr w:type="spellEnd"/>
      <w:r w:rsidRPr="007D2B9B">
        <w:t>, YO10 5DD, UK</w:t>
      </w:r>
    </w:p>
    <w:p w:rsidR="00361EF8" w:rsidRPr="006E0325" w:rsidRDefault="00361EF8" w:rsidP="00361EF8">
      <w:pPr>
        <w:spacing w:after="0" w:line="360" w:lineRule="auto"/>
        <w:rPr>
          <w:lang w:val="pt-PT"/>
        </w:rPr>
      </w:pPr>
      <w:r w:rsidRPr="006E0325">
        <w:rPr>
          <w:lang w:val="pt-PT"/>
        </w:rPr>
        <w:t xml:space="preserve">e-mail: </w:t>
      </w:r>
      <w:r w:rsidRPr="00FE1AD2">
        <w:rPr>
          <w:lang w:val="pt-PT"/>
        </w:rPr>
        <w:t>ana.duarte@york.ac.co.uk</w:t>
      </w:r>
    </w:p>
    <w:p w:rsidR="00361EF8" w:rsidRPr="006E0325" w:rsidRDefault="00361EF8" w:rsidP="00361EF8">
      <w:pPr>
        <w:spacing w:after="0" w:line="360" w:lineRule="auto"/>
        <w:rPr>
          <w:lang w:val="pt-PT"/>
        </w:rPr>
      </w:pPr>
    </w:p>
    <w:p w:rsidR="00361EF8" w:rsidRDefault="00361EF8" w:rsidP="00361EF8">
      <w:pPr>
        <w:spacing w:line="360" w:lineRule="auto"/>
        <w:rPr>
          <w:b/>
        </w:rPr>
      </w:pPr>
      <w:r w:rsidRPr="006E0325">
        <w:rPr>
          <w:b/>
        </w:rPr>
        <w:t xml:space="preserve">Declaration of interests: </w:t>
      </w:r>
    </w:p>
    <w:p w:rsidR="00361EF8" w:rsidRPr="006E0325" w:rsidRDefault="00361EF8" w:rsidP="00361EF8">
      <w:pPr>
        <w:spacing w:line="360" w:lineRule="auto"/>
        <w:rPr>
          <w:b/>
        </w:rPr>
      </w:pPr>
      <w:r w:rsidRPr="00765CD1">
        <w:t xml:space="preserve">James </w:t>
      </w:r>
      <w:proofErr w:type="spellStart"/>
      <w:r w:rsidRPr="00765CD1">
        <w:t>Altunkaya</w:t>
      </w:r>
      <w:proofErr w:type="spellEnd"/>
      <w:r w:rsidRPr="00765CD1">
        <w:t xml:space="preserve"> </w:t>
      </w:r>
      <w:r>
        <w:t>was</w:t>
      </w:r>
      <w:r w:rsidRPr="00765CD1">
        <w:t xml:space="preserve"> funded via a </w:t>
      </w:r>
      <w:r w:rsidRPr="00334021">
        <w:t>National Institute for Health Research</w:t>
      </w:r>
      <w:r>
        <w:t xml:space="preserve"> -</w:t>
      </w:r>
      <w:r w:rsidRPr="00765CD1">
        <w:t xml:space="preserve"> Research Methods Fellowship. Martine Harris has received point of care creatinine devices and consumables for use in a research studies from Nova Biomedi</w:t>
      </w:r>
      <w:r>
        <w:t>c</w:t>
      </w:r>
      <w:r w:rsidRPr="00765CD1">
        <w:t>al, Abbott Laboratories and Radiometer</w:t>
      </w:r>
      <w:r>
        <w:t>.</w:t>
      </w:r>
      <w:r w:rsidRPr="00765CD1">
        <w:t xml:space="preserve"> Sofia Dias has received Medical Research Council funding.</w:t>
      </w:r>
    </w:p>
    <w:p w:rsidR="00361EF8" w:rsidRPr="005B2E00" w:rsidRDefault="00361EF8" w:rsidP="00361EF8">
      <w:pPr>
        <w:spacing w:line="360" w:lineRule="auto"/>
        <w:rPr>
          <w:b/>
        </w:rPr>
      </w:pPr>
      <w:r w:rsidRPr="005B2E00">
        <w:rPr>
          <w:b/>
        </w:rPr>
        <w:t>Funding:</w:t>
      </w:r>
    </w:p>
    <w:p w:rsidR="00361EF8" w:rsidRDefault="00361EF8" w:rsidP="00361EF8">
      <w:pPr>
        <w:spacing w:line="360" w:lineRule="auto"/>
      </w:pPr>
      <w:r w:rsidRPr="00727B87">
        <w:t xml:space="preserve">This project was funded by the National Institute for Health Research, Health Technology Assessment (HTA) programme, project number </w:t>
      </w:r>
      <w:r w:rsidRPr="005F6FB0">
        <w:t>DAP 43</w:t>
      </w:r>
      <w:r>
        <w:t xml:space="preserve">, and is published in full in the journal Health Technology Assessment, volume 24(39). Further information available at: </w:t>
      </w:r>
      <w:r w:rsidRPr="009917A2">
        <w:t>https://www.journalslibrary.nihr.ac.uk/programmes/hta/NIHR127519/#/</w:t>
      </w:r>
      <w:r>
        <w:t>.</w:t>
      </w:r>
    </w:p>
    <w:p w:rsidR="00361EF8" w:rsidRPr="009630CA" w:rsidRDefault="00361EF8" w:rsidP="00361EF8">
      <w:pPr>
        <w:spacing w:before="120" w:after="120" w:line="360" w:lineRule="auto"/>
        <w:rPr>
          <w:b/>
        </w:rPr>
      </w:pPr>
      <w:r w:rsidRPr="009630CA">
        <w:rPr>
          <w:b/>
        </w:rPr>
        <w:t>Acknowledgments</w:t>
      </w:r>
    </w:p>
    <w:p w:rsidR="00361EF8" w:rsidRDefault="00361EF8" w:rsidP="00361EF8">
      <w:pPr>
        <w:spacing w:before="120" w:after="120" w:line="360" w:lineRule="auto"/>
      </w:pPr>
      <w:r w:rsidRPr="001578DC">
        <w:t xml:space="preserve">The authors would like to acknowledge Prof Beverly </w:t>
      </w:r>
      <w:proofErr w:type="spellStart"/>
      <w:r w:rsidRPr="001578DC">
        <w:t>Snaith</w:t>
      </w:r>
      <w:proofErr w:type="spellEnd"/>
      <w:r w:rsidRPr="001578DC">
        <w:t xml:space="preserve"> </w:t>
      </w:r>
      <w:r>
        <w:t>(</w:t>
      </w:r>
      <w:r w:rsidRPr="005B2C60">
        <w:t>Clinical Professor of Radiography, University of Bradford</w:t>
      </w:r>
      <w:r>
        <w:t xml:space="preserve">) and </w:t>
      </w:r>
      <w:r w:rsidRPr="005B2C60">
        <w:t>Dr</w:t>
      </w:r>
      <w:r w:rsidRPr="001578DC">
        <w:t xml:space="preserve"> Bethany </w:t>
      </w:r>
      <w:proofErr w:type="spellStart"/>
      <w:r w:rsidRPr="001578DC">
        <w:t>S</w:t>
      </w:r>
      <w:r>
        <w:t>hinkins</w:t>
      </w:r>
      <w:proofErr w:type="spellEnd"/>
      <w:r>
        <w:t xml:space="preserve"> (Associate Professor, University of Leeds) for sharing data from recent studies in POC creatinine testing.</w:t>
      </w:r>
    </w:p>
    <w:p w:rsidR="00EE288F" w:rsidRDefault="00EE288F" w:rsidP="00BF5044">
      <w:pPr>
        <w:pStyle w:val="Heading3"/>
      </w:pPr>
      <w:r>
        <w:lastRenderedPageBreak/>
        <w:t xml:space="preserve">Abstract </w:t>
      </w:r>
    </w:p>
    <w:p w:rsidR="00EE288F" w:rsidRPr="001F2778" w:rsidRDefault="00EE288F" w:rsidP="00BF5044">
      <w:pPr>
        <w:spacing w:after="0" w:line="480" w:lineRule="auto"/>
        <w:rPr>
          <w:b/>
        </w:rPr>
      </w:pPr>
      <w:r>
        <w:rPr>
          <w:b/>
        </w:rPr>
        <w:t>Background</w:t>
      </w:r>
    </w:p>
    <w:p w:rsidR="00EE288F" w:rsidRDefault="00EE288F" w:rsidP="00BF5044">
      <w:pPr>
        <w:spacing w:after="0" w:line="480" w:lineRule="auto"/>
      </w:pPr>
      <w:r>
        <w:t xml:space="preserve">Patients undergoing </w:t>
      </w:r>
      <w:r w:rsidRPr="009B5E3D">
        <w:t>contrast-enhanced computed tomography (</w:t>
      </w:r>
      <w:r>
        <w:t>CE</w:t>
      </w:r>
      <w:r w:rsidRPr="009B5E3D">
        <w:t>CT)</w:t>
      </w:r>
      <w:r>
        <w:t xml:space="preserve"> imaging in a non-emergency</w:t>
      </w:r>
      <w:r w:rsidRPr="009B5E3D">
        <w:t xml:space="preserve"> outpatient setting</w:t>
      </w:r>
      <w:r>
        <w:t xml:space="preserve"> often lack a recent </w:t>
      </w:r>
      <w:r w:rsidRPr="009B5E3D">
        <w:t xml:space="preserve">estimated </w:t>
      </w:r>
      <w:r>
        <w:t xml:space="preserve">Glomerular Filtration Rate </w:t>
      </w:r>
      <w:r w:rsidRPr="009B5E3D">
        <w:t>measurement</w:t>
      </w:r>
      <w:r>
        <w:t>. This may lead to inefficiencies in the CECT pathway. The use of p</w:t>
      </w:r>
      <w:r w:rsidRPr="009B5E3D">
        <w:t>oint-of-care (POC) creatinine tests to evaluate kidney function</w:t>
      </w:r>
      <w:r>
        <w:t xml:space="preserve"> in these patients may provide a safe and cost-effective alternative to current practice, as these can provide results within the same CECT appointment. </w:t>
      </w:r>
    </w:p>
    <w:p w:rsidR="00EE288F" w:rsidRPr="001F2778" w:rsidRDefault="00EE288F" w:rsidP="00BF5044">
      <w:pPr>
        <w:spacing w:after="0" w:line="480" w:lineRule="auto"/>
        <w:rPr>
          <w:b/>
        </w:rPr>
      </w:pPr>
      <w:r w:rsidRPr="001F2778">
        <w:rPr>
          <w:b/>
        </w:rPr>
        <w:t>Method</w:t>
      </w:r>
      <w:r>
        <w:rPr>
          <w:b/>
        </w:rPr>
        <w:t>s</w:t>
      </w:r>
      <w:r w:rsidRPr="001F2778">
        <w:rPr>
          <w:b/>
        </w:rPr>
        <w:t xml:space="preserve"> </w:t>
      </w:r>
    </w:p>
    <w:p w:rsidR="00EE288F" w:rsidRPr="009B5E3D" w:rsidRDefault="00EE288F" w:rsidP="00BF5044">
      <w:pPr>
        <w:spacing w:after="0" w:line="480" w:lineRule="auto"/>
      </w:pPr>
      <w:r w:rsidRPr="009B5E3D">
        <w:t>A decision tree model was developed to characterise the diagnostic pathway</w:t>
      </w:r>
      <w:r>
        <w:t xml:space="preserve"> and patient management (e.g., </w:t>
      </w:r>
      <w:r w:rsidRPr="00552595">
        <w:t>intravenous</w:t>
      </w:r>
      <w:r>
        <w:t xml:space="preserve"> hydration)</w:t>
      </w:r>
      <w:r w:rsidRPr="009B5E3D">
        <w:t xml:space="preserve"> and link </w:t>
      </w:r>
      <w:r>
        <w:t>these</w:t>
      </w:r>
      <w:r w:rsidRPr="009B5E3D">
        <w:t xml:space="preserve"> to adverse renal events</w:t>
      </w:r>
      <w:r>
        <w:t xml:space="preserve"> associated with </w:t>
      </w:r>
      <w:r w:rsidRPr="009B5E3D">
        <w:t xml:space="preserve">intravenous </w:t>
      </w:r>
      <w:r>
        <w:t>contrast media</w:t>
      </w:r>
      <w:r w:rsidRPr="009B5E3D">
        <w:t xml:space="preserve">. Twelve diagnostic strategies </w:t>
      </w:r>
      <w:r>
        <w:t>including three POC devices (</w:t>
      </w:r>
      <w:proofErr w:type="spellStart"/>
      <w:r>
        <w:t>i</w:t>
      </w:r>
      <w:proofErr w:type="spellEnd"/>
      <w:r>
        <w:t>-STAT, ABL</w:t>
      </w:r>
      <w:r w:rsidRPr="00F61473">
        <w:t xml:space="preserve">800 Flex and </w:t>
      </w:r>
      <w:r>
        <w:t>StatSensor), risk factor screening and laboratory testing were compared with</w:t>
      </w:r>
      <w:r w:rsidRPr="009B5E3D">
        <w:t xml:space="preserve"> current practice. The diagnostic accuracy of POC devices was derived from a</w:t>
      </w:r>
      <w:r>
        <w:t xml:space="preserve"> systematic review and</w:t>
      </w:r>
      <w:r w:rsidRPr="009B5E3D">
        <w:t xml:space="preserve"> meta‐analysis; relevant literature sources and databases informed other parameters. </w:t>
      </w:r>
      <w:r>
        <w:t>The cost-effective</w:t>
      </w:r>
      <w:r w:rsidR="00077B0C">
        <w:t xml:space="preserve"> </w:t>
      </w:r>
      <w:r>
        <w:t xml:space="preserve">strategy </w:t>
      </w:r>
      <w:r w:rsidR="006E3DBF">
        <w:t xml:space="preserve">from a health </w:t>
      </w:r>
      <w:r w:rsidR="00A91666">
        <w:t>care</w:t>
      </w:r>
      <w:r w:rsidR="006E3DBF">
        <w:t xml:space="preserve"> perspective </w:t>
      </w:r>
      <w:r>
        <w:t xml:space="preserve">was </w:t>
      </w:r>
      <w:r w:rsidR="00077B0C">
        <w:t xml:space="preserve">identified </w:t>
      </w:r>
      <w:r w:rsidR="003866E0">
        <w:t>based on highest</w:t>
      </w:r>
      <w:r w:rsidR="00077B0C">
        <w:t xml:space="preserve"> net health benefit</w:t>
      </w:r>
      <w:r w:rsidR="003866E0">
        <w:t xml:space="preserve"> (NHB)</w:t>
      </w:r>
      <w:r w:rsidR="00077B0C">
        <w:t xml:space="preserve"> </w:t>
      </w:r>
      <w:r w:rsidR="00D405A0">
        <w:t xml:space="preserve">which were </w:t>
      </w:r>
      <w:r w:rsidR="003866E0">
        <w:t xml:space="preserve">expressed in quality-adjusted life years (QALYs) </w:t>
      </w:r>
      <w:r w:rsidR="00077B0C">
        <w:t>at £20,000/QALY</w:t>
      </w:r>
      <w:r w:rsidRPr="009B5E3D">
        <w:t xml:space="preserve">.  </w:t>
      </w:r>
    </w:p>
    <w:p w:rsidR="00EE288F" w:rsidRPr="001F2778" w:rsidRDefault="00EE288F" w:rsidP="00BF5044">
      <w:pPr>
        <w:spacing w:after="0" w:line="480" w:lineRule="auto"/>
        <w:rPr>
          <w:b/>
        </w:rPr>
      </w:pPr>
      <w:r w:rsidRPr="001F2778">
        <w:rPr>
          <w:b/>
        </w:rPr>
        <w:t>Results</w:t>
      </w:r>
    </w:p>
    <w:p w:rsidR="00EE288F" w:rsidRPr="00F61473" w:rsidRDefault="00EE288F" w:rsidP="00BF5044">
      <w:pPr>
        <w:spacing w:after="0" w:line="480" w:lineRule="auto"/>
      </w:pPr>
      <w:r>
        <w:t>The</w:t>
      </w:r>
      <w:r w:rsidRPr="00F61473">
        <w:t xml:space="preserve"> cost</w:t>
      </w:r>
      <w:r>
        <w:t>-effective strategy</w:t>
      </w:r>
      <w:r w:rsidR="003866E0">
        <w:t>, with a NHB of 9.98 QALYs and a probability of</w:t>
      </w:r>
      <w:r w:rsidR="00D405A0">
        <w:t xml:space="preserve"> being </w:t>
      </w:r>
      <w:r w:rsidR="003866E0">
        <w:t xml:space="preserve">cost-effective </w:t>
      </w:r>
      <w:r w:rsidR="00706DF4">
        <w:t>of 79.3%</w:t>
      </w:r>
      <w:r w:rsidR="003866E0">
        <w:t xml:space="preserve"> ,</w:t>
      </w:r>
      <w:r w:rsidR="00D405A0">
        <w:t xml:space="preserve"> was identified in our analysis</w:t>
      </w:r>
      <w:r>
        <w:t xml:space="preserve"> to be a</w:t>
      </w:r>
      <w:r w:rsidRPr="00F61473">
        <w:t xml:space="preserve"> testing sequence involving screening all individuals for </w:t>
      </w:r>
      <w:r>
        <w:t>risk factors</w:t>
      </w:r>
      <w:r w:rsidRPr="00F61473">
        <w:t>,</w:t>
      </w:r>
      <w:r>
        <w:t xml:space="preserve"> POC</w:t>
      </w:r>
      <w:r w:rsidRPr="00F61473">
        <w:t xml:space="preserve"> testing </w:t>
      </w:r>
      <w:r>
        <w:t xml:space="preserve">(with </w:t>
      </w:r>
      <w:proofErr w:type="spellStart"/>
      <w:r>
        <w:t>i</w:t>
      </w:r>
      <w:proofErr w:type="spellEnd"/>
      <w:r>
        <w:t>-STAT)</w:t>
      </w:r>
      <w:r w:rsidR="00D405A0">
        <w:t xml:space="preserve"> on</w:t>
      </w:r>
      <w:r>
        <w:t xml:space="preserve"> </w:t>
      </w:r>
      <w:r w:rsidRPr="00F61473">
        <w:t xml:space="preserve">those </w:t>
      </w:r>
      <w:r>
        <w:t>screening positive</w:t>
      </w:r>
      <w:r w:rsidRPr="00F61473">
        <w:t xml:space="preserve">, and </w:t>
      </w:r>
      <w:r>
        <w:t>performing</w:t>
      </w:r>
      <w:r w:rsidRPr="00F61473">
        <w:t xml:space="preserve"> a </w:t>
      </w:r>
      <w:r>
        <w:t xml:space="preserve">confirmatory </w:t>
      </w:r>
      <w:r w:rsidRPr="00F61473">
        <w:t xml:space="preserve">laboratory test for individuals with a positive </w:t>
      </w:r>
      <w:r>
        <w:t xml:space="preserve">POC </w:t>
      </w:r>
      <w:r w:rsidRPr="00F61473">
        <w:t xml:space="preserve">result. </w:t>
      </w:r>
      <w:r w:rsidR="003866E0">
        <w:t xml:space="preserve">The incremental NHB </w:t>
      </w:r>
      <w:r w:rsidR="00D405A0">
        <w:t xml:space="preserve">of this strategy </w:t>
      </w:r>
      <w:r w:rsidR="003866E0">
        <w:t xml:space="preserve">compared to current practice, confirmatory laboratory test, is 0.004 QALYs. </w:t>
      </w:r>
      <w:r>
        <w:t>Results were generally robust to scenario analysis.</w:t>
      </w:r>
    </w:p>
    <w:p w:rsidR="00EE288F" w:rsidRPr="004307D9" w:rsidRDefault="00EE288F" w:rsidP="00BF5044">
      <w:pPr>
        <w:spacing w:after="0" w:line="480" w:lineRule="auto"/>
        <w:rPr>
          <w:b/>
        </w:rPr>
      </w:pPr>
      <w:r w:rsidRPr="004307D9">
        <w:rPr>
          <w:b/>
        </w:rPr>
        <w:t>Conclusions</w:t>
      </w:r>
    </w:p>
    <w:p w:rsidR="00EE288F" w:rsidRPr="001F2778" w:rsidRDefault="00EE288F" w:rsidP="00BF5044">
      <w:pPr>
        <w:spacing w:after="0" w:line="480" w:lineRule="auto"/>
      </w:pPr>
      <w:r w:rsidRPr="009B5E3D">
        <w:t xml:space="preserve">A testing sequence combining a </w:t>
      </w:r>
      <w:r>
        <w:t>risk factor</w:t>
      </w:r>
      <w:r w:rsidRPr="009B5E3D">
        <w:t xml:space="preserve"> questionnaire</w:t>
      </w:r>
      <w:r>
        <w:t>,</w:t>
      </w:r>
      <w:r w:rsidRPr="009B5E3D">
        <w:t xml:space="preserve"> POC test and </w:t>
      </w:r>
      <w:r>
        <w:t xml:space="preserve">confirmatory </w:t>
      </w:r>
      <w:r w:rsidRPr="009B5E3D">
        <w:t>laboratory testing appear</w:t>
      </w:r>
      <w:r>
        <w:t>s</w:t>
      </w:r>
      <w:r w:rsidRPr="009B5E3D">
        <w:t xml:space="preserve"> to be cost-effective compared to current practice. </w:t>
      </w:r>
      <w:r>
        <w:t>The c</w:t>
      </w:r>
      <w:r w:rsidRPr="009B5E3D">
        <w:t xml:space="preserve">ost-effectiveness of POC </w:t>
      </w:r>
      <w:r w:rsidRPr="009B5E3D">
        <w:lastRenderedPageBreak/>
        <w:t>testing appears</w:t>
      </w:r>
      <w:r>
        <w:t xml:space="preserve"> to be </w:t>
      </w:r>
      <w:r w:rsidRPr="009B5E3D">
        <w:t xml:space="preserve">driven by </w:t>
      </w:r>
      <w:r>
        <w:t>reduced</w:t>
      </w:r>
      <w:r w:rsidRPr="009B5E3D">
        <w:t xml:space="preserve"> delays within the </w:t>
      </w:r>
      <w:r>
        <w:t>CE</w:t>
      </w:r>
      <w:r w:rsidRPr="009B5E3D">
        <w:t>CT pathway. The contribution of intravenous contrast media to acute kidney injury</w:t>
      </w:r>
      <w:r>
        <w:t>,</w:t>
      </w:r>
      <w:r w:rsidRPr="009B5E3D">
        <w:t xml:space="preserve"> and </w:t>
      </w:r>
      <w:r>
        <w:t>the</w:t>
      </w:r>
      <w:r w:rsidRPr="009B5E3D">
        <w:t xml:space="preserve"> benefits and harms of intravenous hydration remain uncertain.</w:t>
      </w:r>
    </w:p>
    <w:p w:rsidR="00EE288F" w:rsidRDefault="00EE288F" w:rsidP="00BF5044">
      <w:pPr>
        <w:spacing w:after="0" w:line="480" w:lineRule="auto"/>
      </w:pPr>
      <w:r w:rsidRPr="00727B87">
        <w:t xml:space="preserve"> </w:t>
      </w:r>
    </w:p>
    <w:p w:rsidR="00EE288F" w:rsidRDefault="00EE288F" w:rsidP="00BF5044">
      <w:pPr>
        <w:spacing w:after="0" w:line="480" w:lineRule="auto"/>
      </w:pPr>
      <w:r w:rsidRPr="004307D9">
        <w:rPr>
          <w:b/>
        </w:rPr>
        <w:t>Keywords:</w:t>
      </w:r>
      <w:r>
        <w:t xml:space="preserve"> Point-of-care; </w:t>
      </w:r>
      <w:r w:rsidRPr="007438E7">
        <w:t>Creatinine</w:t>
      </w:r>
      <w:r>
        <w:t xml:space="preserve">; post-contrast acute kidney injury; </w:t>
      </w:r>
      <w:r w:rsidRPr="007438E7">
        <w:t>Computed tomography</w:t>
      </w:r>
      <w:r>
        <w:t xml:space="preserve">; </w:t>
      </w:r>
      <w:r w:rsidRPr="007438E7">
        <w:t>Contrast media</w:t>
      </w:r>
      <w:r>
        <w:t>; Cost-effectiveness.</w:t>
      </w:r>
    </w:p>
    <w:p w:rsidR="00EE288F" w:rsidRDefault="00EE288F" w:rsidP="00BF5044">
      <w:pPr>
        <w:spacing w:after="0" w:line="480" w:lineRule="auto"/>
      </w:pPr>
    </w:p>
    <w:p w:rsidR="00EE288F" w:rsidRDefault="00EE288F" w:rsidP="00BF5044">
      <w:pPr>
        <w:spacing w:after="0" w:line="480" w:lineRule="auto"/>
        <w:sectPr w:rsidR="00EE288F" w:rsidSect="00361EF8">
          <w:footerReference w:type="default" r:id="rId8"/>
          <w:pgSz w:w="11906" w:h="16838"/>
          <w:pgMar w:top="1440" w:right="1440" w:bottom="1440" w:left="1440" w:header="708" w:footer="708" w:gutter="0"/>
          <w:cols w:space="708"/>
          <w:docGrid w:linePitch="360"/>
        </w:sectPr>
      </w:pPr>
      <w:r w:rsidRPr="004307D9">
        <w:rPr>
          <w:b/>
        </w:rPr>
        <w:t>Abbreviations:</w:t>
      </w:r>
      <w:r>
        <w:t xml:space="preserve"> CECT, contrast-enhanced c</w:t>
      </w:r>
      <w:r w:rsidRPr="000606FB">
        <w:t>omputed tomography</w:t>
      </w:r>
      <w:r>
        <w:t>;</w:t>
      </w:r>
      <w:r w:rsidRPr="000606FB">
        <w:t xml:space="preserve"> </w:t>
      </w:r>
      <w:r>
        <w:t>CT, c</w:t>
      </w:r>
      <w:r w:rsidRPr="000606FB">
        <w:t>omputed tomography</w:t>
      </w:r>
      <w:r>
        <w:t>;</w:t>
      </w:r>
      <w:r w:rsidRPr="000606FB">
        <w:t xml:space="preserve"> </w:t>
      </w:r>
      <w:r>
        <w:t xml:space="preserve">eGFR, estimated glomerular filtration rate; HRQoL, </w:t>
      </w:r>
      <w:r w:rsidRPr="00EC0854">
        <w:t>health related quality of life</w:t>
      </w:r>
      <w:r>
        <w:t>;</w:t>
      </w:r>
      <w:r w:rsidRPr="00EC0854">
        <w:t xml:space="preserve"> </w:t>
      </w:r>
      <w:r>
        <w:t>IV, intravenous; MRI, magnetic resonance imaging; NHB, net health benefit; NHS, national health system; NICE, National Institute for Health and Care Excellence; PC-AKI, post-contrast acute kidney injury; POC, point-of-care; RF, risk factor; RRT, renal replacement therapy; QALY, quality-adjusted life year.</w:t>
      </w:r>
    </w:p>
    <w:p w:rsidR="00EE288F" w:rsidRDefault="00EE288F" w:rsidP="00BF5044">
      <w:pPr>
        <w:pStyle w:val="Heading3"/>
      </w:pPr>
      <w:r>
        <w:lastRenderedPageBreak/>
        <w:t xml:space="preserve">Introduction </w:t>
      </w:r>
    </w:p>
    <w:p w:rsidR="00EE288F" w:rsidRDefault="00EE288F" w:rsidP="00BF5044">
      <w:pPr>
        <w:spacing w:before="120" w:after="120" w:line="360" w:lineRule="auto"/>
      </w:pPr>
      <w:r>
        <w:t>Computed tomography (CT) is often enhanced with iodinated intravascular contrast media to improve soft-tissue contrast. Contrast media use, especially high-osmolality agents, has been found to be associated with increased risk of post-contrast acute kidney injury (PC-AKI</w:t>
      </w:r>
      <w:proofErr w:type="gramStart"/>
      <w:r>
        <w:t>)</w:t>
      </w:r>
      <w:r>
        <w:rPr>
          <w:noProof/>
        </w:rPr>
        <w:t>[</w:t>
      </w:r>
      <w:proofErr w:type="gramEnd"/>
      <w:r>
        <w:rPr>
          <w:noProof/>
        </w:rPr>
        <w:t>1]</w:t>
      </w:r>
      <w:r>
        <w:t xml:space="preserve">. PC-AKI is defined as an increase in serum creatinine of 1.5 times the baseline within 48-72 hours of intravascular contrast media administration </w:t>
      </w:r>
      <w:r>
        <w:rPr>
          <w:noProof/>
        </w:rPr>
        <w:t>[2]</w:t>
      </w:r>
      <w:r>
        <w:t xml:space="preserve">, and may impact on patient morbidity and </w:t>
      </w:r>
      <w:proofErr w:type="gramStart"/>
      <w:r>
        <w:t>mortality</w:t>
      </w:r>
      <w:r>
        <w:rPr>
          <w:noProof/>
        </w:rPr>
        <w:t>[</w:t>
      </w:r>
      <w:proofErr w:type="gramEnd"/>
      <w:r>
        <w:rPr>
          <w:noProof/>
        </w:rPr>
        <w:t>3]</w:t>
      </w:r>
      <w:r>
        <w:t xml:space="preserve">. </w:t>
      </w:r>
    </w:p>
    <w:p w:rsidR="00EE288F" w:rsidRDefault="00EE288F" w:rsidP="00BF5044">
      <w:pPr>
        <w:spacing w:before="120" w:after="120" w:line="360" w:lineRule="auto"/>
      </w:pPr>
      <w:bookmarkStart w:id="1" w:name="_Hlk76308042"/>
      <w:r>
        <w:t xml:space="preserve">Current guidelines recommend the use of low and </w:t>
      </w:r>
      <w:proofErr w:type="spellStart"/>
      <w:r>
        <w:t>iso</w:t>
      </w:r>
      <w:proofErr w:type="spellEnd"/>
      <w:r>
        <w:t>-osmolality contrast media, assessment of PC-AKI risk, and delivery of risk mediating actions prior to contrast administration to patients at higher PC-AKI risk</w:t>
      </w:r>
      <w:r w:rsidRPr="003F157A">
        <w:t xml:space="preserve"> </w:t>
      </w:r>
      <w:r>
        <w:rPr>
          <w:noProof/>
        </w:rPr>
        <w:t>[2, 4, 5]</w:t>
      </w:r>
      <w:r>
        <w:t xml:space="preserve">. The key patient-related predictor of PC-AKI risk is current renal </w:t>
      </w:r>
      <w:proofErr w:type="gramStart"/>
      <w:r>
        <w:t>function</w:t>
      </w:r>
      <w:r>
        <w:rPr>
          <w:noProof/>
        </w:rPr>
        <w:t>[</w:t>
      </w:r>
      <w:proofErr w:type="gramEnd"/>
      <w:r>
        <w:rPr>
          <w:noProof/>
        </w:rPr>
        <w:t>6]</w:t>
      </w:r>
      <w:r>
        <w:t>, which can be assessed by determining the estimated glomerular filtration rate (eGFR) based on a serum creatinine test. Although guidelines differ on how PC-AKI risk should be assessed and managed,</w:t>
      </w:r>
      <w:r w:rsidRPr="004C7F41">
        <w:t xml:space="preserve"> </w:t>
      </w:r>
      <w:r>
        <w:t xml:space="preserve">patients are considered to be at high PC-AKI risk at eGFR&lt;30mL/min/1.73 </w:t>
      </w:r>
      <w:proofErr w:type="gramStart"/>
      <w:r>
        <w:t>m</w:t>
      </w:r>
      <w:r w:rsidRPr="00EB2F67">
        <w:rPr>
          <w:vertAlign w:val="superscript"/>
        </w:rPr>
        <w:t>2</w:t>
      </w:r>
      <w:r w:rsidRPr="0056709A">
        <w:rPr>
          <w:noProof/>
        </w:rPr>
        <w:t>[</w:t>
      </w:r>
      <w:proofErr w:type="gramEnd"/>
      <w:r w:rsidRPr="0056709A">
        <w:rPr>
          <w:noProof/>
        </w:rPr>
        <w:t>2, 4, 5]</w:t>
      </w:r>
      <w:r w:rsidRPr="009F4EA7">
        <w:t xml:space="preserve">. </w:t>
      </w:r>
      <w:r>
        <w:t xml:space="preserve">For these patients, clinicians have the options to use prophylactic IV hydration, </w:t>
      </w:r>
      <w:r w:rsidRPr="0046426A">
        <w:t>an alternative imaging</w:t>
      </w:r>
      <w:r>
        <w:t xml:space="preserve"> method (including unenhanced CT) </w:t>
      </w:r>
      <w:r w:rsidRPr="0056709A">
        <w:rPr>
          <w:noProof/>
        </w:rPr>
        <w:t>[2, 4, 5]</w:t>
      </w:r>
      <w:r>
        <w:t xml:space="preserve">, or proceed with contrast-enhanced CT (CECT) when the expected benefits outweigh the renal </w:t>
      </w:r>
      <w:proofErr w:type="gramStart"/>
      <w:r>
        <w:t>risk</w:t>
      </w:r>
      <w:r>
        <w:rPr>
          <w:noProof/>
        </w:rPr>
        <w:t>[</w:t>
      </w:r>
      <w:proofErr w:type="gramEnd"/>
      <w:r>
        <w:rPr>
          <w:noProof/>
        </w:rPr>
        <w:t>4, 5]</w:t>
      </w:r>
      <w:r>
        <w:t>.</w:t>
      </w:r>
    </w:p>
    <w:bookmarkEnd w:id="1"/>
    <w:p w:rsidR="00EE288F" w:rsidRDefault="00EE288F" w:rsidP="00BF5044">
      <w:pPr>
        <w:spacing w:before="120" w:after="120" w:line="360" w:lineRule="auto"/>
      </w:pPr>
      <w:r>
        <w:t xml:space="preserve">Whilst a recent eGFR measurement is typically requested prior to a CECT scan as part of PC-AKI prevention protocols, patients may still attend for a scan without one. An audit of NHS trusts found only 21% of institutions complied with the recommendation to test kidney function within 3 months of a scheduled outpatient CT </w:t>
      </w:r>
      <w:proofErr w:type="gramStart"/>
      <w:r>
        <w:t>scan</w:t>
      </w:r>
      <w:r>
        <w:rPr>
          <w:noProof/>
        </w:rPr>
        <w:t>[</w:t>
      </w:r>
      <w:proofErr w:type="gramEnd"/>
      <w:r>
        <w:rPr>
          <w:noProof/>
        </w:rPr>
        <w:t>7]</w:t>
      </w:r>
      <w:r>
        <w:t xml:space="preserve">. When a patient attends without a recent eGFR measurement, clinicians may decide to proceed with the planned CT scan, delay the scan until a measurement can be obtained, or change the imaging modality. </w:t>
      </w:r>
    </w:p>
    <w:p w:rsidR="00EE288F" w:rsidRDefault="00EE288F" w:rsidP="00BF5044">
      <w:pPr>
        <w:spacing w:before="120" w:after="120" w:line="360" w:lineRule="auto"/>
      </w:pPr>
      <w:r>
        <w:t xml:space="preserve">Point-of-care (POC) creatinine testing can be used to calculate eGFR for patients without a recent measurement to avoid delaying the CT procedure because of the need for laboratory testing or the potential suboptimal management of patients in the absence of eGFR measurements (e.g., scanning without contrast or proceeding without knowledge of ‘true’ PC-AKI risk). However, the diagnostic accuracy of POC creatinine devices may be lower than laboratory testing, introducing a potential risk of misclassification and mismanagement of patients.  </w:t>
      </w:r>
    </w:p>
    <w:p w:rsidR="00EE288F" w:rsidRDefault="00EE288F" w:rsidP="00BF5044">
      <w:pPr>
        <w:spacing w:before="120" w:after="120" w:line="360" w:lineRule="auto"/>
      </w:pPr>
      <w:r>
        <w:t xml:space="preserve">The cost-effectiveness of POC creatinine testing </w:t>
      </w:r>
      <w:r w:rsidRPr="008B3EEF">
        <w:t>to e</w:t>
      </w:r>
      <w:r>
        <w:t xml:space="preserve">valuate kidney function of </w:t>
      </w:r>
      <w:r w:rsidRPr="008B3EEF">
        <w:t xml:space="preserve">patients without a recent eGFR measurement who need </w:t>
      </w:r>
      <w:r>
        <w:t>CE</w:t>
      </w:r>
      <w:r w:rsidRPr="008B3EEF">
        <w:t>CT</w:t>
      </w:r>
      <w:r>
        <w:t xml:space="preserve"> </w:t>
      </w:r>
      <w:r w:rsidRPr="008B3EEF">
        <w:t>imaging</w:t>
      </w:r>
      <w:r>
        <w:t xml:space="preserve"> is currently unknown</w:t>
      </w:r>
      <w:r w:rsidRPr="008B3EEF">
        <w:t>.</w:t>
      </w:r>
      <w:r>
        <w:t xml:space="preserve"> While previous studies have estimated the POC creatinine testing costs</w:t>
      </w:r>
      <w:r>
        <w:rPr>
          <w:noProof/>
        </w:rPr>
        <w:t>[8, 9]</w:t>
      </w:r>
      <w:r>
        <w:t xml:space="preserve"> and the impact on resource use and costs of introducing POC creatinine testing in the workflow of UK diagnostic imaging departments</w:t>
      </w:r>
      <w:r>
        <w:rPr>
          <w:noProof/>
        </w:rPr>
        <w:t>[10]</w:t>
      </w:r>
      <w:r>
        <w:t>, the joint impact of POC testing on total costs and health outcomes has not been assessed.</w:t>
      </w:r>
    </w:p>
    <w:p w:rsidR="00EE288F" w:rsidRDefault="00EE288F" w:rsidP="00BF5044">
      <w:pPr>
        <w:spacing w:before="120" w:after="120" w:line="360" w:lineRule="auto"/>
        <w:rPr>
          <w:bCs/>
          <w:iCs/>
        </w:rPr>
      </w:pPr>
      <w:r>
        <w:lastRenderedPageBreak/>
        <w:t>Our study aims to determine the cost-effectiveness of POC</w:t>
      </w:r>
      <w:r w:rsidRPr="004F60E8">
        <w:t xml:space="preserve"> </w:t>
      </w:r>
      <w:r>
        <w:t xml:space="preserve">creatinine testing </w:t>
      </w:r>
      <w:r w:rsidRPr="005F6FB0">
        <w:rPr>
          <w:bCs/>
          <w:iCs/>
        </w:rPr>
        <w:t xml:space="preserve">to </w:t>
      </w:r>
      <w:r>
        <w:rPr>
          <w:bCs/>
          <w:iCs/>
        </w:rPr>
        <w:t>evaluate</w:t>
      </w:r>
      <w:r w:rsidRPr="005F6FB0">
        <w:rPr>
          <w:bCs/>
          <w:iCs/>
        </w:rPr>
        <w:t xml:space="preserve"> kidney function</w:t>
      </w:r>
      <w:r>
        <w:rPr>
          <w:bCs/>
          <w:iCs/>
        </w:rPr>
        <w:t xml:space="preserve"> in</w:t>
      </w:r>
      <w:r w:rsidRPr="005F6FB0">
        <w:rPr>
          <w:bCs/>
          <w:iCs/>
        </w:rPr>
        <w:t xml:space="preserve"> </w:t>
      </w:r>
      <w:r>
        <w:rPr>
          <w:bCs/>
          <w:iCs/>
        </w:rPr>
        <w:t>outpatients</w:t>
      </w:r>
      <w:r w:rsidRPr="005F6FB0">
        <w:rPr>
          <w:bCs/>
          <w:iCs/>
        </w:rPr>
        <w:t xml:space="preserve"> </w:t>
      </w:r>
      <w:r>
        <w:rPr>
          <w:bCs/>
          <w:iCs/>
        </w:rPr>
        <w:t xml:space="preserve">without a </w:t>
      </w:r>
      <w:r w:rsidRPr="005F6FB0">
        <w:rPr>
          <w:bCs/>
          <w:iCs/>
        </w:rPr>
        <w:t xml:space="preserve">recent </w:t>
      </w:r>
      <w:r>
        <w:rPr>
          <w:bCs/>
          <w:iCs/>
        </w:rPr>
        <w:t>eGFR</w:t>
      </w:r>
      <w:r w:rsidRPr="005F6FB0">
        <w:rPr>
          <w:bCs/>
          <w:iCs/>
        </w:rPr>
        <w:t xml:space="preserve"> measurement</w:t>
      </w:r>
      <w:r>
        <w:rPr>
          <w:bCs/>
          <w:iCs/>
        </w:rPr>
        <w:t xml:space="preserve"> </w:t>
      </w:r>
      <w:r w:rsidRPr="005F6FB0">
        <w:rPr>
          <w:bCs/>
          <w:iCs/>
        </w:rPr>
        <w:t xml:space="preserve">who need </w:t>
      </w:r>
      <w:r>
        <w:rPr>
          <w:bCs/>
          <w:iCs/>
        </w:rPr>
        <w:t>non-emergency CE</w:t>
      </w:r>
      <w:r w:rsidRPr="005F6FB0">
        <w:rPr>
          <w:bCs/>
          <w:iCs/>
        </w:rPr>
        <w:t>CT imaging</w:t>
      </w:r>
      <w:r>
        <w:rPr>
          <w:bCs/>
          <w:iCs/>
        </w:rPr>
        <w:t xml:space="preserve"> in England and Wales. A full technical report of this research is published </w:t>
      </w:r>
      <w:proofErr w:type="gramStart"/>
      <w:r>
        <w:rPr>
          <w:bCs/>
          <w:iCs/>
        </w:rPr>
        <w:t>elsewhere</w:t>
      </w:r>
      <w:r>
        <w:rPr>
          <w:bCs/>
          <w:iCs/>
          <w:noProof/>
        </w:rPr>
        <w:t>[</w:t>
      </w:r>
      <w:proofErr w:type="gramEnd"/>
      <w:r>
        <w:rPr>
          <w:bCs/>
          <w:iCs/>
          <w:noProof/>
        </w:rPr>
        <w:t>11]</w:t>
      </w:r>
      <w:r w:rsidRPr="00FE7980">
        <w:rPr>
          <w:bCs/>
          <w:iCs/>
        </w:rPr>
        <w:t xml:space="preserve">. </w:t>
      </w:r>
      <w:r w:rsidRPr="00531290">
        <w:rPr>
          <w:bCs/>
          <w:iCs/>
        </w:rPr>
        <w:t xml:space="preserve">Here we </w:t>
      </w:r>
      <w:r>
        <w:rPr>
          <w:bCs/>
          <w:iCs/>
        </w:rPr>
        <w:t>summarise</w:t>
      </w:r>
      <w:r w:rsidRPr="00531290">
        <w:rPr>
          <w:bCs/>
          <w:iCs/>
        </w:rPr>
        <w:t xml:space="preserve"> the cost-effectiveness of POC</w:t>
      </w:r>
      <w:r>
        <w:rPr>
          <w:bCs/>
          <w:iCs/>
        </w:rPr>
        <w:t xml:space="preserve"> creatinine</w:t>
      </w:r>
      <w:r w:rsidRPr="00531290">
        <w:rPr>
          <w:bCs/>
          <w:iCs/>
        </w:rPr>
        <w:t xml:space="preserve"> testing</w:t>
      </w:r>
      <w:r>
        <w:rPr>
          <w:bCs/>
          <w:iCs/>
        </w:rPr>
        <w:t>.</w:t>
      </w:r>
    </w:p>
    <w:p w:rsidR="00EE288F" w:rsidRPr="004E2A04" w:rsidRDefault="00EE288F" w:rsidP="00BF5044">
      <w:pPr>
        <w:spacing w:before="120" w:after="120" w:line="360" w:lineRule="auto"/>
        <w:rPr>
          <w:bCs/>
          <w:iCs/>
        </w:rPr>
      </w:pPr>
    </w:p>
    <w:p w:rsidR="00EE288F" w:rsidRDefault="00EE288F" w:rsidP="00BF5044">
      <w:pPr>
        <w:pStyle w:val="Heading3"/>
        <w:spacing w:before="120" w:after="120" w:line="360" w:lineRule="auto"/>
      </w:pPr>
      <w:r>
        <w:t>Methods</w:t>
      </w:r>
    </w:p>
    <w:p w:rsidR="00EE288F" w:rsidRDefault="00EE288F" w:rsidP="00BF5044">
      <w:pPr>
        <w:spacing w:before="120" w:after="120" w:line="360" w:lineRule="auto"/>
      </w:pPr>
      <w:r>
        <w:t>C</w:t>
      </w:r>
      <w:r w:rsidRPr="007E44CC">
        <w:t>osts</w:t>
      </w:r>
      <w:r>
        <w:t xml:space="preserve"> were estimated from a health care perspective</w:t>
      </w:r>
      <w:r w:rsidRPr="007E44CC">
        <w:t xml:space="preserve"> expressed as pound sterling (2018 price year) and health outcomes as </w:t>
      </w:r>
      <w:r>
        <w:t>quality-adjusted life-years (</w:t>
      </w:r>
      <w:r w:rsidRPr="007E44CC">
        <w:t>QALYs</w:t>
      </w:r>
      <w:r>
        <w:t>)</w:t>
      </w:r>
      <w:r w:rsidRPr="004E079B">
        <w:t xml:space="preserve"> </w:t>
      </w:r>
      <w:r>
        <w:t>using a decision analytic model. Outcomes and costs were</w:t>
      </w:r>
      <w:r w:rsidRPr="007E44CC">
        <w:t xml:space="preserve"> discounted at 3.5% per </w:t>
      </w:r>
      <w:proofErr w:type="gramStart"/>
      <w:r w:rsidRPr="007E44CC">
        <w:t>annum</w:t>
      </w:r>
      <w:r>
        <w:rPr>
          <w:noProof/>
        </w:rPr>
        <w:t>[</w:t>
      </w:r>
      <w:proofErr w:type="gramEnd"/>
      <w:r>
        <w:rPr>
          <w:noProof/>
        </w:rPr>
        <w:t>12]</w:t>
      </w:r>
      <w:r w:rsidRPr="007E44CC">
        <w:t xml:space="preserve">. </w:t>
      </w:r>
    </w:p>
    <w:p w:rsidR="00EE288F" w:rsidRPr="0070054C" w:rsidRDefault="00EE288F" w:rsidP="00BF5044">
      <w:pPr>
        <w:pStyle w:val="Heading3"/>
        <w:spacing w:before="120" w:after="120" w:line="360" w:lineRule="auto"/>
        <w:rPr>
          <w:rFonts w:asciiTheme="minorHAnsi" w:eastAsiaTheme="minorHAnsi" w:hAnsiTheme="minorHAnsi" w:cstheme="minorBidi"/>
          <w:b/>
          <w:bCs/>
          <w:color w:val="auto"/>
        </w:rPr>
      </w:pPr>
      <w:r w:rsidRPr="0070054C">
        <w:rPr>
          <w:rFonts w:asciiTheme="minorHAnsi" w:eastAsiaTheme="minorHAnsi" w:hAnsiTheme="minorHAnsi" w:cstheme="minorBidi"/>
          <w:b/>
          <w:bCs/>
          <w:i/>
          <w:iCs/>
          <w:color w:val="auto"/>
          <w:sz w:val="22"/>
          <w:szCs w:val="22"/>
        </w:rPr>
        <w:t>Patient population</w:t>
      </w:r>
    </w:p>
    <w:p w:rsidR="00EE288F" w:rsidRDefault="00EE288F" w:rsidP="00BF5044">
      <w:pPr>
        <w:spacing w:before="120" w:after="120" w:line="360" w:lineRule="auto"/>
      </w:pPr>
      <w:r>
        <w:t>The patient population comprises individuals</w:t>
      </w:r>
      <w:r w:rsidRPr="00273A41">
        <w:t xml:space="preserve"> who need</w:t>
      </w:r>
      <w:r>
        <w:t xml:space="preserve"> CECT</w:t>
      </w:r>
      <w:r w:rsidRPr="00273A41">
        <w:t xml:space="preserve"> imaging in a non-emergency situation </w:t>
      </w:r>
      <w:r>
        <w:t>(outpatient setting), without</w:t>
      </w:r>
      <w:r w:rsidRPr="00273A41">
        <w:t xml:space="preserve"> a recent </w:t>
      </w:r>
      <w:r>
        <w:t>eGFR</w:t>
      </w:r>
      <w:r w:rsidRPr="00273A41">
        <w:t xml:space="preserve"> measurement.</w:t>
      </w:r>
      <w:r>
        <w:t xml:space="preserve"> This includes patients with and without compromised kidney function (i.e., eGFR lower or greater than </w:t>
      </w:r>
      <w:r w:rsidRPr="009F4EA7">
        <w:t>30mL/min/1.73m</w:t>
      </w:r>
      <w:r w:rsidRPr="009F4EA7">
        <w:rPr>
          <w:vertAlign w:val="superscript"/>
        </w:rPr>
        <w:t>2</w:t>
      </w:r>
      <w:r>
        <w:t xml:space="preserve">). </w:t>
      </w:r>
    </w:p>
    <w:p w:rsidR="00EE288F" w:rsidRDefault="00EE288F" w:rsidP="00BF5044">
      <w:pPr>
        <w:spacing w:before="120" w:after="120" w:line="360" w:lineRule="auto"/>
      </w:pPr>
      <w:r>
        <w:t>The distribution of eGFR in the population of interest was estimated by fitting a probability distribution to a month of</w:t>
      </w:r>
      <w:r w:rsidRPr="00426CDE">
        <w:t xml:space="preserve"> routine outpatient audit data from </w:t>
      </w:r>
      <w:r>
        <w:t>one</w:t>
      </w:r>
      <w:r w:rsidRPr="00426CDE">
        <w:t xml:space="preserve"> </w:t>
      </w:r>
      <w:r>
        <w:t>UK</w:t>
      </w:r>
      <w:r w:rsidRPr="00426CDE">
        <w:t xml:space="preserve"> Trust</w:t>
      </w:r>
      <w:r>
        <w:t xml:space="preserve"> (n=816)</w:t>
      </w:r>
      <w:r>
        <w:rPr>
          <w:rFonts w:cstheme="minorHAnsi"/>
          <w:noProof/>
          <w:szCs w:val="18"/>
        </w:rPr>
        <w:t>[10]</w:t>
      </w:r>
      <w:r>
        <w:rPr>
          <w:rFonts w:cstheme="minorHAnsi"/>
          <w:szCs w:val="18"/>
        </w:rPr>
        <w:t>.</w:t>
      </w:r>
      <w:r>
        <w:t xml:space="preserve"> These data, and a recent POC creatinine diagnostic accuracy study</w:t>
      </w:r>
      <w:r w:rsidDel="000007B8">
        <w:t xml:space="preserve"> </w:t>
      </w:r>
      <w:r>
        <w:t xml:space="preserve">in </w:t>
      </w:r>
      <w:r w:rsidRPr="00880D6D">
        <w:t>outpatients</w:t>
      </w:r>
      <w:r>
        <w:t xml:space="preserve"> undergoing</w:t>
      </w:r>
      <w:r w:rsidRPr="00880D6D">
        <w:t xml:space="preserve"> </w:t>
      </w:r>
      <w:proofErr w:type="gramStart"/>
      <w:r>
        <w:t>CE</w:t>
      </w:r>
      <w:r w:rsidRPr="00880D6D">
        <w:t>CT</w:t>
      </w:r>
      <w:r>
        <w:rPr>
          <w:noProof/>
        </w:rPr>
        <w:t>[</w:t>
      </w:r>
      <w:proofErr w:type="gramEnd"/>
      <w:r>
        <w:rPr>
          <w:noProof/>
        </w:rPr>
        <w:t>13]</w:t>
      </w:r>
      <w:r>
        <w:t>, jointly inform the population characteristics in the model (</w:t>
      </w:r>
      <w:r>
        <w:fldChar w:fldCharType="begin"/>
      </w:r>
      <w:r>
        <w:instrText xml:space="preserve"> REF _Ref64996255 \h </w:instrText>
      </w:r>
      <w:r>
        <w:fldChar w:fldCharType="separate"/>
      </w:r>
      <w:r>
        <w:t>Table 2</w:t>
      </w:r>
      <w:r>
        <w:fldChar w:fldCharType="end"/>
      </w:r>
      <w:r>
        <w:fldChar w:fldCharType="begin"/>
      </w:r>
      <w:r>
        <w:instrText xml:space="preserve"> REF _Ref30940047 \h </w:instrText>
      </w:r>
      <w:r>
        <w:fldChar w:fldCharType="end"/>
      </w:r>
      <w:r>
        <w:t xml:space="preserve">). </w:t>
      </w:r>
    </w:p>
    <w:p w:rsidR="00EE288F" w:rsidRDefault="00EE288F" w:rsidP="00BF5044">
      <w:pPr>
        <w:spacing w:before="120" w:after="120" w:line="360" w:lineRule="auto"/>
      </w:pPr>
    </w:p>
    <w:p w:rsidR="00EE288F" w:rsidRDefault="00EE288F" w:rsidP="00BF5044">
      <w:pPr>
        <w:pStyle w:val="Heading3"/>
        <w:spacing w:before="120" w:after="120" w:line="360" w:lineRule="auto"/>
      </w:pPr>
      <w:r>
        <w:rPr>
          <w:rFonts w:asciiTheme="minorHAnsi" w:eastAsiaTheme="minorHAnsi" w:hAnsiTheme="minorHAnsi" w:cstheme="minorBidi"/>
          <w:b/>
          <w:bCs/>
          <w:i/>
          <w:iCs/>
          <w:color w:val="auto"/>
          <w:sz w:val="22"/>
          <w:szCs w:val="22"/>
        </w:rPr>
        <w:t>Strategies</w:t>
      </w:r>
    </w:p>
    <w:p w:rsidR="00EE288F" w:rsidRDefault="00EE288F" w:rsidP="00BF5044">
      <w:pPr>
        <w:spacing w:before="120" w:after="120" w:line="360" w:lineRule="auto"/>
      </w:pPr>
      <w:r>
        <w:t>The model compares testing strategies combining risk factor (RF) screening, POC creatinine testing and laboratory testing. Whilst a generic laboratory creatinine test and a generic RF screening questionnaire were considered</w:t>
      </w:r>
      <w:r w:rsidRPr="00B2214B">
        <w:t xml:space="preserve"> </w:t>
      </w:r>
      <w:r>
        <w:t xml:space="preserve">to assess renal function, the strategies including POC creatinine testing were evaluated separately for each of three POC creatinine devices commercially available in the UK: </w:t>
      </w:r>
      <w:proofErr w:type="spellStart"/>
      <w:r>
        <w:t>i</w:t>
      </w:r>
      <w:proofErr w:type="spellEnd"/>
      <w:r>
        <w:t>-STAT</w:t>
      </w:r>
      <w:r w:rsidRPr="00A47413">
        <w:t xml:space="preserve"> </w:t>
      </w:r>
      <w:r w:rsidRPr="00702C8F">
        <w:t>(</w:t>
      </w:r>
      <w:proofErr w:type="spellStart"/>
      <w:r w:rsidRPr="00A47413">
        <w:t>Alinity</w:t>
      </w:r>
      <w:proofErr w:type="spellEnd"/>
      <w:r>
        <w:t>,</w:t>
      </w:r>
      <w:r w:rsidRPr="00702C8F">
        <w:t xml:space="preserve"> Abbott Laboratories</w:t>
      </w:r>
      <w:r>
        <w:t>), StatSensor (Nova Biomedical), and</w:t>
      </w:r>
      <w:r w:rsidRPr="00A10CBC">
        <w:t xml:space="preserve"> </w:t>
      </w:r>
      <w:r>
        <w:t>ABL</w:t>
      </w:r>
      <w:r w:rsidRPr="00A47413">
        <w:t xml:space="preserve">800 Flex </w:t>
      </w:r>
      <w:r>
        <w:t>(Radiometer). Fourteen</w:t>
      </w:r>
      <w:r w:rsidRPr="00521FE9">
        <w:t xml:space="preserve"> </w:t>
      </w:r>
      <w:r>
        <w:t>screening/</w:t>
      </w:r>
      <w:r w:rsidRPr="00521FE9">
        <w:t>testing strategies</w:t>
      </w:r>
      <w:r>
        <w:t xml:space="preserve"> were evaluated in this assessment with each classifying patients as positive</w:t>
      </w:r>
      <w:r w:rsidRPr="00521FE9">
        <w:t xml:space="preserve"> </w:t>
      </w:r>
      <w:r>
        <w:t>or negative for high PC-AKI risk (eGFR&lt;30</w:t>
      </w:r>
      <w:r w:rsidRPr="009F4EA7">
        <w:t>mL/min/1.73m</w:t>
      </w:r>
      <w:r w:rsidRPr="00404138">
        <w:rPr>
          <w:vertAlign w:val="superscript"/>
        </w:rPr>
        <w:t>2</w:t>
      </w:r>
      <w:r w:rsidRPr="00000D3A">
        <w:t>)</w:t>
      </w:r>
      <w:r>
        <w:t>.</w:t>
      </w:r>
      <w:r w:rsidRPr="00521FE9">
        <w:t xml:space="preserve"> </w:t>
      </w:r>
      <w:r>
        <w:t xml:space="preserve">The strategies are described by strategy type in </w:t>
      </w:r>
      <w:r w:rsidR="00BF5044">
        <w:t>Table 1</w:t>
      </w:r>
      <w:r>
        <w:t>. Strategy types with a POC element include three separate strategies each (i.e., one for each POC device considered).</w:t>
      </w:r>
    </w:p>
    <w:p w:rsidR="00EE288F" w:rsidRDefault="00EE288F" w:rsidP="00BF5044">
      <w:pPr>
        <w:spacing w:before="120" w:after="120" w:line="360" w:lineRule="auto"/>
      </w:pPr>
    </w:p>
    <w:p w:rsidR="00EE288F" w:rsidRDefault="00EE288F" w:rsidP="00BF5044">
      <w:pPr>
        <w:spacing w:before="120" w:after="120" w:line="360" w:lineRule="auto"/>
      </w:pPr>
    </w:p>
    <w:p w:rsidR="00EE288F" w:rsidRDefault="00BF5044" w:rsidP="00BF5044">
      <w:pPr>
        <w:pStyle w:val="Caption"/>
        <w:keepNext/>
      </w:pPr>
      <w:r>
        <w:lastRenderedPageBreak/>
        <w:t xml:space="preserve">Table </w:t>
      </w:r>
      <w:proofErr w:type="gramStart"/>
      <w:r>
        <w:t>1</w:t>
      </w:r>
      <w:proofErr w:type="gramEnd"/>
      <w:r w:rsidR="00EE288F" w:rsidRPr="00EB2F67">
        <w:t xml:space="preserve"> </w:t>
      </w:r>
      <w:r w:rsidR="00EE288F" w:rsidRPr="00F47C4E">
        <w:t>Strategies evaluated in the base-case analysis</w:t>
      </w:r>
    </w:p>
    <w:tbl>
      <w:tblPr>
        <w:tblStyle w:val="TableGrid"/>
        <w:tblW w:w="5000" w:type="pct"/>
        <w:tblLook w:val="04A0" w:firstRow="1" w:lastRow="0" w:firstColumn="1" w:lastColumn="0" w:noHBand="0" w:noVBand="1"/>
      </w:tblPr>
      <w:tblGrid>
        <w:gridCol w:w="844"/>
        <w:gridCol w:w="1141"/>
        <w:gridCol w:w="7031"/>
      </w:tblGrid>
      <w:tr w:rsidR="00EE288F" w:rsidRPr="00EB2F67" w:rsidTr="00BF5044">
        <w:trPr>
          <w:trHeight w:hRule="exact" w:val="284"/>
        </w:trPr>
        <w:tc>
          <w:tcPr>
            <w:tcW w:w="1100" w:type="pct"/>
            <w:gridSpan w:val="2"/>
          </w:tcPr>
          <w:p w:rsidR="00EE288F" w:rsidRPr="00EB2F67" w:rsidRDefault="00EE288F" w:rsidP="00BF5044">
            <w:pPr>
              <w:spacing w:before="0" w:after="0"/>
              <w:rPr>
                <w:rFonts w:asciiTheme="minorHAnsi" w:hAnsiTheme="minorHAnsi" w:cstheme="minorHAnsi"/>
                <w:b/>
                <w:szCs w:val="18"/>
              </w:rPr>
            </w:pPr>
            <w:r w:rsidRPr="00EB2F67">
              <w:rPr>
                <w:rFonts w:asciiTheme="minorHAnsi" w:hAnsiTheme="minorHAnsi" w:cstheme="minorHAnsi"/>
                <w:b/>
                <w:szCs w:val="18"/>
              </w:rPr>
              <w:t>Strategy</w:t>
            </w:r>
          </w:p>
        </w:tc>
        <w:tc>
          <w:tcPr>
            <w:tcW w:w="3900" w:type="pct"/>
            <w:vMerge w:val="restart"/>
          </w:tcPr>
          <w:p w:rsidR="00EE288F" w:rsidRPr="00EB2F67" w:rsidRDefault="00EE288F" w:rsidP="00BF5044">
            <w:pPr>
              <w:spacing w:before="0" w:after="0"/>
              <w:rPr>
                <w:rFonts w:asciiTheme="minorHAnsi" w:hAnsiTheme="minorHAnsi" w:cstheme="minorHAnsi"/>
                <w:b/>
                <w:szCs w:val="18"/>
              </w:rPr>
            </w:pPr>
            <w:r w:rsidRPr="00EB2F67">
              <w:rPr>
                <w:rFonts w:asciiTheme="minorHAnsi" w:hAnsiTheme="minorHAnsi" w:cstheme="minorHAnsi"/>
                <w:b/>
                <w:szCs w:val="18"/>
              </w:rPr>
              <w:t>Testing sequence</w:t>
            </w:r>
          </w:p>
        </w:tc>
      </w:tr>
      <w:tr w:rsidR="00EE288F" w:rsidRPr="00EB2F67" w:rsidTr="00BF5044">
        <w:trPr>
          <w:trHeight w:hRule="exact" w:val="284"/>
        </w:trPr>
        <w:tc>
          <w:tcPr>
            <w:tcW w:w="468" w:type="pct"/>
          </w:tcPr>
          <w:p w:rsidR="00EE288F" w:rsidRPr="00EB2F67" w:rsidRDefault="00EE288F" w:rsidP="00BF5044">
            <w:pPr>
              <w:spacing w:before="0" w:after="0"/>
              <w:rPr>
                <w:rFonts w:cstheme="minorHAnsi"/>
                <w:b/>
                <w:szCs w:val="18"/>
              </w:rPr>
            </w:pPr>
            <w:r>
              <w:rPr>
                <w:rFonts w:asciiTheme="minorHAnsi" w:hAnsiTheme="minorHAnsi" w:cstheme="minorHAnsi"/>
                <w:b/>
                <w:szCs w:val="18"/>
              </w:rPr>
              <w:t>Number</w:t>
            </w:r>
          </w:p>
          <w:p w:rsidR="00EE288F" w:rsidRPr="00EB2F67" w:rsidRDefault="00EE288F" w:rsidP="00BF5044">
            <w:pPr>
              <w:spacing w:before="0" w:after="0"/>
              <w:rPr>
                <w:rFonts w:asciiTheme="minorHAnsi" w:hAnsiTheme="minorHAnsi" w:cstheme="minorHAnsi"/>
                <w:b/>
                <w:szCs w:val="18"/>
              </w:rPr>
            </w:pPr>
            <w:r w:rsidRPr="00EB2F67">
              <w:rPr>
                <w:rFonts w:asciiTheme="minorHAnsi" w:hAnsiTheme="minorHAnsi" w:cstheme="minorHAnsi"/>
                <w:b/>
                <w:szCs w:val="18"/>
              </w:rPr>
              <w:t>Number</w:t>
            </w:r>
          </w:p>
        </w:tc>
        <w:tc>
          <w:tcPr>
            <w:tcW w:w="633" w:type="pct"/>
          </w:tcPr>
          <w:p w:rsidR="00EE288F" w:rsidRPr="00EB2F67" w:rsidRDefault="00EE288F" w:rsidP="00BF5044">
            <w:pPr>
              <w:spacing w:before="0" w:after="0"/>
              <w:rPr>
                <w:rFonts w:asciiTheme="minorHAnsi" w:hAnsiTheme="minorHAnsi" w:cstheme="minorHAnsi"/>
                <w:b/>
                <w:szCs w:val="18"/>
              </w:rPr>
            </w:pPr>
            <w:r w:rsidRPr="00EB2F67">
              <w:rPr>
                <w:rFonts w:asciiTheme="minorHAnsi" w:hAnsiTheme="minorHAnsi" w:cstheme="minorHAnsi"/>
                <w:b/>
                <w:szCs w:val="18"/>
              </w:rPr>
              <w:t>Label</w:t>
            </w:r>
          </w:p>
        </w:tc>
        <w:tc>
          <w:tcPr>
            <w:tcW w:w="3900" w:type="pct"/>
            <w:vMerge/>
          </w:tcPr>
          <w:p w:rsidR="00EE288F" w:rsidRPr="00EB2F67" w:rsidRDefault="00EE288F" w:rsidP="00BF5044">
            <w:pPr>
              <w:spacing w:before="0" w:after="0"/>
              <w:rPr>
                <w:rFonts w:asciiTheme="minorHAnsi" w:hAnsiTheme="minorHAnsi" w:cstheme="minorHAnsi"/>
                <w:b/>
                <w:szCs w:val="18"/>
              </w:rPr>
            </w:pPr>
          </w:p>
        </w:tc>
      </w:tr>
      <w:tr w:rsidR="00EE288F" w:rsidRPr="00EB2F67" w:rsidTr="00BF5044">
        <w:trPr>
          <w:cantSplit/>
          <w:trHeight w:val="283"/>
        </w:trPr>
        <w:tc>
          <w:tcPr>
            <w:tcW w:w="468" w:type="pct"/>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1</w:t>
            </w:r>
          </w:p>
        </w:tc>
        <w:tc>
          <w:tcPr>
            <w:tcW w:w="633" w:type="pct"/>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Lab</w:t>
            </w:r>
          </w:p>
        </w:tc>
        <w:tc>
          <w:tcPr>
            <w:tcW w:w="3900" w:type="pct"/>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Test all with a laboratory test.</w:t>
            </w:r>
          </w:p>
        </w:tc>
      </w:tr>
      <w:tr w:rsidR="00EE288F" w:rsidRPr="00EB2F67" w:rsidTr="00BF5044">
        <w:trPr>
          <w:trHeight w:hRule="exact" w:val="283"/>
        </w:trPr>
        <w:tc>
          <w:tcPr>
            <w:tcW w:w="468" w:type="pct"/>
          </w:tcPr>
          <w:p w:rsidR="00EE288F" w:rsidRPr="00EB2F67" w:rsidRDefault="00EE288F" w:rsidP="00BF5044">
            <w:pPr>
              <w:spacing w:after="0"/>
              <w:rPr>
                <w:rFonts w:asciiTheme="minorHAnsi" w:hAnsiTheme="minorHAnsi" w:cstheme="minorHAnsi"/>
                <w:szCs w:val="18"/>
              </w:rPr>
            </w:pPr>
            <w:r w:rsidRPr="00EB2F67">
              <w:rPr>
                <w:rFonts w:asciiTheme="minorHAnsi" w:hAnsiTheme="minorHAnsi" w:cstheme="minorHAnsi"/>
                <w:szCs w:val="18"/>
              </w:rPr>
              <w:t>2</w:t>
            </w:r>
          </w:p>
        </w:tc>
        <w:tc>
          <w:tcPr>
            <w:tcW w:w="633" w:type="pct"/>
          </w:tcPr>
          <w:p w:rsidR="00EE288F" w:rsidRPr="00EB2F67" w:rsidRDefault="00EE288F" w:rsidP="00BF5044">
            <w:pPr>
              <w:spacing w:before="0" w:after="0"/>
              <w:rPr>
                <w:rFonts w:asciiTheme="minorHAnsi" w:hAnsiTheme="minorHAnsi" w:cstheme="minorHAnsi"/>
                <w:szCs w:val="18"/>
              </w:rPr>
            </w:pPr>
            <w:r w:rsidRPr="002D3587">
              <w:rPr>
                <w:rFonts w:asciiTheme="minorHAnsi" w:hAnsiTheme="minorHAnsi" w:cstheme="minorHAnsi"/>
                <w:szCs w:val="18"/>
              </w:rPr>
              <w:t>RF+POC</w:t>
            </w:r>
          </w:p>
        </w:tc>
        <w:tc>
          <w:tcPr>
            <w:tcW w:w="3900" w:type="pct"/>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 xml:space="preserve">Screen with RF questionnaire. Patients who screen positive are tested with </w:t>
            </w:r>
            <w:r>
              <w:rPr>
                <w:rFonts w:asciiTheme="minorHAnsi" w:hAnsiTheme="minorHAnsi" w:cstheme="minorHAnsi"/>
                <w:szCs w:val="18"/>
              </w:rPr>
              <w:t>POC device</w:t>
            </w:r>
            <w:r w:rsidR="00BF5044" w:rsidRPr="00BF5044">
              <w:rPr>
                <w:rFonts w:asciiTheme="minorHAnsi" w:hAnsiTheme="minorHAnsi" w:cstheme="minorHAnsi"/>
                <w:szCs w:val="18"/>
                <w:vertAlign w:val="superscript"/>
              </w:rPr>
              <w:t>*</w:t>
            </w:r>
            <w:r>
              <w:rPr>
                <w:rFonts w:asciiTheme="minorHAnsi" w:hAnsiTheme="minorHAnsi" w:cstheme="minorHAnsi"/>
                <w:szCs w:val="18"/>
              </w:rPr>
              <w:t xml:space="preserve">. </w:t>
            </w:r>
            <w:proofErr w:type="gramStart"/>
            <w:r>
              <w:rPr>
                <w:rFonts w:asciiTheme="minorHAnsi" w:hAnsiTheme="minorHAnsi" w:cstheme="minorHAnsi"/>
                <w:szCs w:val="18"/>
              </w:rPr>
              <w:t>device</w:t>
            </w:r>
            <w:proofErr w:type="gramEnd"/>
            <w:r w:rsidRPr="00EB2F67">
              <w:rPr>
                <w:rFonts w:asciiTheme="minorHAnsi" w:hAnsiTheme="minorHAnsi" w:cstheme="minorHAnsi"/>
                <w:szCs w:val="18"/>
              </w:rPr>
              <w:t>.</w:t>
            </w:r>
          </w:p>
        </w:tc>
      </w:tr>
      <w:tr w:rsidR="00EE288F" w:rsidRPr="00EB2F67" w:rsidTr="00BF5044">
        <w:trPr>
          <w:cantSplit/>
          <w:trHeight w:hRule="exact" w:val="283"/>
        </w:trPr>
        <w:tc>
          <w:tcPr>
            <w:tcW w:w="468" w:type="pct"/>
          </w:tcPr>
          <w:p w:rsidR="00EE288F" w:rsidRPr="00EB2F67" w:rsidRDefault="00EE288F" w:rsidP="00BF5044">
            <w:pPr>
              <w:spacing w:before="0" w:after="0"/>
              <w:rPr>
                <w:rFonts w:asciiTheme="minorHAnsi" w:hAnsiTheme="minorHAnsi" w:cstheme="minorHAnsi"/>
                <w:szCs w:val="18"/>
              </w:rPr>
            </w:pPr>
            <w:r>
              <w:rPr>
                <w:rFonts w:asciiTheme="minorHAnsi" w:hAnsiTheme="minorHAnsi" w:cstheme="minorHAnsi"/>
                <w:szCs w:val="18"/>
              </w:rPr>
              <w:t>3</w:t>
            </w:r>
          </w:p>
        </w:tc>
        <w:tc>
          <w:tcPr>
            <w:tcW w:w="633" w:type="pct"/>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RF + Lab</w:t>
            </w:r>
          </w:p>
        </w:tc>
        <w:tc>
          <w:tcPr>
            <w:tcW w:w="3900" w:type="pct"/>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Screen with RF questionnaire. Patients who screen positive are also laboratory tested.</w:t>
            </w:r>
          </w:p>
        </w:tc>
      </w:tr>
      <w:tr w:rsidR="00EE288F" w:rsidRPr="00EB2F67" w:rsidTr="00BF5044">
        <w:trPr>
          <w:trHeight w:val="454"/>
        </w:trPr>
        <w:tc>
          <w:tcPr>
            <w:tcW w:w="468" w:type="pct"/>
          </w:tcPr>
          <w:p w:rsidR="00EE288F" w:rsidRPr="00EB2F67" w:rsidRDefault="00EE288F" w:rsidP="00BF5044">
            <w:pPr>
              <w:spacing w:before="0" w:after="0"/>
              <w:rPr>
                <w:rFonts w:asciiTheme="minorHAnsi" w:hAnsiTheme="minorHAnsi" w:cstheme="minorHAnsi"/>
                <w:szCs w:val="18"/>
              </w:rPr>
            </w:pPr>
            <w:r>
              <w:rPr>
                <w:rFonts w:asciiTheme="minorHAnsi" w:hAnsiTheme="minorHAnsi" w:cstheme="minorHAnsi"/>
                <w:szCs w:val="18"/>
              </w:rPr>
              <w:t>4</w:t>
            </w:r>
          </w:p>
        </w:tc>
        <w:tc>
          <w:tcPr>
            <w:tcW w:w="633" w:type="pct"/>
          </w:tcPr>
          <w:p w:rsidR="00EE288F" w:rsidRPr="00EB2F67" w:rsidRDefault="00EE288F" w:rsidP="00BF5044">
            <w:pPr>
              <w:spacing w:after="0"/>
              <w:rPr>
                <w:rFonts w:asciiTheme="minorHAnsi" w:hAnsiTheme="minorHAnsi" w:cstheme="minorHAnsi"/>
                <w:szCs w:val="18"/>
              </w:rPr>
            </w:pPr>
            <w:r w:rsidRPr="00EB2F67">
              <w:rPr>
                <w:rFonts w:asciiTheme="minorHAnsi" w:hAnsiTheme="minorHAnsi" w:cstheme="minorHAnsi"/>
                <w:szCs w:val="18"/>
              </w:rPr>
              <w:t>RF+</w:t>
            </w:r>
            <w:r>
              <w:rPr>
                <w:rFonts w:asciiTheme="minorHAnsi" w:hAnsiTheme="minorHAnsi" w:cstheme="minorHAnsi"/>
                <w:szCs w:val="18"/>
              </w:rPr>
              <w:t>POC</w:t>
            </w:r>
            <w:r w:rsidRPr="00EB2F67">
              <w:rPr>
                <w:rFonts w:asciiTheme="minorHAnsi" w:hAnsiTheme="minorHAnsi" w:cstheme="minorHAnsi"/>
                <w:szCs w:val="18"/>
              </w:rPr>
              <w:t>+Lab</w:t>
            </w:r>
          </w:p>
          <w:p w:rsidR="00EE288F" w:rsidRPr="00EB2F67" w:rsidRDefault="00EE288F" w:rsidP="00BF5044">
            <w:pPr>
              <w:spacing w:before="0" w:after="0"/>
              <w:rPr>
                <w:rFonts w:asciiTheme="minorHAnsi" w:hAnsiTheme="minorHAnsi" w:cstheme="minorHAnsi"/>
                <w:szCs w:val="18"/>
              </w:rPr>
            </w:pPr>
          </w:p>
        </w:tc>
        <w:tc>
          <w:tcPr>
            <w:tcW w:w="3900" w:type="pct"/>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 xml:space="preserve">Screen with RF questionnaire. Patients who screen positive are tested with </w:t>
            </w:r>
            <w:r>
              <w:rPr>
                <w:rFonts w:asciiTheme="minorHAnsi" w:hAnsiTheme="minorHAnsi" w:cstheme="minorHAnsi"/>
                <w:szCs w:val="18"/>
              </w:rPr>
              <w:t>POC device</w:t>
            </w:r>
            <w:r w:rsidR="00BF5044" w:rsidRPr="00BF5044">
              <w:rPr>
                <w:rFonts w:asciiTheme="minorHAnsi" w:hAnsiTheme="minorHAnsi" w:cstheme="minorHAnsi"/>
                <w:szCs w:val="18"/>
                <w:vertAlign w:val="superscript"/>
              </w:rPr>
              <w:t>*</w:t>
            </w:r>
            <w:r w:rsidRPr="00EB2F67">
              <w:rPr>
                <w:rFonts w:asciiTheme="minorHAnsi" w:hAnsiTheme="minorHAnsi" w:cstheme="minorHAnsi"/>
                <w:szCs w:val="18"/>
              </w:rPr>
              <w:t>. Patients who test positive with POC</w:t>
            </w:r>
            <w:r>
              <w:rPr>
                <w:rFonts w:asciiTheme="minorHAnsi" w:hAnsiTheme="minorHAnsi" w:cstheme="minorHAnsi"/>
                <w:szCs w:val="18"/>
              </w:rPr>
              <w:t xml:space="preserve"> device</w:t>
            </w:r>
            <w:r w:rsidR="00BF5044" w:rsidRPr="00BF5044">
              <w:rPr>
                <w:rFonts w:asciiTheme="minorHAnsi" w:hAnsiTheme="minorHAnsi" w:cstheme="minorHAnsi"/>
                <w:szCs w:val="18"/>
                <w:vertAlign w:val="superscript"/>
              </w:rPr>
              <w:t>*</w:t>
            </w:r>
            <w:r w:rsidRPr="00EB2F67">
              <w:rPr>
                <w:rFonts w:asciiTheme="minorHAnsi" w:hAnsiTheme="minorHAnsi" w:cstheme="minorHAnsi"/>
                <w:szCs w:val="18"/>
              </w:rPr>
              <w:t xml:space="preserve"> are tested with a laboratory test. </w:t>
            </w:r>
          </w:p>
        </w:tc>
      </w:tr>
      <w:tr w:rsidR="00EE288F" w:rsidRPr="00EB2F67" w:rsidTr="00BF5044">
        <w:trPr>
          <w:trHeight w:val="283"/>
        </w:trPr>
        <w:tc>
          <w:tcPr>
            <w:tcW w:w="468" w:type="pct"/>
          </w:tcPr>
          <w:p w:rsidR="00EE288F" w:rsidRPr="00EB2F67" w:rsidRDefault="00EE288F" w:rsidP="00BF5044">
            <w:pPr>
              <w:spacing w:before="0" w:after="0"/>
              <w:rPr>
                <w:rFonts w:asciiTheme="minorHAnsi" w:hAnsiTheme="minorHAnsi" w:cstheme="minorHAnsi"/>
                <w:szCs w:val="18"/>
              </w:rPr>
            </w:pPr>
            <w:r>
              <w:rPr>
                <w:rFonts w:asciiTheme="minorHAnsi" w:hAnsiTheme="minorHAnsi" w:cstheme="minorHAnsi"/>
                <w:szCs w:val="18"/>
              </w:rPr>
              <w:t>5</w:t>
            </w:r>
          </w:p>
        </w:tc>
        <w:tc>
          <w:tcPr>
            <w:tcW w:w="633" w:type="pct"/>
          </w:tcPr>
          <w:p w:rsidR="00EE288F" w:rsidRPr="00BF5044" w:rsidRDefault="00EE288F" w:rsidP="00BF5044">
            <w:pPr>
              <w:spacing w:before="0" w:after="0"/>
              <w:rPr>
                <w:rFonts w:asciiTheme="minorHAnsi" w:hAnsiTheme="minorHAnsi" w:cstheme="minorHAnsi"/>
                <w:szCs w:val="18"/>
                <w:vertAlign w:val="superscript"/>
              </w:rPr>
            </w:pPr>
            <w:r>
              <w:rPr>
                <w:rFonts w:asciiTheme="minorHAnsi" w:hAnsiTheme="minorHAnsi" w:cstheme="minorHAnsi"/>
                <w:szCs w:val="18"/>
              </w:rPr>
              <w:t>POC</w:t>
            </w:r>
          </w:p>
        </w:tc>
        <w:tc>
          <w:tcPr>
            <w:tcW w:w="3900" w:type="pct"/>
            <w:vAlign w:val="center"/>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 xml:space="preserve">Test </w:t>
            </w:r>
            <w:r>
              <w:rPr>
                <w:rFonts w:asciiTheme="minorHAnsi" w:hAnsiTheme="minorHAnsi" w:cstheme="minorHAnsi"/>
                <w:szCs w:val="18"/>
              </w:rPr>
              <w:t xml:space="preserve">all </w:t>
            </w:r>
            <w:r w:rsidRPr="00EB2F67">
              <w:rPr>
                <w:rFonts w:asciiTheme="minorHAnsi" w:hAnsiTheme="minorHAnsi" w:cstheme="minorHAnsi"/>
                <w:szCs w:val="18"/>
              </w:rPr>
              <w:t xml:space="preserve">with </w:t>
            </w:r>
            <w:r>
              <w:rPr>
                <w:rFonts w:asciiTheme="minorHAnsi" w:hAnsiTheme="minorHAnsi" w:cstheme="minorHAnsi"/>
                <w:szCs w:val="18"/>
              </w:rPr>
              <w:t>POC device</w:t>
            </w:r>
            <w:r w:rsidR="00BF5044" w:rsidRPr="00BF5044">
              <w:rPr>
                <w:rFonts w:asciiTheme="minorHAnsi" w:hAnsiTheme="minorHAnsi" w:cstheme="minorHAnsi"/>
                <w:szCs w:val="18"/>
                <w:vertAlign w:val="superscript"/>
              </w:rPr>
              <w:t>*</w:t>
            </w:r>
            <w:r w:rsidRPr="00EB2F67">
              <w:rPr>
                <w:rFonts w:asciiTheme="minorHAnsi" w:hAnsiTheme="minorHAnsi" w:cstheme="minorHAnsi"/>
                <w:szCs w:val="18"/>
              </w:rPr>
              <w:t>.</w:t>
            </w:r>
            <w:r w:rsidRPr="00EB2F67" w:rsidDel="00B432B4">
              <w:rPr>
                <w:rFonts w:asciiTheme="minorHAnsi" w:hAnsiTheme="minorHAnsi" w:cstheme="minorHAnsi"/>
                <w:szCs w:val="18"/>
              </w:rPr>
              <w:t xml:space="preserve"> </w:t>
            </w:r>
          </w:p>
        </w:tc>
      </w:tr>
      <w:tr w:rsidR="00EE288F" w:rsidRPr="00EB2F67" w:rsidTr="00BF5044">
        <w:trPr>
          <w:trHeight w:val="454"/>
        </w:trPr>
        <w:tc>
          <w:tcPr>
            <w:tcW w:w="468" w:type="pct"/>
          </w:tcPr>
          <w:p w:rsidR="00EE288F" w:rsidRPr="00EB2F67" w:rsidRDefault="00EE288F" w:rsidP="00BF5044">
            <w:pPr>
              <w:spacing w:before="0" w:after="0"/>
              <w:rPr>
                <w:rFonts w:asciiTheme="minorHAnsi" w:hAnsiTheme="minorHAnsi" w:cstheme="minorHAnsi"/>
                <w:szCs w:val="18"/>
              </w:rPr>
            </w:pPr>
            <w:r>
              <w:rPr>
                <w:rFonts w:asciiTheme="minorHAnsi" w:hAnsiTheme="minorHAnsi" w:cstheme="minorHAnsi"/>
                <w:szCs w:val="18"/>
              </w:rPr>
              <w:t>6</w:t>
            </w:r>
          </w:p>
        </w:tc>
        <w:tc>
          <w:tcPr>
            <w:tcW w:w="633" w:type="pct"/>
          </w:tcPr>
          <w:p w:rsidR="00EE288F" w:rsidRPr="00EB2F67" w:rsidRDefault="00EE288F" w:rsidP="00BF5044">
            <w:pPr>
              <w:spacing w:after="0"/>
              <w:rPr>
                <w:rFonts w:asciiTheme="minorHAnsi" w:hAnsiTheme="minorHAnsi" w:cstheme="minorHAnsi"/>
                <w:szCs w:val="18"/>
              </w:rPr>
            </w:pPr>
            <w:r w:rsidRPr="002D3587">
              <w:rPr>
                <w:rFonts w:asciiTheme="minorHAnsi" w:hAnsiTheme="minorHAnsi" w:cstheme="minorHAnsi"/>
                <w:szCs w:val="18"/>
              </w:rPr>
              <w:t>POC+Lab</w:t>
            </w:r>
          </w:p>
        </w:tc>
        <w:tc>
          <w:tcPr>
            <w:tcW w:w="3900" w:type="pct"/>
            <w:vAlign w:val="center"/>
          </w:tcPr>
          <w:p w:rsidR="00EE288F" w:rsidRPr="00EB2F67" w:rsidRDefault="00EE288F" w:rsidP="00BF5044">
            <w:pPr>
              <w:spacing w:before="0" w:after="0"/>
              <w:rPr>
                <w:rFonts w:asciiTheme="minorHAnsi" w:hAnsiTheme="minorHAnsi" w:cstheme="minorHAnsi"/>
                <w:szCs w:val="18"/>
              </w:rPr>
            </w:pPr>
            <w:r w:rsidRPr="00EB2F67">
              <w:rPr>
                <w:rFonts w:asciiTheme="minorHAnsi" w:hAnsiTheme="minorHAnsi" w:cstheme="minorHAnsi"/>
                <w:szCs w:val="18"/>
              </w:rPr>
              <w:t xml:space="preserve">Test with </w:t>
            </w:r>
            <w:r>
              <w:rPr>
                <w:rFonts w:asciiTheme="minorHAnsi" w:hAnsiTheme="minorHAnsi" w:cstheme="minorHAnsi"/>
                <w:szCs w:val="18"/>
              </w:rPr>
              <w:t>POC device</w:t>
            </w:r>
            <w:r w:rsidR="00BF5044" w:rsidRPr="00BF5044">
              <w:rPr>
                <w:rFonts w:asciiTheme="minorHAnsi" w:hAnsiTheme="minorHAnsi" w:cstheme="minorHAnsi"/>
                <w:szCs w:val="18"/>
                <w:vertAlign w:val="superscript"/>
              </w:rPr>
              <w:t>*</w:t>
            </w:r>
            <w:r w:rsidRPr="00EB2F67">
              <w:rPr>
                <w:rFonts w:asciiTheme="minorHAnsi" w:hAnsiTheme="minorHAnsi" w:cstheme="minorHAnsi"/>
                <w:szCs w:val="18"/>
              </w:rPr>
              <w:t xml:space="preserve">. Patients who test positive with POC </w:t>
            </w:r>
            <w:r>
              <w:rPr>
                <w:rFonts w:asciiTheme="minorHAnsi" w:hAnsiTheme="minorHAnsi" w:cstheme="minorHAnsi"/>
                <w:szCs w:val="18"/>
              </w:rPr>
              <w:t>device</w:t>
            </w:r>
            <w:r w:rsidR="00BF5044" w:rsidRPr="00BF5044">
              <w:rPr>
                <w:rFonts w:asciiTheme="minorHAnsi" w:hAnsiTheme="minorHAnsi" w:cstheme="minorHAnsi"/>
                <w:szCs w:val="18"/>
                <w:vertAlign w:val="superscript"/>
              </w:rPr>
              <w:t>*</w:t>
            </w:r>
            <w:r>
              <w:rPr>
                <w:rFonts w:asciiTheme="minorHAnsi" w:hAnsiTheme="minorHAnsi" w:cstheme="minorHAnsi"/>
                <w:szCs w:val="18"/>
              </w:rPr>
              <w:t xml:space="preserve"> </w:t>
            </w:r>
            <w:r w:rsidRPr="00EB2F67">
              <w:rPr>
                <w:rFonts w:asciiTheme="minorHAnsi" w:hAnsiTheme="minorHAnsi" w:cstheme="minorHAnsi"/>
                <w:szCs w:val="18"/>
              </w:rPr>
              <w:t>are tested with a laboratory test.</w:t>
            </w:r>
          </w:p>
        </w:tc>
      </w:tr>
      <w:tr w:rsidR="00BF5044" w:rsidRPr="00EB2F67" w:rsidTr="00BF5044">
        <w:trPr>
          <w:trHeight w:val="454"/>
        </w:trPr>
        <w:tc>
          <w:tcPr>
            <w:tcW w:w="5000" w:type="pct"/>
            <w:gridSpan w:val="3"/>
          </w:tcPr>
          <w:p w:rsidR="00BF5044" w:rsidRPr="00BF5044" w:rsidRDefault="00BF5044" w:rsidP="00D405A0">
            <w:pPr>
              <w:spacing w:after="0"/>
              <w:rPr>
                <w:rFonts w:cstheme="minorHAnsi"/>
                <w:szCs w:val="18"/>
              </w:rPr>
            </w:pPr>
            <w:r w:rsidRPr="00BF5044">
              <w:rPr>
                <w:rFonts w:asciiTheme="minorHAnsi" w:hAnsiTheme="minorHAnsi" w:cstheme="minorHAnsi"/>
                <w:szCs w:val="18"/>
                <w:vertAlign w:val="superscript"/>
              </w:rPr>
              <w:t>*</w:t>
            </w:r>
            <w:r w:rsidR="00D405A0">
              <w:rPr>
                <w:rFonts w:cstheme="minorHAnsi"/>
                <w:i/>
              </w:rPr>
              <w:t xml:space="preserve"> </w:t>
            </w:r>
            <w:r w:rsidR="00D405A0" w:rsidRPr="00D405A0">
              <w:rPr>
                <w:rFonts w:asciiTheme="minorHAnsi" w:hAnsiTheme="minorHAnsi" w:cstheme="minorHAnsi"/>
              </w:rPr>
              <w:t>Strategies including a POC creatinine test were modelled separately for the three POC devices (</w:t>
            </w:r>
            <w:proofErr w:type="spellStart"/>
            <w:r w:rsidR="00D405A0" w:rsidRPr="00D405A0">
              <w:rPr>
                <w:rFonts w:asciiTheme="minorHAnsi" w:hAnsiTheme="minorHAnsi" w:cstheme="minorHAnsi"/>
              </w:rPr>
              <w:t>i</w:t>
            </w:r>
            <w:proofErr w:type="spellEnd"/>
            <w:r w:rsidR="00D405A0" w:rsidRPr="00D405A0">
              <w:rPr>
                <w:rFonts w:asciiTheme="minorHAnsi" w:hAnsiTheme="minorHAnsi" w:cstheme="minorHAnsi"/>
              </w:rPr>
              <w:t>-STAT, StatSensor and ABL800 Flex). For simplicity, results are only shown for the device identified with the highest NHB.”</w:t>
            </w:r>
          </w:p>
        </w:tc>
      </w:tr>
    </w:tbl>
    <w:p w:rsidR="00EE288F" w:rsidRPr="00B432B4" w:rsidRDefault="00EE288F" w:rsidP="00BF5044">
      <w:pPr>
        <w:spacing w:after="0" w:line="480" w:lineRule="auto"/>
      </w:pPr>
    </w:p>
    <w:p w:rsidR="00EE288F" w:rsidRPr="0052080D" w:rsidRDefault="00EE288F" w:rsidP="00BF5044">
      <w:pPr>
        <w:pStyle w:val="Heading3"/>
        <w:spacing w:before="120" w:after="120" w:line="360" w:lineRule="auto"/>
        <w:rPr>
          <w:b/>
          <w:bCs/>
          <w:i/>
          <w:iCs/>
        </w:rPr>
      </w:pPr>
      <w:r w:rsidRPr="0052080D">
        <w:rPr>
          <w:rFonts w:asciiTheme="minorHAnsi" w:eastAsiaTheme="minorHAnsi" w:hAnsiTheme="minorHAnsi" w:cstheme="minorBidi"/>
          <w:b/>
          <w:bCs/>
          <w:i/>
          <w:iCs/>
          <w:color w:val="auto"/>
          <w:sz w:val="22"/>
          <w:szCs w:val="22"/>
        </w:rPr>
        <w:t>Decision model</w:t>
      </w:r>
      <w:r>
        <w:rPr>
          <w:rFonts w:asciiTheme="minorHAnsi" w:eastAsiaTheme="minorHAnsi" w:hAnsiTheme="minorHAnsi" w:cstheme="minorBidi"/>
          <w:b/>
          <w:bCs/>
          <w:i/>
          <w:iCs/>
          <w:color w:val="auto"/>
          <w:sz w:val="22"/>
          <w:szCs w:val="22"/>
        </w:rPr>
        <w:t xml:space="preserve"> and parameterisation</w:t>
      </w:r>
    </w:p>
    <w:p w:rsidR="00EE288F" w:rsidRDefault="00EE288F" w:rsidP="00BF5044">
      <w:pPr>
        <w:spacing w:before="120" w:after="120" w:line="360" w:lineRule="auto"/>
        <w:sectPr w:rsidR="00EE288F" w:rsidSect="00361EF8">
          <w:pgSz w:w="11906" w:h="16838"/>
          <w:pgMar w:top="1440" w:right="1440" w:bottom="1440" w:left="1440" w:header="708" w:footer="708" w:gutter="0"/>
          <w:cols w:space="708"/>
          <w:docGrid w:linePitch="360"/>
        </w:sectPr>
      </w:pPr>
      <w:r>
        <w:t xml:space="preserve">A decision tree model was developed in Microsoft Excel. The model established a link between the diagnostic accuracy of testing strategies to determine eGFR status, subsequent decisions to mediate PC-AKI risk and their impact on PC-AKI risk, quantifying consequences of PC-AKI with impact on health outcomes and costs. Key model parameters and data sources are presented in </w:t>
      </w:r>
      <w:r w:rsidR="0087547E" w:rsidRPr="0087547E">
        <w:t>Table 2</w:t>
      </w:r>
      <w:r>
        <w:t>.</w:t>
      </w:r>
      <w:r w:rsidDel="00373E49">
        <w:t xml:space="preserve"> </w:t>
      </w:r>
      <w:r>
        <w:t>Further details are presented in supplementary material (Table S1).</w:t>
      </w:r>
    </w:p>
    <w:p w:rsidR="00EE288F" w:rsidRDefault="00BF5044" w:rsidP="00BF5044">
      <w:pPr>
        <w:pStyle w:val="Caption"/>
        <w:keepNext/>
      </w:pPr>
      <w:bookmarkStart w:id="2" w:name="_Ref64996246"/>
      <w:r>
        <w:lastRenderedPageBreak/>
        <w:t>Table 2</w:t>
      </w:r>
      <w:r w:rsidR="00EE288F">
        <w:t xml:space="preserve"> Summary of model parameters</w:t>
      </w:r>
      <w:bookmarkEnd w:id="2"/>
    </w:p>
    <w:tbl>
      <w:tblPr>
        <w:tblStyle w:val="TableGrid"/>
        <w:tblW w:w="5000" w:type="pct"/>
        <w:tblLook w:val="04A0" w:firstRow="1" w:lastRow="0" w:firstColumn="1" w:lastColumn="0" w:noHBand="0" w:noVBand="1"/>
      </w:tblPr>
      <w:tblGrid>
        <w:gridCol w:w="2972"/>
        <w:gridCol w:w="1986"/>
        <w:gridCol w:w="1986"/>
        <w:gridCol w:w="1983"/>
        <w:gridCol w:w="1841"/>
        <w:gridCol w:w="3180"/>
      </w:tblGrid>
      <w:tr w:rsidR="00EE288F" w:rsidTr="00BF5044">
        <w:tc>
          <w:tcPr>
            <w:tcW w:w="3860" w:type="pct"/>
            <w:gridSpan w:val="5"/>
          </w:tcPr>
          <w:p w:rsidR="00EE288F" w:rsidRPr="00B115DC" w:rsidRDefault="00EE288F" w:rsidP="00BF5044">
            <w:pPr>
              <w:spacing w:before="0" w:after="0"/>
              <w:rPr>
                <w:rFonts w:asciiTheme="minorHAnsi" w:hAnsiTheme="minorHAnsi" w:cstheme="minorHAnsi"/>
                <w:b/>
                <w:szCs w:val="18"/>
              </w:rPr>
            </w:pPr>
            <w:r w:rsidRPr="00B115DC">
              <w:rPr>
                <w:rFonts w:asciiTheme="minorHAnsi" w:hAnsiTheme="minorHAnsi" w:cstheme="minorHAnsi"/>
                <w:b/>
                <w:szCs w:val="18"/>
              </w:rPr>
              <w:t>Model parameters</w:t>
            </w:r>
          </w:p>
        </w:tc>
        <w:tc>
          <w:tcPr>
            <w:tcW w:w="1140" w:type="pct"/>
          </w:tcPr>
          <w:p w:rsidR="00EE288F" w:rsidRPr="00B115DC" w:rsidRDefault="00EE288F" w:rsidP="00BF5044">
            <w:pPr>
              <w:spacing w:before="0" w:after="0"/>
              <w:rPr>
                <w:rFonts w:asciiTheme="minorHAnsi" w:hAnsiTheme="minorHAnsi" w:cstheme="minorHAnsi"/>
                <w:b/>
                <w:szCs w:val="18"/>
              </w:rPr>
            </w:pPr>
            <w:r w:rsidRPr="00B115DC">
              <w:rPr>
                <w:rFonts w:asciiTheme="minorHAnsi" w:hAnsiTheme="minorHAnsi" w:cstheme="minorHAnsi"/>
                <w:b/>
                <w:szCs w:val="18"/>
              </w:rPr>
              <w:t>Source</w:t>
            </w:r>
          </w:p>
        </w:tc>
      </w:tr>
      <w:tr w:rsidR="00EE288F" w:rsidTr="00BF5044">
        <w:tc>
          <w:tcPr>
            <w:tcW w:w="5000" w:type="pct"/>
            <w:gridSpan w:val="6"/>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b/>
                <w:szCs w:val="18"/>
              </w:rPr>
              <w:t>Population characteristics</w:t>
            </w:r>
          </w:p>
        </w:tc>
      </w:tr>
      <w:tr w:rsidR="00EE288F" w:rsidTr="00BF5044">
        <w:trPr>
          <w:trHeight w:val="338"/>
        </w:trPr>
        <w:tc>
          <w:tcPr>
            <w:tcW w:w="1065"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 xml:space="preserve">Probability of eGFR being in each category </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&lt;30 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30-44 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p>
        </w:tc>
        <w:tc>
          <w:tcPr>
            <w:tcW w:w="711"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45-59 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p>
        </w:tc>
        <w:tc>
          <w:tcPr>
            <w:tcW w:w="66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≥60 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p>
        </w:tc>
        <w:tc>
          <w:tcPr>
            <w:tcW w:w="1140" w:type="pct"/>
            <w:vMerge w:val="restart"/>
          </w:tcPr>
          <w:p w:rsidR="00EE288F" w:rsidRPr="00B115DC" w:rsidRDefault="00EE288F" w:rsidP="00BF5044">
            <w:pPr>
              <w:spacing w:before="0" w:after="0"/>
              <w:rPr>
                <w:rFonts w:asciiTheme="minorHAnsi" w:hAnsiTheme="minorHAnsi" w:cstheme="minorHAnsi"/>
                <w:szCs w:val="18"/>
              </w:rPr>
            </w:pPr>
            <w:proofErr w:type="spellStart"/>
            <w:r>
              <w:rPr>
                <w:rFonts w:asciiTheme="minorHAnsi" w:hAnsiTheme="minorHAnsi" w:cstheme="minorHAnsi"/>
                <w:szCs w:val="18"/>
              </w:rPr>
              <w:t>Shinkins</w:t>
            </w:r>
            <w:proofErr w:type="spellEnd"/>
            <w:r>
              <w:rPr>
                <w:rFonts w:asciiTheme="minorHAnsi" w:hAnsiTheme="minorHAnsi" w:cstheme="minorHAnsi"/>
                <w:szCs w:val="18"/>
              </w:rPr>
              <w:t xml:space="preserve"> et al., 2021</w:t>
            </w:r>
            <w:r>
              <w:t xml:space="preserve"> </w:t>
            </w:r>
            <w:r>
              <w:rPr>
                <w:rFonts w:asciiTheme="minorHAnsi" w:hAnsiTheme="minorHAnsi" w:cstheme="minorHAnsi"/>
                <w:noProof/>
                <w:szCs w:val="18"/>
              </w:rPr>
              <w:t>[10]</w:t>
            </w:r>
          </w:p>
        </w:tc>
      </w:tr>
      <w:tr w:rsidR="00EE288F" w:rsidTr="00BF5044">
        <w:trPr>
          <w:trHeight w:val="223"/>
        </w:trPr>
        <w:tc>
          <w:tcPr>
            <w:tcW w:w="1065" w:type="pct"/>
            <w:vMerge/>
          </w:tcPr>
          <w:p w:rsidR="00EE288F" w:rsidRPr="00B115DC" w:rsidRDefault="00EE288F" w:rsidP="00BF5044">
            <w:pPr>
              <w:spacing w:before="0" w:after="0"/>
              <w:rPr>
                <w:rFonts w:asciiTheme="minorHAnsi" w:hAnsiTheme="minorHAnsi" w:cstheme="minorHAnsi"/>
                <w:szCs w:val="18"/>
              </w:rPr>
            </w:pP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0.6</w:t>
            </w:r>
            <w:r>
              <w:rPr>
                <w:rFonts w:asciiTheme="minorHAnsi" w:hAnsiTheme="minorHAnsi" w:cstheme="minorHAnsi"/>
                <w:szCs w:val="18"/>
              </w:rPr>
              <w:t>%</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6</w:t>
            </w:r>
            <w:r>
              <w:rPr>
                <w:rFonts w:asciiTheme="minorHAnsi" w:hAnsiTheme="minorHAnsi" w:cstheme="minorHAnsi"/>
                <w:szCs w:val="18"/>
              </w:rPr>
              <w:t>.</w:t>
            </w:r>
            <w:r w:rsidRPr="00B115DC">
              <w:rPr>
                <w:rFonts w:asciiTheme="minorHAnsi" w:hAnsiTheme="minorHAnsi" w:cstheme="minorHAnsi"/>
                <w:szCs w:val="18"/>
              </w:rPr>
              <w:t>3</w:t>
            </w:r>
            <w:r>
              <w:rPr>
                <w:rFonts w:asciiTheme="minorHAnsi" w:hAnsiTheme="minorHAnsi" w:cstheme="minorHAnsi"/>
                <w:szCs w:val="18"/>
              </w:rPr>
              <w:t>%</w:t>
            </w:r>
          </w:p>
        </w:tc>
        <w:tc>
          <w:tcPr>
            <w:tcW w:w="711"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15</w:t>
            </w:r>
            <w:r>
              <w:rPr>
                <w:rFonts w:asciiTheme="minorHAnsi" w:hAnsiTheme="minorHAnsi" w:cstheme="minorHAnsi"/>
                <w:szCs w:val="18"/>
              </w:rPr>
              <w:t>.</w:t>
            </w:r>
            <w:r w:rsidRPr="00B115DC">
              <w:rPr>
                <w:rFonts w:asciiTheme="minorHAnsi" w:hAnsiTheme="minorHAnsi" w:cstheme="minorHAnsi"/>
                <w:szCs w:val="18"/>
              </w:rPr>
              <w:t>4</w:t>
            </w:r>
            <w:r>
              <w:rPr>
                <w:rFonts w:asciiTheme="minorHAnsi" w:hAnsiTheme="minorHAnsi" w:cstheme="minorHAnsi"/>
                <w:szCs w:val="18"/>
              </w:rPr>
              <w:t>%</w:t>
            </w:r>
          </w:p>
        </w:tc>
        <w:tc>
          <w:tcPr>
            <w:tcW w:w="66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77</w:t>
            </w:r>
            <w:r>
              <w:rPr>
                <w:rFonts w:asciiTheme="minorHAnsi" w:hAnsiTheme="minorHAnsi" w:cstheme="minorHAnsi"/>
                <w:szCs w:val="18"/>
              </w:rPr>
              <w:t>.</w:t>
            </w:r>
            <w:r w:rsidRPr="00B115DC">
              <w:rPr>
                <w:rFonts w:asciiTheme="minorHAnsi" w:hAnsiTheme="minorHAnsi" w:cstheme="minorHAnsi"/>
                <w:szCs w:val="18"/>
              </w:rPr>
              <w:t>7</w:t>
            </w:r>
            <w:r>
              <w:rPr>
                <w:rFonts w:asciiTheme="minorHAnsi" w:hAnsiTheme="minorHAnsi" w:cstheme="minorHAnsi"/>
                <w:szCs w:val="18"/>
              </w:rPr>
              <w:t>%</w:t>
            </w:r>
          </w:p>
        </w:tc>
        <w:tc>
          <w:tcPr>
            <w:tcW w:w="1140" w:type="pct"/>
            <w:vMerge/>
          </w:tcPr>
          <w:p w:rsidR="00EE288F" w:rsidRPr="00B115DC" w:rsidRDefault="00EE288F" w:rsidP="00BF5044">
            <w:pPr>
              <w:spacing w:before="0" w:after="0"/>
              <w:rPr>
                <w:rFonts w:asciiTheme="minorHAnsi" w:hAnsiTheme="minorHAnsi" w:cstheme="minorHAnsi"/>
                <w:szCs w:val="18"/>
              </w:rPr>
            </w:pPr>
          </w:p>
        </w:tc>
      </w:tr>
      <w:tr w:rsidR="00EE288F" w:rsidTr="00BF5044">
        <w:tc>
          <w:tcPr>
            <w:tcW w:w="1065"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Age and proportion of males</w:t>
            </w:r>
          </w:p>
        </w:tc>
        <w:tc>
          <w:tcPr>
            <w:tcW w:w="2795" w:type="pct"/>
            <w:gridSpan w:val="4"/>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65 years, 51.7%</w:t>
            </w:r>
          </w:p>
        </w:tc>
        <w:tc>
          <w:tcPr>
            <w:tcW w:w="1140" w:type="pct"/>
          </w:tcPr>
          <w:p w:rsidR="00EE288F" w:rsidRPr="00B115DC" w:rsidRDefault="00EE288F" w:rsidP="00BF5044">
            <w:pPr>
              <w:spacing w:before="0" w:after="0"/>
              <w:rPr>
                <w:rFonts w:asciiTheme="minorHAnsi" w:hAnsiTheme="minorHAnsi" w:cstheme="minorHAnsi"/>
                <w:szCs w:val="18"/>
              </w:rPr>
            </w:pPr>
            <w:proofErr w:type="spellStart"/>
            <w:r w:rsidRPr="00B115DC">
              <w:rPr>
                <w:rFonts w:asciiTheme="minorHAnsi" w:hAnsiTheme="minorHAnsi" w:cstheme="minorHAnsi"/>
                <w:szCs w:val="18"/>
              </w:rPr>
              <w:t>Snaith</w:t>
            </w:r>
            <w:proofErr w:type="spellEnd"/>
            <w:r w:rsidRPr="00B115DC">
              <w:rPr>
                <w:rFonts w:asciiTheme="minorHAnsi" w:hAnsiTheme="minorHAnsi" w:cstheme="minorHAnsi"/>
                <w:szCs w:val="18"/>
              </w:rPr>
              <w:t xml:space="preserve"> et al (2019) </w:t>
            </w:r>
            <w:r w:rsidRPr="00B470E8">
              <w:rPr>
                <w:rFonts w:asciiTheme="minorHAnsi" w:hAnsiTheme="minorHAnsi" w:cstheme="minorHAnsi"/>
                <w:noProof/>
                <w:szCs w:val="18"/>
              </w:rPr>
              <w:t>[13]</w:t>
            </w:r>
          </w:p>
        </w:tc>
      </w:tr>
      <w:tr w:rsidR="00EE288F" w:rsidTr="00BF5044">
        <w:tc>
          <w:tcPr>
            <w:tcW w:w="1065"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 missing eGFR</w:t>
            </w:r>
            <w:r>
              <w:rPr>
                <w:rFonts w:asciiTheme="minorHAnsi" w:hAnsiTheme="minorHAnsi" w:cstheme="minorHAnsi"/>
                <w:szCs w:val="18"/>
              </w:rPr>
              <w:t xml:space="preserve"> measurement</w:t>
            </w:r>
          </w:p>
        </w:tc>
        <w:tc>
          <w:tcPr>
            <w:tcW w:w="2795" w:type="pct"/>
            <w:gridSpan w:val="4"/>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34%</w:t>
            </w:r>
          </w:p>
        </w:tc>
        <w:tc>
          <w:tcPr>
            <w:tcW w:w="114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 xml:space="preserve">Cope et al. (2017) </w:t>
            </w:r>
            <w:bookmarkStart w:id="3" w:name="_Hlk67669285"/>
            <w:r w:rsidRPr="00B470E8">
              <w:rPr>
                <w:rFonts w:asciiTheme="minorHAnsi" w:hAnsiTheme="minorHAnsi" w:cstheme="minorHAnsi"/>
                <w:noProof/>
                <w:szCs w:val="18"/>
              </w:rPr>
              <w:t>[7]</w:t>
            </w:r>
            <w:bookmarkEnd w:id="3"/>
          </w:p>
        </w:tc>
      </w:tr>
      <w:tr w:rsidR="00EE288F" w:rsidTr="00BF5044">
        <w:tc>
          <w:tcPr>
            <w:tcW w:w="1065"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 xml:space="preserve">Patients per site </w:t>
            </w:r>
          </w:p>
        </w:tc>
        <w:tc>
          <w:tcPr>
            <w:tcW w:w="2795" w:type="pct"/>
            <w:gridSpan w:val="4"/>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272 per month</w:t>
            </w:r>
          </w:p>
        </w:tc>
        <w:tc>
          <w:tcPr>
            <w:tcW w:w="1140" w:type="pct"/>
          </w:tcPr>
          <w:p w:rsidR="00EE288F" w:rsidRPr="00B115DC" w:rsidRDefault="00EE288F" w:rsidP="00BF5044">
            <w:pPr>
              <w:spacing w:before="0" w:after="0"/>
              <w:rPr>
                <w:rFonts w:asciiTheme="minorHAnsi" w:hAnsiTheme="minorHAnsi" w:cstheme="minorHAnsi"/>
                <w:szCs w:val="18"/>
              </w:rPr>
            </w:pPr>
            <w:proofErr w:type="spellStart"/>
            <w:r w:rsidRPr="00C247A1">
              <w:rPr>
                <w:rFonts w:asciiTheme="minorHAnsi" w:hAnsiTheme="minorHAnsi" w:cstheme="minorHAnsi"/>
                <w:szCs w:val="18"/>
              </w:rPr>
              <w:t>Shinkins</w:t>
            </w:r>
            <w:proofErr w:type="spellEnd"/>
            <w:r w:rsidRPr="00C247A1">
              <w:rPr>
                <w:rFonts w:asciiTheme="minorHAnsi" w:hAnsiTheme="minorHAnsi" w:cstheme="minorHAnsi"/>
                <w:szCs w:val="18"/>
              </w:rPr>
              <w:t xml:space="preserve"> et al., 2021 </w:t>
            </w:r>
            <w:r>
              <w:rPr>
                <w:rFonts w:asciiTheme="minorHAnsi" w:hAnsiTheme="minorHAnsi" w:cstheme="minorHAnsi"/>
                <w:noProof/>
                <w:szCs w:val="18"/>
              </w:rPr>
              <w:t>[10]</w:t>
            </w:r>
          </w:p>
        </w:tc>
      </w:tr>
      <w:tr w:rsidR="00EE288F" w:rsidTr="00BF5044">
        <w:tc>
          <w:tcPr>
            <w:tcW w:w="5000" w:type="pct"/>
            <w:gridSpan w:val="6"/>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b/>
                <w:szCs w:val="18"/>
              </w:rPr>
              <w:t>Clinical effectiveness and HRQoL</w:t>
            </w:r>
          </w:p>
        </w:tc>
      </w:tr>
      <w:tr w:rsidR="00EE288F" w:rsidTr="00BF5044">
        <w:tc>
          <w:tcPr>
            <w:tcW w:w="1065" w:type="pct"/>
            <w:vMerge w:val="restart"/>
          </w:tcPr>
          <w:p w:rsidR="00EE288F" w:rsidRPr="00B115DC" w:rsidRDefault="00EE288F" w:rsidP="00BF5044">
            <w:pPr>
              <w:spacing w:before="0" w:after="0"/>
              <w:rPr>
                <w:rFonts w:asciiTheme="minorHAnsi" w:hAnsiTheme="minorHAnsi" w:cstheme="minorHAnsi"/>
                <w:b/>
                <w:szCs w:val="18"/>
              </w:rPr>
            </w:pPr>
            <w:r w:rsidRPr="00B115DC">
              <w:rPr>
                <w:rFonts w:asciiTheme="minorHAnsi" w:hAnsiTheme="minorHAnsi" w:cstheme="minorHAnsi"/>
                <w:szCs w:val="18"/>
              </w:rPr>
              <w:t xml:space="preserve">Probability of PC-AKI with contrast conditional on eGFR </w:t>
            </w:r>
          </w:p>
        </w:tc>
        <w:tc>
          <w:tcPr>
            <w:tcW w:w="1424"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eGFR&lt;30 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eGFR≥30 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p>
        </w:tc>
        <w:tc>
          <w:tcPr>
            <w:tcW w:w="1140" w:type="pct"/>
            <w:vMerge w:val="restart"/>
          </w:tcPr>
          <w:p w:rsidR="00EE288F" w:rsidRPr="00B115DC" w:rsidRDefault="00EE288F" w:rsidP="00BF5044">
            <w:pPr>
              <w:spacing w:before="0" w:after="0"/>
              <w:rPr>
                <w:rFonts w:asciiTheme="minorHAnsi" w:hAnsiTheme="minorHAnsi" w:cstheme="minorHAnsi"/>
                <w:szCs w:val="18"/>
                <w:lang w:val="fr-FR"/>
              </w:rPr>
            </w:pPr>
            <w:r w:rsidRPr="00B115DC">
              <w:rPr>
                <w:rFonts w:asciiTheme="minorHAnsi" w:hAnsiTheme="minorHAnsi" w:cstheme="minorHAnsi"/>
                <w:szCs w:val="18"/>
                <w:lang w:val="fr-FR"/>
              </w:rPr>
              <w:t>Park et al. (</w:t>
            </w:r>
            <w:proofErr w:type="gramStart"/>
            <w:r w:rsidRPr="00B115DC">
              <w:rPr>
                <w:rFonts w:asciiTheme="minorHAnsi" w:hAnsiTheme="minorHAnsi" w:cstheme="minorHAnsi"/>
                <w:szCs w:val="18"/>
                <w:lang w:val="fr-FR"/>
              </w:rPr>
              <w:t>2016)</w:t>
            </w:r>
            <w:r w:rsidRPr="00B115DC">
              <w:rPr>
                <w:rFonts w:asciiTheme="minorHAnsi" w:eastAsiaTheme="minorHAnsi" w:hAnsiTheme="minorHAnsi" w:cstheme="minorHAnsi"/>
                <w:noProof/>
                <w:szCs w:val="18"/>
              </w:rPr>
              <w:t>[</w:t>
            </w:r>
            <w:proofErr w:type="gramEnd"/>
            <w:r w:rsidRPr="00B115DC">
              <w:rPr>
                <w:rFonts w:asciiTheme="minorHAnsi" w:eastAsiaTheme="minorHAnsi" w:hAnsiTheme="minorHAnsi" w:cstheme="minorHAnsi"/>
                <w:noProof/>
                <w:szCs w:val="18"/>
              </w:rPr>
              <w:t>14]</w:t>
            </w:r>
            <w:r w:rsidRPr="00B115DC">
              <w:rPr>
                <w:rFonts w:asciiTheme="minorHAnsi" w:hAnsiTheme="minorHAnsi" w:cstheme="minorHAnsi"/>
                <w:szCs w:val="18"/>
                <w:lang w:val="fr-FR"/>
              </w:rPr>
              <w:t xml:space="preserve">, </w:t>
            </w:r>
          </w:p>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lang w:val="fr-FR"/>
              </w:rPr>
              <w:t xml:space="preserve">Ahmed et al. </w:t>
            </w:r>
            <w:r w:rsidRPr="00B115DC">
              <w:rPr>
                <w:rFonts w:asciiTheme="minorHAnsi" w:hAnsiTheme="minorHAnsi" w:cstheme="minorHAnsi"/>
                <w:szCs w:val="18"/>
              </w:rPr>
              <w:t xml:space="preserve">(2018) </w:t>
            </w:r>
            <w:bookmarkStart w:id="4" w:name="_Hlk65250013"/>
            <w:r w:rsidRPr="00B115DC">
              <w:rPr>
                <w:rFonts w:asciiTheme="minorHAnsi" w:eastAsiaTheme="minorHAnsi" w:hAnsiTheme="minorHAnsi" w:cstheme="minorHAnsi"/>
                <w:noProof/>
                <w:szCs w:val="18"/>
              </w:rPr>
              <w:t>[15]</w:t>
            </w:r>
            <w:bookmarkEnd w:id="4"/>
            <w:r w:rsidRPr="00B115DC">
              <w:rPr>
                <w:rFonts w:asciiTheme="minorHAnsi" w:hAnsiTheme="minorHAnsi" w:cstheme="minorHAnsi"/>
                <w:szCs w:val="18"/>
              </w:rPr>
              <w:t xml:space="preserve">: </w:t>
            </w:r>
            <w:r>
              <w:rPr>
                <w:rFonts w:asciiTheme="minorHAnsi" w:hAnsiTheme="minorHAnsi" w:cstheme="minorHAnsi"/>
                <w:szCs w:val="18"/>
              </w:rPr>
              <w:t>OR</w:t>
            </w:r>
            <w:r w:rsidRPr="00B115DC">
              <w:rPr>
                <w:rFonts w:asciiTheme="minorHAnsi" w:hAnsiTheme="minorHAnsi" w:cstheme="minorHAnsi"/>
                <w:szCs w:val="18"/>
              </w:rPr>
              <w:t xml:space="preserve"> for IV hydration  vs. </w:t>
            </w:r>
            <w:r>
              <w:rPr>
                <w:rFonts w:asciiTheme="minorHAnsi" w:hAnsiTheme="minorHAnsi" w:cstheme="minorHAnsi"/>
                <w:szCs w:val="18"/>
              </w:rPr>
              <w:t xml:space="preserve">placebo (eGFR&lt;30 </w:t>
            </w:r>
            <w:r w:rsidRPr="00B115DC">
              <w:rPr>
                <w:rFonts w:asciiTheme="minorHAnsi" w:hAnsiTheme="minorHAnsi" w:cstheme="minorHAnsi"/>
                <w:szCs w:val="18"/>
              </w:rPr>
              <w:t>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r w:rsidRPr="00531290">
              <w:rPr>
                <w:rFonts w:cstheme="minorHAnsi"/>
                <w:szCs w:val="18"/>
              </w:rPr>
              <w:t>)</w:t>
            </w:r>
            <w:r>
              <w:rPr>
                <w:rFonts w:asciiTheme="minorHAnsi" w:hAnsiTheme="minorHAnsi" w:cstheme="minorHAnsi"/>
                <w:szCs w:val="18"/>
              </w:rPr>
              <w:t>:</w:t>
            </w:r>
            <w:r w:rsidRPr="00B115DC">
              <w:rPr>
                <w:rFonts w:asciiTheme="minorHAnsi" w:hAnsiTheme="minorHAnsi" w:cstheme="minorHAnsi"/>
                <w:szCs w:val="18"/>
              </w:rPr>
              <w:t xml:space="preserve"> 0.97 (95% </w:t>
            </w:r>
            <w:proofErr w:type="spellStart"/>
            <w:r>
              <w:rPr>
                <w:rFonts w:asciiTheme="minorHAnsi" w:hAnsiTheme="minorHAnsi" w:cstheme="minorHAnsi"/>
                <w:szCs w:val="18"/>
              </w:rPr>
              <w:t>Cr</w:t>
            </w:r>
            <w:r w:rsidRPr="00B115DC">
              <w:rPr>
                <w:rFonts w:asciiTheme="minorHAnsi" w:hAnsiTheme="minorHAnsi" w:cstheme="minorHAnsi"/>
                <w:szCs w:val="18"/>
              </w:rPr>
              <w:t>I</w:t>
            </w:r>
            <w:proofErr w:type="spellEnd"/>
            <w:r w:rsidRPr="00B115DC">
              <w:rPr>
                <w:rFonts w:asciiTheme="minorHAnsi" w:hAnsiTheme="minorHAnsi" w:cstheme="minorHAnsi"/>
                <w:szCs w:val="18"/>
              </w:rPr>
              <w:t>: 0.52-1.9)</w:t>
            </w:r>
            <w:r w:rsidRPr="00531290" w:rsidDel="00164E68">
              <w:rPr>
                <w:rFonts w:asciiTheme="minorHAnsi" w:hAnsiTheme="minorHAnsi" w:cstheme="minorHAnsi"/>
                <w:szCs w:val="18"/>
                <w:vertAlign w:val="superscript"/>
              </w:rPr>
              <w:t xml:space="preserve"> </w:t>
            </w:r>
            <w:r w:rsidRPr="00531290">
              <w:rPr>
                <w:rFonts w:cstheme="minorHAnsi"/>
                <w:szCs w:val="18"/>
                <w:vertAlign w:val="superscript"/>
              </w:rPr>
              <w:t>**</w:t>
            </w:r>
          </w:p>
          <w:p w:rsidR="00EE288F" w:rsidRPr="00B115DC" w:rsidRDefault="00EE288F" w:rsidP="00BF5044">
            <w:pPr>
              <w:spacing w:before="0" w:after="0"/>
              <w:rPr>
                <w:rFonts w:asciiTheme="minorHAnsi" w:hAnsiTheme="minorHAnsi" w:cstheme="minorHAnsi"/>
                <w:szCs w:val="18"/>
              </w:rPr>
            </w:pPr>
          </w:p>
        </w:tc>
      </w:tr>
      <w:tr w:rsidR="00EE288F" w:rsidTr="00BF5044">
        <w:tc>
          <w:tcPr>
            <w:tcW w:w="1065" w:type="pct"/>
            <w:vMerge/>
          </w:tcPr>
          <w:p w:rsidR="00EE288F" w:rsidRPr="00B115DC" w:rsidRDefault="00EE288F" w:rsidP="00BF5044">
            <w:pPr>
              <w:spacing w:before="0" w:after="0"/>
              <w:rPr>
                <w:rFonts w:asciiTheme="minorHAnsi" w:hAnsiTheme="minorHAnsi" w:cstheme="minorHAnsi"/>
                <w:b/>
                <w:szCs w:val="18"/>
              </w:rPr>
            </w:pP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Without IV hydration</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With IV hydration</w:t>
            </w:r>
          </w:p>
        </w:tc>
        <w:tc>
          <w:tcPr>
            <w:tcW w:w="711"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Without IV hydration</w:t>
            </w:r>
          </w:p>
        </w:tc>
        <w:tc>
          <w:tcPr>
            <w:tcW w:w="66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With IV hydration</w:t>
            </w:r>
          </w:p>
        </w:tc>
        <w:tc>
          <w:tcPr>
            <w:tcW w:w="1140" w:type="pct"/>
            <w:vMerge/>
          </w:tcPr>
          <w:p w:rsidR="00EE288F" w:rsidRPr="00B115DC" w:rsidRDefault="00EE288F" w:rsidP="00BF5044">
            <w:pPr>
              <w:spacing w:before="0" w:after="0"/>
              <w:rPr>
                <w:rFonts w:asciiTheme="minorHAnsi" w:hAnsiTheme="minorHAnsi" w:cstheme="minorHAnsi"/>
                <w:szCs w:val="18"/>
              </w:rPr>
            </w:pPr>
          </w:p>
        </w:tc>
      </w:tr>
      <w:tr w:rsidR="00EE288F" w:rsidTr="00BF5044">
        <w:tc>
          <w:tcPr>
            <w:tcW w:w="1065" w:type="pct"/>
            <w:vMerge/>
          </w:tcPr>
          <w:p w:rsidR="00EE288F" w:rsidRPr="00B115DC" w:rsidRDefault="00EE288F" w:rsidP="00BF5044">
            <w:pPr>
              <w:spacing w:before="0" w:after="0"/>
              <w:rPr>
                <w:rFonts w:asciiTheme="minorHAnsi" w:hAnsiTheme="minorHAnsi" w:cstheme="minorHAnsi"/>
                <w:szCs w:val="18"/>
              </w:rPr>
            </w:pP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11</w:t>
            </w:r>
            <w:r>
              <w:rPr>
                <w:rFonts w:asciiTheme="minorHAnsi" w:hAnsiTheme="minorHAnsi" w:cstheme="minorHAnsi"/>
                <w:szCs w:val="18"/>
              </w:rPr>
              <w:t>.</w:t>
            </w:r>
            <w:r w:rsidRPr="00B115DC">
              <w:rPr>
                <w:rFonts w:asciiTheme="minorHAnsi" w:hAnsiTheme="minorHAnsi" w:cstheme="minorHAnsi"/>
                <w:szCs w:val="18"/>
              </w:rPr>
              <w:t>1</w:t>
            </w:r>
            <w:r>
              <w:rPr>
                <w:rFonts w:asciiTheme="minorHAnsi" w:hAnsiTheme="minorHAnsi" w:cstheme="minorHAnsi"/>
                <w:szCs w:val="18"/>
              </w:rPr>
              <w:t>%</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10</w:t>
            </w:r>
            <w:r>
              <w:rPr>
                <w:rFonts w:asciiTheme="minorHAnsi" w:hAnsiTheme="minorHAnsi" w:cstheme="minorHAnsi"/>
                <w:szCs w:val="18"/>
              </w:rPr>
              <w:t>.</w:t>
            </w:r>
            <w:r w:rsidRPr="00B115DC">
              <w:rPr>
                <w:rFonts w:asciiTheme="minorHAnsi" w:hAnsiTheme="minorHAnsi" w:cstheme="minorHAnsi"/>
                <w:szCs w:val="18"/>
              </w:rPr>
              <w:t>8</w:t>
            </w:r>
            <w:r>
              <w:rPr>
                <w:rFonts w:asciiTheme="minorHAnsi" w:hAnsiTheme="minorHAnsi" w:cstheme="minorHAnsi"/>
                <w:szCs w:val="18"/>
              </w:rPr>
              <w:t>%</w:t>
            </w:r>
          </w:p>
        </w:tc>
        <w:tc>
          <w:tcPr>
            <w:tcW w:w="711"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2</w:t>
            </w:r>
            <w:r>
              <w:rPr>
                <w:rFonts w:asciiTheme="minorHAnsi" w:hAnsiTheme="minorHAnsi" w:cstheme="minorHAnsi"/>
                <w:szCs w:val="18"/>
              </w:rPr>
              <w:t>.</w:t>
            </w:r>
            <w:r w:rsidRPr="00B115DC">
              <w:rPr>
                <w:rFonts w:asciiTheme="minorHAnsi" w:hAnsiTheme="minorHAnsi" w:cstheme="minorHAnsi"/>
                <w:szCs w:val="18"/>
              </w:rPr>
              <w:t>4</w:t>
            </w:r>
            <w:r>
              <w:rPr>
                <w:rFonts w:asciiTheme="minorHAnsi" w:hAnsiTheme="minorHAnsi" w:cstheme="minorHAnsi"/>
                <w:szCs w:val="18"/>
              </w:rPr>
              <w:t>%</w:t>
            </w:r>
          </w:p>
        </w:tc>
        <w:tc>
          <w:tcPr>
            <w:tcW w:w="66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2</w:t>
            </w:r>
            <w:r>
              <w:rPr>
                <w:rFonts w:asciiTheme="minorHAnsi" w:hAnsiTheme="minorHAnsi" w:cstheme="minorHAnsi"/>
                <w:szCs w:val="18"/>
              </w:rPr>
              <w:t>.</w:t>
            </w:r>
            <w:r w:rsidRPr="00B115DC">
              <w:rPr>
                <w:rFonts w:asciiTheme="minorHAnsi" w:hAnsiTheme="minorHAnsi" w:cstheme="minorHAnsi"/>
                <w:szCs w:val="18"/>
              </w:rPr>
              <w:t>4</w:t>
            </w:r>
            <w:r>
              <w:rPr>
                <w:rFonts w:asciiTheme="minorHAnsi" w:hAnsiTheme="minorHAnsi" w:cstheme="minorHAnsi"/>
                <w:szCs w:val="18"/>
              </w:rPr>
              <w:t>%</w:t>
            </w:r>
          </w:p>
        </w:tc>
        <w:tc>
          <w:tcPr>
            <w:tcW w:w="1140" w:type="pct"/>
            <w:vMerge/>
          </w:tcPr>
          <w:p w:rsidR="00EE288F" w:rsidRPr="00B115DC" w:rsidRDefault="00EE288F" w:rsidP="00BF5044">
            <w:pPr>
              <w:spacing w:before="0" w:after="0"/>
              <w:rPr>
                <w:rFonts w:asciiTheme="minorHAnsi" w:hAnsiTheme="minorHAnsi" w:cstheme="minorHAnsi"/>
                <w:szCs w:val="18"/>
              </w:rPr>
            </w:pPr>
          </w:p>
        </w:tc>
      </w:tr>
      <w:tr w:rsidR="00EE288F" w:rsidTr="00BF5044">
        <w:tc>
          <w:tcPr>
            <w:tcW w:w="1065"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Probability of RRT</w:t>
            </w:r>
          </w:p>
          <w:p w:rsidR="00EE288F" w:rsidRPr="00B115DC" w:rsidRDefault="00EE288F" w:rsidP="00BF5044">
            <w:pPr>
              <w:spacing w:before="0" w:after="0"/>
              <w:rPr>
                <w:rFonts w:asciiTheme="minorHAnsi" w:hAnsiTheme="minorHAnsi" w:cstheme="minorHAnsi"/>
                <w:szCs w:val="18"/>
              </w:rPr>
            </w:pPr>
          </w:p>
        </w:tc>
        <w:tc>
          <w:tcPr>
            <w:tcW w:w="1424"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If no PC-AKI</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If PC-AKI</w:t>
            </w:r>
          </w:p>
        </w:tc>
        <w:tc>
          <w:tcPr>
            <w:tcW w:w="1140"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Park et al. (2016)</w:t>
            </w:r>
            <w:r w:rsidRPr="00B115DC">
              <w:rPr>
                <w:rFonts w:asciiTheme="minorHAnsi" w:eastAsiaTheme="minorHAnsi" w:hAnsiTheme="minorHAnsi" w:cstheme="minorHAnsi"/>
                <w:noProof/>
                <w:szCs w:val="18"/>
              </w:rPr>
              <w:t>[14]</w:t>
            </w:r>
          </w:p>
        </w:tc>
      </w:tr>
      <w:tr w:rsidR="00EE288F" w:rsidTr="00BF5044">
        <w:tc>
          <w:tcPr>
            <w:tcW w:w="1065" w:type="pct"/>
            <w:vMerge/>
          </w:tcPr>
          <w:p w:rsidR="00EE288F" w:rsidRPr="00B115DC" w:rsidRDefault="00EE288F" w:rsidP="00BF5044">
            <w:pPr>
              <w:spacing w:before="0" w:after="0"/>
              <w:rPr>
                <w:rFonts w:asciiTheme="minorHAnsi" w:hAnsiTheme="minorHAnsi" w:cstheme="minorHAnsi"/>
                <w:szCs w:val="18"/>
              </w:rPr>
            </w:pPr>
          </w:p>
        </w:tc>
        <w:tc>
          <w:tcPr>
            <w:tcW w:w="1424"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w:t>
            </w:r>
            <w:r>
              <w:rPr>
                <w:rFonts w:asciiTheme="minorHAnsi" w:hAnsiTheme="minorHAnsi" w:cstheme="minorHAnsi"/>
                <w:szCs w:val="18"/>
              </w:rPr>
              <w:t>.</w:t>
            </w:r>
            <w:r w:rsidRPr="00B115DC">
              <w:rPr>
                <w:rFonts w:asciiTheme="minorHAnsi" w:hAnsiTheme="minorHAnsi" w:cstheme="minorHAnsi"/>
                <w:szCs w:val="18"/>
              </w:rPr>
              <w:t>4</w:t>
            </w:r>
            <w:r>
              <w:rPr>
                <w:rFonts w:asciiTheme="minorHAnsi" w:hAnsiTheme="minorHAnsi" w:cstheme="minorHAnsi"/>
                <w:szCs w:val="18"/>
              </w:rPr>
              <w:t>%</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11</w:t>
            </w:r>
            <w:r>
              <w:rPr>
                <w:rFonts w:asciiTheme="minorHAnsi" w:hAnsiTheme="minorHAnsi" w:cstheme="minorHAnsi"/>
                <w:szCs w:val="18"/>
              </w:rPr>
              <w:t>.</w:t>
            </w:r>
            <w:r w:rsidRPr="00B115DC">
              <w:rPr>
                <w:rFonts w:asciiTheme="minorHAnsi" w:hAnsiTheme="minorHAnsi" w:cstheme="minorHAnsi"/>
                <w:szCs w:val="18"/>
              </w:rPr>
              <w:t>1</w:t>
            </w:r>
            <w:r>
              <w:rPr>
                <w:rFonts w:asciiTheme="minorHAnsi" w:hAnsiTheme="minorHAnsi" w:cstheme="minorHAnsi"/>
                <w:szCs w:val="18"/>
              </w:rPr>
              <w:t>%</w:t>
            </w:r>
          </w:p>
        </w:tc>
        <w:tc>
          <w:tcPr>
            <w:tcW w:w="1140" w:type="pct"/>
            <w:vMerge/>
          </w:tcPr>
          <w:p w:rsidR="00EE288F" w:rsidRPr="00B115DC" w:rsidRDefault="00EE288F" w:rsidP="00BF5044">
            <w:pPr>
              <w:spacing w:before="0" w:after="0"/>
              <w:rPr>
                <w:rFonts w:asciiTheme="minorHAnsi" w:hAnsiTheme="minorHAnsi" w:cstheme="minorHAnsi"/>
                <w:szCs w:val="18"/>
              </w:rPr>
            </w:pPr>
          </w:p>
        </w:tc>
      </w:tr>
      <w:tr w:rsidR="00EE288F" w:rsidTr="00BF5044">
        <w:tc>
          <w:tcPr>
            <w:tcW w:w="1065"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Proportion of patients alive</w:t>
            </w:r>
            <w:r w:rsidRPr="00B115DC">
              <w:rPr>
                <w:rFonts w:asciiTheme="minorHAnsi" w:hAnsiTheme="minorHAnsi" w:cstheme="minorHAnsi"/>
                <w:szCs w:val="18"/>
                <w:vertAlign w:val="superscript"/>
              </w:rPr>
              <w:t>*</w:t>
            </w:r>
          </w:p>
        </w:tc>
        <w:tc>
          <w:tcPr>
            <w:tcW w:w="2795" w:type="pct"/>
            <w:gridSpan w:val="4"/>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94.5%</w:t>
            </w:r>
          </w:p>
        </w:tc>
        <w:tc>
          <w:tcPr>
            <w:tcW w:w="114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Park et al. (2016)</w:t>
            </w:r>
            <w:r w:rsidRPr="00B115DC">
              <w:rPr>
                <w:rFonts w:asciiTheme="minorHAnsi" w:eastAsiaTheme="minorHAnsi" w:hAnsiTheme="minorHAnsi" w:cstheme="minorHAnsi"/>
                <w:noProof/>
                <w:szCs w:val="18"/>
              </w:rPr>
              <w:t>[14]</w:t>
            </w:r>
          </w:p>
        </w:tc>
      </w:tr>
      <w:tr w:rsidR="00EE288F" w:rsidTr="00BF5044">
        <w:tc>
          <w:tcPr>
            <w:tcW w:w="1065"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HRQoL</w:t>
            </w:r>
          </w:p>
          <w:p w:rsidR="00EE288F" w:rsidRPr="00B115DC" w:rsidRDefault="00EE288F" w:rsidP="00BF5044">
            <w:pPr>
              <w:spacing w:before="0" w:after="0"/>
              <w:rPr>
                <w:rFonts w:asciiTheme="minorHAnsi" w:hAnsiTheme="minorHAnsi" w:cstheme="minorHAnsi"/>
                <w:szCs w:val="18"/>
              </w:rPr>
            </w:pPr>
          </w:p>
        </w:tc>
        <w:tc>
          <w:tcPr>
            <w:tcW w:w="1424"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Adjusted life expectancy</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Loss due to RRT</w:t>
            </w:r>
          </w:p>
        </w:tc>
        <w:tc>
          <w:tcPr>
            <w:tcW w:w="1140"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ONS mortality</w:t>
            </w:r>
            <w:r w:rsidRPr="00B115DC">
              <w:rPr>
                <w:rFonts w:asciiTheme="minorHAnsi" w:eastAsiaTheme="minorHAnsi" w:hAnsiTheme="minorHAnsi" w:cstheme="minorHAnsi"/>
                <w:noProof/>
                <w:szCs w:val="18"/>
              </w:rPr>
              <w:t>[16]</w:t>
            </w:r>
            <w:r w:rsidRPr="00B115DC">
              <w:rPr>
                <w:rFonts w:asciiTheme="minorHAnsi" w:hAnsiTheme="minorHAnsi" w:cstheme="minorHAnsi"/>
                <w:szCs w:val="18"/>
              </w:rPr>
              <w:t xml:space="preserve">, </w:t>
            </w:r>
            <w:proofErr w:type="spellStart"/>
            <w:r w:rsidRPr="00B115DC">
              <w:rPr>
                <w:rFonts w:asciiTheme="minorHAnsi" w:hAnsiTheme="minorHAnsi" w:cstheme="minorHAnsi"/>
                <w:szCs w:val="18"/>
              </w:rPr>
              <w:t>Ara</w:t>
            </w:r>
            <w:proofErr w:type="spellEnd"/>
            <w:r w:rsidRPr="00B115DC">
              <w:rPr>
                <w:rFonts w:asciiTheme="minorHAnsi" w:hAnsiTheme="minorHAnsi" w:cstheme="minorHAnsi"/>
                <w:szCs w:val="18"/>
              </w:rPr>
              <w:t xml:space="preserve"> and Brazier, 2010</w:t>
            </w:r>
            <w:r w:rsidRPr="00B115DC">
              <w:rPr>
                <w:rFonts w:asciiTheme="minorHAnsi" w:eastAsiaTheme="minorHAnsi" w:hAnsiTheme="minorHAnsi" w:cstheme="minorHAnsi"/>
                <w:noProof/>
                <w:szCs w:val="18"/>
              </w:rPr>
              <w:t>[17]</w:t>
            </w:r>
            <w:r w:rsidRPr="00B115DC">
              <w:rPr>
                <w:rFonts w:asciiTheme="minorHAnsi" w:hAnsiTheme="minorHAnsi" w:cstheme="minorHAnsi"/>
                <w:szCs w:val="18"/>
              </w:rPr>
              <w:t xml:space="preserve">, </w:t>
            </w:r>
            <w:proofErr w:type="spellStart"/>
            <w:r w:rsidRPr="00B115DC">
              <w:rPr>
                <w:rFonts w:asciiTheme="minorHAnsi" w:hAnsiTheme="minorHAnsi" w:cstheme="minorHAnsi"/>
                <w:szCs w:val="18"/>
              </w:rPr>
              <w:t>Wyld</w:t>
            </w:r>
            <w:proofErr w:type="spellEnd"/>
            <w:r w:rsidRPr="00B115DC">
              <w:rPr>
                <w:rFonts w:asciiTheme="minorHAnsi" w:hAnsiTheme="minorHAnsi" w:cstheme="minorHAnsi"/>
                <w:szCs w:val="18"/>
              </w:rPr>
              <w:t xml:space="preserve"> et al 2012</w:t>
            </w:r>
            <w:r w:rsidRPr="00B115DC">
              <w:rPr>
                <w:rFonts w:asciiTheme="minorHAnsi" w:eastAsiaTheme="minorHAnsi" w:hAnsiTheme="minorHAnsi" w:cstheme="minorHAnsi"/>
                <w:noProof/>
                <w:szCs w:val="18"/>
              </w:rPr>
              <w:t>[18]</w:t>
            </w:r>
          </w:p>
        </w:tc>
      </w:tr>
      <w:tr w:rsidR="00EE288F" w:rsidTr="00BF5044">
        <w:tc>
          <w:tcPr>
            <w:tcW w:w="1065" w:type="pct"/>
            <w:vMerge/>
          </w:tcPr>
          <w:p w:rsidR="00EE288F" w:rsidRPr="00B115DC" w:rsidRDefault="00EE288F" w:rsidP="00BF5044">
            <w:pPr>
              <w:spacing w:before="0" w:after="0"/>
              <w:rPr>
                <w:rFonts w:asciiTheme="minorHAnsi" w:hAnsiTheme="minorHAnsi" w:cstheme="minorHAnsi"/>
                <w:szCs w:val="18"/>
              </w:rPr>
            </w:pPr>
          </w:p>
        </w:tc>
        <w:tc>
          <w:tcPr>
            <w:tcW w:w="1424"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9.80 QALYs</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0.0275 QALYs</w:t>
            </w:r>
          </w:p>
        </w:tc>
        <w:tc>
          <w:tcPr>
            <w:tcW w:w="1140" w:type="pct"/>
            <w:vMerge/>
          </w:tcPr>
          <w:p w:rsidR="00EE288F" w:rsidRPr="00B115DC" w:rsidRDefault="00EE288F" w:rsidP="00BF5044">
            <w:pPr>
              <w:spacing w:before="0" w:after="0"/>
              <w:rPr>
                <w:rFonts w:asciiTheme="minorHAnsi" w:hAnsiTheme="minorHAnsi" w:cstheme="minorHAnsi"/>
                <w:szCs w:val="18"/>
              </w:rPr>
            </w:pPr>
          </w:p>
        </w:tc>
      </w:tr>
      <w:tr w:rsidR="00EE288F" w:rsidTr="00BF5044">
        <w:tc>
          <w:tcPr>
            <w:tcW w:w="5000" w:type="pct"/>
            <w:gridSpan w:val="6"/>
          </w:tcPr>
          <w:p w:rsidR="00EE288F" w:rsidRPr="00B115DC" w:rsidRDefault="00EE288F" w:rsidP="00BF5044">
            <w:pPr>
              <w:spacing w:before="0" w:after="0"/>
              <w:rPr>
                <w:rFonts w:asciiTheme="minorHAnsi" w:hAnsiTheme="minorHAnsi" w:cstheme="minorHAnsi"/>
                <w:b/>
                <w:szCs w:val="18"/>
              </w:rPr>
            </w:pPr>
            <w:r w:rsidRPr="00B115DC">
              <w:rPr>
                <w:rFonts w:asciiTheme="minorHAnsi" w:hAnsiTheme="minorHAnsi" w:cstheme="minorHAnsi"/>
                <w:b/>
                <w:szCs w:val="18"/>
              </w:rPr>
              <w:t>Costs</w:t>
            </w:r>
          </w:p>
        </w:tc>
      </w:tr>
      <w:tr w:rsidR="00EE288F" w:rsidTr="00BF5044">
        <w:tc>
          <w:tcPr>
            <w:tcW w:w="1065"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Contrast</w:t>
            </w:r>
            <w:r>
              <w:rPr>
                <w:rFonts w:asciiTheme="minorHAnsi" w:hAnsiTheme="minorHAnsi" w:cstheme="minorHAnsi"/>
                <w:szCs w:val="18"/>
              </w:rPr>
              <w:t>-</w:t>
            </w:r>
            <w:r w:rsidRPr="00B115DC">
              <w:rPr>
                <w:rFonts w:asciiTheme="minorHAnsi" w:hAnsiTheme="minorHAnsi" w:cstheme="minorHAnsi"/>
                <w:szCs w:val="18"/>
              </w:rPr>
              <w:t>enhanced CT scan</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Procedure</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Cancellation</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Rebooking</w:t>
            </w:r>
          </w:p>
        </w:tc>
        <w:tc>
          <w:tcPr>
            <w:tcW w:w="1140"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NHS reference costs</w:t>
            </w:r>
            <w:r w:rsidRPr="00B115DC">
              <w:rPr>
                <w:rFonts w:asciiTheme="minorHAnsi" w:eastAsiaTheme="minorHAnsi" w:hAnsiTheme="minorHAnsi" w:cstheme="minorHAnsi"/>
                <w:noProof/>
                <w:szCs w:val="18"/>
              </w:rPr>
              <w:t>[19]</w:t>
            </w:r>
          </w:p>
        </w:tc>
      </w:tr>
      <w:tr w:rsidR="00EE288F" w:rsidTr="00BF5044">
        <w:tc>
          <w:tcPr>
            <w:tcW w:w="1065" w:type="pct"/>
            <w:vMerge/>
          </w:tcPr>
          <w:p w:rsidR="00EE288F" w:rsidRPr="00B115DC" w:rsidRDefault="00EE288F" w:rsidP="00BF5044">
            <w:pPr>
              <w:spacing w:before="0" w:after="0"/>
              <w:rPr>
                <w:rFonts w:asciiTheme="minorHAnsi" w:hAnsiTheme="minorHAnsi" w:cstheme="minorHAnsi"/>
                <w:szCs w:val="18"/>
              </w:rPr>
            </w:pP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£111.65</w:t>
            </w:r>
          </w:p>
        </w:tc>
        <w:tc>
          <w:tcPr>
            <w:tcW w:w="712"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£87.92</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£1.83</w:t>
            </w:r>
          </w:p>
        </w:tc>
        <w:tc>
          <w:tcPr>
            <w:tcW w:w="1140" w:type="pct"/>
            <w:vMerge/>
          </w:tcPr>
          <w:p w:rsidR="00EE288F" w:rsidRPr="00B115DC" w:rsidRDefault="00EE288F" w:rsidP="00BF5044">
            <w:pPr>
              <w:spacing w:before="0" w:after="0"/>
              <w:rPr>
                <w:rFonts w:asciiTheme="minorHAnsi" w:hAnsiTheme="minorHAnsi" w:cstheme="minorHAnsi"/>
                <w:szCs w:val="18"/>
              </w:rPr>
            </w:pPr>
          </w:p>
        </w:tc>
      </w:tr>
      <w:tr w:rsidR="00EE288F" w:rsidTr="00BF5044">
        <w:tc>
          <w:tcPr>
            <w:tcW w:w="1065" w:type="pct"/>
            <w:vMerge w:val="restar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IV hydration</w:t>
            </w:r>
          </w:p>
        </w:tc>
        <w:tc>
          <w:tcPr>
            <w:tcW w:w="1424"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Procedure</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Adverse events</w:t>
            </w:r>
          </w:p>
        </w:tc>
        <w:tc>
          <w:tcPr>
            <w:tcW w:w="1140" w:type="pct"/>
            <w:vMerge w:val="restart"/>
          </w:tcPr>
          <w:p w:rsidR="00EE288F" w:rsidRPr="00B115DC" w:rsidRDefault="00EE288F" w:rsidP="00BF5044">
            <w:pPr>
              <w:spacing w:before="0" w:after="0"/>
              <w:rPr>
                <w:rFonts w:asciiTheme="minorHAnsi" w:hAnsiTheme="minorHAnsi" w:cstheme="minorHAnsi"/>
                <w:szCs w:val="18"/>
              </w:rPr>
            </w:pPr>
            <w:r>
              <w:rPr>
                <w:rFonts w:asciiTheme="minorHAnsi" w:hAnsiTheme="minorHAnsi" w:cstheme="minorHAnsi"/>
                <w:szCs w:val="18"/>
              </w:rPr>
              <w:t xml:space="preserve">AMACING trial </w:t>
            </w:r>
            <w:r w:rsidRPr="00B115DC">
              <w:rPr>
                <w:rFonts w:asciiTheme="minorHAnsi" w:eastAsiaTheme="minorHAnsi" w:hAnsiTheme="minorHAnsi" w:cstheme="minorHAnsi"/>
                <w:noProof/>
                <w:szCs w:val="18"/>
              </w:rPr>
              <w:t>[20]</w:t>
            </w:r>
            <w:r w:rsidRPr="00B115DC">
              <w:rPr>
                <w:rFonts w:asciiTheme="minorHAnsi" w:hAnsiTheme="minorHAnsi" w:cstheme="minorHAnsi"/>
                <w:szCs w:val="18"/>
              </w:rPr>
              <w:t>, NHS reference costs</w:t>
            </w:r>
            <w:r w:rsidRPr="00B115DC">
              <w:rPr>
                <w:rFonts w:asciiTheme="minorHAnsi" w:eastAsiaTheme="minorHAnsi" w:hAnsiTheme="minorHAnsi" w:cstheme="minorHAnsi"/>
                <w:noProof/>
                <w:szCs w:val="18"/>
              </w:rPr>
              <w:t>[19]</w:t>
            </w:r>
          </w:p>
        </w:tc>
      </w:tr>
      <w:tr w:rsidR="00EE288F" w:rsidTr="00BF5044">
        <w:tc>
          <w:tcPr>
            <w:tcW w:w="1065" w:type="pct"/>
            <w:vMerge/>
          </w:tcPr>
          <w:p w:rsidR="00EE288F" w:rsidRPr="00B115DC" w:rsidRDefault="00EE288F" w:rsidP="00BF5044">
            <w:pPr>
              <w:spacing w:before="0" w:after="0"/>
              <w:rPr>
                <w:rFonts w:asciiTheme="minorHAnsi" w:hAnsiTheme="minorHAnsi" w:cstheme="minorHAnsi"/>
                <w:szCs w:val="18"/>
              </w:rPr>
            </w:pPr>
          </w:p>
        </w:tc>
        <w:tc>
          <w:tcPr>
            <w:tcW w:w="1424"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£340.89</w:t>
            </w:r>
          </w:p>
        </w:tc>
        <w:tc>
          <w:tcPr>
            <w:tcW w:w="1371" w:type="pct"/>
            <w:gridSpan w:val="2"/>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£32.76</w:t>
            </w:r>
          </w:p>
        </w:tc>
        <w:tc>
          <w:tcPr>
            <w:tcW w:w="1140" w:type="pct"/>
            <w:vMerge/>
          </w:tcPr>
          <w:p w:rsidR="00EE288F" w:rsidRPr="00B115DC" w:rsidRDefault="00EE288F" w:rsidP="00BF5044">
            <w:pPr>
              <w:spacing w:before="0" w:after="0"/>
              <w:rPr>
                <w:rFonts w:asciiTheme="minorHAnsi" w:hAnsiTheme="minorHAnsi" w:cstheme="minorHAnsi"/>
                <w:szCs w:val="18"/>
              </w:rPr>
            </w:pPr>
          </w:p>
        </w:tc>
      </w:tr>
      <w:tr w:rsidR="00EE288F" w:rsidTr="00BF5044">
        <w:tc>
          <w:tcPr>
            <w:tcW w:w="1065"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Follow-up for patients with eGFR</w:t>
            </w:r>
          </w:p>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&lt;30m</w:t>
            </w:r>
            <w:r>
              <w:rPr>
                <w:rFonts w:asciiTheme="minorHAnsi" w:hAnsiTheme="minorHAnsi" w:cstheme="minorHAnsi"/>
                <w:szCs w:val="18"/>
              </w:rPr>
              <w:t>L</w:t>
            </w:r>
            <w:r w:rsidRPr="00B115DC">
              <w:rPr>
                <w:rFonts w:asciiTheme="minorHAnsi" w:hAnsiTheme="minorHAnsi" w:cstheme="minorHAnsi"/>
                <w:szCs w:val="18"/>
              </w:rPr>
              <w:t>/min/1.73m</w:t>
            </w:r>
            <w:r w:rsidRPr="00B115DC">
              <w:rPr>
                <w:rFonts w:asciiTheme="minorHAnsi" w:hAnsiTheme="minorHAnsi" w:cstheme="minorHAnsi"/>
                <w:szCs w:val="18"/>
                <w:vertAlign w:val="superscript"/>
              </w:rPr>
              <w:t>2</w:t>
            </w:r>
          </w:p>
        </w:tc>
        <w:tc>
          <w:tcPr>
            <w:tcW w:w="2795" w:type="pct"/>
            <w:gridSpan w:val="4"/>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£186.49</w:t>
            </w:r>
          </w:p>
        </w:tc>
        <w:tc>
          <w:tcPr>
            <w:tcW w:w="114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NHS reference costs</w:t>
            </w:r>
            <w:r w:rsidRPr="00B115DC">
              <w:rPr>
                <w:rFonts w:asciiTheme="minorHAnsi" w:hAnsiTheme="minorHAnsi" w:cstheme="minorHAnsi"/>
                <w:noProof/>
                <w:szCs w:val="18"/>
              </w:rPr>
              <w:t>[19]</w:t>
            </w:r>
          </w:p>
        </w:tc>
      </w:tr>
      <w:tr w:rsidR="00EE288F" w:rsidTr="00BF5044">
        <w:tc>
          <w:tcPr>
            <w:tcW w:w="1065"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RRT</w:t>
            </w:r>
          </w:p>
        </w:tc>
        <w:tc>
          <w:tcPr>
            <w:tcW w:w="2795" w:type="pct"/>
            <w:gridSpan w:val="4"/>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£9,758</w:t>
            </w:r>
          </w:p>
        </w:tc>
        <w:tc>
          <w:tcPr>
            <w:tcW w:w="1140" w:type="pct"/>
          </w:tcPr>
          <w:p w:rsidR="00EE288F" w:rsidRPr="00B115DC" w:rsidRDefault="00EE288F" w:rsidP="00BF5044">
            <w:pPr>
              <w:spacing w:before="0" w:after="0"/>
              <w:rPr>
                <w:rFonts w:asciiTheme="minorHAnsi" w:hAnsiTheme="minorHAnsi" w:cstheme="minorHAnsi"/>
                <w:szCs w:val="18"/>
              </w:rPr>
            </w:pPr>
            <w:r w:rsidRPr="00B115DC">
              <w:rPr>
                <w:rFonts w:asciiTheme="minorHAnsi" w:hAnsiTheme="minorHAnsi" w:cstheme="minorHAnsi"/>
                <w:szCs w:val="18"/>
              </w:rPr>
              <w:t>NHS reference costs</w:t>
            </w:r>
            <w:r w:rsidRPr="00B115DC">
              <w:rPr>
                <w:rFonts w:asciiTheme="minorHAnsi" w:hAnsiTheme="minorHAnsi" w:cstheme="minorHAnsi"/>
                <w:noProof/>
                <w:szCs w:val="18"/>
              </w:rPr>
              <w:t>[19]</w:t>
            </w:r>
          </w:p>
        </w:tc>
      </w:tr>
      <w:tr w:rsidR="00EE288F" w:rsidRPr="003003E6" w:rsidTr="00BF5044">
        <w:tc>
          <w:tcPr>
            <w:tcW w:w="5000" w:type="pct"/>
            <w:gridSpan w:val="6"/>
          </w:tcPr>
          <w:p w:rsidR="00EE288F" w:rsidRPr="00404138" w:rsidRDefault="00EE288F" w:rsidP="00BF5044">
            <w:pPr>
              <w:spacing w:before="0" w:after="0"/>
              <w:rPr>
                <w:rFonts w:asciiTheme="minorHAnsi" w:hAnsiTheme="minorHAnsi" w:cstheme="minorHAnsi"/>
                <w:szCs w:val="18"/>
              </w:rPr>
            </w:pPr>
            <w:r w:rsidRPr="00404138">
              <w:rPr>
                <w:rFonts w:asciiTheme="minorHAnsi" w:hAnsiTheme="minorHAnsi" w:cstheme="minorHAnsi"/>
                <w:szCs w:val="18"/>
                <w:vertAlign w:val="superscript"/>
              </w:rPr>
              <w:t>*</w:t>
            </w:r>
            <w:r w:rsidRPr="00404138">
              <w:rPr>
                <w:rFonts w:asciiTheme="minorHAnsi" w:hAnsiTheme="minorHAnsi" w:cstheme="minorHAnsi"/>
                <w:szCs w:val="18"/>
              </w:rPr>
              <w:t xml:space="preserve">at 6 months post-imaging; </w:t>
            </w:r>
            <w:r w:rsidRPr="00404138">
              <w:rPr>
                <w:rFonts w:asciiTheme="minorHAnsi" w:hAnsiTheme="minorHAnsi" w:cstheme="minorHAnsi"/>
                <w:szCs w:val="18"/>
                <w:vertAlign w:val="superscript"/>
              </w:rPr>
              <w:t xml:space="preserve">** </w:t>
            </w:r>
            <w:r w:rsidRPr="00404138">
              <w:rPr>
                <w:rFonts w:asciiTheme="minorHAnsi" w:hAnsiTheme="minorHAnsi" w:cstheme="minorHAnsi"/>
                <w:szCs w:val="18"/>
              </w:rPr>
              <w:t>Probability of PC-AKI with IV hydration (for both eGFR groups) was sourced from Park et al. (2016)</w:t>
            </w:r>
            <w:r w:rsidRPr="00B115DC">
              <w:rPr>
                <w:rFonts w:cstheme="minorHAnsi"/>
                <w:szCs w:val="18"/>
              </w:rPr>
              <w:t xml:space="preserve"> </w:t>
            </w:r>
            <w:r w:rsidRPr="00B115DC">
              <w:rPr>
                <w:rFonts w:asciiTheme="minorHAnsi" w:eastAsiaTheme="minorHAnsi" w:hAnsiTheme="minorHAnsi" w:cstheme="minorHAnsi"/>
                <w:noProof/>
                <w:szCs w:val="18"/>
              </w:rPr>
              <w:t>[14]</w:t>
            </w:r>
            <w:r w:rsidRPr="00404138">
              <w:rPr>
                <w:rFonts w:asciiTheme="minorHAnsi" w:hAnsiTheme="minorHAnsi" w:cstheme="minorHAnsi"/>
                <w:szCs w:val="18"/>
              </w:rPr>
              <w:t>; the probability of PC-AKI without IV hydration in patients with eGFR&lt;30 mL/min/1.73m</w:t>
            </w:r>
            <w:r w:rsidRPr="00404138">
              <w:rPr>
                <w:rFonts w:asciiTheme="minorHAnsi" w:hAnsiTheme="minorHAnsi" w:cstheme="minorHAnsi"/>
                <w:szCs w:val="18"/>
                <w:vertAlign w:val="superscript"/>
              </w:rPr>
              <w:t>2</w:t>
            </w:r>
            <w:r w:rsidRPr="00404138">
              <w:rPr>
                <w:rFonts w:asciiTheme="minorHAnsi" w:hAnsiTheme="minorHAnsi" w:cstheme="minorHAnsi"/>
                <w:szCs w:val="18"/>
              </w:rPr>
              <w:t xml:space="preserve"> was derived by applying the OR from Ahmed et al. (2018) [15] to the probability of PC-AKI with IV hydration.</w:t>
            </w:r>
          </w:p>
          <w:p w:rsidR="00EE288F" w:rsidRPr="00404138" w:rsidRDefault="00EE288F" w:rsidP="00BF5044">
            <w:pPr>
              <w:spacing w:before="0" w:after="0"/>
              <w:rPr>
                <w:rFonts w:asciiTheme="minorHAnsi" w:hAnsiTheme="minorHAnsi" w:cstheme="minorHAnsi"/>
                <w:szCs w:val="18"/>
              </w:rPr>
            </w:pPr>
            <w:proofErr w:type="spellStart"/>
            <w:r w:rsidRPr="00404138">
              <w:rPr>
                <w:rFonts w:asciiTheme="minorHAnsi" w:hAnsiTheme="minorHAnsi" w:cstheme="minorHAnsi"/>
                <w:szCs w:val="18"/>
              </w:rPr>
              <w:t>CrI</w:t>
            </w:r>
            <w:proofErr w:type="spellEnd"/>
            <w:r w:rsidRPr="00404138">
              <w:rPr>
                <w:rFonts w:asciiTheme="minorHAnsi" w:hAnsiTheme="minorHAnsi" w:cstheme="minorHAnsi"/>
                <w:szCs w:val="18"/>
              </w:rPr>
              <w:t>, credibility interval; ONS, Office for National Statistics; OR, odds ratio;</w:t>
            </w:r>
            <w:r w:rsidRPr="00404138">
              <w:rPr>
                <w:rFonts w:asciiTheme="minorHAnsi" w:hAnsiTheme="minorHAnsi" w:cstheme="minorHAnsi"/>
                <w:szCs w:val="18"/>
                <w:vertAlign w:val="superscript"/>
              </w:rPr>
              <w:t xml:space="preserve"> </w:t>
            </w:r>
            <w:r w:rsidRPr="00404138">
              <w:rPr>
                <w:rFonts w:asciiTheme="minorHAnsi" w:hAnsiTheme="minorHAnsi" w:cstheme="minorHAnsi"/>
                <w:szCs w:val="18"/>
              </w:rPr>
              <w:t>RRT, renal replacement therapy</w:t>
            </w:r>
          </w:p>
        </w:tc>
      </w:tr>
    </w:tbl>
    <w:p w:rsidR="00EE288F" w:rsidRDefault="00EE288F" w:rsidP="00BF5044">
      <w:pPr>
        <w:spacing w:after="0" w:line="480" w:lineRule="auto"/>
        <w:sectPr w:rsidR="00EE288F" w:rsidSect="00BF5044">
          <w:pgSz w:w="16838" w:h="11906" w:orient="landscape"/>
          <w:pgMar w:top="1440" w:right="1440" w:bottom="1440" w:left="1440" w:header="708" w:footer="708" w:gutter="0"/>
          <w:cols w:space="708"/>
          <w:docGrid w:linePitch="360"/>
        </w:sectPr>
      </w:pPr>
    </w:p>
    <w:p w:rsidR="00EE288F" w:rsidRDefault="00EE288F" w:rsidP="00BF5044">
      <w:pPr>
        <w:spacing w:before="120" w:after="120" w:line="360" w:lineRule="auto"/>
      </w:pPr>
      <w:r>
        <w:lastRenderedPageBreak/>
        <w:fldChar w:fldCharType="begin"/>
      </w:r>
      <w:r>
        <w:instrText xml:space="preserve"> REF _Ref65676916 \h </w:instrText>
      </w:r>
      <w:r>
        <w:fldChar w:fldCharType="end"/>
      </w:r>
      <w:r w:rsidR="00BF5044">
        <w:t>Figure 1</w:t>
      </w:r>
      <w:r>
        <w:t xml:space="preserve"> illustrates the model structure. Patients move within the model using chance nodes (black circles) to denote events that occur with a given probability or to a certain proportion of patients. The decision node (</w:t>
      </w:r>
      <w:proofErr w:type="gramStart"/>
      <w:r>
        <w:t>black square</w:t>
      </w:r>
      <w:proofErr w:type="gramEnd"/>
      <w:r>
        <w:t xml:space="preserve">) at the start of the model identifies the alternative strategies under comparison. Initially, the model dichotomises individuals according to their ‘true’ eGFR status (as per laboratory test result) at a </w:t>
      </w:r>
      <w:r w:rsidRPr="009D49D6">
        <w:t>30m</w:t>
      </w:r>
      <w:r>
        <w:t>L</w:t>
      </w:r>
      <w:r w:rsidRPr="009D49D6">
        <w:t>/min/1.73m</w:t>
      </w:r>
      <w:r w:rsidRPr="00085A75">
        <w:rPr>
          <w:vertAlign w:val="superscript"/>
        </w:rPr>
        <w:t>2</w:t>
      </w:r>
      <w:r>
        <w:rPr>
          <w:vertAlign w:val="superscript"/>
        </w:rPr>
        <w:t xml:space="preserve"> </w:t>
      </w:r>
      <w:r>
        <w:t>cut-off value. This is the diagnostic threshold where existing evidence suggests an increased</w:t>
      </w:r>
      <w:r w:rsidRPr="008F5D97">
        <w:t xml:space="preserve"> </w:t>
      </w:r>
      <w:r>
        <w:t>PC-AKI risk</w:t>
      </w:r>
      <w:r w:rsidRPr="008F5D97">
        <w:t xml:space="preserve"> and </w:t>
      </w:r>
      <w:r>
        <w:t>a risk reduction associated with</w:t>
      </w:r>
      <w:r w:rsidRPr="008F5D97">
        <w:t xml:space="preserve"> mediating actions </w:t>
      </w:r>
      <w:r>
        <w:rPr>
          <w:noProof/>
        </w:rPr>
        <w:t>[14, 15, 20]</w:t>
      </w:r>
      <w:r>
        <w:t xml:space="preserve">. </w:t>
      </w:r>
    </w:p>
    <w:p w:rsidR="00EE288F" w:rsidRDefault="00BF5044" w:rsidP="00BF5044">
      <w:pPr>
        <w:pStyle w:val="Caption"/>
        <w:keepNext/>
      </w:pPr>
      <w:r w:rsidRPr="00BF5044">
        <w:t xml:space="preserve"> </w:t>
      </w:r>
      <w:r w:rsidRPr="00BF5044">
        <w:rPr>
          <w:noProof/>
        </w:rPr>
        <w:t>Figure 1</w:t>
      </w:r>
      <w:r>
        <w:rPr>
          <w:noProof/>
        </w:rPr>
        <w:t xml:space="preserve"> </w:t>
      </w:r>
      <w:r w:rsidR="00EE288F">
        <w:t>Model structure diagram</w:t>
      </w:r>
    </w:p>
    <w:p w:rsidR="00EE288F" w:rsidRDefault="00EE288F" w:rsidP="00BF5044">
      <w:pPr>
        <w:spacing w:after="0" w:line="480" w:lineRule="auto"/>
      </w:pPr>
      <w:r>
        <w:rPr>
          <w:noProof/>
          <w:lang w:eastAsia="en-GB"/>
        </w:rPr>
        <mc:AlternateContent>
          <mc:Choice Requires="wps">
            <w:drawing>
              <wp:anchor distT="0" distB="0" distL="114300" distR="114300" simplePos="0" relativeHeight="251672576" behindDoc="0" locked="0" layoutInCell="1" allowOverlap="1" wp14:anchorId="5939B086" wp14:editId="1535DA67">
                <wp:simplePos x="0" y="0"/>
                <wp:positionH relativeFrom="column">
                  <wp:posOffset>137795</wp:posOffset>
                </wp:positionH>
                <wp:positionV relativeFrom="paragraph">
                  <wp:posOffset>3704639</wp:posOffset>
                </wp:positionV>
                <wp:extent cx="71755" cy="71755"/>
                <wp:effectExtent l="0" t="0" r="23495" b="23495"/>
                <wp:wrapNone/>
                <wp:docPr id="5" name="Oval 5"/>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A6633B7" id="Oval 5" o:spid="_x0000_s1026" style="position:absolute;margin-left:10.85pt;margin-top:291.7pt;width:5.6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" fillcolor="black [3200]" strokecolor="black [1600]" strokeweight="1pt">
                <v:stroke joinstyle="miter"/>
              </v:oval>
            </w:pict>
          </mc:Fallback>
        </mc:AlternateContent>
      </w:r>
      <w:r>
        <w:rPr>
          <w:noProof/>
          <w:lang w:eastAsia="en-GB"/>
        </w:rPr>
        <mc:AlternateContent>
          <mc:Choice Requires="wps">
            <w:drawing>
              <wp:anchor distT="0" distB="0" distL="114300" distR="114300" simplePos="0" relativeHeight="251673600" behindDoc="0" locked="0" layoutInCell="1" allowOverlap="1" wp14:anchorId="4E084D1A" wp14:editId="2F82B451">
                <wp:simplePos x="0" y="0"/>
                <wp:positionH relativeFrom="column">
                  <wp:posOffset>1060450</wp:posOffset>
                </wp:positionH>
                <wp:positionV relativeFrom="paragraph">
                  <wp:posOffset>3716069</wp:posOffset>
                </wp:positionV>
                <wp:extent cx="71755" cy="71755"/>
                <wp:effectExtent l="0" t="0" r="23495" b="23495"/>
                <wp:wrapNone/>
                <wp:docPr id="10" name="Rectangle 10"/>
                <wp:cNvGraphicFramePr/>
                <a:graphic xmlns:a="http://schemas.openxmlformats.org/drawingml/2006/main">
                  <a:graphicData uri="http://schemas.microsoft.com/office/word/2010/wordprocessingShape">
                    <wps:wsp>
                      <wps:cNvSpPr/>
                      <wps:spPr>
                        <a:xfrm>
                          <a:off x="0" y="0"/>
                          <a:ext cx="71755" cy="717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1213C7" id="Rectangle 10" o:spid="_x0000_s1026" style="position:absolute;margin-left:83.5pt;margin-top:292.6pt;width:5.65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" fillcolor="black [3200]" strokecolor="black [1600]" strokeweight="1pt"/>
            </w:pict>
          </mc:Fallback>
        </mc:AlternateContent>
      </w:r>
      <w:r w:rsidRPr="007427B9">
        <w:rPr>
          <w:noProof/>
        </w:rPr>
        <w:t xml:space="preserve"> </w:t>
      </w:r>
      <w:r>
        <w:rPr>
          <w:noProof/>
          <w:lang w:eastAsia="en-GB"/>
        </w:rPr>
        <w:drawing>
          <wp:inline distT="0" distB="0" distL="0" distR="0" wp14:anchorId="05124249" wp14:editId="28858ABE">
            <wp:extent cx="5318150" cy="3198894"/>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5000" cy="3203015"/>
                    </a:xfrm>
                    <a:prstGeom prst="rect">
                      <a:avLst/>
                    </a:prstGeom>
                    <a:noFill/>
                  </pic:spPr>
                </pic:pic>
              </a:graphicData>
            </a:graphic>
          </wp:inline>
        </w:drawing>
      </w:r>
    </w:p>
    <w:p w:rsidR="00EE288F" w:rsidRDefault="00EE288F" w:rsidP="00BF5044">
      <w:pPr>
        <w:spacing w:after="0" w:line="480" w:lineRule="auto"/>
      </w:pPr>
      <w:r>
        <w:rPr>
          <w:noProof/>
          <w:lang w:eastAsia="en-GB"/>
        </w:rPr>
        <mc:AlternateContent>
          <mc:Choice Requires="wps">
            <w:drawing>
              <wp:anchor distT="0" distB="0" distL="114300" distR="114300" simplePos="0" relativeHeight="251671552" behindDoc="0" locked="0" layoutInCell="1" allowOverlap="1" wp14:anchorId="444C410C" wp14:editId="550E0CA0">
                <wp:simplePos x="0" y="0"/>
                <wp:positionH relativeFrom="margin">
                  <wp:posOffset>8626</wp:posOffset>
                </wp:positionH>
                <wp:positionV relativeFrom="paragraph">
                  <wp:posOffset>246524</wp:posOffset>
                </wp:positionV>
                <wp:extent cx="5723890" cy="61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23890" cy="612475"/>
                        </a:xfrm>
                        <a:prstGeom prst="rect">
                          <a:avLst/>
                        </a:prstGeom>
                        <a:solidFill>
                          <a:schemeClr val="lt1"/>
                        </a:solidFill>
                        <a:ln w="6350">
                          <a:noFill/>
                        </a:ln>
                      </wps:spPr>
                      <wps:txbx>
                        <w:txbxContent>
                          <w:p w:rsidR="00165EDF" w:rsidRPr="00B02333" w:rsidRDefault="00165EDF" w:rsidP="00BF5044">
                            <w:pPr>
                              <w:rPr>
                                <w:sz w:val="20"/>
                              </w:rPr>
                            </w:pPr>
                            <w:r w:rsidRPr="00B02333">
                              <w:rPr>
                                <w:sz w:val="20"/>
                              </w:rPr>
                              <w:t xml:space="preserve">     - Chance node;     - Decision node; FN</w:t>
                            </w:r>
                            <w:r>
                              <w:rPr>
                                <w:sz w:val="20"/>
                              </w:rPr>
                              <w:t>,</w:t>
                            </w:r>
                            <w:r w:rsidRPr="00B02333">
                              <w:rPr>
                                <w:sz w:val="20"/>
                              </w:rPr>
                              <w:t xml:space="preserve"> false negative; FP</w:t>
                            </w:r>
                            <w:r>
                              <w:rPr>
                                <w:sz w:val="20"/>
                              </w:rPr>
                              <w:t xml:space="preserve">, </w:t>
                            </w:r>
                            <w:r w:rsidRPr="00B02333">
                              <w:rPr>
                                <w:sz w:val="20"/>
                              </w:rPr>
                              <w:t xml:space="preserve">false positive; </w:t>
                            </w:r>
                            <w:r>
                              <w:rPr>
                                <w:sz w:val="20"/>
                              </w:rPr>
                              <w:t xml:space="preserve">Lab, laboratory testing; PC-AKI, post-contrast acute kidney failure; POC, Point-of-care creatinine testing; RF, risk factor screening questionnaire;  RRT, renal replacement therapy; </w:t>
                            </w:r>
                            <w:r w:rsidRPr="00B02333">
                              <w:rPr>
                                <w:sz w:val="20"/>
                              </w:rPr>
                              <w:t>TN</w:t>
                            </w:r>
                            <w:r>
                              <w:rPr>
                                <w:sz w:val="20"/>
                              </w:rPr>
                              <w:t>,</w:t>
                            </w:r>
                            <w:r w:rsidRPr="00B02333">
                              <w:rPr>
                                <w:sz w:val="20"/>
                              </w:rPr>
                              <w:t xml:space="preserve"> true negative; TP</w:t>
                            </w:r>
                            <w:r>
                              <w:rPr>
                                <w:sz w:val="20"/>
                              </w:rPr>
                              <w:t xml:space="preserve">, </w:t>
                            </w:r>
                            <w:r w:rsidRPr="00B02333">
                              <w:rPr>
                                <w:sz w:val="20"/>
                              </w:rPr>
                              <w:t>true positive</w:t>
                            </w:r>
                            <w:r>
                              <w:rPr>
                                <w:sz w:val="20"/>
                              </w:rPr>
                              <w:t>.</w:t>
                            </w:r>
                          </w:p>
                          <w:p w:rsidR="00165EDF" w:rsidRDefault="00165EDF" w:rsidP="00BF5044"/>
                          <w:p w:rsidR="00165EDF" w:rsidRDefault="00165EDF" w:rsidP="00BF5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C410C" id="_x0000_t202" coordsize="21600,21600" o:spt="202" path="m,l,21600r21600,l21600,xe">
                <v:stroke joinstyle="miter"/>
                <v:path gradientshapeok="t" o:connecttype="rect"/>
              </v:shapetype>
              <v:shape id="Text Box 11" o:spid="_x0000_s1026" type="#_x0000_t202" style="position:absolute;margin-left:.7pt;margin-top:19.4pt;width:450.7pt;height:4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" fillcolor="white [3201]" stroked="f" strokeweight=".5pt">
                <v:textbox>
                  <w:txbxContent>
                    <w:p w:rsidR="00165EDF" w:rsidRPr="00B02333" w:rsidRDefault="00165EDF" w:rsidP="00BF5044">
                      <w:pPr>
                        <w:rPr>
                          <w:sz w:val="20"/>
                        </w:rPr>
                      </w:pPr>
                      <w:r w:rsidRPr="00B02333">
                        <w:rPr>
                          <w:sz w:val="20"/>
                        </w:rPr>
                        <w:t xml:space="preserve">     - Chance node;     - Decision node; FN</w:t>
                      </w:r>
                      <w:r>
                        <w:rPr>
                          <w:sz w:val="20"/>
                        </w:rPr>
                        <w:t>,</w:t>
                      </w:r>
                      <w:r w:rsidRPr="00B02333">
                        <w:rPr>
                          <w:sz w:val="20"/>
                        </w:rPr>
                        <w:t xml:space="preserve"> false negative; FP</w:t>
                      </w:r>
                      <w:r>
                        <w:rPr>
                          <w:sz w:val="20"/>
                        </w:rPr>
                        <w:t xml:space="preserve">, </w:t>
                      </w:r>
                      <w:r w:rsidRPr="00B02333">
                        <w:rPr>
                          <w:sz w:val="20"/>
                        </w:rPr>
                        <w:t xml:space="preserve">false positive; </w:t>
                      </w:r>
                      <w:r>
                        <w:rPr>
                          <w:sz w:val="20"/>
                        </w:rPr>
                        <w:t xml:space="preserve">Lab, laboratory testing; PC-AKI, post-contrast acute kidney failure; POC, Point-of-care creatinine testing; RF, risk factor screening questionnaire;  RRT, renal replacement therapy; </w:t>
                      </w:r>
                      <w:r w:rsidRPr="00B02333">
                        <w:rPr>
                          <w:sz w:val="20"/>
                        </w:rPr>
                        <w:t>TN</w:t>
                      </w:r>
                      <w:r>
                        <w:rPr>
                          <w:sz w:val="20"/>
                        </w:rPr>
                        <w:t>,</w:t>
                      </w:r>
                      <w:r w:rsidRPr="00B02333">
                        <w:rPr>
                          <w:sz w:val="20"/>
                        </w:rPr>
                        <w:t xml:space="preserve"> true negative; TP</w:t>
                      </w:r>
                      <w:r>
                        <w:rPr>
                          <w:sz w:val="20"/>
                        </w:rPr>
                        <w:t xml:space="preserve">, </w:t>
                      </w:r>
                      <w:r w:rsidRPr="00B02333">
                        <w:rPr>
                          <w:sz w:val="20"/>
                        </w:rPr>
                        <w:t>true positive</w:t>
                      </w:r>
                      <w:r>
                        <w:rPr>
                          <w:sz w:val="20"/>
                        </w:rPr>
                        <w:t>.</w:t>
                      </w:r>
                    </w:p>
                    <w:p w:rsidR="00165EDF" w:rsidRDefault="00165EDF" w:rsidP="00BF5044"/>
                    <w:p w:rsidR="00165EDF" w:rsidRDefault="00165EDF" w:rsidP="00BF5044"/>
                  </w:txbxContent>
                </v:textbox>
                <w10:wrap anchorx="margin"/>
              </v:shape>
            </w:pict>
          </mc:Fallback>
        </mc:AlternateContent>
      </w:r>
    </w:p>
    <w:p w:rsidR="00EE288F" w:rsidRDefault="00EE288F" w:rsidP="00BF5044">
      <w:pPr>
        <w:spacing w:after="0" w:line="480" w:lineRule="auto"/>
      </w:pPr>
      <w:r>
        <w:t xml:space="preserve"> </w:t>
      </w:r>
    </w:p>
    <w:p w:rsidR="00EE288F" w:rsidRDefault="00EE288F" w:rsidP="00BF5044">
      <w:pPr>
        <w:spacing w:after="0" w:line="480" w:lineRule="auto"/>
      </w:pPr>
    </w:p>
    <w:p w:rsidR="00EE288F" w:rsidRDefault="00EE288F" w:rsidP="00BF5044">
      <w:pPr>
        <w:spacing w:before="120" w:after="120" w:line="360" w:lineRule="auto"/>
      </w:pPr>
      <w:r>
        <w:t>Clinical management is assumed the same across strategies, depending only on the individual’s level of PC-AKI risk as identified by the diagnostic strategy (positive</w:t>
      </w:r>
      <w:r w:rsidRPr="00521FE9">
        <w:t xml:space="preserve"> </w:t>
      </w:r>
      <w:r>
        <w:t>or negative for high PC-AKI risk). Individuals who test</w:t>
      </w:r>
      <w:r w:rsidRPr="00662293">
        <w:t xml:space="preserve"> negative </w:t>
      </w:r>
      <w:r>
        <w:t xml:space="preserve">receive no risk mediating action and proceed immediately to CECT. Those </w:t>
      </w:r>
      <w:r w:rsidRPr="00662293">
        <w:t>identified as positive</w:t>
      </w:r>
      <w:r>
        <w:t xml:space="preserve"> at the end of the full testing sequence</w:t>
      </w:r>
      <w:r w:rsidRPr="00662293">
        <w:t xml:space="preserve"> receive </w:t>
      </w:r>
      <w:r>
        <w:t xml:space="preserve">a risk </w:t>
      </w:r>
      <w:r w:rsidRPr="00662293">
        <w:t>mediating action</w:t>
      </w:r>
      <w:r>
        <w:t>, which consists of IV hydration prophylaxis or an alternative imaging approach (magnetic resonance imaging [MRI] or CT without contrast). The model allows specifying the proportion of patients (of those identified as requiring action) who undergo each type of mediating action. In the base-case analysis, all patients identified as having an eGFR&lt;</w:t>
      </w:r>
      <w:r w:rsidRPr="009F4EA7">
        <w:t>30 mL/min/1.73m</w:t>
      </w:r>
      <w:r w:rsidRPr="009F4EA7">
        <w:rPr>
          <w:vertAlign w:val="superscript"/>
        </w:rPr>
        <w:t>2</w:t>
      </w:r>
      <w:r>
        <w:rPr>
          <w:vertAlign w:val="superscript"/>
        </w:rPr>
        <w:t xml:space="preserve"> </w:t>
      </w:r>
      <w:r w:rsidRPr="00C90623">
        <w:t xml:space="preserve">are managed with IV </w:t>
      </w:r>
      <w:r>
        <w:t>hydration</w:t>
      </w:r>
      <w:r w:rsidRPr="00C90623">
        <w:t xml:space="preserve"> </w:t>
      </w:r>
      <w:r w:rsidRPr="0031770E">
        <w:lastRenderedPageBreak/>
        <w:t>and</w:t>
      </w:r>
      <w:r>
        <w:t>,</w:t>
      </w:r>
      <w:r w:rsidRPr="0031770E">
        <w:t xml:space="preserve"> subsequently</w:t>
      </w:r>
      <w:r>
        <w:t>, receive CECT. Strategies requiring a laboratory test or mediating action assume that the planned CECT is cancelled and rebooked, thus imposing the cost of a missed appointment and of rebooking.</w:t>
      </w:r>
      <w:r w:rsidR="00317632">
        <w:t xml:space="preserve"> POC testing and RF screening</w:t>
      </w:r>
      <w:r w:rsidR="00EE31EC">
        <w:t xml:space="preserve"> components of the strategies</w:t>
      </w:r>
      <w:r w:rsidR="00317632">
        <w:t xml:space="preserve"> are assumed to not impose delays resulting in CECT cancellation</w:t>
      </w:r>
      <w:r w:rsidR="00EE31EC">
        <w:t>, unless a positive result leads to a subsequent laboratory test or requires the patient to receive mediating action</w:t>
      </w:r>
      <w:r w:rsidR="00317632">
        <w:t>.</w:t>
      </w:r>
    </w:p>
    <w:p w:rsidR="00EE288F" w:rsidRDefault="00EE288F" w:rsidP="00BF5044">
      <w:pPr>
        <w:spacing w:before="120" w:after="120" w:line="360" w:lineRule="auto"/>
      </w:pPr>
      <w:r>
        <w:t>In the short-term,</w:t>
      </w:r>
      <w:r w:rsidR="00AC33A0">
        <w:t xml:space="preserve"> individuals can either have a PC-AKI event or not. T</w:t>
      </w:r>
      <w:r>
        <w:t>h</w:t>
      </w:r>
      <w:r w:rsidR="00AC33A0">
        <w:t>is</w:t>
      </w:r>
      <w:r>
        <w:t xml:space="preserve"> probability of</w:t>
      </w:r>
      <w:r w:rsidRPr="00662293">
        <w:t xml:space="preserve"> experienc</w:t>
      </w:r>
      <w:r>
        <w:t>ing</w:t>
      </w:r>
      <w:r w:rsidRPr="00662293">
        <w:t xml:space="preserve"> a PC-AKI</w:t>
      </w:r>
      <w:r>
        <w:t xml:space="preserve"> depends on </w:t>
      </w:r>
      <w:r w:rsidR="00AC33A0">
        <w:t xml:space="preserve">the individuals’ </w:t>
      </w:r>
      <w:r>
        <w:t xml:space="preserve">‘true’ eGFR and any mediating actions received. The PC-AKI risk was </w:t>
      </w:r>
      <w:r w:rsidRPr="00593B78">
        <w:t>sourced from a large observational study in an outpatient setting (n=1,666) [14]</w:t>
      </w:r>
      <w:r>
        <w:t xml:space="preserve"> identifying patients with eGFR&lt;</w:t>
      </w:r>
      <w:r w:rsidRPr="00341A65">
        <w:t>30m</w:t>
      </w:r>
      <w:r>
        <w:t>L</w:t>
      </w:r>
      <w:r w:rsidRPr="00341A65">
        <w:t>/min/1.73m</w:t>
      </w:r>
      <w:r w:rsidRPr="00CD2D99">
        <w:rPr>
          <w:vertAlign w:val="superscript"/>
        </w:rPr>
        <w:t>2</w:t>
      </w:r>
      <w:r>
        <w:t xml:space="preserve"> managed with IV hydration with a 10.8% risk, and those with eGFR</w:t>
      </w:r>
      <w:r>
        <w:rPr>
          <w:rFonts w:cstheme="minorHAnsi"/>
        </w:rPr>
        <w:t>≥</w:t>
      </w:r>
      <w:r w:rsidRPr="00341A65">
        <w:t>30m</w:t>
      </w:r>
      <w:r>
        <w:t>L</w:t>
      </w:r>
      <w:r w:rsidRPr="00341A65">
        <w:t>/min/1.73m</w:t>
      </w:r>
      <w:r w:rsidRPr="00CD2D99">
        <w:rPr>
          <w:vertAlign w:val="superscript"/>
        </w:rPr>
        <w:t>2</w:t>
      </w:r>
      <w:r>
        <w:t xml:space="preserve"> with a 2.4% risk. Based on a meta-</w:t>
      </w:r>
      <w:proofErr w:type="gramStart"/>
      <w:r>
        <w:t>analysis</w:t>
      </w:r>
      <w:r w:rsidRPr="00164E68">
        <w:t>[</w:t>
      </w:r>
      <w:proofErr w:type="gramEnd"/>
      <w:r w:rsidRPr="00164E68">
        <w:t>15]</w:t>
      </w:r>
      <w:r>
        <w:t>, IV hydration is assumed to have a small (non-statistically significant [</w:t>
      </w:r>
      <w:r w:rsidR="00BF5044" w:rsidRPr="00BF5044">
        <w:t>Table 2</w:t>
      </w:r>
      <w:r>
        <w:t>]) effect on the PC-AKI risk only in patients with</w:t>
      </w:r>
      <w:r w:rsidRPr="001578DC">
        <w:t xml:space="preserve"> </w:t>
      </w:r>
      <w:r>
        <w:t>eGFR&lt;</w:t>
      </w:r>
      <w:r w:rsidRPr="00341A65">
        <w:t>30m</w:t>
      </w:r>
      <w:r>
        <w:t>L</w:t>
      </w:r>
      <w:r w:rsidRPr="00341A65">
        <w:t>/min/1.73m</w:t>
      </w:r>
      <w:r w:rsidRPr="00CD2D99">
        <w:rPr>
          <w:vertAlign w:val="superscript"/>
        </w:rPr>
        <w:t>2</w:t>
      </w:r>
      <w:r w:rsidRPr="00BA1D89">
        <w:rPr>
          <w:noProof/>
        </w:rPr>
        <w:t>[20]</w:t>
      </w:r>
      <w:r w:rsidRPr="00BA1D89">
        <w:t xml:space="preserve">. </w:t>
      </w:r>
    </w:p>
    <w:p w:rsidR="00EE288F" w:rsidRDefault="00EE288F" w:rsidP="00BF5044">
      <w:pPr>
        <w:spacing w:before="120" w:after="120" w:line="360" w:lineRule="auto"/>
      </w:pPr>
      <w:r>
        <w:t>I</w:t>
      </w:r>
      <w:r w:rsidRPr="00341A65">
        <w:t>ndividuals who are misclassified as positive (FP), incur the costs of the</w:t>
      </w:r>
      <w:r>
        <w:t xml:space="preserve"> PC-AKI risk mediating</w:t>
      </w:r>
      <w:r w:rsidRPr="00341A65">
        <w:t xml:space="preserve"> actions but do not </w:t>
      </w:r>
      <w:r>
        <w:t>have any</w:t>
      </w:r>
      <w:r w:rsidRPr="00341A65">
        <w:t xml:space="preserve"> reduction in PC-AKI risk and subsequent clinical events. Individuals who are misclassified as negative (FN) will not incur the cost of mediating actions, but will </w:t>
      </w:r>
      <w:r>
        <w:t>not benefit</w:t>
      </w:r>
      <w:r w:rsidRPr="00341A65">
        <w:t xml:space="preserve"> </w:t>
      </w:r>
      <w:r>
        <w:t>from PC-AKI risk reducing action.</w:t>
      </w:r>
      <w:r w:rsidRPr="00341A65">
        <w:t xml:space="preserve"> </w:t>
      </w:r>
      <w:r>
        <w:t xml:space="preserve"> </w:t>
      </w:r>
    </w:p>
    <w:p w:rsidR="00EE288F" w:rsidRPr="006300F8" w:rsidRDefault="006B0D01" w:rsidP="00BF5044">
      <w:pPr>
        <w:spacing w:before="120" w:after="120" w:line="360" w:lineRule="auto"/>
      </w:pPr>
      <w:r>
        <w:t>PC-AKI events are assumed to be largely asymptomatic in this patient population and not consume health care resources or loss of</w:t>
      </w:r>
      <w:r w:rsidRPr="00AC33A0">
        <w:t xml:space="preserve"> health-related quality of life (HRQoL)</w:t>
      </w:r>
      <w:r>
        <w:t xml:space="preserve">. However, the occurrence of a PC-AKI event increases the probability of individuals requiring renal replacement therapy [RRT]. </w:t>
      </w:r>
      <w:r w:rsidR="00EE288F">
        <w:t>In the model, individuals with a PC-AKI event have an increased risk of requiring temporary RRT within six months of</w:t>
      </w:r>
      <w:r w:rsidR="00EE288F" w:rsidRPr="00B25507">
        <w:t xml:space="preserve"> </w:t>
      </w:r>
      <w:r w:rsidR="00EE288F">
        <w:t>imaging, but no impact on mortality</w:t>
      </w:r>
      <w:r w:rsidR="00EE288F" w:rsidDel="0026741D">
        <w:t xml:space="preserve"> </w:t>
      </w:r>
      <w:r w:rsidR="00EE288F">
        <w:rPr>
          <w:noProof/>
        </w:rPr>
        <w:t>[14]</w:t>
      </w:r>
      <w:r w:rsidR="00EE288F">
        <w:t xml:space="preserve">. It was assumed that RRT risk depends only on PC-AKI </w:t>
      </w:r>
      <w:proofErr w:type="gramStart"/>
      <w:r w:rsidR="00EE288F">
        <w:t>status,</w:t>
      </w:r>
      <w:proofErr w:type="gramEnd"/>
      <w:r w:rsidR="00EE288F">
        <w:t xml:space="preserve"> and not on underlying eGFR values, as the study did not report the risks of RRT jointly by ‘true’ eGFR and PC-AKI status. </w:t>
      </w:r>
    </w:p>
    <w:p w:rsidR="00EE288F" w:rsidRDefault="00EE288F" w:rsidP="00BF5044">
      <w:pPr>
        <w:spacing w:before="120" w:after="120" w:line="360" w:lineRule="auto"/>
      </w:pPr>
      <w:r>
        <w:t xml:space="preserve">The model attaches a cost and </w:t>
      </w:r>
      <w:bookmarkStart w:id="5" w:name="_Hlk76289530"/>
      <w:r>
        <w:t xml:space="preserve">a HRQoL </w:t>
      </w:r>
      <w:bookmarkEnd w:id="5"/>
      <w:r>
        <w:t>loss to RRT events. The QALYs accrued over the expected lifetime of individuals are also estimated by the model, which assumes no difference in mortality associated with RRT</w:t>
      </w:r>
      <w:r w:rsidR="006B0D01">
        <w:t xml:space="preserve"> (see </w:t>
      </w:r>
      <w:r w:rsidR="006B0D01" w:rsidRPr="00A73024">
        <w:rPr>
          <w:i/>
        </w:rPr>
        <w:t>Health-related quality of life and life expectancy</w:t>
      </w:r>
      <w:r w:rsidR="006B0D01">
        <w:t>)</w:t>
      </w:r>
      <w:r>
        <w:t>.</w:t>
      </w:r>
    </w:p>
    <w:p w:rsidR="00EE288F" w:rsidRDefault="00EE288F" w:rsidP="00BF5044">
      <w:pPr>
        <w:spacing w:before="120" w:after="120" w:line="360" w:lineRule="auto"/>
      </w:pPr>
    </w:p>
    <w:p w:rsidR="00EE288F" w:rsidRPr="00880D6D" w:rsidRDefault="00EE288F" w:rsidP="00BF5044">
      <w:pPr>
        <w:spacing w:before="120" w:after="120" w:line="360" w:lineRule="auto"/>
        <w:rPr>
          <w:i/>
        </w:rPr>
      </w:pPr>
      <w:r w:rsidRPr="00880D6D">
        <w:rPr>
          <w:i/>
        </w:rPr>
        <w:t>Diagnostic accuracy</w:t>
      </w:r>
      <w:r>
        <w:rPr>
          <w:i/>
        </w:rPr>
        <w:t xml:space="preserve"> </w:t>
      </w:r>
    </w:p>
    <w:p w:rsidR="00EE288F" w:rsidRDefault="00EE288F" w:rsidP="00BF5044">
      <w:pPr>
        <w:spacing w:before="120" w:after="120" w:line="360" w:lineRule="auto"/>
      </w:pPr>
      <w:r>
        <w:t xml:space="preserve">The diagnostic laboratory test is assumed </w:t>
      </w:r>
      <w:proofErr w:type="gramStart"/>
      <w:r>
        <w:t>to perfectly identify</w:t>
      </w:r>
      <w:proofErr w:type="gramEnd"/>
      <w:r>
        <w:t xml:space="preserve"> disease status (100% sensitivity and</w:t>
      </w:r>
      <w:r w:rsidRPr="001E28FD">
        <w:t xml:space="preserve"> </w:t>
      </w:r>
      <w:r>
        <w:t>specificity) at the 30mL/min/1.73m</w:t>
      </w:r>
      <w:r w:rsidRPr="00446B60">
        <w:rPr>
          <w:vertAlign w:val="superscript"/>
        </w:rPr>
        <w:t>2</w:t>
      </w:r>
      <w:r>
        <w:t xml:space="preserve"> eGFR cut-off. The </w:t>
      </w:r>
      <w:r w:rsidR="00396C94">
        <w:t>RF</w:t>
      </w:r>
      <w:r>
        <w:t xml:space="preserve"> questionnaire diagnostic accuracy (100% sensitivity and 65.2% specificity) at the same threshold is based on the </w:t>
      </w:r>
      <w:proofErr w:type="spellStart"/>
      <w:r>
        <w:t>Choyke</w:t>
      </w:r>
      <w:proofErr w:type="spellEnd"/>
      <w:r>
        <w:t xml:space="preserve"> </w:t>
      </w:r>
      <w:proofErr w:type="gramStart"/>
      <w:r>
        <w:t>questionnaire</w:t>
      </w:r>
      <w:r>
        <w:rPr>
          <w:noProof/>
        </w:rPr>
        <w:t>[</w:t>
      </w:r>
      <w:proofErr w:type="gramEnd"/>
      <w:r>
        <w:rPr>
          <w:noProof/>
        </w:rPr>
        <w:t>21]</w:t>
      </w:r>
      <w:r>
        <w:t xml:space="preserve"> in </w:t>
      </w:r>
      <w:r>
        <w:lastRenderedPageBreak/>
        <w:t>an outpatient setting</w:t>
      </w:r>
      <w:r>
        <w:rPr>
          <w:noProof/>
        </w:rPr>
        <w:t>[22]</w:t>
      </w:r>
      <w:r>
        <w:t xml:space="preserve">. </w:t>
      </w:r>
      <w:r w:rsidR="00396C94">
        <w:t>The questionnaire identifies patients who report the presence of r</w:t>
      </w:r>
      <w:r w:rsidR="00396C94" w:rsidRPr="00396C94">
        <w:t xml:space="preserve">enal </w:t>
      </w:r>
      <w:r w:rsidR="00396C94">
        <w:t>problems</w:t>
      </w:r>
      <w:r w:rsidR="00396C94" w:rsidRPr="00396C94">
        <w:t>, renal surgery</w:t>
      </w:r>
      <w:r w:rsidR="00396C94">
        <w:t>,</w:t>
      </w:r>
      <w:r w:rsidR="00396C94" w:rsidRPr="00396C94">
        <w:t xml:space="preserve"> hypertension, gout, diabetes me</w:t>
      </w:r>
      <w:r w:rsidR="00396C94">
        <w:t>l</w:t>
      </w:r>
      <w:r w:rsidR="00396C94" w:rsidRPr="00396C94">
        <w:t xml:space="preserve">litus, </w:t>
      </w:r>
      <w:r w:rsidR="00396C94">
        <w:t xml:space="preserve">and/or </w:t>
      </w:r>
      <w:r w:rsidR="00396C94" w:rsidRPr="00396C94">
        <w:t>proteinuria</w:t>
      </w:r>
      <w:r w:rsidR="00396C94">
        <w:t>.</w:t>
      </w:r>
    </w:p>
    <w:p w:rsidR="00EE288F" w:rsidRDefault="00EE288F" w:rsidP="00BF5044">
      <w:pPr>
        <w:spacing w:before="120" w:after="120" w:line="360" w:lineRule="auto"/>
      </w:pPr>
      <w:r>
        <w:t xml:space="preserve">A review and meta-analysis of diagnostic accuracy of POC creatinine tests was conducted; full details are published </w:t>
      </w:r>
      <w:proofErr w:type="gramStart"/>
      <w:r>
        <w:t>elsewhere</w:t>
      </w:r>
      <w:r>
        <w:rPr>
          <w:noProof/>
        </w:rPr>
        <w:t>[</w:t>
      </w:r>
      <w:proofErr w:type="gramEnd"/>
      <w:r>
        <w:rPr>
          <w:noProof/>
        </w:rPr>
        <w:t>11]</w:t>
      </w:r>
      <w:r>
        <w:t xml:space="preserve">. We identified 10 </w:t>
      </w:r>
      <w:proofErr w:type="gramStart"/>
      <w:r>
        <w:t>studies</w:t>
      </w:r>
      <w:r>
        <w:rPr>
          <w:noProof/>
        </w:rPr>
        <w:t>[</w:t>
      </w:r>
      <w:proofErr w:type="gramEnd"/>
      <w:r>
        <w:rPr>
          <w:noProof/>
        </w:rPr>
        <w:t>13, 23-31]</w:t>
      </w:r>
      <w:r>
        <w:t xml:space="preserve"> of </w:t>
      </w:r>
      <w:r w:rsidRPr="00D974B4">
        <w:t>adult patient</w:t>
      </w:r>
      <w:r>
        <w:t>s</w:t>
      </w:r>
      <w:r w:rsidRPr="00D974B4">
        <w:t xml:space="preserve"> receiving POC creatinine testing compared with laboratory testing</w:t>
      </w:r>
      <w:r>
        <w:t>. These studies reported diagnostic accuracy data for correctly identifying patients in different PC-AKI risk categories determined by different levels of eGFR (</w:t>
      </w:r>
      <w:r w:rsidRPr="00837622">
        <w:t>&lt;30, 30-4</w:t>
      </w:r>
      <w:r>
        <w:t>4</w:t>
      </w:r>
      <w:r w:rsidRPr="00837622">
        <w:t>, 45-</w:t>
      </w:r>
      <w:r>
        <w:t>59</w:t>
      </w:r>
      <w:r w:rsidRPr="00837622">
        <w:t xml:space="preserve"> and ≥60 m</w:t>
      </w:r>
      <w:r>
        <w:t>L</w:t>
      </w:r>
      <w:r w:rsidRPr="00837622">
        <w:t>/min/1.73m</w:t>
      </w:r>
      <w:r w:rsidRPr="00856CDC">
        <w:rPr>
          <w:vertAlign w:val="superscript"/>
        </w:rPr>
        <w:t>2</w:t>
      </w:r>
      <w:r w:rsidRPr="00837622">
        <w:t>)</w:t>
      </w:r>
      <w:r>
        <w:t xml:space="preserve">, reflecting changes in the definition of thresholds for PC-AKI risk over time. </w:t>
      </w:r>
      <w:proofErr w:type="gramStart"/>
      <w:r>
        <w:t xml:space="preserve">The meta-analysis estimated the probability of being </w:t>
      </w:r>
      <w:r w:rsidRPr="00837622">
        <w:t xml:space="preserve">in a given eGFR category </w:t>
      </w:r>
      <w:r>
        <w:t xml:space="preserve">when tested with </w:t>
      </w:r>
      <w:r w:rsidRPr="00837622">
        <w:t xml:space="preserve">a POC device conditional on </w:t>
      </w:r>
      <w:r>
        <w:t>individual’s</w:t>
      </w:r>
      <w:r w:rsidRPr="00837622">
        <w:t xml:space="preserve"> </w:t>
      </w:r>
      <w:r>
        <w:t>‘</w:t>
      </w:r>
      <w:r w:rsidRPr="00837622">
        <w:t>true</w:t>
      </w:r>
      <w:r>
        <w:t>’</w:t>
      </w:r>
      <w:r w:rsidRPr="00837622">
        <w:t xml:space="preserve"> eGFR category</w:t>
      </w:r>
      <w:r>
        <w:t>,</w:t>
      </w:r>
      <w:r w:rsidRPr="00D31AF7">
        <w:t xml:space="preserve"> </w:t>
      </w:r>
      <w:r>
        <w:t xml:space="preserve">using a </w:t>
      </w:r>
      <w:r w:rsidRPr="00D31AF7">
        <w:t xml:space="preserve">Bayesian framework </w:t>
      </w:r>
      <w:r>
        <w:t>(with parameters estimated by</w:t>
      </w:r>
      <w:r w:rsidRPr="00D31AF7">
        <w:t xml:space="preserve"> Markov chain Monte Carlo</w:t>
      </w:r>
      <w:r>
        <w:t>)</w:t>
      </w:r>
      <w:r>
        <w:rPr>
          <w:noProof/>
        </w:rPr>
        <w:t>[32, 33]</w:t>
      </w:r>
      <w:r>
        <w:t>, which provided a direct estimate of sensitivity (</w:t>
      </w:r>
      <w:r w:rsidRPr="002E4FD5">
        <w:t>probability that each POC device correctly classifies individuals in the eGFR&lt;30m</w:t>
      </w:r>
      <w:r>
        <w:t>L</w:t>
      </w:r>
      <w:r w:rsidRPr="002E4FD5">
        <w:t>/min/1.73m</w:t>
      </w:r>
      <w:r w:rsidRPr="00077F03">
        <w:rPr>
          <w:vertAlign w:val="superscript"/>
        </w:rPr>
        <w:t>2</w:t>
      </w:r>
      <w:r w:rsidRPr="002E4FD5">
        <w:t xml:space="preserve"> category</w:t>
      </w:r>
      <w:r>
        <w:t xml:space="preserve">) and allowed for calculation of specificity (by combining the remaining probabilities with </w:t>
      </w:r>
      <w:r w:rsidRPr="001758E6">
        <w:t>the underlying distribution of eGFR</w:t>
      </w:r>
      <w:r>
        <w:t>)</w:t>
      </w:r>
      <w:r w:rsidRPr="00837622">
        <w:t>.</w:t>
      </w:r>
      <w:proofErr w:type="gramEnd"/>
      <w:r>
        <w:t xml:space="preserve"> This approach was preferred to pooling study reported sensitivity and specificity at a single eGFR cut-off. Given that different eGFR cut-offs were used across studies, this maximised the available evidence informing the diagnostic accuracy of POC devices. </w:t>
      </w:r>
    </w:p>
    <w:p w:rsidR="00EE288F" w:rsidRPr="00C53F0C" w:rsidRDefault="00EE288F" w:rsidP="00BF5044">
      <w:pPr>
        <w:spacing w:before="120" w:after="120" w:line="360" w:lineRule="auto"/>
      </w:pPr>
      <w:r>
        <w:t>Diagnostic accuracy estimates</w:t>
      </w:r>
      <w:r w:rsidRPr="001758E6">
        <w:t xml:space="preserve"> </w:t>
      </w:r>
      <w:r>
        <w:t>are</w:t>
      </w:r>
      <w:r w:rsidRPr="001758E6">
        <w:t xml:space="preserve"> summarised in</w:t>
      </w:r>
      <w:r w:rsidR="00BF5044">
        <w:t xml:space="preserve"> </w:t>
      </w:r>
      <w:r w:rsidR="00BF5044" w:rsidRPr="00BF5044">
        <w:t>Table 3</w:t>
      </w:r>
      <w:r w:rsidRPr="001758E6">
        <w:t>.</w:t>
      </w:r>
      <w:r w:rsidRPr="00305ABB">
        <w:t xml:space="preserve"> </w:t>
      </w:r>
    </w:p>
    <w:p w:rsidR="00EE288F" w:rsidRDefault="00BF5044" w:rsidP="00BF5044">
      <w:pPr>
        <w:pStyle w:val="Caption"/>
        <w:keepNext/>
      </w:pPr>
      <w:bookmarkStart w:id="6" w:name="_Ref64996637"/>
      <w:r w:rsidRPr="00BF5044">
        <w:t xml:space="preserve">Table </w:t>
      </w:r>
      <w:proofErr w:type="gramStart"/>
      <w:r w:rsidRPr="00BF5044">
        <w:t>3</w:t>
      </w:r>
      <w:proofErr w:type="gramEnd"/>
      <w:r>
        <w:t xml:space="preserve"> </w:t>
      </w:r>
      <w:bookmarkEnd w:id="6"/>
      <w:r w:rsidR="00EE288F">
        <w:t>Diagnostic accuracy and test costs in the base-case analysis</w:t>
      </w:r>
    </w:p>
    <w:tbl>
      <w:tblPr>
        <w:tblStyle w:val="TableGrid"/>
        <w:tblW w:w="9493" w:type="dxa"/>
        <w:tblLayout w:type="fixed"/>
        <w:tblLook w:val="04A0" w:firstRow="1" w:lastRow="0" w:firstColumn="1" w:lastColumn="0" w:noHBand="0" w:noVBand="1"/>
      </w:tblPr>
      <w:tblGrid>
        <w:gridCol w:w="1271"/>
        <w:gridCol w:w="1134"/>
        <w:gridCol w:w="1134"/>
        <w:gridCol w:w="1843"/>
        <w:gridCol w:w="1276"/>
        <w:gridCol w:w="1134"/>
        <w:gridCol w:w="1701"/>
      </w:tblGrid>
      <w:tr w:rsidR="00EE288F" w:rsidRPr="00BA1D89" w:rsidTr="00BF5044">
        <w:tc>
          <w:tcPr>
            <w:tcW w:w="1271" w:type="dxa"/>
            <w:vMerge w:val="restart"/>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Test</w:t>
            </w:r>
          </w:p>
        </w:tc>
        <w:tc>
          <w:tcPr>
            <w:tcW w:w="1134" w:type="dxa"/>
            <w:vMerge w:val="restart"/>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Sensitivity</w:t>
            </w:r>
          </w:p>
        </w:tc>
        <w:tc>
          <w:tcPr>
            <w:tcW w:w="1134" w:type="dxa"/>
            <w:vMerge w:val="restart"/>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Specificity</w:t>
            </w:r>
          </w:p>
        </w:tc>
        <w:tc>
          <w:tcPr>
            <w:tcW w:w="1843" w:type="dxa"/>
            <w:vMerge w:val="restart"/>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Source</w:t>
            </w:r>
          </w:p>
        </w:tc>
        <w:tc>
          <w:tcPr>
            <w:tcW w:w="2410" w:type="dxa"/>
            <w:gridSpan w:val="2"/>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Cost per test</w:t>
            </w:r>
            <w:r w:rsidRPr="00BA1D89">
              <w:rPr>
                <w:rFonts w:asciiTheme="minorHAnsi" w:hAnsiTheme="minorHAnsi" w:cstheme="minorHAnsi"/>
                <w:b/>
                <w:szCs w:val="18"/>
                <w:vertAlign w:val="superscript"/>
              </w:rPr>
              <w:t>*</w:t>
            </w:r>
          </w:p>
        </w:tc>
        <w:tc>
          <w:tcPr>
            <w:tcW w:w="1701" w:type="dxa"/>
            <w:vMerge w:val="restart"/>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Source</w:t>
            </w:r>
          </w:p>
        </w:tc>
      </w:tr>
      <w:tr w:rsidR="00EE288F" w:rsidRPr="00BA1D89" w:rsidTr="00BF5044">
        <w:tc>
          <w:tcPr>
            <w:tcW w:w="1271" w:type="dxa"/>
            <w:vMerge/>
          </w:tcPr>
          <w:p w:rsidR="00EE288F" w:rsidRPr="00BA1D89" w:rsidRDefault="00EE288F" w:rsidP="00BF5044">
            <w:pPr>
              <w:rPr>
                <w:rFonts w:asciiTheme="minorHAnsi" w:hAnsiTheme="minorHAnsi" w:cstheme="minorHAnsi"/>
                <w:szCs w:val="18"/>
              </w:rPr>
            </w:pPr>
          </w:p>
        </w:tc>
        <w:tc>
          <w:tcPr>
            <w:tcW w:w="1134" w:type="dxa"/>
            <w:vMerge/>
          </w:tcPr>
          <w:p w:rsidR="00EE288F" w:rsidRPr="00BA1D89" w:rsidRDefault="00EE288F" w:rsidP="00BF5044">
            <w:pPr>
              <w:rPr>
                <w:rFonts w:asciiTheme="minorHAnsi" w:hAnsiTheme="minorHAnsi" w:cstheme="minorHAnsi"/>
                <w:szCs w:val="18"/>
              </w:rPr>
            </w:pPr>
          </w:p>
        </w:tc>
        <w:tc>
          <w:tcPr>
            <w:tcW w:w="1134" w:type="dxa"/>
            <w:vMerge/>
          </w:tcPr>
          <w:p w:rsidR="00EE288F" w:rsidRPr="00BA1D89" w:rsidRDefault="00EE288F" w:rsidP="00BF5044">
            <w:pPr>
              <w:rPr>
                <w:rFonts w:asciiTheme="minorHAnsi" w:hAnsiTheme="minorHAnsi" w:cstheme="minorHAnsi"/>
                <w:szCs w:val="18"/>
              </w:rPr>
            </w:pPr>
          </w:p>
        </w:tc>
        <w:tc>
          <w:tcPr>
            <w:tcW w:w="1843" w:type="dxa"/>
            <w:vMerge/>
          </w:tcPr>
          <w:p w:rsidR="00EE288F" w:rsidRPr="00BA1D89" w:rsidRDefault="00EE288F" w:rsidP="00BF5044">
            <w:pPr>
              <w:rPr>
                <w:rFonts w:asciiTheme="minorHAnsi" w:hAnsiTheme="minorHAnsi" w:cstheme="minorHAnsi"/>
                <w:szCs w:val="18"/>
              </w:rPr>
            </w:pPr>
          </w:p>
        </w:tc>
        <w:tc>
          <w:tcPr>
            <w:tcW w:w="1276" w:type="dxa"/>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No prior RF screening</w:t>
            </w:r>
          </w:p>
        </w:tc>
        <w:tc>
          <w:tcPr>
            <w:tcW w:w="1134" w:type="dxa"/>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b/>
                <w:szCs w:val="18"/>
              </w:rPr>
              <w:t>Prior RF screening</w:t>
            </w:r>
          </w:p>
        </w:tc>
        <w:tc>
          <w:tcPr>
            <w:tcW w:w="1701" w:type="dxa"/>
            <w:vMerge/>
          </w:tcPr>
          <w:p w:rsidR="00EE288F" w:rsidRPr="00BA1D89" w:rsidRDefault="00EE288F" w:rsidP="00BF5044">
            <w:pPr>
              <w:rPr>
                <w:rFonts w:asciiTheme="minorHAnsi" w:hAnsiTheme="minorHAnsi" w:cstheme="minorHAnsi"/>
                <w:szCs w:val="18"/>
              </w:rPr>
            </w:pPr>
          </w:p>
        </w:tc>
      </w:tr>
      <w:tr w:rsidR="00EE288F" w:rsidRPr="00BA1D89" w:rsidTr="00BF5044">
        <w:tc>
          <w:tcPr>
            <w:tcW w:w="1271" w:type="dxa"/>
          </w:tcPr>
          <w:p w:rsidR="00EE288F" w:rsidRPr="00BA1D89" w:rsidRDefault="00EE288F" w:rsidP="00BF5044">
            <w:pPr>
              <w:rPr>
                <w:rFonts w:asciiTheme="minorHAnsi" w:hAnsiTheme="minorHAnsi" w:cstheme="minorHAnsi"/>
                <w:szCs w:val="18"/>
              </w:rPr>
            </w:pPr>
            <w:proofErr w:type="spellStart"/>
            <w:r w:rsidRPr="00BA1D89">
              <w:rPr>
                <w:rFonts w:asciiTheme="minorHAnsi" w:hAnsiTheme="minorHAnsi" w:cstheme="minorHAnsi"/>
                <w:szCs w:val="18"/>
              </w:rPr>
              <w:t>i</w:t>
            </w:r>
            <w:proofErr w:type="spellEnd"/>
            <w:r w:rsidRPr="00BA1D89">
              <w:rPr>
                <w:rFonts w:asciiTheme="minorHAnsi" w:hAnsiTheme="minorHAnsi" w:cstheme="minorHAnsi"/>
                <w:szCs w:val="18"/>
              </w:rPr>
              <w:t xml:space="preserve">-STAT </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84.1%</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98.9%</w:t>
            </w:r>
          </w:p>
        </w:tc>
        <w:tc>
          <w:tcPr>
            <w:tcW w:w="1843" w:type="dxa"/>
            <w:vMerge w:val="restart"/>
          </w:tcPr>
          <w:p w:rsidR="00EE288F" w:rsidRPr="00BA1D89" w:rsidRDefault="00EE288F" w:rsidP="00BF5044">
            <w:pPr>
              <w:rPr>
                <w:rFonts w:asciiTheme="minorHAnsi" w:hAnsiTheme="minorHAnsi" w:cstheme="minorHAnsi"/>
                <w:szCs w:val="18"/>
              </w:rPr>
            </w:pPr>
            <w:r>
              <w:rPr>
                <w:rFonts w:asciiTheme="minorHAnsi" w:hAnsiTheme="minorHAnsi" w:cstheme="minorHAnsi"/>
                <w:szCs w:val="18"/>
              </w:rPr>
              <w:t>Systematic review and m</w:t>
            </w:r>
            <w:r w:rsidRPr="00BA1D89">
              <w:rPr>
                <w:rFonts w:asciiTheme="minorHAnsi" w:hAnsiTheme="minorHAnsi" w:cstheme="minorHAnsi"/>
                <w:szCs w:val="18"/>
              </w:rPr>
              <w:t>eta-analysis of diagnostic accuracy data combined with eGFR distribution</w:t>
            </w:r>
            <w:r>
              <w:rPr>
                <w:rFonts w:asciiTheme="minorHAnsi" w:hAnsiTheme="minorHAnsi" w:cstheme="minorHAnsi"/>
                <w:noProof/>
                <w:szCs w:val="18"/>
              </w:rPr>
              <w:t>[11]</w:t>
            </w:r>
          </w:p>
        </w:tc>
        <w:tc>
          <w:tcPr>
            <w:tcW w:w="1276"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£ 8.85</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£11.96</w:t>
            </w:r>
          </w:p>
        </w:tc>
        <w:tc>
          <w:tcPr>
            <w:tcW w:w="1701" w:type="dxa"/>
            <w:vMerge w:val="restart"/>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Calculated</w:t>
            </w:r>
            <w:r>
              <w:rPr>
                <w:rFonts w:asciiTheme="minorHAnsi" w:hAnsiTheme="minorHAnsi" w:cstheme="minorHAnsi"/>
                <w:szCs w:val="18"/>
              </w:rPr>
              <w:t>:</w:t>
            </w:r>
          </w:p>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Includes annuitized capital cost of devices, test consumables, quality control and staff costs</w:t>
            </w:r>
          </w:p>
        </w:tc>
      </w:tr>
      <w:tr w:rsidR="00EE288F" w:rsidRPr="00BA1D89" w:rsidTr="00BF5044">
        <w:tc>
          <w:tcPr>
            <w:tcW w:w="1271"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ABL800 Flex</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86.1%</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99.2%</w:t>
            </w:r>
          </w:p>
        </w:tc>
        <w:tc>
          <w:tcPr>
            <w:tcW w:w="1843" w:type="dxa"/>
            <w:vMerge/>
          </w:tcPr>
          <w:p w:rsidR="00EE288F" w:rsidRPr="00BA1D89" w:rsidRDefault="00EE288F" w:rsidP="00BF5044">
            <w:pPr>
              <w:rPr>
                <w:rFonts w:asciiTheme="minorHAnsi" w:hAnsiTheme="minorHAnsi" w:cstheme="minorHAnsi"/>
                <w:szCs w:val="18"/>
              </w:rPr>
            </w:pPr>
          </w:p>
        </w:tc>
        <w:tc>
          <w:tcPr>
            <w:tcW w:w="1276"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£15.73</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£36.36</w:t>
            </w:r>
          </w:p>
        </w:tc>
        <w:tc>
          <w:tcPr>
            <w:tcW w:w="1701" w:type="dxa"/>
            <w:vMerge/>
          </w:tcPr>
          <w:p w:rsidR="00EE288F" w:rsidRPr="00BA1D89" w:rsidRDefault="00EE288F" w:rsidP="00BF5044">
            <w:pPr>
              <w:rPr>
                <w:rFonts w:asciiTheme="minorHAnsi" w:hAnsiTheme="minorHAnsi" w:cstheme="minorHAnsi"/>
                <w:szCs w:val="18"/>
              </w:rPr>
            </w:pPr>
          </w:p>
        </w:tc>
      </w:tr>
      <w:tr w:rsidR="00EE288F" w:rsidRPr="00BA1D89" w:rsidTr="00BF5044">
        <w:tc>
          <w:tcPr>
            <w:tcW w:w="1271"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StatSensor</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73.9%</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99.1%</w:t>
            </w:r>
          </w:p>
        </w:tc>
        <w:tc>
          <w:tcPr>
            <w:tcW w:w="1843" w:type="dxa"/>
            <w:vMerge/>
          </w:tcPr>
          <w:p w:rsidR="00EE288F" w:rsidRPr="00BA1D89" w:rsidRDefault="00EE288F" w:rsidP="00BF5044">
            <w:pPr>
              <w:rPr>
                <w:rFonts w:asciiTheme="minorHAnsi" w:hAnsiTheme="minorHAnsi" w:cstheme="minorHAnsi"/>
                <w:szCs w:val="18"/>
              </w:rPr>
            </w:pPr>
          </w:p>
        </w:tc>
        <w:tc>
          <w:tcPr>
            <w:tcW w:w="1276"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£8.52</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£14.25</w:t>
            </w:r>
          </w:p>
        </w:tc>
        <w:tc>
          <w:tcPr>
            <w:tcW w:w="1701" w:type="dxa"/>
            <w:vMerge/>
          </w:tcPr>
          <w:p w:rsidR="00EE288F" w:rsidRPr="00BA1D89" w:rsidRDefault="00EE288F" w:rsidP="00BF5044">
            <w:pPr>
              <w:rPr>
                <w:rFonts w:asciiTheme="minorHAnsi" w:hAnsiTheme="minorHAnsi" w:cstheme="minorHAnsi"/>
                <w:szCs w:val="18"/>
              </w:rPr>
            </w:pPr>
          </w:p>
        </w:tc>
      </w:tr>
      <w:tr w:rsidR="00EE288F" w:rsidRPr="00BA1D89" w:rsidTr="00BF5044">
        <w:tc>
          <w:tcPr>
            <w:tcW w:w="1271"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 xml:space="preserve">Laboratory </w:t>
            </w:r>
          </w:p>
        </w:tc>
        <w:tc>
          <w:tcPr>
            <w:tcW w:w="1134" w:type="dxa"/>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szCs w:val="18"/>
              </w:rPr>
              <w:t>100.0%</w:t>
            </w:r>
          </w:p>
        </w:tc>
        <w:tc>
          <w:tcPr>
            <w:tcW w:w="1134" w:type="dxa"/>
          </w:tcPr>
          <w:p w:rsidR="00EE288F" w:rsidRPr="00BA1D89" w:rsidRDefault="00EE288F" w:rsidP="00BF5044">
            <w:pPr>
              <w:rPr>
                <w:rFonts w:asciiTheme="minorHAnsi" w:hAnsiTheme="minorHAnsi" w:cstheme="minorHAnsi"/>
                <w:b/>
                <w:szCs w:val="18"/>
              </w:rPr>
            </w:pPr>
            <w:r w:rsidRPr="00BA1D89">
              <w:rPr>
                <w:rFonts w:asciiTheme="minorHAnsi" w:hAnsiTheme="minorHAnsi" w:cstheme="minorHAnsi"/>
                <w:szCs w:val="18"/>
              </w:rPr>
              <w:t>100.0%</w:t>
            </w:r>
          </w:p>
        </w:tc>
        <w:tc>
          <w:tcPr>
            <w:tcW w:w="1843"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Assumption</w:t>
            </w:r>
          </w:p>
        </w:tc>
        <w:tc>
          <w:tcPr>
            <w:tcW w:w="2410" w:type="dxa"/>
            <w:gridSpan w:val="2"/>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£3.31</w:t>
            </w:r>
          </w:p>
        </w:tc>
        <w:tc>
          <w:tcPr>
            <w:tcW w:w="1701"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 xml:space="preserve">NHS reference costs </w:t>
            </w:r>
            <w:r w:rsidRPr="00BA1D89">
              <w:rPr>
                <w:rFonts w:cstheme="minorHAnsi"/>
                <w:noProof/>
                <w:szCs w:val="18"/>
              </w:rPr>
              <w:t>[19]</w:t>
            </w:r>
          </w:p>
        </w:tc>
      </w:tr>
      <w:tr w:rsidR="00EE288F" w:rsidRPr="00BA1D89" w:rsidTr="00BF5044">
        <w:tc>
          <w:tcPr>
            <w:tcW w:w="1271"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 xml:space="preserve">RF screening </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100.0%</w:t>
            </w:r>
          </w:p>
        </w:tc>
        <w:tc>
          <w:tcPr>
            <w:tcW w:w="1134"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65.2%</w:t>
            </w:r>
          </w:p>
        </w:tc>
        <w:tc>
          <w:tcPr>
            <w:tcW w:w="1843"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Too et al, 2015</w:t>
            </w:r>
            <w:r>
              <w:rPr>
                <w:rFonts w:cstheme="minorHAnsi"/>
                <w:noProof/>
                <w:szCs w:val="18"/>
              </w:rPr>
              <w:t>[22]</w:t>
            </w:r>
          </w:p>
        </w:tc>
        <w:tc>
          <w:tcPr>
            <w:tcW w:w="2410" w:type="dxa"/>
            <w:gridSpan w:val="2"/>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£1.11</w:t>
            </w:r>
          </w:p>
        </w:tc>
        <w:tc>
          <w:tcPr>
            <w:tcW w:w="1701" w:type="dxa"/>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NHS reference costs</w:t>
            </w:r>
            <w:r w:rsidRPr="00BA1D89">
              <w:rPr>
                <w:rFonts w:cstheme="minorHAnsi"/>
                <w:noProof/>
                <w:szCs w:val="18"/>
              </w:rPr>
              <w:t>[19]</w:t>
            </w:r>
          </w:p>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rPr>
              <w:t>Lederman et al, 2010</w:t>
            </w:r>
            <w:r>
              <w:rPr>
                <w:rFonts w:cstheme="minorHAnsi"/>
                <w:noProof/>
                <w:szCs w:val="18"/>
              </w:rPr>
              <w:t>[34]</w:t>
            </w:r>
          </w:p>
        </w:tc>
      </w:tr>
      <w:tr w:rsidR="00EE288F" w:rsidRPr="00BA1D89" w:rsidTr="00BF5044">
        <w:tc>
          <w:tcPr>
            <w:tcW w:w="9493" w:type="dxa"/>
            <w:gridSpan w:val="7"/>
          </w:tcPr>
          <w:p w:rsidR="00EE288F" w:rsidRPr="00BA1D89" w:rsidRDefault="00EE288F" w:rsidP="00BF5044">
            <w:pPr>
              <w:rPr>
                <w:rFonts w:asciiTheme="minorHAnsi" w:hAnsiTheme="minorHAnsi" w:cstheme="minorHAnsi"/>
                <w:szCs w:val="18"/>
              </w:rPr>
            </w:pPr>
            <w:r w:rsidRPr="00BA1D89">
              <w:rPr>
                <w:rFonts w:asciiTheme="minorHAnsi" w:hAnsiTheme="minorHAnsi" w:cstheme="minorHAnsi"/>
                <w:szCs w:val="18"/>
                <w:vertAlign w:val="superscript"/>
              </w:rPr>
              <w:t>*</w:t>
            </w:r>
            <w:r w:rsidRPr="00BA1D89">
              <w:rPr>
                <w:rFonts w:asciiTheme="minorHAnsi" w:hAnsiTheme="minorHAnsi" w:cstheme="minorHAnsi"/>
                <w:szCs w:val="18"/>
              </w:rPr>
              <w:t xml:space="preserve">Patient throughput will vary depending on whether patients are risk factor screened prior to receiving the POC </w:t>
            </w:r>
            <w:r>
              <w:rPr>
                <w:rFonts w:asciiTheme="minorHAnsi" w:hAnsiTheme="minorHAnsi" w:cstheme="minorHAnsi"/>
                <w:szCs w:val="18"/>
              </w:rPr>
              <w:t xml:space="preserve">creatinine </w:t>
            </w:r>
            <w:r w:rsidRPr="00BA1D89">
              <w:rPr>
                <w:rFonts w:asciiTheme="minorHAnsi" w:hAnsiTheme="minorHAnsi" w:cstheme="minorHAnsi"/>
                <w:szCs w:val="18"/>
              </w:rPr>
              <w:t>test or not; RF, risk factor</w:t>
            </w:r>
          </w:p>
        </w:tc>
      </w:tr>
    </w:tbl>
    <w:p w:rsidR="00EE288F" w:rsidRDefault="00EE288F" w:rsidP="00BF5044"/>
    <w:p w:rsidR="00D8522B" w:rsidRDefault="00D8522B" w:rsidP="00BF5044"/>
    <w:p w:rsidR="00D8522B" w:rsidRDefault="00D8522B" w:rsidP="00BF5044"/>
    <w:p w:rsidR="00EE288F" w:rsidRPr="009F6FCD" w:rsidRDefault="00EE288F" w:rsidP="00BF5044">
      <w:pPr>
        <w:spacing w:before="120" w:after="120" w:line="360" w:lineRule="auto"/>
      </w:pPr>
      <w:bookmarkStart w:id="7" w:name="_Hlk76289852"/>
      <w:r w:rsidRPr="009F6FCD">
        <w:rPr>
          <w:i/>
        </w:rPr>
        <w:lastRenderedPageBreak/>
        <w:t xml:space="preserve">Health-related quality of </w:t>
      </w:r>
      <w:r>
        <w:rPr>
          <w:i/>
        </w:rPr>
        <w:t>l</w:t>
      </w:r>
      <w:r w:rsidRPr="009F6FCD">
        <w:rPr>
          <w:i/>
        </w:rPr>
        <w:t>ife</w:t>
      </w:r>
      <w:r w:rsidR="006B0D01">
        <w:rPr>
          <w:i/>
        </w:rPr>
        <w:t xml:space="preserve"> and life expectancy</w:t>
      </w:r>
    </w:p>
    <w:bookmarkEnd w:id="7"/>
    <w:p w:rsidR="00EE288F" w:rsidRDefault="00EE288F" w:rsidP="00BF5044">
      <w:pPr>
        <w:spacing w:before="120" w:after="120" w:line="360" w:lineRule="auto"/>
      </w:pPr>
      <w:r w:rsidRPr="00EC0854">
        <w:t>Health is expressed in QALYs</w:t>
      </w:r>
      <w:r>
        <w:t>,</w:t>
      </w:r>
      <w:r w:rsidRPr="00EC0854">
        <w:t xml:space="preserve"> based on </w:t>
      </w:r>
      <w:r>
        <w:t xml:space="preserve">expected </w:t>
      </w:r>
      <w:r w:rsidRPr="00EC0854">
        <w:t xml:space="preserve">mortality and </w:t>
      </w:r>
      <w:r>
        <w:t>H</w:t>
      </w:r>
      <w:r w:rsidR="006B0D01">
        <w:t>R</w:t>
      </w:r>
      <w:r>
        <w:t>QoL weights</w:t>
      </w:r>
      <w:r w:rsidRPr="00EC0854">
        <w:t xml:space="preserve">. HRQoL was based on the general </w:t>
      </w:r>
      <w:r>
        <w:t xml:space="preserve">population </w:t>
      </w:r>
      <w:r w:rsidRPr="00EC0854">
        <w:t xml:space="preserve">with utility decrements applied </w:t>
      </w:r>
      <w:r>
        <w:t xml:space="preserve">to individuals </w:t>
      </w:r>
      <w:r w:rsidRPr="00EC0854">
        <w:t xml:space="preserve">undergoing RRT. </w:t>
      </w:r>
      <w:r>
        <w:t xml:space="preserve">Age and sex-specific HRQoL were </w:t>
      </w:r>
      <w:proofErr w:type="gramStart"/>
      <w:r>
        <w:t>estimated</w:t>
      </w:r>
      <w:r>
        <w:rPr>
          <w:noProof/>
        </w:rPr>
        <w:t>[</w:t>
      </w:r>
      <w:proofErr w:type="gramEnd"/>
      <w:r>
        <w:rPr>
          <w:noProof/>
        </w:rPr>
        <w:t>17]</w:t>
      </w:r>
      <w:r w:rsidR="00FA3051">
        <w:t>.</w:t>
      </w:r>
      <w:r>
        <w:t xml:space="preserve"> </w:t>
      </w:r>
      <w:r w:rsidR="00FA3051">
        <w:t xml:space="preserve">These estimates were </w:t>
      </w:r>
      <w:r>
        <w:t>applied to the proportion of patients expected to be alive each year</w:t>
      </w:r>
      <w:r w:rsidR="00FA3051">
        <w:t>, as derived from UK lifetables [16] and assuming that 94.5% of patients were alive at 6 months post-imaging [14]</w:t>
      </w:r>
      <w:r>
        <w:t>. RRT is assumed to consist of three months of haemodialysis, during which patients incur a QALY loss (</w:t>
      </w:r>
      <w:r w:rsidR="00BF5044" w:rsidRPr="00BF5044">
        <w:t>Table 2</w:t>
      </w:r>
      <w:r>
        <w:t xml:space="preserve">). No HRQoL loss is included to account for IV hydration adverse events given their short </w:t>
      </w:r>
      <w:proofErr w:type="gramStart"/>
      <w:r>
        <w:t>duration</w:t>
      </w:r>
      <w:r>
        <w:rPr>
          <w:noProof/>
        </w:rPr>
        <w:t>[</w:t>
      </w:r>
      <w:proofErr w:type="gramEnd"/>
      <w:r>
        <w:rPr>
          <w:noProof/>
        </w:rPr>
        <w:t>20]</w:t>
      </w:r>
      <w:r>
        <w:t>.</w:t>
      </w:r>
    </w:p>
    <w:p w:rsidR="00A33541" w:rsidRDefault="00A33541" w:rsidP="00BF5044">
      <w:pPr>
        <w:spacing w:before="120" w:after="120" w:line="360" w:lineRule="auto"/>
      </w:pPr>
    </w:p>
    <w:p w:rsidR="00EE288F" w:rsidRPr="009F6FCD" w:rsidRDefault="00EE288F" w:rsidP="00BF5044">
      <w:pPr>
        <w:spacing w:before="120" w:after="120" w:line="360" w:lineRule="auto"/>
      </w:pPr>
      <w:r w:rsidRPr="009F6FCD">
        <w:rPr>
          <w:i/>
        </w:rPr>
        <w:t>Resource use and costs</w:t>
      </w:r>
    </w:p>
    <w:p w:rsidR="002F65C8" w:rsidRDefault="00EE288F" w:rsidP="00BF5044">
      <w:pPr>
        <w:spacing w:before="120" w:after="120" w:line="360" w:lineRule="auto"/>
        <w:rPr>
          <w:rFonts w:eastAsiaTheme="majorEastAsia" w:cstheme="majorBidi"/>
          <w:bCs/>
        </w:rPr>
      </w:pPr>
      <w:r>
        <w:t xml:space="preserve">POC creatinine test costs include the device capital costs, consumables, </w:t>
      </w:r>
      <w:r w:rsidRPr="00C36CF0">
        <w:t>annual maintenance costs</w:t>
      </w:r>
      <w:r>
        <w:t xml:space="preserve"> and staff time costs to conduct testing, interpret results and perform quality control</w:t>
      </w:r>
      <w:r w:rsidRPr="00C36CF0">
        <w:t>.</w:t>
      </w:r>
      <w:r>
        <w:t xml:space="preserve"> Unit costs for device related costs were obtained from the </w:t>
      </w:r>
      <w:proofErr w:type="gramStart"/>
      <w:r>
        <w:t>manufacturers,</w:t>
      </w:r>
      <w:proofErr w:type="gramEnd"/>
      <w:r>
        <w:t xml:space="preserve"> and for staff time from published sources </w:t>
      </w:r>
      <w:r>
        <w:rPr>
          <w:noProof/>
        </w:rPr>
        <w:t>[35]</w:t>
      </w:r>
      <w:r>
        <w:t xml:space="preserve">. A lifespan of seven years is assumed for all devices to </w:t>
      </w:r>
      <w:r w:rsidRPr="00500F72">
        <w:t>estimate the expected annual capital cost of the device.</w:t>
      </w:r>
      <w:r>
        <w:t xml:space="preserve"> Device capital</w:t>
      </w:r>
      <w:r w:rsidR="00183A7D">
        <w:t>, maintenance</w:t>
      </w:r>
      <w:r>
        <w:t xml:space="preserve"> and quality control costs per test depend on patient throughput. The estimated patient throughput for POC devices (93</w:t>
      </w:r>
      <w:r w:rsidRPr="00E40F79">
        <w:t xml:space="preserve"> patients</w:t>
      </w:r>
      <w:r>
        <w:t xml:space="preserve">/month) was based on the number of patients presenting for a CT scan at each </w:t>
      </w:r>
      <w:r w:rsidRPr="00426CDE">
        <w:t>NHS Trust</w:t>
      </w:r>
      <w:r>
        <w:t xml:space="preserve"> site in a previous study</w:t>
      </w:r>
      <w:r>
        <w:rPr>
          <w:rFonts w:cstheme="minorHAnsi"/>
          <w:noProof/>
          <w:szCs w:val="18"/>
        </w:rPr>
        <w:t>[10]</w:t>
      </w:r>
      <w:r>
        <w:rPr>
          <w:rFonts w:cstheme="minorHAnsi"/>
          <w:szCs w:val="18"/>
        </w:rPr>
        <w:t>,</w:t>
      </w:r>
      <w:r>
        <w:t xml:space="preserve"> combined with the </w:t>
      </w:r>
      <w:r w:rsidRPr="00E40F79">
        <w:t xml:space="preserve">percentage of patients who </w:t>
      </w:r>
      <w:r>
        <w:t xml:space="preserve">do not have </w:t>
      </w:r>
      <w:r w:rsidRPr="00E40F79">
        <w:t>a recent eGFR meas</w:t>
      </w:r>
      <w:r>
        <w:t xml:space="preserve">urement at </w:t>
      </w:r>
      <w:r w:rsidRPr="00E40F79">
        <w:t xml:space="preserve">their scan appointment </w:t>
      </w:r>
      <w:r>
        <w:t>(</w:t>
      </w:r>
      <w:r w:rsidR="00BF5044" w:rsidRPr="00BF5044">
        <w:t>Table 2</w:t>
      </w:r>
      <w:r>
        <w:t>)</w:t>
      </w:r>
      <w:r>
        <w:rPr>
          <w:rFonts w:cstheme="minorHAnsi"/>
          <w:noProof/>
          <w:szCs w:val="18"/>
        </w:rPr>
        <w:t>[7]</w:t>
      </w:r>
      <w:r>
        <w:rPr>
          <w:rFonts w:cstheme="minorHAnsi"/>
          <w:szCs w:val="18"/>
        </w:rPr>
        <w:t>.</w:t>
      </w:r>
      <w:r>
        <w:t xml:space="preserve"> In strategies where POC is preceded by screening with a RF questionnaire, the throughput </w:t>
      </w:r>
      <w:r w:rsidRPr="00846BBA">
        <w:rPr>
          <w:rFonts w:eastAsiaTheme="majorEastAsia" w:cstheme="majorBidi"/>
          <w:bCs/>
        </w:rPr>
        <w:t xml:space="preserve">for the POC device will </w:t>
      </w:r>
      <w:r>
        <w:rPr>
          <w:rFonts w:eastAsiaTheme="majorEastAsia" w:cstheme="majorBidi"/>
          <w:bCs/>
        </w:rPr>
        <w:t>depend</w:t>
      </w:r>
      <w:r w:rsidRPr="00846BBA">
        <w:rPr>
          <w:rFonts w:eastAsiaTheme="majorEastAsia" w:cstheme="majorBidi"/>
          <w:bCs/>
        </w:rPr>
        <w:t xml:space="preserve"> on the accuracy of the </w:t>
      </w:r>
      <w:r>
        <w:rPr>
          <w:rFonts w:eastAsiaTheme="majorEastAsia" w:cstheme="majorBidi"/>
          <w:bCs/>
        </w:rPr>
        <w:t>RF</w:t>
      </w:r>
      <w:r w:rsidRPr="00846BBA">
        <w:rPr>
          <w:rFonts w:eastAsiaTheme="majorEastAsia" w:cstheme="majorBidi"/>
          <w:bCs/>
        </w:rPr>
        <w:t xml:space="preserve"> screening and the distribution of eGFR in the population</w:t>
      </w:r>
      <w:r>
        <w:rPr>
          <w:rFonts w:eastAsiaTheme="majorEastAsia" w:cstheme="majorBidi"/>
          <w:bCs/>
        </w:rPr>
        <w:t xml:space="preserve"> (</w:t>
      </w:r>
      <w:r w:rsidRPr="00DD6214">
        <w:rPr>
          <w:rFonts w:eastAsiaTheme="majorEastAsia" w:cstheme="majorBidi"/>
          <w:bCs/>
        </w:rPr>
        <w:t>3</w:t>
      </w:r>
      <w:r>
        <w:rPr>
          <w:rFonts w:eastAsiaTheme="majorEastAsia" w:cstheme="majorBidi"/>
          <w:bCs/>
        </w:rPr>
        <w:t>3</w:t>
      </w:r>
      <w:r w:rsidRPr="00DD6214">
        <w:rPr>
          <w:rFonts w:eastAsiaTheme="majorEastAsia" w:cstheme="majorBidi"/>
          <w:bCs/>
        </w:rPr>
        <w:t xml:space="preserve"> patients</w:t>
      </w:r>
      <w:r>
        <w:rPr>
          <w:rFonts w:eastAsiaTheme="majorEastAsia" w:cstheme="majorBidi"/>
          <w:bCs/>
        </w:rPr>
        <w:t>/</w:t>
      </w:r>
      <w:r w:rsidRPr="00DD6214">
        <w:rPr>
          <w:rFonts w:eastAsiaTheme="majorEastAsia" w:cstheme="majorBidi"/>
          <w:bCs/>
        </w:rPr>
        <w:t xml:space="preserve">month </w:t>
      </w:r>
      <w:r>
        <w:rPr>
          <w:rFonts w:eastAsiaTheme="majorEastAsia" w:cstheme="majorBidi"/>
          <w:bCs/>
        </w:rPr>
        <w:t xml:space="preserve">under base-case assumptions). </w:t>
      </w:r>
      <w:r w:rsidR="00B734CC">
        <w:rPr>
          <w:rFonts w:eastAsiaTheme="majorEastAsia" w:cstheme="majorBidi"/>
          <w:bCs/>
        </w:rPr>
        <w:t xml:space="preserve">Patient throughput informs </w:t>
      </w:r>
      <w:r w:rsidR="00183A7D">
        <w:rPr>
          <w:rFonts w:eastAsiaTheme="majorEastAsia" w:cstheme="majorBidi"/>
          <w:bCs/>
        </w:rPr>
        <w:t>the</w:t>
      </w:r>
      <w:r w:rsidR="00B734CC">
        <w:rPr>
          <w:rFonts w:eastAsiaTheme="majorEastAsia" w:cstheme="majorBidi"/>
          <w:bCs/>
        </w:rPr>
        <w:t xml:space="preserve"> per patient</w:t>
      </w:r>
      <w:r w:rsidR="00183A7D">
        <w:rPr>
          <w:rFonts w:eastAsiaTheme="majorEastAsia" w:cstheme="majorBidi"/>
          <w:bCs/>
        </w:rPr>
        <w:t xml:space="preserve"> cost of POC test</w:t>
      </w:r>
      <w:r w:rsidR="00B734CC">
        <w:rPr>
          <w:rFonts w:eastAsiaTheme="majorEastAsia" w:cstheme="majorBidi"/>
          <w:bCs/>
        </w:rPr>
        <w:t>ing</w:t>
      </w:r>
      <w:r w:rsidR="00183A7D">
        <w:rPr>
          <w:rFonts w:eastAsiaTheme="majorEastAsia" w:cstheme="majorBidi"/>
          <w:bCs/>
        </w:rPr>
        <w:t xml:space="preserve">, and does not </w:t>
      </w:r>
      <w:proofErr w:type="gramStart"/>
      <w:r w:rsidR="00183A7D">
        <w:rPr>
          <w:rFonts w:eastAsiaTheme="majorEastAsia" w:cstheme="majorBidi"/>
          <w:bCs/>
        </w:rPr>
        <w:t>impact on</w:t>
      </w:r>
      <w:proofErr w:type="gramEnd"/>
      <w:r w:rsidR="00183A7D">
        <w:rPr>
          <w:rFonts w:eastAsiaTheme="majorEastAsia" w:cstheme="majorBidi"/>
          <w:bCs/>
        </w:rPr>
        <w:t xml:space="preserve"> patient flow within the model. </w:t>
      </w:r>
      <w:r>
        <w:rPr>
          <w:rFonts w:eastAsiaTheme="majorEastAsia" w:cstheme="majorBidi"/>
          <w:bCs/>
        </w:rPr>
        <w:t>The cost per patient tested for each POC device, laboratory testing and RF screening are shown in</w:t>
      </w:r>
      <w:r w:rsidR="00077B0C">
        <w:rPr>
          <w:rFonts w:eastAsiaTheme="majorEastAsia" w:cstheme="majorBidi"/>
          <w:bCs/>
        </w:rPr>
        <w:t xml:space="preserve"> </w:t>
      </w:r>
      <w:r w:rsidR="00BF5044" w:rsidRPr="00BF5044">
        <w:rPr>
          <w:rFonts w:eastAsiaTheme="majorEastAsia" w:cstheme="majorBidi"/>
          <w:bCs/>
        </w:rPr>
        <w:t>Table 3</w:t>
      </w:r>
      <w:r>
        <w:rPr>
          <w:rFonts w:eastAsiaTheme="majorEastAsia" w:cstheme="majorBidi"/>
          <w:bCs/>
        </w:rPr>
        <w:t xml:space="preserve">. </w:t>
      </w:r>
    </w:p>
    <w:p w:rsidR="00081DE9" w:rsidRDefault="00081DE9" w:rsidP="00BF5044">
      <w:pPr>
        <w:spacing w:before="120" w:after="120" w:line="360" w:lineRule="auto"/>
        <w:rPr>
          <w:rFonts w:eastAsiaTheme="majorEastAsia" w:cstheme="majorBidi"/>
          <w:bCs/>
        </w:rPr>
      </w:pPr>
      <w:r>
        <w:rPr>
          <w:rFonts w:eastAsiaTheme="majorEastAsia" w:cstheme="majorBidi"/>
          <w:bCs/>
        </w:rPr>
        <w:t>RF screening</w:t>
      </w:r>
      <w:r w:rsidR="00A33541">
        <w:rPr>
          <w:rFonts w:eastAsiaTheme="majorEastAsia" w:cstheme="majorBidi"/>
          <w:bCs/>
        </w:rPr>
        <w:t xml:space="preserve"> </w:t>
      </w:r>
      <w:r w:rsidR="002F65C8">
        <w:rPr>
          <w:rFonts w:eastAsiaTheme="majorEastAsia" w:cstheme="majorBidi"/>
          <w:bCs/>
        </w:rPr>
        <w:t xml:space="preserve">and POC testing </w:t>
      </w:r>
      <w:r>
        <w:rPr>
          <w:rFonts w:eastAsiaTheme="majorEastAsia" w:cstheme="majorBidi"/>
          <w:bCs/>
        </w:rPr>
        <w:t xml:space="preserve">are assumed </w:t>
      </w:r>
      <w:r w:rsidR="002F65C8">
        <w:rPr>
          <w:rFonts w:eastAsiaTheme="majorEastAsia" w:cstheme="majorBidi"/>
          <w:bCs/>
        </w:rPr>
        <w:t>to be conducted within the planned CT appointment</w:t>
      </w:r>
      <w:r w:rsidR="00A33541">
        <w:rPr>
          <w:rFonts w:eastAsiaTheme="majorEastAsia" w:cstheme="majorBidi"/>
          <w:bCs/>
        </w:rPr>
        <w:t xml:space="preserve">. The blood collection for the POC test is assumed to be done while cannulating the </w:t>
      </w:r>
      <w:proofErr w:type="gramStart"/>
      <w:r w:rsidR="00A33541">
        <w:rPr>
          <w:rFonts w:eastAsiaTheme="majorEastAsia" w:cstheme="majorBidi"/>
          <w:bCs/>
        </w:rPr>
        <w:t>patient</w:t>
      </w:r>
      <w:r w:rsidR="00B734CC">
        <w:rPr>
          <w:rFonts w:eastAsiaTheme="majorEastAsia" w:cstheme="majorBidi"/>
          <w:bCs/>
        </w:rPr>
        <w:t>[</w:t>
      </w:r>
      <w:proofErr w:type="gramEnd"/>
      <w:r w:rsidR="00B734CC">
        <w:rPr>
          <w:rFonts w:eastAsiaTheme="majorEastAsia" w:cstheme="majorBidi"/>
          <w:bCs/>
        </w:rPr>
        <w:t>10]</w:t>
      </w:r>
      <w:r w:rsidR="00A33541">
        <w:rPr>
          <w:rFonts w:eastAsiaTheme="majorEastAsia" w:cstheme="majorBidi"/>
          <w:bCs/>
        </w:rPr>
        <w:t xml:space="preserve">, and is reflected on the cost of the tests (details on test costing are reported elsewhere [11]).  </w:t>
      </w:r>
    </w:p>
    <w:p w:rsidR="00EE288F" w:rsidRDefault="00EE288F" w:rsidP="00BF5044">
      <w:pPr>
        <w:spacing w:before="120" w:after="120" w:line="360" w:lineRule="auto"/>
      </w:pPr>
      <w:r>
        <w:t xml:space="preserve">The costs of patient management and imaging include the costs of: imaging, </w:t>
      </w:r>
      <w:r w:rsidRPr="0093232E">
        <w:t>cancell</w:t>
      </w:r>
      <w:r>
        <w:t>ing</w:t>
      </w:r>
      <w:r w:rsidRPr="0093232E">
        <w:t xml:space="preserve"> and rebooking </w:t>
      </w:r>
      <w:r>
        <w:t>CT</w:t>
      </w:r>
      <w:r w:rsidRPr="0093232E">
        <w:t xml:space="preserve"> appointments, </w:t>
      </w:r>
      <w:r>
        <w:t xml:space="preserve">IV hydration and </w:t>
      </w:r>
      <w:r w:rsidRPr="0093232E">
        <w:t>associated</w:t>
      </w:r>
      <w:r>
        <w:t xml:space="preserve"> </w:t>
      </w:r>
      <w:r w:rsidRPr="0093232E">
        <w:t xml:space="preserve">adverse events </w:t>
      </w:r>
      <w:r>
        <w:t>(based on the AMACING trial</w:t>
      </w:r>
      <w:r w:rsidRPr="00B115DC">
        <w:rPr>
          <w:rFonts w:cstheme="minorHAnsi"/>
          <w:noProof/>
          <w:szCs w:val="18"/>
        </w:rPr>
        <w:t>[20]</w:t>
      </w:r>
      <w:r>
        <w:t xml:space="preserve">) and </w:t>
      </w:r>
      <w:r w:rsidRPr="0093232E">
        <w:t>nephrologist</w:t>
      </w:r>
      <w:r>
        <w:t xml:space="preserve"> </w:t>
      </w:r>
      <w:r w:rsidRPr="0093232E">
        <w:t>follow</w:t>
      </w:r>
      <w:r>
        <w:t>-</w:t>
      </w:r>
      <w:r w:rsidRPr="0093232E">
        <w:t>up appointments for patients categorised as eGFR&lt;30</w:t>
      </w:r>
      <w:r>
        <w:t xml:space="preserve"> mL/min/1.73m</w:t>
      </w:r>
      <w:r w:rsidRPr="0093232E">
        <w:rPr>
          <w:vertAlign w:val="superscript"/>
        </w:rPr>
        <w:t>2</w:t>
      </w:r>
      <w:r w:rsidRPr="00F36B22">
        <w:t xml:space="preserve"> </w:t>
      </w:r>
      <w:r>
        <w:t>(</w:t>
      </w:r>
      <w:r w:rsidR="00BF5044" w:rsidRPr="00BF5044">
        <w:t>Table 2</w:t>
      </w:r>
      <w:r>
        <w:t xml:space="preserve">). </w:t>
      </w:r>
      <w:r w:rsidRPr="0093232E">
        <w:t xml:space="preserve">Imaging </w:t>
      </w:r>
      <w:r>
        <w:t xml:space="preserve">modalities costed in the model </w:t>
      </w:r>
      <w:proofErr w:type="gramStart"/>
      <w:r>
        <w:t>are:</w:t>
      </w:r>
      <w:proofErr w:type="gramEnd"/>
      <w:r w:rsidRPr="0093232E">
        <w:t xml:space="preserve"> </w:t>
      </w:r>
      <w:r>
        <w:t>CE</w:t>
      </w:r>
      <w:r w:rsidRPr="0093232E">
        <w:t>CT</w:t>
      </w:r>
      <w:r>
        <w:t xml:space="preserve">, unenhanced CT and </w:t>
      </w:r>
      <w:r w:rsidRPr="0093232E">
        <w:t>MRI</w:t>
      </w:r>
      <w:r>
        <w:t xml:space="preserve"> (Table S1, supplementary material). </w:t>
      </w:r>
    </w:p>
    <w:p w:rsidR="00EE288F" w:rsidRDefault="00EE288F" w:rsidP="00BF5044">
      <w:pPr>
        <w:spacing w:before="120" w:after="120" w:line="360" w:lineRule="auto"/>
      </w:pPr>
      <w:r>
        <w:lastRenderedPageBreak/>
        <w:t>The cost of three weekly haemodialysis sessions over three months (</w:t>
      </w:r>
      <w:r w:rsidR="00BF5044" w:rsidRPr="00BF5044">
        <w:t>Table 2</w:t>
      </w:r>
      <w:r>
        <w:t xml:space="preserve">) is applied to patients who underwent </w:t>
      </w:r>
      <w:proofErr w:type="gramStart"/>
      <w:r>
        <w:t>RRT</w:t>
      </w:r>
      <w:r>
        <w:rPr>
          <w:noProof/>
        </w:rPr>
        <w:t>[</w:t>
      </w:r>
      <w:proofErr w:type="gramEnd"/>
      <w:r>
        <w:rPr>
          <w:noProof/>
        </w:rPr>
        <w:t>36]</w:t>
      </w:r>
      <w:r>
        <w:t>.</w:t>
      </w:r>
    </w:p>
    <w:p w:rsidR="00EE288F" w:rsidRDefault="00EE288F" w:rsidP="00BF5044">
      <w:pPr>
        <w:spacing w:before="120" w:after="120" w:line="360" w:lineRule="auto"/>
      </w:pPr>
    </w:p>
    <w:p w:rsidR="00EE288F" w:rsidRPr="00286156" w:rsidRDefault="00EE288F" w:rsidP="00BF5044">
      <w:pPr>
        <w:pStyle w:val="Heading3"/>
        <w:spacing w:before="120" w:after="120" w:line="360" w:lineRule="auto"/>
        <w:rPr>
          <w:rFonts w:asciiTheme="minorHAnsi" w:eastAsiaTheme="minorHAnsi" w:hAnsiTheme="minorHAnsi" w:cstheme="minorBidi"/>
          <w:b/>
          <w:bCs/>
          <w:i/>
          <w:iCs/>
          <w:color w:val="auto"/>
          <w:sz w:val="22"/>
          <w:szCs w:val="22"/>
        </w:rPr>
      </w:pPr>
      <w:r w:rsidRPr="00286156">
        <w:rPr>
          <w:rFonts w:asciiTheme="minorHAnsi" w:eastAsiaTheme="minorHAnsi" w:hAnsiTheme="minorHAnsi" w:cstheme="minorBidi"/>
          <w:b/>
          <w:bCs/>
          <w:i/>
          <w:iCs/>
          <w:color w:val="auto"/>
          <w:sz w:val="22"/>
          <w:szCs w:val="22"/>
        </w:rPr>
        <w:t>Cost-effectiveness analysis</w:t>
      </w:r>
    </w:p>
    <w:p w:rsidR="00EE288F" w:rsidRDefault="00EE288F" w:rsidP="00BF5044">
      <w:pPr>
        <w:spacing w:before="120" w:after="120" w:line="360" w:lineRule="auto"/>
      </w:pPr>
      <w:r>
        <w:t xml:space="preserve">Cost-effectiveness results for the alternative strategies are assessed in terms of net health benefits (NHB), that is the QALYs generated by the strategy less the QALYs that could have been generated elsewhere by alternative use of NHS resources (one QALY per £20,000 of NHS and PSS resources </w:t>
      </w:r>
      <w:r>
        <w:rPr>
          <w:noProof/>
        </w:rPr>
        <w:t>[12]</w:t>
      </w:r>
      <w:r>
        <w:t xml:space="preserve">). The intervention with the highest NHB is the cost-effective intervention. We also present the incremental NHB (i.e., the difference in NHB) for each strategy compared to strategy 1 (‘Lab’), where all patients receive a laboratory test. </w:t>
      </w:r>
      <w:r w:rsidRPr="00860FCB">
        <w:t>To simplify presentation and interpretation,</w:t>
      </w:r>
      <w:r>
        <w:t xml:space="preserve"> r</w:t>
      </w:r>
      <w:r w:rsidRPr="00860FCB">
        <w:t>esults</w:t>
      </w:r>
      <w:r>
        <w:t xml:space="preserve"> for strategies including POC testing are only presented for the POC device with the highest NHB within each strategy type. </w:t>
      </w:r>
    </w:p>
    <w:p w:rsidR="00EE288F" w:rsidRDefault="00EE288F" w:rsidP="00BF5044">
      <w:pPr>
        <w:spacing w:before="120" w:after="120" w:line="360" w:lineRule="auto"/>
      </w:pPr>
    </w:p>
    <w:p w:rsidR="00EE288F" w:rsidRPr="00331DB8" w:rsidRDefault="00EE288F" w:rsidP="00BF5044">
      <w:pPr>
        <w:pStyle w:val="Heading3"/>
        <w:spacing w:before="120" w:after="120" w:line="360" w:lineRule="auto"/>
        <w:rPr>
          <w:rFonts w:asciiTheme="minorHAnsi" w:eastAsiaTheme="minorHAnsi" w:hAnsiTheme="minorHAnsi" w:cstheme="minorBidi"/>
          <w:b/>
          <w:bCs/>
          <w:i/>
          <w:iCs/>
          <w:color w:val="auto"/>
          <w:sz w:val="22"/>
          <w:szCs w:val="22"/>
        </w:rPr>
      </w:pPr>
      <w:r>
        <w:rPr>
          <w:rFonts w:asciiTheme="minorHAnsi" w:eastAsiaTheme="minorHAnsi" w:hAnsiTheme="minorHAnsi" w:cstheme="minorBidi"/>
          <w:b/>
          <w:bCs/>
          <w:i/>
          <w:iCs/>
          <w:color w:val="auto"/>
          <w:sz w:val="22"/>
          <w:szCs w:val="22"/>
        </w:rPr>
        <w:t>Scenario and Probabilistic s</w:t>
      </w:r>
      <w:r w:rsidRPr="00331DB8">
        <w:rPr>
          <w:rFonts w:asciiTheme="minorHAnsi" w:eastAsiaTheme="minorHAnsi" w:hAnsiTheme="minorHAnsi" w:cstheme="minorBidi"/>
          <w:b/>
          <w:bCs/>
          <w:i/>
          <w:iCs/>
          <w:color w:val="auto"/>
          <w:sz w:val="22"/>
          <w:szCs w:val="22"/>
        </w:rPr>
        <w:t>ensitivity analyses</w:t>
      </w:r>
    </w:p>
    <w:p w:rsidR="00EE288F" w:rsidRDefault="00EC607A" w:rsidP="00BF5044">
      <w:pPr>
        <w:spacing w:before="120" w:after="120" w:line="360" w:lineRule="auto"/>
      </w:pPr>
      <w:r>
        <w:t>The robustness of results to</w:t>
      </w:r>
      <w:r w:rsidR="00E31E2D">
        <w:t xml:space="preserve"> </w:t>
      </w:r>
      <w:r>
        <w:t xml:space="preserve">alternative assumptions was explored </w:t>
      </w:r>
      <w:r w:rsidR="00D405A0">
        <w:t xml:space="preserve">extensively </w:t>
      </w:r>
      <w:r>
        <w:t>in s</w:t>
      </w:r>
      <w:r w:rsidRPr="00F73252">
        <w:t xml:space="preserve">cenario </w:t>
      </w:r>
      <w:proofErr w:type="gramStart"/>
      <w:r w:rsidR="00EE288F" w:rsidRPr="00F73252">
        <w:t>analyses</w:t>
      </w:r>
      <w:r>
        <w:t>[</w:t>
      </w:r>
      <w:proofErr w:type="gramEnd"/>
      <w:r>
        <w:t>11]. Here we report</w:t>
      </w:r>
      <w:r w:rsidR="00EE288F" w:rsidRPr="00F73252">
        <w:t xml:space="preserve"> the results </w:t>
      </w:r>
      <w:r>
        <w:t xml:space="preserve">of </w:t>
      </w:r>
      <w:r w:rsidR="00E31E2D">
        <w:t xml:space="preserve">key </w:t>
      </w:r>
      <w:r>
        <w:t xml:space="preserve">analyses with </w:t>
      </w:r>
      <w:r w:rsidR="00EE288F" w:rsidRPr="00F73252">
        <w:t xml:space="preserve">alternative assumptions </w:t>
      </w:r>
      <w:r w:rsidR="00EE288F">
        <w:t xml:space="preserve">regarding </w:t>
      </w:r>
      <w:proofErr w:type="gramStart"/>
      <w:r w:rsidR="00EE288F">
        <w:t>the:</w:t>
      </w:r>
      <w:proofErr w:type="gramEnd"/>
      <w:r w:rsidR="00EE288F">
        <w:t xml:space="preserve"> 1. diagnostic accuracy of the RF screening questionnaire; 2. Decreased (2.1) or increased (2.2) patient throughput; 3. Increased PC-AKI </w:t>
      </w:r>
      <w:r w:rsidR="00EE288F" w:rsidRPr="00CD52C5">
        <w:t xml:space="preserve">risk </w:t>
      </w:r>
      <w:r w:rsidR="00EE288F" w:rsidRPr="00860FCB">
        <w:t>for patients with eGFR</w:t>
      </w:r>
      <w:r w:rsidR="00EE288F">
        <w:t>&lt;</w:t>
      </w:r>
      <w:r w:rsidR="00EE288F" w:rsidRPr="00860FCB">
        <w:t>30mL/min/1.73m</w:t>
      </w:r>
      <w:r w:rsidR="00EE288F" w:rsidRPr="00860FCB">
        <w:rPr>
          <w:vertAlign w:val="superscript"/>
        </w:rPr>
        <w:t>2</w:t>
      </w:r>
      <w:r w:rsidR="00EE288F" w:rsidRPr="00860FCB">
        <w:t xml:space="preserve"> and without IV hydration</w:t>
      </w:r>
      <w:r w:rsidR="00EE288F" w:rsidRPr="00CD52C5">
        <w:t>;</w:t>
      </w:r>
      <w:r w:rsidR="00EE288F">
        <w:t xml:space="preserve"> </w:t>
      </w:r>
      <w:proofErr w:type="gramStart"/>
      <w:r w:rsidR="00EE288F">
        <w:t>4</w:t>
      </w:r>
      <w:proofErr w:type="gramEnd"/>
      <w:r w:rsidR="00EE288F">
        <w:t>. Increased (4.1) and decreased (4.2) p</w:t>
      </w:r>
      <w:r w:rsidR="00EE288F" w:rsidRPr="00F73252">
        <w:t xml:space="preserve">roportion of </w:t>
      </w:r>
      <w:r w:rsidR="00EE288F">
        <w:t xml:space="preserve">cancelled scans; and </w:t>
      </w:r>
      <w:proofErr w:type="gramStart"/>
      <w:r w:rsidR="00EE288F">
        <w:t>5</w:t>
      </w:r>
      <w:proofErr w:type="gramEnd"/>
      <w:r w:rsidR="00EE288F">
        <w:t xml:space="preserve">. </w:t>
      </w:r>
      <w:proofErr w:type="gramStart"/>
      <w:r w:rsidR="00EE288F">
        <w:t>an</w:t>
      </w:r>
      <w:proofErr w:type="gramEnd"/>
      <w:r w:rsidR="00EE288F">
        <w:t xml:space="preserve"> alternative distribution of eGFR values in the study population</w:t>
      </w:r>
      <w:r w:rsidR="00EE288F" w:rsidRPr="00F73252">
        <w:t>.</w:t>
      </w:r>
      <w:r w:rsidR="00EE288F">
        <w:t xml:space="preserve"> Detailed description of the</w:t>
      </w:r>
      <w:r>
        <w:t>se</w:t>
      </w:r>
      <w:r w:rsidR="00EE288F">
        <w:t xml:space="preserve"> scenario analyses is presented in the results </w:t>
      </w:r>
      <w:r w:rsidR="00EE288F" w:rsidRPr="00860FCB">
        <w:t>section below (</w:t>
      </w:r>
      <w:r w:rsidR="00077B0C" w:rsidRPr="00077B0C">
        <w:t>Figure 2</w:t>
      </w:r>
      <w:r w:rsidR="00EE288F" w:rsidRPr="00860FCB">
        <w:t>) and in supplementary material (</w:t>
      </w:r>
      <w:r w:rsidR="00EE288F">
        <w:t xml:space="preserve">Table S2). </w:t>
      </w:r>
    </w:p>
    <w:p w:rsidR="00EE288F" w:rsidRDefault="00EE288F" w:rsidP="00BF5044">
      <w:pPr>
        <w:spacing w:before="120" w:after="120" w:line="360" w:lineRule="auto"/>
      </w:pPr>
      <w:r>
        <w:t xml:space="preserve">The decision tree is evaluated </w:t>
      </w:r>
      <w:r w:rsidRPr="00970B36">
        <w:t xml:space="preserve">probabilistically for the base-case analysis </w:t>
      </w:r>
      <w:r>
        <w:t>over</w:t>
      </w:r>
      <w:r w:rsidRPr="00970B36">
        <w:t xml:space="preserve"> 1,000 Monte Carlo simulations to reflect the joint uncertainty across all of the inputs according to the</w:t>
      </w:r>
      <w:r>
        <w:t>ir assigned</w:t>
      </w:r>
      <w:r w:rsidRPr="00970B36">
        <w:t xml:space="preserve"> probability distributions </w:t>
      </w:r>
      <w:r>
        <w:t>(Table S1, supplementary material), and estimate the probability of a strategy being cost-effective.</w:t>
      </w:r>
      <w:r w:rsidRPr="00970B36">
        <w:t xml:space="preserve"> </w:t>
      </w:r>
    </w:p>
    <w:p w:rsidR="00EE288F" w:rsidRPr="00B92CF0" w:rsidRDefault="00EE288F" w:rsidP="00BF5044">
      <w:pPr>
        <w:spacing w:before="120" w:after="120" w:line="360" w:lineRule="auto"/>
      </w:pPr>
    </w:p>
    <w:p w:rsidR="00EE288F" w:rsidRDefault="00EE288F" w:rsidP="00BF5044">
      <w:pPr>
        <w:pStyle w:val="Heading3"/>
        <w:spacing w:before="120" w:after="120" w:line="360" w:lineRule="auto"/>
      </w:pPr>
      <w:r>
        <w:t>Results</w:t>
      </w:r>
    </w:p>
    <w:p w:rsidR="00EE288F" w:rsidRDefault="00EE288F" w:rsidP="00BF5044">
      <w:pPr>
        <w:spacing w:before="120" w:after="120" w:line="360" w:lineRule="auto"/>
      </w:pPr>
      <w:r>
        <w:t>Base-case results</w:t>
      </w:r>
      <w:r w:rsidRPr="00D645F2">
        <w:t xml:space="preserve"> </w:t>
      </w:r>
      <w:r>
        <w:t xml:space="preserve">are presented in </w:t>
      </w:r>
      <w:r w:rsidR="00077B0C" w:rsidRPr="00077B0C">
        <w:t>Table 4</w:t>
      </w:r>
      <w:r w:rsidR="0087547E">
        <w:t xml:space="preserve">. </w:t>
      </w:r>
      <w:r>
        <w:t xml:space="preserve">Results are only presented </w:t>
      </w:r>
      <w:proofErr w:type="gramStart"/>
      <w:r>
        <w:t>for the POC creatinine device with the highest NHB within each strategy type (full results in the supplementary material, Table S3)</w:t>
      </w:r>
      <w:proofErr w:type="gramEnd"/>
      <w:r>
        <w:t>.</w:t>
      </w:r>
      <w:r w:rsidRPr="00D645F2">
        <w:t xml:space="preserve"> </w:t>
      </w:r>
    </w:p>
    <w:p w:rsidR="00EE288F" w:rsidRDefault="00EE288F" w:rsidP="00BF5044">
      <w:pPr>
        <w:spacing w:before="120" w:after="120" w:line="360" w:lineRule="auto"/>
      </w:pPr>
      <w:r>
        <w:lastRenderedPageBreak/>
        <w:t>The results show that strategies combining risk factor screening with POC creatinine testing and laboratory testing (‘RF+POC+Lab’) result in higher NHB than other strategies (</w:t>
      </w:r>
      <w:r w:rsidR="0087547E" w:rsidRPr="0087547E">
        <w:t>Table 4</w:t>
      </w:r>
      <w:r>
        <w:t>). The cost-effectiveness of this strategy type appears to be driven by its lower total costs, with total QALYs similar across strategies. ‘RF+POC+Lab’ has the lowest total costs compared to ‘Lab’ and ‘RF+Lab’, as it results in lower CECT cancellation rates due to fewer patients undergoing ‘Lab’ testing. The NHB of ‘RF+POC+Lab’ compared to ‘RF+POC’ is very similar; both strategies lead to similar CECT cancellation rates as patients who test positive with POC in ‘RF+POC’ receive IV hydration. The difference in costs between these strategy types is mostly due to the costs of managing FP results to ‘RF+POC’, as ‘RF+POC+Lab’ does not misclassify patients as FP. Strategies with POC at the start of the diagnostic pathway have higher total costs due to the POC tests being more costly than RF screening and laboratory testing.</w:t>
      </w:r>
    </w:p>
    <w:p w:rsidR="00EE288F" w:rsidRDefault="00EE288F" w:rsidP="00BF5044">
      <w:pPr>
        <w:spacing w:before="120" w:after="120" w:line="360" w:lineRule="auto"/>
      </w:pPr>
      <w:r>
        <w:t>Strategy 1, ‘Lab’, has higher total QALY across all strategies, as all patients with ‘true’ eGFR&lt;30mL/min/1.73m</w:t>
      </w:r>
      <w:r w:rsidRPr="00541909">
        <w:rPr>
          <w:vertAlign w:val="superscript"/>
        </w:rPr>
        <w:t>2</w:t>
      </w:r>
      <w:r>
        <w:t xml:space="preserve"> receive appropriate management. The QALY gains associated with this are modest given the low prevalence and small reduction in PC-AKI risk from IV hydration for these patients (-0.3%).  This strategy has the lowest NHB, because </w:t>
      </w:r>
      <w:r w:rsidRPr="00F63067">
        <w:t xml:space="preserve">the small QALY </w:t>
      </w:r>
      <w:r>
        <w:t>gains</w:t>
      </w:r>
      <w:r w:rsidRPr="00F63067">
        <w:t xml:space="preserve"> from the appropriate management of patients are offset by the highest costs of cancellation and manag</w:t>
      </w:r>
      <w:r>
        <w:t>ing</w:t>
      </w:r>
      <w:r w:rsidRPr="00F63067">
        <w:t xml:space="preserve"> patients </w:t>
      </w:r>
      <w:r>
        <w:t xml:space="preserve">with </w:t>
      </w:r>
      <w:r w:rsidRPr="007838C9">
        <w:t>eGFR</w:t>
      </w:r>
      <w:r>
        <w:rPr>
          <w:rFonts w:cstheme="minorHAnsi"/>
        </w:rPr>
        <w:t>≥</w:t>
      </w:r>
      <w:r w:rsidRPr="007838C9">
        <w:t>30mL/min/1.73m</w:t>
      </w:r>
      <w:r w:rsidRPr="00875AF7">
        <w:rPr>
          <w:vertAlign w:val="superscript"/>
        </w:rPr>
        <w:t>2</w:t>
      </w:r>
      <w:r w:rsidRPr="00F63067">
        <w:t>.</w:t>
      </w:r>
      <w:r>
        <w:t xml:space="preserve">   The mismanagement of patients with</w:t>
      </w:r>
      <w:r w:rsidRPr="007838C9">
        <w:t xml:space="preserve"> </w:t>
      </w:r>
      <w:r>
        <w:t xml:space="preserve">‘true’ </w:t>
      </w:r>
      <w:r w:rsidRPr="007838C9">
        <w:t>eGFR</w:t>
      </w:r>
      <w:r>
        <w:rPr>
          <w:rFonts w:cstheme="minorHAnsi"/>
        </w:rPr>
        <w:t>≥</w:t>
      </w:r>
      <w:r w:rsidRPr="007838C9">
        <w:t>30mL/min/1.73m</w:t>
      </w:r>
      <w:r w:rsidRPr="00875AF7">
        <w:rPr>
          <w:vertAlign w:val="superscript"/>
        </w:rPr>
        <w:t>2</w:t>
      </w:r>
      <w:r>
        <w:t xml:space="preserve"> has no impact on the QALY gains of any strategy, as it was assumed that IV hydration has no effect on the PC-AKI risk of these patients and its adverse events do not impose a QALY loss.</w:t>
      </w:r>
    </w:p>
    <w:p w:rsidR="00EE288F" w:rsidRDefault="00EE288F" w:rsidP="00BF5044">
      <w:pPr>
        <w:spacing w:before="120" w:after="120" w:line="360" w:lineRule="auto"/>
      </w:pPr>
      <w:r>
        <w:t xml:space="preserve">Within the cost-effective strategy of ‘RF+POC+Lab’, the POC device that results in the highest incremental NHB is </w:t>
      </w:r>
      <w:proofErr w:type="gramStart"/>
      <w:r>
        <w:t xml:space="preserve">the </w:t>
      </w:r>
      <w:proofErr w:type="spellStart"/>
      <w:r>
        <w:t>i</w:t>
      </w:r>
      <w:proofErr w:type="spellEnd"/>
      <w:proofErr w:type="gramEnd"/>
      <w:r>
        <w:t>-STAT (</w:t>
      </w:r>
      <w:r w:rsidRPr="00077F03">
        <w:t>0.00437</w:t>
      </w:r>
      <w:r>
        <w:t xml:space="preserve"> QALYs </w:t>
      </w:r>
      <w:r w:rsidRPr="00E32460">
        <w:t>compared to ‘Lab’</w:t>
      </w:r>
      <w:r>
        <w:t>).</w:t>
      </w:r>
      <w:r w:rsidRPr="00E32460">
        <w:t xml:space="preserve"> </w:t>
      </w:r>
      <w:r>
        <w:t xml:space="preserve">The greater diagnostic accuracy of the </w:t>
      </w:r>
      <w:proofErr w:type="gramStart"/>
      <w:r>
        <w:t>table-top</w:t>
      </w:r>
      <w:proofErr w:type="gramEnd"/>
      <w:r>
        <w:t xml:space="preserve"> device, </w:t>
      </w:r>
      <w:r w:rsidRPr="001467AC">
        <w:t>ABL800 Flex</w:t>
      </w:r>
      <w:r>
        <w:t xml:space="preserve">, does not offset the higher costs of testing with this device in this strategy, or in any of the strategies considered. </w:t>
      </w:r>
    </w:p>
    <w:p w:rsidR="00EE288F" w:rsidRDefault="00EE288F" w:rsidP="00BF5044">
      <w:pPr>
        <w:spacing w:before="120" w:after="120" w:line="360" w:lineRule="auto"/>
      </w:pPr>
      <w:r w:rsidRPr="008302D1">
        <w:t xml:space="preserve">The device with the highest NHB within the ‘RF+POC+Lab’ strategy is </w:t>
      </w:r>
      <w:proofErr w:type="spellStart"/>
      <w:r w:rsidRPr="008302D1">
        <w:t>i</w:t>
      </w:r>
      <w:proofErr w:type="spellEnd"/>
      <w:r w:rsidRPr="008302D1">
        <w:t>-STAT, but StatSensor takes its place for all other strategy types including POC testing. Within</w:t>
      </w:r>
      <w:r>
        <w:t xml:space="preserve"> every strategy, the net benefits for </w:t>
      </w:r>
      <w:proofErr w:type="spellStart"/>
      <w:r>
        <w:t>i</w:t>
      </w:r>
      <w:proofErr w:type="spellEnd"/>
      <w:r>
        <w:t xml:space="preserve">-STAT and StatSensor are similar, as the tests diagnostic accuracy costs are similar (), with any differences due to small differences in the level of throughput and accuracy.  </w:t>
      </w:r>
    </w:p>
    <w:p w:rsidR="00EE288F" w:rsidRDefault="00EE288F" w:rsidP="00BF5044">
      <w:pPr>
        <w:spacing w:before="120" w:after="120" w:line="360" w:lineRule="auto"/>
      </w:pPr>
      <w:r>
        <w:t xml:space="preserve">There is little decision uncertainty, with </w:t>
      </w:r>
      <w:r w:rsidR="00706DF4">
        <w:t xml:space="preserve">a near 100% </w:t>
      </w:r>
      <w:r>
        <w:t xml:space="preserve">pooled probability of </w:t>
      </w:r>
      <w:r w:rsidR="00706DF4">
        <w:t xml:space="preserve">‘RF+POC+Lab’ </w:t>
      </w:r>
      <w:r>
        <w:t xml:space="preserve">being cost-effective at £20,000 per additional QALY (results in Supplementary material, Table S3). Given the similarity in results for </w:t>
      </w:r>
      <w:proofErr w:type="spellStart"/>
      <w:r>
        <w:t>i</w:t>
      </w:r>
      <w:proofErr w:type="spellEnd"/>
      <w:r>
        <w:t xml:space="preserve">-STAT and StatSensor, there is some uncertainty regarding which device is cost-effective within this strategy: the probability of </w:t>
      </w:r>
      <w:proofErr w:type="spellStart"/>
      <w:r>
        <w:t>i</w:t>
      </w:r>
      <w:proofErr w:type="spellEnd"/>
      <w:r>
        <w:t>-STAT and StatSensor</w:t>
      </w:r>
      <w:r w:rsidRPr="00B86982">
        <w:t xml:space="preserve"> </w:t>
      </w:r>
      <w:r>
        <w:t xml:space="preserve">in the ‘RF+POC+Lab’ strategy being cost-effective is, respectively, 79.3% and 21.7%. </w:t>
      </w:r>
    </w:p>
    <w:p w:rsidR="00EE288F" w:rsidRDefault="00EE288F" w:rsidP="00BF5044">
      <w:pPr>
        <w:spacing w:before="120" w:after="120" w:line="360" w:lineRule="auto"/>
      </w:pPr>
    </w:p>
    <w:p w:rsidR="00EE288F" w:rsidRDefault="00077B0C" w:rsidP="00BF5044">
      <w:pPr>
        <w:pStyle w:val="Caption"/>
        <w:keepNext/>
      </w:pPr>
      <w:bookmarkStart w:id="8" w:name="_Ref70003279"/>
      <w:r w:rsidRPr="00077B0C">
        <w:t>Table 4</w:t>
      </w:r>
      <w:r>
        <w:t xml:space="preserve"> </w:t>
      </w:r>
      <w:bookmarkEnd w:id="8"/>
      <w:r w:rsidR="00EE288F">
        <w:t xml:space="preserve">Base-case cost effectiveness results, per patient, for each strategy type. </w:t>
      </w:r>
    </w:p>
    <w:tbl>
      <w:tblPr>
        <w:tblStyle w:val="TableGrid"/>
        <w:tblW w:w="5000" w:type="pct"/>
        <w:tblLayout w:type="fixed"/>
        <w:tblLook w:val="04A0" w:firstRow="1" w:lastRow="0" w:firstColumn="1" w:lastColumn="0" w:noHBand="0" w:noVBand="1"/>
      </w:tblPr>
      <w:tblGrid>
        <w:gridCol w:w="929"/>
        <w:gridCol w:w="1334"/>
        <w:gridCol w:w="1311"/>
        <w:gridCol w:w="1089"/>
        <w:gridCol w:w="1399"/>
        <w:gridCol w:w="1089"/>
        <w:gridCol w:w="1865"/>
      </w:tblGrid>
      <w:tr w:rsidR="00EE288F" w:rsidRPr="00A74145" w:rsidTr="00077B0C">
        <w:trPr>
          <w:trHeight w:val="672"/>
        </w:trPr>
        <w:tc>
          <w:tcPr>
            <w:tcW w:w="515" w:type="pct"/>
          </w:tcPr>
          <w:p w:rsidR="00EE288F" w:rsidRDefault="00EE288F" w:rsidP="00BF5044">
            <w:pPr>
              <w:spacing w:before="0" w:after="0" w:line="360" w:lineRule="auto"/>
              <w:rPr>
                <w:rFonts w:asciiTheme="minorHAnsi" w:hAnsiTheme="minorHAnsi" w:cstheme="minorHAnsi"/>
                <w:b/>
                <w:szCs w:val="18"/>
              </w:rPr>
            </w:pPr>
            <w:r w:rsidRPr="00740D01">
              <w:rPr>
                <w:rFonts w:asciiTheme="minorHAnsi" w:hAnsiTheme="minorHAnsi" w:cstheme="minorHAnsi"/>
                <w:b/>
                <w:szCs w:val="18"/>
              </w:rPr>
              <w:t>Strategy</w:t>
            </w:r>
          </w:p>
          <w:p w:rsidR="00EE288F" w:rsidRPr="00740D01" w:rsidRDefault="00EE288F" w:rsidP="00BF5044">
            <w:pPr>
              <w:spacing w:before="0" w:after="0" w:line="360" w:lineRule="auto"/>
              <w:rPr>
                <w:rFonts w:asciiTheme="minorHAnsi" w:hAnsiTheme="minorHAnsi" w:cstheme="minorHAnsi"/>
                <w:szCs w:val="18"/>
              </w:rPr>
            </w:pPr>
            <w:r>
              <w:rPr>
                <w:rFonts w:asciiTheme="minorHAnsi" w:hAnsiTheme="minorHAnsi" w:cstheme="minorHAnsi"/>
                <w:b/>
                <w:szCs w:val="18"/>
              </w:rPr>
              <w:t>number</w:t>
            </w:r>
          </w:p>
        </w:tc>
        <w:tc>
          <w:tcPr>
            <w:tcW w:w="740" w:type="pct"/>
            <w:tcBorders>
              <w:right w:val="nil"/>
            </w:tcBorders>
          </w:tcPr>
          <w:p w:rsidR="00EE288F" w:rsidRPr="00740D01" w:rsidRDefault="00EE288F" w:rsidP="00BF5044">
            <w:pPr>
              <w:spacing w:before="0" w:after="0" w:line="360" w:lineRule="auto"/>
              <w:rPr>
                <w:rFonts w:asciiTheme="minorHAnsi" w:hAnsiTheme="minorHAnsi" w:cstheme="minorHAnsi"/>
                <w:b/>
                <w:szCs w:val="18"/>
              </w:rPr>
            </w:pPr>
            <w:r>
              <w:rPr>
                <w:rFonts w:asciiTheme="minorHAnsi" w:hAnsiTheme="minorHAnsi" w:cstheme="minorHAnsi"/>
                <w:b/>
                <w:szCs w:val="18"/>
              </w:rPr>
              <w:t>Strategy label</w:t>
            </w:r>
          </w:p>
        </w:tc>
        <w:tc>
          <w:tcPr>
            <w:tcW w:w="727" w:type="pct"/>
            <w:tcBorders>
              <w:left w:val="nil"/>
            </w:tcBorders>
          </w:tcPr>
          <w:p w:rsidR="00EE288F" w:rsidRPr="00740D01" w:rsidRDefault="00EE288F" w:rsidP="00BF5044">
            <w:pPr>
              <w:spacing w:before="0" w:after="0" w:line="360" w:lineRule="auto"/>
              <w:rPr>
                <w:rFonts w:asciiTheme="minorHAnsi" w:hAnsiTheme="minorHAnsi" w:cstheme="minorHAnsi"/>
                <w:b/>
                <w:szCs w:val="18"/>
              </w:rPr>
            </w:pPr>
            <w:r w:rsidRPr="00740D01">
              <w:rPr>
                <w:rFonts w:asciiTheme="minorHAnsi" w:hAnsiTheme="minorHAnsi" w:cstheme="minorHAnsi"/>
                <w:b/>
                <w:szCs w:val="18"/>
              </w:rPr>
              <w:t>POC device with highest NHB</w:t>
            </w:r>
            <w:r w:rsidRPr="00740D01">
              <w:rPr>
                <w:rFonts w:asciiTheme="minorHAnsi" w:hAnsiTheme="minorHAnsi" w:cstheme="minorHAnsi"/>
                <w:b/>
                <w:szCs w:val="18"/>
                <w:vertAlign w:val="superscript"/>
              </w:rPr>
              <w:t>*</w:t>
            </w:r>
          </w:p>
        </w:tc>
        <w:tc>
          <w:tcPr>
            <w:tcW w:w="604" w:type="pct"/>
          </w:tcPr>
          <w:p w:rsidR="00EE288F" w:rsidRPr="00740D01" w:rsidRDefault="00EE288F" w:rsidP="00BF5044">
            <w:pPr>
              <w:spacing w:before="0" w:after="0" w:line="360" w:lineRule="auto"/>
              <w:rPr>
                <w:rFonts w:asciiTheme="minorHAnsi" w:hAnsiTheme="minorHAnsi" w:cstheme="minorHAnsi"/>
                <w:b/>
                <w:szCs w:val="18"/>
              </w:rPr>
            </w:pPr>
            <w:r w:rsidRPr="00740D01">
              <w:rPr>
                <w:rFonts w:asciiTheme="minorHAnsi" w:hAnsiTheme="minorHAnsi" w:cstheme="minorHAnsi"/>
                <w:b/>
                <w:szCs w:val="18"/>
              </w:rPr>
              <w:t>Total costs</w:t>
            </w:r>
          </w:p>
        </w:tc>
        <w:tc>
          <w:tcPr>
            <w:tcW w:w="776" w:type="pct"/>
          </w:tcPr>
          <w:p w:rsidR="00EE288F" w:rsidRPr="00740D01" w:rsidRDefault="00EE288F" w:rsidP="00BF5044">
            <w:pPr>
              <w:spacing w:before="0" w:after="0" w:line="360" w:lineRule="auto"/>
              <w:rPr>
                <w:rFonts w:asciiTheme="minorHAnsi" w:hAnsiTheme="minorHAnsi" w:cstheme="minorHAnsi"/>
                <w:b/>
                <w:szCs w:val="18"/>
              </w:rPr>
            </w:pPr>
            <w:r w:rsidRPr="00740D01">
              <w:rPr>
                <w:rFonts w:asciiTheme="minorHAnsi" w:hAnsiTheme="minorHAnsi" w:cstheme="minorHAnsi"/>
                <w:b/>
                <w:szCs w:val="18"/>
              </w:rPr>
              <w:t>Total QALYs</w:t>
            </w:r>
          </w:p>
        </w:tc>
        <w:tc>
          <w:tcPr>
            <w:tcW w:w="604" w:type="pct"/>
          </w:tcPr>
          <w:p w:rsidR="00EE288F" w:rsidRPr="00740D01" w:rsidRDefault="00EE288F" w:rsidP="00BF5044">
            <w:pPr>
              <w:spacing w:before="0" w:after="0" w:line="360" w:lineRule="auto"/>
              <w:rPr>
                <w:rFonts w:asciiTheme="minorHAnsi" w:hAnsiTheme="minorHAnsi" w:cstheme="minorHAnsi"/>
                <w:b/>
                <w:szCs w:val="18"/>
              </w:rPr>
            </w:pPr>
            <w:r w:rsidRPr="00740D01">
              <w:rPr>
                <w:rFonts w:asciiTheme="minorHAnsi" w:hAnsiTheme="minorHAnsi" w:cstheme="minorHAnsi"/>
                <w:b/>
                <w:szCs w:val="18"/>
              </w:rPr>
              <w:t>NHB</w:t>
            </w:r>
            <w:r w:rsidRPr="00740D01">
              <w:rPr>
                <w:rFonts w:asciiTheme="minorHAnsi" w:hAnsiTheme="minorHAnsi" w:cstheme="minorHAnsi"/>
                <w:b/>
                <w:szCs w:val="18"/>
                <w:vertAlign w:val="superscript"/>
              </w:rPr>
              <w:t>*</w:t>
            </w:r>
            <w:r>
              <w:rPr>
                <w:rFonts w:asciiTheme="minorHAnsi" w:hAnsiTheme="minorHAnsi" w:cstheme="minorHAnsi"/>
                <w:b/>
                <w:szCs w:val="18"/>
                <w:vertAlign w:val="superscript"/>
              </w:rPr>
              <w:t>*</w:t>
            </w:r>
          </w:p>
          <w:p w:rsidR="00EE288F" w:rsidRPr="00740D01" w:rsidRDefault="00EE288F" w:rsidP="00BF5044">
            <w:pPr>
              <w:spacing w:before="0" w:after="0" w:line="360" w:lineRule="auto"/>
              <w:rPr>
                <w:rFonts w:asciiTheme="minorHAnsi" w:hAnsiTheme="minorHAnsi" w:cstheme="minorHAnsi"/>
                <w:b/>
                <w:szCs w:val="18"/>
              </w:rPr>
            </w:pPr>
            <w:r w:rsidRPr="00740D01">
              <w:rPr>
                <w:rFonts w:asciiTheme="minorHAnsi" w:hAnsiTheme="minorHAnsi" w:cstheme="minorHAnsi"/>
                <w:b/>
                <w:szCs w:val="18"/>
              </w:rPr>
              <w:t>(QALYs)</w:t>
            </w:r>
          </w:p>
        </w:tc>
        <w:tc>
          <w:tcPr>
            <w:tcW w:w="1034" w:type="pct"/>
          </w:tcPr>
          <w:p w:rsidR="00EE288F" w:rsidRPr="00740D01" w:rsidRDefault="00EE288F">
            <w:pPr>
              <w:spacing w:before="0" w:after="0" w:line="360" w:lineRule="auto"/>
              <w:rPr>
                <w:rFonts w:asciiTheme="minorHAnsi" w:hAnsiTheme="minorHAnsi" w:cstheme="minorHAnsi"/>
                <w:b/>
                <w:szCs w:val="18"/>
              </w:rPr>
            </w:pPr>
            <w:r w:rsidRPr="00740D01">
              <w:rPr>
                <w:rFonts w:asciiTheme="minorHAnsi" w:hAnsiTheme="minorHAnsi" w:cstheme="minorHAnsi"/>
                <w:b/>
                <w:szCs w:val="18"/>
              </w:rPr>
              <w:t>INHB</w:t>
            </w:r>
            <w:r w:rsidRPr="00740D01">
              <w:rPr>
                <w:rFonts w:asciiTheme="minorHAnsi" w:hAnsiTheme="minorHAnsi" w:cstheme="minorHAnsi"/>
                <w:b/>
                <w:szCs w:val="18"/>
                <w:vertAlign w:val="superscript"/>
              </w:rPr>
              <w:t xml:space="preserve"> </w:t>
            </w:r>
            <w:r w:rsidRPr="00740D01">
              <w:rPr>
                <w:rFonts w:asciiTheme="minorHAnsi" w:hAnsiTheme="minorHAnsi" w:cstheme="minorHAnsi"/>
                <w:b/>
                <w:szCs w:val="18"/>
              </w:rPr>
              <w:t>in relation to ‘Lab’ (QALYs)</w:t>
            </w:r>
          </w:p>
        </w:tc>
      </w:tr>
      <w:tr w:rsidR="00EE288F" w:rsidRPr="00AC069B" w:rsidTr="00077B0C">
        <w:tc>
          <w:tcPr>
            <w:tcW w:w="515" w:type="pct"/>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4</w:t>
            </w:r>
          </w:p>
        </w:tc>
        <w:tc>
          <w:tcPr>
            <w:tcW w:w="740" w:type="pct"/>
            <w:tcBorders>
              <w:right w:val="nil"/>
            </w:tcBorders>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RF + POC + Lab</w:t>
            </w:r>
          </w:p>
        </w:tc>
        <w:tc>
          <w:tcPr>
            <w:tcW w:w="727" w:type="pct"/>
            <w:tcBorders>
              <w:left w:val="nil"/>
            </w:tcBorders>
          </w:tcPr>
          <w:p w:rsidR="00EE288F" w:rsidRPr="00740D01" w:rsidRDefault="00EE288F" w:rsidP="00BF5044">
            <w:pPr>
              <w:spacing w:after="0" w:line="360" w:lineRule="auto"/>
              <w:jc w:val="center"/>
              <w:rPr>
                <w:rFonts w:asciiTheme="minorHAnsi" w:hAnsiTheme="minorHAnsi" w:cstheme="minorHAnsi"/>
                <w:szCs w:val="18"/>
              </w:rPr>
            </w:pPr>
            <w:proofErr w:type="spellStart"/>
            <w:r w:rsidRPr="00740D01">
              <w:rPr>
                <w:rFonts w:asciiTheme="minorHAnsi" w:hAnsiTheme="minorHAnsi" w:cstheme="minorHAnsi"/>
                <w:szCs w:val="18"/>
              </w:rPr>
              <w:t>i</w:t>
            </w:r>
            <w:proofErr w:type="spellEnd"/>
            <w:r w:rsidRPr="00740D01">
              <w:rPr>
                <w:rFonts w:asciiTheme="minorHAnsi" w:hAnsiTheme="minorHAnsi" w:cstheme="minorHAnsi"/>
                <w:szCs w:val="18"/>
              </w:rPr>
              <w:t>-STAT</w:t>
            </w:r>
          </w:p>
        </w:tc>
        <w:tc>
          <w:tcPr>
            <w:tcW w:w="60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 xml:space="preserve"> £279.70 </w:t>
            </w:r>
          </w:p>
        </w:tc>
        <w:tc>
          <w:tcPr>
            <w:tcW w:w="776"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9.993255167</w:t>
            </w:r>
          </w:p>
        </w:tc>
        <w:tc>
          <w:tcPr>
            <w:tcW w:w="60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9.97927</w:t>
            </w:r>
          </w:p>
        </w:tc>
        <w:tc>
          <w:tcPr>
            <w:tcW w:w="1034" w:type="pct"/>
          </w:tcPr>
          <w:p w:rsidR="00EE288F" w:rsidRPr="00740D01" w:rsidRDefault="00EE288F" w:rsidP="00BF5044">
            <w:pPr>
              <w:spacing w:before="0" w:after="0" w:line="360" w:lineRule="auto"/>
              <w:jc w:val="center"/>
              <w:rPr>
                <w:rFonts w:asciiTheme="minorHAnsi" w:hAnsiTheme="minorHAnsi" w:cstheme="minorHAnsi"/>
                <w:szCs w:val="18"/>
              </w:rPr>
            </w:pPr>
            <w:bookmarkStart w:id="9" w:name="_Hlk76047097"/>
            <w:r w:rsidRPr="00740D01">
              <w:rPr>
                <w:rFonts w:asciiTheme="minorHAnsi" w:hAnsiTheme="minorHAnsi" w:cstheme="minorHAnsi"/>
                <w:szCs w:val="18"/>
              </w:rPr>
              <w:t>0.00437</w:t>
            </w:r>
            <w:bookmarkEnd w:id="9"/>
          </w:p>
        </w:tc>
      </w:tr>
      <w:tr w:rsidR="00EE288F" w:rsidRPr="00A74145" w:rsidTr="00077B0C">
        <w:tc>
          <w:tcPr>
            <w:tcW w:w="515" w:type="pct"/>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2</w:t>
            </w:r>
          </w:p>
        </w:tc>
        <w:tc>
          <w:tcPr>
            <w:tcW w:w="740" w:type="pct"/>
            <w:tcBorders>
              <w:right w:val="nil"/>
            </w:tcBorders>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RF + POC</w:t>
            </w:r>
          </w:p>
        </w:tc>
        <w:tc>
          <w:tcPr>
            <w:tcW w:w="727" w:type="pct"/>
            <w:tcBorders>
              <w:left w:val="nil"/>
            </w:tcBorders>
          </w:tcPr>
          <w:p w:rsidR="00EE288F" w:rsidRPr="00740D01" w:rsidRDefault="00EE288F" w:rsidP="00BF5044">
            <w:pPr>
              <w:spacing w:after="0" w:line="360" w:lineRule="auto"/>
              <w:jc w:val="center"/>
              <w:rPr>
                <w:rFonts w:asciiTheme="minorHAnsi" w:hAnsiTheme="minorHAnsi" w:cstheme="minorHAnsi"/>
                <w:szCs w:val="18"/>
              </w:rPr>
            </w:pPr>
            <w:r w:rsidRPr="00740D01">
              <w:rPr>
                <w:rFonts w:asciiTheme="minorHAnsi" w:hAnsiTheme="minorHAnsi" w:cstheme="minorHAnsi"/>
                <w:szCs w:val="18"/>
              </w:rPr>
              <w:t>StatSensor</w:t>
            </w:r>
          </w:p>
        </w:tc>
        <w:tc>
          <w:tcPr>
            <w:tcW w:w="60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 xml:space="preserve"> £281.70 </w:t>
            </w:r>
          </w:p>
        </w:tc>
        <w:tc>
          <w:tcPr>
            <w:tcW w:w="776"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9.993255154</w:t>
            </w:r>
          </w:p>
        </w:tc>
        <w:tc>
          <w:tcPr>
            <w:tcW w:w="60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9.97917</w:t>
            </w:r>
          </w:p>
        </w:tc>
        <w:tc>
          <w:tcPr>
            <w:tcW w:w="103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0.00427</w:t>
            </w:r>
          </w:p>
        </w:tc>
      </w:tr>
      <w:tr w:rsidR="00EE288F" w:rsidRPr="00A74145" w:rsidTr="00077B0C">
        <w:tc>
          <w:tcPr>
            <w:tcW w:w="515" w:type="pct"/>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6</w:t>
            </w:r>
          </w:p>
        </w:tc>
        <w:tc>
          <w:tcPr>
            <w:tcW w:w="740" w:type="pct"/>
            <w:tcBorders>
              <w:right w:val="nil"/>
            </w:tcBorders>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POC + Lab</w:t>
            </w:r>
          </w:p>
        </w:tc>
        <w:tc>
          <w:tcPr>
            <w:tcW w:w="727" w:type="pct"/>
            <w:tcBorders>
              <w:left w:val="nil"/>
            </w:tcBorders>
          </w:tcPr>
          <w:p w:rsidR="00EE288F" w:rsidRPr="00740D01" w:rsidRDefault="00EE288F" w:rsidP="00BF5044">
            <w:pPr>
              <w:spacing w:after="0" w:line="360" w:lineRule="auto"/>
              <w:jc w:val="center"/>
              <w:rPr>
                <w:rFonts w:asciiTheme="minorHAnsi" w:hAnsiTheme="minorHAnsi" w:cstheme="minorHAnsi"/>
                <w:szCs w:val="18"/>
              </w:rPr>
            </w:pPr>
            <w:r w:rsidRPr="00740D01">
              <w:rPr>
                <w:rFonts w:asciiTheme="minorHAnsi" w:hAnsiTheme="minorHAnsi" w:cstheme="minorHAnsi"/>
                <w:szCs w:val="18"/>
              </w:rPr>
              <w:t>StatSensor</w:t>
            </w:r>
          </w:p>
        </w:tc>
        <w:tc>
          <w:tcPr>
            <w:tcW w:w="60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 xml:space="preserve"> £282.95 </w:t>
            </w:r>
          </w:p>
        </w:tc>
        <w:tc>
          <w:tcPr>
            <w:tcW w:w="776"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9.993255154</w:t>
            </w:r>
          </w:p>
        </w:tc>
        <w:tc>
          <w:tcPr>
            <w:tcW w:w="60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9.97911</w:t>
            </w:r>
          </w:p>
        </w:tc>
        <w:tc>
          <w:tcPr>
            <w:tcW w:w="1034" w:type="pct"/>
          </w:tcPr>
          <w:p w:rsidR="00EE288F" w:rsidRPr="00740D01" w:rsidRDefault="00EE288F" w:rsidP="00BF5044">
            <w:pPr>
              <w:spacing w:before="0" w:after="0" w:line="360" w:lineRule="auto"/>
              <w:jc w:val="center"/>
              <w:rPr>
                <w:rFonts w:asciiTheme="minorHAnsi" w:hAnsiTheme="minorHAnsi" w:cstheme="minorHAnsi"/>
                <w:szCs w:val="18"/>
              </w:rPr>
            </w:pPr>
            <w:r w:rsidRPr="00740D01">
              <w:rPr>
                <w:rFonts w:asciiTheme="minorHAnsi" w:hAnsiTheme="minorHAnsi" w:cstheme="minorHAnsi"/>
                <w:szCs w:val="18"/>
              </w:rPr>
              <w:t>0.00421</w:t>
            </w:r>
          </w:p>
        </w:tc>
      </w:tr>
      <w:tr w:rsidR="00EE288F" w:rsidRPr="00A74145" w:rsidTr="00077B0C">
        <w:tc>
          <w:tcPr>
            <w:tcW w:w="515" w:type="pct"/>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5</w:t>
            </w:r>
          </w:p>
        </w:tc>
        <w:tc>
          <w:tcPr>
            <w:tcW w:w="740" w:type="pct"/>
            <w:tcBorders>
              <w:right w:val="nil"/>
            </w:tcBorders>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 xml:space="preserve">POC </w:t>
            </w:r>
          </w:p>
        </w:tc>
        <w:tc>
          <w:tcPr>
            <w:tcW w:w="727" w:type="pct"/>
            <w:tcBorders>
              <w:left w:val="nil"/>
            </w:tcBorders>
          </w:tcPr>
          <w:p w:rsidR="00EE288F" w:rsidRPr="00740D01" w:rsidRDefault="00EE288F" w:rsidP="00BF5044">
            <w:pPr>
              <w:spacing w:after="0" w:line="360" w:lineRule="auto"/>
              <w:jc w:val="center"/>
              <w:rPr>
                <w:rFonts w:asciiTheme="minorHAnsi" w:hAnsiTheme="minorHAnsi" w:cstheme="minorHAnsi"/>
                <w:szCs w:val="18"/>
              </w:rPr>
            </w:pPr>
            <w:r w:rsidRPr="00740D01">
              <w:rPr>
                <w:rFonts w:asciiTheme="minorHAnsi" w:hAnsiTheme="minorHAnsi" w:cstheme="minorHAnsi"/>
                <w:szCs w:val="18"/>
              </w:rPr>
              <w:t>StatSensor</w:t>
            </w:r>
          </w:p>
        </w:tc>
        <w:tc>
          <w:tcPr>
            <w:tcW w:w="60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£287.82</w:t>
            </w:r>
          </w:p>
        </w:tc>
        <w:tc>
          <w:tcPr>
            <w:tcW w:w="776"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9.993255154</w:t>
            </w:r>
          </w:p>
        </w:tc>
        <w:tc>
          <w:tcPr>
            <w:tcW w:w="60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9.97886</w:t>
            </w:r>
          </w:p>
        </w:tc>
        <w:tc>
          <w:tcPr>
            <w:tcW w:w="103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0.00396</w:t>
            </w:r>
          </w:p>
        </w:tc>
      </w:tr>
      <w:tr w:rsidR="00EE288F" w:rsidRPr="00A74145" w:rsidTr="00077B0C">
        <w:tc>
          <w:tcPr>
            <w:tcW w:w="515" w:type="pct"/>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3</w:t>
            </w:r>
          </w:p>
        </w:tc>
        <w:tc>
          <w:tcPr>
            <w:tcW w:w="740" w:type="pct"/>
            <w:tcBorders>
              <w:right w:val="nil"/>
            </w:tcBorders>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RF + Lab</w:t>
            </w:r>
          </w:p>
        </w:tc>
        <w:tc>
          <w:tcPr>
            <w:tcW w:w="727" w:type="pct"/>
            <w:tcBorders>
              <w:left w:val="nil"/>
            </w:tcBorders>
          </w:tcPr>
          <w:p w:rsidR="00EE288F" w:rsidRPr="00740D01" w:rsidRDefault="00EE288F" w:rsidP="00BF5044">
            <w:pPr>
              <w:spacing w:after="0" w:line="360" w:lineRule="auto"/>
              <w:jc w:val="center"/>
              <w:rPr>
                <w:rFonts w:asciiTheme="minorHAnsi" w:hAnsiTheme="minorHAnsi" w:cstheme="minorHAnsi"/>
                <w:szCs w:val="18"/>
              </w:rPr>
            </w:pPr>
            <w:r w:rsidRPr="00740D01">
              <w:rPr>
                <w:rFonts w:asciiTheme="minorHAnsi" w:hAnsiTheme="minorHAnsi" w:cstheme="minorHAnsi"/>
                <w:szCs w:val="18"/>
              </w:rPr>
              <w:t>NA</w:t>
            </w:r>
          </w:p>
        </w:tc>
        <w:tc>
          <w:tcPr>
            <w:tcW w:w="60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 xml:space="preserve"> £307.94 </w:t>
            </w:r>
          </w:p>
        </w:tc>
        <w:tc>
          <w:tcPr>
            <w:tcW w:w="776"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9.993255191</w:t>
            </w:r>
          </w:p>
        </w:tc>
        <w:tc>
          <w:tcPr>
            <w:tcW w:w="60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9.97786</w:t>
            </w:r>
          </w:p>
        </w:tc>
        <w:tc>
          <w:tcPr>
            <w:tcW w:w="103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0.00296</w:t>
            </w:r>
          </w:p>
        </w:tc>
      </w:tr>
      <w:tr w:rsidR="00EE288F" w:rsidRPr="00A74145" w:rsidTr="00077B0C">
        <w:tc>
          <w:tcPr>
            <w:tcW w:w="515" w:type="pct"/>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1</w:t>
            </w:r>
          </w:p>
        </w:tc>
        <w:tc>
          <w:tcPr>
            <w:tcW w:w="740" w:type="pct"/>
            <w:tcBorders>
              <w:right w:val="nil"/>
            </w:tcBorders>
            <w:vAlign w:val="center"/>
          </w:tcPr>
          <w:p w:rsidR="00EE288F" w:rsidRPr="00740D01" w:rsidRDefault="00EE288F" w:rsidP="00BF5044">
            <w:pPr>
              <w:spacing w:before="0" w:after="0" w:line="360" w:lineRule="auto"/>
              <w:rPr>
                <w:rFonts w:asciiTheme="minorHAnsi" w:hAnsiTheme="minorHAnsi" w:cstheme="minorHAnsi"/>
                <w:color w:val="000000"/>
                <w:szCs w:val="18"/>
              </w:rPr>
            </w:pPr>
            <w:r w:rsidRPr="00740D01">
              <w:rPr>
                <w:rFonts w:asciiTheme="minorHAnsi" w:hAnsiTheme="minorHAnsi" w:cstheme="minorHAnsi"/>
                <w:color w:val="000000"/>
                <w:szCs w:val="18"/>
              </w:rPr>
              <w:t>Lab</w:t>
            </w:r>
          </w:p>
        </w:tc>
        <w:tc>
          <w:tcPr>
            <w:tcW w:w="727" w:type="pct"/>
            <w:tcBorders>
              <w:left w:val="nil"/>
            </w:tcBorders>
          </w:tcPr>
          <w:p w:rsidR="00EE288F" w:rsidRPr="00740D01" w:rsidRDefault="00EE288F" w:rsidP="00BF5044">
            <w:pPr>
              <w:spacing w:after="0" w:line="360" w:lineRule="auto"/>
              <w:jc w:val="center"/>
              <w:rPr>
                <w:rFonts w:asciiTheme="minorHAnsi" w:hAnsiTheme="minorHAnsi" w:cstheme="minorHAnsi"/>
                <w:szCs w:val="18"/>
              </w:rPr>
            </w:pPr>
            <w:r w:rsidRPr="00740D01">
              <w:rPr>
                <w:rFonts w:asciiTheme="minorHAnsi" w:hAnsiTheme="minorHAnsi" w:cstheme="minorHAnsi"/>
                <w:szCs w:val="18"/>
              </w:rPr>
              <w:t>NA</w:t>
            </w:r>
          </w:p>
        </w:tc>
        <w:tc>
          <w:tcPr>
            <w:tcW w:w="60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 xml:space="preserve"> £367.12 </w:t>
            </w:r>
          </w:p>
        </w:tc>
        <w:tc>
          <w:tcPr>
            <w:tcW w:w="776"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9.993255191</w:t>
            </w:r>
          </w:p>
        </w:tc>
        <w:tc>
          <w:tcPr>
            <w:tcW w:w="60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9.97490</w:t>
            </w:r>
          </w:p>
        </w:tc>
        <w:tc>
          <w:tcPr>
            <w:tcW w:w="1034" w:type="pct"/>
          </w:tcPr>
          <w:p w:rsidR="00EE288F" w:rsidRPr="00740D01" w:rsidRDefault="00EE288F" w:rsidP="00BF5044">
            <w:pPr>
              <w:spacing w:before="0" w:after="0" w:line="360" w:lineRule="auto"/>
              <w:jc w:val="center"/>
              <w:rPr>
                <w:rFonts w:asciiTheme="minorHAnsi" w:hAnsiTheme="minorHAnsi" w:cstheme="minorHAnsi"/>
                <w:color w:val="000000"/>
                <w:szCs w:val="18"/>
              </w:rPr>
            </w:pPr>
            <w:r w:rsidRPr="00740D01">
              <w:rPr>
                <w:rFonts w:asciiTheme="minorHAnsi" w:hAnsiTheme="minorHAnsi" w:cstheme="minorHAnsi"/>
                <w:szCs w:val="18"/>
              </w:rPr>
              <w:t>-</w:t>
            </w:r>
          </w:p>
        </w:tc>
      </w:tr>
    </w:tbl>
    <w:p w:rsidR="00EE288F" w:rsidRPr="00740D01" w:rsidRDefault="00EE288F" w:rsidP="00BF5044">
      <w:pPr>
        <w:rPr>
          <w:rFonts w:cs="Times New Roman"/>
          <w:sz w:val="18"/>
          <w:szCs w:val="18"/>
        </w:rPr>
      </w:pPr>
      <w:r>
        <w:rPr>
          <w:rFonts w:cs="Times New Roman"/>
          <w:sz w:val="18"/>
          <w:szCs w:val="18"/>
          <w:vertAlign w:val="superscript"/>
        </w:rPr>
        <w:t>*</w:t>
      </w:r>
      <w:r>
        <w:rPr>
          <w:rFonts w:cs="Times New Roman"/>
          <w:sz w:val="18"/>
          <w:szCs w:val="18"/>
        </w:rPr>
        <w:t>POC device with the maximum NHB within the strategy;</w:t>
      </w:r>
      <w:r w:rsidRPr="00740D01">
        <w:rPr>
          <w:rFonts w:cs="Times New Roman"/>
          <w:sz w:val="18"/>
          <w:szCs w:val="18"/>
          <w:vertAlign w:val="superscript"/>
        </w:rPr>
        <w:t xml:space="preserve"> **</w:t>
      </w:r>
      <w:proofErr w:type="gramStart"/>
      <w:r>
        <w:rPr>
          <w:rFonts w:cs="Times New Roman"/>
          <w:sz w:val="18"/>
          <w:szCs w:val="18"/>
        </w:rPr>
        <w:t>At</w:t>
      </w:r>
      <w:proofErr w:type="gramEnd"/>
      <w:r>
        <w:rPr>
          <w:rFonts w:cs="Times New Roman"/>
          <w:sz w:val="18"/>
          <w:szCs w:val="18"/>
        </w:rPr>
        <w:t xml:space="preserve"> £20,000 per QALY</w:t>
      </w:r>
    </w:p>
    <w:p w:rsidR="00EE288F" w:rsidRDefault="00EE288F" w:rsidP="00BF5044">
      <w:pPr>
        <w:rPr>
          <w:rFonts w:cs="Times New Roman"/>
          <w:sz w:val="18"/>
          <w:szCs w:val="18"/>
        </w:rPr>
      </w:pPr>
      <w:r>
        <w:rPr>
          <w:rFonts w:cs="Times New Roman"/>
          <w:sz w:val="18"/>
          <w:szCs w:val="18"/>
        </w:rPr>
        <w:t xml:space="preserve"> INHB, incremental net health benefit; NHB, net health benefit.</w:t>
      </w:r>
    </w:p>
    <w:p w:rsidR="00EE288F" w:rsidRDefault="00EE288F" w:rsidP="00BF5044">
      <w:pPr>
        <w:spacing w:after="0" w:line="480" w:lineRule="auto"/>
      </w:pPr>
    </w:p>
    <w:p w:rsidR="00EE288F" w:rsidRPr="00740D01" w:rsidRDefault="00EE288F" w:rsidP="00BF5044">
      <w:pPr>
        <w:spacing w:before="120" w:after="120" w:line="360" w:lineRule="auto"/>
        <w:rPr>
          <w:i/>
        </w:rPr>
      </w:pPr>
      <w:r w:rsidRPr="00740D01">
        <w:rPr>
          <w:i/>
        </w:rPr>
        <w:t>Sensitivity analysis</w:t>
      </w:r>
    </w:p>
    <w:p w:rsidR="00EE288F" w:rsidRDefault="00EE288F" w:rsidP="00BF5044">
      <w:pPr>
        <w:spacing w:before="120" w:after="120" w:line="360" w:lineRule="auto"/>
      </w:pPr>
      <w:r>
        <w:t xml:space="preserve">Scenario analysis results presented in </w:t>
      </w:r>
      <w:r w:rsidR="0087547E" w:rsidRPr="0087547E">
        <w:t>Figure 2</w:t>
      </w:r>
      <w:r w:rsidR="0087547E">
        <w:t xml:space="preserve"> </w:t>
      </w:r>
      <w:r>
        <w:t>show</w:t>
      </w:r>
      <w:r w:rsidRPr="00304A95">
        <w:t xml:space="preserve"> </w:t>
      </w:r>
      <w:r>
        <w:t xml:space="preserve">the incremental </w:t>
      </w:r>
      <w:r w:rsidRPr="00304A95">
        <w:t>N</w:t>
      </w:r>
      <w:r>
        <w:t>H</w:t>
      </w:r>
      <w:r w:rsidRPr="00304A95">
        <w:t xml:space="preserve">B </w:t>
      </w:r>
      <w:r>
        <w:t>for</w:t>
      </w:r>
      <w:r w:rsidRPr="00304A95">
        <w:t xml:space="preserve"> </w:t>
      </w:r>
      <w:r>
        <w:t xml:space="preserve">each of the </w:t>
      </w:r>
      <w:r w:rsidRPr="00304A95">
        <w:t>strateg</w:t>
      </w:r>
      <w:r>
        <w:t>ies</w:t>
      </w:r>
      <w:r w:rsidRPr="00304A95">
        <w:t xml:space="preserve"> </w:t>
      </w:r>
      <w:r>
        <w:t xml:space="preserve">including a POC </w:t>
      </w:r>
      <w:proofErr w:type="gramStart"/>
      <w:r>
        <w:t>creatinine testing</w:t>
      </w:r>
      <w:proofErr w:type="gramEnd"/>
      <w:r>
        <w:t xml:space="preserve"> element (lines in the graph) in</w:t>
      </w:r>
      <w:r w:rsidRPr="006F5CB3">
        <w:t xml:space="preserve"> relation to the highest-ranking strategy without POC</w:t>
      </w:r>
      <w:r>
        <w:t xml:space="preserve">. The different scenarios implemented are reported along the x-axis with key differences between each and the base-case detailed above the graph and a fuller description in the legend. Across all analyses, the </w:t>
      </w:r>
      <w:proofErr w:type="gramStart"/>
      <w:r>
        <w:t>highest ranking</w:t>
      </w:r>
      <w:proofErr w:type="gramEnd"/>
      <w:r>
        <w:t xml:space="preserve"> strategy without POC is ‘RF+Lab’; therefore, the ‘Lab’ strategy is omitted from the graph. The marker identifies, for each scenario, the POC device with highest NHB within each of the POC strategies. </w:t>
      </w:r>
    </w:p>
    <w:p w:rsidR="00EE288F" w:rsidRDefault="00EE288F" w:rsidP="00BF5044">
      <w:pPr>
        <w:spacing w:before="120" w:after="120" w:line="360" w:lineRule="auto"/>
      </w:pPr>
      <w:r>
        <w:t xml:space="preserve">Consistent with base-case results, the ‘RF+POC+Lab’ strategies yield the highest incremental NHB in all but one scenario (Scenario 4.2). The ranking of incremental NHB by type of strategy is also generally consistent (‘RF+POC+Lab’&gt; ‘RF+POC’&gt; ‘POC+Lab’&gt; ‘POC’). The POC creatinine device that results in higher incremental NHB within each strategy type switches between </w:t>
      </w:r>
      <w:proofErr w:type="spellStart"/>
      <w:r>
        <w:t>i</w:t>
      </w:r>
      <w:proofErr w:type="spellEnd"/>
      <w:r>
        <w:t xml:space="preserve">-STAT and StatSensor, depending on the position of POC in the testing sequence and on the scenario. However, differences in NHB between these two strategies remain small across scenarios (see Table S4 to S10 for full scenario analysis results). </w:t>
      </w:r>
    </w:p>
    <w:p w:rsidR="00EE288F" w:rsidRDefault="00EE288F" w:rsidP="00BF5044">
      <w:pPr>
        <w:spacing w:before="120" w:after="120" w:line="360" w:lineRule="auto"/>
        <w:sectPr w:rsidR="00EE288F" w:rsidSect="00971A8B">
          <w:pgSz w:w="11906" w:h="16838"/>
          <w:pgMar w:top="1440" w:right="1440" w:bottom="1440" w:left="1440" w:header="708" w:footer="708" w:gutter="0"/>
          <w:lnNumType w:countBy="1"/>
          <w:cols w:space="708"/>
          <w:docGrid w:linePitch="360"/>
        </w:sectPr>
      </w:pPr>
      <w:r>
        <w:t>It is only when patients are assumed not</w:t>
      </w:r>
      <w:r w:rsidRPr="00042744">
        <w:t xml:space="preserve"> </w:t>
      </w:r>
      <w:r>
        <w:t>to</w:t>
      </w:r>
      <w:r w:rsidRPr="00042744">
        <w:t xml:space="preserve"> </w:t>
      </w:r>
      <w:r>
        <w:t xml:space="preserve">incur </w:t>
      </w:r>
      <w:r w:rsidRPr="00042744">
        <w:t>the opportunity costs of a delayed CT scan</w:t>
      </w:r>
      <w:r>
        <w:t xml:space="preserve"> (scenario 4.2), that the type of testing strategy with highest NHB changes</w:t>
      </w:r>
      <w:r w:rsidRPr="00042744">
        <w:t xml:space="preserve">. </w:t>
      </w:r>
      <w:r>
        <w:t>Under this scenario</w:t>
      </w:r>
      <w:r w:rsidRPr="00042744">
        <w:t>, ‘RF+Lab’</w:t>
      </w:r>
      <w:r>
        <w:t xml:space="preserve"> has the highest NHB, being considered cost-effective (</w:t>
      </w:r>
      <w:r w:rsidR="00077B0C" w:rsidRPr="00077B0C">
        <w:t>Figure 2</w:t>
      </w:r>
      <w:r>
        <w:t>),</w:t>
      </w:r>
      <w:r w:rsidRPr="00042744">
        <w:t xml:space="preserve"> </w:t>
      </w:r>
      <w:proofErr w:type="gramStart"/>
      <w:r w:rsidRPr="00042744">
        <w:t>followed</w:t>
      </w:r>
      <w:proofErr w:type="gramEnd"/>
      <w:r w:rsidRPr="00042744">
        <w:t xml:space="preserve"> by ‘Lab’</w:t>
      </w:r>
      <w:r>
        <w:t xml:space="preserve"> (Table S9, supplementary material).</w:t>
      </w:r>
      <w:r w:rsidRPr="00042744">
        <w:t xml:space="preserve"> </w:t>
      </w:r>
      <w:r>
        <w:t>T</w:t>
      </w:r>
      <w:r w:rsidRPr="00042744">
        <w:t xml:space="preserve">hese </w:t>
      </w:r>
      <w:r>
        <w:t xml:space="preserve">two </w:t>
      </w:r>
      <w:r w:rsidRPr="00042744">
        <w:t xml:space="preserve">strategies become the least costly, </w:t>
      </w:r>
      <w:r>
        <w:t>since</w:t>
      </w:r>
      <w:r w:rsidRPr="00042744">
        <w:t xml:space="preserve"> costs of managing test </w:t>
      </w:r>
      <w:r w:rsidRPr="00042744">
        <w:lastRenderedPageBreak/>
        <w:t>positive patients are only incurred by true positives and the costs of testing are lower than for the other strategies</w:t>
      </w:r>
      <w:r>
        <w:t xml:space="preserve"> (especially for ‘RF+Lab’) where screening reduces the proportion of patients for which laboratory tests are performed</w:t>
      </w:r>
      <w:r w:rsidRPr="00042744">
        <w:t>.</w:t>
      </w:r>
    </w:p>
    <w:p w:rsidR="00EE288F" w:rsidRDefault="00077B0C" w:rsidP="00BF5044">
      <w:pPr>
        <w:pStyle w:val="Caption"/>
        <w:keepNext/>
        <w:spacing w:after="0"/>
      </w:pPr>
      <w:bookmarkStart w:id="10" w:name="_Ref48220749"/>
      <w:r w:rsidRPr="00077B0C">
        <w:lastRenderedPageBreak/>
        <w:t xml:space="preserve">Figure </w:t>
      </w:r>
      <w:proofErr w:type="gramStart"/>
      <w:r w:rsidRPr="00077B0C">
        <w:t>2</w:t>
      </w:r>
      <w:proofErr w:type="gramEnd"/>
      <w:r>
        <w:t xml:space="preserve"> </w:t>
      </w:r>
      <w:bookmarkEnd w:id="10"/>
      <w:r w:rsidR="00EE288F">
        <w:t>Scenario analysis deterministic results</w:t>
      </w:r>
    </w:p>
    <w:tbl>
      <w:tblPr>
        <w:tblStyle w:val="TableGrid"/>
        <w:tblW w:w="0" w:type="auto"/>
        <w:tblInd w:w="142" w:type="dxa"/>
        <w:tblBorders>
          <w:insideH w:val="none" w:sz="0" w:space="0" w:color="auto"/>
        </w:tblBorders>
        <w:tblLook w:val="04A0" w:firstRow="1" w:lastRow="0" w:firstColumn="1" w:lastColumn="0" w:noHBand="0" w:noVBand="1"/>
      </w:tblPr>
      <w:tblGrid>
        <w:gridCol w:w="1843"/>
        <w:gridCol w:w="1559"/>
        <w:gridCol w:w="1418"/>
        <w:gridCol w:w="2693"/>
        <w:gridCol w:w="1417"/>
        <w:gridCol w:w="2694"/>
        <w:gridCol w:w="1417"/>
      </w:tblGrid>
      <w:tr w:rsidR="00EE288F" w:rsidRPr="00740D01" w:rsidTr="00BF5044">
        <w:tc>
          <w:tcPr>
            <w:tcW w:w="1843" w:type="dxa"/>
            <w:tcBorders>
              <w:top w:val="nil"/>
              <w:left w:val="nil"/>
              <w:bottom w:val="nil"/>
              <w:right w:val="single" w:sz="4" w:space="0" w:color="auto"/>
            </w:tcBorders>
          </w:tcPr>
          <w:p w:rsidR="00EE288F" w:rsidRPr="00740D01" w:rsidRDefault="00EE288F" w:rsidP="00BF5044">
            <w:pPr>
              <w:spacing w:after="0"/>
              <w:rPr>
                <w:rFonts w:asciiTheme="minorHAnsi" w:hAnsiTheme="minorHAnsi" w:cstheme="minorHAnsi"/>
                <w:b/>
                <w:bCs/>
                <w:noProof/>
                <w:sz w:val="16"/>
                <w:lang w:eastAsia="en-GB"/>
              </w:rPr>
            </w:pPr>
            <w:r>
              <w:rPr>
                <w:rFonts w:asciiTheme="minorHAnsi" w:hAnsiTheme="minorHAnsi" w:cstheme="minorHAnsi"/>
                <w:b/>
                <w:bCs/>
                <w:noProof/>
                <w:sz w:val="16"/>
                <w:lang w:eastAsia="en-GB"/>
              </w:rPr>
              <w:t>Key differences</w:t>
            </w:r>
            <w:r w:rsidRPr="00C67B73">
              <w:rPr>
                <w:rFonts w:cstheme="minorHAnsi"/>
                <w:b/>
                <w:bCs/>
                <w:noProof/>
                <w:sz w:val="16"/>
                <w:vertAlign w:val="superscript"/>
                <w:lang w:eastAsia="en-GB"/>
              </w:rPr>
              <w:t>*</w:t>
            </w:r>
          </w:p>
        </w:tc>
        <w:tc>
          <w:tcPr>
            <w:tcW w:w="1559" w:type="dxa"/>
            <w:tcBorders>
              <w:top w:val="single" w:sz="4" w:space="0" w:color="auto"/>
              <w:left w:val="single" w:sz="4" w:space="0" w:color="auto"/>
              <w:bottom w:val="single" w:sz="4" w:space="0" w:color="auto"/>
            </w:tcBorders>
          </w:tcPr>
          <w:p w:rsidR="00EE288F" w:rsidRPr="00740D01" w:rsidRDefault="00EE288F" w:rsidP="00BF5044">
            <w:pPr>
              <w:spacing w:after="0"/>
              <w:jc w:val="center"/>
              <w:rPr>
                <w:rFonts w:asciiTheme="minorHAnsi" w:hAnsiTheme="minorHAnsi" w:cstheme="minorHAnsi"/>
                <w:noProof/>
                <w:sz w:val="16"/>
                <w:lang w:eastAsia="en-GB"/>
              </w:rPr>
            </w:pPr>
            <w:r w:rsidRPr="00740D01">
              <w:rPr>
                <w:rFonts w:asciiTheme="minorHAnsi" w:eastAsiaTheme="minorEastAsia" w:hAnsiTheme="minorHAnsi" w:cstheme="minorHAnsi"/>
                <w:b/>
                <w:bCs/>
                <w:noProof/>
                <w:sz w:val="16"/>
                <w:lang w:eastAsia="en-GB"/>
              </w:rPr>
              <w:t>Base-case</w:t>
            </w:r>
          </w:p>
        </w:tc>
        <w:tc>
          <w:tcPr>
            <w:tcW w:w="1418" w:type="dxa"/>
            <w:tcBorders>
              <w:top w:val="single" w:sz="4" w:space="0" w:color="auto"/>
              <w:bottom w:val="single" w:sz="4" w:space="0" w:color="auto"/>
            </w:tcBorders>
          </w:tcPr>
          <w:p w:rsidR="00EE288F" w:rsidRPr="00740D01" w:rsidRDefault="00EE288F" w:rsidP="00BF5044">
            <w:pPr>
              <w:spacing w:after="0"/>
              <w:jc w:val="center"/>
              <w:rPr>
                <w:rFonts w:asciiTheme="minorHAnsi" w:hAnsiTheme="minorHAnsi" w:cstheme="minorHAnsi"/>
                <w:b/>
                <w:bCs/>
                <w:noProof/>
                <w:sz w:val="16"/>
                <w:lang w:eastAsia="en-GB"/>
              </w:rPr>
            </w:pPr>
            <w:r w:rsidRPr="00740D01">
              <w:rPr>
                <w:rFonts w:asciiTheme="minorHAnsi" w:hAnsiTheme="minorHAnsi" w:cstheme="minorHAnsi"/>
                <w:b/>
                <w:bCs/>
                <w:noProof/>
                <w:sz w:val="16"/>
                <w:lang w:eastAsia="en-GB"/>
              </w:rPr>
              <w:t>Scenario 1</w:t>
            </w:r>
          </w:p>
        </w:tc>
        <w:tc>
          <w:tcPr>
            <w:tcW w:w="2693" w:type="dxa"/>
            <w:tcBorders>
              <w:top w:val="single" w:sz="4" w:space="0" w:color="auto"/>
              <w:bottom w:val="single" w:sz="4" w:space="0" w:color="auto"/>
            </w:tcBorders>
          </w:tcPr>
          <w:p w:rsidR="00EE288F" w:rsidRPr="00740D01" w:rsidRDefault="00EE288F" w:rsidP="00BF5044">
            <w:pPr>
              <w:spacing w:after="0"/>
              <w:jc w:val="center"/>
              <w:rPr>
                <w:rFonts w:asciiTheme="minorHAnsi" w:hAnsiTheme="minorHAnsi" w:cstheme="minorHAnsi"/>
                <w:b/>
                <w:bCs/>
                <w:noProof/>
                <w:sz w:val="16"/>
                <w:lang w:eastAsia="en-GB"/>
              </w:rPr>
            </w:pPr>
            <w:r w:rsidRPr="00740D01">
              <w:rPr>
                <w:rFonts w:asciiTheme="minorHAnsi" w:hAnsiTheme="minorHAnsi" w:cstheme="minorHAnsi"/>
                <w:b/>
                <w:bCs/>
                <w:noProof/>
                <w:sz w:val="16"/>
                <w:lang w:eastAsia="en-GB"/>
              </w:rPr>
              <w:t>Scenario 2</w:t>
            </w:r>
            <w:r>
              <w:rPr>
                <w:rFonts w:asciiTheme="minorHAnsi" w:hAnsiTheme="minorHAnsi" w:cstheme="minorHAnsi"/>
                <w:b/>
                <w:bCs/>
                <w:noProof/>
                <w:sz w:val="16"/>
                <w:lang w:eastAsia="en-GB"/>
              </w:rPr>
              <w:t>.1 and 2.2</w:t>
            </w:r>
          </w:p>
        </w:tc>
        <w:tc>
          <w:tcPr>
            <w:tcW w:w="1417" w:type="dxa"/>
            <w:tcBorders>
              <w:top w:val="single" w:sz="4" w:space="0" w:color="auto"/>
              <w:bottom w:val="single" w:sz="4" w:space="0" w:color="auto"/>
            </w:tcBorders>
          </w:tcPr>
          <w:p w:rsidR="00EE288F" w:rsidRPr="00740D01" w:rsidRDefault="00EE288F" w:rsidP="00BF5044">
            <w:pPr>
              <w:spacing w:after="0"/>
              <w:jc w:val="center"/>
              <w:rPr>
                <w:rFonts w:asciiTheme="minorHAnsi" w:hAnsiTheme="minorHAnsi" w:cstheme="minorHAnsi"/>
                <w:b/>
                <w:bCs/>
                <w:noProof/>
                <w:sz w:val="16"/>
                <w:lang w:eastAsia="en-GB"/>
              </w:rPr>
            </w:pPr>
            <w:r w:rsidRPr="00740D01">
              <w:rPr>
                <w:rFonts w:asciiTheme="minorHAnsi" w:hAnsiTheme="minorHAnsi" w:cstheme="minorHAnsi"/>
                <w:b/>
                <w:bCs/>
                <w:noProof/>
                <w:sz w:val="16"/>
                <w:lang w:eastAsia="en-GB"/>
              </w:rPr>
              <w:t>Scenario 3</w:t>
            </w:r>
          </w:p>
        </w:tc>
        <w:tc>
          <w:tcPr>
            <w:tcW w:w="2694" w:type="dxa"/>
            <w:tcBorders>
              <w:top w:val="single" w:sz="4" w:space="0" w:color="auto"/>
              <w:bottom w:val="single" w:sz="4" w:space="0" w:color="auto"/>
            </w:tcBorders>
          </w:tcPr>
          <w:p w:rsidR="00EE288F" w:rsidRPr="00740D01" w:rsidRDefault="00EE288F" w:rsidP="00BF5044">
            <w:pPr>
              <w:spacing w:after="0"/>
              <w:jc w:val="center"/>
              <w:rPr>
                <w:rFonts w:asciiTheme="minorHAnsi" w:hAnsiTheme="minorHAnsi" w:cstheme="minorHAnsi"/>
                <w:b/>
                <w:bCs/>
                <w:noProof/>
                <w:sz w:val="16"/>
                <w:lang w:eastAsia="en-GB"/>
              </w:rPr>
            </w:pPr>
            <w:r w:rsidRPr="00740D01">
              <w:rPr>
                <w:rFonts w:asciiTheme="minorHAnsi" w:hAnsiTheme="minorHAnsi" w:cstheme="minorHAnsi"/>
                <w:b/>
                <w:bCs/>
                <w:noProof/>
                <w:sz w:val="16"/>
                <w:lang w:eastAsia="en-GB"/>
              </w:rPr>
              <w:t>Scenario 4</w:t>
            </w:r>
            <w:r>
              <w:rPr>
                <w:rFonts w:asciiTheme="minorHAnsi" w:hAnsiTheme="minorHAnsi" w:cstheme="minorHAnsi"/>
                <w:b/>
                <w:bCs/>
                <w:noProof/>
                <w:sz w:val="16"/>
                <w:lang w:eastAsia="en-GB"/>
              </w:rPr>
              <w:t>.1 and 4.2</w:t>
            </w:r>
          </w:p>
        </w:tc>
        <w:tc>
          <w:tcPr>
            <w:tcW w:w="1417" w:type="dxa"/>
            <w:tcBorders>
              <w:top w:val="single" w:sz="4" w:space="0" w:color="auto"/>
              <w:bottom w:val="single" w:sz="4" w:space="0" w:color="auto"/>
            </w:tcBorders>
          </w:tcPr>
          <w:p w:rsidR="00EE288F" w:rsidRPr="00740D01" w:rsidRDefault="00EE288F" w:rsidP="00BF5044">
            <w:pPr>
              <w:spacing w:after="0"/>
              <w:jc w:val="center"/>
              <w:rPr>
                <w:rFonts w:asciiTheme="minorHAnsi" w:hAnsiTheme="minorHAnsi" w:cstheme="minorHAnsi"/>
                <w:b/>
                <w:bCs/>
                <w:noProof/>
                <w:sz w:val="16"/>
                <w:lang w:eastAsia="en-GB"/>
              </w:rPr>
            </w:pPr>
            <w:r w:rsidRPr="00740D01">
              <w:rPr>
                <w:rFonts w:asciiTheme="minorHAnsi" w:hAnsiTheme="minorHAnsi" w:cstheme="minorHAnsi"/>
                <w:b/>
                <w:bCs/>
                <w:noProof/>
                <w:sz w:val="16"/>
                <w:lang w:eastAsia="en-GB"/>
              </w:rPr>
              <w:t>Scenario 5</w:t>
            </w:r>
          </w:p>
        </w:tc>
      </w:tr>
      <w:tr w:rsidR="00EE288F" w:rsidRPr="00740D01" w:rsidTr="00BF5044">
        <w:tc>
          <w:tcPr>
            <w:tcW w:w="1843" w:type="dxa"/>
            <w:tcBorders>
              <w:top w:val="nil"/>
              <w:left w:val="nil"/>
              <w:bottom w:val="nil"/>
              <w:right w:val="single" w:sz="4" w:space="0" w:color="auto"/>
            </w:tcBorders>
          </w:tcPr>
          <w:p w:rsidR="00EE288F" w:rsidRPr="00740D01" w:rsidRDefault="00EE288F" w:rsidP="00BF5044">
            <w:pPr>
              <w:spacing w:after="0"/>
              <w:rPr>
                <w:rFonts w:asciiTheme="minorHAnsi" w:hAnsiTheme="minorHAnsi" w:cstheme="minorHAnsi"/>
                <w:noProof/>
                <w:sz w:val="16"/>
                <w:lang w:eastAsia="en-GB"/>
              </w:rPr>
            </w:pPr>
            <w:r w:rsidRPr="00740D01">
              <w:rPr>
                <w:rFonts w:asciiTheme="minorHAnsi" w:eastAsiaTheme="minorEastAsia" w:hAnsiTheme="minorHAnsi" w:cstheme="minorHAnsi"/>
                <w:noProof/>
                <w:sz w:val="16"/>
                <w:lang w:eastAsia="en-GB"/>
              </w:rPr>
              <w:t xml:space="preserve">RF </w:t>
            </w:r>
            <w:r>
              <w:rPr>
                <w:rFonts w:asciiTheme="minorHAnsi" w:eastAsiaTheme="minorEastAsia" w:hAnsiTheme="minorHAnsi" w:cstheme="minorHAnsi"/>
                <w:noProof/>
                <w:sz w:val="16"/>
                <w:lang w:eastAsia="en-GB"/>
              </w:rPr>
              <w:t>screen (%)</w:t>
            </w:r>
          </w:p>
        </w:tc>
        <w:tc>
          <w:tcPr>
            <w:tcW w:w="1559" w:type="dxa"/>
            <w:tcBorders>
              <w:top w:val="single" w:sz="4" w:space="0" w:color="auto"/>
              <w:left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sidRPr="00740D01">
              <w:rPr>
                <w:rFonts w:asciiTheme="minorHAnsi" w:eastAsiaTheme="minorEastAsia" w:hAnsiTheme="minorHAnsi" w:cstheme="minorHAnsi"/>
                <w:noProof/>
                <w:sz w:val="16"/>
                <w:lang w:eastAsia="en-GB"/>
              </w:rPr>
              <w:t>Se</w:t>
            </w:r>
            <w:r>
              <w:rPr>
                <w:rFonts w:asciiTheme="minorHAnsi" w:eastAsiaTheme="minorEastAsia" w:hAnsiTheme="minorHAnsi" w:cstheme="minorHAnsi"/>
                <w:noProof/>
                <w:sz w:val="16"/>
                <w:lang w:eastAsia="en-GB"/>
              </w:rPr>
              <w:t>n</w:t>
            </w:r>
            <w:r w:rsidRPr="00740D01">
              <w:rPr>
                <w:rFonts w:asciiTheme="minorHAnsi" w:eastAsiaTheme="minorEastAsia" w:hAnsiTheme="minorHAnsi" w:cstheme="minorHAnsi"/>
                <w:noProof/>
                <w:sz w:val="16"/>
                <w:lang w:eastAsia="en-GB"/>
              </w:rPr>
              <w:t xml:space="preserve"> 100; Sp 65.2</w:t>
            </w:r>
          </w:p>
        </w:tc>
        <w:tc>
          <w:tcPr>
            <w:tcW w:w="1418" w:type="dxa"/>
            <w:tcBorders>
              <w:top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sidRPr="00740D01">
              <w:rPr>
                <w:rFonts w:asciiTheme="minorHAnsi" w:hAnsiTheme="minorHAnsi" w:cstheme="minorHAnsi"/>
                <w:noProof/>
                <w:sz w:val="16"/>
                <w:lang w:eastAsia="en-GB"/>
              </w:rPr>
              <w:t>Se</w:t>
            </w:r>
            <w:r>
              <w:rPr>
                <w:rFonts w:asciiTheme="minorHAnsi" w:hAnsiTheme="minorHAnsi" w:cstheme="minorHAnsi"/>
                <w:noProof/>
                <w:sz w:val="16"/>
                <w:lang w:eastAsia="en-GB"/>
              </w:rPr>
              <w:t>n</w:t>
            </w:r>
            <w:r w:rsidRPr="00740D01">
              <w:rPr>
                <w:rFonts w:asciiTheme="minorHAnsi" w:hAnsiTheme="minorHAnsi" w:cstheme="minorHAnsi"/>
                <w:noProof/>
                <w:sz w:val="16"/>
                <w:lang w:eastAsia="en-GB"/>
              </w:rPr>
              <w:t xml:space="preserve"> 88.2; Sp 45.2</w:t>
            </w:r>
          </w:p>
        </w:tc>
        <w:tc>
          <w:tcPr>
            <w:tcW w:w="2693" w:type="dxa"/>
            <w:tcBorders>
              <w:top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1417" w:type="dxa"/>
            <w:tcBorders>
              <w:top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2694" w:type="dxa"/>
            <w:tcBorders>
              <w:top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1417" w:type="dxa"/>
            <w:tcBorders>
              <w:top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r>
      <w:tr w:rsidR="00EE288F" w:rsidRPr="00740D01" w:rsidTr="00BF5044">
        <w:tc>
          <w:tcPr>
            <w:tcW w:w="1843" w:type="dxa"/>
            <w:tcBorders>
              <w:top w:val="nil"/>
              <w:left w:val="nil"/>
              <w:bottom w:val="nil"/>
              <w:right w:val="single" w:sz="4" w:space="0" w:color="auto"/>
            </w:tcBorders>
          </w:tcPr>
          <w:p w:rsidR="00EE288F" w:rsidRPr="00740D01" w:rsidRDefault="00EE288F" w:rsidP="00BF5044">
            <w:pPr>
              <w:spacing w:after="0"/>
              <w:rPr>
                <w:rFonts w:asciiTheme="minorHAnsi" w:hAnsiTheme="minorHAnsi" w:cstheme="minorHAnsi"/>
                <w:noProof/>
                <w:sz w:val="16"/>
                <w:lang w:eastAsia="en-GB"/>
              </w:rPr>
            </w:pPr>
            <w:r>
              <w:rPr>
                <w:rFonts w:asciiTheme="minorHAnsi" w:hAnsiTheme="minorHAnsi" w:cstheme="minorHAnsi"/>
                <w:noProof/>
                <w:sz w:val="16"/>
                <w:lang w:eastAsia="en-GB"/>
              </w:rPr>
              <w:t>T</w:t>
            </w:r>
            <w:r w:rsidRPr="00740D01">
              <w:rPr>
                <w:rFonts w:asciiTheme="minorHAnsi" w:hAnsiTheme="minorHAnsi" w:cstheme="minorHAnsi"/>
                <w:noProof/>
                <w:sz w:val="16"/>
                <w:lang w:eastAsia="en-GB"/>
              </w:rPr>
              <w:t>hroughput</w:t>
            </w:r>
            <w:r>
              <w:rPr>
                <w:rFonts w:asciiTheme="minorHAnsi" w:hAnsiTheme="minorHAnsi" w:cstheme="minorHAnsi"/>
                <w:noProof/>
                <w:sz w:val="16"/>
                <w:lang w:eastAsia="en-GB"/>
              </w:rPr>
              <w:t xml:space="preserve"> (patients)</w:t>
            </w:r>
          </w:p>
        </w:tc>
        <w:tc>
          <w:tcPr>
            <w:tcW w:w="1559" w:type="dxa"/>
            <w:tcBorders>
              <w:left w:val="single" w:sz="4" w:space="0" w:color="auto"/>
            </w:tcBorders>
            <w:vAlign w:val="center"/>
          </w:tcPr>
          <w:p w:rsidR="00EE288F" w:rsidRPr="00740D01" w:rsidRDefault="00EE288F" w:rsidP="00BF5044">
            <w:pPr>
              <w:spacing w:after="0"/>
              <w:jc w:val="center"/>
              <w:rPr>
                <w:rFonts w:asciiTheme="minorHAnsi" w:hAnsiTheme="minorHAnsi" w:cstheme="minorHAnsi"/>
                <w:noProof/>
                <w:sz w:val="16"/>
                <w:lang w:eastAsia="en-GB"/>
              </w:rPr>
            </w:pPr>
            <w:r>
              <w:rPr>
                <w:rFonts w:asciiTheme="minorHAnsi" w:hAnsiTheme="minorHAnsi" w:cstheme="minorHAnsi"/>
                <w:noProof/>
                <w:sz w:val="16"/>
                <w:lang w:eastAsia="en-GB"/>
              </w:rPr>
              <w:t>93/33 per month</w:t>
            </w:r>
            <w:r w:rsidRPr="00C920BD">
              <w:rPr>
                <w:rFonts w:cstheme="minorHAnsi"/>
                <w:noProof/>
                <w:sz w:val="16"/>
                <w:vertAlign w:val="superscript"/>
                <w:lang w:eastAsia="en-GB"/>
              </w:rPr>
              <w:t>**</w:t>
            </w:r>
          </w:p>
        </w:tc>
        <w:tc>
          <w:tcPr>
            <w:tcW w:w="1418" w:type="dxa"/>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2693" w:type="dxa"/>
            <w:vAlign w:val="center"/>
          </w:tcPr>
          <w:p w:rsidR="00EE288F" w:rsidRPr="00740D01" w:rsidRDefault="00EE288F" w:rsidP="00BF5044">
            <w:pPr>
              <w:spacing w:after="0"/>
              <w:jc w:val="center"/>
              <w:rPr>
                <w:rFonts w:asciiTheme="minorHAnsi" w:hAnsiTheme="minorHAnsi" w:cstheme="minorHAnsi"/>
                <w:noProof/>
                <w:sz w:val="16"/>
                <w:lang w:eastAsia="en-GB"/>
              </w:rPr>
            </w:pPr>
            <w:r w:rsidRPr="00740D01">
              <w:rPr>
                <w:rFonts w:asciiTheme="minorHAnsi" w:hAnsiTheme="minorHAnsi" w:cstheme="minorHAnsi"/>
                <w:noProof/>
                <w:sz w:val="16"/>
                <w:lang w:eastAsia="en-GB"/>
              </w:rPr>
              <w:t>50% lower                   50% higher</w:t>
            </w:r>
          </w:p>
        </w:tc>
        <w:tc>
          <w:tcPr>
            <w:tcW w:w="1417" w:type="dxa"/>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2694" w:type="dxa"/>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1417" w:type="dxa"/>
            <w:vAlign w:val="center"/>
          </w:tcPr>
          <w:p w:rsidR="00EE288F" w:rsidRPr="00740D01" w:rsidRDefault="00EE288F" w:rsidP="00BF5044">
            <w:pPr>
              <w:spacing w:after="0"/>
              <w:jc w:val="center"/>
              <w:rPr>
                <w:rFonts w:asciiTheme="minorHAnsi" w:hAnsiTheme="minorHAnsi" w:cstheme="minorHAnsi"/>
                <w:noProof/>
                <w:sz w:val="16"/>
                <w:lang w:eastAsia="en-GB"/>
              </w:rPr>
            </w:pPr>
          </w:p>
        </w:tc>
      </w:tr>
      <w:tr w:rsidR="00EE288F" w:rsidRPr="00740D01" w:rsidTr="00BF5044">
        <w:tc>
          <w:tcPr>
            <w:tcW w:w="1843" w:type="dxa"/>
            <w:tcBorders>
              <w:top w:val="nil"/>
              <w:left w:val="nil"/>
              <w:bottom w:val="nil"/>
              <w:right w:val="single" w:sz="4" w:space="0" w:color="auto"/>
            </w:tcBorders>
          </w:tcPr>
          <w:p w:rsidR="00EE288F" w:rsidRPr="00740D01" w:rsidRDefault="00EE288F" w:rsidP="00BF5044">
            <w:pPr>
              <w:spacing w:after="0"/>
              <w:rPr>
                <w:rFonts w:asciiTheme="minorHAnsi" w:hAnsiTheme="minorHAnsi" w:cstheme="minorHAnsi"/>
                <w:noProof/>
                <w:sz w:val="16"/>
                <w:lang w:eastAsia="en-GB"/>
              </w:rPr>
            </w:pPr>
            <w:r w:rsidRPr="00740D01">
              <w:rPr>
                <w:rFonts w:asciiTheme="minorHAnsi" w:eastAsiaTheme="minorEastAsia" w:hAnsiTheme="minorHAnsi" w:cstheme="minorHAnsi"/>
                <w:noProof/>
                <w:sz w:val="16"/>
                <w:lang w:eastAsia="en-GB"/>
              </w:rPr>
              <w:t>PC-AKI risk</w:t>
            </w:r>
          </w:p>
        </w:tc>
        <w:tc>
          <w:tcPr>
            <w:tcW w:w="1559" w:type="dxa"/>
            <w:tcBorders>
              <w:left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sidRPr="00740D01">
              <w:rPr>
                <w:rFonts w:asciiTheme="minorHAnsi" w:eastAsiaTheme="minorEastAsia" w:hAnsiTheme="minorHAnsi" w:cstheme="minorHAnsi"/>
                <w:noProof/>
                <w:sz w:val="16"/>
                <w:lang w:eastAsia="en-GB"/>
              </w:rPr>
              <w:t>11.1%</w:t>
            </w:r>
          </w:p>
        </w:tc>
        <w:tc>
          <w:tcPr>
            <w:tcW w:w="1418"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2693"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1417"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sidRPr="00740D01">
              <w:rPr>
                <w:rFonts w:asciiTheme="minorHAnsi" w:hAnsiTheme="minorHAnsi" w:cstheme="minorHAnsi"/>
                <w:noProof/>
                <w:sz w:val="16"/>
                <w:lang w:eastAsia="en-GB"/>
              </w:rPr>
              <w:t>18.9%</w:t>
            </w:r>
          </w:p>
        </w:tc>
        <w:tc>
          <w:tcPr>
            <w:tcW w:w="2694"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1417"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p>
        </w:tc>
      </w:tr>
      <w:tr w:rsidR="00EE288F" w:rsidRPr="00740D01" w:rsidTr="00BF5044">
        <w:tc>
          <w:tcPr>
            <w:tcW w:w="1843" w:type="dxa"/>
            <w:tcBorders>
              <w:top w:val="nil"/>
              <w:left w:val="nil"/>
              <w:bottom w:val="nil"/>
              <w:right w:val="single" w:sz="4" w:space="0" w:color="auto"/>
            </w:tcBorders>
          </w:tcPr>
          <w:p w:rsidR="00EE288F" w:rsidRPr="00740D01" w:rsidRDefault="00EE288F" w:rsidP="00BF5044">
            <w:pPr>
              <w:spacing w:after="0"/>
              <w:rPr>
                <w:rFonts w:asciiTheme="minorHAnsi" w:hAnsiTheme="minorHAnsi" w:cstheme="minorHAnsi"/>
                <w:noProof/>
                <w:sz w:val="16"/>
                <w:lang w:eastAsia="en-GB"/>
              </w:rPr>
            </w:pPr>
            <w:r>
              <w:rPr>
                <w:rFonts w:asciiTheme="minorHAnsi" w:eastAsiaTheme="minorEastAsia" w:hAnsiTheme="minorHAnsi" w:cstheme="minorHAnsi"/>
                <w:noProof/>
                <w:sz w:val="16"/>
                <w:lang w:eastAsia="en-GB"/>
              </w:rPr>
              <w:t>CE</w:t>
            </w:r>
            <w:r w:rsidRPr="00740D01">
              <w:rPr>
                <w:rFonts w:asciiTheme="minorHAnsi" w:eastAsiaTheme="minorEastAsia" w:hAnsiTheme="minorHAnsi" w:cstheme="minorHAnsi"/>
                <w:noProof/>
                <w:sz w:val="16"/>
                <w:lang w:eastAsia="en-GB"/>
              </w:rPr>
              <w:t>CT scan cancellations</w:t>
            </w:r>
          </w:p>
        </w:tc>
        <w:tc>
          <w:tcPr>
            <w:tcW w:w="1559" w:type="dxa"/>
            <w:tcBorders>
              <w:left w:val="single" w:sz="4" w:space="0" w:color="auto"/>
            </w:tcBorders>
            <w:vAlign w:val="center"/>
          </w:tcPr>
          <w:p w:rsidR="00EE288F" w:rsidRPr="00740D01" w:rsidRDefault="00EE288F" w:rsidP="00BF5044">
            <w:pPr>
              <w:spacing w:after="0"/>
              <w:jc w:val="center"/>
              <w:rPr>
                <w:rFonts w:asciiTheme="minorHAnsi" w:hAnsiTheme="minorHAnsi" w:cstheme="minorHAnsi"/>
                <w:noProof/>
                <w:sz w:val="16"/>
                <w:lang w:eastAsia="en-GB"/>
              </w:rPr>
            </w:pPr>
            <w:r w:rsidRPr="00740D01">
              <w:rPr>
                <w:rFonts w:asciiTheme="minorHAnsi" w:eastAsiaTheme="minorEastAsia" w:hAnsiTheme="minorHAnsi" w:cstheme="minorHAnsi"/>
                <w:noProof/>
                <w:sz w:val="16"/>
                <w:lang w:eastAsia="en-GB"/>
              </w:rPr>
              <w:t>100%</w:t>
            </w:r>
          </w:p>
        </w:tc>
        <w:tc>
          <w:tcPr>
            <w:tcW w:w="1418" w:type="dxa"/>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2693" w:type="dxa"/>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1417" w:type="dxa"/>
            <w:vAlign w:val="center"/>
          </w:tcPr>
          <w:p w:rsidR="00EE288F" w:rsidRPr="00740D01" w:rsidRDefault="00EE288F" w:rsidP="00BF5044">
            <w:pPr>
              <w:spacing w:after="0"/>
              <w:jc w:val="center"/>
              <w:rPr>
                <w:rFonts w:asciiTheme="minorHAnsi" w:hAnsiTheme="minorHAnsi" w:cstheme="minorHAnsi"/>
                <w:noProof/>
                <w:sz w:val="16"/>
                <w:lang w:eastAsia="en-GB"/>
              </w:rPr>
            </w:pPr>
          </w:p>
        </w:tc>
        <w:tc>
          <w:tcPr>
            <w:tcW w:w="2694" w:type="dxa"/>
            <w:vAlign w:val="center"/>
          </w:tcPr>
          <w:p w:rsidR="00EE288F" w:rsidRPr="00740D01" w:rsidRDefault="00EE288F" w:rsidP="00BF5044">
            <w:pPr>
              <w:spacing w:after="0"/>
              <w:jc w:val="center"/>
              <w:rPr>
                <w:rFonts w:asciiTheme="minorHAnsi" w:hAnsiTheme="minorHAnsi" w:cstheme="minorHAnsi"/>
                <w:noProof/>
                <w:sz w:val="16"/>
                <w:lang w:eastAsia="en-GB"/>
              </w:rPr>
            </w:pPr>
            <w:r>
              <w:rPr>
                <w:rFonts w:asciiTheme="minorHAnsi" w:hAnsiTheme="minorHAnsi" w:cstheme="minorHAnsi"/>
                <w:noProof/>
                <w:sz w:val="16"/>
                <w:lang w:eastAsia="en-GB"/>
              </w:rPr>
              <w:t>50</w:t>
            </w:r>
            <w:r w:rsidRPr="00740D01">
              <w:rPr>
                <w:rFonts w:asciiTheme="minorHAnsi" w:hAnsiTheme="minorHAnsi" w:cstheme="minorHAnsi"/>
                <w:noProof/>
                <w:sz w:val="16"/>
                <w:lang w:eastAsia="en-GB"/>
              </w:rPr>
              <w:t>%                             0%</w:t>
            </w:r>
          </w:p>
        </w:tc>
        <w:tc>
          <w:tcPr>
            <w:tcW w:w="1417" w:type="dxa"/>
            <w:vAlign w:val="center"/>
          </w:tcPr>
          <w:p w:rsidR="00EE288F" w:rsidRPr="00740D01" w:rsidRDefault="00EE288F" w:rsidP="00BF5044">
            <w:pPr>
              <w:spacing w:after="0"/>
              <w:jc w:val="center"/>
              <w:rPr>
                <w:rFonts w:asciiTheme="minorHAnsi" w:hAnsiTheme="minorHAnsi" w:cstheme="minorHAnsi"/>
                <w:noProof/>
                <w:sz w:val="16"/>
                <w:lang w:eastAsia="en-GB"/>
              </w:rPr>
            </w:pPr>
          </w:p>
        </w:tc>
      </w:tr>
      <w:tr w:rsidR="00EE288F" w:rsidRPr="00740D01" w:rsidTr="00BF5044">
        <w:tc>
          <w:tcPr>
            <w:tcW w:w="1843" w:type="dxa"/>
            <w:tcBorders>
              <w:top w:val="nil"/>
              <w:left w:val="nil"/>
              <w:bottom w:val="nil"/>
              <w:right w:val="single" w:sz="4" w:space="0" w:color="auto"/>
            </w:tcBorders>
          </w:tcPr>
          <w:p w:rsidR="00EE288F" w:rsidRPr="00740D01" w:rsidRDefault="00EE288F" w:rsidP="00BF5044">
            <w:pPr>
              <w:spacing w:after="0"/>
              <w:rPr>
                <w:rFonts w:asciiTheme="minorHAnsi" w:hAnsiTheme="minorHAnsi" w:cstheme="minorHAnsi"/>
                <w:noProof/>
                <w:sz w:val="16"/>
                <w:lang w:eastAsia="en-GB"/>
              </w:rPr>
            </w:pPr>
            <w:r w:rsidRPr="00740D01">
              <w:rPr>
                <w:rFonts w:asciiTheme="minorHAnsi" w:eastAsiaTheme="minorEastAsia" w:hAnsiTheme="minorHAnsi" w:cstheme="minorHAnsi"/>
                <w:noProof/>
                <w:sz w:val="16"/>
                <w:lang w:eastAsia="en-GB"/>
              </w:rPr>
              <w:t>% eGFR&lt;30</w:t>
            </w:r>
          </w:p>
        </w:tc>
        <w:tc>
          <w:tcPr>
            <w:tcW w:w="1559" w:type="dxa"/>
            <w:tcBorders>
              <w:left w:val="single" w:sz="4" w:space="0" w:color="auto"/>
            </w:tcBorders>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Pr>
                <w:noProof/>
                <w:lang w:eastAsia="en-GB"/>
              </w:rPr>
              <mc:AlternateContent>
                <mc:Choice Requires="wps">
                  <w:drawing>
                    <wp:anchor distT="0" distB="0" distL="114300" distR="114300" simplePos="0" relativeHeight="251665408" behindDoc="0" locked="0" layoutInCell="1" allowOverlap="1" wp14:anchorId="374AA4A1" wp14:editId="5B58CF7B">
                      <wp:simplePos x="0" y="0"/>
                      <wp:positionH relativeFrom="column">
                        <wp:posOffset>909320</wp:posOffset>
                      </wp:positionH>
                      <wp:positionV relativeFrom="paragraph">
                        <wp:posOffset>165735</wp:posOffset>
                      </wp:positionV>
                      <wp:extent cx="0" cy="3348000"/>
                      <wp:effectExtent l="0" t="0" r="38100" b="24130"/>
                      <wp:wrapNone/>
                      <wp:docPr id="23" name="Straight Connector 23"/>
                      <wp:cNvGraphicFramePr/>
                      <a:graphic xmlns:a="http://schemas.openxmlformats.org/drawingml/2006/main">
                        <a:graphicData uri="http://schemas.microsoft.com/office/word/2010/wordprocessingShape">
                          <wps:wsp>
                            <wps:cNvCnPr/>
                            <wps:spPr>
                              <a:xfrm>
                                <a:off x="0" y="0"/>
                                <a:ext cx="0" cy="3348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525AE7"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pt,13.05pt" to="71.6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" strokecolor="#7f7f7f [1612]" strokeweight=".5pt">
                      <v:stroke joinstyle="miter"/>
                    </v:line>
                  </w:pict>
                </mc:Fallback>
              </mc:AlternateContent>
            </w:r>
            <w:r w:rsidRPr="00740D01">
              <w:rPr>
                <w:rFonts w:asciiTheme="minorHAnsi" w:eastAsiaTheme="minorEastAsia" w:hAnsiTheme="minorHAnsi" w:cstheme="minorHAnsi"/>
                <w:noProof/>
                <w:sz w:val="16"/>
                <w:lang w:eastAsia="en-GB"/>
              </w:rPr>
              <w:t>0.06%</w:t>
            </w:r>
          </w:p>
        </w:tc>
        <w:tc>
          <w:tcPr>
            <w:tcW w:w="1418" w:type="dxa"/>
            <w:shd w:val="clear" w:color="auto" w:fill="E7E6E6" w:themeFill="background2"/>
            <w:vAlign w:val="center"/>
          </w:tcPr>
          <w:p w:rsidR="00EE288F" w:rsidRPr="00740D01" w:rsidRDefault="00C95852" w:rsidP="00BF5044">
            <w:pPr>
              <w:spacing w:after="0"/>
              <w:jc w:val="center"/>
              <w:rPr>
                <w:rFonts w:asciiTheme="minorHAnsi" w:hAnsiTheme="minorHAnsi" w:cstheme="minorHAnsi"/>
                <w:noProof/>
                <w:sz w:val="16"/>
                <w:lang w:eastAsia="en-GB"/>
              </w:rPr>
            </w:pPr>
            <w:r>
              <w:rPr>
                <w:noProof/>
                <w:lang w:eastAsia="en-GB"/>
              </w:rPr>
              <mc:AlternateContent>
                <mc:Choice Requires="wps">
                  <w:drawing>
                    <wp:anchor distT="0" distB="0" distL="114300" distR="114300" simplePos="0" relativeHeight="251666432" behindDoc="0" locked="0" layoutInCell="1" allowOverlap="1" wp14:anchorId="3F199C33" wp14:editId="5795F55F">
                      <wp:simplePos x="0" y="0"/>
                      <wp:positionH relativeFrom="column">
                        <wp:posOffset>825500</wp:posOffset>
                      </wp:positionH>
                      <wp:positionV relativeFrom="paragraph">
                        <wp:posOffset>147320</wp:posOffset>
                      </wp:positionV>
                      <wp:extent cx="0" cy="3347720"/>
                      <wp:effectExtent l="0" t="0" r="19050" b="24130"/>
                      <wp:wrapNone/>
                      <wp:docPr id="24" name="Straight Connector 24"/>
                      <wp:cNvGraphicFramePr/>
                      <a:graphic xmlns:a="http://schemas.openxmlformats.org/drawingml/2006/main">
                        <a:graphicData uri="http://schemas.microsoft.com/office/word/2010/wordprocessingShape">
                          <wps:wsp>
                            <wps:cNvCnPr/>
                            <wps:spPr>
                              <a:xfrm>
                                <a:off x="0" y="0"/>
                                <a:ext cx="0" cy="334772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D66CF"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1.6pt" to="65pt,2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" strokecolor="#7f7f7f [1612]" strokeweight=".5pt">
                      <v:stroke joinstyle="miter"/>
                    </v:line>
                  </w:pict>
                </mc:Fallback>
              </mc:AlternateContent>
            </w:r>
          </w:p>
        </w:tc>
        <w:tc>
          <w:tcPr>
            <w:tcW w:w="2693"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Pr>
                <w:noProof/>
                <w:lang w:eastAsia="en-GB"/>
              </w:rPr>
              <mc:AlternateContent>
                <mc:Choice Requires="wps">
                  <w:drawing>
                    <wp:anchor distT="0" distB="0" distL="114300" distR="114300" simplePos="0" relativeHeight="251667456" behindDoc="0" locked="0" layoutInCell="1" allowOverlap="1" wp14:anchorId="66893B10" wp14:editId="4245D0BD">
                      <wp:simplePos x="0" y="0"/>
                      <wp:positionH relativeFrom="column">
                        <wp:posOffset>1627505</wp:posOffset>
                      </wp:positionH>
                      <wp:positionV relativeFrom="paragraph">
                        <wp:posOffset>168910</wp:posOffset>
                      </wp:positionV>
                      <wp:extent cx="0" cy="3347720"/>
                      <wp:effectExtent l="0" t="0" r="19050" b="24130"/>
                      <wp:wrapNone/>
                      <wp:docPr id="25" name="Straight Connector 25"/>
                      <wp:cNvGraphicFramePr/>
                      <a:graphic xmlns:a="http://schemas.openxmlformats.org/drawingml/2006/main">
                        <a:graphicData uri="http://schemas.microsoft.com/office/word/2010/wordprocessingShape">
                          <wps:wsp>
                            <wps:cNvCnPr/>
                            <wps:spPr>
                              <a:xfrm>
                                <a:off x="0" y="0"/>
                                <a:ext cx="0" cy="334772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BA1EAC"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5pt,13.3pt" to="128.15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" strokecolor="#7f7f7f [1612]" strokeweight=".5pt">
                      <v:stroke joinstyle="miter"/>
                    </v:line>
                  </w:pict>
                </mc:Fallback>
              </mc:AlternateContent>
            </w:r>
          </w:p>
        </w:tc>
        <w:tc>
          <w:tcPr>
            <w:tcW w:w="1417"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Pr>
                <w:noProof/>
                <w:lang w:eastAsia="en-GB"/>
              </w:rPr>
              <mc:AlternateContent>
                <mc:Choice Requires="wps">
                  <w:drawing>
                    <wp:anchor distT="0" distB="0" distL="114300" distR="114300" simplePos="0" relativeHeight="251668480" behindDoc="0" locked="0" layoutInCell="1" allowOverlap="1" wp14:anchorId="5B9426D1" wp14:editId="6E05AC81">
                      <wp:simplePos x="0" y="0"/>
                      <wp:positionH relativeFrom="column">
                        <wp:posOffset>826770</wp:posOffset>
                      </wp:positionH>
                      <wp:positionV relativeFrom="paragraph">
                        <wp:posOffset>169545</wp:posOffset>
                      </wp:positionV>
                      <wp:extent cx="0" cy="3348000"/>
                      <wp:effectExtent l="0" t="0" r="38100" b="24130"/>
                      <wp:wrapNone/>
                      <wp:docPr id="26" name="Straight Connector 26"/>
                      <wp:cNvGraphicFramePr/>
                      <a:graphic xmlns:a="http://schemas.openxmlformats.org/drawingml/2006/main">
                        <a:graphicData uri="http://schemas.microsoft.com/office/word/2010/wordprocessingShape">
                          <wps:wsp>
                            <wps:cNvCnPr/>
                            <wps:spPr>
                              <a:xfrm>
                                <a:off x="0" y="0"/>
                                <a:ext cx="0" cy="3348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37F1D3"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3.35pt" to="65.1pt,2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" strokecolor="#7f7f7f [1612]" strokeweight=".5pt">
                      <v:stroke joinstyle="miter"/>
                    </v:line>
                  </w:pict>
                </mc:Fallback>
              </mc:AlternateContent>
            </w:r>
          </w:p>
        </w:tc>
        <w:tc>
          <w:tcPr>
            <w:tcW w:w="2694"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Pr>
                <w:noProof/>
                <w:lang w:eastAsia="en-GB"/>
              </w:rPr>
              <mc:AlternateContent>
                <mc:Choice Requires="wps">
                  <w:drawing>
                    <wp:anchor distT="0" distB="0" distL="114300" distR="114300" simplePos="0" relativeHeight="251669504" behindDoc="0" locked="0" layoutInCell="1" allowOverlap="1" wp14:anchorId="24FA928B" wp14:editId="27AFEE62">
                      <wp:simplePos x="0" y="0"/>
                      <wp:positionH relativeFrom="column">
                        <wp:posOffset>1633220</wp:posOffset>
                      </wp:positionH>
                      <wp:positionV relativeFrom="paragraph">
                        <wp:posOffset>168910</wp:posOffset>
                      </wp:positionV>
                      <wp:extent cx="0" cy="3348000"/>
                      <wp:effectExtent l="0" t="0" r="38100" b="24130"/>
                      <wp:wrapNone/>
                      <wp:docPr id="27" name="Straight Connector 27"/>
                      <wp:cNvGraphicFramePr/>
                      <a:graphic xmlns:a="http://schemas.openxmlformats.org/drawingml/2006/main">
                        <a:graphicData uri="http://schemas.microsoft.com/office/word/2010/wordprocessingShape">
                          <wps:wsp>
                            <wps:cNvCnPr/>
                            <wps:spPr>
                              <a:xfrm>
                                <a:off x="0" y="0"/>
                                <a:ext cx="0" cy="3348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8C6747"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13.3pt" to="128.6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" strokecolor="#7f7f7f [1612]" strokeweight=".5pt">
                      <v:stroke joinstyle="miter"/>
                    </v:line>
                  </w:pict>
                </mc:Fallback>
              </mc:AlternateContent>
            </w:r>
          </w:p>
        </w:tc>
        <w:tc>
          <w:tcPr>
            <w:tcW w:w="1417" w:type="dxa"/>
            <w:shd w:val="clear" w:color="auto" w:fill="E7E6E6" w:themeFill="background2"/>
            <w:vAlign w:val="center"/>
          </w:tcPr>
          <w:p w:rsidR="00EE288F" w:rsidRPr="00740D01" w:rsidRDefault="00EE288F" w:rsidP="00BF5044">
            <w:pPr>
              <w:spacing w:after="0"/>
              <w:jc w:val="center"/>
              <w:rPr>
                <w:rFonts w:asciiTheme="minorHAnsi" w:hAnsiTheme="minorHAnsi" w:cstheme="minorHAnsi"/>
                <w:noProof/>
                <w:sz w:val="16"/>
                <w:lang w:eastAsia="en-GB"/>
              </w:rPr>
            </w:pPr>
            <w:r>
              <w:rPr>
                <w:noProof/>
                <w:lang w:eastAsia="en-GB"/>
              </w:rPr>
              <mc:AlternateContent>
                <mc:Choice Requires="wps">
                  <w:drawing>
                    <wp:anchor distT="0" distB="0" distL="114300" distR="114300" simplePos="0" relativeHeight="251670528" behindDoc="0" locked="0" layoutInCell="1" allowOverlap="1" wp14:anchorId="1D2C7C30" wp14:editId="37E58B1F">
                      <wp:simplePos x="0" y="0"/>
                      <wp:positionH relativeFrom="column">
                        <wp:posOffset>825500</wp:posOffset>
                      </wp:positionH>
                      <wp:positionV relativeFrom="paragraph">
                        <wp:posOffset>153670</wp:posOffset>
                      </wp:positionV>
                      <wp:extent cx="0" cy="3347720"/>
                      <wp:effectExtent l="0" t="0" r="19050" b="24130"/>
                      <wp:wrapNone/>
                      <wp:docPr id="28" name="Straight Connector 28"/>
                      <wp:cNvGraphicFramePr/>
                      <a:graphic xmlns:a="http://schemas.openxmlformats.org/drawingml/2006/main">
                        <a:graphicData uri="http://schemas.microsoft.com/office/word/2010/wordprocessingShape">
                          <wps:wsp>
                            <wps:cNvCnPr/>
                            <wps:spPr>
                              <a:xfrm>
                                <a:off x="0" y="0"/>
                                <a:ext cx="0" cy="334772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58F9B" id="Straight Connector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1pt" to="65pt,2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" strokecolor="#7f7f7f [1612]" strokeweight=".5pt">
                      <v:stroke joinstyle="miter"/>
                    </v:line>
                  </w:pict>
                </mc:Fallback>
              </mc:AlternateContent>
            </w:r>
            <w:r w:rsidRPr="00740D01">
              <w:rPr>
                <w:rFonts w:asciiTheme="minorHAnsi" w:hAnsiTheme="minorHAnsi" w:cstheme="minorHAnsi"/>
                <w:noProof/>
                <w:sz w:val="16"/>
                <w:lang w:eastAsia="en-GB"/>
              </w:rPr>
              <w:t>15.4%</w:t>
            </w:r>
          </w:p>
        </w:tc>
      </w:tr>
    </w:tbl>
    <w:p w:rsidR="00EE288F" w:rsidRDefault="00C95852" w:rsidP="00BF5044">
      <w:pPr>
        <w:sectPr w:rsidR="00EE288F" w:rsidSect="00BF5044">
          <w:pgSz w:w="16838" w:h="11906" w:orient="landscape"/>
          <w:pgMar w:top="1440" w:right="1440" w:bottom="1440" w:left="1440" w:header="708" w:footer="708" w:gutter="0"/>
          <w:cols w:space="708"/>
          <w:docGrid w:linePitch="360"/>
        </w:sectPr>
      </w:pPr>
      <w:r>
        <w:rPr>
          <w:noProof/>
          <w:lang w:eastAsia="en-GB"/>
        </w:rPr>
        <mc:AlternateContent>
          <mc:Choice Requires="wps">
            <w:drawing>
              <wp:anchor distT="45720" distB="45720" distL="114300" distR="114300" simplePos="0" relativeHeight="251664384" behindDoc="0" locked="0" layoutInCell="1" allowOverlap="1" wp14:anchorId="29E2579A" wp14:editId="5748CDFB">
                <wp:simplePos x="0" y="0"/>
                <wp:positionH relativeFrom="column">
                  <wp:posOffset>1096579</wp:posOffset>
                </wp:positionH>
                <wp:positionV relativeFrom="paragraph">
                  <wp:posOffset>1620909</wp:posOffset>
                </wp:positionV>
                <wp:extent cx="758190" cy="197892"/>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97892"/>
                        </a:xfrm>
                        <a:prstGeom prst="rect">
                          <a:avLst/>
                        </a:prstGeom>
                        <a:noFill/>
                        <a:ln w="9525">
                          <a:noFill/>
                          <a:miter lim="800000"/>
                          <a:headEnd/>
                          <a:tailEnd/>
                        </a:ln>
                      </wps:spPr>
                      <wps:txbx>
                        <w:txbxContent>
                          <w:p w:rsidR="00165EDF" w:rsidRPr="00C97696" w:rsidRDefault="00165EDF" w:rsidP="00BF5044">
                            <w:pPr>
                              <w:jc w:val="right"/>
                              <w:rPr>
                                <w:sz w:val="16"/>
                              </w:rPr>
                            </w:pPr>
                            <w:r w:rsidRPr="00C97696">
                              <w:rPr>
                                <w:sz w:val="16"/>
                              </w:rPr>
                              <w:t>POC</w:t>
                            </w:r>
                            <w:r>
                              <w:rPr>
                                <w:sz w:val="16"/>
                              </w:rPr>
                              <w:t xml:space="preserve"> + Lab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2579A" id="Text Box 2" o:spid="_x0000_s1027" type="#_x0000_t202" style="position:absolute;margin-left:86.35pt;margin-top:127.65pt;width:59.7pt;height:15.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" filled="f" stroked="f">
                <v:textbox>
                  <w:txbxContent>
                    <w:p w:rsidR="00165EDF" w:rsidRPr="00C97696" w:rsidRDefault="00165EDF" w:rsidP="00BF5044">
                      <w:pPr>
                        <w:jc w:val="right"/>
                        <w:rPr>
                          <w:sz w:val="16"/>
                        </w:rPr>
                      </w:pPr>
                      <w:r w:rsidRPr="00C97696">
                        <w:rPr>
                          <w:sz w:val="16"/>
                        </w:rPr>
                        <w:t>POC</w:t>
                      </w:r>
                      <w:r>
                        <w:rPr>
                          <w:sz w:val="16"/>
                        </w:rPr>
                        <w:t xml:space="preserve"> + Lab</w:t>
                      </w:r>
                    </w:p>
                  </w:txbxContent>
                </v:textbox>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30FE23ED" wp14:editId="108A9955">
                <wp:simplePos x="0" y="0"/>
                <wp:positionH relativeFrom="column">
                  <wp:posOffset>1089063</wp:posOffset>
                </wp:positionH>
                <wp:positionV relativeFrom="paragraph">
                  <wp:posOffset>1351545</wp:posOffset>
                </wp:positionV>
                <wp:extent cx="75819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404620"/>
                        </a:xfrm>
                        <a:prstGeom prst="rect">
                          <a:avLst/>
                        </a:prstGeom>
                        <a:noFill/>
                        <a:ln w="9525">
                          <a:noFill/>
                          <a:miter lim="800000"/>
                          <a:headEnd/>
                          <a:tailEnd/>
                        </a:ln>
                      </wps:spPr>
                      <wps:txbx>
                        <w:txbxContent>
                          <w:p w:rsidR="00165EDF" w:rsidRPr="00C97696" w:rsidRDefault="00165EDF" w:rsidP="00BF5044">
                            <w:pPr>
                              <w:jc w:val="right"/>
                              <w:rPr>
                                <w:sz w:val="16"/>
                              </w:rPr>
                            </w:pPr>
                            <w:r w:rsidRPr="00C97696">
                              <w:rPr>
                                <w:sz w:val="16"/>
                              </w:rPr>
                              <w:t>RF+POC</w:t>
                            </w:r>
                            <w:r>
                              <w:rPr>
                                <w:sz w:val="16"/>
                              </w:rPr>
                              <w:t>+Lab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E23ED" id="_x0000_s1028" type="#_x0000_t202" style="position:absolute;margin-left:85.75pt;margin-top:106.4pt;width:59.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" filled="f" stroked="f">
                <v:textbox style="mso-fit-shape-to-text:t">
                  <w:txbxContent>
                    <w:p w:rsidR="00165EDF" w:rsidRPr="00C97696" w:rsidRDefault="00165EDF" w:rsidP="00BF5044">
                      <w:pPr>
                        <w:jc w:val="right"/>
                        <w:rPr>
                          <w:sz w:val="16"/>
                        </w:rPr>
                      </w:pPr>
                      <w:r w:rsidRPr="00C97696">
                        <w:rPr>
                          <w:sz w:val="16"/>
                        </w:rPr>
                        <w:t>RF+POC</w:t>
                      </w:r>
                      <w:r>
                        <w:rPr>
                          <w:sz w:val="16"/>
                        </w:rPr>
                        <w:t>+Lab</w:t>
                      </w:r>
                    </w:p>
                  </w:txbxContent>
                </v:textbox>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1171392C" wp14:editId="4EFDE5EE">
                <wp:simplePos x="0" y="0"/>
                <wp:positionH relativeFrom="column">
                  <wp:posOffset>1278255</wp:posOffset>
                </wp:positionH>
                <wp:positionV relativeFrom="paragraph">
                  <wp:posOffset>1483995</wp:posOffset>
                </wp:positionV>
                <wp:extent cx="5689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404620"/>
                        </a:xfrm>
                        <a:prstGeom prst="rect">
                          <a:avLst/>
                        </a:prstGeom>
                        <a:noFill/>
                        <a:ln w="9525">
                          <a:noFill/>
                          <a:miter lim="800000"/>
                          <a:headEnd/>
                          <a:tailEnd/>
                        </a:ln>
                      </wps:spPr>
                      <wps:txbx>
                        <w:txbxContent>
                          <w:p w:rsidR="00165EDF" w:rsidRPr="00C97696" w:rsidRDefault="00165EDF" w:rsidP="00BF5044">
                            <w:pPr>
                              <w:jc w:val="right"/>
                              <w:rPr>
                                <w:sz w:val="16"/>
                              </w:rPr>
                            </w:pPr>
                            <w:r w:rsidRPr="00C97696">
                              <w:rPr>
                                <w:sz w:val="16"/>
                              </w:rPr>
                              <w:t>RF+POC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1392C" id="_x0000_s1029" type="#_x0000_t202" style="position:absolute;margin-left:100.65pt;margin-top:116.85pt;width:44.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" filled="f" stroked="f">
                <v:textbox style="mso-fit-shape-to-text:t">
                  <w:txbxContent>
                    <w:p w:rsidR="00165EDF" w:rsidRPr="00C97696" w:rsidRDefault="00165EDF" w:rsidP="00BF5044">
                      <w:pPr>
                        <w:jc w:val="right"/>
                        <w:rPr>
                          <w:sz w:val="16"/>
                        </w:rPr>
                      </w:pPr>
                      <w:r w:rsidRPr="00C97696">
                        <w:rPr>
                          <w:sz w:val="16"/>
                        </w:rPr>
                        <w:t>RF+POC</w:t>
                      </w:r>
                    </w:p>
                  </w:txbxContent>
                </v:textbox>
              </v:shape>
            </w:pict>
          </mc:Fallback>
        </mc:AlternateContent>
      </w:r>
      <w:r w:rsidR="00EE288F">
        <w:rPr>
          <w:noProof/>
          <w:lang w:eastAsia="en-GB"/>
        </w:rPr>
        <mc:AlternateContent>
          <mc:Choice Requires="wps">
            <w:drawing>
              <wp:anchor distT="0" distB="0" distL="114300" distR="114300" simplePos="0" relativeHeight="251659264" behindDoc="0" locked="0" layoutInCell="1" allowOverlap="1" wp14:anchorId="45CC5914" wp14:editId="2ED0F4E7">
                <wp:simplePos x="0" y="0"/>
                <wp:positionH relativeFrom="margin">
                  <wp:posOffset>304800</wp:posOffset>
                </wp:positionH>
                <wp:positionV relativeFrom="paragraph">
                  <wp:posOffset>3522345</wp:posOffset>
                </wp:positionV>
                <wp:extent cx="8260715" cy="1362075"/>
                <wp:effectExtent l="0" t="0" r="6985" b="9525"/>
                <wp:wrapNone/>
                <wp:docPr id="15" name="Text Box 15"/>
                <wp:cNvGraphicFramePr/>
                <a:graphic xmlns:a="http://schemas.openxmlformats.org/drawingml/2006/main">
                  <a:graphicData uri="http://schemas.microsoft.com/office/word/2010/wordprocessingShape">
                    <wps:wsp>
                      <wps:cNvSpPr txBox="1"/>
                      <wps:spPr>
                        <a:xfrm>
                          <a:off x="0" y="0"/>
                          <a:ext cx="8260715" cy="1362075"/>
                        </a:xfrm>
                        <a:prstGeom prst="rect">
                          <a:avLst/>
                        </a:prstGeom>
                        <a:solidFill>
                          <a:schemeClr val="lt1"/>
                        </a:solidFill>
                        <a:ln w="6350">
                          <a:noFill/>
                        </a:ln>
                      </wps:spPr>
                      <wps:txbx>
                        <w:txbxContent>
                          <w:p w:rsidR="00165EDF" w:rsidRPr="00B60DC0" w:rsidRDefault="00165EDF" w:rsidP="00BF5044">
                            <w:pPr>
                              <w:spacing w:after="0"/>
                              <w:rPr>
                                <w:sz w:val="18"/>
                                <w:szCs w:val="18"/>
                              </w:rPr>
                            </w:pPr>
                            <w:r w:rsidRPr="00D24C2C">
                              <w:rPr>
                                <w:b/>
                                <w:sz w:val="18"/>
                                <w:szCs w:val="18"/>
                              </w:rPr>
                              <w:t>Abbreviations</w:t>
                            </w:r>
                            <w:r w:rsidRPr="00AA76C6">
                              <w:rPr>
                                <w:sz w:val="18"/>
                                <w:szCs w:val="18"/>
                              </w:rPr>
                              <w:t xml:space="preserve">: </w:t>
                            </w:r>
                            <w:r w:rsidRPr="00B60DC0">
                              <w:rPr>
                                <w:sz w:val="18"/>
                                <w:szCs w:val="18"/>
                              </w:rPr>
                              <w:t xml:space="preserve">BL, baseline; RF screen, diagnostic accuracy of risk factor questionnaire; Sen, sensitivity; </w:t>
                            </w:r>
                            <w:proofErr w:type="spellStart"/>
                            <w:r w:rsidRPr="00B60DC0">
                              <w:rPr>
                                <w:sz w:val="18"/>
                                <w:szCs w:val="18"/>
                              </w:rPr>
                              <w:t>Sp</w:t>
                            </w:r>
                            <w:proofErr w:type="spellEnd"/>
                            <w:r w:rsidRPr="00B60DC0">
                              <w:rPr>
                                <w:sz w:val="18"/>
                                <w:szCs w:val="18"/>
                              </w:rPr>
                              <w:t>, specificity.</w:t>
                            </w:r>
                          </w:p>
                          <w:p w:rsidR="00165EDF" w:rsidRDefault="00165EDF" w:rsidP="00BF5044">
                            <w:pPr>
                              <w:spacing w:after="0"/>
                              <w:rPr>
                                <w:sz w:val="18"/>
                                <w:szCs w:val="18"/>
                              </w:rPr>
                            </w:pPr>
                            <w:proofErr w:type="gramStart"/>
                            <w:r w:rsidRPr="00C920BD">
                              <w:rPr>
                                <w:b/>
                                <w:sz w:val="18"/>
                                <w:szCs w:val="18"/>
                                <w:vertAlign w:val="superscript"/>
                              </w:rPr>
                              <w:t>*</w:t>
                            </w:r>
                            <w:r w:rsidRPr="00AA76C6">
                              <w:rPr>
                                <w:b/>
                                <w:sz w:val="18"/>
                                <w:szCs w:val="18"/>
                              </w:rPr>
                              <w:t>Description of scenarios</w:t>
                            </w:r>
                            <w:r w:rsidRPr="00B60DC0">
                              <w:rPr>
                                <w:sz w:val="18"/>
                                <w:szCs w:val="18"/>
                              </w:rPr>
                              <w:t xml:space="preserve">: </w:t>
                            </w:r>
                            <w:r w:rsidRPr="00AA76C6">
                              <w:rPr>
                                <w:sz w:val="18"/>
                                <w:szCs w:val="18"/>
                                <w:u w:val="single"/>
                              </w:rPr>
                              <w:t>Scenario 1</w:t>
                            </w:r>
                            <w:r w:rsidRPr="00B60DC0">
                              <w:rPr>
                                <w:sz w:val="18"/>
                                <w:szCs w:val="18"/>
                              </w:rPr>
                              <w:t xml:space="preserve"> -- d</w:t>
                            </w:r>
                            <w:r w:rsidRPr="00AA76C6">
                              <w:rPr>
                                <w:sz w:val="18"/>
                                <w:szCs w:val="18"/>
                              </w:rPr>
                              <w:t>iagnostic accuracy of RF screening questionnaires informed by data on an alternative questionnaire[23]</w:t>
                            </w:r>
                            <w:r>
                              <w:rPr>
                                <w:sz w:val="18"/>
                                <w:szCs w:val="18"/>
                              </w:rPr>
                              <w:t>(</w:t>
                            </w:r>
                            <w:r w:rsidRPr="00AA76C6">
                              <w:rPr>
                                <w:sz w:val="18"/>
                                <w:szCs w:val="18"/>
                              </w:rPr>
                              <w:t>Sensitivity = 88.2% and specificity = 45.2%</w:t>
                            </w:r>
                            <w:r>
                              <w:rPr>
                                <w:sz w:val="18"/>
                                <w:szCs w:val="18"/>
                              </w:rPr>
                              <w:t>)</w:t>
                            </w:r>
                            <w:r w:rsidRPr="00B60DC0">
                              <w:rPr>
                                <w:sz w:val="18"/>
                                <w:szCs w:val="18"/>
                              </w:rPr>
                              <w:t xml:space="preserve">; </w:t>
                            </w:r>
                            <w:r w:rsidRPr="00AA76C6">
                              <w:rPr>
                                <w:sz w:val="18"/>
                                <w:szCs w:val="18"/>
                                <w:u w:val="single"/>
                              </w:rPr>
                              <w:t>Scenario 2.1</w:t>
                            </w:r>
                            <w:r w:rsidRPr="00AA76C6">
                              <w:rPr>
                                <w:sz w:val="18"/>
                                <w:szCs w:val="18"/>
                              </w:rPr>
                              <w:t xml:space="preserve"> -- Throughput estimates 50% lower than base-case</w:t>
                            </w:r>
                            <w:r w:rsidRPr="00B60DC0">
                              <w:rPr>
                                <w:sz w:val="18"/>
                                <w:szCs w:val="18"/>
                              </w:rPr>
                              <w:t xml:space="preserve">; </w:t>
                            </w:r>
                            <w:r w:rsidRPr="00AA76C6">
                              <w:rPr>
                                <w:sz w:val="18"/>
                                <w:szCs w:val="18"/>
                                <w:u w:val="single"/>
                              </w:rPr>
                              <w:t>Scenario 2.2</w:t>
                            </w:r>
                            <w:r w:rsidRPr="00AA76C6">
                              <w:rPr>
                                <w:sz w:val="18"/>
                                <w:szCs w:val="18"/>
                              </w:rPr>
                              <w:t xml:space="preserve"> </w:t>
                            </w:r>
                            <w:r>
                              <w:rPr>
                                <w:sz w:val="18"/>
                                <w:szCs w:val="18"/>
                              </w:rPr>
                              <w:t xml:space="preserve">-- </w:t>
                            </w:r>
                            <w:r w:rsidRPr="00AA76C6">
                              <w:rPr>
                                <w:sz w:val="18"/>
                                <w:szCs w:val="18"/>
                              </w:rPr>
                              <w:t>Throughput estimates 50% higher than base-case</w:t>
                            </w:r>
                            <w:r w:rsidRPr="00B60DC0">
                              <w:rPr>
                                <w:sz w:val="18"/>
                                <w:szCs w:val="18"/>
                              </w:rPr>
                              <w:t xml:space="preserve">; </w:t>
                            </w:r>
                            <w:r w:rsidRPr="00AA76C6">
                              <w:rPr>
                                <w:sz w:val="18"/>
                                <w:szCs w:val="18"/>
                                <w:u w:val="single"/>
                              </w:rPr>
                              <w:t>Scenario 3</w:t>
                            </w:r>
                            <w:r>
                              <w:rPr>
                                <w:sz w:val="18"/>
                                <w:szCs w:val="18"/>
                              </w:rPr>
                              <w:t xml:space="preserve"> -- </w:t>
                            </w:r>
                            <w:r w:rsidRPr="00AA76C6">
                              <w:rPr>
                                <w:sz w:val="18"/>
                                <w:szCs w:val="18"/>
                              </w:rPr>
                              <w:t>The effect of IV hydration on the risk of PC-AKI for patients with eGFR&lt;30 mL/min/1.73m</w:t>
                            </w:r>
                            <w:r w:rsidRPr="00BA4BEE">
                              <w:rPr>
                                <w:sz w:val="18"/>
                                <w:szCs w:val="18"/>
                                <w:vertAlign w:val="superscript"/>
                              </w:rPr>
                              <w:t>2</w:t>
                            </w:r>
                            <w:r w:rsidRPr="00AA76C6">
                              <w:rPr>
                                <w:sz w:val="18"/>
                                <w:szCs w:val="18"/>
                              </w:rPr>
                              <w:t xml:space="preserve"> is set to 0.52 (i.e. lower bound of the 95% confidence interval for the base-case estimate[15]). </w:t>
                            </w:r>
                            <w:r>
                              <w:rPr>
                                <w:sz w:val="18"/>
                                <w:szCs w:val="18"/>
                              </w:rPr>
                              <w:t>resulting</w:t>
                            </w:r>
                            <w:r w:rsidRPr="00AA76C6">
                              <w:rPr>
                                <w:sz w:val="18"/>
                                <w:szCs w:val="18"/>
                              </w:rPr>
                              <w:t xml:space="preserve"> </w:t>
                            </w:r>
                            <w:r>
                              <w:rPr>
                                <w:sz w:val="18"/>
                                <w:szCs w:val="18"/>
                              </w:rPr>
                              <w:t>in</w:t>
                            </w:r>
                            <w:r w:rsidRPr="00AA76C6">
                              <w:rPr>
                                <w:sz w:val="18"/>
                                <w:szCs w:val="18"/>
                              </w:rPr>
                              <w:t xml:space="preserve"> a higher risk of PC-AKI </w:t>
                            </w:r>
                            <w:r>
                              <w:rPr>
                                <w:sz w:val="18"/>
                                <w:szCs w:val="18"/>
                              </w:rPr>
                              <w:t xml:space="preserve">of </w:t>
                            </w:r>
                            <w:r w:rsidRPr="00AA76C6">
                              <w:rPr>
                                <w:sz w:val="18"/>
                                <w:szCs w:val="18"/>
                              </w:rPr>
                              <w:t>18.9%</w:t>
                            </w:r>
                            <w:r>
                              <w:rPr>
                                <w:sz w:val="18"/>
                                <w:szCs w:val="18"/>
                              </w:rPr>
                              <w:t xml:space="preserve">; </w:t>
                            </w:r>
                            <w:r w:rsidRPr="00AA76C6">
                              <w:rPr>
                                <w:sz w:val="18"/>
                                <w:szCs w:val="18"/>
                                <w:u w:val="single"/>
                              </w:rPr>
                              <w:t>Scenario 4.1.</w:t>
                            </w:r>
                            <w:r w:rsidRPr="00AA76C6">
                              <w:rPr>
                                <w:sz w:val="18"/>
                                <w:szCs w:val="18"/>
                              </w:rPr>
                              <w:t xml:space="preserve"> 50% </w:t>
                            </w:r>
                            <w:r w:rsidRPr="00FC6835">
                              <w:rPr>
                                <w:sz w:val="18"/>
                                <w:szCs w:val="18"/>
                              </w:rPr>
                              <w:t xml:space="preserve">of CT scans cancelled as a result of requiring a </w:t>
                            </w:r>
                            <w:r w:rsidRPr="00BA4BEE">
                              <w:rPr>
                                <w:sz w:val="18"/>
                                <w:szCs w:val="18"/>
                              </w:rPr>
                              <w:t xml:space="preserve">laboratory test or needing IV hydration; </w:t>
                            </w:r>
                            <w:r w:rsidRPr="00BA4BEE">
                              <w:rPr>
                                <w:sz w:val="18"/>
                                <w:szCs w:val="18"/>
                                <w:u w:val="single"/>
                              </w:rPr>
                              <w:t>Scenario</w:t>
                            </w:r>
                            <w:r w:rsidRPr="00AA76C6">
                              <w:rPr>
                                <w:sz w:val="18"/>
                                <w:szCs w:val="18"/>
                                <w:u w:val="single"/>
                              </w:rPr>
                              <w:t xml:space="preserve"> 4.2</w:t>
                            </w:r>
                            <w:r>
                              <w:rPr>
                                <w:sz w:val="18"/>
                                <w:szCs w:val="18"/>
                              </w:rPr>
                              <w:t xml:space="preserve"> -- </w:t>
                            </w:r>
                            <w:r w:rsidRPr="00AA76C6">
                              <w:rPr>
                                <w:sz w:val="18"/>
                                <w:szCs w:val="18"/>
                              </w:rPr>
                              <w:t>0%</w:t>
                            </w:r>
                            <w:r>
                              <w:rPr>
                                <w:sz w:val="18"/>
                                <w:szCs w:val="18"/>
                              </w:rPr>
                              <w:t xml:space="preserve"> </w:t>
                            </w:r>
                            <w:r w:rsidRPr="00FC6835">
                              <w:rPr>
                                <w:sz w:val="18"/>
                                <w:szCs w:val="18"/>
                              </w:rPr>
                              <w:t>of CT scans cancelled</w:t>
                            </w:r>
                            <w:r>
                              <w:rPr>
                                <w:sz w:val="18"/>
                                <w:szCs w:val="18"/>
                              </w:rPr>
                              <w:t xml:space="preserve">; </w:t>
                            </w:r>
                            <w:r w:rsidRPr="00AA76C6">
                              <w:rPr>
                                <w:sz w:val="18"/>
                                <w:szCs w:val="18"/>
                                <w:u w:val="single"/>
                              </w:rPr>
                              <w:t>Scenario 5</w:t>
                            </w:r>
                            <w:r>
                              <w:rPr>
                                <w:sz w:val="18"/>
                                <w:szCs w:val="18"/>
                              </w:rPr>
                              <w:t xml:space="preserve"> -- d</w:t>
                            </w:r>
                            <w:r w:rsidRPr="00AA76C6">
                              <w:rPr>
                                <w:sz w:val="18"/>
                                <w:szCs w:val="18"/>
                              </w:rPr>
                              <w:t>istribution of eGFR based on audit data of outpatients referred to a CT scan at the G</w:t>
                            </w:r>
                            <w:r>
                              <w:rPr>
                                <w:sz w:val="18"/>
                                <w:szCs w:val="18"/>
                              </w:rPr>
                              <w:t>uy’s and St Thomas’</w:t>
                            </w:r>
                            <w:r w:rsidRPr="00AA76C6">
                              <w:rPr>
                                <w:sz w:val="18"/>
                                <w:szCs w:val="18"/>
                              </w:rPr>
                              <w:t xml:space="preserve"> NHS trust</w:t>
                            </w:r>
                            <w:r>
                              <w:rPr>
                                <w:sz w:val="18"/>
                                <w:szCs w:val="18"/>
                              </w:rPr>
                              <w:t>, identifying a p</w:t>
                            </w:r>
                            <w:r w:rsidRPr="00AA76C6">
                              <w:rPr>
                                <w:sz w:val="18"/>
                                <w:szCs w:val="18"/>
                              </w:rPr>
                              <w:t>robability of eGFR being &lt;30</w:t>
                            </w:r>
                            <w:r w:rsidRPr="00FC6835">
                              <w:rPr>
                                <w:sz w:val="18"/>
                                <w:szCs w:val="18"/>
                              </w:rPr>
                              <w:t xml:space="preserve"> mL/min/1.73m</w:t>
                            </w:r>
                            <w:r w:rsidRPr="00BA4BEE">
                              <w:rPr>
                                <w:sz w:val="18"/>
                                <w:szCs w:val="18"/>
                                <w:vertAlign w:val="superscript"/>
                              </w:rPr>
                              <w:t>2</w:t>
                            </w:r>
                            <w:r>
                              <w:rPr>
                                <w:sz w:val="18"/>
                                <w:szCs w:val="18"/>
                              </w:rPr>
                              <w:t xml:space="preserve"> of</w:t>
                            </w:r>
                            <w:r w:rsidRPr="00AA76C6">
                              <w:rPr>
                                <w:sz w:val="18"/>
                                <w:szCs w:val="18"/>
                              </w:rPr>
                              <w:t xml:space="preserve"> 15.9%</w:t>
                            </w:r>
                            <w:r>
                              <w:rPr>
                                <w:sz w:val="18"/>
                                <w:szCs w:val="18"/>
                              </w:rPr>
                              <w:t>.</w:t>
                            </w:r>
                            <w:proofErr w:type="gramEnd"/>
                            <w:r>
                              <w:rPr>
                                <w:sz w:val="18"/>
                                <w:szCs w:val="18"/>
                              </w:rPr>
                              <w:t xml:space="preserve"> Further detail is presented in Table S2 in the supplementary material.</w:t>
                            </w:r>
                          </w:p>
                          <w:p w:rsidR="00165EDF" w:rsidRPr="00AA76C6" w:rsidRDefault="00165EDF" w:rsidP="00BF5044">
                            <w:pPr>
                              <w:spacing w:after="0"/>
                              <w:rPr>
                                <w:sz w:val="18"/>
                                <w:szCs w:val="18"/>
                              </w:rPr>
                            </w:pPr>
                            <w:r w:rsidRPr="00C920BD">
                              <w:rPr>
                                <w:sz w:val="18"/>
                                <w:szCs w:val="18"/>
                                <w:vertAlign w:val="superscript"/>
                              </w:rPr>
                              <w:t>**</w:t>
                            </w:r>
                            <w:r>
                              <w:rPr>
                                <w:sz w:val="18"/>
                                <w:szCs w:val="18"/>
                              </w:rPr>
                              <w:t>93 patient per month if strategy does not include RF screening and 33 patients per month if the POC test is preceded by RF screening</w:t>
                            </w:r>
                          </w:p>
                          <w:p w:rsidR="00165EDF" w:rsidRPr="00AA76C6" w:rsidRDefault="00165EDF" w:rsidP="00BF5044">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CC5914" id="Text Box 15" o:spid="_x0000_s1030" type="#_x0000_t202" style="position:absolute;margin-left:24pt;margin-top:277.35pt;width:650.45pt;height:10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" fillcolor="white [3201]" stroked="f" strokeweight=".5pt">
                <v:textbox>
                  <w:txbxContent>
                    <w:p w:rsidR="00165EDF" w:rsidRPr="00B60DC0" w:rsidRDefault="00165EDF" w:rsidP="00BF5044">
                      <w:pPr>
                        <w:spacing w:after="0"/>
                        <w:rPr>
                          <w:sz w:val="18"/>
                          <w:szCs w:val="18"/>
                        </w:rPr>
                      </w:pPr>
                      <w:r w:rsidRPr="00D24C2C">
                        <w:rPr>
                          <w:b/>
                          <w:sz w:val="18"/>
                          <w:szCs w:val="18"/>
                        </w:rPr>
                        <w:t>Abbreviations</w:t>
                      </w:r>
                      <w:r w:rsidRPr="00AA76C6">
                        <w:rPr>
                          <w:sz w:val="18"/>
                          <w:szCs w:val="18"/>
                        </w:rPr>
                        <w:t xml:space="preserve">: </w:t>
                      </w:r>
                      <w:r w:rsidRPr="00B60DC0">
                        <w:rPr>
                          <w:sz w:val="18"/>
                          <w:szCs w:val="18"/>
                        </w:rPr>
                        <w:t xml:space="preserve">BL, baseline; RF screen, diagnostic accuracy of risk factor questionnaire; Sen, sensitivity; </w:t>
                      </w:r>
                      <w:proofErr w:type="spellStart"/>
                      <w:r w:rsidRPr="00B60DC0">
                        <w:rPr>
                          <w:sz w:val="18"/>
                          <w:szCs w:val="18"/>
                        </w:rPr>
                        <w:t>Sp</w:t>
                      </w:r>
                      <w:proofErr w:type="spellEnd"/>
                      <w:r w:rsidRPr="00B60DC0">
                        <w:rPr>
                          <w:sz w:val="18"/>
                          <w:szCs w:val="18"/>
                        </w:rPr>
                        <w:t>, specificity.</w:t>
                      </w:r>
                    </w:p>
                    <w:p w:rsidR="00165EDF" w:rsidRDefault="00165EDF" w:rsidP="00BF5044">
                      <w:pPr>
                        <w:spacing w:after="0"/>
                        <w:rPr>
                          <w:sz w:val="18"/>
                          <w:szCs w:val="18"/>
                        </w:rPr>
                      </w:pPr>
                      <w:proofErr w:type="gramStart"/>
                      <w:r w:rsidRPr="00C920BD">
                        <w:rPr>
                          <w:b/>
                          <w:sz w:val="18"/>
                          <w:szCs w:val="18"/>
                          <w:vertAlign w:val="superscript"/>
                        </w:rPr>
                        <w:t>*</w:t>
                      </w:r>
                      <w:r w:rsidRPr="00AA76C6">
                        <w:rPr>
                          <w:b/>
                          <w:sz w:val="18"/>
                          <w:szCs w:val="18"/>
                        </w:rPr>
                        <w:t>Description of scenarios</w:t>
                      </w:r>
                      <w:r w:rsidRPr="00B60DC0">
                        <w:rPr>
                          <w:sz w:val="18"/>
                          <w:szCs w:val="18"/>
                        </w:rPr>
                        <w:t xml:space="preserve">: </w:t>
                      </w:r>
                      <w:r w:rsidRPr="00AA76C6">
                        <w:rPr>
                          <w:sz w:val="18"/>
                          <w:szCs w:val="18"/>
                          <w:u w:val="single"/>
                        </w:rPr>
                        <w:t>Scenario 1</w:t>
                      </w:r>
                      <w:r w:rsidRPr="00B60DC0">
                        <w:rPr>
                          <w:sz w:val="18"/>
                          <w:szCs w:val="18"/>
                        </w:rPr>
                        <w:t xml:space="preserve"> -- d</w:t>
                      </w:r>
                      <w:r w:rsidRPr="00AA76C6">
                        <w:rPr>
                          <w:sz w:val="18"/>
                          <w:szCs w:val="18"/>
                        </w:rPr>
                        <w:t>iagnostic accuracy of RF screening questionnaires informed by data on an alternative questionnaire[23]</w:t>
                      </w:r>
                      <w:r>
                        <w:rPr>
                          <w:sz w:val="18"/>
                          <w:szCs w:val="18"/>
                        </w:rPr>
                        <w:t>(</w:t>
                      </w:r>
                      <w:r w:rsidRPr="00AA76C6">
                        <w:rPr>
                          <w:sz w:val="18"/>
                          <w:szCs w:val="18"/>
                        </w:rPr>
                        <w:t>Sensitivity = 88.2% and specificity = 45.2%</w:t>
                      </w:r>
                      <w:r>
                        <w:rPr>
                          <w:sz w:val="18"/>
                          <w:szCs w:val="18"/>
                        </w:rPr>
                        <w:t>)</w:t>
                      </w:r>
                      <w:r w:rsidRPr="00B60DC0">
                        <w:rPr>
                          <w:sz w:val="18"/>
                          <w:szCs w:val="18"/>
                        </w:rPr>
                        <w:t xml:space="preserve">; </w:t>
                      </w:r>
                      <w:r w:rsidRPr="00AA76C6">
                        <w:rPr>
                          <w:sz w:val="18"/>
                          <w:szCs w:val="18"/>
                          <w:u w:val="single"/>
                        </w:rPr>
                        <w:t>Scenario 2.1</w:t>
                      </w:r>
                      <w:r w:rsidRPr="00AA76C6">
                        <w:rPr>
                          <w:sz w:val="18"/>
                          <w:szCs w:val="18"/>
                        </w:rPr>
                        <w:t xml:space="preserve"> -- Throughput estimates 50% lower than base-case</w:t>
                      </w:r>
                      <w:r w:rsidRPr="00B60DC0">
                        <w:rPr>
                          <w:sz w:val="18"/>
                          <w:szCs w:val="18"/>
                        </w:rPr>
                        <w:t xml:space="preserve">; </w:t>
                      </w:r>
                      <w:r w:rsidRPr="00AA76C6">
                        <w:rPr>
                          <w:sz w:val="18"/>
                          <w:szCs w:val="18"/>
                          <w:u w:val="single"/>
                        </w:rPr>
                        <w:t>Scenario 2.2</w:t>
                      </w:r>
                      <w:r w:rsidRPr="00AA76C6">
                        <w:rPr>
                          <w:sz w:val="18"/>
                          <w:szCs w:val="18"/>
                        </w:rPr>
                        <w:t xml:space="preserve"> </w:t>
                      </w:r>
                      <w:r>
                        <w:rPr>
                          <w:sz w:val="18"/>
                          <w:szCs w:val="18"/>
                        </w:rPr>
                        <w:t xml:space="preserve">-- </w:t>
                      </w:r>
                      <w:r w:rsidRPr="00AA76C6">
                        <w:rPr>
                          <w:sz w:val="18"/>
                          <w:szCs w:val="18"/>
                        </w:rPr>
                        <w:t>Throughput estimates 50% higher than base-case</w:t>
                      </w:r>
                      <w:r w:rsidRPr="00B60DC0">
                        <w:rPr>
                          <w:sz w:val="18"/>
                          <w:szCs w:val="18"/>
                        </w:rPr>
                        <w:t xml:space="preserve">; </w:t>
                      </w:r>
                      <w:r w:rsidRPr="00AA76C6">
                        <w:rPr>
                          <w:sz w:val="18"/>
                          <w:szCs w:val="18"/>
                          <w:u w:val="single"/>
                        </w:rPr>
                        <w:t>Scenario 3</w:t>
                      </w:r>
                      <w:r>
                        <w:rPr>
                          <w:sz w:val="18"/>
                          <w:szCs w:val="18"/>
                        </w:rPr>
                        <w:t xml:space="preserve"> -- </w:t>
                      </w:r>
                      <w:r w:rsidRPr="00AA76C6">
                        <w:rPr>
                          <w:sz w:val="18"/>
                          <w:szCs w:val="18"/>
                        </w:rPr>
                        <w:t>The effect of IV hydration on the risk of PC-AKI for patients with eGFR&lt;30 mL/min/1.73m</w:t>
                      </w:r>
                      <w:r w:rsidRPr="00BA4BEE">
                        <w:rPr>
                          <w:sz w:val="18"/>
                          <w:szCs w:val="18"/>
                          <w:vertAlign w:val="superscript"/>
                        </w:rPr>
                        <w:t>2</w:t>
                      </w:r>
                      <w:r w:rsidRPr="00AA76C6">
                        <w:rPr>
                          <w:sz w:val="18"/>
                          <w:szCs w:val="18"/>
                        </w:rPr>
                        <w:t xml:space="preserve"> is set to 0.52 (i.e. lower bound of the 95% confidence interval for the base-case estimate[15]). </w:t>
                      </w:r>
                      <w:r>
                        <w:rPr>
                          <w:sz w:val="18"/>
                          <w:szCs w:val="18"/>
                        </w:rPr>
                        <w:t>resulting</w:t>
                      </w:r>
                      <w:r w:rsidRPr="00AA76C6">
                        <w:rPr>
                          <w:sz w:val="18"/>
                          <w:szCs w:val="18"/>
                        </w:rPr>
                        <w:t xml:space="preserve"> </w:t>
                      </w:r>
                      <w:r>
                        <w:rPr>
                          <w:sz w:val="18"/>
                          <w:szCs w:val="18"/>
                        </w:rPr>
                        <w:t>in</w:t>
                      </w:r>
                      <w:r w:rsidRPr="00AA76C6">
                        <w:rPr>
                          <w:sz w:val="18"/>
                          <w:szCs w:val="18"/>
                        </w:rPr>
                        <w:t xml:space="preserve"> a higher risk of PC-AKI </w:t>
                      </w:r>
                      <w:r>
                        <w:rPr>
                          <w:sz w:val="18"/>
                          <w:szCs w:val="18"/>
                        </w:rPr>
                        <w:t xml:space="preserve">of </w:t>
                      </w:r>
                      <w:r w:rsidRPr="00AA76C6">
                        <w:rPr>
                          <w:sz w:val="18"/>
                          <w:szCs w:val="18"/>
                        </w:rPr>
                        <w:t>18.9%</w:t>
                      </w:r>
                      <w:r>
                        <w:rPr>
                          <w:sz w:val="18"/>
                          <w:szCs w:val="18"/>
                        </w:rPr>
                        <w:t xml:space="preserve">; </w:t>
                      </w:r>
                      <w:r w:rsidRPr="00AA76C6">
                        <w:rPr>
                          <w:sz w:val="18"/>
                          <w:szCs w:val="18"/>
                          <w:u w:val="single"/>
                        </w:rPr>
                        <w:t>Scenario 4.1.</w:t>
                      </w:r>
                      <w:r w:rsidRPr="00AA76C6">
                        <w:rPr>
                          <w:sz w:val="18"/>
                          <w:szCs w:val="18"/>
                        </w:rPr>
                        <w:t xml:space="preserve"> 50% </w:t>
                      </w:r>
                      <w:r w:rsidRPr="00FC6835">
                        <w:rPr>
                          <w:sz w:val="18"/>
                          <w:szCs w:val="18"/>
                        </w:rPr>
                        <w:t xml:space="preserve">of CT scans cancelled as a result of requiring a </w:t>
                      </w:r>
                      <w:r w:rsidRPr="00BA4BEE">
                        <w:rPr>
                          <w:sz w:val="18"/>
                          <w:szCs w:val="18"/>
                        </w:rPr>
                        <w:t xml:space="preserve">laboratory test or needing IV hydration; </w:t>
                      </w:r>
                      <w:r w:rsidRPr="00BA4BEE">
                        <w:rPr>
                          <w:sz w:val="18"/>
                          <w:szCs w:val="18"/>
                          <w:u w:val="single"/>
                        </w:rPr>
                        <w:t>Scenario</w:t>
                      </w:r>
                      <w:r w:rsidRPr="00AA76C6">
                        <w:rPr>
                          <w:sz w:val="18"/>
                          <w:szCs w:val="18"/>
                          <w:u w:val="single"/>
                        </w:rPr>
                        <w:t xml:space="preserve"> 4.2</w:t>
                      </w:r>
                      <w:r>
                        <w:rPr>
                          <w:sz w:val="18"/>
                          <w:szCs w:val="18"/>
                        </w:rPr>
                        <w:t xml:space="preserve"> -- </w:t>
                      </w:r>
                      <w:r w:rsidRPr="00AA76C6">
                        <w:rPr>
                          <w:sz w:val="18"/>
                          <w:szCs w:val="18"/>
                        </w:rPr>
                        <w:t>0%</w:t>
                      </w:r>
                      <w:r>
                        <w:rPr>
                          <w:sz w:val="18"/>
                          <w:szCs w:val="18"/>
                        </w:rPr>
                        <w:t xml:space="preserve"> </w:t>
                      </w:r>
                      <w:r w:rsidRPr="00FC6835">
                        <w:rPr>
                          <w:sz w:val="18"/>
                          <w:szCs w:val="18"/>
                        </w:rPr>
                        <w:t>of CT scans cancelled</w:t>
                      </w:r>
                      <w:r>
                        <w:rPr>
                          <w:sz w:val="18"/>
                          <w:szCs w:val="18"/>
                        </w:rPr>
                        <w:t xml:space="preserve">; </w:t>
                      </w:r>
                      <w:r w:rsidRPr="00AA76C6">
                        <w:rPr>
                          <w:sz w:val="18"/>
                          <w:szCs w:val="18"/>
                          <w:u w:val="single"/>
                        </w:rPr>
                        <w:t>Scenario 5</w:t>
                      </w:r>
                      <w:r>
                        <w:rPr>
                          <w:sz w:val="18"/>
                          <w:szCs w:val="18"/>
                        </w:rPr>
                        <w:t xml:space="preserve"> -- d</w:t>
                      </w:r>
                      <w:r w:rsidRPr="00AA76C6">
                        <w:rPr>
                          <w:sz w:val="18"/>
                          <w:szCs w:val="18"/>
                        </w:rPr>
                        <w:t>istribution of eGFR based on audit data of outpatients referred to a CT scan at the G</w:t>
                      </w:r>
                      <w:r>
                        <w:rPr>
                          <w:sz w:val="18"/>
                          <w:szCs w:val="18"/>
                        </w:rPr>
                        <w:t>uy’s and St Thomas’</w:t>
                      </w:r>
                      <w:r w:rsidRPr="00AA76C6">
                        <w:rPr>
                          <w:sz w:val="18"/>
                          <w:szCs w:val="18"/>
                        </w:rPr>
                        <w:t xml:space="preserve"> NHS trust</w:t>
                      </w:r>
                      <w:r>
                        <w:rPr>
                          <w:sz w:val="18"/>
                          <w:szCs w:val="18"/>
                        </w:rPr>
                        <w:t>, identifying a p</w:t>
                      </w:r>
                      <w:r w:rsidRPr="00AA76C6">
                        <w:rPr>
                          <w:sz w:val="18"/>
                          <w:szCs w:val="18"/>
                        </w:rPr>
                        <w:t>robability of eGFR being &lt;30</w:t>
                      </w:r>
                      <w:r w:rsidRPr="00FC6835">
                        <w:rPr>
                          <w:sz w:val="18"/>
                          <w:szCs w:val="18"/>
                        </w:rPr>
                        <w:t xml:space="preserve"> mL/min/1.73m</w:t>
                      </w:r>
                      <w:r w:rsidRPr="00BA4BEE">
                        <w:rPr>
                          <w:sz w:val="18"/>
                          <w:szCs w:val="18"/>
                          <w:vertAlign w:val="superscript"/>
                        </w:rPr>
                        <w:t>2</w:t>
                      </w:r>
                      <w:r>
                        <w:rPr>
                          <w:sz w:val="18"/>
                          <w:szCs w:val="18"/>
                        </w:rPr>
                        <w:t xml:space="preserve"> of</w:t>
                      </w:r>
                      <w:r w:rsidRPr="00AA76C6">
                        <w:rPr>
                          <w:sz w:val="18"/>
                          <w:szCs w:val="18"/>
                        </w:rPr>
                        <w:t xml:space="preserve"> 15.9%</w:t>
                      </w:r>
                      <w:r>
                        <w:rPr>
                          <w:sz w:val="18"/>
                          <w:szCs w:val="18"/>
                        </w:rPr>
                        <w:t>.</w:t>
                      </w:r>
                      <w:proofErr w:type="gramEnd"/>
                      <w:r>
                        <w:rPr>
                          <w:sz w:val="18"/>
                          <w:szCs w:val="18"/>
                        </w:rPr>
                        <w:t xml:space="preserve"> Further detail is presented in Table S2 in the supplementary material.</w:t>
                      </w:r>
                    </w:p>
                    <w:p w:rsidR="00165EDF" w:rsidRPr="00AA76C6" w:rsidRDefault="00165EDF" w:rsidP="00BF5044">
                      <w:pPr>
                        <w:spacing w:after="0"/>
                        <w:rPr>
                          <w:sz w:val="18"/>
                          <w:szCs w:val="18"/>
                        </w:rPr>
                      </w:pPr>
                      <w:r w:rsidRPr="00C920BD">
                        <w:rPr>
                          <w:sz w:val="18"/>
                          <w:szCs w:val="18"/>
                          <w:vertAlign w:val="superscript"/>
                        </w:rPr>
                        <w:t>**</w:t>
                      </w:r>
                      <w:r>
                        <w:rPr>
                          <w:sz w:val="18"/>
                          <w:szCs w:val="18"/>
                        </w:rPr>
                        <w:t>93 patient per month if strategy does not include RF screening and 33 patients per month if the POC test is preceded by RF screening</w:t>
                      </w:r>
                    </w:p>
                    <w:p w:rsidR="00165EDF" w:rsidRPr="00AA76C6" w:rsidRDefault="00165EDF" w:rsidP="00BF5044">
                      <w:pPr>
                        <w:spacing w:after="0"/>
                        <w:rPr>
                          <w:sz w:val="18"/>
                          <w:szCs w:val="18"/>
                        </w:rPr>
                      </w:pPr>
                    </w:p>
                  </w:txbxContent>
                </v:textbox>
                <w10:wrap anchorx="margin"/>
              </v:shape>
            </w:pict>
          </mc:Fallback>
        </mc:AlternateContent>
      </w:r>
      <w:r w:rsidR="00EE288F">
        <w:rPr>
          <w:noProof/>
          <w:lang w:eastAsia="en-GB"/>
        </w:rPr>
        <mc:AlternateContent>
          <mc:Choice Requires="wpg">
            <w:drawing>
              <wp:anchor distT="0" distB="0" distL="114300" distR="114300" simplePos="0" relativeHeight="251660288" behindDoc="0" locked="0" layoutInCell="1" allowOverlap="1" wp14:anchorId="29EED894" wp14:editId="751FC8BC">
                <wp:simplePos x="0" y="0"/>
                <wp:positionH relativeFrom="column">
                  <wp:posOffset>1371600</wp:posOffset>
                </wp:positionH>
                <wp:positionV relativeFrom="paragraph">
                  <wp:posOffset>264795</wp:posOffset>
                </wp:positionV>
                <wp:extent cx="1917700" cy="502920"/>
                <wp:effectExtent l="0" t="0" r="0" b="0"/>
                <wp:wrapNone/>
                <wp:docPr id="16" name="Group 16"/>
                <wp:cNvGraphicFramePr/>
                <a:graphic xmlns:a="http://schemas.openxmlformats.org/drawingml/2006/main">
                  <a:graphicData uri="http://schemas.microsoft.com/office/word/2010/wordprocessingGroup">
                    <wpg:wgp>
                      <wpg:cNvGrpSpPr/>
                      <wpg:grpSpPr>
                        <a:xfrm>
                          <a:off x="0" y="0"/>
                          <a:ext cx="1917700" cy="502920"/>
                          <a:chOff x="0" y="19050"/>
                          <a:chExt cx="1917761" cy="502920"/>
                        </a:xfrm>
                      </wpg:grpSpPr>
                      <wps:wsp>
                        <wps:cNvPr id="2" name="Text Box 2"/>
                        <wps:cNvSpPr txBox="1"/>
                        <wps:spPr>
                          <a:xfrm>
                            <a:off x="54455" y="19050"/>
                            <a:ext cx="1863306" cy="502920"/>
                          </a:xfrm>
                          <a:prstGeom prst="rect">
                            <a:avLst/>
                          </a:prstGeom>
                          <a:noFill/>
                          <a:ln w="6350">
                            <a:noFill/>
                          </a:ln>
                        </wps:spPr>
                        <wps:txbx>
                          <w:txbxContent>
                            <w:p w:rsidR="00165EDF" w:rsidRDefault="00165EDF">
                              <w:pPr>
                                <w:rPr>
                                  <w:sz w:val="18"/>
                                </w:rPr>
                              </w:pPr>
                              <w:proofErr w:type="spellStart"/>
                              <w:proofErr w:type="gramStart"/>
                              <w:r w:rsidRPr="00C97696">
                                <w:rPr>
                                  <w:sz w:val="18"/>
                                </w:rPr>
                                <w:t>i</w:t>
                              </w:r>
                              <w:proofErr w:type="spellEnd"/>
                              <w:r w:rsidRPr="00C97696">
                                <w:rPr>
                                  <w:sz w:val="18"/>
                                </w:rPr>
                                <w:t>-STAT</w:t>
                              </w:r>
                              <w:proofErr w:type="gramEnd"/>
                              <w:r>
                                <w:rPr>
                                  <w:sz w:val="18"/>
                                </w:rPr>
                                <w:t xml:space="preserve">      </w:t>
                              </w:r>
                            </w:p>
                            <w:p w:rsidR="00165EDF" w:rsidRPr="00C97696" w:rsidRDefault="00165EDF">
                              <w:pPr>
                                <w:rPr>
                                  <w:sz w:val="18"/>
                                </w:rPr>
                              </w:pPr>
                              <w:r w:rsidRPr="00C97696">
                                <w:rPr>
                                  <w:sz w:val="18"/>
                                </w:rPr>
                                <w:t>StatSensor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0" y="103517"/>
                            <a:ext cx="71755" cy="71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0" y="362310"/>
                            <a:ext cx="71755" cy="7175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EED894" id="Group 16" o:spid="_x0000_s1031" style="position:absolute;margin-left:108pt;margin-top:20.85pt;width:151pt;height:39.6pt;z-index:251660288;mso-width-relative:margin" coordorigin=",190" coordsize="19177,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">
                <v:shape id="_x0000_s1032" type="#_x0000_t202" style="position:absolute;left:544;top:190;width:18633;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165EDF" w:rsidRDefault="00165EDF">
                        <w:pPr>
                          <w:rPr>
                            <w:sz w:val="18"/>
                          </w:rPr>
                        </w:pPr>
                        <w:proofErr w:type="spellStart"/>
                        <w:proofErr w:type="gramStart"/>
                        <w:r w:rsidRPr="00C97696">
                          <w:rPr>
                            <w:sz w:val="18"/>
                          </w:rPr>
                          <w:t>i</w:t>
                        </w:r>
                        <w:proofErr w:type="spellEnd"/>
                        <w:r w:rsidRPr="00C97696">
                          <w:rPr>
                            <w:sz w:val="18"/>
                          </w:rPr>
                          <w:t>-STAT</w:t>
                        </w:r>
                        <w:proofErr w:type="gramEnd"/>
                        <w:r>
                          <w:rPr>
                            <w:sz w:val="18"/>
                          </w:rPr>
                          <w:t xml:space="preserve">      </w:t>
                        </w:r>
                      </w:p>
                      <w:p w:rsidR="00165EDF" w:rsidRPr="00C97696" w:rsidRDefault="00165EDF">
                        <w:pPr>
                          <w:rPr>
                            <w:sz w:val="18"/>
                          </w:rPr>
                        </w:pPr>
                        <w:r w:rsidRPr="00C97696">
                          <w:rPr>
                            <w:sz w:val="18"/>
                          </w:rPr>
                          <w:t>StatSensor</w:t>
                        </w:r>
                      </w:p>
                    </w:txbxContent>
                  </v:textbox>
                </v:shape>
                <v:rect id="Rectangle 6" o:spid="_x0000_s1033" style="position:absolute;top:1035;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oval id="Oval 8" o:spid="_x0000_s1034" style="position:absolute;top:3623;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" fillcolor="black [3200]" strokecolor="black [1600]" strokeweight="1pt">
                  <v:stroke joinstyle="miter"/>
                </v:oval>
              </v:group>
            </w:pict>
          </mc:Fallback>
        </mc:AlternateContent>
      </w:r>
      <w:r w:rsidR="00EE288F">
        <w:rPr>
          <w:noProof/>
          <w:lang w:eastAsia="en-GB"/>
        </w:rPr>
        <mc:AlternateContent>
          <mc:Choice Requires="wps">
            <w:drawing>
              <wp:anchor distT="0" distB="0" distL="114300" distR="114300" simplePos="0" relativeHeight="251674624" behindDoc="0" locked="0" layoutInCell="1" allowOverlap="1" wp14:anchorId="6C22343A" wp14:editId="35E06588">
                <wp:simplePos x="0" y="0"/>
                <wp:positionH relativeFrom="column">
                  <wp:posOffset>1017905</wp:posOffset>
                </wp:positionH>
                <wp:positionV relativeFrom="paragraph">
                  <wp:posOffset>2811145</wp:posOffset>
                </wp:positionV>
                <wp:extent cx="75444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4443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E6AA2"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0.15pt,221.35pt" to="674.2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" strokecolor="#d8d8d8 [2732]" strokeweight=".5pt">
                <v:stroke joinstyle="miter"/>
              </v:line>
            </w:pict>
          </mc:Fallback>
        </mc:AlternateContent>
      </w:r>
      <w:r w:rsidR="00EE288F">
        <w:rPr>
          <w:noProof/>
          <w:lang w:eastAsia="en-GB"/>
        </w:rPr>
        <mc:AlternateContent>
          <mc:Choice Requires="wps">
            <w:drawing>
              <wp:anchor distT="45720" distB="45720" distL="114300" distR="114300" simplePos="0" relativeHeight="251663360" behindDoc="0" locked="0" layoutInCell="1" allowOverlap="1" wp14:anchorId="45AB84CE" wp14:editId="6CD76D16">
                <wp:simplePos x="0" y="0"/>
                <wp:positionH relativeFrom="column">
                  <wp:posOffset>1094105</wp:posOffset>
                </wp:positionH>
                <wp:positionV relativeFrom="paragraph">
                  <wp:posOffset>1820174</wp:posOffset>
                </wp:positionV>
                <wp:extent cx="75819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404620"/>
                        </a:xfrm>
                        <a:prstGeom prst="rect">
                          <a:avLst/>
                        </a:prstGeom>
                        <a:noFill/>
                        <a:ln w="9525">
                          <a:noFill/>
                          <a:miter lim="800000"/>
                          <a:headEnd/>
                          <a:tailEnd/>
                        </a:ln>
                      </wps:spPr>
                      <wps:txbx>
                        <w:txbxContent>
                          <w:p w:rsidR="00165EDF" w:rsidRPr="00C97696" w:rsidRDefault="00165EDF" w:rsidP="00BF5044">
                            <w:pPr>
                              <w:jc w:val="right"/>
                              <w:rPr>
                                <w:sz w:val="16"/>
                              </w:rPr>
                            </w:pPr>
                            <w:r w:rsidRPr="00C97696">
                              <w:rPr>
                                <w:sz w:val="16"/>
                              </w:rPr>
                              <w:t>POC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B84CE" id="_x0000_s1035" type="#_x0000_t202" style="position:absolute;margin-left:86.15pt;margin-top:143.3pt;width:59.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" filled="f" stroked="f">
                <v:textbox style="mso-fit-shape-to-text:t">
                  <w:txbxContent>
                    <w:p w:rsidR="00165EDF" w:rsidRPr="00C97696" w:rsidRDefault="00165EDF" w:rsidP="00BF5044">
                      <w:pPr>
                        <w:jc w:val="right"/>
                        <w:rPr>
                          <w:sz w:val="16"/>
                        </w:rPr>
                      </w:pPr>
                      <w:r w:rsidRPr="00C97696">
                        <w:rPr>
                          <w:sz w:val="16"/>
                        </w:rPr>
                        <w:t>POC</w:t>
                      </w:r>
                    </w:p>
                  </w:txbxContent>
                </v:textbox>
              </v:shape>
            </w:pict>
          </mc:Fallback>
        </mc:AlternateContent>
      </w:r>
      <w:r>
        <w:rPr>
          <w:noProof/>
          <w:lang w:eastAsia="en-GB"/>
        </w:rPr>
        <w:drawing>
          <wp:inline distT="0" distB="0" distL="0" distR="0" wp14:anchorId="13E37FA8">
            <wp:extent cx="9471600" cy="399964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71600" cy="3999648"/>
                    </a:xfrm>
                    <a:prstGeom prst="rect">
                      <a:avLst/>
                    </a:prstGeom>
                    <a:noFill/>
                  </pic:spPr>
                </pic:pic>
              </a:graphicData>
            </a:graphic>
          </wp:inline>
        </w:drawing>
      </w:r>
    </w:p>
    <w:p w:rsidR="00EE288F" w:rsidRDefault="00EE288F" w:rsidP="00BF5044">
      <w:pPr>
        <w:pStyle w:val="Heading3"/>
        <w:spacing w:before="120" w:after="120" w:line="360" w:lineRule="auto"/>
      </w:pPr>
      <w:r>
        <w:lastRenderedPageBreak/>
        <w:t>Discussion</w:t>
      </w:r>
    </w:p>
    <w:p w:rsidR="008D4E45" w:rsidRDefault="00EE288F" w:rsidP="00BF5044">
      <w:pPr>
        <w:spacing w:before="120" w:after="120" w:line="360" w:lineRule="auto"/>
      </w:pPr>
      <w:r>
        <w:t xml:space="preserve">This paper evaluated the cost-effectiveness of POC creatinine testing compared to current practice in patients </w:t>
      </w:r>
      <w:r w:rsidRPr="00EB4957">
        <w:t>without a recent eGFR</w:t>
      </w:r>
      <w:r>
        <w:t>. It did so by reflecting the</w:t>
      </w:r>
      <w:r w:rsidRPr="00EB4957">
        <w:t xml:space="preserve"> potential resource savings</w:t>
      </w:r>
      <w:r>
        <w:t xml:space="preserve"> and improved management of PC-AKI risk in patients </w:t>
      </w:r>
      <w:r w:rsidRPr="00504844">
        <w:t xml:space="preserve">for whom a decision to proceed to </w:t>
      </w:r>
      <w:r>
        <w:t>CE</w:t>
      </w:r>
      <w:r w:rsidRPr="00504844">
        <w:t>CT scan</w:t>
      </w:r>
      <w:r>
        <w:t xml:space="preserve"> would have been</w:t>
      </w:r>
      <w:r w:rsidRPr="00504844">
        <w:t xml:space="preserve"> made based on clinical judgement alone</w:t>
      </w:r>
      <w:r>
        <w:t xml:space="preserve"> in the absence of POC testing. </w:t>
      </w:r>
      <w:r w:rsidR="008D4E45">
        <w:t>The model considered the</w:t>
      </w:r>
      <w:r w:rsidR="008D4E45" w:rsidRPr="00EB4957">
        <w:t xml:space="preserve"> potential for misclassification </w:t>
      </w:r>
      <w:r w:rsidR="008D4E45">
        <w:t>with POC devices given their</w:t>
      </w:r>
      <w:r w:rsidR="008D4E45" w:rsidRPr="00EB4957">
        <w:t xml:space="preserve"> lower diagnostic accuracy</w:t>
      </w:r>
      <w:r w:rsidR="008D4E45">
        <w:t xml:space="preserve"> compared to laboratory </w:t>
      </w:r>
      <w:r w:rsidR="008D4E45" w:rsidRPr="00165EDF">
        <w:t>testing: evidence on the ability of POC devices to discriminate eGFR values below</w:t>
      </w:r>
      <w:r w:rsidR="008D4E45">
        <w:t xml:space="preserve"> and above the cut-off of </w:t>
      </w:r>
      <w:r w:rsidR="008D4E45" w:rsidRPr="00165EDF">
        <w:t>30mL/min/1.73m</w:t>
      </w:r>
      <w:r w:rsidR="008D4E45" w:rsidRPr="00165EDF">
        <w:rPr>
          <w:vertAlign w:val="superscript"/>
        </w:rPr>
        <w:t>2</w:t>
      </w:r>
      <w:r w:rsidR="008D4E45" w:rsidRPr="00165EDF">
        <w:t xml:space="preserve"> </w:t>
      </w:r>
      <w:r w:rsidR="00694200">
        <w:t>indicates a low</w:t>
      </w:r>
      <w:r w:rsidR="008D4E45" w:rsidRPr="00165EDF">
        <w:t xml:space="preserve"> sensitivity (between 74 and 86%) and a </w:t>
      </w:r>
      <w:r w:rsidR="00694200">
        <w:t>high</w:t>
      </w:r>
      <w:r w:rsidR="008D4E45" w:rsidRPr="00165EDF">
        <w:t xml:space="preserve"> specificity (of around 99%).</w:t>
      </w:r>
      <w:r w:rsidR="008D4E45">
        <w:t xml:space="preserve"> </w:t>
      </w:r>
    </w:p>
    <w:p w:rsidR="00EE288F" w:rsidRDefault="00EE288F" w:rsidP="00BF5044">
      <w:pPr>
        <w:spacing w:before="120" w:after="120" w:line="360" w:lineRule="auto"/>
      </w:pPr>
      <w:r>
        <w:t xml:space="preserve">The results showed that a strategy combining RF screening, POC testing and laboratory testing appears to be a cost-effective use of NHS resources for outpatients undergoing non-emergency CECT without a recent eGFR measurement. This is because POC creatinine tests (which have demonstrated reasonable accuracy) can avoid </w:t>
      </w:r>
      <w:r w:rsidRPr="00750268">
        <w:t xml:space="preserve">unnecessary CT scan </w:t>
      </w:r>
      <w:r>
        <w:t xml:space="preserve">cancellations and these savings appear to exceed the reduction in health benefits arising from any misclassification. Regarding the POC devices, our analyses showed that </w:t>
      </w:r>
      <w:proofErr w:type="spellStart"/>
      <w:r>
        <w:t>i</w:t>
      </w:r>
      <w:proofErr w:type="spellEnd"/>
      <w:r>
        <w:t>-STAT and StatSensor generate similar NHB (</w:t>
      </w:r>
      <w:proofErr w:type="spellStart"/>
      <w:r>
        <w:t>i</w:t>
      </w:r>
      <w:proofErr w:type="spellEnd"/>
      <w:r>
        <w:t xml:space="preserve">-STAT presented slightly higher NHB for </w:t>
      </w:r>
      <w:r w:rsidRPr="00D54373">
        <w:t>th</w:t>
      </w:r>
      <w:r>
        <w:t>e ‘RF+POC+Lab’</w:t>
      </w:r>
      <w:r w:rsidRPr="00D54373">
        <w:t xml:space="preserve"> strategy</w:t>
      </w:r>
      <w:r>
        <w:t xml:space="preserve">, but the opposite was true for all other strategies including a POC testing). The additional costs associated with the </w:t>
      </w:r>
      <w:proofErr w:type="gramStart"/>
      <w:r>
        <w:t>table-top</w:t>
      </w:r>
      <w:proofErr w:type="gramEnd"/>
      <w:r>
        <w:t xml:space="preserve"> device (ABL800 Flex) were too large to justify its increased accuracy.</w:t>
      </w:r>
    </w:p>
    <w:p w:rsidR="00EE288F" w:rsidRDefault="00EE288F" w:rsidP="00BF5044">
      <w:pPr>
        <w:spacing w:before="120" w:after="120" w:line="360" w:lineRule="auto"/>
      </w:pPr>
      <w:r>
        <w:t xml:space="preserve">Our analyses were potentially restricted by the available evidence. First, all individuals were assumed to eventually proceed to a contrast-enhanced CT scan. This was a necessary simplification given data scarcity and the challenges of characterising the heterogeneity in the overall population and the underlying reason for imaging, and linking this to individualised clinical decision-making and associated outcomes. However, the results were robust to extensive scenario analyses exploring the potential impact of alternative assumptions. Second, the assumption that all cancelled CECT scans will result in the loss of the imaging slot, may not represent all NHS trusts, as some trusts may be able to avoid this to some extent (e.g., if they can quickly turnaround laboratory testing onsite and reorganise the daily CT schedule to minimise cancellations). However, our results are robust to variation in the proportion of lost CT scans, unless loss of imaging slots can be totally avoided. Third, diagnostic accuracy data was sourced from small studies, and comparative evidence was only available for three devices. Few patients in these studies were below the </w:t>
      </w:r>
      <w:r w:rsidRPr="00EC6B93">
        <w:t>30mL/min/1.</w:t>
      </w:r>
      <w:r>
        <w:t>73m</w:t>
      </w:r>
      <w:r w:rsidRPr="00F5670E">
        <w:rPr>
          <w:vertAlign w:val="superscript"/>
        </w:rPr>
        <w:t>2</w:t>
      </w:r>
      <w:r>
        <w:t xml:space="preserve"> cut-off, which is reflective of the population, but also contributes to uncertainty in the diagnostic accuracy estimates. Fourth, data used to inform </w:t>
      </w:r>
      <w:r>
        <w:rPr>
          <w:bCs/>
        </w:rPr>
        <w:t>the distribution of eGFR values and health outcomes rates</w:t>
      </w:r>
      <w:r w:rsidRPr="0070383F">
        <w:rPr>
          <w:bCs/>
        </w:rPr>
        <w:t xml:space="preserve"> </w:t>
      </w:r>
      <w:r>
        <w:rPr>
          <w:bCs/>
        </w:rPr>
        <w:t xml:space="preserve">in the model were sparse. A single </w:t>
      </w:r>
      <w:proofErr w:type="gramStart"/>
      <w:r>
        <w:rPr>
          <w:bCs/>
        </w:rPr>
        <w:t>study</w:t>
      </w:r>
      <w:r>
        <w:rPr>
          <w:bCs/>
          <w:noProof/>
        </w:rPr>
        <w:t>[</w:t>
      </w:r>
      <w:proofErr w:type="gramEnd"/>
      <w:r>
        <w:rPr>
          <w:bCs/>
          <w:noProof/>
        </w:rPr>
        <w:t>14]</w:t>
      </w:r>
      <w:r>
        <w:rPr>
          <w:bCs/>
        </w:rPr>
        <w:t xml:space="preserve"> informed health outcomes</w:t>
      </w:r>
      <w:r w:rsidRPr="005376B9">
        <w:t xml:space="preserve"> </w:t>
      </w:r>
      <w:r>
        <w:t xml:space="preserve">rates </w:t>
      </w:r>
      <w:r w:rsidRPr="005376B9">
        <w:t xml:space="preserve">and additional </w:t>
      </w:r>
      <w:r w:rsidRPr="005376B9">
        <w:lastRenderedPageBreak/>
        <w:t>assumptions</w:t>
      </w:r>
      <w:r>
        <w:t xml:space="preserve"> were required</w:t>
      </w:r>
      <w:r w:rsidRPr="005376B9">
        <w:t xml:space="preserve"> </w:t>
      </w:r>
      <w:r>
        <w:t>to link</w:t>
      </w:r>
      <w:r w:rsidRPr="005376B9">
        <w:t xml:space="preserve"> PC-AKI </w:t>
      </w:r>
      <w:r>
        <w:t>with</w:t>
      </w:r>
      <w:r w:rsidRPr="005376B9">
        <w:t xml:space="preserve"> subsequent patient outcomes</w:t>
      </w:r>
      <w:r>
        <w:t>.</w:t>
      </w:r>
      <w:r w:rsidRPr="005376B9">
        <w:t xml:space="preserve"> </w:t>
      </w:r>
      <w:r>
        <w:t xml:space="preserve">Finally, the costs of implementing POC creatinine testing in radiology services were not included, due to lack of data and expected local level variation. However, these costs would have to be in excess of </w:t>
      </w:r>
      <w:r>
        <w:rPr>
          <w:bCs/>
        </w:rPr>
        <w:t xml:space="preserve">£80,000 per year </w:t>
      </w:r>
      <w:r>
        <w:t>to change our findings.</w:t>
      </w:r>
    </w:p>
    <w:p w:rsidR="00B31C0C" w:rsidRDefault="003B73B2" w:rsidP="00BF5044">
      <w:pPr>
        <w:spacing w:before="120" w:after="120" w:line="360" w:lineRule="auto"/>
      </w:pPr>
      <w:r>
        <w:t xml:space="preserve">International guidelines are consensual on the need to </w:t>
      </w:r>
      <w:r w:rsidR="00AA1148" w:rsidRPr="00AA1148">
        <w:t xml:space="preserve">assess PC-AKI risk, and deliver risk mediating actions prior to contrast administration to patients at higher PC-AKI risk [2, 4, </w:t>
      </w:r>
      <w:proofErr w:type="gramStart"/>
      <w:r w:rsidR="00AA1148" w:rsidRPr="00AA1148">
        <w:t>5</w:t>
      </w:r>
      <w:proofErr w:type="gramEnd"/>
      <w:r w:rsidR="00AA1148" w:rsidRPr="00AA1148">
        <w:t>]</w:t>
      </w:r>
      <w:r>
        <w:t>. Therefore, our findings will be relevant to other health systems, as long as delays leading to cancellation of planned CECT</w:t>
      </w:r>
      <w:r w:rsidR="00967962">
        <w:t xml:space="preserve"> arise from </w:t>
      </w:r>
      <w:r>
        <w:t>patients presenting to imaging without a recent eGFR measurement.</w:t>
      </w:r>
    </w:p>
    <w:p w:rsidR="00EE288F" w:rsidRDefault="00EE288F" w:rsidP="00BF5044">
      <w:pPr>
        <w:spacing w:before="120" w:after="120" w:line="360" w:lineRule="auto"/>
      </w:pPr>
      <w:r>
        <w:t>R</w:t>
      </w:r>
      <w:r w:rsidRPr="008E3CA6">
        <w:t xml:space="preserve">ecently updated guidance by the National Institute for Health and Care Excellence (NICE) on AKI </w:t>
      </w:r>
      <w:r>
        <w:t xml:space="preserve">prevention </w:t>
      </w:r>
      <w:r w:rsidRPr="008E3CA6">
        <w:t xml:space="preserve">recommends oral hydration for adults at increased </w:t>
      </w:r>
      <w:r>
        <w:t xml:space="preserve">AKI </w:t>
      </w:r>
      <w:r w:rsidRPr="008E3CA6">
        <w:t xml:space="preserve">risk, with IV hydration only considered for inpatients at particularly high risk </w:t>
      </w:r>
      <w:r>
        <w:rPr>
          <w:noProof/>
        </w:rPr>
        <w:t>[37, 38]</w:t>
      </w:r>
      <w:r w:rsidRPr="008E3CA6">
        <w:t xml:space="preserve">.  NICE considered oral </w:t>
      </w:r>
      <w:r>
        <w:t xml:space="preserve">and </w:t>
      </w:r>
      <w:r w:rsidRPr="008E3CA6">
        <w:t>IV hydration</w:t>
      </w:r>
      <w:r>
        <w:t xml:space="preserve"> equivalent</w:t>
      </w:r>
      <w:r w:rsidRPr="008E3CA6">
        <w:t xml:space="preserve"> in preventing PC-AKI, and therefore, </w:t>
      </w:r>
      <w:r>
        <w:t xml:space="preserve">recommended oral hydration </w:t>
      </w:r>
      <w:r w:rsidRPr="008E3CA6">
        <w:t>should be offered in outpatient setting</w:t>
      </w:r>
      <w:r>
        <w:t>s</w:t>
      </w:r>
      <w:r w:rsidRPr="008E3CA6">
        <w:t xml:space="preserve">. </w:t>
      </w:r>
      <w:r>
        <w:t>T</w:t>
      </w:r>
      <w:r w:rsidRPr="008E3CA6">
        <w:t xml:space="preserve">he guideline recommends </w:t>
      </w:r>
      <w:r>
        <w:t xml:space="preserve">PC-AKI </w:t>
      </w:r>
      <w:r w:rsidRPr="008E3CA6">
        <w:t xml:space="preserve">risk </w:t>
      </w:r>
      <w:r>
        <w:t xml:space="preserve">assessment </w:t>
      </w:r>
      <w:r w:rsidRPr="008E3CA6">
        <w:t xml:space="preserve">and delays to CT scans </w:t>
      </w:r>
      <w:r>
        <w:t xml:space="preserve">may still result from </w:t>
      </w:r>
      <w:r w:rsidRPr="008E3CA6">
        <w:t>the need to orally hydrate patients with eGFR</w:t>
      </w:r>
      <w:r>
        <w:t>&lt;</w:t>
      </w:r>
      <w:r w:rsidRPr="008E3CA6">
        <w:t>30mL/min/1.73m</w:t>
      </w:r>
      <w:r w:rsidRPr="008E3CA6">
        <w:rPr>
          <w:vertAlign w:val="superscript"/>
        </w:rPr>
        <w:t>2</w:t>
      </w:r>
      <w:r>
        <w:t>. As such</w:t>
      </w:r>
      <w:r w:rsidRPr="008E3CA6">
        <w:t xml:space="preserve">, POC testing may be of value for the health system. It is only when hydration is assumed to result in no </w:t>
      </w:r>
      <w:r>
        <w:t xml:space="preserve">NHS </w:t>
      </w:r>
      <w:r w:rsidRPr="008E3CA6">
        <w:t>costs</w:t>
      </w:r>
      <w:r>
        <w:t>,</w:t>
      </w:r>
      <w:r w:rsidRPr="008E3CA6">
        <w:t xml:space="preserve"> </w:t>
      </w:r>
      <w:r>
        <w:t>with</w:t>
      </w:r>
      <w:r w:rsidRPr="008E3CA6">
        <w:t xml:space="preserve"> fewer than 10% of CT scans rescheduled to rehydrate patients</w:t>
      </w:r>
      <w:r>
        <w:t>,</w:t>
      </w:r>
      <w:r w:rsidRPr="008E3CA6">
        <w:t xml:space="preserve"> </w:t>
      </w:r>
      <w:r>
        <w:t>that</w:t>
      </w:r>
      <w:r w:rsidRPr="008E3CA6">
        <w:t xml:space="preserve"> the cost-effective strategy appears to switch from ‘RF+POC+Lab’ to ‘RF+Lab’ (analysis not shown).</w:t>
      </w:r>
    </w:p>
    <w:p w:rsidR="00EE288F" w:rsidRDefault="00EE288F" w:rsidP="00BF5044">
      <w:pPr>
        <w:spacing w:before="120" w:after="120" w:line="360" w:lineRule="auto"/>
      </w:pPr>
      <w:r>
        <w:t>Uncertainties remain in the effect of IV hydration to prevent PC-</w:t>
      </w:r>
      <w:proofErr w:type="gramStart"/>
      <w:r>
        <w:t>AKI</w:t>
      </w:r>
      <w:r>
        <w:rPr>
          <w:noProof/>
        </w:rPr>
        <w:t>[</w:t>
      </w:r>
      <w:proofErr w:type="gramEnd"/>
      <w:r>
        <w:rPr>
          <w:noProof/>
        </w:rPr>
        <w:t>15]</w:t>
      </w:r>
      <w:r>
        <w:t xml:space="preserve">, as well as whether </w:t>
      </w:r>
      <w:r w:rsidRPr="005376B9">
        <w:t>contrast modif</w:t>
      </w:r>
      <w:r>
        <w:t>ies</w:t>
      </w:r>
      <w:r w:rsidRPr="005376B9">
        <w:t xml:space="preserve"> </w:t>
      </w:r>
      <w:r>
        <w:t>PC-AKI</w:t>
      </w:r>
      <w:r w:rsidRPr="005376B9">
        <w:t xml:space="preserve"> risk</w:t>
      </w:r>
      <w:r>
        <w:rPr>
          <w:noProof/>
        </w:rPr>
        <w:t>[39]</w:t>
      </w:r>
      <w:r>
        <w:t>.</w:t>
      </w:r>
      <w:r w:rsidRPr="005376B9">
        <w:t xml:space="preserve"> </w:t>
      </w:r>
      <w:r>
        <w:t xml:space="preserve">However, </w:t>
      </w:r>
      <w:r>
        <w:rPr>
          <w:bCs/>
        </w:rPr>
        <w:t xml:space="preserve">the findings were </w:t>
      </w:r>
      <w:r w:rsidRPr="005376B9">
        <w:rPr>
          <w:bCs/>
        </w:rPr>
        <w:t xml:space="preserve">robust to </w:t>
      </w:r>
      <w:r>
        <w:rPr>
          <w:bCs/>
        </w:rPr>
        <w:t>variation on PC-AKI</w:t>
      </w:r>
      <w:r w:rsidRPr="005376B9">
        <w:rPr>
          <w:bCs/>
        </w:rPr>
        <w:t xml:space="preserve"> risk </w:t>
      </w:r>
      <w:r>
        <w:rPr>
          <w:bCs/>
        </w:rPr>
        <w:t xml:space="preserve">and the effect of IV hydration. </w:t>
      </w:r>
    </w:p>
    <w:p w:rsidR="00EE288F" w:rsidRDefault="00967962" w:rsidP="00BF5044">
      <w:pPr>
        <w:spacing w:before="120" w:after="120" w:line="360" w:lineRule="auto"/>
      </w:pPr>
      <w:r>
        <w:t xml:space="preserve">Our finding needs to be considered in light of the remaining uncertainties on </w:t>
      </w:r>
      <w:r>
        <w:rPr>
          <w:bCs/>
        </w:rPr>
        <w:t>PC-AKI risk</w:t>
      </w:r>
      <w:r w:rsidRPr="005376B9">
        <w:rPr>
          <w:bCs/>
        </w:rPr>
        <w:t xml:space="preserve"> </w:t>
      </w:r>
      <w:r>
        <w:rPr>
          <w:bCs/>
        </w:rPr>
        <w:t>and the effect of IV hydration</w:t>
      </w:r>
      <w:r>
        <w:t xml:space="preserve">. </w:t>
      </w:r>
      <w:r w:rsidR="00D405A0">
        <w:t>Exploratory analyses considering a</w:t>
      </w:r>
      <w:r w:rsidR="00EE288F">
        <w:t xml:space="preserve"> ‘no testing and manage all with CECT’ strategy </w:t>
      </w:r>
      <w:r w:rsidR="00D405A0">
        <w:t xml:space="preserve">identified this as the strategy with </w:t>
      </w:r>
      <w:r w:rsidR="00EE288F">
        <w:t xml:space="preserve">the highest incremental NHB of 0.00482 QALYs (analysis reported </w:t>
      </w:r>
      <w:proofErr w:type="gramStart"/>
      <w:r w:rsidR="00EE288F">
        <w:t>elsewhere</w:t>
      </w:r>
      <w:r w:rsidR="00EE288F">
        <w:rPr>
          <w:noProof/>
        </w:rPr>
        <w:t>[</w:t>
      </w:r>
      <w:proofErr w:type="gramEnd"/>
      <w:r w:rsidR="00EE288F">
        <w:rPr>
          <w:noProof/>
        </w:rPr>
        <w:t>11]</w:t>
      </w:r>
      <w:r w:rsidR="00EE288F">
        <w:t xml:space="preserve">). This suggests that </w:t>
      </w:r>
      <w:r w:rsidR="00D405A0">
        <w:t xml:space="preserve">the </w:t>
      </w:r>
      <w:r w:rsidR="00EE288F">
        <w:t xml:space="preserve">costs </w:t>
      </w:r>
      <w:r w:rsidR="00D405A0">
        <w:t xml:space="preserve">associated with routine testing </w:t>
      </w:r>
      <w:r w:rsidR="00EE288F">
        <w:t xml:space="preserve">to obtain an eGFR measurement (regardless of test used) may not </w:t>
      </w:r>
      <w:r w:rsidR="00D405A0">
        <w:t xml:space="preserve">be justified, in the context of the </w:t>
      </w:r>
      <w:proofErr w:type="gramStart"/>
      <w:r w:rsidR="00D405A0">
        <w:t>low level</w:t>
      </w:r>
      <w:proofErr w:type="gramEnd"/>
      <w:r w:rsidR="00D405A0">
        <w:t xml:space="preserve"> </w:t>
      </w:r>
      <w:r w:rsidR="00EE288F">
        <w:t>improvement in patient outcomes</w:t>
      </w:r>
      <w:r w:rsidR="00D405A0" w:rsidRPr="009530F5">
        <w:t>.</w:t>
      </w:r>
      <w:r w:rsidR="00EE288F" w:rsidRPr="009530F5">
        <w:t xml:space="preserve"> </w:t>
      </w:r>
      <w:r w:rsidR="00D405A0" w:rsidRPr="009530F5">
        <w:rPr>
          <w:i/>
        </w:rPr>
        <w:t xml:space="preserve"> </w:t>
      </w:r>
      <w:r w:rsidR="00D405A0" w:rsidRPr="009530F5">
        <w:t xml:space="preserve">However, decisions about forgoing eGFR testing should also consider the context of the underlying disease requiring CECT (which is variable) and the clinical efficacy of alternative mitigating strategies (such as changing imaging modality), which we have not modelled here. </w:t>
      </w:r>
      <w:r w:rsidR="00B734CC">
        <w:t xml:space="preserve">Further evidence and further analyses are therefore required </w:t>
      </w:r>
      <w:r w:rsidR="00330A13">
        <w:t xml:space="preserve">to identify </w:t>
      </w:r>
      <w:r w:rsidR="00B734CC">
        <w:t xml:space="preserve">the value of foregoing eGFR testing, identifying the </w:t>
      </w:r>
      <w:r w:rsidR="00330A13">
        <w:t xml:space="preserve">optimal patient management across a range of </w:t>
      </w:r>
      <w:r w:rsidR="00A77F05">
        <w:t xml:space="preserve">imaging </w:t>
      </w:r>
      <w:r w:rsidR="00330A13">
        <w:t>referral reasons</w:t>
      </w:r>
      <w:r w:rsidR="00A77F05">
        <w:t xml:space="preserve"> and underlying diseases</w:t>
      </w:r>
      <w:r w:rsidR="00330A13">
        <w:t>.</w:t>
      </w:r>
      <w:r w:rsidR="00B734CC" w:rsidRPr="00B734CC">
        <w:rPr>
          <w:i/>
          <w:u w:val="single"/>
        </w:rPr>
        <w:t xml:space="preserve"> </w:t>
      </w:r>
      <w:r w:rsidR="00B734CC" w:rsidRPr="009530F5">
        <w:t>This would need to capture heterogeneity in reason for imaging, the diagnostic accuracy of alternative imaging (e.g., MRI or unenhanced CT), subsequent patient management for the underlying disease and their impact on outcomes.</w:t>
      </w:r>
    </w:p>
    <w:p w:rsidR="00EE288F" w:rsidRPr="007F44B1" w:rsidRDefault="00EE288F" w:rsidP="00BF5044">
      <w:pPr>
        <w:spacing w:before="120" w:after="120" w:line="360" w:lineRule="auto"/>
      </w:pPr>
    </w:p>
    <w:p w:rsidR="00EE288F" w:rsidRDefault="00EE288F" w:rsidP="00BF5044">
      <w:pPr>
        <w:pStyle w:val="Heading3"/>
        <w:spacing w:before="120" w:after="120" w:line="360" w:lineRule="auto"/>
      </w:pPr>
      <w:r>
        <w:t>Conclusion</w:t>
      </w:r>
    </w:p>
    <w:p w:rsidR="00EE288F" w:rsidRDefault="00EE288F" w:rsidP="00BF5044">
      <w:pPr>
        <w:spacing w:before="120" w:after="120" w:line="360" w:lineRule="auto"/>
      </w:pPr>
      <w:r>
        <w:t xml:space="preserve">A </w:t>
      </w:r>
      <w:r w:rsidRPr="002D4E52">
        <w:t>three</w:t>
      </w:r>
      <w:r>
        <w:t>-</w:t>
      </w:r>
      <w:r w:rsidRPr="002D4E52">
        <w:t xml:space="preserve">step testing sequence </w:t>
      </w:r>
      <w:r>
        <w:t>of</w:t>
      </w:r>
      <w:r w:rsidRPr="002D4E52">
        <w:t xml:space="preserve"> screening all individuals for </w:t>
      </w:r>
      <w:r>
        <w:t xml:space="preserve">PC-AKI </w:t>
      </w:r>
      <w:r w:rsidRPr="002D4E52">
        <w:t xml:space="preserve">risk factors, testing </w:t>
      </w:r>
      <w:r>
        <w:t xml:space="preserve">individuals with at least one risk factor </w:t>
      </w:r>
      <w:r w:rsidRPr="002D4E52">
        <w:t xml:space="preserve">with </w:t>
      </w:r>
      <w:r>
        <w:t xml:space="preserve">a </w:t>
      </w:r>
      <w:r w:rsidRPr="002D4E52">
        <w:t xml:space="preserve">POC </w:t>
      </w:r>
      <w:r>
        <w:t>device</w:t>
      </w:r>
      <w:r w:rsidRPr="002D4E52">
        <w:t xml:space="preserve">, and a confirmatory laboratory test for </w:t>
      </w:r>
      <w:r>
        <w:t>individuals with a positive POC creatinine test, is potentially cost-effective</w:t>
      </w:r>
      <w:r w:rsidRPr="002D4E52">
        <w:t xml:space="preserve">. </w:t>
      </w:r>
      <w:r>
        <w:t>Using</w:t>
      </w:r>
      <w:r w:rsidRPr="002D4E52">
        <w:t xml:space="preserve"> </w:t>
      </w:r>
      <w:proofErr w:type="spellStart"/>
      <w:r w:rsidRPr="002D4E52">
        <w:t>i</w:t>
      </w:r>
      <w:proofErr w:type="spellEnd"/>
      <w:r w:rsidRPr="002D4E52">
        <w:t xml:space="preserve">-STAT </w:t>
      </w:r>
      <w:r>
        <w:t>as the POC device</w:t>
      </w:r>
      <w:r w:rsidRPr="002D4E52">
        <w:t xml:space="preserve"> </w:t>
      </w:r>
      <w:r>
        <w:t>in this strategy type yields the highest NHB, but with minor differences compared to StatSensor</w:t>
      </w:r>
      <w:r w:rsidRPr="002D4E52">
        <w:t xml:space="preserve">. </w:t>
      </w:r>
      <w:r w:rsidRPr="00C17D6D">
        <w:t xml:space="preserve">The </w:t>
      </w:r>
      <w:r>
        <w:t>key cost-effectiveness driver was the proportion of cancelled CECT scans. Findings were insensitive to the r</w:t>
      </w:r>
      <w:r w:rsidRPr="00C17D6D">
        <w:t>eduction of PC-AKI risk and associated consequences</w:t>
      </w:r>
      <w:r>
        <w:t xml:space="preserve">. This was </w:t>
      </w:r>
      <w:r w:rsidRPr="00C17D6D">
        <w:t xml:space="preserve">due to the low PC-AKI </w:t>
      </w:r>
      <w:r>
        <w:t xml:space="preserve">risk </w:t>
      </w:r>
      <w:r w:rsidRPr="00C17D6D">
        <w:t xml:space="preserve">estimated for this population, the lack of evidence suggesting an increased PC-AKI </w:t>
      </w:r>
      <w:r>
        <w:t xml:space="preserve">risk </w:t>
      </w:r>
      <w:r w:rsidRPr="00C17D6D">
        <w:t>associated with the use of contrast</w:t>
      </w:r>
      <w:r>
        <w:t>,</w:t>
      </w:r>
      <w:r w:rsidRPr="00C17D6D">
        <w:t xml:space="preserve"> and the </w:t>
      </w:r>
      <w:r>
        <w:t>lack of evidence of</w:t>
      </w:r>
      <w:r w:rsidRPr="00C17D6D">
        <w:t xml:space="preserve"> impact of IV hydration in reducing the PC-AKI</w:t>
      </w:r>
      <w:r>
        <w:t xml:space="preserve"> risk</w:t>
      </w:r>
      <w:r w:rsidRPr="00C17D6D">
        <w:t xml:space="preserve">. </w:t>
      </w:r>
    </w:p>
    <w:p w:rsidR="00EE288F" w:rsidRPr="00E946CC" w:rsidRDefault="00EE288F" w:rsidP="00BF5044">
      <w:pPr>
        <w:pStyle w:val="Heading3"/>
        <w:rPr>
          <w:rFonts w:asciiTheme="minorHAnsi" w:hAnsiTheme="minorHAnsi" w:cstheme="minorHAnsi"/>
          <w:sz w:val="22"/>
          <w:szCs w:val="22"/>
          <w:lang w:val="it-IT"/>
        </w:rPr>
      </w:pPr>
      <w:r w:rsidRPr="00E946CC">
        <w:rPr>
          <w:rFonts w:asciiTheme="minorHAnsi" w:hAnsiTheme="minorHAnsi" w:cstheme="minorHAnsi"/>
          <w:sz w:val="22"/>
          <w:szCs w:val="22"/>
          <w:lang w:val="it-IT"/>
        </w:rPr>
        <w:t>References</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[1] V. Pistolesi, G. Regolisti, S. Morabito, I. Gandolfini, S. Corrado, G. Piotti, E.J.J.o.n. Fiaccadori, Contrast medium induced acute kidney injury: a narrative review, 31(6) (2018) 797-812.</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 xml:space="preserve">[2] European Society of Urogenital Radiology (ESUR), ESUR guidelines on contrast agents v10.0, 2018. </w:t>
      </w:r>
      <w:r w:rsidRPr="00EE288F">
        <w:rPr>
          <w:rFonts w:asciiTheme="minorHAnsi" w:hAnsiTheme="minorHAnsi" w:cstheme="minorHAnsi"/>
          <w:sz w:val="22"/>
        </w:rPr>
        <w:t>http://www.esur-cm.org/</w:t>
      </w:r>
      <w:r w:rsidRPr="00E946CC">
        <w:rPr>
          <w:rFonts w:asciiTheme="minorHAnsi" w:hAnsiTheme="minorHAnsi" w:cstheme="minorHAnsi"/>
          <w:sz w:val="22"/>
        </w:rPr>
        <w:t>. (Accessed 28th February 2019).</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 R.D. Aycock, L.M. Westafer, J.L. Boxen, N. Majlesi, E.M. Schoenfeld, R.R. Bannuru, Acute kidney injury after computed tomography: a meta-analysis, Ann Emerg Med 71(1) (2018) 44-53.</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[4] ACR Committee on Drugs and Contrast Media, ACR manual on contrast media. Version 10.3 2018, American College of Radiology, 2018.</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[5] The Royal Australian and New Zealand College of Radiologists, Iodinated contrast media guideline V2.3., The Royal Australian and New Zealand College of Radiologists, Sydney, 2018.</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[6] S.I. Moos, D.N. van Vemde, J. Stoker, S. Bipat, Contrast induced nephropathy in patients undergoing intravenous (IV) contrast enhanced computed tomography (CECT) and the relationship with risk factors: a meta-analysis, Eur J Radiol 82(9) (2013) e387-99.</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[7] L.H. Cope, K.J. Drinkwater, D.C. Howlett, RCR audit of compliance with UK guidelines for the prevention and detection of acute kidney injury in adult patients undergoing iodinated contrast media injections for CT, Clin Radiol 72(12) (2017) 1047-1052.</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[8] D.A. Adams, M. Buus-Frank, Point-of-care technology: the i-STAT system for bedside blood analysis, J Pediatr Nurs 10(3) (1995) 194-198.</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[9] E. Lee-Lewandrowski, C. Chang, K. Gregory, K. Lewandrowski, Evaluation of rapid point-of-care creatinine testing in the radiology service of a large academic medical center: impact on clinical operations and patient disposition, Clin Chim Acta 413(1-2) (2012) 88-92.</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[10] B. Shinkins, M. Harris, A. Lewington, S. Abraham, B. Snaith, Kidney function testing prior to contrast-enhanced computed tomography: a comparative cost analysis of a personalised risk-stratified pathway vs a test all approach, Clin Radiol 76(3) (2021) 202-212.</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 xml:space="preserve">[11] </w:t>
      </w:r>
      <w:r w:rsidR="00361EF8" w:rsidRPr="00E946CC">
        <w:rPr>
          <w:rFonts w:asciiTheme="minorHAnsi" w:hAnsiTheme="minorHAnsi" w:cstheme="minorHAnsi"/>
          <w:sz w:val="22"/>
        </w:rPr>
        <w:t>M. Corbett, A. Duarte, A. Llewellyn, J. Altunkaya, M. Harden, M. Harris, S. Walker, S. Palmer, S. Dias, M. Soares, Point-of-care creatinine tests to assess kidney function for outpatients requiring contrast-enhanced CT imaging: systematic reviews and economic evaluation, Health Technol Assess 24(39) (2020) 1.</w:t>
      </w:r>
      <w:bookmarkStart w:id="11" w:name="_GoBack"/>
      <w:bookmarkEnd w:id="11"/>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[12] NICE, Guide to the methods of technology appraisal 2013, Process and methods guides, NICE - NHS UK, 2013.</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lastRenderedPageBreak/>
        <w:t>[13] B. Snaith, M.A. Harris, B. Shinkins, M. Messenger, A. Lewington, M. Jordaan, N. Spencer, Point of care creatinine testing in diagnostic imaging: a feasibility study within the outpatient computed tomography setting Eur J Radiol 112 (2019) 82-87.</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[14] S. Park, M.H. Kim, E. Kang, S. Park, H.A. Jo, H. Lee, S.M. Kim, J.P. Lee, K.H. Oh, K.W. Joo, Y.S. Kim, D.K. Kim, Contrast-Induced Nephropathy After Computed Tomography in Stable CKD Patients With Proper Prophylaxis: 8-Year Experience of Outpatient Prophylaxis Program, Medicine 95(18) (2016) e3560.</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[15] K. Ahmed, T. McVeigh, R. Cerneviciute, S. Mohamed, M. Tubassam, M. Karim, S. Walsh, Effectiveness of contrast-associated acute kidney injury prevention methods; a systematic review and network meta-analysis, BMC Nephrol 19(1) (2018) 323.</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 xml:space="preserve">[16] Office for National Statistics, National life tables: England, 2018. </w:t>
      </w:r>
      <w:r w:rsidRPr="00EE288F">
        <w:rPr>
          <w:rFonts w:asciiTheme="minorHAnsi" w:hAnsiTheme="minorHAnsi" w:cstheme="minorHAnsi"/>
          <w:sz w:val="22"/>
        </w:rPr>
        <w:t>https://www.ons.gov.uk/peoplepopulationandcommunity/birthsdeathsandmarriages/lifeexpectancies/datasets/nationallifetablesenglandreferencetables</w:t>
      </w:r>
      <w:r w:rsidRPr="00E946CC">
        <w:rPr>
          <w:rFonts w:asciiTheme="minorHAnsi" w:hAnsiTheme="minorHAnsi" w:cstheme="minorHAnsi"/>
          <w:sz w:val="22"/>
        </w:rPr>
        <w:t>. (Accessed February 2019).</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[17] R. Ara, J.E. Brazier, Populating an economic model with health state utility values: moving toward better practice, Value Health 13(5) (2010) 509-518.</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[18] M. Wyld, R.L. Morton, A. Hayen, K. Howard, A.C. Webster, A systematic review and meta-analysis of utility-based quality of life in chronic kidney disease treatments., PLoS Med 9 (2012) e1001307.</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 xml:space="preserve">[19] Department of Health, National schedule of reference costs - Year 2017-18 - NHS trust and NHS foundation trusts, 2018. </w:t>
      </w:r>
      <w:r w:rsidRPr="00EE288F">
        <w:rPr>
          <w:rFonts w:asciiTheme="minorHAnsi" w:hAnsiTheme="minorHAnsi" w:cstheme="minorHAnsi"/>
          <w:sz w:val="22"/>
        </w:rPr>
        <w:t>https://improvement.nhs.uk/resources/reference-costs/</w:t>
      </w:r>
      <w:r w:rsidRPr="00E946CC">
        <w:rPr>
          <w:rFonts w:asciiTheme="minorHAnsi" w:hAnsiTheme="minorHAnsi" w:cstheme="minorHAnsi"/>
          <w:sz w:val="22"/>
        </w:rPr>
        <w:t>. (Accessed 15th April 2019).</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[20] E.C. Nijssen, R.J. Rennenberg, P.J. Nelemans, B.A. Essers, M.M. Janssen, M.A. Vermeeren, V.v. Ommen, J.E. Wildberger, Prophylactic hydration to protect renal function from intravascular iodinated contrast material in patients at high risk of contrast-induced nephropathy (AMACING): a prospective, randomised, phase 3, controlled, open-label, non-inferiority trial, Lancet 389(10076) (2017) 1312-1322.</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[21] P.L. Choyke, J. Cady, S.L. DePollar, H. Austin, Determination of serum creatinine prior to iodinated contrast media: is it necessary in all patients?, Tech Urol 4 (1998) 65-69.</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[22] C.W. Too, W.Y. Ng, C.C. Tan, M.I. Mahmood, K.H. Tay, Screening for impaired renal function in outpatients before iodinated contrast injection: Comparing the Choyke questionnaire with a rapid point-of-care-test, Eur J Radiol 84(7) (2015) 1227-31.</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[23] B. Snaith, M.A. Harris, B. Shinkins, M. Jordaan, M. Messenger, A. Lewington, Point-of-care creatinine testing for kidney function measurement prior to contrast-enhanced diagnostic imaging: evaluation of the performance of three systems for clinical utility, Clinical Chemistry &amp; Laboratory Medicine 56(8) (2018) 1269-1276.</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[24] C. Botz, L. Sorenson, B. Karon, Comparison of whole blood and serum creatinine and estimated glomerular filtration rate for screening of at-risk patients prior to radiographic procedures, Clin Chem 1) (2013) A192.</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[25] M. Shephard, M. Peake, O. Corso, A. Shephard, B. Mazzachi, B. Spaeth, J. Barbara, T. Mathew, Assessment of the Nova StatSensor whole blood point-of-care creatinine analyzer for the measurement of kidney function in screening for chronic kidney disease, Clinical Chemistry &amp; Laboratory Medicine 48(8) (2010) 1113-9.</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[26] T. Krige, Screening for Chronic Kidney Disease (CKD) in a high risk population using a Point of Care Instrument for creatinine measurement: a community based study (The Bellville South Africa Study), Stellenbosch University, 2017.</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[27] I.P.L. Houben, C. van Berlo, O. Bekers, E.C. Nijssen, M.B.I. Lobbes, J.E. Wildberger, Assessing the Risk of Contrast-Induced Nephropathy Using a Finger Stick Analysis in Recalls from Breast Screening: The CINFIBS Explorative Study, Contrast Media &amp; Molecular Imaging 2017 (2017) 5670384.</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[28] A. Inoue, N. Nitta, S. Ohta, K. Imoto, M. Yamasaki, M. Ikeda, K. Murata, StatSensor-i point-of-care creatinine analyzer may identify patients at high-risk of contrast-induced nephropathy, Experimental &amp; Therapeutic Medicine 13(6) (2017) 3503-3508.</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lastRenderedPageBreak/>
        <w:t>[29] J. Dorward, N. Yende-Zuma, N. Samsunder, Q.A. Karim, P.K. Drain, N. Garrett, Clinic-Based Evaluation of a Point-of-Care Creatinine Assay to Screen for Renal Impairment Among HIV-Positive Patients Receiving Tenofovir Disoproxil Fumarate, J Acquir Immune Defic Syndr 77(4) (2018) e36-e39.</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[30] N.L. Korpi-Steiner, E.E. Williamson, B.S. Karon, Comparison of three whole blood creatinine methods for estimation of glomerular filtration rate before radiographic contrast administration, Am J Clin Pathol 132(6) (2009) 920-6.</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[31] J.H. Nichols, C. Bartholomew, A. Bonzagi, J.L. Garb, L. Jin, Evaluation of the IRMA TRUpoint and i-STAT creatinine assays, Clin Chim Acta 377(1-2) (2007) 201-5.</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[32] D. Lunn, C. Jackson, N. Best, A. Thomas, D. Spiegelhalter, The BUGS book, CRC Press, Boca Raton, FL, 2013.</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[33] D. Lunn, D. Spiegelhalter, A. Thomas, N. Best, The BUGS project: Evolution, critique and future directions, Stat Med 28(25) (2009) 3049-67.</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[34] H.P. Ledermann, B. Mengiardi, A. Schmid, J.M. Froehlich, Screening for renal insufficiency following ESUR (European Society of Urogenital Radiology) guidelines with on-site creatinine measurements in an outpatient setting, Eur Radiol 20(8) (2010) 1926-33.</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[35] L.A. Curtis, A. Burns, Unit costs of health and social care 2017, Personal Social Services Research Unit, University of Kent, Canterbury, 2017.</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[36] National Clinical Guideline Centre, Acute Kidney Injury: Prevention, Detection and Management Up to the Point of Renal Replacement Therapy, Royal College of Physicians 08 (2013) 08.</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[37] T. Barrett, A. Khwaja, C. Carmona, Y. Martinez, H. Nicholas, G. Rogers, A.S. Wierzbicki, A. Lewington, A.S. Wierzbicki, C. Allinson, Acute kidney injury: prevention, detection, and management. Summary of updated NICE guidance for adults receiving iodine-based contrast media, Clin Radiol  (2020).</w:t>
      </w:r>
    </w:p>
    <w:p w:rsidR="00EE288F" w:rsidRPr="00E946CC" w:rsidRDefault="00EE288F" w:rsidP="00BF5044">
      <w:pPr>
        <w:pStyle w:val="EndNoteBibliography"/>
        <w:spacing w:after="0"/>
        <w:rPr>
          <w:rFonts w:asciiTheme="minorHAnsi" w:hAnsiTheme="minorHAnsi" w:cstheme="minorHAnsi"/>
          <w:sz w:val="22"/>
        </w:rPr>
      </w:pPr>
      <w:r w:rsidRPr="00E946CC">
        <w:rPr>
          <w:rFonts w:asciiTheme="minorHAnsi" w:hAnsiTheme="minorHAnsi" w:cstheme="minorHAnsi"/>
          <w:sz w:val="22"/>
        </w:rPr>
        <w:t>[38] NICE, Acute kidney injury: prevention, detection and management (NICE guideline (NG)148), 2019.</w:t>
      </w:r>
    </w:p>
    <w:p w:rsidR="006058EA" w:rsidRPr="00971A8B" w:rsidRDefault="00EE288F" w:rsidP="00971A8B">
      <w:pPr>
        <w:pStyle w:val="EndNoteBibliography"/>
        <w:rPr>
          <w:rFonts w:asciiTheme="minorHAnsi" w:hAnsiTheme="minorHAnsi" w:cstheme="minorHAnsi"/>
          <w:sz w:val="22"/>
        </w:rPr>
      </w:pPr>
      <w:r w:rsidRPr="00E946CC">
        <w:rPr>
          <w:rFonts w:asciiTheme="minorHAnsi" w:hAnsiTheme="minorHAnsi" w:cstheme="minorHAnsi"/>
          <w:sz w:val="22"/>
        </w:rPr>
        <w:t>[39] R.J. McDonald, J.S. McDonald, J.H. Newhouse, M.S. Davenport, Controversies in contrast material-induced acute kidney injury: closing in on the truth?, Radiology 277(3) (2015) 627-32.</w:t>
      </w:r>
    </w:p>
    <w:sectPr w:rsidR="006058EA" w:rsidRPr="00971A8B" w:rsidSect="00361E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EDF" w:rsidRDefault="00165EDF">
      <w:pPr>
        <w:spacing w:after="0" w:line="240" w:lineRule="auto"/>
      </w:pPr>
      <w:r>
        <w:separator/>
      </w:r>
    </w:p>
  </w:endnote>
  <w:endnote w:type="continuationSeparator" w:id="0">
    <w:p w:rsidR="00165EDF" w:rsidRDefault="0016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02516"/>
      <w:docPartObj>
        <w:docPartGallery w:val="Page Numbers (Bottom of Page)"/>
        <w:docPartUnique/>
      </w:docPartObj>
    </w:sdtPr>
    <w:sdtEndPr>
      <w:rPr>
        <w:noProof/>
      </w:rPr>
    </w:sdtEndPr>
    <w:sdtContent>
      <w:p w:rsidR="00165EDF" w:rsidRDefault="00165EDF">
        <w:pPr>
          <w:pStyle w:val="Footer"/>
          <w:jc w:val="right"/>
        </w:pPr>
        <w:r>
          <w:fldChar w:fldCharType="begin"/>
        </w:r>
        <w:r>
          <w:instrText xml:space="preserve"> PAGE   \* MERGEFORMAT </w:instrText>
        </w:r>
        <w:r>
          <w:fldChar w:fldCharType="separate"/>
        </w:r>
        <w:r w:rsidR="00361EF8">
          <w:rPr>
            <w:noProof/>
          </w:rPr>
          <w:t>21</w:t>
        </w:r>
        <w:r>
          <w:rPr>
            <w:noProof/>
          </w:rPr>
          <w:fldChar w:fldCharType="end"/>
        </w:r>
      </w:p>
    </w:sdtContent>
  </w:sdt>
  <w:p w:rsidR="00165EDF" w:rsidRDefault="00165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EDF" w:rsidRDefault="00165EDF">
      <w:pPr>
        <w:spacing w:after="0" w:line="240" w:lineRule="auto"/>
      </w:pPr>
      <w:r>
        <w:separator/>
      </w:r>
    </w:p>
  </w:footnote>
  <w:footnote w:type="continuationSeparator" w:id="0">
    <w:p w:rsidR="00165EDF" w:rsidRDefault="00165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6890"/>
    <w:multiLevelType w:val="hybridMultilevel"/>
    <w:tmpl w:val="68A0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645A9"/>
    <w:multiLevelType w:val="hybridMultilevel"/>
    <w:tmpl w:val="001EC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8404D"/>
    <w:multiLevelType w:val="hybridMultilevel"/>
    <w:tmpl w:val="3B12A2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769E5"/>
    <w:multiLevelType w:val="hybridMultilevel"/>
    <w:tmpl w:val="8334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E10F5"/>
    <w:multiLevelType w:val="hybridMultilevel"/>
    <w:tmpl w:val="564AA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E288F"/>
    <w:rsid w:val="00077B0C"/>
    <w:rsid w:val="00081DE9"/>
    <w:rsid w:val="000A6C39"/>
    <w:rsid w:val="001532C3"/>
    <w:rsid w:val="00165EDF"/>
    <w:rsid w:val="00167870"/>
    <w:rsid w:val="00183A7D"/>
    <w:rsid w:val="001C45F9"/>
    <w:rsid w:val="0023359C"/>
    <w:rsid w:val="002F65C8"/>
    <w:rsid w:val="00317632"/>
    <w:rsid w:val="00330A13"/>
    <w:rsid w:val="00361EF8"/>
    <w:rsid w:val="003866E0"/>
    <w:rsid w:val="00396C94"/>
    <w:rsid w:val="003B73B2"/>
    <w:rsid w:val="00453ED0"/>
    <w:rsid w:val="006058EA"/>
    <w:rsid w:val="00694200"/>
    <w:rsid w:val="006B0D01"/>
    <w:rsid w:val="006E3DBF"/>
    <w:rsid w:val="00706DF4"/>
    <w:rsid w:val="0087547E"/>
    <w:rsid w:val="008D4E45"/>
    <w:rsid w:val="00944E35"/>
    <w:rsid w:val="009530F5"/>
    <w:rsid w:val="00967962"/>
    <w:rsid w:val="00971A8B"/>
    <w:rsid w:val="00A33541"/>
    <w:rsid w:val="00A73024"/>
    <w:rsid w:val="00A77EA0"/>
    <w:rsid w:val="00A77F05"/>
    <w:rsid w:val="00A91666"/>
    <w:rsid w:val="00AA1148"/>
    <w:rsid w:val="00AB4DF5"/>
    <w:rsid w:val="00AC33A0"/>
    <w:rsid w:val="00B31C0C"/>
    <w:rsid w:val="00B734CC"/>
    <w:rsid w:val="00BF5044"/>
    <w:rsid w:val="00C95852"/>
    <w:rsid w:val="00D405A0"/>
    <w:rsid w:val="00D8522B"/>
    <w:rsid w:val="00E02117"/>
    <w:rsid w:val="00E31E2D"/>
    <w:rsid w:val="00EC607A"/>
    <w:rsid w:val="00EE288F"/>
    <w:rsid w:val="00EE31EC"/>
    <w:rsid w:val="00EE39B2"/>
    <w:rsid w:val="00FA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1CD44-F5AE-4A0D-9EBC-0D8553CB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8F"/>
  </w:style>
  <w:style w:type="paragraph" w:styleId="Heading1">
    <w:name w:val="heading 1"/>
    <w:basedOn w:val="Normal"/>
    <w:next w:val="Normal"/>
    <w:link w:val="Heading1Char"/>
    <w:uiPriority w:val="9"/>
    <w:qFormat/>
    <w:rsid w:val="00EE2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2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E28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EE288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8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28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28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E288F"/>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EE288F"/>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EE2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8F"/>
  </w:style>
  <w:style w:type="paragraph" w:styleId="Footer">
    <w:name w:val="footer"/>
    <w:basedOn w:val="Normal"/>
    <w:link w:val="FooterChar"/>
    <w:uiPriority w:val="99"/>
    <w:unhideWhenUsed/>
    <w:rsid w:val="00EE2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88F"/>
  </w:style>
  <w:style w:type="character" w:styleId="Emphasis">
    <w:name w:val="Emphasis"/>
    <w:uiPriority w:val="20"/>
    <w:qFormat/>
    <w:rsid w:val="00EE288F"/>
    <w:rPr>
      <w:bCs/>
      <w:i/>
      <w:iCs/>
      <w:spacing w:val="0"/>
      <w:bdr w:val="none" w:sz="0" w:space="0" w:color="auto"/>
      <w:shd w:val="clear" w:color="auto" w:fill="auto"/>
    </w:rPr>
  </w:style>
  <w:style w:type="paragraph" w:styleId="ListParagraph">
    <w:name w:val="List Paragraph"/>
    <w:basedOn w:val="Normal"/>
    <w:uiPriority w:val="34"/>
    <w:qFormat/>
    <w:rsid w:val="00EE288F"/>
    <w:pPr>
      <w:ind w:left="720"/>
      <w:contextualSpacing/>
    </w:pPr>
  </w:style>
  <w:style w:type="character" w:styleId="CommentReference">
    <w:name w:val="annotation reference"/>
    <w:basedOn w:val="DefaultParagraphFont"/>
    <w:uiPriority w:val="99"/>
    <w:semiHidden/>
    <w:unhideWhenUsed/>
    <w:rsid w:val="00EE288F"/>
    <w:rPr>
      <w:sz w:val="16"/>
      <w:szCs w:val="16"/>
    </w:rPr>
  </w:style>
  <w:style w:type="paragraph" w:styleId="CommentText">
    <w:name w:val="annotation text"/>
    <w:basedOn w:val="Normal"/>
    <w:link w:val="CommentTextChar"/>
    <w:uiPriority w:val="99"/>
    <w:semiHidden/>
    <w:unhideWhenUsed/>
    <w:rsid w:val="00EE288F"/>
    <w:pPr>
      <w:spacing w:line="240" w:lineRule="auto"/>
    </w:pPr>
    <w:rPr>
      <w:sz w:val="20"/>
      <w:szCs w:val="20"/>
    </w:rPr>
  </w:style>
  <w:style w:type="character" w:customStyle="1" w:styleId="CommentTextChar">
    <w:name w:val="Comment Text Char"/>
    <w:basedOn w:val="DefaultParagraphFont"/>
    <w:link w:val="CommentText"/>
    <w:uiPriority w:val="99"/>
    <w:semiHidden/>
    <w:rsid w:val="00EE288F"/>
    <w:rPr>
      <w:sz w:val="20"/>
      <w:szCs w:val="20"/>
    </w:rPr>
  </w:style>
  <w:style w:type="paragraph" w:styleId="CommentSubject">
    <w:name w:val="annotation subject"/>
    <w:basedOn w:val="CommentText"/>
    <w:next w:val="CommentText"/>
    <w:link w:val="CommentSubjectChar"/>
    <w:uiPriority w:val="99"/>
    <w:semiHidden/>
    <w:unhideWhenUsed/>
    <w:rsid w:val="00EE288F"/>
    <w:rPr>
      <w:b/>
      <w:bCs/>
    </w:rPr>
  </w:style>
  <w:style w:type="character" w:customStyle="1" w:styleId="CommentSubjectChar">
    <w:name w:val="Comment Subject Char"/>
    <w:basedOn w:val="CommentTextChar"/>
    <w:link w:val="CommentSubject"/>
    <w:uiPriority w:val="99"/>
    <w:semiHidden/>
    <w:rsid w:val="00EE288F"/>
    <w:rPr>
      <w:b/>
      <w:bCs/>
      <w:sz w:val="20"/>
      <w:szCs w:val="20"/>
    </w:rPr>
  </w:style>
  <w:style w:type="paragraph" w:styleId="BalloonText">
    <w:name w:val="Balloon Text"/>
    <w:basedOn w:val="Normal"/>
    <w:link w:val="BalloonTextChar"/>
    <w:uiPriority w:val="99"/>
    <w:semiHidden/>
    <w:unhideWhenUsed/>
    <w:rsid w:val="00EE2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88F"/>
    <w:rPr>
      <w:rFonts w:ascii="Segoe UI" w:hAnsi="Segoe UI" w:cs="Segoe UI"/>
      <w:sz w:val="18"/>
      <w:szCs w:val="18"/>
    </w:rPr>
  </w:style>
  <w:style w:type="paragraph" w:customStyle="1" w:styleId="EndNoteBibliographyTitle">
    <w:name w:val="EndNote Bibliography Title"/>
    <w:basedOn w:val="Normal"/>
    <w:link w:val="EndNoteBibliographyTitleChar"/>
    <w:rsid w:val="00EE288F"/>
    <w:pPr>
      <w:spacing w:after="0"/>
      <w:jc w:val="center"/>
    </w:pPr>
    <w:rPr>
      <w:rFonts w:ascii="Calibri Light" w:hAnsi="Calibri Light" w:cs="Calibri Light"/>
      <w:noProof/>
      <w:sz w:val="24"/>
      <w:lang w:val="en-US"/>
    </w:rPr>
  </w:style>
  <w:style w:type="character" w:customStyle="1" w:styleId="EndNoteBibliographyTitleChar">
    <w:name w:val="EndNote Bibliography Title Char"/>
    <w:basedOn w:val="DefaultParagraphFont"/>
    <w:link w:val="EndNoteBibliographyTitle"/>
    <w:rsid w:val="00EE288F"/>
    <w:rPr>
      <w:rFonts w:ascii="Calibri Light" w:hAnsi="Calibri Light" w:cs="Calibri Light"/>
      <w:noProof/>
      <w:sz w:val="24"/>
      <w:lang w:val="en-US"/>
    </w:rPr>
  </w:style>
  <w:style w:type="paragraph" w:customStyle="1" w:styleId="EndNoteBibliography">
    <w:name w:val="EndNote Bibliography"/>
    <w:basedOn w:val="Normal"/>
    <w:link w:val="EndNoteBibliographyChar"/>
    <w:rsid w:val="00EE288F"/>
    <w:pPr>
      <w:spacing w:line="240" w:lineRule="auto"/>
    </w:pPr>
    <w:rPr>
      <w:rFonts w:ascii="Calibri Light" w:hAnsi="Calibri Light" w:cs="Calibri Light"/>
      <w:noProof/>
      <w:sz w:val="24"/>
      <w:lang w:val="en-US"/>
    </w:rPr>
  </w:style>
  <w:style w:type="character" w:customStyle="1" w:styleId="EndNoteBibliographyChar">
    <w:name w:val="EndNote Bibliography Char"/>
    <w:basedOn w:val="DefaultParagraphFont"/>
    <w:link w:val="EndNoteBibliography"/>
    <w:rsid w:val="00EE288F"/>
    <w:rPr>
      <w:rFonts w:ascii="Calibri Light" w:hAnsi="Calibri Light" w:cs="Calibri Light"/>
      <w:noProof/>
      <w:sz w:val="24"/>
      <w:lang w:val="en-US"/>
    </w:rPr>
  </w:style>
  <w:style w:type="paragraph" w:styleId="NormalWeb">
    <w:name w:val="Normal (Web)"/>
    <w:basedOn w:val="Normal"/>
    <w:uiPriority w:val="99"/>
    <w:unhideWhenUsed/>
    <w:rsid w:val="00EE2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288F"/>
    <w:rPr>
      <w:color w:val="0000FF"/>
      <w:u w:val="single"/>
    </w:rPr>
  </w:style>
  <w:style w:type="table" w:styleId="TableGrid">
    <w:name w:val="Table Grid"/>
    <w:basedOn w:val="TableNormal"/>
    <w:uiPriority w:val="59"/>
    <w:rsid w:val="00EE288F"/>
    <w:pPr>
      <w:spacing w:before="40" w:after="40" w:line="240" w:lineRule="auto"/>
    </w:pPr>
    <w:rPr>
      <w:rFonts w:ascii="Times New Roman" w:eastAsia="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Caption">
    <w:name w:val="caption"/>
    <w:basedOn w:val="Normal"/>
    <w:next w:val="Normal"/>
    <w:uiPriority w:val="35"/>
    <w:unhideWhenUsed/>
    <w:qFormat/>
    <w:rsid w:val="00EE288F"/>
    <w:pPr>
      <w:spacing w:after="200" w:line="240" w:lineRule="auto"/>
    </w:pPr>
    <w:rPr>
      <w:i/>
      <w:iCs/>
      <w:color w:val="44546A" w:themeColor="text2"/>
      <w:sz w:val="18"/>
      <w:szCs w:val="18"/>
    </w:rPr>
  </w:style>
  <w:style w:type="paragraph" w:styleId="Revision">
    <w:name w:val="Revision"/>
    <w:hidden/>
    <w:uiPriority w:val="99"/>
    <w:semiHidden/>
    <w:rsid w:val="00EE288F"/>
    <w:pPr>
      <w:spacing w:after="0" w:line="240" w:lineRule="auto"/>
    </w:pPr>
  </w:style>
  <w:style w:type="character" w:customStyle="1" w:styleId="UnresolvedMention1">
    <w:name w:val="Unresolved Mention1"/>
    <w:basedOn w:val="DefaultParagraphFont"/>
    <w:uiPriority w:val="99"/>
    <w:semiHidden/>
    <w:unhideWhenUsed/>
    <w:rsid w:val="00EE288F"/>
    <w:rPr>
      <w:color w:val="605E5C"/>
      <w:shd w:val="clear" w:color="auto" w:fill="E1DFDD"/>
    </w:rPr>
  </w:style>
  <w:style w:type="table" w:customStyle="1" w:styleId="TableGrid1">
    <w:name w:val="Table Grid1"/>
    <w:basedOn w:val="TableNormal"/>
    <w:next w:val="TableGrid"/>
    <w:uiPriority w:val="59"/>
    <w:rsid w:val="00EE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EE288F"/>
    <w:rPr>
      <w:color w:val="605E5C"/>
      <w:shd w:val="clear" w:color="auto" w:fill="E1DFDD"/>
    </w:rPr>
  </w:style>
  <w:style w:type="character" w:styleId="LineNumber">
    <w:name w:val="line number"/>
    <w:basedOn w:val="DefaultParagraphFont"/>
    <w:uiPriority w:val="99"/>
    <w:semiHidden/>
    <w:unhideWhenUsed/>
    <w:rsid w:val="0097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B8A1-0D7F-4B21-886E-3738C4AB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6828</Words>
  <Characters>38925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Duarte</dc:creator>
  <cp:keywords/>
  <dc:description/>
  <cp:lastModifiedBy>Ana Duarte</cp:lastModifiedBy>
  <cp:revision>3</cp:revision>
  <dcterms:created xsi:type="dcterms:W3CDTF">2021-07-20T10:41:00Z</dcterms:created>
  <dcterms:modified xsi:type="dcterms:W3CDTF">2021-07-20T10:43:00Z</dcterms:modified>
</cp:coreProperties>
</file>