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2DE93" w14:textId="1B09D03D" w:rsidR="00D80DA7" w:rsidRDefault="00D80DA7" w:rsidP="007B14CB">
      <w:pPr>
        <w:pStyle w:val="Title"/>
      </w:pPr>
      <w:r w:rsidRPr="00E34A3D">
        <w:t>Building relationships: Is this the answer to effective nutrition policy formulation?</w:t>
      </w:r>
    </w:p>
    <w:p w14:paraId="62867D23" w14:textId="77777777" w:rsidR="005857D4" w:rsidRPr="005857D4" w:rsidRDefault="005857D4" w:rsidP="005857D4">
      <w:pPr>
        <w:rPr>
          <w:lang w:eastAsia="en-US"/>
        </w:rPr>
      </w:pPr>
    </w:p>
    <w:p w14:paraId="35D1708A" w14:textId="77777777" w:rsidR="00D80DA7" w:rsidRDefault="00D80DA7" w:rsidP="007B14CB"/>
    <w:p w14:paraId="3ED72E62" w14:textId="77777777" w:rsidR="00D80DA7" w:rsidRDefault="00D80DA7" w:rsidP="007B14CB">
      <w:pPr>
        <w:pStyle w:val="Heading1"/>
        <w:spacing w:line="480" w:lineRule="auto"/>
        <w:ind w:left="431" w:firstLine="0"/>
        <w:jc w:val="center"/>
        <w:rPr>
          <w:rFonts w:ascii="Times New Roman" w:hAnsi="Times New Roman" w:cs="Times New Roman"/>
          <w:b/>
          <w:color w:val="auto"/>
          <w:sz w:val="28"/>
          <w:szCs w:val="24"/>
        </w:rPr>
      </w:pPr>
      <w:r>
        <w:rPr>
          <w:rFonts w:ascii="Times New Roman" w:hAnsi="Times New Roman" w:cs="Times New Roman"/>
          <w:b/>
          <w:color w:val="auto"/>
          <w:sz w:val="28"/>
          <w:szCs w:val="24"/>
        </w:rPr>
        <w:t>ABSTRACT</w:t>
      </w:r>
    </w:p>
    <w:p w14:paraId="601B2DAE" w14:textId="77777777" w:rsidR="00D80DA7" w:rsidRDefault="00D80DA7" w:rsidP="007B14CB">
      <w:pPr>
        <w:jc w:val="both"/>
        <w:rPr>
          <w:lang w:eastAsia="en-US"/>
        </w:rPr>
      </w:pPr>
    </w:p>
    <w:p w14:paraId="0DB46260" w14:textId="1CF7E04B" w:rsidR="00D80DA7" w:rsidRPr="000F2C1A" w:rsidRDefault="00D80DA7" w:rsidP="007B14CB">
      <w:pPr>
        <w:spacing w:line="480" w:lineRule="auto"/>
        <w:jc w:val="both"/>
      </w:pPr>
      <w:r w:rsidRPr="00F469FB">
        <w:t>Policy makers are still struggling to deliver effective nutrition policies, as n</w:t>
      </w:r>
      <w:r w:rsidR="00C80F76">
        <w:t xml:space="preserve">utrition policy development can </w:t>
      </w:r>
      <w:r w:rsidRPr="00F469FB">
        <w:t xml:space="preserve">be lost among other competing demands from what is a complex, interconnected food system. Therefore, we explored the relevance of including a wider (relational) marketing perspective to enable effective nutrition policy formulation through in-depth interviews with food system stakeholders and focus groups with citizens. A relational approach would release the potential to build trust and collaboration, necessary for </w:t>
      </w:r>
      <w:r w:rsidR="00C80F76">
        <w:t xml:space="preserve">policy </w:t>
      </w:r>
      <w:r w:rsidRPr="00F469FB">
        <w:t xml:space="preserve">implementation, by focusing on the shared goal of citizen wellbeing. A power shift </w:t>
      </w:r>
      <w:proofErr w:type="gramStart"/>
      <w:r w:rsidRPr="00F469FB">
        <w:t>is needed</w:t>
      </w:r>
      <w:proofErr w:type="gramEnd"/>
      <w:r w:rsidRPr="00F469FB">
        <w:t xml:space="preserve"> from large corporations to governments and end-users (consumers/citizens). For thi</w:t>
      </w:r>
      <w:bookmarkStart w:id="0" w:name="_GoBack"/>
      <w:bookmarkEnd w:id="0"/>
      <w:r w:rsidRPr="00F469FB">
        <w:t>s to happen, governments need to address power sources to orchestrate policy development, rather than merely monitoring the actor set. Acknowledged interdependence that re-balances power and includes citizens’ input in nutrition policy development is vital.</w:t>
      </w:r>
    </w:p>
    <w:p w14:paraId="5C2EC182" w14:textId="77777777" w:rsidR="00D80DA7" w:rsidRPr="000F2C1A" w:rsidRDefault="00D80DA7" w:rsidP="007B14CB">
      <w:pPr>
        <w:rPr>
          <w:lang w:eastAsia="en-US"/>
        </w:rPr>
      </w:pPr>
    </w:p>
    <w:p w14:paraId="08C280C1" w14:textId="77777777" w:rsidR="00D80DA7" w:rsidRDefault="00D80DA7" w:rsidP="007B14CB"/>
    <w:p w14:paraId="28D22E80" w14:textId="77777777" w:rsidR="00D80DA7" w:rsidRDefault="00D80DA7">
      <w:pPr>
        <w:spacing w:after="160" w:line="259" w:lineRule="auto"/>
        <w:rPr>
          <w:rFonts w:eastAsiaTheme="majorEastAsia"/>
          <w:b/>
          <w:sz w:val="28"/>
          <w:lang w:eastAsia="en-US"/>
        </w:rPr>
      </w:pPr>
      <w:r>
        <w:rPr>
          <w:b/>
          <w:sz w:val="28"/>
        </w:rPr>
        <w:br w:type="page"/>
      </w:r>
    </w:p>
    <w:p w14:paraId="224EBBCB" w14:textId="2B4967A6" w:rsidR="00D80DA7" w:rsidRPr="00204E0E" w:rsidRDefault="00D80DA7" w:rsidP="00DB4267">
      <w:pPr>
        <w:pStyle w:val="Heading1"/>
        <w:numPr>
          <w:ilvl w:val="0"/>
          <w:numId w:val="17"/>
        </w:numPr>
        <w:spacing w:line="480" w:lineRule="auto"/>
        <w:rPr>
          <w:rFonts w:ascii="Times New Roman" w:hAnsi="Times New Roman" w:cs="Times New Roman"/>
          <w:b/>
          <w:color w:val="auto"/>
          <w:sz w:val="28"/>
          <w:szCs w:val="24"/>
        </w:rPr>
      </w:pPr>
      <w:r w:rsidRPr="00204E0E">
        <w:rPr>
          <w:rFonts w:ascii="Times New Roman" w:hAnsi="Times New Roman" w:cs="Times New Roman"/>
          <w:b/>
          <w:color w:val="auto"/>
          <w:sz w:val="28"/>
          <w:szCs w:val="24"/>
        </w:rPr>
        <w:lastRenderedPageBreak/>
        <w:t>INTRODUCTION</w:t>
      </w:r>
    </w:p>
    <w:p w14:paraId="418725AD" w14:textId="5FCCEC35" w:rsidR="00D80DA7" w:rsidRPr="00204E0E" w:rsidRDefault="00D80DA7" w:rsidP="007B14CB">
      <w:pPr>
        <w:spacing w:after="240" w:line="480" w:lineRule="auto"/>
        <w:ind w:firstLine="567"/>
      </w:pPr>
      <w:r w:rsidRPr="00204E0E">
        <w:t xml:space="preserve">Food policy shapes what people eat, how food is produced and distributed and at what cost. It </w:t>
      </w:r>
      <w:proofErr w:type="gramStart"/>
      <w:r w:rsidRPr="00204E0E">
        <w:t>impacts</w:t>
      </w:r>
      <w:proofErr w:type="gramEnd"/>
      <w:r w:rsidRPr="00204E0E">
        <w:t xml:space="preserve"> people’s health and wellbeing as well as economies and the environment (Hawkes and Parsons</w:t>
      </w:r>
      <w:r w:rsidR="00EB45F7">
        <w:t>,</w:t>
      </w:r>
      <w:r w:rsidRPr="00204E0E">
        <w:t xml:space="preserve"> 2019). The ineffectiveness of current food polices</w:t>
      </w:r>
      <w:r>
        <w:t>,</w:t>
      </w:r>
      <w:r w:rsidRPr="00204E0E">
        <w:t xml:space="preserve"> </w:t>
      </w:r>
      <w:r>
        <w:t xml:space="preserve">as </w:t>
      </w:r>
      <w:r w:rsidRPr="00204E0E">
        <w:t>manifested in persisting food-related problems and increasing food system pressures</w:t>
      </w:r>
      <w:r>
        <w:t>,</w:t>
      </w:r>
      <w:r w:rsidRPr="00204E0E">
        <w:t xml:space="preserve"> makes clear the need for better food policy (</w:t>
      </w:r>
      <w:r w:rsidR="00265698" w:rsidRPr="00204E0E">
        <w:t xml:space="preserve">Lloyd-Williams </w:t>
      </w:r>
      <w:r w:rsidR="00265698" w:rsidRPr="00AB2FFE">
        <w:rPr>
          <w:i/>
        </w:rPr>
        <w:t>et al.</w:t>
      </w:r>
      <w:r w:rsidR="00265698">
        <w:t>,</w:t>
      </w:r>
      <w:r w:rsidR="00265698" w:rsidRPr="00204E0E">
        <w:t xml:space="preserve"> 2014</w:t>
      </w:r>
      <w:r w:rsidR="00265698">
        <w:t>;</w:t>
      </w:r>
      <w:r w:rsidR="00265698" w:rsidRPr="00204E0E">
        <w:t xml:space="preserve"> </w:t>
      </w:r>
      <w:proofErr w:type="spellStart"/>
      <w:r w:rsidR="00265698" w:rsidRPr="00204E0E">
        <w:t>Candel</w:t>
      </w:r>
      <w:proofErr w:type="spellEnd"/>
      <w:r w:rsidR="00265698" w:rsidRPr="00204E0E">
        <w:t xml:space="preserve"> and Pereira</w:t>
      </w:r>
      <w:r w:rsidR="00265698">
        <w:t>,</w:t>
      </w:r>
      <w:r w:rsidR="00265698" w:rsidRPr="00204E0E">
        <w:t xml:space="preserve"> 2017</w:t>
      </w:r>
      <w:r w:rsidR="00265698">
        <w:t>;</w:t>
      </w:r>
      <w:r w:rsidR="00265698" w:rsidRPr="00204E0E">
        <w:t xml:space="preserve"> </w:t>
      </w:r>
      <w:r w:rsidRPr="00204E0E">
        <w:t>Hawkes and Parsons</w:t>
      </w:r>
      <w:r w:rsidR="00783631">
        <w:t>, 2019;</w:t>
      </w:r>
      <w:r w:rsidRPr="00204E0E">
        <w:t xml:space="preserve"> </w:t>
      </w:r>
      <w:proofErr w:type="spellStart"/>
      <w:r w:rsidRPr="00204E0E">
        <w:t>Swinburn</w:t>
      </w:r>
      <w:proofErr w:type="spellEnd"/>
      <w:r w:rsidRPr="00204E0E">
        <w:t xml:space="preserve"> </w:t>
      </w:r>
      <w:r w:rsidRPr="00AB2FFE">
        <w:rPr>
          <w:i/>
        </w:rPr>
        <w:t>et al.</w:t>
      </w:r>
      <w:r w:rsidR="00783631">
        <w:t>,</w:t>
      </w:r>
      <w:r w:rsidRPr="00204E0E">
        <w:t xml:space="preserve"> 2019). Comprehensive food policies include three pillars; nutrition/healthy eating, food safety and </w:t>
      </w:r>
      <w:r>
        <w:t xml:space="preserve">a </w:t>
      </w:r>
      <w:r w:rsidRPr="00204E0E">
        <w:t>sustainable food supply (</w:t>
      </w:r>
      <w:r w:rsidR="005834CC" w:rsidRPr="00EE1396">
        <w:t>World Health Organisation</w:t>
      </w:r>
      <w:r w:rsidR="00E60415">
        <w:t>,</w:t>
      </w:r>
      <w:r w:rsidR="005834CC" w:rsidRPr="00204E0E">
        <w:t xml:space="preserve"> </w:t>
      </w:r>
      <w:r w:rsidRPr="00204E0E">
        <w:t>2001)</w:t>
      </w:r>
      <w:r w:rsidRPr="00204E0E">
        <w:rPr>
          <w:rFonts w:ascii="Times-Roman" w:hAnsi="Times-Roman" w:cs="Times-Roman"/>
          <w:sz w:val="23"/>
          <w:szCs w:val="23"/>
          <w:lang w:eastAsia="en-US"/>
        </w:rPr>
        <w:t>.</w:t>
      </w:r>
      <w:r w:rsidRPr="00204E0E">
        <w:t xml:space="preserve"> This paper </w:t>
      </w:r>
      <w:r>
        <w:t>focuses</w:t>
      </w:r>
      <w:r w:rsidRPr="00204E0E">
        <w:t xml:space="preserve"> on the first pillar, i.e.</w:t>
      </w:r>
      <w:r>
        <w:t>,</w:t>
      </w:r>
      <w:r w:rsidRPr="00204E0E">
        <w:t xml:space="preserve"> nutrition/healthy eating</w:t>
      </w:r>
      <w:r>
        <w:t>,</w:t>
      </w:r>
      <w:r w:rsidRPr="00204E0E">
        <w:t xml:space="preserve"> and therefore addresses nutrition policy. </w:t>
      </w:r>
    </w:p>
    <w:p w14:paraId="78BD29E6" w14:textId="0E42F3EE" w:rsidR="00D80DA7" w:rsidRPr="00204E0E" w:rsidRDefault="00D80DA7" w:rsidP="007B14CB">
      <w:pPr>
        <w:spacing w:after="240" w:line="480" w:lineRule="auto"/>
        <w:ind w:firstLine="567"/>
      </w:pPr>
      <w:r>
        <w:t>Nu</w:t>
      </w:r>
      <w:r w:rsidRPr="00204E0E">
        <w:t>trition polic</w:t>
      </w:r>
      <w:r>
        <w:t xml:space="preserve">ies </w:t>
      </w:r>
      <w:proofErr w:type="gramStart"/>
      <w:r>
        <w:t>are</w:t>
      </w:r>
      <w:r w:rsidRPr="00204E0E">
        <w:t xml:space="preserve"> constructed and shaped by three main parties</w:t>
      </w:r>
      <w:proofErr w:type="gramEnd"/>
      <w:r w:rsidRPr="00204E0E">
        <w:t>: government, civil society and the food supply chain (Lang</w:t>
      </w:r>
      <w:r w:rsidR="008133D7">
        <w:t>,</w:t>
      </w:r>
      <w:r w:rsidRPr="00204E0E">
        <w:t xml:space="preserve"> 2005).  </w:t>
      </w:r>
      <w:r>
        <w:t>We shall refer to these as “actors”</w:t>
      </w:r>
      <w:r w:rsidRPr="00204E0E">
        <w:t xml:space="preserve"> in relation</w:t>
      </w:r>
      <w:r>
        <w:t xml:space="preserve"> to</w:t>
      </w:r>
      <w:r w:rsidRPr="00204E0E">
        <w:t xml:space="preserve"> policy development and implementation throughout this paper (</w:t>
      </w:r>
      <w:proofErr w:type="spellStart"/>
      <w:r w:rsidRPr="00204E0E">
        <w:t>Lusch</w:t>
      </w:r>
      <w:proofErr w:type="spellEnd"/>
      <w:r w:rsidRPr="00204E0E">
        <w:t xml:space="preserve"> and </w:t>
      </w:r>
      <w:proofErr w:type="spellStart"/>
      <w:r w:rsidRPr="00204E0E">
        <w:t>Vargo</w:t>
      </w:r>
      <w:proofErr w:type="spellEnd"/>
      <w:r w:rsidR="001818B4">
        <w:t>,</w:t>
      </w:r>
      <w:r w:rsidRPr="00204E0E">
        <w:t xml:space="preserve"> 2014). At present, these three actors do not interact well. Vivid examples of poor interactions include the lobbying efforts of the food and beverages industry to undermine policies that protect public health (Ludwig and Nestle</w:t>
      </w:r>
      <w:r w:rsidR="001818B4">
        <w:t>,</w:t>
      </w:r>
      <w:r w:rsidRPr="00204E0E">
        <w:t xml:space="preserve"> 2008)</w:t>
      </w:r>
      <w:r>
        <w:t>,</w:t>
      </w:r>
      <w:r w:rsidRPr="00204E0E">
        <w:t xml:space="preserve"> and </w:t>
      </w:r>
      <w:r>
        <w:t>public-private</w:t>
      </w:r>
      <w:r w:rsidRPr="00204E0E">
        <w:t xml:space="preserve"> partnerships being criticised for suffering from fundamental differences of interest, power imbalance</w:t>
      </w:r>
      <w:r>
        <w:t>s</w:t>
      </w:r>
      <w:r w:rsidRPr="00204E0E">
        <w:t xml:space="preserve"> and conflicted objectives between actors (</w:t>
      </w:r>
      <w:r w:rsidR="00B62871" w:rsidRPr="00204E0E">
        <w:t>Lund-Thomsen</w:t>
      </w:r>
      <w:r w:rsidR="00B62871">
        <w:t>,</w:t>
      </w:r>
      <w:r w:rsidR="00B62871" w:rsidRPr="00204E0E">
        <w:t xml:space="preserve"> 2009</w:t>
      </w:r>
      <w:r w:rsidR="00B62871">
        <w:t>;</w:t>
      </w:r>
      <w:r w:rsidR="00B62871" w:rsidRPr="00204E0E">
        <w:t xml:space="preserve"> </w:t>
      </w:r>
      <w:r w:rsidRPr="00204E0E">
        <w:t xml:space="preserve">Hawkes and </w:t>
      </w:r>
      <w:proofErr w:type="spellStart"/>
      <w:r w:rsidRPr="00204E0E">
        <w:t>Buse</w:t>
      </w:r>
      <w:proofErr w:type="spellEnd"/>
      <w:r w:rsidR="001818B4">
        <w:t>,</w:t>
      </w:r>
      <w:r w:rsidRPr="00204E0E">
        <w:t xml:space="preserve"> 2011</w:t>
      </w:r>
      <w:r w:rsidR="00B62871">
        <w:t>;</w:t>
      </w:r>
      <w:r w:rsidRPr="00204E0E">
        <w:t xml:space="preserve"> </w:t>
      </w:r>
      <w:proofErr w:type="spellStart"/>
      <w:r w:rsidRPr="00204E0E">
        <w:t>Aschemann-Witzel</w:t>
      </w:r>
      <w:proofErr w:type="spellEnd"/>
      <w:r w:rsidRPr="00204E0E">
        <w:t xml:space="preserve"> </w:t>
      </w:r>
      <w:r w:rsidRPr="001818B4">
        <w:rPr>
          <w:i/>
        </w:rPr>
        <w:t>et al</w:t>
      </w:r>
      <w:r w:rsidRPr="00204E0E">
        <w:t>.</w:t>
      </w:r>
      <w:r w:rsidR="00B62871">
        <w:t>,</w:t>
      </w:r>
      <w:r w:rsidRPr="00204E0E">
        <w:t xml:space="preserve"> 2018). The COVID-19 pandemic </w:t>
      </w:r>
      <w:r>
        <w:t xml:space="preserve">has </w:t>
      </w:r>
      <w:r w:rsidRPr="00204E0E">
        <w:t xml:space="preserve">further exposed the ineffectiveness of </w:t>
      </w:r>
      <w:proofErr w:type="gramStart"/>
      <w:r w:rsidRPr="00204E0E">
        <w:t>food policies and how the different food system actors operate and react to develop and adapt food policies (</w:t>
      </w:r>
      <w:proofErr w:type="spellStart"/>
      <w:r w:rsidRPr="00204E0E">
        <w:t>iPES</w:t>
      </w:r>
      <w:proofErr w:type="spellEnd"/>
      <w:r w:rsidRPr="00204E0E">
        <w:t xml:space="preserve"> FOOD</w:t>
      </w:r>
      <w:r w:rsidR="001F4195">
        <w:t>,</w:t>
      </w:r>
      <w:r w:rsidRPr="00204E0E">
        <w:t xml:space="preserve"> 2020)</w:t>
      </w:r>
      <w:proofErr w:type="gramEnd"/>
      <w:r w:rsidRPr="00204E0E">
        <w:t>.</w:t>
      </w:r>
    </w:p>
    <w:p w14:paraId="0BFD4469" w14:textId="4FF9C28C" w:rsidR="00D80DA7" w:rsidRPr="00204E0E" w:rsidRDefault="00D80DA7" w:rsidP="007B14CB">
      <w:pPr>
        <w:spacing w:after="240" w:line="480" w:lineRule="auto"/>
        <w:ind w:firstLine="567"/>
      </w:pPr>
      <w:r w:rsidRPr="00204E0E">
        <w:t xml:space="preserve">To propose solutions we followed McGuire’s (2012) suggestion that research on the topic of health policy implementation should adopt a marketing rather than public management perspective, as well as </w:t>
      </w:r>
      <w:proofErr w:type="spellStart"/>
      <w:r w:rsidRPr="00204E0E">
        <w:t>Aschemann-Witzel</w:t>
      </w:r>
      <w:proofErr w:type="spellEnd"/>
      <w:r w:rsidRPr="00204E0E">
        <w:t xml:space="preserve"> et al.’s </w:t>
      </w:r>
      <w:r>
        <w:rPr>
          <w:noProof/>
        </w:rPr>
        <w:t>(2012)</w:t>
      </w:r>
      <w:r w:rsidRPr="00204E0E">
        <w:t xml:space="preserve"> evidence that food and </w:t>
      </w:r>
      <w:r w:rsidRPr="00204E0E">
        <w:lastRenderedPageBreak/>
        <w:t xml:space="preserve">health policy development can learn from marketing theory and concepts. </w:t>
      </w:r>
      <w:r w:rsidRPr="00967A49">
        <w:rPr>
          <w:noProof/>
        </w:rPr>
        <w:t>Trischler</w:t>
      </w:r>
      <w:r w:rsidR="0005772D">
        <w:rPr>
          <w:noProof/>
        </w:rPr>
        <w:t xml:space="preserve"> and Charles (2019</w:t>
      </w:r>
      <w:r>
        <w:rPr>
          <w:noProof/>
        </w:rPr>
        <w:t>)</w:t>
      </w:r>
      <w:r>
        <w:t xml:space="preserve"> also suggest adopting a service ecosystems approach to public policy development. </w:t>
      </w:r>
      <w:r w:rsidRPr="00204E0E">
        <w:t>Therefore, in this paper we apply a relational marketing framework</w:t>
      </w:r>
      <w:r>
        <w:t xml:space="preserve"> </w:t>
      </w:r>
      <w:r w:rsidRPr="00204E0E">
        <w:t>to the nutrition policy system as a whole</w:t>
      </w:r>
      <w:r>
        <w:t>, aiming to understand the impact of trust, power and collaboration among the food system actors on effective nutrition policy development</w:t>
      </w:r>
      <w:r w:rsidRPr="00204E0E">
        <w:t>. This relational thinking approach “can enable a closer consideration of the relations and interactions among food marketers, nutritional experts and regulators, by identifying and assessing relations and stakeholders” (</w:t>
      </w:r>
      <w:proofErr w:type="spellStart"/>
      <w:r w:rsidRPr="00204E0E">
        <w:t>B</w:t>
      </w:r>
      <w:r w:rsidR="00C40E53">
        <w:t>ech</w:t>
      </w:r>
      <w:proofErr w:type="spellEnd"/>
      <w:r w:rsidR="00C40E53">
        <w:t xml:space="preserve">-Larsen and </w:t>
      </w:r>
      <w:proofErr w:type="spellStart"/>
      <w:r w:rsidR="00C40E53">
        <w:t>Aschemann-Witzel</w:t>
      </w:r>
      <w:proofErr w:type="spellEnd"/>
      <w:r w:rsidR="00C40E53">
        <w:t>, 2</w:t>
      </w:r>
      <w:r w:rsidRPr="00204E0E">
        <w:t xml:space="preserve">012, </w:t>
      </w:r>
      <w:r w:rsidR="00C40E53">
        <w:t xml:space="preserve">p. </w:t>
      </w:r>
      <w:r w:rsidRPr="00204E0E">
        <w:t xml:space="preserve">209). </w:t>
      </w:r>
    </w:p>
    <w:p w14:paraId="0E361A55" w14:textId="65B38983" w:rsidR="00D80DA7" w:rsidRPr="00204E0E" w:rsidRDefault="00D80DA7" w:rsidP="007B14CB">
      <w:pPr>
        <w:spacing w:line="480" w:lineRule="auto"/>
        <w:ind w:firstLine="567"/>
      </w:pPr>
      <w:r w:rsidRPr="00204E0E">
        <w:t>The study focuse</w:t>
      </w:r>
      <w:r>
        <w:t>s</w:t>
      </w:r>
      <w:r w:rsidRPr="00204E0E">
        <w:t xml:space="preserve"> on the nutrition policy of Greece. Greece has among the highest obesity rates in Europe and worldwide, with 17% of adults being obese and 40% of children aged 6-9 years being overweight or obese (OECD</w:t>
      </w:r>
      <w:r w:rsidR="0001135A">
        <w:t>, 2017a;</w:t>
      </w:r>
      <w:r w:rsidRPr="00204E0E">
        <w:t xml:space="preserve"> World Health Organisation</w:t>
      </w:r>
      <w:r w:rsidR="0001135A">
        <w:t>,</w:t>
      </w:r>
      <w:r w:rsidRPr="00204E0E">
        <w:t xml:space="preserve"> 2018), showing that the existing nutrition policy framework is not very effective, even in a location famed for its healthy Mediterranean diet. To draw a holistic understanding of the food policy system</w:t>
      </w:r>
      <w:r>
        <w:t>,</w:t>
      </w:r>
      <w:r w:rsidRPr="00204E0E">
        <w:t xml:space="preserve"> and achieve the research objectives, our research </w:t>
      </w:r>
      <w:proofErr w:type="gramStart"/>
      <w:r w:rsidRPr="00204E0E">
        <w:t>was designed</w:t>
      </w:r>
      <w:proofErr w:type="gramEnd"/>
      <w:r w:rsidRPr="00204E0E">
        <w:t xml:space="preserve"> to gain perspectives from each nutrition policy actor.  </w:t>
      </w:r>
    </w:p>
    <w:p w14:paraId="4C9CEC78" w14:textId="191EA588" w:rsidR="00D80DA7" w:rsidRPr="00204E0E" w:rsidRDefault="00D80DA7" w:rsidP="00DB4267">
      <w:pPr>
        <w:pStyle w:val="Heading1"/>
        <w:numPr>
          <w:ilvl w:val="0"/>
          <w:numId w:val="17"/>
        </w:numPr>
        <w:spacing w:line="480" w:lineRule="auto"/>
        <w:rPr>
          <w:rFonts w:ascii="Times New Roman" w:hAnsi="Times New Roman" w:cs="Times New Roman"/>
          <w:b/>
          <w:color w:val="auto"/>
          <w:sz w:val="28"/>
          <w:szCs w:val="24"/>
        </w:rPr>
      </w:pPr>
      <w:r w:rsidRPr="00204E0E">
        <w:rPr>
          <w:rFonts w:ascii="Times New Roman" w:hAnsi="Times New Roman" w:cs="Times New Roman"/>
          <w:b/>
          <w:color w:val="auto"/>
          <w:sz w:val="28"/>
          <w:szCs w:val="24"/>
        </w:rPr>
        <w:t>LITERATURE REVIEW</w:t>
      </w:r>
    </w:p>
    <w:p w14:paraId="3B289D46" w14:textId="3D2C04A6" w:rsidR="00D80DA7" w:rsidRPr="00204E0E" w:rsidRDefault="00D421D4" w:rsidP="008F1BAA">
      <w:pPr>
        <w:pStyle w:val="Heading2"/>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2.1 C</w:t>
      </w:r>
      <w:r w:rsidRPr="00204E0E">
        <w:rPr>
          <w:rFonts w:ascii="Times New Roman" w:hAnsi="Times New Roman" w:cs="Times New Roman"/>
          <w:b/>
          <w:color w:val="auto"/>
          <w:sz w:val="24"/>
          <w:szCs w:val="24"/>
        </w:rPr>
        <w:t>urrent actors within nutrition policy development</w:t>
      </w:r>
    </w:p>
    <w:p w14:paraId="20264C91" w14:textId="77777777" w:rsidR="00D80DA7" w:rsidRPr="00204E0E" w:rsidRDefault="00D80DA7" w:rsidP="007B14CB">
      <w:pPr>
        <w:autoSpaceDE w:val="0"/>
        <w:autoSpaceDN w:val="0"/>
        <w:adjustRightInd w:val="0"/>
        <w:spacing w:line="480" w:lineRule="auto"/>
        <w:ind w:firstLine="567"/>
      </w:pPr>
      <w:r w:rsidRPr="00204E0E">
        <w:t xml:space="preserve">Lang (1999) pays attention to the issue of where power lies within the food system affecting policy decision making. In 2005 he proposed a triangle model to describe, in a simplified manner, the way </w:t>
      </w:r>
      <w:r>
        <w:t>in which</w:t>
      </w:r>
      <w:r w:rsidRPr="00204E0E">
        <w:t xml:space="preserve"> food policies (including nutrition policies) are developed, based on the interaction </w:t>
      </w:r>
      <w:r>
        <w:t xml:space="preserve">among </w:t>
      </w:r>
      <w:r w:rsidRPr="00204E0E">
        <w:t>three power groups, i.e.</w:t>
      </w:r>
      <w:r>
        <w:t>,</w:t>
      </w:r>
      <w:r w:rsidRPr="00204E0E">
        <w:t xml:space="preserve"> government</w:t>
      </w:r>
      <w:r>
        <w:t>s,</w:t>
      </w:r>
      <w:r w:rsidRPr="00204E0E">
        <w:t xml:space="preserve"> food supply chain</w:t>
      </w:r>
      <w:r>
        <w:t>s</w:t>
      </w:r>
      <w:r w:rsidRPr="00204E0E">
        <w:t xml:space="preserve"> </w:t>
      </w:r>
      <w:r>
        <w:t xml:space="preserve">and </w:t>
      </w:r>
      <w:r w:rsidRPr="00204E0E">
        <w:t xml:space="preserve">civil society (see Figure 1). </w:t>
      </w:r>
    </w:p>
    <w:p w14:paraId="78540ABF" w14:textId="77777777" w:rsidR="00D80DA7" w:rsidRPr="00204E0E" w:rsidRDefault="00D80DA7" w:rsidP="007B14CB"/>
    <w:p w14:paraId="4B2D4ACE" w14:textId="77777777" w:rsidR="00D80DA7" w:rsidRPr="00204E0E" w:rsidRDefault="00D80DA7" w:rsidP="007B14CB">
      <w:pPr>
        <w:pStyle w:val="Caption"/>
        <w:spacing w:line="480" w:lineRule="auto"/>
        <w:ind w:left="0" w:firstLine="0"/>
        <w:jc w:val="center"/>
        <w:rPr>
          <w:sz w:val="28"/>
          <w:szCs w:val="24"/>
          <w:lang w:val="en-GB"/>
        </w:rPr>
      </w:pPr>
      <w:r w:rsidRPr="00204E0E">
        <w:rPr>
          <w:sz w:val="28"/>
          <w:szCs w:val="24"/>
          <w:lang w:val="en-GB"/>
        </w:rPr>
        <w:lastRenderedPageBreak/>
        <w:t>[Insert Figure 1 about here]</w:t>
      </w:r>
    </w:p>
    <w:p w14:paraId="239B9FC6" w14:textId="77777777" w:rsidR="00D80DA7" w:rsidRPr="00204E0E" w:rsidRDefault="00D80DA7" w:rsidP="007B14CB">
      <w:pPr>
        <w:spacing w:line="480" w:lineRule="auto"/>
        <w:ind w:firstLine="567"/>
      </w:pPr>
    </w:p>
    <w:p w14:paraId="244D27BA" w14:textId="71EE7D76" w:rsidR="00D80DA7" w:rsidRPr="00204E0E" w:rsidRDefault="00D80DA7" w:rsidP="007B14CB">
      <w:pPr>
        <w:autoSpaceDE w:val="0"/>
        <w:autoSpaceDN w:val="0"/>
        <w:adjustRightInd w:val="0"/>
        <w:spacing w:after="240" w:line="480" w:lineRule="auto"/>
        <w:ind w:firstLine="567"/>
      </w:pPr>
      <w:r w:rsidRPr="00204E0E">
        <w:t>Commercial interests have tended to dominate within each of these three areas even when a stakeholder approach is adopted</w:t>
      </w:r>
      <w:r>
        <w:t>,</w:t>
      </w:r>
      <w:r w:rsidRPr="00204E0E">
        <w:t xml:space="preserve"> leading to a power asymmetry (Carey </w:t>
      </w:r>
      <w:r w:rsidRPr="00595AD7">
        <w:rPr>
          <w:i/>
        </w:rPr>
        <w:t>et al.</w:t>
      </w:r>
      <w:r w:rsidR="00605362">
        <w:t>,</w:t>
      </w:r>
      <w:r w:rsidRPr="00204E0E">
        <w:t xml:space="preserve"> 2016</w:t>
      </w:r>
      <w:r w:rsidR="00605362">
        <w:t>;</w:t>
      </w:r>
      <w:r w:rsidRPr="00204E0E">
        <w:t xml:space="preserve"> </w:t>
      </w:r>
      <w:r w:rsidR="00605362" w:rsidRPr="00204E0E">
        <w:t xml:space="preserve">Brooks </w:t>
      </w:r>
      <w:r w:rsidR="00605362" w:rsidRPr="00595AD7">
        <w:rPr>
          <w:i/>
        </w:rPr>
        <w:t>et al.</w:t>
      </w:r>
      <w:r w:rsidR="00595AD7">
        <w:t xml:space="preserve">, </w:t>
      </w:r>
      <w:r w:rsidR="00605362" w:rsidRPr="00204E0E">
        <w:t>2017</w:t>
      </w:r>
      <w:r w:rsidR="00605362">
        <w:t xml:space="preserve">; </w:t>
      </w:r>
      <w:proofErr w:type="spellStart"/>
      <w:r w:rsidRPr="00204E0E">
        <w:t>Aschemann-Witzel</w:t>
      </w:r>
      <w:proofErr w:type="spellEnd"/>
      <w:r w:rsidRPr="00204E0E">
        <w:t xml:space="preserve"> </w:t>
      </w:r>
      <w:r w:rsidRPr="00595AD7">
        <w:rPr>
          <w:i/>
        </w:rPr>
        <w:t>et al.</w:t>
      </w:r>
      <w:r w:rsidR="00605362">
        <w:t>,</w:t>
      </w:r>
      <w:r w:rsidRPr="00204E0E">
        <w:t xml:space="preserve"> 2018).  Since the strong lobbying power of the big food corporations does not always allow for interest-free dec</w:t>
      </w:r>
      <w:r w:rsidR="00564890">
        <w:t xml:space="preserve">ision making (Carey </w:t>
      </w:r>
      <w:r w:rsidR="00564890" w:rsidRPr="00564890">
        <w:rPr>
          <w:i/>
        </w:rPr>
        <w:t>et al.</w:t>
      </w:r>
      <w:r w:rsidR="00564890">
        <w:t>, 2016;</w:t>
      </w:r>
      <w:r w:rsidRPr="00204E0E">
        <w:t xml:space="preserve"> Baker </w:t>
      </w:r>
      <w:r w:rsidRPr="00564890">
        <w:rPr>
          <w:i/>
        </w:rPr>
        <w:t>et al.</w:t>
      </w:r>
      <w:r w:rsidR="00564890">
        <w:t>,</w:t>
      </w:r>
      <w:r w:rsidRPr="00204E0E">
        <w:t xml:space="preserve"> 2018) it is unsurprising that nutrition-related diseases data shows that governments have indeed been weak (Roberto </w:t>
      </w:r>
      <w:r w:rsidRPr="008158F1">
        <w:rPr>
          <w:i/>
        </w:rPr>
        <w:t>et al.</w:t>
      </w:r>
      <w:r w:rsidR="008158F1" w:rsidRPr="008158F1">
        <w:t>,</w:t>
      </w:r>
      <w:r w:rsidRPr="008158F1">
        <w:t xml:space="preserve"> </w:t>
      </w:r>
      <w:r w:rsidRPr="00204E0E">
        <w:t>2015</w:t>
      </w:r>
      <w:r w:rsidR="008158F1">
        <w:t>;</w:t>
      </w:r>
      <w:r w:rsidRPr="00204E0E">
        <w:t xml:space="preserve"> </w:t>
      </w:r>
      <w:proofErr w:type="spellStart"/>
      <w:r w:rsidRPr="00204E0E">
        <w:t>Swinburn</w:t>
      </w:r>
      <w:proofErr w:type="spellEnd"/>
      <w:r w:rsidRPr="00204E0E">
        <w:t xml:space="preserve"> </w:t>
      </w:r>
      <w:r w:rsidRPr="008158F1">
        <w:rPr>
          <w:i/>
        </w:rPr>
        <w:t>et al.</w:t>
      </w:r>
      <w:r w:rsidR="008158F1">
        <w:t>,</w:t>
      </w:r>
      <w:r w:rsidRPr="00204E0E">
        <w:t xml:space="preserve"> 2019). </w:t>
      </w:r>
    </w:p>
    <w:p w14:paraId="3EF9D845" w14:textId="757A9943" w:rsidR="00D80DA7" w:rsidRPr="00204E0E" w:rsidRDefault="00D80DA7" w:rsidP="007B14CB">
      <w:pPr>
        <w:autoSpaceDE w:val="0"/>
        <w:autoSpaceDN w:val="0"/>
        <w:adjustRightInd w:val="0"/>
        <w:spacing w:after="240" w:line="480" w:lineRule="auto"/>
        <w:ind w:firstLine="567"/>
      </w:pPr>
      <w:r w:rsidRPr="00204E0E">
        <w:t xml:space="preserve">Yet, due to its regulatory power, </w:t>
      </w:r>
      <w:r>
        <w:t xml:space="preserve">a </w:t>
      </w:r>
      <w:r w:rsidRPr="00204E0E">
        <w:t>government can intervene in any of the food supply chain stages, from production and imports to the final consumer, ostensibly to protect the rights of citizens and the public good (</w:t>
      </w:r>
      <w:proofErr w:type="spellStart"/>
      <w:r w:rsidRPr="00204E0E">
        <w:t>Meadowcroft</w:t>
      </w:r>
      <w:proofErr w:type="spellEnd"/>
      <w:r w:rsidR="006B624E">
        <w:t>,</w:t>
      </w:r>
      <w:r w:rsidRPr="00204E0E">
        <w:t xml:space="preserve"> 2007). Indeed, government</w:t>
      </w:r>
      <w:r>
        <w:t xml:space="preserve">s </w:t>
      </w:r>
      <w:proofErr w:type="gramStart"/>
      <w:r>
        <w:t>are</w:t>
      </w:r>
      <w:r w:rsidRPr="00204E0E">
        <w:t xml:space="preserve"> tasked</w:t>
      </w:r>
      <w:proofErr w:type="gramEnd"/>
      <w:r w:rsidRPr="00204E0E">
        <w:t xml:space="preserve"> with creating policy to improve citizen health and wellbeing. So, what is making them so ineffective?  What </w:t>
      </w:r>
      <w:proofErr w:type="gramStart"/>
      <w:r w:rsidRPr="00204E0E">
        <w:t>may be needed</w:t>
      </w:r>
      <w:proofErr w:type="gramEnd"/>
      <w:r w:rsidRPr="00204E0E">
        <w:t xml:space="preserve"> is to develop a key role for another actor </w:t>
      </w:r>
      <w:r>
        <w:t>in</w:t>
      </w:r>
      <w:r w:rsidRPr="00204E0E">
        <w:t xml:space="preserve"> the process: civil society’s input is needed to hold the different actors accountable for their actions (</w:t>
      </w:r>
      <w:proofErr w:type="spellStart"/>
      <w:r w:rsidRPr="00204E0E">
        <w:t>Swinburn</w:t>
      </w:r>
      <w:proofErr w:type="spellEnd"/>
      <w:r w:rsidRPr="00204E0E">
        <w:t xml:space="preserve"> </w:t>
      </w:r>
      <w:r w:rsidRPr="006B624E">
        <w:rPr>
          <w:i/>
        </w:rPr>
        <w:t>et al.</w:t>
      </w:r>
      <w:r w:rsidR="006B624E">
        <w:t>,</w:t>
      </w:r>
      <w:r w:rsidRPr="00204E0E">
        <w:t xml:space="preserve"> 2019). </w:t>
      </w:r>
      <w:r w:rsidR="006B624E" w:rsidRPr="00204E0E">
        <w:t>Therefore</w:t>
      </w:r>
      <w:r w:rsidRPr="00204E0E">
        <w:t xml:space="preserve">, we consider that consumers could be usefully re-conceptualised </w:t>
      </w:r>
      <w:r w:rsidRPr="00E53B4D">
        <w:t>as citizens (as a subset of the wider civil society) in their role as actors in policy development. Historically, in contrast, the context of policy formulation is to focus on policy content as the core (Walt and Gilson</w:t>
      </w:r>
      <w:r w:rsidR="0091165E">
        <w:t>,</w:t>
      </w:r>
      <w:r w:rsidRPr="00E53B4D">
        <w:t xml:space="preserve"> 1994) to </w:t>
      </w:r>
      <w:proofErr w:type="gramStart"/>
      <w:r w:rsidRPr="00E53B4D">
        <w:t>be passively received</w:t>
      </w:r>
      <w:proofErr w:type="gramEnd"/>
      <w:r w:rsidRPr="00E53B4D">
        <w:t xml:space="preserve"> by consumers understood merely as passive end-users.</w:t>
      </w:r>
    </w:p>
    <w:p w14:paraId="11EAB6C5" w14:textId="68AF368B" w:rsidR="00D80DA7" w:rsidRPr="00204E0E" w:rsidRDefault="00D80DA7" w:rsidP="007B14CB">
      <w:pPr>
        <w:autoSpaceDE w:val="0"/>
        <w:autoSpaceDN w:val="0"/>
        <w:adjustRightInd w:val="0"/>
        <w:spacing w:after="240" w:line="480" w:lineRule="auto"/>
        <w:ind w:firstLine="567"/>
      </w:pPr>
      <w:r w:rsidRPr="00204E0E">
        <w:t xml:space="preserve">Citizens are conceptualised as active members of the community interested in public affairs and societal welfare, while customers in the consumer marketing literature </w:t>
      </w:r>
      <w:proofErr w:type="gramStart"/>
      <w:r w:rsidRPr="00204E0E">
        <w:t>are mainly driven</w:t>
      </w:r>
      <w:proofErr w:type="gramEnd"/>
      <w:r w:rsidRPr="00204E0E">
        <w:t xml:space="preserve"> by individualistic motives to get the best deal at a series of discrete points in time (Berglund and </w:t>
      </w:r>
      <w:proofErr w:type="spellStart"/>
      <w:r w:rsidRPr="00204E0E">
        <w:t>Matti</w:t>
      </w:r>
      <w:proofErr w:type="spellEnd"/>
      <w:r w:rsidR="0091165E">
        <w:t>,</w:t>
      </w:r>
      <w:r w:rsidRPr="00204E0E">
        <w:t xml:space="preserve"> 2006). We, therefore, included “citizens” in the research design and adopted a marketing approach where </w:t>
      </w:r>
      <w:r>
        <w:t>a</w:t>
      </w:r>
      <w:r w:rsidRPr="00204E0E">
        <w:t xml:space="preserve"> longer-term focus on developing relationships shows </w:t>
      </w:r>
      <w:r w:rsidRPr="00204E0E">
        <w:lastRenderedPageBreak/>
        <w:t xml:space="preserve">how interactions among actors across the whole food system can be conceptualised in such a way as to lead to more effective policy formulation. </w:t>
      </w:r>
    </w:p>
    <w:p w14:paraId="74726606" w14:textId="087080E5" w:rsidR="00D80DA7" w:rsidRPr="00204E0E" w:rsidRDefault="00D12411" w:rsidP="008F1BAA">
      <w:pPr>
        <w:pStyle w:val="Heading2"/>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2.2 </w:t>
      </w:r>
      <w:r w:rsidR="00D80DA7">
        <w:rPr>
          <w:rFonts w:ascii="Times New Roman" w:hAnsi="Times New Roman" w:cs="Times New Roman"/>
          <w:b/>
          <w:color w:val="auto"/>
          <w:sz w:val="24"/>
          <w:szCs w:val="24"/>
        </w:rPr>
        <w:t>A</w:t>
      </w:r>
      <w:r w:rsidR="00D80DA7" w:rsidRPr="00204E0E">
        <w:rPr>
          <w:rFonts w:ascii="Times New Roman" w:hAnsi="Times New Roman" w:cs="Times New Roman"/>
          <w:b/>
          <w:color w:val="auto"/>
          <w:sz w:val="24"/>
          <w:szCs w:val="24"/>
        </w:rPr>
        <w:t xml:space="preserve"> </w:t>
      </w:r>
      <w:r w:rsidRPr="00204E0E">
        <w:rPr>
          <w:rFonts w:ascii="Times New Roman" w:hAnsi="Times New Roman" w:cs="Times New Roman"/>
          <w:b/>
          <w:color w:val="auto"/>
          <w:sz w:val="24"/>
          <w:szCs w:val="24"/>
        </w:rPr>
        <w:t xml:space="preserve">relational marketing approach </w:t>
      </w:r>
      <w:r>
        <w:rPr>
          <w:rFonts w:ascii="Times New Roman" w:hAnsi="Times New Roman" w:cs="Times New Roman"/>
          <w:b/>
          <w:color w:val="auto"/>
          <w:sz w:val="24"/>
          <w:szCs w:val="24"/>
        </w:rPr>
        <w:t>for</w:t>
      </w:r>
      <w:r w:rsidRPr="00204E0E">
        <w:rPr>
          <w:rFonts w:ascii="Times New Roman" w:hAnsi="Times New Roman" w:cs="Times New Roman"/>
          <w:b/>
          <w:color w:val="auto"/>
          <w:sz w:val="24"/>
          <w:szCs w:val="24"/>
        </w:rPr>
        <w:t xml:space="preserve"> nutrition policy </w:t>
      </w:r>
      <w:r>
        <w:rPr>
          <w:rFonts w:ascii="Times New Roman" w:hAnsi="Times New Roman" w:cs="Times New Roman"/>
          <w:b/>
          <w:color w:val="auto"/>
          <w:sz w:val="24"/>
          <w:szCs w:val="24"/>
        </w:rPr>
        <w:t>development</w:t>
      </w:r>
    </w:p>
    <w:p w14:paraId="63C0F8CD" w14:textId="7CD0637F" w:rsidR="00D80DA7" w:rsidRPr="00204E0E" w:rsidRDefault="00D80DA7" w:rsidP="007B14CB">
      <w:pPr>
        <w:pStyle w:val="Bibliography"/>
        <w:spacing w:line="480" w:lineRule="auto"/>
        <w:ind w:firstLine="567"/>
        <w:rPr>
          <w:b/>
        </w:rPr>
      </w:pPr>
      <w:r w:rsidRPr="00204E0E">
        <w:t xml:space="preserve">Relational marketing </w:t>
      </w:r>
      <w:proofErr w:type="gramStart"/>
      <w:r w:rsidRPr="00204E0E">
        <w:t>is defined</w:t>
      </w:r>
      <w:proofErr w:type="gramEnd"/>
      <w:r w:rsidRPr="00204E0E">
        <w:t xml:space="preserve"> as </w:t>
      </w:r>
      <w:r>
        <w:t>“</w:t>
      </w:r>
      <w:r w:rsidRPr="00204E0E">
        <w:t xml:space="preserve">all marketing activities directed towards establishing, developing and maintaining </w:t>
      </w:r>
      <w:r>
        <w:t>successful relational exchanges”</w:t>
      </w:r>
      <w:r w:rsidRPr="00204E0E">
        <w:t xml:space="preserve"> (Morgan and Hunt</w:t>
      </w:r>
      <w:r w:rsidR="0036723B">
        <w:t>,</w:t>
      </w:r>
      <w:r w:rsidRPr="00204E0E">
        <w:t xml:space="preserve"> 1994, </w:t>
      </w:r>
      <w:r w:rsidR="0036723B">
        <w:t xml:space="preserve">p. </w:t>
      </w:r>
      <w:r w:rsidRPr="00204E0E">
        <w:t>22). Milne</w:t>
      </w:r>
      <w:r w:rsidR="0005772D">
        <w:t xml:space="preserve"> et al.</w:t>
      </w:r>
      <w:r w:rsidRPr="00204E0E">
        <w:t xml:space="preserve"> (1996) argue for public policy makers </w:t>
      </w:r>
      <w:r>
        <w:t>shifting</w:t>
      </w:r>
      <w:r w:rsidRPr="00204E0E">
        <w:t xml:space="preserve"> from a predominantly supervisor role to </w:t>
      </w:r>
      <w:r>
        <w:t>a relationship-building one</w:t>
      </w:r>
      <w:r w:rsidRPr="00204E0E">
        <w:t>. Hence</w:t>
      </w:r>
      <w:r>
        <w:t>,</w:t>
      </w:r>
      <w:r w:rsidRPr="00204E0E">
        <w:t xml:space="preserve"> we introduce relational marketing as a concept </w:t>
      </w:r>
      <w:r>
        <w:t>for framing</w:t>
      </w:r>
      <w:r w:rsidRPr="00204E0E">
        <w:t xml:space="preserve"> more constructive policy development processes that could result in better implementation.  Relational marketing concepts such as</w:t>
      </w:r>
      <w:r>
        <w:t xml:space="preserve"> “cooperation”, “trust”</w:t>
      </w:r>
      <w:r w:rsidRPr="00204E0E">
        <w:t xml:space="preserve">, </w:t>
      </w:r>
      <w:r>
        <w:t>“</w:t>
      </w:r>
      <w:r w:rsidRPr="00204E0E">
        <w:t>power</w:t>
      </w:r>
      <w:r>
        <w:t>”</w:t>
      </w:r>
      <w:r w:rsidRPr="00204E0E">
        <w:t xml:space="preserve"> </w:t>
      </w:r>
      <w:r>
        <w:t>and “</w:t>
      </w:r>
      <w:r w:rsidRPr="00204E0E">
        <w:t>value-in-use</w:t>
      </w:r>
      <w:r>
        <w:t>”</w:t>
      </w:r>
      <w:r w:rsidRPr="00204E0E">
        <w:t xml:space="preserve"> are central to consciously building long-term relationships</w:t>
      </w:r>
      <w:r>
        <w:t xml:space="preserve"> and </w:t>
      </w:r>
      <w:proofErr w:type="gramStart"/>
      <w:r>
        <w:t>will be briefly discussed</w:t>
      </w:r>
      <w:proofErr w:type="gramEnd"/>
      <w:r>
        <w:t xml:space="preserve"> here.</w:t>
      </w:r>
    </w:p>
    <w:p w14:paraId="7D15BDCA" w14:textId="01BA82A4" w:rsidR="00D80DA7" w:rsidRPr="00204E0E" w:rsidRDefault="00D80DA7" w:rsidP="007B14CB">
      <w:pPr>
        <w:pStyle w:val="BodyFirstIdent"/>
        <w:spacing w:before="0" w:after="0" w:line="480" w:lineRule="auto"/>
        <w:jc w:val="left"/>
        <w:rPr>
          <w:color w:val="auto"/>
          <w:szCs w:val="24"/>
        </w:rPr>
      </w:pPr>
      <w:r w:rsidRPr="00204E0E">
        <w:rPr>
          <w:color w:val="auto"/>
          <w:szCs w:val="24"/>
        </w:rPr>
        <w:t>Cooperation implies that both sides are working to achieve the best solution</w:t>
      </w:r>
      <w:r>
        <w:rPr>
          <w:color w:val="auto"/>
          <w:szCs w:val="24"/>
        </w:rPr>
        <w:t>,</w:t>
      </w:r>
      <w:r w:rsidRPr="00204E0E">
        <w:rPr>
          <w:color w:val="auto"/>
          <w:szCs w:val="24"/>
        </w:rPr>
        <w:t xml:space="preserve"> with coordinated efforts producing outcomes better than one firm will achieve alone </w:t>
      </w:r>
      <w:r w:rsidRPr="00204E0E">
        <w:t xml:space="preserve">(Anderson and </w:t>
      </w:r>
      <w:proofErr w:type="spellStart"/>
      <w:r w:rsidRPr="00204E0E">
        <w:t>Narus</w:t>
      </w:r>
      <w:proofErr w:type="spellEnd"/>
      <w:r w:rsidR="00D64884">
        <w:t>,</w:t>
      </w:r>
      <w:r w:rsidRPr="00204E0E">
        <w:t xml:space="preserve"> 1990</w:t>
      </w:r>
      <w:r w:rsidR="00D64884">
        <w:t>;</w:t>
      </w:r>
      <w:r w:rsidRPr="00204E0E">
        <w:t xml:space="preserve"> </w:t>
      </w:r>
      <w:proofErr w:type="spellStart"/>
      <w:r w:rsidRPr="00204E0E">
        <w:t>Doney</w:t>
      </w:r>
      <w:proofErr w:type="spellEnd"/>
      <w:r w:rsidRPr="00204E0E">
        <w:t xml:space="preserve"> and Cannon</w:t>
      </w:r>
      <w:r w:rsidR="00D64884">
        <w:t>,</w:t>
      </w:r>
      <w:r w:rsidRPr="00204E0E">
        <w:t xml:space="preserve"> 1997)</w:t>
      </w:r>
      <w:r w:rsidRPr="00204E0E">
        <w:rPr>
          <w:color w:val="auto"/>
          <w:szCs w:val="24"/>
        </w:rPr>
        <w:t xml:space="preserve">. </w:t>
      </w:r>
      <w:r>
        <w:rPr>
          <w:color w:val="auto"/>
          <w:szCs w:val="24"/>
        </w:rPr>
        <w:t xml:space="preserve">This can reflect power imbalances and be experienced as a restriction. We discuss this element below, along with power and power asymmetry. </w:t>
      </w:r>
      <w:r w:rsidRPr="00204E0E">
        <w:rPr>
          <w:color w:val="auto"/>
          <w:szCs w:val="24"/>
        </w:rPr>
        <w:t>Trust is an expectation about an exchange partner that results from the partner's expertise, reliability and intentionality (</w:t>
      </w:r>
      <w:proofErr w:type="spellStart"/>
      <w:r w:rsidRPr="00204E0E">
        <w:rPr>
          <w:color w:val="auto"/>
          <w:szCs w:val="24"/>
        </w:rPr>
        <w:t>Ganesan</w:t>
      </w:r>
      <w:proofErr w:type="spellEnd"/>
      <w:r w:rsidR="00267839">
        <w:rPr>
          <w:color w:val="auto"/>
          <w:szCs w:val="24"/>
        </w:rPr>
        <w:t>,</w:t>
      </w:r>
      <w:r w:rsidRPr="00204E0E">
        <w:rPr>
          <w:color w:val="auto"/>
          <w:szCs w:val="24"/>
        </w:rPr>
        <w:t xml:space="preserve"> 1994)</w:t>
      </w:r>
      <w:r>
        <w:t xml:space="preserve">, and </w:t>
      </w:r>
      <w:r w:rsidRPr="00204E0E">
        <w:t xml:space="preserve">it needs to be actively built during </w:t>
      </w:r>
      <w:r>
        <w:t>a</w:t>
      </w:r>
      <w:r w:rsidRPr="00204E0E">
        <w:t xml:space="preserve"> relationship (Halliday</w:t>
      </w:r>
      <w:r w:rsidR="00267839">
        <w:t>,</w:t>
      </w:r>
      <w:r w:rsidRPr="00204E0E">
        <w:t xml:space="preserve"> 2008). </w:t>
      </w:r>
      <w:r w:rsidRPr="00204E0E">
        <w:rPr>
          <w:color w:val="auto"/>
          <w:szCs w:val="24"/>
        </w:rPr>
        <w:t xml:space="preserve">This reciprocal arrangement, with rights and duties, is particularly relevant due to the decline in public trust </w:t>
      </w:r>
      <w:r>
        <w:rPr>
          <w:color w:val="auto"/>
          <w:szCs w:val="24"/>
        </w:rPr>
        <w:t>in</w:t>
      </w:r>
      <w:r w:rsidRPr="00204E0E">
        <w:rPr>
          <w:color w:val="auto"/>
          <w:szCs w:val="24"/>
        </w:rPr>
        <w:t xml:space="preserve"> government</w:t>
      </w:r>
      <w:r>
        <w:rPr>
          <w:color w:val="auto"/>
          <w:szCs w:val="24"/>
        </w:rPr>
        <w:t>s</w:t>
      </w:r>
      <w:r w:rsidRPr="00204E0E">
        <w:rPr>
          <w:color w:val="auto"/>
          <w:szCs w:val="24"/>
        </w:rPr>
        <w:t xml:space="preserve"> that </w:t>
      </w:r>
      <w:proofErr w:type="gramStart"/>
      <w:r w:rsidRPr="00204E0E">
        <w:rPr>
          <w:color w:val="auto"/>
          <w:szCs w:val="24"/>
        </w:rPr>
        <w:t>has been witnessed</w:t>
      </w:r>
      <w:proofErr w:type="gramEnd"/>
      <w:r w:rsidRPr="00204E0E">
        <w:rPr>
          <w:color w:val="auto"/>
          <w:szCs w:val="24"/>
        </w:rPr>
        <w:t xml:space="preserve"> around the world, leading to worries about gaining public support for policy implementation (Johnson and </w:t>
      </w:r>
      <w:proofErr w:type="spellStart"/>
      <w:r w:rsidRPr="00204E0E">
        <w:rPr>
          <w:color w:val="auto"/>
          <w:szCs w:val="24"/>
        </w:rPr>
        <w:t>Scicchitano</w:t>
      </w:r>
      <w:proofErr w:type="spellEnd"/>
      <w:r w:rsidR="00267839">
        <w:rPr>
          <w:color w:val="auto"/>
          <w:szCs w:val="24"/>
        </w:rPr>
        <w:t>,</w:t>
      </w:r>
      <w:r w:rsidRPr="00204E0E">
        <w:rPr>
          <w:color w:val="auto"/>
          <w:szCs w:val="24"/>
        </w:rPr>
        <w:t xml:space="preserve"> 2000). To know how to create </w:t>
      </w:r>
      <w:r>
        <w:rPr>
          <w:color w:val="auto"/>
          <w:szCs w:val="24"/>
        </w:rPr>
        <w:t>such an arrangement</w:t>
      </w:r>
      <w:r w:rsidRPr="00204E0E">
        <w:rPr>
          <w:color w:val="auto"/>
          <w:szCs w:val="24"/>
        </w:rPr>
        <w:t xml:space="preserve"> it is also important to investigate what would facilitate relationship development within the whole system (Singh </w:t>
      </w:r>
      <w:r w:rsidRPr="00267839">
        <w:rPr>
          <w:i/>
          <w:color w:val="auto"/>
          <w:szCs w:val="24"/>
        </w:rPr>
        <w:t>et al.</w:t>
      </w:r>
      <w:r w:rsidR="00FE614F">
        <w:rPr>
          <w:color w:val="auto"/>
          <w:szCs w:val="24"/>
        </w:rPr>
        <w:t xml:space="preserve">, </w:t>
      </w:r>
      <w:r w:rsidRPr="00204E0E">
        <w:rPr>
          <w:color w:val="auto"/>
          <w:szCs w:val="24"/>
        </w:rPr>
        <w:t>2005). Therefore, our first research objective is:</w:t>
      </w:r>
    </w:p>
    <w:p w14:paraId="461EEF1C" w14:textId="77777777" w:rsidR="00D80DA7" w:rsidRPr="00204E0E" w:rsidRDefault="00D80DA7" w:rsidP="007B14CB">
      <w:pPr>
        <w:pStyle w:val="BodyFirstIdent"/>
        <w:spacing w:before="0" w:after="240" w:line="480" w:lineRule="auto"/>
        <w:jc w:val="left"/>
        <w:rPr>
          <w:i/>
        </w:rPr>
      </w:pPr>
      <w:r w:rsidRPr="00204E0E">
        <w:rPr>
          <w:i/>
          <w:color w:val="auto"/>
          <w:szCs w:val="24"/>
        </w:rPr>
        <w:lastRenderedPageBreak/>
        <w:t xml:space="preserve">(RO1) to investigate whether </w:t>
      </w:r>
      <w:r w:rsidRPr="00204E0E">
        <w:rPr>
          <w:i/>
        </w:rPr>
        <w:t xml:space="preserve">there might be potential to enhance collaboration and trust among the actors in nutrition policy development, </w:t>
      </w:r>
      <w:proofErr w:type="gramStart"/>
      <w:r w:rsidRPr="00204E0E">
        <w:rPr>
          <w:i/>
        </w:rPr>
        <w:t>to in turn enhance</w:t>
      </w:r>
      <w:proofErr w:type="gramEnd"/>
      <w:r w:rsidRPr="00204E0E">
        <w:rPr>
          <w:i/>
        </w:rPr>
        <w:t xml:space="preserve"> policy effectiveness</w:t>
      </w:r>
      <w:r>
        <w:rPr>
          <w:i/>
        </w:rPr>
        <w:t>.</w:t>
      </w:r>
      <w:r w:rsidRPr="00204E0E">
        <w:rPr>
          <w:i/>
        </w:rPr>
        <w:t xml:space="preserve"> </w:t>
      </w:r>
    </w:p>
    <w:p w14:paraId="2BC7E169" w14:textId="5B5A4417" w:rsidR="00D80DA7" w:rsidRPr="00204E0E" w:rsidRDefault="00D80DA7" w:rsidP="007B14CB">
      <w:pPr>
        <w:spacing w:after="240" w:line="480" w:lineRule="auto"/>
        <w:ind w:firstLine="567"/>
      </w:pPr>
      <w:r w:rsidRPr="00204E0E">
        <w:t xml:space="preserve">Cooperation results in acknowledged interdependence but the vulnerability then sensed </w:t>
      </w:r>
      <w:r>
        <w:t xml:space="preserve">means that there is a negative to be </w:t>
      </w:r>
      <w:r w:rsidRPr="00204E0E">
        <w:t>address</w:t>
      </w:r>
      <w:r>
        <w:t>ed, known as</w:t>
      </w:r>
      <w:r w:rsidRPr="00204E0E">
        <w:t xml:space="preserve"> power asymmetry</w:t>
      </w:r>
      <w:r>
        <w:t>, as</w:t>
      </w:r>
      <w:r w:rsidRPr="00204E0E">
        <w:t xml:space="preserve"> in practice one actor can overbalance into dependence on another and experience power as negative cooperation and as the antithesis of trust (Anderson and </w:t>
      </w:r>
      <w:proofErr w:type="spellStart"/>
      <w:r w:rsidRPr="00204E0E">
        <w:t>Narus</w:t>
      </w:r>
      <w:proofErr w:type="spellEnd"/>
      <w:r w:rsidR="0011114B">
        <w:t>,</w:t>
      </w:r>
      <w:r w:rsidRPr="00204E0E">
        <w:t xml:space="preserve"> 1990</w:t>
      </w:r>
      <w:r w:rsidR="0011114B">
        <w:t>;</w:t>
      </w:r>
      <w:r w:rsidRPr="00204E0E">
        <w:t xml:space="preserve"> </w:t>
      </w:r>
      <w:proofErr w:type="spellStart"/>
      <w:r w:rsidRPr="00204E0E">
        <w:t>Doney</w:t>
      </w:r>
      <w:proofErr w:type="spellEnd"/>
      <w:r w:rsidRPr="00204E0E">
        <w:t xml:space="preserve"> and Cannon 1997). Power is often discussed as the property of a thing, and it can be understood as the ability to get what one wants (</w:t>
      </w:r>
      <w:proofErr w:type="spellStart"/>
      <w:r w:rsidRPr="00204E0E">
        <w:t>Pratto</w:t>
      </w:r>
      <w:proofErr w:type="spellEnd"/>
      <w:r w:rsidR="00501994">
        <w:t>,</w:t>
      </w:r>
      <w:r w:rsidRPr="00204E0E">
        <w:t xml:space="preserve"> 2016); more usually it is seen as power over another, such as the ability of one partner to coerce the other into doing something they otherwise m</w:t>
      </w:r>
      <w:r>
        <w:t>ight</w:t>
      </w:r>
      <w:r w:rsidRPr="00204E0E">
        <w:t xml:space="preserve"> not do (Wilson</w:t>
      </w:r>
      <w:r w:rsidR="00501994">
        <w:t>,</w:t>
      </w:r>
      <w:r w:rsidRPr="00204E0E">
        <w:t xml:space="preserve"> 1995)</w:t>
      </w:r>
      <w:r>
        <w:t>. Thus,</w:t>
      </w:r>
      <w:r w:rsidRPr="00204E0E">
        <w:t xml:space="preserve"> the focus is on power asymmetry. </w:t>
      </w:r>
      <w:r>
        <w:t>Yet, p</w:t>
      </w:r>
      <w:r w:rsidRPr="00204E0E">
        <w:t xml:space="preserve">ower not only explains but </w:t>
      </w:r>
      <w:r>
        <w:t xml:space="preserve">also </w:t>
      </w:r>
      <w:r w:rsidRPr="00204E0E">
        <w:t>produces relationships (Foucault</w:t>
      </w:r>
      <w:r w:rsidR="00501994">
        <w:t>,</w:t>
      </w:r>
      <w:r w:rsidRPr="00204E0E">
        <w:t xml:space="preserve"> 1991).Therefore, our second and third research objectives are:</w:t>
      </w:r>
    </w:p>
    <w:p w14:paraId="2E1F43A0" w14:textId="77777777" w:rsidR="00D80DA7" w:rsidRPr="00204E0E" w:rsidRDefault="00D80DA7" w:rsidP="007B14CB">
      <w:pPr>
        <w:pStyle w:val="BodyFirstIdent"/>
        <w:spacing w:before="0" w:after="0" w:line="480" w:lineRule="auto"/>
        <w:jc w:val="left"/>
        <w:rPr>
          <w:i/>
        </w:rPr>
      </w:pPr>
      <w:r w:rsidRPr="00204E0E">
        <w:rPr>
          <w:i/>
        </w:rPr>
        <w:t>(RO2) to investigate who has the power in the current system</w:t>
      </w:r>
      <w:r>
        <w:rPr>
          <w:i/>
        </w:rPr>
        <w:t>,</w:t>
      </w:r>
      <w:r w:rsidRPr="00204E0E">
        <w:rPr>
          <w:i/>
        </w:rPr>
        <w:t xml:space="preserve"> and </w:t>
      </w:r>
    </w:p>
    <w:p w14:paraId="007219BC" w14:textId="77777777" w:rsidR="00D80DA7" w:rsidRDefault="00D80DA7" w:rsidP="007B14CB">
      <w:pPr>
        <w:pStyle w:val="BodyFirstIdent"/>
        <w:spacing w:before="0" w:after="0" w:line="480" w:lineRule="auto"/>
        <w:jc w:val="left"/>
        <w:rPr>
          <w:i/>
          <w:color w:val="auto"/>
          <w:szCs w:val="24"/>
        </w:rPr>
      </w:pPr>
      <w:r w:rsidRPr="00204E0E">
        <w:rPr>
          <w:i/>
        </w:rPr>
        <w:t xml:space="preserve">(RO3) to explore whether a power shift </w:t>
      </w:r>
      <w:proofErr w:type="gramStart"/>
      <w:r w:rsidRPr="00204E0E">
        <w:rPr>
          <w:i/>
        </w:rPr>
        <w:t>might be needed</w:t>
      </w:r>
      <w:proofErr w:type="gramEnd"/>
      <w:r w:rsidRPr="00204E0E">
        <w:rPr>
          <w:i/>
        </w:rPr>
        <w:t xml:space="preserve"> to develop effective nutrition polices and if so, from and to which actor</w:t>
      </w:r>
      <w:r>
        <w:rPr>
          <w:i/>
        </w:rPr>
        <w:t>s.</w:t>
      </w:r>
      <w:r w:rsidRPr="00204E0E">
        <w:rPr>
          <w:i/>
          <w:color w:val="auto"/>
          <w:szCs w:val="24"/>
        </w:rPr>
        <w:t xml:space="preserve"> </w:t>
      </w:r>
    </w:p>
    <w:p w14:paraId="3451F526" w14:textId="77777777" w:rsidR="00D80DA7" w:rsidRPr="00204E0E" w:rsidRDefault="00D80DA7" w:rsidP="007B14CB">
      <w:pPr>
        <w:pStyle w:val="BodyFirstIdent"/>
        <w:spacing w:before="0" w:after="0" w:line="480" w:lineRule="auto"/>
        <w:jc w:val="left"/>
        <w:rPr>
          <w:i/>
          <w:color w:val="auto"/>
          <w:szCs w:val="24"/>
        </w:rPr>
      </w:pPr>
    </w:p>
    <w:p w14:paraId="473680F5" w14:textId="16F33203" w:rsidR="00D80DA7" w:rsidRPr="00204E0E" w:rsidRDefault="00D80DA7" w:rsidP="007B14CB">
      <w:pPr>
        <w:pStyle w:val="Bibliography"/>
        <w:spacing w:line="480" w:lineRule="auto"/>
        <w:ind w:firstLine="567"/>
      </w:pPr>
      <w:r w:rsidRPr="00204E0E">
        <w:t>Policy development processes that bolster the otherwise passive, dependent rec</w:t>
      </w:r>
      <w:r>
        <w:t>ipients</w:t>
      </w:r>
      <w:r w:rsidRPr="00204E0E">
        <w:t xml:space="preserve"> of expertise by treating them as “citizens” able to create value in their own term</w:t>
      </w:r>
      <w:r>
        <w:t>s</w:t>
      </w:r>
      <w:r w:rsidRPr="00204E0E">
        <w:t xml:space="preserve"> could </w:t>
      </w:r>
      <w:r w:rsidRPr="00827E55">
        <w:t xml:space="preserve">balance the power asymmetry.  </w:t>
      </w:r>
      <w:r w:rsidRPr="001B2CDA">
        <w:t xml:space="preserve">What </w:t>
      </w:r>
      <w:r w:rsidRPr="001B2CDA">
        <w:rPr>
          <w:noProof/>
        </w:rPr>
        <w:t>Carr (2006)</w:t>
      </w:r>
      <w:r w:rsidRPr="001B2CDA">
        <w:t xml:space="preserve"> posits is that categories of actors, such as members of society, are not merely fixed recipients of policy. Policies </w:t>
      </w:r>
      <w:proofErr w:type="gramStart"/>
      <w:r w:rsidRPr="001B2CDA">
        <w:t>are continuously constructed</w:t>
      </w:r>
      <w:proofErr w:type="gramEnd"/>
      <w:r w:rsidRPr="001B2CDA">
        <w:t xml:space="preserve"> whilst they are being delivered and put into practice. For all actors are working out the value their actions are creating for them, rather than simply accepting guidance.</w:t>
      </w:r>
      <w:hyperlink w:anchor="_ENREF_19" w:tooltip="Fletcher, 2017 #253" w:history="1"/>
      <w:r>
        <w:rPr>
          <w:color w:val="000000"/>
          <w:lang w:eastAsia="en-US"/>
        </w:rPr>
        <w:t xml:space="preserve"> </w:t>
      </w:r>
      <w:r w:rsidRPr="00204E0E">
        <w:rPr>
          <w:color w:val="000000"/>
          <w:lang w:eastAsia="en-US"/>
        </w:rPr>
        <w:t>This indicates that subjective meaning</w:t>
      </w:r>
      <w:r w:rsidRPr="00204E0E">
        <w:rPr>
          <w:lang w:eastAsia="en-US"/>
        </w:rPr>
        <w:t>, the actual value-in-use</w:t>
      </w:r>
      <w:r w:rsidRPr="00204E0E">
        <w:rPr>
          <w:color w:val="000000"/>
          <w:lang w:eastAsia="en-US"/>
        </w:rPr>
        <w:t xml:space="preserve"> in the beneficiary’s mind</w:t>
      </w:r>
      <w:r>
        <w:rPr>
          <w:color w:val="000000"/>
          <w:lang w:eastAsia="en-US"/>
        </w:rPr>
        <w:t>,</w:t>
      </w:r>
      <w:r w:rsidRPr="00204E0E">
        <w:rPr>
          <w:color w:val="000000"/>
          <w:lang w:eastAsia="en-US"/>
        </w:rPr>
        <w:t xml:space="preserve"> needs to </w:t>
      </w:r>
      <w:proofErr w:type="gramStart"/>
      <w:r w:rsidRPr="00204E0E">
        <w:rPr>
          <w:color w:val="000000"/>
          <w:lang w:eastAsia="en-US"/>
        </w:rPr>
        <w:lastRenderedPageBreak/>
        <w:t>be engaged</w:t>
      </w:r>
      <w:proofErr w:type="gramEnd"/>
      <w:r w:rsidRPr="00204E0E">
        <w:rPr>
          <w:color w:val="000000"/>
          <w:lang w:eastAsia="en-US"/>
        </w:rPr>
        <w:t xml:space="preserve"> </w:t>
      </w:r>
      <w:r>
        <w:rPr>
          <w:color w:val="000000"/>
          <w:lang w:eastAsia="en-US"/>
        </w:rPr>
        <w:t xml:space="preserve">with </w:t>
      </w:r>
      <w:r w:rsidRPr="00204E0E">
        <w:rPr>
          <w:color w:val="000000"/>
          <w:lang w:eastAsia="en-US"/>
        </w:rPr>
        <w:t xml:space="preserve">by policy makers. </w:t>
      </w:r>
      <w:r>
        <w:t>For, taking a relationship marketing perspective, a</w:t>
      </w:r>
      <w:r w:rsidRPr="00204E0E">
        <w:t>ll actors in the system will be creating value-in-use from the relationship (</w:t>
      </w:r>
      <w:proofErr w:type="spellStart"/>
      <w:r w:rsidRPr="00204E0E">
        <w:t>Grönroos</w:t>
      </w:r>
      <w:proofErr w:type="spellEnd"/>
      <w:r w:rsidR="003F6EF6">
        <w:t>,</w:t>
      </w:r>
      <w:r w:rsidRPr="00204E0E">
        <w:t xml:space="preserve"> 2004)</w:t>
      </w:r>
      <w:r>
        <w:t>, rather than receiving value embedded by the process</w:t>
      </w:r>
      <w:r w:rsidRPr="00204E0E">
        <w:t xml:space="preserve">. The emphasis on value-in-use </w:t>
      </w:r>
      <w:r>
        <w:rPr>
          <w:noProof/>
        </w:rPr>
        <w:t>(Lusch</w:t>
      </w:r>
      <w:r w:rsidR="003F6EF6">
        <w:rPr>
          <w:noProof/>
        </w:rPr>
        <w:t xml:space="preserve"> </w:t>
      </w:r>
      <w:r w:rsidR="003F6EF6" w:rsidRPr="003F6EF6">
        <w:rPr>
          <w:i/>
          <w:noProof/>
        </w:rPr>
        <w:t>et al.</w:t>
      </w:r>
      <w:r>
        <w:rPr>
          <w:noProof/>
        </w:rPr>
        <w:t>,</w:t>
      </w:r>
      <w:r w:rsidR="003F6EF6">
        <w:rPr>
          <w:noProof/>
        </w:rPr>
        <w:t xml:space="preserve"> </w:t>
      </w:r>
      <w:r>
        <w:rPr>
          <w:noProof/>
        </w:rPr>
        <w:t>2007</w:t>
      </w:r>
      <w:r w:rsidR="003F6EF6">
        <w:rPr>
          <w:noProof/>
        </w:rPr>
        <w:t>;</w:t>
      </w:r>
      <w:r>
        <w:rPr>
          <w:noProof/>
        </w:rPr>
        <w:t xml:space="preserve"> Lusch and Vargo 2014)</w:t>
      </w:r>
      <w:r w:rsidRPr="00204E0E">
        <w:t xml:space="preserve"> lends itself to a focus on the dynamic use made of, in our case, nutrition policy, by citizens, rather than on the passive role of consumers purchasing </w:t>
      </w:r>
      <w:r>
        <w:t xml:space="preserve">value embedded in </w:t>
      </w:r>
      <w:r w:rsidRPr="00204E0E">
        <w:t xml:space="preserve">food products. Our fourth research objective, therefore, is: </w:t>
      </w:r>
    </w:p>
    <w:p w14:paraId="10FE074B" w14:textId="77777777" w:rsidR="00D80DA7" w:rsidRPr="00204E0E" w:rsidRDefault="00D80DA7" w:rsidP="007B14CB">
      <w:pPr>
        <w:spacing w:after="240" w:line="480" w:lineRule="auto"/>
        <w:ind w:firstLine="567"/>
      </w:pPr>
      <w:r w:rsidRPr="00204E0E">
        <w:rPr>
          <w:i/>
        </w:rPr>
        <w:t xml:space="preserve">(RO4) to investigate to what </w:t>
      </w:r>
      <w:proofErr w:type="gramStart"/>
      <w:r w:rsidRPr="00204E0E">
        <w:rPr>
          <w:i/>
        </w:rPr>
        <w:t>extent nutrition policy development</w:t>
      </w:r>
      <w:proofErr w:type="gramEnd"/>
      <w:r w:rsidRPr="00204E0E">
        <w:rPr>
          <w:i/>
        </w:rPr>
        <w:t xml:space="preserve"> processes focus on outcomes oriented towards citizens</w:t>
      </w:r>
      <w:r>
        <w:rPr>
          <w:i/>
        </w:rPr>
        <w:t>.</w:t>
      </w:r>
    </w:p>
    <w:p w14:paraId="7C6A8097" w14:textId="5D91EB5A" w:rsidR="00D80DA7" w:rsidRPr="00204E0E" w:rsidRDefault="00D80DA7" w:rsidP="007B14CB">
      <w:pPr>
        <w:spacing w:after="240" w:line="480" w:lineRule="auto"/>
        <w:ind w:firstLine="567"/>
      </w:pPr>
      <w:r w:rsidRPr="00204E0E">
        <w:t>Models of strategic alliances from the relational marketing l</w:t>
      </w:r>
      <w:r>
        <w:t>iterature offer more than just “</w:t>
      </w:r>
      <w:r w:rsidRPr="00204E0E">
        <w:t>competitive advantage</w:t>
      </w:r>
      <w:r>
        <w:t>” and “</w:t>
      </w:r>
      <w:r w:rsidRPr="00204E0E">
        <w:t>m</w:t>
      </w:r>
      <w:r>
        <w:t>aking profits”</w:t>
      </w:r>
      <w:r w:rsidRPr="00204E0E">
        <w:t xml:space="preserve"> (</w:t>
      </w:r>
      <w:proofErr w:type="spellStart"/>
      <w:r w:rsidRPr="00204E0E">
        <w:t>Varadarajan</w:t>
      </w:r>
      <w:proofErr w:type="spellEnd"/>
      <w:r w:rsidRPr="00204E0E">
        <w:t xml:space="preserve"> and Cunningham</w:t>
      </w:r>
      <w:r w:rsidR="006464BB">
        <w:t>,</w:t>
      </w:r>
      <w:r w:rsidRPr="00204E0E">
        <w:t xml:space="preserve"> 1995). Such models </w:t>
      </w:r>
      <w:proofErr w:type="gramStart"/>
      <w:r w:rsidRPr="00204E0E">
        <w:t>could be usefully applied</w:t>
      </w:r>
      <w:proofErr w:type="gramEnd"/>
      <w:r w:rsidRPr="00204E0E">
        <w:t xml:space="preserve"> in the area of partnerships in the food policy system as they have been in </w:t>
      </w:r>
      <w:r>
        <w:t xml:space="preserve">the areas of </w:t>
      </w:r>
      <w:r w:rsidRPr="00204E0E">
        <w:t>partnerships in local government (Rees and Gardner</w:t>
      </w:r>
      <w:r w:rsidR="006464BB">
        <w:t>,</w:t>
      </w:r>
      <w:r w:rsidRPr="00204E0E">
        <w:t xml:space="preserve"> 2003) and the not-for-profit sector (</w:t>
      </w:r>
      <w:proofErr w:type="spellStart"/>
      <w:r w:rsidRPr="00204E0E">
        <w:t>McCort</w:t>
      </w:r>
      <w:proofErr w:type="spellEnd"/>
      <w:r w:rsidR="006464BB">
        <w:t>,</w:t>
      </w:r>
      <w:r w:rsidRPr="00204E0E">
        <w:t xml:space="preserve"> 1994). We acknowledge that this relational marketing holistic approach </w:t>
      </w:r>
      <w:proofErr w:type="gramStart"/>
      <w:r w:rsidRPr="00204E0E">
        <w:t>is surely influenced</w:t>
      </w:r>
      <w:proofErr w:type="gramEnd"/>
      <w:r w:rsidRPr="00204E0E">
        <w:t xml:space="preserve"> by the reach of ecology from natural sciences into many other areas, such as services marketing (Ng</w:t>
      </w:r>
      <w:r w:rsidR="006464BB">
        <w:t>,</w:t>
      </w:r>
      <w:r w:rsidRPr="00204E0E">
        <w:t xml:space="preserve"> 2018) and health promotion (</w:t>
      </w:r>
      <w:proofErr w:type="spellStart"/>
      <w:r w:rsidRPr="00204E0E">
        <w:t>McLeroy</w:t>
      </w:r>
      <w:proofErr w:type="spellEnd"/>
      <w:r w:rsidRPr="00204E0E">
        <w:t xml:space="preserve"> </w:t>
      </w:r>
      <w:r w:rsidRPr="006464BB">
        <w:rPr>
          <w:i/>
        </w:rPr>
        <w:t>et al.</w:t>
      </w:r>
      <w:r w:rsidR="006464BB">
        <w:t>,</w:t>
      </w:r>
      <w:r w:rsidRPr="00204E0E">
        <w:t xml:space="preserve"> 1988). </w:t>
      </w:r>
    </w:p>
    <w:p w14:paraId="1CD4117A" w14:textId="53129C51" w:rsidR="00D80DA7" w:rsidRPr="00204E0E" w:rsidRDefault="00D80DA7" w:rsidP="007B14CB">
      <w:pPr>
        <w:autoSpaceDE w:val="0"/>
        <w:autoSpaceDN w:val="0"/>
        <w:adjustRightInd w:val="0"/>
        <w:spacing w:after="240" w:line="480" w:lineRule="auto"/>
        <w:ind w:firstLine="567"/>
      </w:pPr>
      <w:r w:rsidRPr="00204E0E">
        <w:t>There is an opportunity, therefore, for relational marketing, by means of the</w:t>
      </w:r>
      <w:r>
        <w:t xml:space="preserve"> key concepts of</w:t>
      </w:r>
      <w:r w:rsidRPr="00204E0E">
        <w:t xml:space="preserve"> </w:t>
      </w:r>
      <w:r>
        <w:t xml:space="preserve">cooperation, trust and </w:t>
      </w:r>
      <w:r w:rsidRPr="00204E0E">
        <w:t>value-in-use</w:t>
      </w:r>
      <w:r>
        <w:t>,</w:t>
      </w:r>
      <w:r w:rsidRPr="00204E0E">
        <w:t xml:space="preserve"> acknowledging in particular the notion of power as asymmetrical, to be of assistance in the implementation of food policy. Milne</w:t>
      </w:r>
      <w:r w:rsidR="00926C1C">
        <w:t xml:space="preserve"> et al.</w:t>
      </w:r>
      <w:r w:rsidRPr="00204E0E">
        <w:t xml:space="preserve"> (1996</w:t>
      </w:r>
      <w:r w:rsidR="00143AC6">
        <w:t xml:space="preserve">, </w:t>
      </w:r>
      <w:r w:rsidR="00926C1C">
        <w:t xml:space="preserve">p. </w:t>
      </w:r>
      <w:r w:rsidR="00143AC6">
        <w:t>214</w:t>
      </w:r>
      <w:r w:rsidRPr="00204E0E">
        <w:t>) suggest that defining shared goals would lead to greater success in influencing government</w:t>
      </w:r>
      <w:r>
        <w:t>s</w:t>
      </w:r>
      <w:r w:rsidRPr="00204E0E">
        <w:t xml:space="preserve"> and they warn</w:t>
      </w:r>
      <w:r>
        <w:t xml:space="preserve"> that</w:t>
      </w:r>
      <w:r w:rsidRPr="00204E0E">
        <w:t xml:space="preserve">: “adversarial models of public policy pitting the non-profit, government and business sectors against one another are not </w:t>
      </w:r>
      <w:r w:rsidR="00143AC6">
        <w:t>relevant [anymore]”.</w:t>
      </w:r>
      <w:r w:rsidRPr="00204E0E">
        <w:t xml:space="preserve"> </w:t>
      </w:r>
    </w:p>
    <w:p w14:paraId="0EAF2919" w14:textId="77777777" w:rsidR="00D80DA7" w:rsidRPr="00204E0E" w:rsidRDefault="00D80DA7" w:rsidP="007B14CB">
      <w:pPr>
        <w:pStyle w:val="BodyFirstIdent"/>
        <w:spacing w:before="0" w:after="0" w:line="480" w:lineRule="auto"/>
        <w:jc w:val="left"/>
        <w:rPr>
          <w:szCs w:val="24"/>
        </w:rPr>
      </w:pPr>
    </w:p>
    <w:p w14:paraId="70C86B43" w14:textId="2FDEBB4B" w:rsidR="00D80DA7" w:rsidRPr="00204E0E" w:rsidRDefault="00D80DA7" w:rsidP="00DB4267">
      <w:pPr>
        <w:pStyle w:val="Heading1"/>
        <w:numPr>
          <w:ilvl w:val="0"/>
          <w:numId w:val="17"/>
        </w:numPr>
        <w:spacing w:line="480" w:lineRule="auto"/>
        <w:rPr>
          <w:rFonts w:ascii="Times New Roman" w:hAnsi="Times New Roman" w:cs="Times New Roman"/>
          <w:b/>
          <w:color w:val="auto"/>
          <w:sz w:val="28"/>
          <w:szCs w:val="24"/>
        </w:rPr>
      </w:pPr>
      <w:r w:rsidRPr="00204E0E">
        <w:rPr>
          <w:rFonts w:ascii="Times New Roman" w:hAnsi="Times New Roman" w:cs="Times New Roman"/>
          <w:b/>
          <w:color w:val="auto"/>
          <w:sz w:val="28"/>
          <w:szCs w:val="24"/>
        </w:rPr>
        <w:lastRenderedPageBreak/>
        <w:t>METHODOLOGY</w:t>
      </w:r>
    </w:p>
    <w:p w14:paraId="53C7D89C" w14:textId="77777777" w:rsidR="00D80DA7" w:rsidRPr="00204E0E" w:rsidRDefault="00D80DA7" w:rsidP="007B14CB">
      <w:pPr>
        <w:spacing w:after="240" w:line="480" w:lineRule="auto"/>
        <w:ind w:firstLine="567"/>
      </w:pPr>
      <w:r w:rsidRPr="00204E0E">
        <w:t xml:space="preserve">A qualitative research methodology </w:t>
      </w:r>
      <w:proofErr w:type="gramStart"/>
      <w:r w:rsidRPr="00204E0E">
        <w:t>was adopted</w:t>
      </w:r>
      <w:proofErr w:type="gramEnd"/>
      <w:r w:rsidRPr="00204E0E">
        <w:t xml:space="preserve"> to explore perspectives on the relevance of relational approaches to connections across the food system in order to answer the four research questions. We ask questions about current nutrition policies, how the system works and how it should work for better outcomes, prompting </w:t>
      </w:r>
      <w:r>
        <w:t xml:space="preserve">discussion </w:t>
      </w:r>
      <w:r w:rsidRPr="00204E0E">
        <w:t xml:space="preserve">on issues of trust, cooperation, value (as perceived benefits) and power in policy decision-making. </w:t>
      </w:r>
    </w:p>
    <w:p w14:paraId="34CDA879" w14:textId="15EDE485" w:rsidR="00D80DA7" w:rsidRPr="00204E0E" w:rsidRDefault="00D80DA7" w:rsidP="007B14CB">
      <w:pPr>
        <w:spacing w:after="240" w:line="480" w:lineRule="auto"/>
        <w:ind w:firstLine="567"/>
      </w:pPr>
      <w:r w:rsidRPr="00204E0E">
        <w:t xml:space="preserve">The aim is for a realist understanding of the whole system of nutrition policy development. </w:t>
      </w:r>
      <w:r>
        <w:t>This permits “</w:t>
      </w:r>
      <w:r w:rsidRPr="00204E0E">
        <w:t>thi</w:t>
      </w:r>
      <w:r>
        <w:t>ck”</w:t>
      </w:r>
      <w:r w:rsidRPr="00204E0E">
        <w:t xml:space="preserve"> description, as is appropriate in this early exploration of multiple actor-sets. The focus is on socially constructed realities in nutrition</w:t>
      </w:r>
      <w:r w:rsidRPr="00204E0E" w:rsidDel="00B10E7B">
        <w:t xml:space="preserve"> policy develo</w:t>
      </w:r>
      <w:r w:rsidRPr="00204E0E">
        <w:t>p</w:t>
      </w:r>
      <w:r w:rsidRPr="00204E0E" w:rsidDel="00B10E7B">
        <w:t>ment</w:t>
      </w:r>
      <w:r w:rsidRPr="00204E0E">
        <w:t xml:space="preserve">. This focus gives social science a role not only to, on occasion, predict, but also to seek out generative mechanisms so as to explain and then enable - even promote - change. </w:t>
      </w:r>
      <w:proofErr w:type="gramStart"/>
      <w:r w:rsidRPr="00204E0E">
        <w:t>So</w:t>
      </w:r>
      <w:proofErr w:type="gramEnd"/>
      <w:r w:rsidRPr="00204E0E">
        <w:t>, we take the critical realist approach that the real world is out there but that facts are not clearly, objectively</w:t>
      </w:r>
      <w:r>
        <w:t>,</w:t>
      </w:r>
      <w:r w:rsidRPr="00204E0E">
        <w:t xml:space="preserve"> distinct from perception and therefore</w:t>
      </w:r>
      <w:r>
        <w:t>,</w:t>
      </w:r>
      <w:r w:rsidRPr="00204E0E">
        <w:t xml:space="preserve"> that data collection and analysis require interpretation (Sayer</w:t>
      </w:r>
      <w:r w:rsidR="00AB4620">
        <w:t>,</w:t>
      </w:r>
      <w:r w:rsidRPr="00204E0E">
        <w:t xml:space="preserve"> 1992). To achieve this</w:t>
      </w:r>
      <w:r>
        <w:t>,</w:t>
      </w:r>
      <w:r w:rsidRPr="00204E0E">
        <w:t xml:space="preserve"> two methods </w:t>
      </w:r>
      <w:proofErr w:type="gramStart"/>
      <w:r w:rsidRPr="00204E0E">
        <w:t>were adopted</w:t>
      </w:r>
      <w:proofErr w:type="gramEnd"/>
      <w:r w:rsidRPr="00204E0E">
        <w:t xml:space="preserve"> to enable exploratory understanding of the nutrition policy terrain: focus groups to capture citizens’ views and semi-structured interviews for food system actors.</w:t>
      </w:r>
    </w:p>
    <w:p w14:paraId="50C4EE97" w14:textId="77777777" w:rsidR="00D80DA7" w:rsidRPr="00204E0E" w:rsidRDefault="00D80DA7" w:rsidP="007B14CB">
      <w:pPr>
        <w:spacing w:after="240" w:line="480" w:lineRule="auto"/>
        <w:ind w:firstLine="567"/>
      </w:pPr>
      <w:r>
        <w:t>To gain</w:t>
      </w:r>
      <w:r w:rsidRPr="00204E0E">
        <w:t xml:space="preserve"> citizens’ perspectives focus groups </w:t>
      </w:r>
      <w:proofErr w:type="gramStart"/>
      <w:r w:rsidRPr="00204E0E">
        <w:t>were used</w:t>
      </w:r>
      <w:proofErr w:type="gramEnd"/>
      <w:r w:rsidRPr="00204E0E">
        <w:t xml:space="preserve"> to investigate whether they experienced a citizen</w:t>
      </w:r>
      <w:r>
        <w:t>-</w:t>
      </w:r>
      <w:r w:rsidRPr="00204E0E">
        <w:t xml:space="preserve">focus </w:t>
      </w:r>
      <w:r>
        <w:t>with</w:t>
      </w:r>
      <w:r w:rsidRPr="00204E0E">
        <w:t>in current nutrition policies</w:t>
      </w:r>
      <w:r>
        <w:t>,</w:t>
      </w:r>
      <w:r w:rsidRPr="00204E0E">
        <w:t xml:space="preserve"> their interactions with food system actors</w:t>
      </w:r>
      <w:r>
        <w:t>,</w:t>
      </w:r>
      <w:r w:rsidRPr="00204E0E">
        <w:t xml:space="preserve"> their trust </w:t>
      </w:r>
      <w:r>
        <w:t>in</w:t>
      </w:r>
      <w:r w:rsidRPr="00204E0E">
        <w:t xml:space="preserve"> these different actors</w:t>
      </w:r>
      <w:r>
        <w:t>,</w:t>
      </w:r>
      <w:r w:rsidRPr="00204E0E">
        <w:t xml:space="preserve"> and their recommendations for changes to </w:t>
      </w:r>
      <w:r>
        <w:t>how</w:t>
      </w:r>
      <w:r w:rsidRPr="00204E0E">
        <w:t xml:space="preserve"> nutrition policies might be shaped and implemented so that citizens embrace them. Fifty-nine young adults, 18-26 years old, </w:t>
      </w:r>
      <w:r>
        <w:t>participated in nine</w:t>
      </w:r>
      <w:r w:rsidRPr="00204E0E">
        <w:t xml:space="preserve"> focus groups of 5-8 participants each. The selection of this target audience </w:t>
      </w:r>
      <w:proofErr w:type="gramStart"/>
      <w:r w:rsidRPr="00204E0E">
        <w:t xml:space="preserve">was </w:t>
      </w:r>
      <w:r>
        <w:t>designed</w:t>
      </w:r>
      <w:proofErr w:type="gramEnd"/>
      <w:r>
        <w:t xml:space="preserve"> </w:t>
      </w:r>
      <w:r w:rsidRPr="00204E0E">
        <w:t>to sample the perspective</w:t>
      </w:r>
      <w:r>
        <w:t>s</w:t>
      </w:r>
      <w:r w:rsidRPr="00204E0E">
        <w:t xml:space="preserve"> of those who represent the future of the country, who would face any consequences of current initiatives while at the same time </w:t>
      </w:r>
      <w:r>
        <w:t>possibly driving</w:t>
      </w:r>
      <w:r w:rsidRPr="00204E0E">
        <w:t xml:space="preserve"> policy decisions in the future. </w:t>
      </w:r>
    </w:p>
    <w:p w14:paraId="2E01FF62" w14:textId="54B4C36B" w:rsidR="00D80DA7" w:rsidRPr="00204E0E" w:rsidRDefault="00D80DA7" w:rsidP="007B14CB">
      <w:pPr>
        <w:spacing w:after="240" w:line="480" w:lineRule="auto"/>
        <w:ind w:firstLine="567"/>
      </w:pPr>
      <w:r w:rsidRPr="00204E0E">
        <w:lastRenderedPageBreak/>
        <w:t xml:space="preserve">According to Dalton (2005, </w:t>
      </w:r>
      <w:r w:rsidR="00AB4620">
        <w:t xml:space="preserve">p. </w:t>
      </w:r>
      <w:r w:rsidRPr="00204E0E">
        <w:t>149), "better educated youth […] serve as opinion leaders on politics, and are more likely to be politically active" and this is why we recruited young adults who were either undertaking or ha</w:t>
      </w:r>
      <w:r>
        <w:t>d</w:t>
      </w:r>
      <w:r w:rsidRPr="00204E0E">
        <w:t xml:space="preserve"> completed vocational or tertiary education. In order to increase the degree of representativeness </w:t>
      </w:r>
      <w:r>
        <w:t xml:space="preserve">efforts </w:t>
      </w:r>
      <w:proofErr w:type="gramStart"/>
      <w:r>
        <w:t>were made</w:t>
      </w:r>
      <w:proofErr w:type="gramEnd"/>
      <w:r>
        <w:t xml:space="preserve"> </w:t>
      </w:r>
      <w:r w:rsidRPr="00204E0E">
        <w:t xml:space="preserve">during the recruitment </w:t>
      </w:r>
      <w:r>
        <w:t>process</w:t>
      </w:r>
      <w:r w:rsidRPr="00204E0E">
        <w:t xml:space="preserve"> to balance the following factors: gender, age, annual income and place they grew up (big/small city, town or village).  Focus groups </w:t>
      </w:r>
      <w:proofErr w:type="gramStart"/>
      <w:r w:rsidRPr="00204E0E">
        <w:t>were selected</w:t>
      </w:r>
      <w:proofErr w:type="gramEnd"/>
      <w:r w:rsidRPr="00204E0E">
        <w:t xml:space="preserve"> </w:t>
      </w:r>
      <w:r>
        <w:t>because</w:t>
      </w:r>
      <w:r w:rsidRPr="00204E0E">
        <w:t xml:space="preserve"> they allow investigation not only of people's knowledge, attitudes and experiences but also their perceptions, feelings and opinions and how those opinions are constructed, helping to reveal influential factors </w:t>
      </w:r>
      <w:r>
        <w:t>in</w:t>
      </w:r>
      <w:r w:rsidRPr="00204E0E">
        <w:t xml:space="preserve"> complicated and multifaceted behaviours (Carson </w:t>
      </w:r>
      <w:r w:rsidRPr="00567302">
        <w:rPr>
          <w:i/>
        </w:rPr>
        <w:t>et al</w:t>
      </w:r>
      <w:r w:rsidRPr="00204E0E">
        <w:t>.</w:t>
      </w:r>
      <w:r w:rsidR="00567302">
        <w:t>,</w:t>
      </w:r>
      <w:r w:rsidRPr="00204E0E">
        <w:t xml:space="preserve"> 2001). The duration of the focus groups varied between 55 and 90 minutes. </w:t>
      </w:r>
      <w:proofErr w:type="gramStart"/>
      <w:r w:rsidRPr="00204E0E">
        <w:t>The data were coded by two researchers (Silverman</w:t>
      </w:r>
      <w:r w:rsidR="00EB024D">
        <w:t>,</w:t>
      </w:r>
      <w:r w:rsidRPr="00204E0E">
        <w:t xml:space="preserve"> 2013)</w:t>
      </w:r>
      <w:proofErr w:type="gramEnd"/>
      <w:r w:rsidRPr="00204E0E">
        <w:t xml:space="preserve"> and </w:t>
      </w:r>
      <w:r>
        <w:t xml:space="preserve">the </w:t>
      </w:r>
      <w:r w:rsidRPr="00204E0E">
        <w:t>Cohen’s Kappa coefficient for inter-rate reliability was .921.</w:t>
      </w:r>
    </w:p>
    <w:p w14:paraId="1DAF14FE" w14:textId="13EF243F" w:rsidR="00D80DA7" w:rsidRPr="00204E0E" w:rsidRDefault="00D80DA7" w:rsidP="007B14CB">
      <w:pPr>
        <w:spacing w:after="240" w:line="480" w:lineRule="auto"/>
        <w:ind w:firstLine="567"/>
      </w:pPr>
      <w:r w:rsidRPr="00204E0E">
        <w:t xml:space="preserve">In addition to the focus groups 30 in-depth interviews </w:t>
      </w:r>
      <w:r>
        <w:t xml:space="preserve">were </w:t>
      </w:r>
      <w:r w:rsidRPr="00204E0E">
        <w:t xml:space="preserve">carried out with actors </w:t>
      </w:r>
      <w:r>
        <w:t>across</w:t>
      </w:r>
      <w:r w:rsidRPr="00204E0E">
        <w:t xml:space="preserve"> the food policy triangle (see Figure 1), including government representatives, members of the food supply chain and civil society agencies. Semi-structured interviews are appropriate when the objective is to collect data from specialists </w:t>
      </w:r>
      <w:r>
        <w:t>to enable them</w:t>
      </w:r>
      <w:r w:rsidRPr="00204E0E">
        <w:t xml:space="preserve"> to express their experience in a field and comment on similar issues (Silverman</w:t>
      </w:r>
      <w:r w:rsidR="00EB024D">
        <w:t>,</w:t>
      </w:r>
      <w:r w:rsidRPr="00204E0E">
        <w:t xml:space="preserve"> 2013).  </w:t>
      </w:r>
    </w:p>
    <w:p w14:paraId="60C50533" w14:textId="77777777" w:rsidR="00D80DA7" w:rsidRPr="00204E0E" w:rsidRDefault="00D80DA7" w:rsidP="007B14CB">
      <w:pPr>
        <w:spacing w:after="240" w:line="480" w:lineRule="auto"/>
        <w:ind w:firstLine="567"/>
      </w:pPr>
      <w:r>
        <w:t>Purposeful</w:t>
      </w:r>
      <w:r w:rsidRPr="00204E0E">
        <w:t xml:space="preserve"> judgment sampling </w:t>
      </w:r>
      <w:proofErr w:type="gramStart"/>
      <w:r w:rsidRPr="00204E0E">
        <w:t>was used</w:t>
      </w:r>
      <w:proofErr w:type="gramEnd"/>
      <w:r w:rsidRPr="00204E0E">
        <w:t xml:space="preserve"> based on participants’ involvement in key initiatives and key policy formation regarding nutritional issues (see Table 1). Respondent choice</w:t>
      </w:r>
      <w:r>
        <w:t>s</w:t>
      </w:r>
      <w:r w:rsidRPr="00204E0E">
        <w:t xml:space="preserve"> led to 14 interviews conducted </w:t>
      </w:r>
      <w:r>
        <w:t>face-to-face</w:t>
      </w:r>
      <w:r w:rsidRPr="00204E0E">
        <w:t xml:space="preserve"> and 16 by telephone. The interview length ranged from 10 to 75 minutes and they were audio-recorded, having gained interviewee consent. The discussions were around current nutrition policy in Greece with a focus on relationships across all actors in the food system</w:t>
      </w:r>
      <w:r>
        <w:t>,</w:t>
      </w:r>
      <w:r w:rsidRPr="00204E0E">
        <w:t xml:space="preserve"> </w:t>
      </w:r>
      <w:r>
        <w:t>around</w:t>
      </w:r>
      <w:r w:rsidRPr="00204E0E">
        <w:t xml:space="preserve"> issues of power and trust</w:t>
      </w:r>
      <w:r>
        <w:t>,</w:t>
      </w:r>
      <w:r w:rsidRPr="00204E0E">
        <w:t xml:space="preserve"> </w:t>
      </w:r>
      <w:r w:rsidRPr="00204E0E">
        <w:lastRenderedPageBreak/>
        <w:t xml:space="preserve">and </w:t>
      </w:r>
      <w:r>
        <w:t>around</w:t>
      </w:r>
      <w:r w:rsidRPr="00204E0E">
        <w:t xml:space="preserve"> any recommendations for more effective policy development and implementation.</w:t>
      </w:r>
    </w:p>
    <w:p w14:paraId="016566D3" w14:textId="65990FF9" w:rsidR="00D80DA7" w:rsidRPr="00D31BBD" w:rsidRDefault="00D80DA7" w:rsidP="00BF1A6B">
      <w:pPr>
        <w:spacing w:line="480" w:lineRule="auto"/>
        <w:ind w:firstLine="567"/>
      </w:pPr>
      <w:r w:rsidRPr="00204E0E">
        <w:t xml:space="preserve">All the participants </w:t>
      </w:r>
      <w:proofErr w:type="gramStart"/>
      <w:r w:rsidRPr="00204E0E">
        <w:t>were informed</w:t>
      </w:r>
      <w:proofErr w:type="gramEnd"/>
      <w:r w:rsidRPr="00204E0E">
        <w:t xml:space="preserve"> about their anonymity indemnity and no incentive was provided. Written consent forms </w:t>
      </w:r>
      <w:proofErr w:type="gramStart"/>
      <w:r w:rsidRPr="00204E0E">
        <w:t xml:space="preserve">were signed and collected before </w:t>
      </w:r>
      <w:r>
        <w:t>each</w:t>
      </w:r>
      <w:r w:rsidR="00B554A8">
        <w:t xml:space="preserve"> group and individual interview</w:t>
      </w:r>
      <w:proofErr w:type="gramEnd"/>
      <w:r w:rsidR="00022709">
        <w:t>. E</w:t>
      </w:r>
      <w:r w:rsidRPr="00204E0E">
        <w:t xml:space="preserve">thics approval </w:t>
      </w:r>
      <w:proofErr w:type="gramStart"/>
      <w:r w:rsidRPr="00204E0E">
        <w:t>was sought</w:t>
      </w:r>
      <w:proofErr w:type="gramEnd"/>
      <w:r w:rsidRPr="00204E0E">
        <w:t xml:space="preserve"> </w:t>
      </w:r>
      <w:r w:rsidR="00BF1A6B">
        <w:t>from</w:t>
      </w:r>
      <w:r w:rsidRPr="00204E0E">
        <w:t xml:space="preserve"> </w:t>
      </w:r>
      <w:r w:rsidR="00941A56">
        <w:t xml:space="preserve">the </w:t>
      </w:r>
      <w:r w:rsidR="00BF1A6B">
        <w:t xml:space="preserve">Research Degrees Committee </w:t>
      </w:r>
      <w:r w:rsidR="00D31BBD">
        <w:t xml:space="preserve">at City University London, UK and from the ethics committee of the National and </w:t>
      </w:r>
      <w:proofErr w:type="spellStart"/>
      <w:r w:rsidR="00D31BBD">
        <w:t>Kapodistrian</w:t>
      </w:r>
      <w:proofErr w:type="spellEnd"/>
      <w:r w:rsidR="00BF1A6B">
        <w:t xml:space="preserve"> </w:t>
      </w:r>
      <w:r w:rsidR="00D31BBD">
        <w:t>University of Athens, Greece.</w:t>
      </w:r>
    </w:p>
    <w:p w14:paraId="2A265258" w14:textId="77777777" w:rsidR="00D80DA7" w:rsidRPr="00204E0E" w:rsidRDefault="00D80DA7" w:rsidP="007B14CB">
      <w:pPr>
        <w:spacing w:line="480" w:lineRule="auto"/>
        <w:ind w:firstLine="567"/>
        <w:rPr>
          <w:b/>
          <w:i/>
        </w:rPr>
      </w:pPr>
    </w:p>
    <w:p w14:paraId="1B31BB76" w14:textId="77777777" w:rsidR="00D80DA7" w:rsidRPr="00204E0E" w:rsidRDefault="00D80DA7" w:rsidP="007B14CB">
      <w:pPr>
        <w:spacing w:line="480" w:lineRule="auto"/>
        <w:ind w:firstLine="567"/>
        <w:jc w:val="center"/>
        <w:rPr>
          <w:b/>
          <w:sz w:val="28"/>
        </w:rPr>
      </w:pPr>
      <w:r w:rsidRPr="00204E0E">
        <w:rPr>
          <w:b/>
          <w:sz w:val="28"/>
        </w:rPr>
        <w:t>[Insert Table 1 about here]</w:t>
      </w:r>
    </w:p>
    <w:p w14:paraId="5DF15367" w14:textId="77777777" w:rsidR="00D80DA7" w:rsidRPr="00204E0E" w:rsidRDefault="00D80DA7" w:rsidP="007B14CB">
      <w:pPr>
        <w:spacing w:line="480" w:lineRule="auto"/>
        <w:ind w:firstLine="567"/>
        <w:rPr>
          <w:sz w:val="28"/>
        </w:rPr>
      </w:pPr>
    </w:p>
    <w:p w14:paraId="0E197B16" w14:textId="77777777" w:rsidR="00D80DA7" w:rsidRPr="00204E0E" w:rsidRDefault="00D80DA7" w:rsidP="007B14CB">
      <w:pPr>
        <w:spacing w:line="480" w:lineRule="auto"/>
        <w:ind w:firstLine="567"/>
        <w:rPr>
          <w:rFonts w:eastAsiaTheme="majorEastAsia"/>
        </w:rPr>
      </w:pPr>
      <w:r w:rsidRPr="00204E0E">
        <w:t xml:space="preserve">A thematic analysis of the transcripts </w:t>
      </w:r>
      <w:proofErr w:type="gramStart"/>
      <w:r w:rsidRPr="00204E0E">
        <w:t>was carried out</w:t>
      </w:r>
      <w:proofErr w:type="gramEnd"/>
      <w:r w:rsidRPr="00204E0E">
        <w:t xml:space="preserve"> based on the main themes of the relational thinking theoretical framework but also on emerging themes from the findings (see Table 2 for the key themes and subthemes). Two researchers coded the data independently and </w:t>
      </w:r>
      <w:r>
        <w:t>resolved any</w:t>
      </w:r>
      <w:r w:rsidRPr="00204E0E">
        <w:t xml:space="preserve"> disagreements</w:t>
      </w:r>
      <w:r>
        <w:t xml:space="preserve"> through discussion</w:t>
      </w:r>
      <w:r w:rsidRPr="00204E0E">
        <w:t xml:space="preserve">. The inter-coder reliability using Cohen’s Kappa coefficient </w:t>
      </w:r>
      <w:proofErr w:type="gramStart"/>
      <w:r w:rsidRPr="00204E0E">
        <w:t>was measured</w:t>
      </w:r>
      <w:proofErr w:type="gramEnd"/>
      <w:r w:rsidRPr="00204E0E">
        <w:t xml:space="preserve"> </w:t>
      </w:r>
      <w:r>
        <w:t>at</w:t>
      </w:r>
      <w:r w:rsidRPr="00204E0E">
        <w:t xml:space="preserve"> .87.</w:t>
      </w:r>
    </w:p>
    <w:p w14:paraId="0293C2ED" w14:textId="5A10CD2C" w:rsidR="00D80DA7" w:rsidRPr="00204E0E" w:rsidRDefault="00D80DA7" w:rsidP="00DB4267">
      <w:pPr>
        <w:pStyle w:val="Heading1"/>
        <w:numPr>
          <w:ilvl w:val="0"/>
          <w:numId w:val="17"/>
        </w:numPr>
        <w:spacing w:line="480" w:lineRule="auto"/>
        <w:rPr>
          <w:rFonts w:ascii="Times New Roman" w:hAnsi="Times New Roman" w:cs="Times New Roman"/>
          <w:b/>
          <w:color w:val="auto"/>
          <w:sz w:val="28"/>
          <w:szCs w:val="24"/>
        </w:rPr>
      </w:pPr>
      <w:r w:rsidRPr="00204E0E">
        <w:rPr>
          <w:rFonts w:ascii="Times New Roman" w:hAnsi="Times New Roman" w:cs="Times New Roman"/>
          <w:b/>
          <w:color w:val="auto"/>
          <w:sz w:val="28"/>
          <w:szCs w:val="24"/>
        </w:rPr>
        <w:t>RESULTS</w:t>
      </w:r>
    </w:p>
    <w:p w14:paraId="79A9BFF5" w14:textId="0879A585" w:rsidR="00D80DA7" w:rsidRPr="00204E0E" w:rsidRDefault="00D80DA7" w:rsidP="007B14CB">
      <w:pPr>
        <w:spacing w:after="240" w:line="480" w:lineRule="auto"/>
        <w:ind w:firstLine="567"/>
      </w:pPr>
      <w:r w:rsidRPr="00204E0E">
        <w:t xml:space="preserve">Thematic analysis of the transcripts from the 30 in-depth interviews with key stakeholders and the </w:t>
      </w:r>
      <w:r>
        <w:t>nine</w:t>
      </w:r>
      <w:r w:rsidRPr="00204E0E">
        <w:t xml:space="preserve"> focus groups with citizens yielded </w:t>
      </w:r>
      <w:r>
        <w:t>six</w:t>
      </w:r>
      <w:r w:rsidRPr="00204E0E">
        <w:t xml:space="preserve"> themes</w:t>
      </w:r>
      <w:r>
        <w:t>,</w:t>
      </w:r>
      <w:r w:rsidRPr="00204E0E">
        <w:t xml:space="preserve"> as shown in detail in Table 2, grouped by the two areas</w:t>
      </w:r>
      <w:r w:rsidR="00B9556C">
        <w:t xml:space="preserve"> (main themes)</w:t>
      </w:r>
      <w:r w:rsidRPr="00204E0E">
        <w:t xml:space="preserve"> identified in the literature</w:t>
      </w:r>
      <w:r>
        <w:t>:</w:t>
      </w:r>
      <w:r w:rsidRPr="00204E0E">
        <w:t xml:space="preserve"> interdependence and power asymmetry. Results from the fieldwork </w:t>
      </w:r>
      <w:proofErr w:type="gramStart"/>
      <w:r w:rsidRPr="00204E0E">
        <w:t>are grouped</w:t>
      </w:r>
      <w:proofErr w:type="gramEnd"/>
      <w:r w:rsidRPr="00204E0E">
        <w:t xml:space="preserve"> under these two </w:t>
      </w:r>
      <w:r w:rsidR="00B9556C">
        <w:t xml:space="preserve">main </w:t>
      </w:r>
      <w:r w:rsidR="00564EE8">
        <w:t>themes,</w:t>
      </w:r>
      <w:r w:rsidRPr="00204E0E">
        <w:t xml:space="preserve"> </w:t>
      </w:r>
      <w:r w:rsidR="00564EE8">
        <w:t>because</w:t>
      </w:r>
      <w:r w:rsidRPr="00204E0E">
        <w:t xml:space="preserve"> they are areas of criticality that would warrant a relational approach to future effectiv</w:t>
      </w:r>
      <w:r w:rsidR="00564EE8">
        <w:t xml:space="preserve">e nutrition policy development </w:t>
      </w:r>
      <w:r w:rsidRPr="00204E0E">
        <w:t xml:space="preserve">as supported by the theoretical framework. </w:t>
      </w:r>
    </w:p>
    <w:p w14:paraId="00360D40" w14:textId="0273FDCB" w:rsidR="00D80DA7" w:rsidRPr="00204E0E" w:rsidRDefault="00FD4D47" w:rsidP="008F1BAA">
      <w:pPr>
        <w:pStyle w:val="Heading2"/>
        <w:spacing w:before="24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4.1 </w:t>
      </w:r>
      <w:r w:rsidR="00D80DA7" w:rsidRPr="00204E0E">
        <w:rPr>
          <w:rFonts w:ascii="Times New Roman" w:hAnsi="Times New Roman" w:cs="Times New Roman"/>
          <w:b/>
          <w:color w:val="auto"/>
          <w:sz w:val="24"/>
          <w:szCs w:val="24"/>
        </w:rPr>
        <w:t>Interdependence</w:t>
      </w:r>
    </w:p>
    <w:p w14:paraId="34A70261" w14:textId="21201FD2" w:rsidR="00D80DA7" w:rsidRPr="00204E0E" w:rsidRDefault="00D80DA7" w:rsidP="007B14CB">
      <w:pPr>
        <w:spacing w:after="240" w:line="480" w:lineRule="auto"/>
        <w:ind w:firstLine="567"/>
      </w:pPr>
      <w:r w:rsidRPr="00204E0E">
        <w:t xml:space="preserve">Four </w:t>
      </w:r>
      <w:r w:rsidR="00C55EC6">
        <w:t>sub</w:t>
      </w:r>
      <w:r w:rsidRPr="00204E0E">
        <w:t>themes were identified under the interdependence umbrella and included discussions on (</w:t>
      </w:r>
      <w:proofErr w:type="spellStart"/>
      <w:r w:rsidRPr="00204E0E">
        <w:t>i</w:t>
      </w:r>
      <w:proofErr w:type="spellEnd"/>
      <w:r w:rsidRPr="00204E0E">
        <w:t>) how the different actors focus (or not) on citizens’ wellbeing</w:t>
      </w:r>
      <w:r>
        <w:t>,</w:t>
      </w:r>
      <w:r w:rsidRPr="00204E0E">
        <w:t xml:space="preserve"> (ii) how the different food system actors cooperate (or not)</w:t>
      </w:r>
      <w:r>
        <w:t>,</w:t>
      </w:r>
      <w:r w:rsidRPr="00204E0E">
        <w:t xml:space="preserve"> (iii) the conflicts among the food system </w:t>
      </w:r>
      <w:r>
        <w:t xml:space="preserve">actors, </w:t>
      </w:r>
      <w:r w:rsidRPr="00204E0E">
        <w:t xml:space="preserve">and </w:t>
      </w:r>
      <w:proofErr w:type="gramStart"/>
      <w:r w:rsidRPr="00204E0E">
        <w:t>(iv) trust</w:t>
      </w:r>
      <w:proofErr w:type="gramEnd"/>
      <w:r w:rsidRPr="00204E0E">
        <w:t xml:space="preserve"> among the different food system actors (see Table 2 for sample quotes).</w:t>
      </w:r>
    </w:p>
    <w:p w14:paraId="06130A93" w14:textId="77777777" w:rsidR="00D80DA7" w:rsidRPr="00204E0E" w:rsidRDefault="00D80DA7" w:rsidP="007B14CB">
      <w:pPr>
        <w:spacing w:after="240" w:line="480" w:lineRule="auto"/>
        <w:ind w:firstLine="567"/>
      </w:pPr>
      <w:r w:rsidRPr="00204E0E">
        <w:t xml:space="preserve">In the focus </w:t>
      </w:r>
      <w:proofErr w:type="gramStart"/>
      <w:r w:rsidRPr="00204E0E">
        <w:t>groups</w:t>
      </w:r>
      <w:proofErr w:type="gramEnd"/>
      <w:r w:rsidRPr="00204E0E">
        <w:t xml:space="preserve"> citizens were not very satisfied with current nutrition policies in Greece. They fe</w:t>
      </w:r>
      <w:r>
        <w:t>lt</w:t>
      </w:r>
      <w:r w:rsidRPr="00204E0E">
        <w:t xml:space="preserve"> that the government d</w:t>
      </w:r>
      <w:r>
        <w:t>id</w:t>
      </w:r>
      <w:r w:rsidRPr="00204E0E">
        <w:t xml:space="preserve"> not really care about their needs. They trust</w:t>
      </w:r>
      <w:r>
        <w:t>ed</w:t>
      </w:r>
      <w:r w:rsidRPr="00204E0E">
        <w:t xml:space="preserve"> </w:t>
      </w:r>
      <w:proofErr w:type="gramStart"/>
      <w:r w:rsidRPr="00204E0E">
        <w:t>neither the government,</w:t>
      </w:r>
      <w:proofErr w:type="gramEnd"/>
      <w:r w:rsidRPr="00204E0E">
        <w:t xml:space="preserve"> because of its “ineffectiveness”, nor the food industry, because of its profit-driven motives, but they believe</w:t>
      </w:r>
      <w:r>
        <w:t>d</w:t>
      </w:r>
      <w:r w:rsidRPr="00204E0E">
        <w:t xml:space="preserve"> in the “pure motives” of the non-governmental organisations. Citizens reported that individuals need</w:t>
      </w:r>
      <w:r>
        <w:t>ed</w:t>
      </w:r>
      <w:r w:rsidRPr="00204E0E">
        <w:t xml:space="preserve"> more support from </w:t>
      </w:r>
      <w:r>
        <w:t xml:space="preserve">the </w:t>
      </w:r>
      <w:r w:rsidRPr="00204E0E">
        <w:t>government to adopt healthier eating habits and they call</w:t>
      </w:r>
      <w:r>
        <w:t>ed</w:t>
      </w:r>
      <w:r w:rsidRPr="00204E0E">
        <w:t xml:space="preserve"> for changes in order to create more supportive environments.</w:t>
      </w:r>
    </w:p>
    <w:p w14:paraId="23896845" w14:textId="77777777" w:rsidR="00D80DA7" w:rsidRPr="00204E0E" w:rsidRDefault="00D80DA7" w:rsidP="007B14CB">
      <w:pPr>
        <w:tabs>
          <w:tab w:val="left" w:pos="902"/>
        </w:tabs>
        <w:spacing w:line="480" w:lineRule="auto"/>
        <w:ind w:left="720" w:firstLine="567"/>
        <w:rPr>
          <w:b/>
          <w:i/>
        </w:rPr>
      </w:pPr>
      <w:r w:rsidRPr="00204E0E">
        <w:rPr>
          <w:i/>
        </w:rPr>
        <w:t xml:space="preserve">A leading policy must be created in order to improve eating habits, which will include advertisements for healthy foodstuffs and the development of governmental </w:t>
      </w:r>
      <w:proofErr w:type="gramStart"/>
      <w:r w:rsidRPr="00204E0E">
        <w:rPr>
          <w:i/>
        </w:rPr>
        <w:t>organisations which</w:t>
      </w:r>
      <w:proofErr w:type="gramEnd"/>
      <w:r w:rsidRPr="00204E0E">
        <w:rPr>
          <w:i/>
        </w:rPr>
        <w:t xml:space="preserve"> will promote healthy eating </w:t>
      </w:r>
      <w:r w:rsidRPr="00204E0E">
        <w:rPr>
          <w:b/>
          <w:i/>
        </w:rPr>
        <w:t>[citizen 2</w:t>
      </w:r>
      <w:r w:rsidRPr="00204E0E">
        <w:rPr>
          <w:b/>
          <w:i/>
          <w:vertAlign w:val="superscript"/>
        </w:rPr>
        <w:t>nd</w:t>
      </w:r>
      <w:r w:rsidRPr="00204E0E">
        <w:rPr>
          <w:b/>
          <w:i/>
        </w:rPr>
        <w:t xml:space="preserve"> focus group]</w:t>
      </w:r>
      <w:r>
        <w:rPr>
          <w:b/>
          <w:i/>
        </w:rPr>
        <w:t>.</w:t>
      </w:r>
    </w:p>
    <w:p w14:paraId="6971E1C0" w14:textId="77777777" w:rsidR="00D80DA7" w:rsidRPr="00204E0E" w:rsidRDefault="00D80DA7" w:rsidP="007B14CB">
      <w:pPr>
        <w:tabs>
          <w:tab w:val="left" w:pos="902"/>
        </w:tabs>
        <w:spacing w:line="480" w:lineRule="auto"/>
        <w:ind w:left="720" w:firstLine="567"/>
        <w:rPr>
          <w:b/>
          <w:i/>
        </w:rPr>
      </w:pPr>
    </w:p>
    <w:p w14:paraId="50EE75EA" w14:textId="77777777" w:rsidR="00D80DA7" w:rsidRPr="00204E0E" w:rsidRDefault="00D80DA7" w:rsidP="007B14CB">
      <w:pPr>
        <w:tabs>
          <w:tab w:val="left" w:pos="902"/>
        </w:tabs>
        <w:spacing w:line="480" w:lineRule="auto"/>
        <w:ind w:firstLine="567"/>
      </w:pPr>
      <w:r w:rsidRPr="00204E0E">
        <w:t xml:space="preserve">This support often required better monitoring of the industry and </w:t>
      </w:r>
      <w:r>
        <w:t>stronger</w:t>
      </w:r>
      <w:r w:rsidRPr="00204E0E">
        <w:t xml:space="preserve"> legislation</w:t>
      </w:r>
      <w:r>
        <w:t>, revealing</w:t>
      </w:r>
      <w:r w:rsidRPr="00204E0E">
        <w:t xml:space="preserve"> </w:t>
      </w:r>
      <w:r>
        <w:t xml:space="preserve">citizen </w:t>
      </w:r>
      <w:r w:rsidRPr="00204E0E">
        <w:t>perceptions of the power of food industry actors over government initiatives. For example, two participants reported:</w:t>
      </w:r>
    </w:p>
    <w:p w14:paraId="672E72D0" w14:textId="77777777" w:rsidR="00D80DA7" w:rsidRPr="00204E0E" w:rsidRDefault="00D80DA7" w:rsidP="007B14CB">
      <w:pPr>
        <w:tabs>
          <w:tab w:val="left" w:pos="902"/>
        </w:tabs>
        <w:spacing w:line="480" w:lineRule="auto"/>
        <w:ind w:left="720" w:firstLine="567"/>
        <w:rPr>
          <w:b/>
          <w:i/>
        </w:rPr>
      </w:pPr>
      <w:r w:rsidRPr="00204E0E">
        <w:rPr>
          <w:i/>
        </w:rPr>
        <w:t xml:space="preserve">The </w:t>
      </w:r>
      <w:r>
        <w:rPr>
          <w:i/>
        </w:rPr>
        <w:t>s</w:t>
      </w:r>
      <w:r w:rsidRPr="00204E0E">
        <w:rPr>
          <w:i/>
        </w:rPr>
        <w:t xml:space="preserve">tate must control the </w:t>
      </w:r>
      <w:proofErr w:type="gramStart"/>
      <w:r w:rsidRPr="00204E0E">
        <w:rPr>
          <w:i/>
        </w:rPr>
        <w:t>middlemen</w:t>
      </w:r>
      <w:proofErr w:type="gramEnd"/>
      <w:r w:rsidRPr="00204E0E">
        <w:rPr>
          <w:i/>
        </w:rPr>
        <w:t xml:space="preserve"> […] support the producers […] so that consumers </w:t>
      </w:r>
      <w:r>
        <w:rPr>
          <w:i/>
        </w:rPr>
        <w:t>can</w:t>
      </w:r>
      <w:r w:rsidRPr="00204E0E">
        <w:rPr>
          <w:i/>
        </w:rPr>
        <w:t xml:space="preserve"> buy healthy products at reasonable prices </w:t>
      </w:r>
      <w:r w:rsidRPr="00204E0E">
        <w:rPr>
          <w:b/>
          <w:i/>
        </w:rPr>
        <w:t>[citizen 6</w:t>
      </w:r>
      <w:r w:rsidRPr="00204E0E">
        <w:rPr>
          <w:b/>
          <w:i/>
          <w:vertAlign w:val="superscript"/>
        </w:rPr>
        <w:t>th</w:t>
      </w:r>
      <w:r w:rsidRPr="00204E0E">
        <w:rPr>
          <w:b/>
          <w:i/>
        </w:rPr>
        <w:t xml:space="preserve"> focus group]</w:t>
      </w:r>
      <w:r>
        <w:rPr>
          <w:b/>
          <w:i/>
        </w:rPr>
        <w:t>.</w:t>
      </w:r>
    </w:p>
    <w:p w14:paraId="7BF78979" w14:textId="77777777" w:rsidR="00D80DA7" w:rsidRPr="00204E0E" w:rsidRDefault="00D80DA7" w:rsidP="007B14CB">
      <w:pPr>
        <w:spacing w:line="480" w:lineRule="auto"/>
        <w:ind w:left="567" w:firstLine="567"/>
        <w:rPr>
          <w:i/>
        </w:rPr>
      </w:pPr>
    </w:p>
    <w:p w14:paraId="6261E715" w14:textId="77777777" w:rsidR="00D80DA7" w:rsidRPr="00204E0E" w:rsidRDefault="00D80DA7" w:rsidP="007B14CB">
      <w:pPr>
        <w:tabs>
          <w:tab w:val="left" w:pos="902"/>
        </w:tabs>
        <w:spacing w:after="240" w:line="480" w:lineRule="auto"/>
        <w:ind w:left="720" w:firstLine="567"/>
        <w:rPr>
          <w:b/>
          <w:i/>
        </w:rPr>
      </w:pPr>
      <w:r w:rsidRPr="00204E0E">
        <w:rPr>
          <w:i/>
        </w:rPr>
        <w:t xml:space="preserve">The </w:t>
      </w:r>
      <w:r>
        <w:rPr>
          <w:i/>
        </w:rPr>
        <w:t>s</w:t>
      </w:r>
      <w:r w:rsidRPr="00204E0E">
        <w:rPr>
          <w:i/>
        </w:rPr>
        <w:t xml:space="preserve">tate must make it more difficult to open a fast-food store and facilitate the establishment of healthy food outlets </w:t>
      </w:r>
      <w:r w:rsidRPr="00204E0E">
        <w:rPr>
          <w:b/>
          <w:i/>
        </w:rPr>
        <w:t>[citizen 8</w:t>
      </w:r>
      <w:r w:rsidRPr="00204E0E">
        <w:rPr>
          <w:b/>
          <w:i/>
          <w:vertAlign w:val="superscript"/>
        </w:rPr>
        <w:t>th</w:t>
      </w:r>
      <w:r w:rsidRPr="00204E0E">
        <w:rPr>
          <w:b/>
          <w:i/>
        </w:rPr>
        <w:t xml:space="preserve"> focus group]</w:t>
      </w:r>
      <w:r>
        <w:rPr>
          <w:b/>
          <w:i/>
        </w:rPr>
        <w:t>.</w:t>
      </w:r>
    </w:p>
    <w:p w14:paraId="60EB01D8" w14:textId="77777777" w:rsidR="00D80DA7" w:rsidRPr="00204E0E" w:rsidRDefault="00D80DA7" w:rsidP="007B14CB">
      <w:pPr>
        <w:spacing w:after="240" w:line="480" w:lineRule="auto"/>
        <w:ind w:firstLine="567"/>
      </w:pPr>
      <w:r w:rsidRPr="00204E0E">
        <w:lastRenderedPageBreak/>
        <w:t>In terms of cooperation and conflicts, participants identified many areas of collaboration among all the three sectors but ask</w:t>
      </w:r>
      <w:r>
        <w:t>ed</w:t>
      </w:r>
      <w:r w:rsidRPr="00204E0E">
        <w:t xml:space="preserve"> for better inter</w:t>
      </w:r>
      <w:r>
        <w:t>-</w:t>
      </w:r>
      <w:r w:rsidRPr="00204E0E">
        <w:t xml:space="preserve"> and </w:t>
      </w:r>
      <w:r>
        <w:t>intra-sectoral</w:t>
      </w:r>
      <w:r w:rsidRPr="00204E0E">
        <w:t xml:space="preserve"> collaboration and coordination, better support from </w:t>
      </w:r>
      <w:r>
        <w:t xml:space="preserve">the </w:t>
      </w:r>
      <w:r w:rsidRPr="00204E0E">
        <w:t xml:space="preserve">government and less conflict; they </w:t>
      </w:r>
      <w:r>
        <w:t>saw</w:t>
      </w:r>
      <w:r w:rsidRPr="00204E0E">
        <w:t xml:space="preserve"> the importance of having a shared goal of citizen wellbeing. Importantly</w:t>
      </w:r>
      <w:r>
        <w:t>,</w:t>
      </w:r>
      <w:r w:rsidRPr="00204E0E">
        <w:t xml:space="preserve"> they believe</w:t>
      </w:r>
      <w:r>
        <w:t>d</w:t>
      </w:r>
      <w:r w:rsidRPr="00204E0E">
        <w:t xml:space="preserve"> that without collaboration and cooperation there </w:t>
      </w:r>
      <w:r>
        <w:t>could</w:t>
      </w:r>
      <w:r w:rsidRPr="00204E0E">
        <w:t xml:space="preserve"> be no effective nutrition policy. Many participants </w:t>
      </w:r>
      <w:r>
        <w:t>highlighted the importance of s</w:t>
      </w:r>
      <w:r w:rsidRPr="00204E0E">
        <w:t xml:space="preserve">upport and coordination of these efforts by </w:t>
      </w:r>
      <w:r>
        <w:t xml:space="preserve">the </w:t>
      </w:r>
      <w:r w:rsidRPr="00204E0E">
        <w:t>government as the lynchpin among the stakeholders (Table 2 provides example quotes that support all these views). For example, an NGO manager and a governmental employee said:</w:t>
      </w:r>
    </w:p>
    <w:p w14:paraId="32B2A6EB" w14:textId="77777777" w:rsidR="00D80DA7" w:rsidRPr="00204E0E" w:rsidRDefault="00D80DA7" w:rsidP="007B14CB">
      <w:pPr>
        <w:pStyle w:val="ListParagraph"/>
        <w:spacing w:after="240" w:line="480" w:lineRule="auto"/>
        <w:ind w:firstLine="567"/>
        <w:contextualSpacing w:val="0"/>
        <w:rPr>
          <w:rFonts w:ascii="Times New Roman" w:hAnsi="Times New Roman" w:cs="Times New Roman"/>
          <w:b/>
          <w:i/>
          <w:sz w:val="24"/>
          <w:szCs w:val="24"/>
        </w:rPr>
      </w:pPr>
      <w:r w:rsidRPr="00204E0E">
        <w:rPr>
          <w:rFonts w:ascii="Times New Roman" w:hAnsi="Times New Roman" w:cs="Times New Roman"/>
          <w:i/>
          <w:sz w:val="24"/>
          <w:szCs w:val="24"/>
        </w:rPr>
        <w:t>Many times</w:t>
      </w:r>
      <w:r>
        <w:rPr>
          <w:rFonts w:ascii="Times New Roman" w:hAnsi="Times New Roman" w:cs="Times New Roman"/>
          <w:i/>
          <w:sz w:val="24"/>
          <w:szCs w:val="24"/>
        </w:rPr>
        <w:t>,</w:t>
      </w:r>
      <w:r w:rsidRPr="00204E0E">
        <w:rPr>
          <w:rFonts w:ascii="Times New Roman" w:hAnsi="Times New Roman" w:cs="Times New Roman"/>
          <w:i/>
          <w:sz w:val="24"/>
          <w:szCs w:val="24"/>
        </w:rPr>
        <w:t xml:space="preserve"> we have common objectives with other agents. In general, there are many agents who do different things on the same subject and maybe this result</w:t>
      </w:r>
      <w:r>
        <w:rPr>
          <w:rFonts w:ascii="Times New Roman" w:hAnsi="Times New Roman" w:cs="Times New Roman"/>
          <w:i/>
          <w:sz w:val="24"/>
          <w:szCs w:val="24"/>
        </w:rPr>
        <w:t>s</w:t>
      </w:r>
      <w:r w:rsidRPr="00204E0E">
        <w:rPr>
          <w:rFonts w:ascii="Times New Roman" w:hAnsi="Times New Roman" w:cs="Times New Roman"/>
          <w:i/>
          <w:sz w:val="24"/>
          <w:szCs w:val="24"/>
        </w:rPr>
        <w:t xml:space="preserve"> in higher expenditure […] </w:t>
      </w:r>
      <w:proofErr w:type="gramStart"/>
      <w:r w:rsidRPr="00204E0E">
        <w:rPr>
          <w:rFonts w:ascii="Times New Roman" w:hAnsi="Times New Roman" w:cs="Times New Roman"/>
          <w:i/>
          <w:sz w:val="24"/>
          <w:szCs w:val="24"/>
        </w:rPr>
        <w:t>If</w:t>
      </w:r>
      <w:proofErr w:type="gramEnd"/>
      <w:r w:rsidRPr="00204E0E">
        <w:rPr>
          <w:rFonts w:ascii="Times New Roman" w:hAnsi="Times New Roman" w:cs="Times New Roman"/>
          <w:i/>
          <w:sz w:val="24"/>
          <w:szCs w:val="24"/>
        </w:rPr>
        <w:t xml:space="preserve"> we cooperated, or if the government coordinated all these efforts</w:t>
      </w:r>
      <w:r>
        <w:rPr>
          <w:rFonts w:ascii="Times New Roman" w:hAnsi="Times New Roman" w:cs="Times New Roman"/>
          <w:i/>
          <w:sz w:val="24"/>
          <w:szCs w:val="24"/>
        </w:rPr>
        <w:t>,</w:t>
      </w:r>
      <w:r w:rsidRPr="00204E0E">
        <w:rPr>
          <w:rFonts w:ascii="Times New Roman" w:hAnsi="Times New Roman" w:cs="Times New Roman"/>
          <w:i/>
          <w:sz w:val="24"/>
          <w:szCs w:val="24"/>
        </w:rPr>
        <w:t xml:space="preserve"> the cost would </w:t>
      </w:r>
      <w:r>
        <w:rPr>
          <w:rFonts w:ascii="Times New Roman" w:hAnsi="Times New Roman" w:cs="Times New Roman"/>
          <w:i/>
          <w:sz w:val="24"/>
          <w:szCs w:val="24"/>
        </w:rPr>
        <w:t>be</w:t>
      </w:r>
      <w:r w:rsidRPr="00204E0E">
        <w:rPr>
          <w:rFonts w:ascii="Times New Roman" w:hAnsi="Times New Roman" w:cs="Times New Roman"/>
          <w:i/>
          <w:sz w:val="24"/>
          <w:szCs w:val="24"/>
        </w:rPr>
        <w:t xml:space="preserve"> lower </w:t>
      </w:r>
      <w:r w:rsidRPr="00204E0E">
        <w:rPr>
          <w:rFonts w:ascii="Times New Roman" w:hAnsi="Times New Roman" w:cs="Times New Roman"/>
          <w:b/>
          <w:i/>
          <w:sz w:val="24"/>
          <w:szCs w:val="24"/>
        </w:rPr>
        <w:t>[NGO manager].</w:t>
      </w:r>
    </w:p>
    <w:p w14:paraId="0ABA4AFC" w14:textId="77777777" w:rsidR="00D80DA7" w:rsidRPr="00204E0E" w:rsidRDefault="00D80DA7" w:rsidP="007B14CB">
      <w:pPr>
        <w:pStyle w:val="ListParagraph"/>
        <w:spacing w:after="0" w:line="480" w:lineRule="auto"/>
        <w:ind w:left="284" w:firstLine="567"/>
        <w:contextualSpacing w:val="0"/>
        <w:rPr>
          <w:rFonts w:ascii="Times New Roman" w:hAnsi="Times New Roman" w:cs="Times New Roman"/>
          <w:i/>
          <w:sz w:val="24"/>
          <w:szCs w:val="24"/>
        </w:rPr>
      </w:pPr>
    </w:p>
    <w:p w14:paraId="27DB4F35" w14:textId="77777777" w:rsidR="00D80DA7" w:rsidRPr="00204E0E" w:rsidRDefault="00D80DA7" w:rsidP="007B14CB">
      <w:pPr>
        <w:pStyle w:val="ListParagraph"/>
        <w:spacing w:after="0" w:line="480" w:lineRule="auto"/>
        <w:ind w:firstLine="567"/>
        <w:contextualSpacing w:val="0"/>
        <w:rPr>
          <w:rFonts w:ascii="Times New Roman" w:hAnsi="Times New Roman" w:cs="Times New Roman"/>
          <w:b/>
          <w:i/>
          <w:sz w:val="24"/>
          <w:szCs w:val="24"/>
        </w:rPr>
      </w:pPr>
      <w:r w:rsidRPr="00204E0E">
        <w:rPr>
          <w:rFonts w:ascii="Times New Roman" w:hAnsi="Times New Roman" w:cs="Times New Roman"/>
          <w:i/>
          <w:sz w:val="24"/>
          <w:szCs w:val="24"/>
        </w:rPr>
        <w:t xml:space="preserve">If the involved agents cooperated things would be better in the nutrition sector. The relationships between the responsible services should be better in terms of the division of work and responsibilities. There is a need for better coordination </w:t>
      </w:r>
      <w:r w:rsidRPr="00204E0E">
        <w:rPr>
          <w:rFonts w:ascii="Times New Roman" w:hAnsi="Times New Roman" w:cs="Times New Roman"/>
          <w:b/>
          <w:bCs/>
          <w:i/>
          <w:iCs/>
          <w:sz w:val="24"/>
          <w:szCs w:val="24"/>
        </w:rPr>
        <w:t>[Governmental body for control and advising employee]</w:t>
      </w:r>
      <w:r>
        <w:rPr>
          <w:rFonts w:ascii="Times New Roman" w:hAnsi="Times New Roman" w:cs="Times New Roman"/>
          <w:b/>
          <w:bCs/>
          <w:i/>
          <w:iCs/>
          <w:sz w:val="24"/>
          <w:szCs w:val="24"/>
        </w:rPr>
        <w:t>.</w:t>
      </w:r>
    </w:p>
    <w:p w14:paraId="237A7DCC" w14:textId="77777777" w:rsidR="00D80DA7" w:rsidRPr="00204E0E" w:rsidRDefault="00D80DA7" w:rsidP="007B14CB">
      <w:pPr>
        <w:spacing w:line="480" w:lineRule="auto"/>
        <w:ind w:firstLine="567"/>
      </w:pPr>
    </w:p>
    <w:p w14:paraId="2D38B0E9" w14:textId="4007A02E" w:rsidR="00D80DA7" w:rsidRPr="00204E0E" w:rsidRDefault="00D80DA7" w:rsidP="007B14CB">
      <w:pPr>
        <w:spacing w:line="480" w:lineRule="auto"/>
        <w:ind w:firstLine="567"/>
      </w:pPr>
      <w:r w:rsidRPr="00204E0E">
        <w:t xml:space="preserve">The importance of collaboration among the actors involved in micronutrient policy development </w:t>
      </w:r>
      <w:proofErr w:type="gramStart"/>
      <w:r w:rsidRPr="00204E0E">
        <w:t>was also highlighted</w:t>
      </w:r>
      <w:proofErr w:type="gramEnd"/>
      <w:r w:rsidRPr="00204E0E">
        <w:t xml:space="preserve"> as a crucial determinant of its success in a study among 10 European countries (</w:t>
      </w:r>
      <w:proofErr w:type="spellStart"/>
      <w:r w:rsidRPr="00204E0E">
        <w:t>Jeruszka-Bielak</w:t>
      </w:r>
      <w:proofErr w:type="spellEnd"/>
      <w:r w:rsidRPr="00204E0E">
        <w:t xml:space="preserve"> </w:t>
      </w:r>
      <w:r w:rsidRPr="00451C43">
        <w:rPr>
          <w:i/>
        </w:rPr>
        <w:t>et al.</w:t>
      </w:r>
      <w:r w:rsidR="00451C43">
        <w:t>,</w:t>
      </w:r>
      <w:r w:rsidRPr="00204E0E">
        <w:t xml:space="preserve"> 2015). </w:t>
      </w:r>
    </w:p>
    <w:p w14:paraId="72E79E27" w14:textId="77777777" w:rsidR="00D80DA7" w:rsidRPr="00204E0E" w:rsidRDefault="00D80DA7" w:rsidP="007B14CB">
      <w:pPr>
        <w:spacing w:after="240" w:line="480" w:lineRule="auto"/>
        <w:ind w:firstLine="567"/>
      </w:pPr>
      <w:r w:rsidRPr="00204E0E">
        <w:t xml:space="preserve">The interviews revealed ineffective nutrition policies, frequent lack of governmental support, and an urgent need for many inter-governmental changes and improvements to lead </w:t>
      </w:r>
      <w:r w:rsidRPr="00204E0E">
        <w:lastRenderedPageBreak/>
        <w:t xml:space="preserve">to better policy development and implementation. This need for change </w:t>
      </w:r>
      <w:proofErr w:type="gramStart"/>
      <w:r w:rsidRPr="00204E0E">
        <w:t>is reflected</w:t>
      </w:r>
      <w:proofErr w:type="gramEnd"/>
      <w:r w:rsidRPr="00204E0E">
        <w:t xml:space="preserve"> in the quote of a participant who said</w:t>
      </w:r>
      <w:r>
        <w:t>:</w:t>
      </w:r>
      <w:r w:rsidRPr="00204E0E">
        <w:t xml:space="preserve"> </w:t>
      </w:r>
    </w:p>
    <w:p w14:paraId="3AAB3142" w14:textId="77777777" w:rsidR="00D80DA7" w:rsidRPr="00204E0E" w:rsidRDefault="00D80DA7" w:rsidP="007B14CB">
      <w:pPr>
        <w:spacing w:after="240" w:line="480" w:lineRule="auto"/>
        <w:ind w:left="720" w:firstLine="567"/>
        <w:rPr>
          <w:i/>
        </w:rPr>
      </w:pPr>
      <w:r w:rsidRPr="00204E0E">
        <w:rPr>
          <w:i/>
        </w:rPr>
        <w:t xml:space="preserve">…the best solution is to get three- four people from different bodies </w:t>
      </w:r>
      <w:proofErr w:type="gramStart"/>
      <w:r w:rsidRPr="00204E0E">
        <w:rPr>
          <w:i/>
        </w:rPr>
        <w:t>that are interested in healthy eating policies and who really want to collaborate and coordinate these initiatives [that promote healthy eating behaviours]</w:t>
      </w:r>
      <w:proofErr w:type="gramEnd"/>
      <w:r w:rsidRPr="00204E0E">
        <w:rPr>
          <w:i/>
        </w:rPr>
        <w:t xml:space="preserve">. This is the only way to have something good and organised </w:t>
      </w:r>
      <w:r w:rsidRPr="00204E0E">
        <w:rPr>
          <w:b/>
          <w:i/>
        </w:rPr>
        <w:t>[Ministry of Food and Rural Development employee]</w:t>
      </w:r>
      <w:r w:rsidRPr="00204E0E">
        <w:rPr>
          <w:i/>
        </w:rPr>
        <w:t>.</w:t>
      </w:r>
    </w:p>
    <w:p w14:paraId="548D8AD1" w14:textId="77777777" w:rsidR="00D80DA7" w:rsidRPr="00204E0E" w:rsidRDefault="00D80DA7" w:rsidP="007B14CB">
      <w:pPr>
        <w:spacing w:after="240" w:line="480" w:lineRule="auto"/>
        <w:ind w:firstLine="567"/>
      </w:pPr>
      <w:r w:rsidRPr="00204E0E">
        <w:t>Participants from civil society, including citizens and government</w:t>
      </w:r>
      <w:r>
        <w:t xml:space="preserve"> officials,</w:t>
      </w:r>
      <w:r w:rsidRPr="00204E0E">
        <w:t xml:space="preserve"> d</w:t>
      </w:r>
      <w:r>
        <w:t>id</w:t>
      </w:r>
      <w:r w:rsidRPr="00204E0E">
        <w:t xml:space="preserve"> not trust the private food sector, particularly the big corporations, as they perceive</w:t>
      </w:r>
      <w:r>
        <w:t>d</w:t>
      </w:r>
      <w:r w:rsidRPr="00204E0E">
        <w:t xml:space="preserve"> its motives to be profit- rather than citizen-driven.</w:t>
      </w:r>
    </w:p>
    <w:p w14:paraId="55134599" w14:textId="77777777" w:rsidR="00D80DA7" w:rsidRPr="00204E0E" w:rsidRDefault="00D80DA7" w:rsidP="007B14CB">
      <w:pPr>
        <w:pStyle w:val="ListParagraph"/>
        <w:spacing w:after="0" w:line="480" w:lineRule="auto"/>
        <w:ind w:left="284" w:firstLine="567"/>
        <w:contextualSpacing w:val="0"/>
        <w:rPr>
          <w:rFonts w:ascii="Times New Roman" w:hAnsi="Times New Roman" w:cs="Times New Roman"/>
          <w:b/>
          <w:i/>
          <w:sz w:val="24"/>
          <w:szCs w:val="24"/>
        </w:rPr>
      </w:pPr>
      <w:r w:rsidRPr="00204E0E">
        <w:rPr>
          <w:rFonts w:ascii="Times New Roman" w:hAnsi="Times New Roman" w:cs="Times New Roman"/>
          <w:i/>
          <w:sz w:val="24"/>
          <w:szCs w:val="24"/>
        </w:rPr>
        <w:t>[</w:t>
      </w:r>
      <w:r>
        <w:rPr>
          <w:rFonts w:ascii="Times New Roman" w:hAnsi="Times New Roman" w:cs="Times New Roman"/>
          <w:i/>
          <w:sz w:val="24"/>
          <w:szCs w:val="24"/>
        </w:rPr>
        <w:t>F</w:t>
      </w:r>
      <w:r w:rsidRPr="00204E0E">
        <w:rPr>
          <w:rFonts w:ascii="Times New Roman" w:hAnsi="Times New Roman" w:cs="Times New Roman"/>
          <w:i/>
          <w:sz w:val="24"/>
          <w:szCs w:val="24"/>
        </w:rPr>
        <w:t>ood companies</w:t>
      </w:r>
      <w:r>
        <w:rPr>
          <w:rFonts w:ascii="Times New Roman" w:hAnsi="Times New Roman" w:cs="Times New Roman"/>
          <w:i/>
          <w:sz w:val="24"/>
          <w:szCs w:val="24"/>
        </w:rPr>
        <w:t>’</w:t>
      </w:r>
      <w:r w:rsidRPr="00204E0E">
        <w:rPr>
          <w:rFonts w:ascii="Times New Roman" w:hAnsi="Times New Roman" w:cs="Times New Roman"/>
          <w:i/>
          <w:sz w:val="24"/>
          <w:szCs w:val="24"/>
        </w:rPr>
        <w:t xml:space="preserve">] work </w:t>
      </w:r>
      <w:proofErr w:type="gramStart"/>
      <w:r w:rsidRPr="00204E0E">
        <w:rPr>
          <w:rFonts w:ascii="Times New Roman" w:hAnsi="Times New Roman" w:cs="Times New Roman"/>
          <w:i/>
          <w:sz w:val="24"/>
          <w:szCs w:val="24"/>
        </w:rPr>
        <w:t>is based</w:t>
      </w:r>
      <w:proofErr w:type="gramEnd"/>
      <w:r w:rsidRPr="00204E0E">
        <w:rPr>
          <w:rFonts w:ascii="Times New Roman" w:hAnsi="Times New Roman" w:cs="Times New Roman"/>
          <w:i/>
          <w:sz w:val="24"/>
          <w:szCs w:val="24"/>
        </w:rPr>
        <w:t xml:space="preserve"> on demand and profits and they can deceive us in order to make profits </w:t>
      </w:r>
      <w:r w:rsidRPr="00204E0E">
        <w:rPr>
          <w:rFonts w:ascii="Times New Roman" w:hAnsi="Times New Roman" w:cs="Times New Roman"/>
          <w:b/>
          <w:i/>
          <w:sz w:val="24"/>
          <w:szCs w:val="24"/>
        </w:rPr>
        <w:t>[Citizen 6</w:t>
      </w:r>
      <w:r w:rsidRPr="00204E0E">
        <w:rPr>
          <w:rFonts w:ascii="Times New Roman" w:hAnsi="Times New Roman" w:cs="Times New Roman"/>
          <w:b/>
          <w:i/>
          <w:sz w:val="24"/>
          <w:szCs w:val="24"/>
          <w:vertAlign w:val="superscript"/>
        </w:rPr>
        <w:t>th</w:t>
      </w:r>
      <w:r w:rsidRPr="00204E0E">
        <w:rPr>
          <w:rFonts w:ascii="Times New Roman" w:hAnsi="Times New Roman" w:cs="Times New Roman"/>
          <w:b/>
          <w:i/>
          <w:sz w:val="24"/>
          <w:szCs w:val="24"/>
        </w:rPr>
        <w:t xml:space="preserve"> focus group]</w:t>
      </w:r>
      <w:r>
        <w:rPr>
          <w:rFonts w:ascii="Times New Roman" w:hAnsi="Times New Roman" w:cs="Times New Roman"/>
          <w:b/>
          <w:i/>
          <w:sz w:val="24"/>
          <w:szCs w:val="24"/>
        </w:rPr>
        <w:t>.</w:t>
      </w:r>
    </w:p>
    <w:p w14:paraId="5F61D7F8" w14:textId="77777777" w:rsidR="00D80DA7" w:rsidRPr="00204E0E" w:rsidRDefault="00D80DA7" w:rsidP="007B14CB">
      <w:pPr>
        <w:spacing w:line="480" w:lineRule="auto"/>
        <w:ind w:firstLine="567"/>
      </w:pPr>
    </w:p>
    <w:p w14:paraId="47A739AF" w14:textId="77777777" w:rsidR="00D80DA7" w:rsidRPr="00204E0E" w:rsidRDefault="00D80DA7" w:rsidP="007B14CB">
      <w:pPr>
        <w:spacing w:after="240" w:line="480" w:lineRule="auto"/>
        <w:ind w:firstLine="567"/>
      </w:pPr>
      <w:r>
        <w:t>Participants</w:t>
      </w:r>
      <w:r w:rsidRPr="00204E0E">
        <w:t xml:space="preserve"> believe</w:t>
      </w:r>
      <w:r>
        <w:t>d</w:t>
      </w:r>
      <w:r w:rsidRPr="00204E0E">
        <w:t xml:space="preserve">, therefore, that </w:t>
      </w:r>
      <w:r>
        <w:t xml:space="preserve">the </w:t>
      </w:r>
      <w:r w:rsidRPr="00204E0E">
        <w:t>government</w:t>
      </w:r>
      <w:r>
        <w:t>,</w:t>
      </w:r>
      <w:r w:rsidRPr="00204E0E">
        <w:t xml:space="preserve"> with the support of civil society, should monitor the food supply chain and ensure policy development based on citizens’ needs rather than private/commercial interests. However, this clinging to the need for monitoring indicates how a lack of trust drives actors away from mutually beneficial relationships. </w:t>
      </w:r>
    </w:p>
    <w:p w14:paraId="755CBA53" w14:textId="1C5E1A15" w:rsidR="00D80DA7" w:rsidRPr="00204E0E" w:rsidRDefault="00D80DA7" w:rsidP="007B14CB">
      <w:pPr>
        <w:spacing w:after="240" w:line="480" w:lineRule="auto"/>
        <w:ind w:firstLine="567"/>
      </w:pPr>
      <w:r w:rsidRPr="00204E0E">
        <w:t>These findings are somewhat expected given that they reflect citizens’ deeply rooted – negative - beliefs towards the government and corporations (Harrington</w:t>
      </w:r>
      <w:r w:rsidR="00451C43">
        <w:t>,</w:t>
      </w:r>
      <w:r w:rsidRPr="00204E0E">
        <w:t xml:space="preserve"> 2017). However, what was interesting </w:t>
      </w:r>
      <w:r>
        <w:t>was</w:t>
      </w:r>
      <w:r w:rsidRPr="00204E0E">
        <w:t xml:space="preserve"> that participants mainly blamed the government </w:t>
      </w:r>
      <w:r>
        <w:t>for</w:t>
      </w:r>
      <w:r w:rsidRPr="00204E0E">
        <w:t xml:space="preserve"> how companies operate in the food system. They believed that, regardless of how social</w:t>
      </w:r>
      <w:r>
        <w:t>ly</w:t>
      </w:r>
      <w:r w:rsidRPr="00204E0E">
        <w:t xml:space="preserve"> responsible companies may </w:t>
      </w:r>
      <w:r>
        <w:t xml:space="preserve">(or may not) </w:t>
      </w:r>
      <w:r w:rsidRPr="00204E0E">
        <w:t>be</w:t>
      </w:r>
      <w:r>
        <w:t>,</w:t>
      </w:r>
      <w:r w:rsidRPr="00204E0E">
        <w:t xml:space="preserve"> it </w:t>
      </w:r>
      <w:r>
        <w:t>was</w:t>
      </w:r>
      <w:r w:rsidRPr="00204E0E">
        <w:t xml:space="preserve"> the government’s role to protect citizens from </w:t>
      </w:r>
      <w:r>
        <w:t>companies’</w:t>
      </w:r>
      <w:r w:rsidRPr="00204E0E">
        <w:t xml:space="preserve"> unethical b</w:t>
      </w:r>
      <w:r w:rsidR="00451C43">
        <w:t>ehaviour, such as unhealthy food and</w:t>
      </w:r>
      <w:r w:rsidRPr="00204E0E">
        <w:t xml:space="preserve"> misleading/ manipulating </w:t>
      </w:r>
      <w:r w:rsidRPr="00204E0E">
        <w:lastRenderedPageBreak/>
        <w:t xml:space="preserve">promotion messages, </w:t>
      </w:r>
      <w:r>
        <w:t>rather than blaming the</w:t>
      </w:r>
      <w:r w:rsidRPr="00204E0E">
        <w:t xml:space="preserve"> companies themselves for not paying equal attention to profits and social wellbeing.</w:t>
      </w:r>
    </w:p>
    <w:p w14:paraId="0164F47F" w14:textId="77777777" w:rsidR="00D80DA7" w:rsidRPr="00204E0E" w:rsidRDefault="00D80DA7" w:rsidP="007B14CB">
      <w:pPr>
        <w:spacing w:line="480" w:lineRule="auto"/>
        <w:ind w:left="567" w:firstLine="567"/>
        <w:rPr>
          <w:i/>
        </w:rPr>
      </w:pPr>
      <w:r w:rsidRPr="00204E0E">
        <w:rPr>
          <w:i/>
        </w:rPr>
        <w:t xml:space="preserve">Man: </w:t>
      </w:r>
      <w:r>
        <w:rPr>
          <w:i/>
        </w:rPr>
        <w:t>t</w:t>
      </w:r>
      <w:r w:rsidRPr="00204E0E">
        <w:rPr>
          <w:i/>
        </w:rPr>
        <w:t xml:space="preserve">he </w:t>
      </w:r>
      <w:r>
        <w:rPr>
          <w:i/>
        </w:rPr>
        <w:t>s</w:t>
      </w:r>
      <w:r w:rsidRPr="00204E0E">
        <w:rPr>
          <w:i/>
        </w:rPr>
        <w:t>tate should protect people from the food industry</w:t>
      </w:r>
      <w:r>
        <w:rPr>
          <w:i/>
        </w:rPr>
        <w:t>,</w:t>
      </w:r>
      <w:r w:rsidRPr="00204E0E">
        <w:rPr>
          <w:i/>
        </w:rPr>
        <w:t xml:space="preserve"> which provides products that can harm our health. </w:t>
      </w:r>
    </w:p>
    <w:p w14:paraId="190466CF" w14:textId="77777777" w:rsidR="00D80DA7" w:rsidRPr="00204E0E" w:rsidRDefault="00D80DA7" w:rsidP="007B14CB">
      <w:pPr>
        <w:spacing w:line="480" w:lineRule="auto"/>
        <w:ind w:left="567" w:firstLine="567"/>
        <w:rPr>
          <w:i/>
        </w:rPr>
      </w:pPr>
      <w:r w:rsidRPr="00204E0E">
        <w:rPr>
          <w:i/>
        </w:rPr>
        <w:t xml:space="preserve">Woman 1: I agree, </w:t>
      </w:r>
      <w:proofErr w:type="gramStart"/>
      <w:r w:rsidRPr="00204E0E">
        <w:rPr>
          <w:i/>
        </w:rPr>
        <w:t>a</w:t>
      </w:r>
      <w:r>
        <w:rPr>
          <w:i/>
        </w:rPr>
        <w:t>nd also</w:t>
      </w:r>
      <w:proofErr w:type="gramEnd"/>
      <w:r>
        <w:rPr>
          <w:i/>
        </w:rPr>
        <w:t xml:space="preserve"> the state should organis</w:t>
      </w:r>
      <w:r w:rsidRPr="00204E0E">
        <w:rPr>
          <w:i/>
        </w:rPr>
        <w:t>e initiatives to promote healthy eating.</w:t>
      </w:r>
    </w:p>
    <w:p w14:paraId="58E8CF4B" w14:textId="77777777" w:rsidR="00D80DA7" w:rsidRPr="00204E0E" w:rsidRDefault="00D80DA7" w:rsidP="007B14CB">
      <w:pPr>
        <w:spacing w:line="480" w:lineRule="auto"/>
        <w:ind w:left="567" w:firstLine="567"/>
        <w:rPr>
          <w:i/>
        </w:rPr>
      </w:pPr>
      <w:r w:rsidRPr="00204E0E">
        <w:rPr>
          <w:i/>
        </w:rPr>
        <w:t xml:space="preserve">Woman 2: </w:t>
      </w:r>
      <w:r>
        <w:rPr>
          <w:i/>
        </w:rPr>
        <w:t>s</w:t>
      </w:r>
      <w:r w:rsidRPr="00204E0E">
        <w:rPr>
          <w:i/>
        </w:rPr>
        <w:t xml:space="preserve">ome foods are expensive, like fish, so the government must ensure that these products are available at reasonable prices... </w:t>
      </w:r>
      <w:r w:rsidRPr="00204E0E">
        <w:rPr>
          <w:b/>
          <w:i/>
        </w:rPr>
        <w:t>[Citizens 1</w:t>
      </w:r>
      <w:r w:rsidRPr="00204E0E">
        <w:rPr>
          <w:b/>
          <w:i/>
          <w:vertAlign w:val="superscript"/>
        </w:rPr>
        <w:t>st</w:t>
      </w:r>
      <w:r w:rsidRPr="00204E0E">
        <w:rPr>
          <w:b/>
          <w:i/>
        </w:rPr>
        <w:t xml:space="preserve"> focus group]</w:t>
      </w:r>
      <w:r>
        <w:rPr>
          <w:b/>
          <w:i/>
        </w:rPr>
        <w:t>.</w:t>
      </w:r>
    </w:p>
    <w:p w14:paraId="76654925" w14:textId="77777777" w:rsidR="00D80DA7" w:rsidRPr="00204E0E" w:rsidRDefault="00D80DA7" w:rsidP="007B14CB">
      <w:pPr>
        <w:spacing w:line="480" w:lineRule="auto"/>
        <w:ind w:firstLine="567"/>
      </w:pPr>
    </w:p>
    <w:p w14:paraId="26B41152" w14:textId="3F9CED43" w:rsidR="00D80DA7" w:rsidRPr="00204E0E" w:rsidRDefault="00FD4D47" w:rsidP="008F1BAA">
      <w:pPr>
        <w:pStyle w:val="Heading2"/>
        <w:spacing w:before="24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4.2 </w:t>
      </w:r>
      <w:r w:rsidR="00D80DA7" w:rsidRPr="00204E0E">
        <w:rPr>
          <w:rFonts w:ascii="Times New Roman" w:hAnsi="Times New Roman" w:cs="Times New Roman"/>
          <w:b/>
          <w:color w:val="auto"/>
          <w:sz w:val="24"/>
          <w:szCs w:val="24"/>
        </w:rPr>
        <w:t xml:space="preserve">Power </w:t>
      </w:r>
      <w:r>
        <w:rPr>
          <w:rFonts w:ascii="Times New Roman" w:hAnsi="Times New Roman" w:cs="Times New Roman"/>
          <w:b/>
          <w:color w:val="auto"/>
          <w:sz w:val="24"/>
          <w:szCs w:val="24"/>
        </w:rPr>
        <w:t>a</w:t>
      </w:r>
      <w:r w:rsidR="00D80DA7" w:rsidRPr="00204E0E">
        <w:rPr>
          <w:rFonts w:ascii="Times New Roman" w:hAnsi="Times New Roman" w:cs="Times New Roman"/>
          <w:b/>
          <w:color w:val="auto"/>
          <w:sz w:val="24"/>
          <w:szCs w:val="24"/>
        </w:rPr>
        <w:t>symmetry</w:t>
      </w:r>
    </w:p>
    <w:p w14:paraId="65093A73" w14:textId="41C99517" w:rsidR="00D80DA7" w:rsidRPr="00204E0E" w:rsidRDefault="00D80DA7" w:rsidP="007B14CB">
      <w:pPr>
        <w:spacing w:after="240" w:line="480" w:lineRule="auto"/>
        <w:ind w:firstLine="567"/>
      </w:pPr>
      <w:r w:rsidRPr="00204E0E">
        <w:t xml:space="preserve">Under the second overarching theme of </w:t>
      </w:r>
      <w:r w:rsidR="00446941" w:rsidRPr="00204E0E">
        <w:t>power,</w:t>
      </w:r>
      <w:r w:rsidRPr="00204E0E">
        <w:t xml:space="preserve"> participants discussed two main areas (</w:t>
      </w:r>
      <w:r w:rsidR="00446941">
        <w:t>sub</w:t>
      </w:r>
      <w:r w:rsidRPr="00204E0E">
        <w:t>themes)</w:t>
      </w:r>
      <w:r>
        <w:t>:</w:t>
      </w:r>
      <w:r w:rsidRPr="00204E0E">
        <w:t xml:space="preserve"> (</w:t>
      </w:r>
      <w:proofErr w:type="spellStart"/>
      <w:r w:rsidRPr="00204E0E">
        <w:t>i</w:t>
      </w:r>
      <w:proofErr w:type="spellEnd"/>
      <w:r w:rsidRPr="00204E0E">
        <w:t>) current power in the food system and (ii</w:t>
      </w:r>
      <w:r w:rsidRPr="00296780">
        <w:t>) power shifts.</w:t>
      </w:r>
      <w:r w:rsidRPr="00204E0E">
        <w:t xml:space="preserve"> Example</w:t>
      </w:r>
      <w:r>
        <w:t>s</w:t>
      </w:r>
      <w:r w:rsidRPr="00204E0E">
        <w:t xml:space="preserve"> of detailed quotes to support these areas </w:t>
      </w:r>
      <w:proofErr w:type="gramStart"/>
      <w:r w:rsidRPr="00204E0E">
        <w:t>can be found</w:t>
      </w:r>
      <w:proofErr w:type="gramEnd"/>
      <w:r w:rsidRPr="00204E0E">
        <w:t xml:space="preserve"> in Table 2.</w:t>
      </w:r>
    </w:p>
    <w:p w14:paraId="2E142871" w14:textId="0005B7BC" w:rsidR="00D80DA7" w:rsidRPr="00204E0E" w:rsidRDefault="00D80DA7" w:rsidP="007B14CB">
      <w:pPr>
        <w:spacing w:after="240" w:line="480" w:lineRule="auto"/>
        <w:ind w:firstLine="567"/>
      </w:pPr>
      <w:r w:rsidRPr="00204E0E">
        <w:t xml:space="preserve">There was </w:t>
      </w:r>
      <w:r>
        <w:t xml:space="preserve">wide </w:t>
      </w:r>
      <w:r w:rsidRPr="00204E0E">
        <w:t>agreement among the civil society</w:t>
      </w:r>
      <w:r>
        <w:t>,</w:t>
      </w:r>
      <w:r w:rsidRPr="00204E0E">
        <w:t xml:space="preserve"> government </w:t>
      </w:r>
      <w:r>
        <w:t>and citizen</w:t>
      </w:r>
      <w:r w:rsidR="00FD536B">
        <w:t>s</w:t>
      </w:r>
      <w:r>
        <w:t xml:space="preserve"> participants</w:t>
      </w:r>
      <w:r w:rsidRPr="00204E0E">
        <w:t xml:space="preserve"> that the power lies in the hands of the few big players </w:t>
      </w:r>
      <w:r>
        <w:t>in</w:t>
      </w:r>
      <w:r w:rsidRPr="00204E0E">
        <w:t xml:space="preserve"> the food industry</w:t>
      </w:r>
      <w:r>
        <w:t>,</w:t>
      </w:r>
      <w:r w:rsidRPr="00204E0E">
        <w:t xml:space="preserve"> which is in line wi</w:t>
      </w:r>
      <w:r w:rsidR="003E4CC8">
        <w:t>th research in this area (</w:t>
      </w:r>
      <w:r w:rsidRPr="00204E0E">
        <w:t>Ludwig and Nestle</w:t>
      </w:r>
      <w:r w:rsidR="00532655">
        <w:t>,</w:t>
      </w:r>
      <w:r w:rsidR="00831FEB">
        <w:t xml:space="preserve"> 2008; </w:t>
      </w:r>
      <w:r w:rsidR="00831FEB" w:rsidRPr="00204E0E">
        <w:t xml:space="preserve">Carey </w:t>
      </w:r>
      <w:r w:rsidR="00831FEB" w:rsidRPr="00532655">
        <w:rPr>
          <w:i/>
        </w:rPr>
        <w:t>et al.</w:t>
      </w:r>
      <w:r w:rsidR="00831FEB">
        <w:t>,</w:t>
      </w:r>
      <w:r w:rsidR="00831FEB" w:rsidRPr="00204E0E">
        <w:t xml:space="preserve"> 2016</w:t>
      </w:r>
      <w:r w:rsidR="00831FEB">
        <w:t>;</w:t>
      </w:r>
      <w:r w:rsidRPr="00204E0E">
        <w:t xml:space="preserve"> Brooks </w:t>
      </w:r>
      <w:r w:rsidRPr="00532655">
        <w:rPr>
          <w:i/>
        </w:rPr>
        <w:t>et al.</w:t>
      </w:r>
      <w:r w:rsidR="00532655">
        <w:t xml:space="preserve">, </w:t>
      </w:r>
      <w:r w:rsidR="00831FEB">
        <w:t>2017;</w:t>
      </w:r>
      <w:r w:rsidRPr="00204E0E">
        <w:t xml:space="preserve"> </w:t>
      </w:r>
      <w:proofErr w:type="spellStart"/>
      <w:r w:rsidR="00831FEB" w:rsidRPr="00204E0E">
        <w:t>Swinburn</w:t>
      </w:r>
      <w:proofErr w:type="spellEnd"/>
      <w:r w:rsidR="00831FEB" w:rsidRPr="00204E0E">
        <w:t xml:space="preserve"> </w:t>
      </w:r>
      <w:r w:rsidR="00831FEB" w:rsidRPr="00532655">
        <w:rPr>
          <w:i/>
        </w:rPr>
        <w:t>et al.</w:t>
      </w:r>
      <w:r w:rsidR="00831FEB" w:rsidRPr="00204E0E">
        <w:t xml:space="preserve"> 2019</w:t>
      </w:r>
      <w:r w:rsidRPr="00204E0E">
        <w:t>)</w:t>
      </w:r>
      <w:r>
        <w:t>.</w:t>
      </w:r>
      <w:r w:rsidRPr="00204E0E" w:rsidDel="003277D5">
        <w:t xml:space="preserve"> </w:t>
      </w:r>
      <w:r w:rsidRPr="00204E0E">
        <w:t>For example, one citizen reported</w:t>
      </w:r>
      <w:r>
        <w:t>:</w:t>
      </w:r>
    </w:p>
    <w:p w14:paraId="566048A6" w14:textId="77777777" w:rsidR="00D80DA7" w:rsidRPr="00204E0E" w:rsidRDefault="00D80DA7" w:rsidP="007B14CB">
      <w:pPr>
        <w:spacing w:after="240" w:line="480" w:lineRule="auto"/>
        <w:ind w:left="720" w:firstLine="567"/>
        <w:rPr>
          <w:i/>
        </w:rPr>
      </w:pPr>
      <w:r>
        <w:rPr>
          <w:i/>
        </w:rPr>
        <w:t>The f</w:t>
      </w:r>
      <w:r w:rsidRPr="00204E0E">
        <w:rPr>
          <w:i/>
        </w:rPr>
        <w:t>ood industry is powerful</w:t>
      </w:r>
      <w:r>
        <w:rPr>
          <w:i/>
        </w:rPr>
        <w:t>,</w:t>
      </w:r>
      <w:r w:rsidRPr="00204E0E">
        <w:rPr>
          <w:i/>
        </w:rPr>
        <w:t xml:space="preserve"> and someone has to arbitrate </w:t>
      </w:r>
      <w:r w:rsidRPr="00204E0E">
        <w:rPr>
          <w:b/>
          <w:i/>
        </w:rPr>
        <w:t>[Citizen 8</w:t>
      </w:r>
      <w:r w:rsidRPr="00204E0E">
        <w:rPr>
          <w:b/>
          <w:i/>
          <w:vertAlign w:val="superscript"/>
        </w:rPr>
        <w:t>th</w:t>
      </w:r>
      <w:r w:rsidRPr="00204E0E">
        <w:rPr>
          <w:b/>
          <w:i/>
        </w:rPr>
        <w:t xml:space="preserve"> focus group]</w:t>
      </w:r>
      <w:r>
        <w:rPr>
          <w:b/>
          <w:i/>
        </w:rPr>
        <w:t>.</w:t>
      </w:r>
    </w:p>
    <w:p w14:paraId="46CFDABA" w14:textId="77777777" w:rsidR="00D80DA7" w:rsidRPr="00204E0E" w:rsidRDefault="00D80DA7" w:rsidP="007B14CB">
      <w:pPr>
        <w:spacing w:after="240" w:line="480" w:lineRule="auto"/>
        <w:ind w:firstLine="567"/>
      </w:pPr>
      <w:r w:rsidRPr="00204E0E">
        <w:t xml:space="preserve">It </w:t>
      </w:r>
      <w:proofErr w:type="gramStart"/>
      <w:r w:rsidRPr="00204E0E">
        <w:t>was also acknowledged</w:t>
      </w:r>
      <w:proofErr w:type="gramEnd"/>
      <w:r w:rsidRPr="00204E0E">
        <w:t xml:space="preserve"> that this power has been concentrated there because of </w:t>
      </w:r>
      <w:r>
        <w:t xml:space="preserve">a </w:t>
      </w:r>
      <w:r w:rsidRPr="00204E0E">
        <w:t>lack of governance</w:t>
      </w:r>
      <w:r>
        <w:t>,</w:t>
      </w:r>
      <w:r w:rsidRPr="00204E0E">
        <w:t xml:space="preserve"> which has also been identified as a big challenge around the world by the World Economic Forum (2017).</w:t>
      </w:r>
    </w:p>
    <w:p w14:paraId="2F06E3EB" w14:textId="3D92283B" w:rsidR="00D80DA7" w:rsidRPr="00204E0E" w:rsidRDefault="00D80DA7" w:rsidP="007B14CB">
      <w:pPr>
        <w:spacing w:line="480" w:lineRule="auto"/>
        <w:ind w:left="720" w:firstLine="567"/>
        <w:rPr>
          <w:b/>
          <w:i/>
        </w:rPr>
      </w:pPr>
      <w:r w:rsidRPr="00204E0E">
        <w:rPr>
          <w:i/>
        </w:rPr>
        <w:lastRenderedPageBreak/>
        <w:t xml:space="preserve">The government cannot effectively control the food </w:t>
      </w:r>
      <w:proofErr w:type="gramStart"/>
      <w:r w:rsidRPr="00204E0E">
        <w:rPr>
          <w:i/>
        </w:rPr>
        <w:t>industry</w:t>
      </w:r>
      <w:proofErr w:type="gramEnd"/>
      <w:r w:rsidRPr="00204E0E">
        <w:rPr>
          <w:i/>
        </w:rPr>
        <w:t xml:space="preserve"> as there isn’t the right legislative framework </w:t>
      </w:r>
      <w:r w:rsidRPr="00204E0E">
        <w:rPr>
          <w:b/>
          <w:i/>
        </w:rPr>
        <w:t xml:space="preserve">[Member of </w:t>
      </w:r>
      <w:r w:rsidR="003132EB">
        <w:rPr>
          <w:b/>
          <w:i/>
        </w:rPr>
        <w:t>a scientific a</w:t>
      </w:r>
      <w:r w:rsidRPr="00204E0E">
        <w:rPr>
          <w:b/>
          <w:i/>
        </w:rPr>
        <w:t>ssociation]</w:t>
      </w:r>
      <w:r>
        <w:rPr>
          <w:b/>
          <w:i/>
        </w:rPr>
        <w:t>.</w:t>
      </w:r>
    </w:p>
    <w:p w14:paraId="366279C0" w14:textId="77777777" w:rsidR="00D80DA7" w:rsidRPr="00204E0E" w:rsidRDefault="00D80DA7" w:rsidP="007B14CB">
      <w:pPr>
        <w:spacing w:line="480" w:lineRule="auto"/>
        <w:ind w:left="720" w:firstLine="567"/>
        <w:rPr>
          <w:i/>
        </w:rPr>
      </w:pPr>
    </w:p>
    <w:p w14:paraId="7AE58A3F" w14:textId="77777777" w:rsidR="00D80DA7" w:rsidRPr="00204E0E" w:rsidRDefault="00D80DA7" w:rsidP="007B14CB">
      <w:pPr>
        <w:spacing w:line="480" w:lineRule="auto"/>
        <w:ind w:left="720" w:firstLine="567"/>
        <w:rPr>
          <w:i/>
        </w:rPr>
      </w:pPr>
      <w:r w:rsidRPr="00204E0E">
        <w:rPr>
          <w:i/>
        </w:rPr>
        <w:t xml:space="preserve">The main weakness of the </w:t>
      </w:r>
      <w:r>
        <w:rPr>
          <w:i/>
        </w:rPr>
        <w:t>s</w:t>
      </w:r>
      <w:r w:rsidRPr="00204E0E">
        <w:rPr>
          <w:i/>
        </w:rPr>
        <w:t xml:space="preserve">tate is the inspecting mechanisms. The market </w:t>
      </w:r>
      <w:proofErr w:type="gramStart"/>
      <w:r w:rsidRPr="00204E0E">
        <w:rPr>
          <w:i/>
        </w:rPr>
        <w:t>is not controlled</w:t>
      </w:r>
      <w:proofErr w:type="gramEnd"/>
      <w:r w:rsidRPr="00204E0E">
        <w:rPr>
          <w:i/>
        </w:rPr>
        <w:t xml:space="preserve"> at all… </w:t>
      </w:r>
      <w:r w:rsidRPr="00204E0E">
        <w:rPr>
          <w:b/>
          <w:i/>
        </w:rPr>
        <w:t xml:space="preserve">[Member of </w:t>
      </w:r>
      <w:r>
        <w:rPr>
          <w:b/>
          <w:i/>
        </w:rPr>
        <w:t xml:space="preserve">a </w:t>
      </w:r>
      <w:proofErr w:type="gramStart"/>
      <w:r w:rsidRPr="00204E0E">
        <w:rPr>
          <w:b/>
          <w:i/>
        </w:rPr>
        <w:t>food production trade association</w:t>
      </w:r>
      <w:proofErr w:type="gramEnd"/>
      <w:r w:rsidRPr="00204E0E">
        <w:rPr>
          <w:b/>
          <w:i/>
        </w:rPr>
        <w:t>]</w:t>
      </w:r>
      <w:r>
        <w:rPr>
          <w:b/>
          <w:i/>
        </w:rPr>
        <w:t>.</w:t>
      </w:r>
    </w:p>
    <w:p w14:paraId="75356A18" w14:textId="77777777" w:rsidR="003A3B7D" w:rsidRDefault="003A3B7D" w:rsidP="007B14CB">
      <w:pPr>
        <w:spacing w:after="240" w:line="480" w:lineRule="auto"/>
        <w:ind w:firstLine="567"/>
      </w:pPr>
    </w:p>
    <w:p w14:paraId="307D9D86" w14:textId="23259E44" w:rsidR="00D80DA7" w:rsidRPr="00204E0E" w:rsidRDefault="00D80DA7" w:rsidP="007B14CB">
      <w:pPr>
        <w:spacing w:after="240" w:line="480" w:lineRule="auto"/>
        <w:ind w:firstLine="567"/>
      </w:pPr>
      <w:r w:rsidRPr="00204E0E">
        <w:t xml:space="preserve">When participants </w:t>
      </w:r>
      <w:proofErr w:type="gramStart"/>
      <w:r w:rsidRPr="00204E0E">
        <w:t>were asked</w:t>
      </w:r>
      <w:proofErr w:type="gramEnd"/>
      <w:r w:rsidRPr="00204E0E">
        <w:t xml:space="preserve"> if they prefer</w:t>
      </w:r>
      <w:r>
        <w:t>red</w:t>
      </w:r>
      <w:r w:rsidRPr="00204E0E">
        <w:t xml:space="preserve"> to leave policy development to market forces they reported that this could be “catastrophic for citizens” and that the government should take the lead.  They</w:t>
      </w:r>
      <w:r>
        <w:t xml:space="preserve"> </w:t>
      </w:r>
      <w:proofErr w:type="gramStart"/>
      <w:r>
        <w:t>did</w:t>
      </w:r>
      <w:r w:rsidRPr="00204E0E">
        <w:t>, however, propose</w:t>
      </w:r>
      <w:proofErr w:type="gramEnd"/>
      <w:r w:rsidRPr="00204E0E">
        <w:t xml:space="preserve"> adopting a private sector “think of the state as an enterprise” approach in terms of managing and organising policy development and implementation. Smaller food producers’ representatives also supported the government and civil society perceptions about the power of the big food corporations and retailers.</w:t>
      </w:r>
    </w:p>
    <w:p w14:paraId="5E10DE91" w14:textId="77777777" w:rsidR="00D80DA7" w:rsidRPr="00204E0E" w:rsidRDefault="00D80DA7" w:rsidP="007B14CB">
      <w:pPr>
        <w:pStyle w:val="ListParagraph"/>
        <w:spacing w:after="240" w:line="480" w:lineRule="auto"/>
        <w:ind w:firstLine="567"/>
        <w:contextualSpacing w:val="0"/>
        <w:rPr>
          <w:rFonts w:ascii="Times New Roman" w:hAnsi="Times New Roman" w:cs="Times New Roman"/>
          <w:b/>
          <w:i/>
          <w:sz w:val="24"/>
          <w:szCs w:val="24"/>
        </w:rPr>
      </w:pPr>
      <w:r w:rsidRPr="00204E0E">
        <w:rPr>
          <w:rFonts w:ascii="Times New Roman" w:hAnsi="Times New Roman" w:cs="Times New Roman"/>
          <w:i/>
          <w:sz w:val="24"/>
          <w:szCs w:val="24"/>
        </w:rPr>
        <w:t xml:space="preserve">No, no private involvement because their interests are not pure, so we must not allow them to take the lead. I understand that when funding is not sufficient interventions often get private sponsors such as food companies [the interviewee gave examples here off the record] but it is better if they </w:t>
      </w:r>
      <w:proofErr w:type="gramStart"/>
      <w:r w:rsidRPr="00204E0E">
        <w:rPr>
          <w:rFonts w:ascii="Times New Roman" w:hAnsi="Times New Roman" w:cs="Times New Roman"/>
          <w:i/>
          <w:sz w:val="24"/>
          <w:szCs w:val="24"/>
        </w:rPr>
        <w:t>don’t</w:t>
      </w:r>
      <w:proofErr w:type="gramEnd"/>
      <w:r w:rsidRPr="00204E0E">
        <w:rPr>
          <w:rFonts w:ascii="Times New Roman" w:hAnsi="Times New Roman" w:cs="Times New Roman"/>
          <w:i/>
          <w:sz w:val="24"/>
          <w:szCs w:val="24"/>
        </w:rPr>
        <w:t xml:space="preserve"> take the lead because they only care for their own financial interests</w:t>
      </w:r>
      <w:r w:rsidRPr="00204E0E">
        <w:rPr>
          <w:rFonts w:ascii="Times New Roman" w:hAnsi="Times New Roman" w:cs="Times New Roman"/>
          <w:b/>
          <w:i/>
          <w:sz w:val="24"/>
          <w:szCs w:val="24"/>
        </w:rPr>
        <w:t xml:space="preserve"> [NGO manager]</w:t>
      </w:r>
      <w:r>
        <w:rPr>
          <w:rFonts w:ascii="Times New Roman" w:hAnsi="Times New Roman" w:cs="Times New Roman"/>
          <w:b/>
          <w:i/>
          <w:sz w:val="24"/>
          <w:szCs w:val="24"/>
        </w:rPr>
        <w:t>.</w:t>
      </w:r>
    </w:p>
    <w:p w14:paraId="0B8757B6" w14:textId="77777777" w:rsidR="00D80DA7" w:rsidRPr="00204E0E" w:rsidRDefault="00D80DA7" w:rsidP="007B14CB">
      <w:pPr>
        <w:spacing w:line="480" w:lineRule="auto"/>
        <w:ind w:firstLine="567"/>
      </w:pPr>
      <w:r w:rsidRPr="00204E0E">
        <w:t xml:space="preserve">All civil society </w:t>
      </w:r>
      <w:r>
        <w:t xml:space="preserve">participants </w:t>
      </w:r>
      <w:r w:rsidRPr="00204E0E">
        <w:t xml:space="preserve">(state organisations and citizens) agreed that power is </w:t>
      </w:r>
      <w:r>
        <w:t xml:space="preserve">currently </w:t>
      </w:r>
      <w:r w:rsidRPr="00204E0E">
        <w:t>weighted towards the private food sector but they ask</w:t>
      </w:r>
      <w:r>
        <w:t>ed</w:t>
      </w:r>
      <w:r w:rsidRPr="00204E0E">
        <w:t xml:space="preserve"> </w:t>
      </w:r>
      <w:proofErr w:type="gramStart"/>
      <w:r w:rsidRPr="00204E0E">
        <w:t>for the</w:t>
      </w:r>
      <w:proofErr w:type="gramEnd"/>
      <w:r w:rsidRPr="00204E0E">
        <w:t xml:space="preserve"> government to reclaim this power and</w:t>
      </w:r>
      <w:r>
        <w:t>,</w:t>
      </w:r>
      <w:r w:rsidRPr="00204E0E">
        <w:t xml:space="preserve"> with appropriate reforms</w:t>
      </w:r>
      <w:r>
        <w:t>,</w:t>
      </w:r>
      <w:r w:rsidRPr="00204E0E">
        <w:t xml:space="preserve"> take the lead </w:t>
      </w:r>
      <w:r>
        <w:t>in</w:t>
      </w:r>
      <w:r w:rsidRPr="00204E0E">
        <w:t xml:space="preserve"> effective policy development that enhances citizen wellbeing.</w:t>
      </w:r>
    </w:p>
    <w:p w14:paraId="623CA5AD" w14:textId="10965C53" w:rsidR="00D80DA7" w:rsidRPr="00204E0E" w:rsidRDefault="00D80DA7" w:rsidP="007B14CB">
      <w:pPr>
        <w:pStyle w:val="ListParagraph"/>
        <w:spacing w:after="0" w:line="480" w:lineRule="auto"/>
        <w:ind w:firstLine="567"/>
        <w:contextualSpacing w:val="0"/>
        <w:rPr>
          <w:rFonts w:ascii="Times New Roman" w:hAnsi="Times New Roman" w:cs="Times New Roman"/>
          <w:i/>
          <w:sz w:val="24"/>
          <w:szCs w:val="24"/>
        </w:rPr>
      </w:pPr>
      <w:r w:rsidRPr="00204E0E">
        <w:rPr>
          <w:rFonts w:ascii="Times New Roman" w:hAnsi="Times New Roman" w:cs="Times New Roman"/>
          <w:i/>
          <w:sz w:val="24"/>
          <w:szCs w:val="24"/>
        </w:rPr>
        <w:t xml:space="preserve">During the economic </w:t>
      </w:r>
      <w:proofErr w:type="gramStart"/>
      <w:r w:rsidRPr="00204E0E">
        <w:rPr>
          <w:rFonts w:ascii="Times New Roman" w:hAnsi="Times New Roman" w:cs="Times New Roman"/>
          <w:i/>
          <w:sz w:val="24"/>
          <w:szCs w:val="24"/>
        </w:rPr>
        <w:t>crisis</w:t>
      </w:r>
      <w:proofErr w:type="gramEnd"/>
      <w:r w:rsidRPr="00204E0E">
        <w:rPr>
          <w:rFonts w:ascii="Times New Roman" w:hAnsi="Times New Roman" w:cs="Times New Roman"/>
          <w:i/>
          <w:sz w:val="24"/>
          <w:szCs w:val="24"/>
        </w:rPr>
        <w:t xml:space="preserve"> there </w:t>
      </w:r>
      <w:r>
        <w:rPr>
          <w:rFonts w:ascii="Times New Roman" w:hAnsi="Times New Roman" w:cs="Times New Roman"/>
          <w:i/>
          <w:sz w:val="24"/>
          <w:szCs w:val="24"/>
        </w:rPr>
        <w:t>has been</w:t>
      </w:r>
      <w:r w:rsidRPr="00204E0E">
        <w:rPr>
          <w:rFonts w:ascii="Times New Roman" w:hAnsi="Times New Roman" w:cs="Times New Roman"/>
          <w:i/>
          <w:sz w:val="24"/>
          <w:szCs w:val="24"/>
        </w:rPr>
        <w:t xml:space="preserve"> an increase of unhealthy foodstuffs consumption and the food industry is going to take advantage of this situation. </w:t>
      </w:r>
      <w:proofErr w:type="gramStart"/>
      <w:r w:rsidRPr="00204E0E">
        <w:rPr>
          <w:rFonts w:ascii="Times New Roman" w:hAnsi="Times New Roman" w:cs="Times New Roman"/>
          <w:i/>
          <w:sz w:val="24"/>
          <w:szCs w:val="24"/>
        </w:rPr>
        <w:t>So</w:t>
      </w:r>
      <w:proofErr w:type="gramEnd"/>
      <w:r w:rsidRPr="00204E0E">
        <w:rPr>
          <w:rFonts w:ascii="Times New Roman" w:hAnsi="Times New Roman" w:cs="Times New Roman"/>
          <w:i/>
          <w:sz w:val="24"/>
          <w:szCs w:val="24"/>
        </w:rPr>
        <w:t xml:space="preserve">, the </w:t>
      </w:r>
      <w:r>
        <w:rPr>
          <w:rFonts w:ascii="Times New Roman" w:hAnsi="Times New Roman" w:cs="Times New Roman"/>
          <w:i/>
          <w:sz w:val="24"/>
          <w:szCs w:val="24"/>
        </w:rPr>
        <w:t>s</w:t>
      </w:r>
      <w:r w:rsidRPr="00204E0E">
        <w:rPr>
          <w:rFonts w:ascii="Times New Roman" w:hAnsi="Times New Roman" w:cs="Times New Roman"/>
          <w:i/>
          <w:sz w:val="24"/>
          <w:szCs w:val="24"/>
        </w:rPr>
        <w:t xml:space="preserve">tate must intervene to discourage this trend </w:t>
      </w:r>
      <w:r w:rsidRPr="00204E0E">
        <w:rPr>
          <w:rFonts w:ascii="Times New Roman" w:hAnsi="Times New Roman" w:cs="Times New Roman"/>
          <w:b/>
          <w:i/>
          <w:sz w:val="24"/>
          <w:szCs w:val="24"/>
        </w:rPr>
        <w:t xml:space="preserve">[Member of </w:t>
      </w:r>
      <w:r w:rsidR="003132EB">
        <w:rPr>
          <w:rFonts w:ascii="Times New Roman" w:hAnsi="Times New Roman" w:cs="Times New Roman"/>
          <w:b/>
          <w:i/>
          <w:sz w:val="24"/>
          <w:szCs w:val="24"/>
        </w:rPr>
        <w:t>a s</w:t>
      </w:r>
      <w:r w:rsidRPr="00204E0E">
        <w:rPr>
          <w:rFonts w:ascii="Times New Roman" w:hAnsi="Times New Roman" w:cs="Times New Roman"/>
          <w:b/>
          <w:i/>
          <w:sz w:val="24"/>
          <w:szCs w:val="24"/>
        </w:rPr>
        <w:t xml:space="preserve">cientific </w:t>
      </w:r>
      <w:r w:rsidR="003132EB">
        <w:rPr>
          <w:rFonts w:ascii="Times New Roman" w:hAnsi="Times New Roman" w:cs="Times New Roman"/>
          <w:b/>
          <w:i/>
          <w:sz w:val="24"/>
          <w:szCs w:val="24"/>
        </w:rPr>
        <w:t>a</w:t>
      </w:r>
      <w:r w:rsidRPr="00204E0E">
        <w:rPr>
          <w:rFonts w:ascii="Times New Roman" w:hAnsi="Times New Roman" w:cs="Times New Roman"/>
          <w:b/>
          <w:i/>
          <w:sz w:val="24"/>
          <w:szCs w:val="24"/>
        </w:rPr>
        <w:t>ssociation]</w:t>
      </w:r>
      <w:r>
        <w:rPr>
          <w:rFonts w:ascii="Times New Roman" w:hAnsi="Times New Roman" w:cs="Times New Roman"/>
          <w:b/>
          <w:i/>
          <w:sz w:val="24"/>
          <w:szCs w:val="24"/>
        </w:rPr>
        <w:t>.</w:t>
      </w:r>
    </w:p>
    <w:p w14:paraId="4BACBF67" w14:textId="4FF83F71" w:rsidR="00D80DA7" w:rsidRPr="00204E0E" w:rsidRDefault="00D80DA7" w:rsidP="007B14CB">
      <w:pPr>
        <w:spacing w:line="480" w:lineRule="auto"/>
        <w:ind w:firstLine="567"/>
      </w:pPr>
      <w:r w:rsidRPr="00204E0E">
        <w:lastRenderedPageBreak/>
        <w:t xml:space="preserve">Food industry representatives did not provide a direct answer to the question about food corporations’ power and its impact on shaping eating trends. The answers were related to the free will of the citizen, “we listen to the market” </w:t>
      </w:r>
      <w:r w:rsidRPr="00204E0E">
        <w:rPr>
          <w:b/>
          <w:i/>
        </w:rPr>
        <w:t xml:space="preserve">[Food manufacturer], </w:t>
      </w:r>
      <w:r w:rsidRPr="00204E0E">
        <w:t xml:space="preserve">and </w:t>
      </w:r>
      <w:r>
        <w:t>food industry</w:t>
      </w:r>
      <w:r w:rsidRPr="00204E0E">
        <w:t xml:space="preserve"> openness to support</w:t>
      </w:r>
      <w:r>
        <w:t>ing</w:t>
      </w:r>
      <w:r w:rsidRPr="00204E0E">
        <w:t xml:space="preserve"> and design</w:t>
      </w:r>
      <w:r>
        <w:t>ing</w:t>
      </w:r>
      <w:r w:rsidRPr="00204E0E">
        <w:t xml:space="preserve"> initiatives to promote healthy eating as part of their corporate social responsibility</w:t>
      </w:r>
      <w:r>
        <w:t>,</w:t>
      </w:r>
      <w:r w:rsidRPr="00204E0E">
        <w:t xml:space="preserve"> which has been repeatedly accused of being just a marketing exercise (Fleming and Jones</w:t>
      </w:r>
      <w:r w:rsidR="00E14C23">
        <w:t>,</w:t>
      </w:r>
      <w:r w:rsidRPr="00204E0E">
        <w:t xml:space="preserve"> 2013). </w:t>
      </w:r>
    </w:p>
    <w:p w14:paraId="3D37BF4A" w14:textId="77777777" w:rsidR="00D80DA7" w:rsidRPr="00204E0E" w:rsidRDefault="00D80DA7" w:rsidP="007B14CB">
      <w:pPr>
        <w:spacing w:line="480" w:lineRule="auto"/>
        <w:ind w:left="720" w:firstLine="567"/>
        <w:rPr>
          <w:b/>
          <w:i/>
          <w:lang w:eastAsia="en-US"/>
        </w:rPr>
      </w:pPr>
      <w:r w:rsidRPr="00204E0E">
        <w:rPr>
          <w:i/>
          <w:lang w:eastAsia="en-US"/>
        </w:rPr>
        <w:t xml:space="preserve">We have developed a programme for children 5-12 years of age in schools </w:t>
      </w:r>
      <w:r>
        <w:rPr>
          <w:i/>
          <w:lang w:eastAsia="en-US"/>
        </w:rPr>
        <w:t>in</w:t>
      </w:r>
      <w:r w:rsidRPr="00204E0E">
        <w:rPr>
          <w:i/>
          <w:lang w:eastAsia="en-US"/>
        </w:rPr>
        <w:t xml:space="preserve"> </w:t>
      </w:r>
      <w:r>
        <w:rPr>
          <w:i/>
          <w:lang w:eastAsia="en-US"/>
        </w:rPr>
        <w:t>the seven</w:t>
      </w:r>
      <w:r w:rsidRPr="00204E0E">
        <w:rPr>
          <w:i/>
          <w:lang w:eastAsia="en-US"/>
        </w:rPr>
        <w:t xml:space="preserve"> big cities in Greece in order to promote healthy eating habits. It contains educational material for 32 educational hours for children, teachers and parents </w:t>
      </w:r>
      <w:r w:rsidRPr="00204E0E">
        <w:rPr>
          <w:b/>
          <w:i/>
          <w:lang w:eastAsia="en-US"/>
        </w:rPr>
        <w:t>[Food manufacturer]</w:t>
      </w:r>
      <w:r>
        <w:rPr>
          <w:b/>
          <w:i/>
          <w:lang w:eastAsia="en-US"/>
        </w:rPr>
        <w:t>.</w:t>
      </w:r>
    </w:p>
    <w:p w14:paraId="1EB250CD" w14:textId="77777777" w:rsidR="00D80DA7" w:rsidRPr="00204E0E" w:rsidRDefault="00D80DA7" w:rsidP="007B14CB">
      <w:pPr>
        <w:spacing w:line="480" w:lineRule="auto"/>
        <w:ind w:firstLine="567"/>
      </w:pPr>
    </w:p>
    <w:p w14:paraId="39D296EC" w14:textId="34DCC59D" w:rsidR="00D80DA7" w:rsidRPr="00204E0E" w:rsidRDefault="00D80DA7" w:rsidP="007B14CB">
      <w:pPr>
        <w:spacing w:line="480" w:lineRule="auto"/>
        <w:ind w:firstLine="567"/>
      </w:pPr>
      <w:r w:rsidRPr="00204E0E">
        <w:t xml:space="preserve">Participants representing the food supply chain agreed that they </w:t>
      </w:r>
      <w:r>
        <w:t>were</w:t>
      </w:r>
      <w:r w:rsidRPr="00204E0E">
        <w:t xml:space="preserve"> ahead of the government</w:t>
      </w:r>
      <w:r>
        <w:t>:</w:t>
      </w:r>
      <w:r w:rsidRPr="00204E0E">
        <w:t xml:space="preserve"> “we are one step ahead of the government because our antennas are more sensitive towards the market messages” </w:t>
      </w:r>
      <w:r w:rsidRPr="00204E0E">
        <w:rPr>
          <w:b/>
          <w:i/>
        </w:rPr>
        <w:t xml:space="preserve">[Member of </w:t>
      </w:r>
      <w:r w:rsidR="00260617">
        <w:rPr>
          <w:b/>
          <w:i/>
        </w:rPr>
        <w:t xml:space="preserve">a </w:t>
      </w:r>
      <w:proofErr w:type="gramStart"/>
      <w:r w:rsidRPr="00204E0E">
        <w:rPr>
          <w:b/>
          <w:i/>
        </w:rPr>
        <w:t>food production trade association</w:t>
      </w:r>
      <w:proofErr w:type="gramEnd"/>
      <w:r w:rsidRPr="00204E0E">
        <w:rPr>
          <w:b/>
          <w:i/>
        </w:rPr>
        <w:t>]</w:t>
      </w:r>
      <w:r>
        <w:rPr>
          <w:b/>
          <w:i/>
        </w:rPr>
        <w:t xml:space="preserve">. </w:t>
      </w:r>
      <w:r w:rsidRPr="00902000">
        <w:t xml:space="preserve">They also </w:t>
      </w:r>
      <w:r>
        <w:t>reported</w:t>
      </w:r>
      <w:r w:rsidRPr="00902000">
        <w:t xml:space="preserve"> that they did whatever they could to support NGOs and the government</w:t>
      </w:r>
      <w:r w:rsidRPr="00204E0E">
        <w:t xml:space="preserve"> </w:t>
      </w:r>
      <w:r>
        <w:t>in promoting</w:t>
      </w:r>
      <w:r w:rsidRPr="00204E0E">
        <w:t xml:space="preserve"> healthier eating habits as part of their corporate social responsibility. </w:t>
      </w:r>
      <w:r>
        <w:t>For example:</w:t>
      </w:r>
      <w:r w:rsidRPr="00204E0E">
        <w:t xml:space="preserve"> </w:t>
      </w:r>
    </w:p>
    <w:p w14:paraId="5EF4BC64" w14:textId="77777777" w:rsidR="00D80DA7" w:rsidRPr="00204E0E" w:rsidRDefault="00D80DA7" w:rsidP="007B14CB">
      <w:pPr>
        <w:spacing w:line="480" w:lineRule="auto"/>
        <w:ind w:left="720" w:firstLine="567"/>
        <w:rPr>
          <w:b/>
          <w:i/>
          <w:lang w:eastAsia="en-US"/>
        </w:rPr>
      </w:pPr>
      <w:r w:rsidRPr="00204E0E">
        <w:rPr>
          <w:i/>
          <w:lang w:eastAsia="en-US"/>
        </w:rPr>
        <w:t xml:space="preserve">As regards the nutritional aspects of our initiatives, we cooperate with </w:t>
      </w:r>
      <w:r>
        <w:rPr>
          <w:i/>
          <w:lang w:eastAsia="en-US"/>
        </w:rPr>
        <w:t>u</w:t>
      </w:r>
      <w:r w:rsidRPr="00204E0E">
        <w:rPr>
          <w:i/>
          <w:lang w:eastAsia="en-US"/>
        </w:rPr>
        <w:t xml:space="preserve">niversities and nutritionists. </w:t>
      </w:r>
      <w:proofErr w:type="gramStart"/>
      <w:r w:rsidRPr="00204E0E">
        <w:rPr>
          <w:i/>
          <w:lang w:eastAsia="en-US"/>
        </w:rPr>
        <w:t>Also</w:t>
      </w:r>
      <w:proofErr w:type="gramEnd"/>
      <w:r w:rsidRPr="00204E0E">
        <w:rPr>
          <w:i/>
          <w:lang w:eastAsia="en-US"/>
        </w:rPr>
        <w:t>, non-profit o</w:t>
      </w:r>
      <w:r>
        <w:rPr>
          <w:i/>
          <w:lang w:eastAsia="en-US"/>
        </w:rPr>
        <w:t>rganis</w:t>
      </w:r>
      <w:r w:rsidRPr="00204E0E">
        <w:rPr>
          <w:i/>
          <w:lang w:eastAsia="en-US"/>
        </w:rPr>
        <w:t xml:space="preserve">ations and the Ministry of Health have approached us in order to have us support their initiatives for healthy eating promotion and we support them because our mission is to support these actions </w:t>
      </w:r>
      <w:r w:rsidRPr="00204E0E">
        <w:rPr>
          <w:b/>
          <w:i/>
          <w:lang w:eastAsia="en-US"/>
        </w:rPr>
        <w:t>[Manager of a big supermarket]</w:t>
      </w:r>
      <w:r>
        <w:rPr>
          <w:b/>
          <w:i/>
          <w:lang w:eastAsia="en-US"/>
        </w:rPr>
        <w:t>.</w:t>
      </w:r>
    </w:p>
    <w:p w14:paraId="6DEC2E4E" w14:textId="77777777" w:rsidR="00D80DA7" w:rsidRPr="00204E0E" w:rsidRDefault="00D80DA7" w:rsidP="007B14CB">
      <w:pPr>
        <w:spacing w:line="480" w:lineRule="auto"/>
        <w:ind w:firstLine="567"/>
      </w:pPr>
      <w:r w:rsidRPr="00204E0E">
        <w:t xml:space="preserve">The unclear position of the food industry </w:t>
      </w:r>
      <w:proofErr w:type="gramStart"/>
      <w:r w:rsidRPr="00204E0E">
        <w:t>was raised</w:t>
      </w:r>
      <w:proofErr w:type="gramEnd"/>
      <w:r w:rsidRPr="00204E0E">
        <w:t xml:space="preserve"> by a civil servant who collaborates with the food industry as part of his role.</w:t>
      </w:r>
    </w:p>
    <w:p w14:paraId="18B94858" w14:textId="77777777" w:rsidR="00D80DA7" w:rsidRPr="00204E0E" w:rsidRDefault="00D80DA7" w:rsidP="007B14CB">
      <w:pPr>
        <w:spacing w:line="480" w:lineRule="auto"/>
        <w:ind w:left="720" w:firstLine="567"/>
        <w:rPr>
          <w:i/>
        </w:rPr>
      </w:pPr>
      <w:r w:rsidRPr="00204E0E">
        <w:rPr>
          <w:i/>
        </w:rPr>
        <w:t xml:space="preserve">[The food industry] is good only in words but when they have to take </w:t>
      </w:r>
      <w:proofErr w:type="gramStart"/>
      <w:r w:rsidRPr="00204E0E">
        <w:rPr>
          <w:i/>
        </w:rPr>
        <w:t>action</w:t>
      </w:r>
      <w:proofErr w:type="gramEnd"/>
      <w:r w:rsidRPr="00204E0E">
        <w:rPr>
          <w:i/>
        </w:rPr>
        <w:t xml:space="preserve"> they do not have a clear position </w:t>
      </w:r>
      <w:r w:rsidRPr="00204E0E">
        <w:rPr>
          <w:b/>
          <w:i/>
        </w:rPr>
        <w:t>[Ministry of Agriculture employee]</w:t>
      </w:r>
      <w:r>
        <w:rPr>
          <w:b/>
          <w:i/>
        </w:rPr>
        <w:t>.</w:t>
      </w:r>
    </w:p>
    <w:p w14:paraId="171921ED" w14:textId="77777777" w:rsidR="00D80DA7" w:rsidRPr="00204E0E" w:rsidRDefault="00D80DA7" w:rsidP="007B14CB">
      <w:pPr>
        <w:spacing w:line="480" w:lineRule="auto"/>
        <w:ind w:left="720" w:firstLine="567"/>
        <w:rPr>
          <w:i/>
        </w:rPr>
      </w:pPr>
    </w:p>
    <w:p w14:paraId="3A373F4A" w14:textId="77777777" w:rsidR="00D80DA7" w:rsidRPr="00204E0E" w:rsidRDefault="00D80DA7" w:rsidP="007B14CB">
      <w:pPr>
        <w:spacing w:line="480" w:lineRule="auto"/>
        <w:ind w:firstLine="567"/>
      </w:pPr>
      <w:r w:rsidRPr="00204E0E">
        <w:t xml:space="preserve">More example quotes to support the different themes discussed above </w:t>
      </w:r>
      <w:proofErr w:type="gramStart"/>
      <w:r w:rsidRPr="00204E0E">
        <w:t>can be found</w:t>
      </w:r>
      <w:proofErr w:type="gramEnd"/>
      <w:r w:rsidRPr="00204E0E">
        <w:t xml:space="preserve"> in Table 2.</w:t>
      </w:r>
    </w:p>
    <w:p w14:paraId="7483CA94" w14:textId="77777777" w:rsidR="00D80DA7" w:rsidRPr="00204E0E" w:rsidRDefault="00D80DA7" w:rsidP="007B14CB">
      <w:pPr>
        <w:spacing w:line="480" w:lineRule="auto"/>
        <w:ind w:firstLine="567"/>
      </w:pPr>
    </w:p>
    <w:p w14:paraId="7EFF81A7" w14:textId="77777777" w:rsidR="00D80DA7" w:rsidRPr="00204E0E" w:rsidRDefault="00D80DA7" w:rsidP="007B14CB">
      <w:pPr>
        <w:spacing w:line="480" w:lineRule="auto"/>
        <w:jc w:val="center"/>
        <w:rPr>
          <w:b/>
          <w:sz w:val="28"/>
        </w:rPr>
      </w:pPr>
      <w:r w:rsidRPr="00204E0E">
        <w:rPr>
          <w:b/>
          <w:sz w:val="28"/>
        </w:rPr>
        <w:t>[Insert Table 2 about here]</w:t>
      </w:r>
    </w:p>
    <w:p w14:paraId="2B1DE778" w14:textId="77777777" w:rsidR="00D80DA7" w:rsidRPr="00204E0E" w:rsidRDefault="00D80DA7" w:rsidP="007B14CB">
      <w:pPr>
        <w:spacing w:line="480" w:lineRule="auto"/>
        <w:ind w:firstLine="567"/>
        <w:rPr>
          <w:b/>
          <w:sz w:val="28"/>
        </w:rPr>
      </w:pPr>
    </w:p>
    <w:p w14:paraId="3545AD8D" w14:textId="6150C39E" w:rsidR="00D80DA7" w:rsidRPr="00204E0E" w:rsidRDefault="00D80DA7" w:rsidP="00DB4267">
      <w:pPr>
        <w:pStyle w:val="Heading1"/>
        <w:numPr>
          <w:ilvl w:val="0"/>
          <w:numId w:val="17"/>
        </w:numPr>
        <w:spacing w:line="480" w:lineRule="auto"/>
        <w:rPr>
          <w:rFonts w:ascii="Times New Roman" w:hAnsi="Times New Roman" w:cs="Times New Roman"/>
          <w:b/>
          <w:color w:val="auto"/>
          <w:sz w:val="28"/>
          <w:szCs w:val="24"/>
        </w:rPr>
      </w:pPr>
      <w:r w:rsidRPr="00204E0E">
        <w:rPr>
          <w:rFonts w:ascii="Times New Roman" w:hAnsi="Times New Roman" w:cs="Times New Roman"/>
          <w:b/>
          <w:color w:val="auto"/>
          <w:sz w:val="28"/>
          <w:szCs w:val="24"/>
        </w:rPr>
        <w:t>DISCUSSION</w:t>
      </w:r>
    </w:p>
    <w:p w14:paraId="4D1FD496" w14:textId="01BFA58A" w:rsidR="00D80DA7" w:rsidRPr="00204E0E" w:rsidRDefault="00D80DA7" w:rsidP="007B14CB">
      <w:pPr>
        <w:spacing w:after="240" w:line="480" w:lineRule="auto"/>
        <w:ind w:firstLine="567"/>
      </w:pPr>
      <w:r w:rsidRPr="00204E0E">
        <w:t xml:space="preserve">Three overarching areas emerged as we interpreted and shared meanings </w:t>
      </w:r>
      <w:r>
        <w:t xml:space="preserve">arising </w:t>
      </w:r>
      <w:r w:rsidRPr="00204E0E">
        <w:t>from the data to draw conclusions that would aid more effective nutrition policy development and implementation. First</w:t>
      </w:r>
      <w:r>
        <w:t>ly</w:t>
      </w:r>
      <w:r w:rsidRPr="00204E0E">
        <w:t xml:space="preserve">, collaboration </w:t>
      </w:r>
      <w:proofErr w:type="gramStart"/>
      <w:r w:rsidRPr="00204E0E">
        <w:t>is being impeded</w:t>
      </w:r>
      <w:proofErr w:type="gramEnd"/>
      <w:r w:rsidRPr="00204E0E">
        <w:t xml:space="preserve"> by</w:t>
      </w:r>
      <w:r w:rsidR="000A22B8">
        <w:t xml:space="preserve"> tensions in policy development, which</w:t>
      </w:r>
      <w:r w:rsidRPr="00204E0E">
        <w:t xml:space="preserve"> call for greater acknowledgement of interdependence</w:t>
      </w:r>
      <w:r>
        <w:t>.</w:t>
      </w:r>
      <w:r w:rsidRPr="00204E0E">
        <w:t xml:space="preserve"> </w:t>
      </w:r>
      <w:r>
        <w:t>S</w:t>
      </w:r>
      <w:r w:rsidRPr="00204E0E">
        <w:t>econdly</w:t>
      </w:r>
      <w:r>
        <w:t>,</w:t>
      </w:r>
      <w:r w:rsidRPr="00204E0E">
        <w:t xml:space="preserve"> issues of </w:t>
      </w:r>
      <w:r>
        <w:t xml:space="preserve">cooperation and </w:t>
      </w:r>
      <w:r w:rsidRPr="00204E0E">
        <w:t xml:space="preserve">trust are relevant </w:t>
      </w:r>
      <w:r>
        <w:t xml:space="preserve">and need to </w:t>
      </w:r>
      <w:proofErr w:type="gramStart"/>
      <w:r>
        <w:t>be seen</w:t>
      </w:r>
      <w:proofErr w:type="gramEnd"/>
      <w:r>
        <w:t xml:space="preserve"> in the context of </w:t>
      </w:r>
      <w:r w:rsidRPr="00204E0E">
        <w:t>the salience of power asymmetry</w:t>
      </w:r>
      <w:r>
        <w:t>.</w:t>
      </w:r>
      <w:r w:rsidRPr="00204E0E">
        <w:t xml:space="preserve"> </w:t>
      </w:r>
      <w:r>
        <w:t>F</w:t>
      </w:r>
      <w:r w:rsidRPr="00204E0E">
        <w:t xml:space="preserve">inally, there is a clear need </w:t>
      </w:r>
      <w:proofErr w:type="gramStart"/>
      <w:r w:rsidRPr="00204E0E">
        <w:t>for a shared citizen focus and, to achieve this, a need for a shift in power across the food system</w:t>
      </w:r>
      <w:proofErr w:type="gramEnd"/>
      <w:r w:rsidRPr="00204E0E">
        <w:t>. These areas underline the pressing need for government</w:t>
      </w:r>
      <w:r>
        <w:t>s</w:t>
      </w:r>
      <w:r w:rsidRPr="00204E0E">
        <w:t xml:space="preserve"> to implement changes. </w:t>
      </w:r>
    </w:p>
    <w:p w14:paraId="592B5A94" w14:textId="77777777" w:rsidR="00D80DA7" w:rsidRPr="00204E0E" w:rsidRDefault="00D80DA7" w:rsidP="007B14CB">
      <w:pPr>
        <w:spacing w:after="240" w:line="480" w:lineRule="auto"/>
        <w:ind w:firstLine="567"/>
      </w:pPr>
      <w:r w:rsidRPr="00204E0E">
        <w:t xml:space="preserve">Our results drive a new model (Figure 2) </w:t>
      </w:r>
      <w:r>
        <w:t>for expressing</w:t>
      </w:r>
      <w:r w:rsidRPr="00204E0E">
        <w:t xml:space="preserve"> how this dynamism and shared focus on citizens in developing and implementing nutrition policy might look if this critical step-change to</w:t>
      </w:r>
      <w:r>
        <w:t>wards</w:t>
      </w:r>
      <w:r w:rsidRPr="00204E0E">
        <w:t xml:space="preserve"> real collaboration </w:t>
      </w:r>
      <w:proofErr w:type="gramStart"/>
      <w:r w:rsidRPr="00204E0E">
        <w:t>were enacted</w:t>
      </w:r>
      <w:proofErr w:type="gramEnd"/>
      <w:r w:rsidRPr="00204E0E">
        <w:t xml:space="preserve"> among and between the four actors in nutrition policy development. For more effective nutrition policy development there must be a shift from a model that focuses on the tensions between independent actors (Figure 1) to a model that focuses on collaboration across interdependent actors with the shared goal of citizen wellbeing (Figure 2). </w:t>
      </w:r>
    </w:p>
    <w:p w14:paraId="6F3EC2AB" w14:textId="77777777" w:rsidR="00D80DA7" w:rsidRPr="00204E0E" w:rsidRDefault="00D80DA7" w:rsidP="007B14CB">
      <w:pPr>
        <w:spacing w:line="480" w:lineRule="auto"/>
        <w:jc w:val="center"/>
        <w:rPr>
          <w:b/>
          <w:sz w:val="28"/>
        </w:rPr>
      </w:pPr>
      <w:r w:rsidRPr="00204E0E">
        <w:rPr>
          <w:b/>
          <w:sz w:val="28"/>
        </w:rPr>
        <w:t>[Insert Figure 2 about here]</w:t>
      </w:r>
    </w:p>
    <w:p w14:paraId="55BF1155" w14:textId="77777777" w:rsidR="00D80DA7" w:rsidRPr="00204E0E" w:rsidRDefault="00D80DA7" w:rsidP="007B14CB">
      <w:pPr>
        <w:spacing w:line="480" w:lineRule="auto"/>
        <w:ind w:firstLine="567"/>
        <w:rPr>
          <w:b/>
          <w:sz w:val="28"/>
        </w:rPr>
      </w:pPr>
    </w:p>
    <w:p w14:paraId="1E08C36C" w14:textId="57A318F9" w:rsidR="00D80DA7" w:rsidRDefault="00D80DA7" w:rsidP="007B14CB">
      <w:pPr>
        <w:spacing w:after="240" w:line="480" w:lineRule="auto"/>
        <w:ind w:firstLine="567"/>
      </w:pPr>
      <w:r w:rsidRPr="00204E0E">
        <w:t xml:space="preserve">Figure 2 </w:t>
      </w:r>
      <w:r>
        <w:t>shows</w:t>
      </w:r>
      <w:r w:rsidRPr="00204E0E">
        <w:t xml:space="preserve"> a development </w:t>
      </w:r>
      <w:r>
        <w:t>in</w:t>
      </w:r>
      <w:r w:rsidRPr="00204E0E">
        <w:t xml:space="preserve"> nutrition policy practice. The ecological model of health promotion has the individual at the centre due to its focus on behaviour change (</w:t>
      </w:r>
      <w:proofErr w:type="spellStart"/>
      <w:r w:rsidRPr="00204E0E">
        <w:t>McLeroy</w:t>
      </w:r>
      <w:proofErr w:type="spellEnd"/>
      <w:r w:rsidRPr="00204E0E">
        <w:t xml:space="preserve"> </w:t>
      </w:r>
      <w:r w:rsidRPr="00345388">
        <w:rPr>
          <w:i/>
        </w:rPr>
        <w:t>et al.</w:t>
      </w:r>
      <w:r w:rsidR="00345388">
        <w:t>,</w:t>
      </w:r>
      <w:r w:rsidRPr="00204E0E">
        <w:t xml:space="preserve"> 1988), while Figure 2 suggests that citizens should be at the centre of policy formulation. Our model does not focus on individual behaviour change but instead </w:t>
      </w:r>
      <w:r>
        <w:t>has a</w:t>
      </w:r>
      <w:r w:rsidRPr="00204E0E">
        <w:t xml:space="preserve"> shared</w:t>
      </w:r>
      <w:r>
        <w:t xml:space="preserve"> </w:t>
      </w:r>
      <w:r w:rsidRPr="00204E0E">
        <w:t>focus on citizens’ well-being</w:t>
      </w:r>
      <w:r>
        <w:t>, using this</w:t>
      </w:r>
      <w:r w:rsidRPr="00204E0E">
        <w:t xml:space="preserve"> to inform policy development processes across the system as a whole. Nevertheless, an important similarity between the two models is that they both advocate for active involvement of the target population –</w:t>
      </w:r>
      <w:r>
        <w:t xml:space="preserve"> </w:t>
      </w:r>
      <w:r w:rsidRPr="00204E0E">
        <w:t xml:space="preserve">health promotion activities </w:t>
      </w:r>
      <w:r>
        <w:t xml:space="preserve">are key </w:t>
      </w:r>
      <w:r w:rsidRPr="00204E0E">
        <w:t>for the ecological health promotion approach</w:t>
      </w:r>
      <w:r>
        <w:t>,</w:t>
      </w:r>
      <w:r w:rsidRPr="00204E0E">
        <w:t xml:space="preserve"> and </w:t>
      </w:r>
      <w:r>
        <w:t xml:space="preserve">participation </w:t>
      </w:r>
      <w:r w:rsidRPr="00204E0E">
        <w:t xml:space="preserve">in policy formulation </w:t>
      </w:r>
      <w:r>
        <w:t xml:space="preserve">is key </w:t>
      </w:r>
      <w:r w:rsidRPr="00204E0E">
        <w:t>for the relational approach. The relational approach adds a sustained focus on connection by means of relationship building</w:t>
      </w:r>
      <w:r>
        <w:t>.</w:t>
      </w:r>
      <w:r w:rsidRPr="00204E0E">
        <w:t xml:space="preserve"> Intentional </w:t>
      </w:r>
      <w:proofErr w:type="gramStart"/>
      <w:r w:rsidRPr="00204E0E">
        <w:t>trust-building</w:t>
      </w:r>
      <w:proofErr w:type="gramEnd"/>
      <w:r w:rsidRPr="00204E0E">
        <w:t xml:space="preserve"> </w:t>
      </w:r>
      <w:r>
        <w:t xml:space="preserve">is enabled </w:t>
      </w:r>
      <w:r w:rsidRPr="00204E0E">
        <w:t xml:space="preserve">across the system by means of practical collaboration in developing shared goals in </w:t>
      </w:r>
      <w:r>
        <w:t>a</w:t>
      </w:r>
      <w:r w:rsidRPr="00204E0E">
        <w:t xml:space="preserve"> co-creation process that </w:t>
      </w:r>
      <w:r>
        <w:t xml:space="preserve">can then </w:t>
      </w:r>
      <w:r w:rsidRPr="00204E0E">
        <w:t>build</w:t>
      </w:r>
      <w:r>
        <w:t xml:space="preserve"> from</w:t>
      </w:r>
      <w:r w:rsidRPr="00204E0E">
        <w:t xml:space="preserve"> trust in the system </w:t>
      </w:r>
      <w:r>
        <w:t xml:space="preserve">to commitment to </w:t>
      </w:r>
      <w:r w:rsidRPr="00204E0E">
        <w:t>policy outcomes. Our model depicts a possible reality for nutrition policy development, with the actors interacting within a dynamic of power such that together they co-construct and implement policies. Relational thinking includes an understanding of "sick rather than healthy relationships" (Young and Wilkinson</w:t>
      </w:r>
      <w:r w:rsidR="00E42097">
        <w:t>,</w:t>
      </w:r>
      <w:r w:rsidRPr="00204E0E">
        <w:t xml:space="preserve"> 1989, </w:t>
      </w:r>
      <w:r w:rsidR="00E42097">
        <w:t xml:space="preserve">p. </w:t>
      </w:r>
      <w:r w:rsidRPr="00204E0E">
        <w:t>109)</w:t>
      </w:r>
      <w:r>
        <w:t>,</w:t>
      </w:r>
      <w:r w:rsidRPr="00204E0E">
        <w:t xml:space="preserve"> and so </w:t>
      </w:r>
      <w:proofErr w:type="gramStart"/>
      <w:r w:rsidRPr="00204E0E">
        <w:t>does</w:t>
      </w:r>
      <w:proofErr w:type="gramEnd"/>
      <w:r w:rsidRPr="00204E0E">
        <w:t xml:space="preserve"> not lead to simple naïve optimism but rather to sober discussion of power asymmetry and trade-offs around acknowledged shared interests and longer-term goals.</w:t>
      </w:r>
    </w:p>
    <w:p w14:paraId="513DBC08" w14:textId="74292245" w:rsidR="00D80DA7" w:rsidRDefault="00D80DA7" w:rsidP="007B14CB">
      <w:pPr>
        <w:spacing w:after="240" w:line="480" w:lineRule="auto"/>
        <w:ind w:firstLine="567"/>
      </w:pPr>
      <w:r w:rsidRPr="00F9390B">
        <w:t>It is noteworthy that ideological differences between political parties can lead them to prioritise different approaches to achiev</w:t>
      </w:r>
      <w:r>
        <w:t>ing</w:t>
      </w:r>
      <w:r w:rsidRPr="00F9390B">
        <w:t xml:space="preserve"> their nutrition policy goals;</w:t>
      </w:r>
      <w:r w:rsidRPr="00B530EB">
        <w:t xml:space="preserve"> citizens’ ideologies can lead to varying value perceptions and acceptance of different policies </w:t>
      </w:r>
      <w:r w:rsidRPr="00B530EB">
        <w:rPr>
          <w:noProof/>
        </w:rPr>
        <w:t>(</w:t>
      </w:r>
      <w:r w:rsidR="008F5295" w:rsidRPr="00B530EB">
        <w:rPr>
          <w:noProof/>
        </w:rPr>
        <w:t>Lusk</w:t>
      </w:r>
      <w:r w:rsidR="008F5295">
        <w:rPr>
          <w:noProof/>
        </w:rPr>
        <w:t>,</w:t>
      </w:r>
      <w:r w:rsidR="008F5295" w:rsidRPr="00B530EB">
        <w:rPr>
          <w:noProof/>
        </w:rPr>
        <w:t xml:space="preserve"> 2012</w:t>
      </w:r>
      <w:r w:rsidR="008F5295">
        <w:rPr>
          <w:noProof/>
        </w:rPr>
        <w:t xml:space="preserve">; </w:t>
      </w:r>
      <w:r w:rsidRPr="00B530EB">
        <w:rPr>
          <w:noProof/>
        </w:rPr>
        <w:t xml:space="preserve">Cullerton </w:t>
      </w:r>
      <w:r w:rsidRPr="008F5295">
        <w:rPr>
          <w:i/>
          <w:noProof/>
        </w:rPr>
        <w:t>et al.</w:t>
      </w:r>
      <w:r w:rsidR="008F5295">
        <w:rPr>
          <w:noProof/>
        </w:rPr>
        <w:t>, 2016</w:t>
      </w:r>
      <w:r w:rsidRPr="00B530EB">
        <w:rPr>
          <w:noProof/>
        </w:rPr>
        <w:t>)</w:t>
      </w:r>
      <w:r w:rsidRPr="00B530EB">
        <w:t xml:space="preserve">. This </w:t>
      </w:r>
      <w:proofErr w:type="gramStart"/>
      <w:r w:rsidRPr="00B530EB">
        <w:t>is all acknowledged</w:t>
      </w:r>
      <w:proofErr w:type="gramEnd"/>
      <w:r w:rsidRPr="00B530EB">
        <w:t xml:space="preserve"> within the relational marketing concept of </w:t>
      </w:r>
      <w:r>
        <w:t>“value-in-use”</w:t>
      </w:r>
      <w:r w:rsidRPr="00B530EB">
        <w:t xml:space="preserve"> (</w:t>
      </w:r>
      <w:proofErr w:type="spellStart"/>
      <w:r w:rsidR="00DA0A76">
        <w:fldChar w:fldCharType="begin"/>
      </w:r>
      <w:r w:rsidR="00DA0A76">
        <w:instrText xml:space="preserve"> HYPERLINK \l "_ENREF_22" \o "Grönroos, 2004 #254" </w:instrText>
      </w:r>
      <w:r w:rsidR="00DA0A76">
        <w:fldChar w:fldCharType="separate"/>
      </w:r>
      <w:r w:rsidRPr="00B530EB">
        <w:t>Grönroos</w:t>
      </w:r>
      <w:proofErr w:type="spellEnd"/>
      <w:r w:rsidR="00BA697E">
        <w:t>,</w:t>
      </w:r>
      <w:r w:rsidRPr="00B530EB">
        <w:t xml:space="preserve"> 2004</w:t>
      </w:r>
      <w:r w:rsidR="00DA0A76">
        <w:fldChar w:fldCharType="end"/>
      </w:r>
      <w:r w:rsidRPr="00B530EB">
        <w:t>). Therefore, similar</w:t>
      </w:r>
      <w:r>
        <w:t>ly</w:t>
      </w:r>
      <w:r w:rsidRPr="00B530EB">
        <w:t xml:space="preserve"> to marketing ecosystems, in the policy </w:t>
      </w:r>
      <w:proofErr w:type="gramStart"/>
      <w:r w:rsidRPr="00B530EB">
        <w:t>context nutrition policy actors</w:t>
      </w:r>
      <w:proofErr w:type="gramEnd"/>
      <w:r w:rsidRPr="00B530EB">
        <w:t xml:space="preserve"> need to develop a shared goal</w:t>
      </w:r>
      <w:r w:rsidRPr="006F6B2D">
        <w:t xml:space="preserve"> </w:t>
      </w:r>
      <w:r w:rsidRPr="00B530EB">
        <w:t xml:space="preserve">together.  This </w:t>
      </w:r>
      <w:proofErr w:type="gramStart"/>
      <w:r w:rsidRPr="00B530EB">
        <w:t>will be arrived at,</w:t>
      </w:r>
      <w:proofErr w:type="gramEnd"/>
      <w:r w:rsidRPr="00B530EB">
        <w:t xml:space="preserve"> </w:t>
      </w:r>
      <w:r w:rsidRPr="00B530EB">
        <w:lastRenderedPageBreak/>
        <w:t xml:space="preserve">to be sure, via explicit compromise. This shared goal will ensure the development and implementation of effective nutrition policy, regardless of ideological backgrounds, since current divides </w:t>
      </w:r>
      <w:proofErr w:type="gramStart"/>
      <w:r w:rsidRPr="00B530EB">
        <w:t>have clearly been prove</w:t>
      </w:r>
      <w:r>
        <w:t>d</w:t>
      </w:r>
      <w:proofErr w:type="gramEnd"/>
      <w:r w:rsidRPr="00B530EB">
        <w:t xml:space="preserve"> ineffective. </w:t>
      </w:r>
      <w:r w:rsidRPr="00B530EB">
        <w:rPr>
          <w:noProof/>
        </w:rPr>
        <w:t>Trischler and Charles (201</w:t>
      </w:r>
      <w:r w:rsidR="0005772D">
        <w:rPr>
          <w:noProof/>
        </w:rPr>
        <w:t>9</w:t>
      </w:r>
      <w:r w:rsidRPr="00B530EB">
        <w:rPr>
          <w:noProof/>
        </w:rPr>
        <w:t>)</w:t>
      </w:r>
      <w:r>
        <w:t xml:space="preserve"> suggest that governments</w:t>
      </w:r>
      <w:r w:rsidRPr="00B530EB">
        <w:t xml:space="preserve"> should map the </w:t>
      </w:r>
      <w:r>
        <w:t>value-creation</w:t>
      </w:r>
      <w:r w:rsidRPr="00B530EB">
        <w:t xml:space="preserve"> process and capture how value is co-created between actors with </w:t>
      </w:r>
      <w:proofErr w:type="gramStart"/>
      <w:r w:rsidRPr="00B530EB">
        <w:t>often different</w:t>
      </w:r>
      <w:proofErr w:type="gramEnd"/>
      <w:r w:rsidRPr="00B530EB">
        <w:t xml:space="preserve"> interests. This includes </w:t>
      </w:r>
      <w:r>
        <w:t>identifying</w:t>
      </w:r>
      <w:r w:rsidRPr="00B530EB">
        <w:t xml:space="preserve"> the compromises that need to </w:t>
      </w:r>
      <w:proofErr w:type="gramStart"/>
      <w:r w:rsidRPr="00B530EB">
        <w:t>be made</w:t>
      </w:r>
      <w:proofErr w:type="gramEnd"/>
      <w:r w:rsidRPr="00B530EB">
        <w:t xml:space="preserve"> by the various actors to achieve the shared goal. </w:t>
      </w:r>
      <w:r w:rsidRPr="00B530EB">
        <w:rPr>
          <w:noProof/>
        </w:rPr>
        <w:t>Cullerton et al. (2016)</w:t>
      </w:r>
      <w:r w:rsidRPr="00B530EB">
        <w:t xml:space="preserve"> highlight that public mobilisation and strategical targeting of decision makers who embrace the shared goal can enable nutrition policy change. </w:t>
      </w:r>
      <w:proofErr w:type="gramStart"/>
      <w:r w:rsidRPr="00B530EB">
        <w:t>So</w:t>
      </w:r>
      <w:proofErr w:type="gramEnd"/>
      <w:r w:rsidRPr="00B530EB">
        <w:t>, while ideological differences may lead to different policy approaches and explain most of the competing views, the identification of a shared goal of citizen health and wellbeing across all the actors could lead to more effective policy development.</w:t>
      </w:r>
    </w:p>
    <w:p w14:paraId="486368C8" w14:textId="0D39FF66" w:rsidR="00D80DA7" w:rsidRPr="002A7DF5" w:rsidRDefault="00D80DA7" w:rsidP="007B14CB">
      <w:pPr>
        <w:spacing w:after="240" w:line="480" w:lineRule="auto"/>
        <w:ind w:firstLine="567"/>
        <w:rPr>
          <w:b/>
        </w:rPr>
      </w:pPr>
      <w:r w:rsidRPr="00204E0E">
        <w:t>Our findings suggest that there is, indeed, potential for more intentional and positive collaboration within the whole system. The literature indicated and the findings corroborated that</w:t>
      </w:r>
      <w:r>
        <w:t>,</w:t>
      </w:r>
      <w:r w:rsidRPr="00204E0E">
        <w:t xml:space="preserve"> for these collaborations to happen, actors</w:t>
      </w:r>
      <w:r>
        <w:t>, despite their ideological backgrounds,</w:t>
      </w:r>
      <w:r w:rsidRPr="00204E0E">
        <w:t xml:space="preserve"> must have similar long-term objective</w:t>
      </w:r>
      <w:r>
        <w:t>s</w:t>
      </w:r>
      <w:r w:rsidRPr="00204E0E">
        <w:t xml:space="preserve"> in order to be able to pursue mutual gains (Milne</w:t>
      </w:r>
      <w:r w:rsidR="00A806AC">
        <w:t xml:space="preserve"> </w:t>
      </w:r>
      <w:r w:rsidR="00A806AC" w:rsidRPr="00A806AC">
        <w:rPr>
          <w:i/>
        </w:rPr>
        <w:t>et al.</w:t>
      </w:r>
      <w:r w:rsidR="00A806AC">
        <w:t xml:space="preserve">, </w:t>
      </w:r>
      <w:r w:rsidRPr="00204E0E">
        <w:t xml:space="preserve">1996), which in this case could be citizen health and wellbeing. These collaborations need to include “citizens” as some kind of construction and representation of “society” in order to develop policies focused on improving citizen wellbeing, and so gain the citizen buy-in that might lead to policies becoming effective. </w:t>
      </w:r>
      <w:proofErr w:type="gramStart"/>
      <w:r>
        <w:t>It is t</w:t>
      </w:r>
      <w:r w:rsidRPr="00204E0E">
        <w:t xml:space="preserve">his </w:t>
      </w:r>
      <w:r>
        <w:t>buy-in that</w:t>
      </w:r>
      <w:proofErr w:type="gramEnd"/>
      <w:r>
        <w:t xml:space="preserve"> </w:t>
      </w:r>
      <w:r w:rsidRPr="00204E0E">
        <w:t>could provide a powerful counterbalance to the power of large food corporations i</w:t>
      </w:r>
      <w:r>
        <w:t>n formal discussions of policy.</w:t>
      </w:r>
    </w:p>
    <w:p w14:paraId="28B78D62" w14:textId="50C8197C" w:rsidR="00D80DA7" w:rsidRPr="00204E0E" w:rsidRDefault="00FD4D47" w:rsidP="008F1BAA">
      <w:pPr>
        <w:pStyle w:val="Heading2"/>
        <w:spacing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5.1 </w:t>
      </w:r>
      <w:r w:rsidRPr="00204E0E">
        <w:rPr>
          <w:rFonts w:ascii="Times New Roman" w:hAnsi="Times New Roman" w:cs="Times New Roman"/>
          <w:b/>
          <w:color w:val="auto"/>
          <w:sz w:val="24"/>
          <w:szCs w:val="24"/>
        </w:rPr>
        <w:t>A sense of interdependence needed in the development of nutrition policy</w:t>
      </w:r>
    </w:p>
    <w:p w14:paraId="24B7C271" w14:textId="48AB83B2" w:rsidR="00D80DA7" w:rsidRPr="00204E0E" w:rsidRDefault="00D80DA7" w:rsidP="007B14CB">
      <w:pPr>
        <w:spacing w:after="240" w:line="480" w:lineRule="auto"/>
        <w:ind w:firstLine="567"/>
      </w:pPr>
      <w:r w:rsidRPr="00204E0E">
        <w:t xml:space="preserve">Interdependence </w:t>
      </w:r>
      <w:proofErr w:type="gramStart"/>
      <w:r w:rsidRPr="00204E0E">
        <w:t>is broken</w:t>
      </w:r>
      <w:proofErr w:type="gramEnd"/>
      <w:r w:rsidRPr="00204E0E">
        <w:t xml:space="preserve"> by the perception of pressing power asymmetry and negative collaboration by a dominant actor in the system acting without citizen health and wellbeing as a focus. This perceived dominance is then</w:t>
      </w:r>
      <w:r w:rsidR="000F560E">
        <w:t xml:space="preserve"> actively and even passively</w:t>
      </w:r>
      <w:r w:rsidRPr="00204E0E">
        <w:t xml:space="preserve"> </w:t>
      </w:r>
      <w:proofErr w:type="gramStart"/>
      <w:r w:rsidR="000F560E">
        <w:t>resisted</w:t>
      </w:r>
      <w:proofErr w:type="gramEnd"/>
      <w:r>
        <w:t xml:space="preserve"> as</w:t>
      </w:r>
      <w:r w:rsidRPr="00204E0E">
        <w:t xml:space="preserve"> our </w:t>
      </w:r>
      <w:r w:rsidRPr="00204E0E">
        <w:lastRenderedPageBreak/>
        <w:t xml:space="preserve">respondents do not trust the agents of change: either </w:t>
      </w:r>
      <w:r>
        <w:t xml:space="preserve">the </w:t>
      </w:r>
      <w:r w:rsidRPr="00204E0E">
        <w:t xml:space="preserve">government or private organisations. This lack of trust is a key barrier to individuals making the effort to change behaviours </w:t>
      </w:r>
      <w:r>
        <w:t xml:space="preserve">that is </w:t>
      </w:r>
      <w:r w:rsidRPr="00204E0E">
        <w:t xml:space="preserve">necessary for effective implementation of nutrition policies. </w:t>
      </w:r>
    </w:p>
    <w:p w14:paraId="38AB3AB9" w14:textId="4BB7996E" w:rsidR="00D80DA7" w:rsidRPr="00204E0E" w:rsidRDefault="00D80DA7" w:rsidP="007B14CB">
      <w:pPr>
        <w:spacing w:after="240" w:line="480" w:lineRule="auto"/>
        <w:ind w:firstLine="567"/>
      </w:pPr>
      <w:r w:rsidRPr="00204E0E">
        <w:t xml:space="preserve">Many citizens complained about the lack of governmental support in developing new habits, leading to the dilution of their intention to change what they </w:t>
      </w:r>
      <w:r>
        <w:t>ate</w:t>
      </w:r>
      <w:r w:rsidRPr="00204E0E">
        <w:t xml:space="preserve">. Johnson and </w:t>
      </w:r>
      <w:proofErr w:type="spellStart"/>
      <w:r w:rsidRPr="00204E0E">
        <w:t>Scicchitano</w:t>
      </w:r>
      <w:proofErr w:type="spellEnd"/>
      <w:r w:rsidRPr="00204E0E">
        <w:t xml:space="preserve"> (2000) also found this link between trust and willingness to take action and showed that policymakers need to build public support if they want their policies to </w:t>
      </w:r>
      <w:proofErr w:type="gramStart"/>
      <w:r w:rsidRPr="00204E0E">
        <w:t>be embraced</w:t>
      </w:r>
      <w:proofErr w:type="gramEnd"/>
      <w:r w:rsidRPr="00204E0E">
        <w:t xml:space="preserve"> by citizens. The missing player </w:t>
      </w:r>
      <w:proofErr w:type="gramStart"/>
      <w:r w:rsidRPr="00204E0E">
        <w:t>can again be seen</w:t>
      </w:r>
      <w:proofErr w:type="gramEnd"/>
      <w:r w:rsidRPr="00204E0E">
        <w:t xml:space="preserve"> to be the constructed and articulate “citizen”. Trust in governmental institutions is a key indicator of the quality of government–public relationships (Hong </w:t>
      </w:r>
      <w:r w:rsidRPr="00AF7001">
        <w:rPr>
          <w:i/>
        </w:rPr>
        <w:t>et al.</w:t>
      </w:r>
      <w:r w:rsidR="00AF7001">
        <w:t>,</w:t>
      </w:r>
      <w:r w:rsidRPr="00204E0E">
        <w:t xml:space="preserve"> 2012). Low trust levels lead recipients or beneficiaries </w:t>
      </w:r>
      <w:proofErr w:type="gramStart"/>
      <w:r>
        <w:t xml:space="preserve">to </w:t>
      </w:r>
      <w:r w:rsidRPr="00204E0E">
        <w:t>not accept</w:t>
      </w:r>
      <w:proofErr w:type="gramEnd"/>
      <w:r w:rsidRPr="00204E0E">
        <w:t xml:space="preserve"> policies in practice (OECD</w:t>
      </w:r>
      <w:r w:rsidR="00922464">
        <w:t>,</w:t>
      </w:r>
      <w:r w:rsidRPr="00204E0E">
        <w:t xml:space="preserve"> 2017b); this lack of acceptance stems from low</w:t>
      </w:r>
      <w:r w:rsidR="00911BC3">
        <w:t xml:space="preserve"> levels of commitment (Moorman </w:t>
      </w:r>
      <w:r w:rsidR="00911BC3" w:rsidRPr="00911BC3">
        <w:rPr>
          <w:i/>
        </w:rPr>
        <w:t>et al.</w:t>
      </w:r>
      <w:r w:rsidR="00911BC3">
        <w:t>,</w:t>
      </w:r>
      <w:r w:rsidR="00922464">
        <w:t xml:space="preserve"> </w:t>
      </w:r>
      <w:r w:rsidRPr="00204E0E">
        <w:t xml:space="preserve">1993). </w:t>
      </w:r>
    </w:p>
    <w:p w14:paraId="1BF8A499" w14:textId="4BAF91AF" w:rsidR="00D80DA7" w:rsidRPr="00204E0E" w:rsidRDefault="00D80DA7" w:rsidP="007B14CB">
      <w:pPr>
        <w:spacing w:after="240" w:line="480" w:lineRule="auto"/>
        <w:ind w:firstLine="567"/>
      </w:pPr>
      <w:r w:rsidRPr="00204E0E">
        <w:t xml:space="preserve">Our findings add finesse to a growing argument regarding the role of government pro-activity: to orchestrate the players (Tonkin </w:t>
      </w:r>
      <w:r w:rsidRPr="00E02AA0">
        <w:rPr>
          <w:i/>
        </w:rPr>
        <w:t>et al.</w:t>
      </w:r>
      <w:r w:rsidR="00E02AA0">
        <w:rPr>
          <w:i/>
        </w:rPr>
        <w:t>,</w:t>
      </w:r>
      <w:r w:rsidRPr="00204E0E">
        <w:t xml:space="preserve"> 2018) and focus on citizen wellbeing as the long-term output. As mentioned, a previous study across 10 European countries found that in northern European countries, where nutrition policies were successful, governments were actively involved in policy development and there </w:t>
      </w:r>
      <w:proofErr w:type="gramStart"/>
      <w:r w:rsidRPr="00204E0E">
        <w:t>was also</w:t>
      </w:r>
      <w:proofErr w:type="gramEnd"/>
      <w:r w:rsidRPr="00204E0E">
        <w:t xml:space="preserve"> strong consumer interest in policy development participation</w:t>
      </w:r>
      <w:r>
        <w:t>. In contrast</w:t>
      </w:r>
      <w:r w:rsidRPr="00204E0E">
        <w:t xml:space="preserve">, </w:t>
      </w:r>
      <w:r>
        <w:t>in</w:t>
      </w:r>
      <w:r w:rsidRPr="00204E0E">
        <w:t xml:space="preserve"> southern European countries, including Greece, </w:t>
      </w:r>
      <w:r>
        <w:t>a</w:t>
      </w:r>
      <w:r w:rsidRPr="00204E0E">
        <w:t xml:space="preserve"> lack of governmental initiative and commitment to micronutrient policy development </w:t>
      </w:r>
      <w:proofErr w:type="gramStart"/>
      <w:r w:rsidRPr="00204E0E">
        <w:t>was reported</w:t>
      </w:r>
      <w:proofErr w:type="gramEnd"/>
      <w:r w:rsidRPr="00204E0E">
        <w:t xml:space="preserve"> (</w:t>
      </w:r>
      <w:proofErr w:type="spellStart"/>
      <w:r w:rsidRPr="00204E0E">
        <w:t>Jeruszka-Bielak</w:t>
      </w:r>
      <w:proofErr w:type="spellEnd"/>
      <w:r w:rsidRPr="00204E0E">
        <w:t xml:space="preserve"> </w:t>
      </w:r>
      <w:r w:rsidRPr="00D602D7">
        <w:rPr>
          <w:i/>
        </w:rPr>
        <w:t>et al.</w:t>
      </w:r>
      <w:r w:rsidR="00D602D7">
        <w:t>,</w:t>
      </w:r>
      <w:r w:rsidRPr="00204E0E">
        <w:t xml:space="preserve"> 2015). </w:t>
      </w:r>
    </w:p>
    <w:p w14:paraId="2CCF4FCF" w14:textId="576A796E" w:rsidR="00D80DA7" w:rsidRPr="00204E0E" w:rsidRDefault="00D80DA7" w:rsidP="007B14CB">
      <w:pPr>
        <w:widowControl w:val="0"/>
        <w:autoSpaceDE w:val="0"/>
        <w:autoSpaceDN w:val="0"/>
        <w:adjustRightInd w:val="0"/>
        <w:spacing w:after="240" w:line="480" w:lineRule="auto"/>
        <w:ind w:firstLine="567"/>
        <w:rPr>
          <w:color w:val="000000"/>
          <w:lang w:eastAsia="en-US"/>
        </w:rPr>
      </w:pPr>
      <w:r w:rsidRPr="00204E0E">
        <w:t xml:space="preserve">Therefore, we see that </w:t>
      </w:r>
      <w:r>
        <w:t>citizen participation</w:t>
      </w:r>
      <w:r w:rsidRPr="00204E0E">
        <w:t xml:space="preserve"> in policy making and implementation increases engagement and trust </w:t>
      </w:r>
      <w:r>
        <w:t>in</w:t>
      </w:r>
      <w:r w:rsidRPr="00204E0E">
        <w:t xml:space="preserve"> government</w:t>
      </w:r>
      <w:r>
        <w:t>s</w:t>
      </w:r>
      <w:r w:rsidRPr="00204E0E">
        <w:t xml:space="preserve"> (Hong </w:t>
      </w:r>
      <w:r w:rsidRPr="00DC3C04">
        <w:rPr>
          <w:i/>
        </w:rPr>
        <w:t>et al</w:t>
      </w:r>
      <w:r w:rsidRPr="00204E0E">
        <w:t>.</w:t>
      </w:r>
      <w:r w:rsidR="00DC3C04">
        <w:t>,</w:t>
      </w:r>
      <w:r w:rsidRPr="00204E0E">
        <w:t xml:space="preserve"> 2012) and therefore commitment, leading to the concept of co-creation reflected in our new model (Figure 2). Tonkin et al. (2018) found that </w:t>
      </w:r>
      <w:proofErr w:type="gramStart"/>
      <w:r w:rsidRPr="00204E0E">
        <w:t xml:space="preserve">consumer moral concern </w:t>
      </w:r>
      <w:r>
        <w:t>over</w:t>
      </w:r>
      <w:r w:rsidRPr="00204E0E">
        <w:t xml:space="preserve"> food matters was not responded </w:t>
      </w:r>
      <w:r w:rsidRPr="00204E0E">
        <w:lastRenderedPageBreak/>
        <w:t>to by government</w:t>
      </w:r>
      <w:r>
        <w:t>s</w:t>
      </w:r>
      <w:proofErr w:type="gramEnd"/>
      <w:r w:rsidRPr="00204E0E">
        <w:t>. Yet</w:t>
      </w:r>
      <w:r>
        <w:t>,</w:t>
      </w:r>
      <w:r w:rsidRPr="00204E0E">
        <w:t xml:space="preserve"> it is the very complexity of interconnected relational concepts such as trustworthiness that make it so very difficult for governments to effectively implement their policies even if these are for citizens’ good (</w:t>
      </w:r>
      <w:proofErr w:type="spellStart"/>
      <w:r w:rsidRPr="00204E0E">
        <w:t>Keele</w:t>
      </w:r>
      <w:proofErr w:type="spellEnd"/>
      <w:r w:rsidR="00DC3C04">
        <w:t>,</w:t>
      </w:r>
      <w:r w:rsidRPr="00204E0E">
        <w:t xml:space="preserve"> 2007). </w:t>
      </w:r>
      <w:proofErr w:type="gramStart"/>
      <w:r w:rsidRPr="00204E0E">
        <w:t>So</w:t>
      </w:r>
      <w:proofErr w:type="gramEnd"/>
      <w:r w:rsidRPr="00204E0E">
        <w:t>, this paper supports those who have drawn attention to the need to focus on interactions between groups of actors and the important role for civil society in the effective implementation of policies (</w:t>
      </w:r>
      <w:proofErr w:type="spellStart"/>
      <w:r w:rsidRPr="00204E0E">
        <w:t>Kingdon</w:t>
      </w:r>
      <w:proofErr w:type="spellEnd"/>
      <w:r w:rsidR="00DC3C04">
        <w:t>,</w:t>
      </w:r>
      <w:r w:rsidRPr="00204E0E">
        <w:t xml:space="preserve"> 2010). </w:t>
      </w:r>
    </w:p>
    <w:p w14:paraId="283583F4" w14:textId="77777777" w:rsidR="00D80DA7" w:rsidRPr="00204E0E" w:rsidRDefault="00D80DA7" w:rsidP="007B14CB">
      <w:pPr>
        <w:spacing w:line="480" w:lineRule="auto"/>
        <w:ind w:firstLine="567"/>
      </w:pPr>
      <w:r w:rsidRPr="00204E0E">
        <w:t xml:space="preserve">Interestingly, despite the lack of trust in </w:t>
      </w:r>
      <w:r>
        <w:t xml:space="preserve">the </w:t>
      </w:r>
      <w:r w:rsidRPr="00204E0E">
        <w:t xml:space="preserve">government </w:t>
      </w:r>
      <w:r>
        <w:t xml:space="preserve">shown </w:t>
      </w:r>
      <w:r w:rsidRPr="00204E0E">
        <w:t>by most of the food system actors and citizens, our participants highlight</w:t>
      </w:r>
      <w:r>
        <w:t>ed</w:t>
      </w:r>
      <w:r w:rsidRPr="00204E0E">
        <w:t xml:space="preserve"> that </w:t>
      </w:r>
      <w:r>
        <w:t>the</w:t>
      </w:r>
      <w:r w:rsidRPr="00204E0E">
        <w:t xml:space="preserve"> government should take the lead</w:t>
      </w:r>
      <w:r>
        <w:t>, although</w:t>
      </w:r>
      <w:r w:rsidRPr="00204E0E">
        <w:t xml:space="preserve"> as </w:t>
      </w:r>
      <w:r>
        <w:t xml:space="preserve">a </w:t>
      </w:r>
      <w:r w:rsidRPr="00204E0E">
        <w:t xml:space="preserve">connector </w:t>
      </w:r>
      <w:r>
        <w:t>between</w:t>
      </w:r>
      <w:r w:rsidRPr="00204E0E">
        <w:t xml:space="preserve"> the other actors rather than as </w:t>
      </w:r>
      <w:r>
        <w:t xml:space="preserve">a </w:t>
      </w:r>
      <w:r w:rsidRPr="00204E0E">
        <w:t xml:space="preserve">mere regulator. </w:t>
      </w:r>
      <w:proofErr w:type="gramStart"/>
      <w:r w:rsidRPr="00204E0E">
        <w:t>So</w:t>
      </w:r>
      <w:proofErr w:type="gramEnd"/>
      <w:r w:rsidRPr="00204E0E">
        <w:t xml:space="preserve">, for the development and effective implementation of food policies, interdependence needs to be recognised. </w:t>
      </w:r>
      <w:proofErr w:type="gramStart"/>
      <w:r>
        <w:t>Also</w:t>
      </w:r>
      <w:proofErr w:type="gramEnd"/>
      <w:r>
        <w:t>,</w:t>
      </w:r>
      <w:r w:rsidRPr="00204E0E">
        <w:t xml:space="preserve"> for this recognition to be real there needs to be a power shift within and across the whole food system.</w:t>
      </w:r>
    </w:p>
    <w:p w14:paraId="2813F39F" w14:textId="77777777" w:rsidR="00D80DA7" w:rsidRPr="00204E0E" w:rsidRDefault="00D80DA7" w:rsidP="007B14CB">
      <w:pPr>
        <w:rPr>
          <w:lang w:eastAsia="en-US"/>
        </w:rPr>
      </w:pPr>
    </w:p>
    <w:p w14:paraId="2075D548" w14:textId="457D302F" w:rsidR="00D80DA7" w:rsidRPr="00204E0E" w:rsidRDefault="008F1BAA" w:rsidP="008F1BAA">
      <w:pPr>
        <w:pStyle w:val="Heading2"/>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5.2 </w:t>
      </w:r>
      <w:r w:rsidR="00D80DA7" w:rsidRPr="00204E0E">
        <w:rPr>
          <w:rFonts w:ascii="Times New Roman" w:hAnsi="Times New Roman" w:cs="Times New Roman"/>
          <w:b/>
          <w:color w:val="auto"/>
          <w:sz w:val="24"/>
          <w:szCs w:val="24"/>
        </w:rPr>
        <w:t>Power Asymmetry Issues in the Development of Nutrition Policy</w:t>
      </w:r>
    </w:p>
    <w:p w14:paraId="6383FFAC" w14:textId="0F6ED8EA" w:rsidR="00D80DA7" w:rsidRPr="00204E0E" w:rsidRDefault="00D80DA7" w:rsidP="007B14CB">
      <w:pPr>
        <w:spacing w:after="240" w:line="480" w:lineRule="auto"/>
        <w:ind w:firstLine="567"/>
        <w:rPr>
          <w:strike/>
        </w:rPr>
      </w:pPr>
      <w:r w:rsidRPr="00204E0E">
        <w:t xml:space="preserve">Formally, in Greece, power </w:t>
      </w:r>
      <w:proofErr w:type="gramStart"/>
      <w:r w:rsidRPr="00204E0E">
        <w:t>is given</w:t>
      </w:r>
      <w:proofErr w:type="gramEnd"/>
      <w:r w:rsidRPr="00204E0E">
        <w:t xml:space="preserve"> to </w:t>
      </w:r>
      <w:r>
        <w:t xml:space="preserve">the </w:t>
      </w:r>
      <w:r w:rsidRPr="00204E0E">
        <w:t xml:space="preserve">government; however, in practice, here as elsewhere, there is a perceived lack of power due to the strength of large corporations. </w:t>
      </w:r>
      <w:proofErr w:type="gramStart"/>
      <w:r w:rsidRPr="00204E0E">
        <w:t>This was reported by participants</w:t>
      </w:r>
      <w:proofErr w:type="gramEnd"/>
      <w:r w:rsidRPr="00204E0E">
        <w:t xml:space="preserve"> from civil society, </w:t>
      </w:r>
      <w:r>
        <w:t xml:space="preserve">the </w:t>
      </w:r>
      <w:r w:rsidRPr="00204E0E">
        <w:t xml:space="preserve">government and the less powerful actors of the food supply chain. Our finding that larger food corporations have dominant power over </w:t>
      </w:r>
      <w:r>
        <w:t xml:space="preserve">the </w:t>
      </w:r>
      <w:proofErr w:type="gramStart"/>
      <w:r w:rsidRPr="00204E0E">
        <w:t>government</w:t>
      </w:r>
      <w:r>
        <w:t>,</w:t>
      </w:r>
      <w:proofErr w:type="gramEnd"/>
      <w:r w:rsidRPr="00204E0E">
        <w:t xml:space="preserve"> and that there is lack of effective monitoring and accountability systems, support</w:t>
      </w:r>
      <w:r>
        <w:t>s</w:t>
      </w:r>
      <w:r w:rsidRPr="00204E0E">
        <w:t xml:space="preserve"> previous evidence of the power asymme</w:t>
      </w:r>
      <w:r w:rsidR="003E4CC8">
        <w:t>try within the food system (</w:t>
      </w:r>
      <w:r w:rsidRPr="00204E0E">
        <w:t>Dahlberg</w:t>
      </w:r>
      <w:r w:rsidR="009F70ED">
        <w:t>, 2001;</w:t>
      </w:r>
      <w:r w:rsidRPr="00204E0E">
        <w:t xml:space="preserve"> </w:t>
      </w:r>
      <w:proofErr w:type="spellStart"/>
      <w:r w:rsidRPr="00204E0E">
        <w:t>Caraher</w:t>
      </w:r>
      <w:proofErr w:type="spellEnd"/>
      <w:r w:rsidRPr="00204E0E">
        <w:t xml:space="preserve"> </w:t>
      </w:r>
      <w:r w:rsidRPr="009F70ED">
        <w:rPr>
          <w:i/>
        </w:rPr>
        <w:t>et al.</w:t>
      </w:r>
      <w:r w:rsidR="009F70ED">
        <w:t>, 2013;</w:t>
      </w:r>
      <w:r w:rsidR="00E77152">
        <w:t xml:space="preserve"> </w:t>
      </w:r>
      <w:proofErr w:type="spellStart"/>
      <w:r w:rsidRPr="00204E0E">
        <w:t>Swinburn</w:t>
      </w:r>
      <w:proofErr w:type="spellEnd"/>
      <w:r w:rsidRPr="00204E0E">
        <w:t xml:space="preserve"> </w:t>
      </w:r>
      <w:r w:rsidRPr="009F70ED">
        <w:rPr>
          <w:i/>
        </w:rPr>
        <w:t>et al.</w:t>
      </w:r>
      <w:r w:rsidR="009F70ED">
        <w:rPr>
          <w:i/>
        </w:rPr>
        <w:t>,</w:t>
      </w:r>
      <w:r w:rsidRPr="00204E0E">
        <w:t xml:space="preserve"> 2019). </w:t>
      </w:r>
    </w:p>
    <w:p w14:paraId="59F4657D" w14:textId="0DF4A19D" w:rsidR="00D80DA7" w:rsidRPr="00204E0E" w:rsidRDefault="00D80DA7" w:rsidP="007B14CB">
      <w:pPr>
        <w:spacing w:after="240" w:line="480" w:lineRule="auto"/>
        <w:ind w:firstLine="567"/>
      </w:pPr>
      <w:r w:rsidRPr="00204E0E">
        <w:t xml:space="preserve">Overt power is useful </w:t>
      </w:r>
      <w:r>
        <w:t>for influencing</w:t>
      </w:r>
      <w:r w:rsidRPr="00204E0E">
        <w:t xml:space="preserve"> decision making in order to favour positive outcomes, from shaping consumer needs to framing social and political issues (Dahlberg</w:t>
      </w:r>
      <w:r w:rsidR="00CB6F21">
        <w:t>, 2001;</w:t>
      </w:r>
      <w:r w:rsidRPr="00204E0E">
        <w:t xml:space="preserve"> Pelletier </w:t>
      </w:r>
      <w:r w:rsidRPr="00CB6F21">
        <w:rPr>
          <w:i/>
        </w:rPr>
        <w:t>et al.</w:t>
      </w:r>
      <w:r w:rsidR="00CB6F21">
        <w:t>,</w:t>
      </w:r>
      <w:r w:rsidRPr="00204E0E">
        <w:t xml:space="preserve"> 2003). In our study, larger firms </w:t>
      </w:r>
      <w:proofErr w:type="gramStart"/>
      <w:r w:rsidRPr="00204E0E">
        <w:t>are seen</w:t>
      </w:r>
      <w:proofErr w:type="gramEnd"/>
      <w:r w:rsidRPr="00204E0E">
        <w:t xml:space="preserve"> to have undue influence. This is reflected, among others, by Hendrickson and Heffernan (2002, </w:t>
      </w:r>
      <w:r w:rsidR="00487875">
        <w:t xml:space="preserve">p. </w:t>
      </w:r>
      <w:r w:rsidRPr="00204E0E">
        <w:t>358)</w:t>
      </w:r>
      <w:r>
        <w:t>,</w:t>
      </w:r>
      <w:r w:rsidRPr="00204E0E">
        <w:t xml:space="preserve"> who </w:t>
      </w:r>
      <w:proofErr w:type="gramStart"/>
      <w:r w:rsidRPr="00204E0E">
        <w:t>note that</w:t>
      </w:r>
      <w:proofErr w:type="gramEnd"/>
      <w:r w:rsidRPr="00204E0E">
        <w:t xml:space="preserve"> </w:t>
      </w:r>
      <w:r w:rsidRPr="00204E0E">
        <w:lastRenderedPageBreak/>
        <w:t xml:space="preserve">"since economic power does translate into political power, many of the economic and regulatory structures of the food system are weighted in favour of these firms". </w:t>
      </w:r>
      <w:proofErr w:type="gramStart"/>
      <w:r w:rsidRPr="00204E0E">
        <w:t>So</w:t>
      </w:r>
      <w:proofErr w:type="gramEnd"/>
      <w:r>
        <w:t>,</w:t>
      </w:r>
      <w:r w:rsidRPr="00204E0E">
        <w:t xml:space="preserve"> research participants raised the issue of governmental reforms in order to </w:t>
      </w:r>
      <w:r>
        <w:t>increase effectiveness</w:t>
      </w:r>
      <w:r w:rsidRPr="00204E0E">
        <w:t xml:space="preserve"> in nutrition policy development and implementation. </w:t>
      </w:r>
    </w:p>
    <w:p w14:paraId="0FE65DDB" w14:textId="51846495" w:rsidR="00D80DA7" w:rsidRPr="00204E0E" w:rsidRDefault="00EA69F0" w:rsidP="00EA69F0">
      <w:pPr>
        <w:pStyle w:val="Heading2"/>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5.3 C</w:t>
      </w:r>
      <w:r w:rsidRPr="00204E0E">
        <w:rPr>
          <w:rFonts w:ascii="Times New Roman" w:hAnsi="Times New Roman" w:cs="Times New Roman"/>
          <w:b/>
          <w:color w:val="auto"/>
          <w:sz w:val="24"/>
          <w:szCs w:val="24"/>
        </w:rPr>
        <w:t>itizen focus and power shift needed in the development of nutrition policy</w:t>
      </w:r>
    </w:p>
    <w:p w14:paraId="13AB4E30" w14:textId="77777777" w:rsidR="00D80DA7" w:rsidRPr="00204E0E" w:rsidRDefault="00D80DA7" w:rsidP="007B14CB">
      <w:pPr>
        <w:spacing w:after="240" w:line="480" w:lineRule="auto"/>
        <w:ind w:firstLine="567"/>
      </w:pPr>
      <w:r w:rsidRPr="00204E0E">
        <w:rPr>
          <w:lang w:eastAsia="en-US"/>
        </w:rPr>
        <w:t xml:space="preserve">Given this power asymmetry, </w:t>
      </w:r>
      <w:r w:rsidRPr="00204E0E">
        <w:t>we argue that there is a pressing need for a power shift. This shift would mean government</w:t>
      </w:r>
      <w:r>
        <w:t>s</w:t>
      </w:r>
      <w:r w:rsidRPr="00204E0E">
        <w:t xml:space="preserve"> taking on a more active role than merely monitoring and citizens taking on a more active role than merely being the end users of policy</w:t>
      </w:r>
      <w:r>
        <w:t>, for</w:t>
      </w:r>
      <w:r w:rsidRPr="00204E0E">
        <w:t xml:space="preserve"> power </w:t>
      </w:r>
      <w:proofErr w:type="gramStart"/>
      <w:r w:rsidRPr="00204E0E">
        <w:t>is constructed</w:t>
      </w:r>
      <w:proofErr w:type="gramEnd"/>
      <w:r w:rsidRPr="00204E0E">
        <w:t xml:space="preserve"> by and constructs relations</w:t>
      </w:r>
      <w:r>
        <w:t>hips</w:t>
      </w:r>
      <w:r w:rsidRPr="00204E0E">
        <w:t xml:space="preserve"> among actors in the food system. The system needs citizens consciously using citizen power. </w:t>
      </w:r>
    </w:p>
    <w:p w14:paraId="2DE340AF" w14:textId="118AC58C" w:rsidR="00D80DA7" w:rsidRPr="00204E0E" w:rsidRDefault="00D80DA7" w:rsidP="007B14CB">
      <w:pPr>
        <w:spacing w:after="240" w:line="480" w:lineRule="auto"/>
        <w:ind w:firstLine="567"/>
      </w:pPr>
      <w:r w:rsidRPr="00204E0E">
        <w:t xml:space="preserve">Calabrese (2017, </w:t>
      </w:r>
      <w:r w:rsidR="00AF3173">
        <w:t xml:space="preserve">p. </w:t>
      </w:r>
      <w:r w:rsidRPr="00204E0E">
        <w:t xml:space="preserve">3) has </w:t>
      </w:r>
      <w:proofErr w:type="gramStart"/>
      <w:r w:rsidRPr="00204E0E">
        <w:t>noted that</w:t>
      </w:r>
      <w:proofErr w:type="gramEnd"/>
      <w:r w:rsidRPr="00204E0E">
        <w:t xml:space="preserve"> “</w:t>
      </w:r>
      <w:r w:rsidRPr="00204E0E">
        <w:rPr>
          <w:color w:val="000000"/>
        </w:rPr>
        <w:t xml:space="preserve">the rhetoric of choice is a principal means through which consumers are told that the regulation of the food industry on their behalf is how the state attempts to undermine their sovereign power”. However, this claim needs </w:t>
      </w:r>
      <w:proofErr w:type="gramStart"/>
      <w:r w:rsidRPr="00204E0E">
        <w:rPr>
          <w:color w:val="000000"/>
        </w:rPr>
        <w:t>critiquing</w:t>
      </w:r>
      <w:proofErr w:type="gramEnd"/>
      <w:r w:rsidRPr="00204E0E">
        <w:rPr>
          <w:color w:val="000000"/>
        </w:rPr>
        <w:t xml:space="preserve"> and citizenship promoted over consumer choice.  </w:t>
      </w:r>
      <w:r w:rsidRPr="00204E0E">
        <w:t xml:space="preserve">This </w:t>
      </w:r>
      <w:r>
        <w:t>requires</w:t>
      </w:r>
      <w:r w:rsidRPr="00204E0E">
        <w:t xml:space="preserve"> governmental organisations and civil society to collaborate </w:t>
      </w:r>
      <w:r>
        <w:t>and</w:t>
      </w:r>
      <w:r w:rsidRPr="00204E0E">
        <w:t xml:space="preserve"> strengthen their relationships to counterbalance corporations. </w:t>
      </w:r>
      <w:proofErr w:type="spellStart"/>
      <w:r w:rsidRPr="00204E0E">
        <w:t>Lyson</w:t>
      </w:r>
      <w:proofErr w:type="spellEnd"/>
      <w:r w:rsidRPr="00204E0E">
        <w:t xml:space="preserve"> and Raymer (2000, </w:t>
      </w:r>
      <w:r w:rsidR="007E7E4C">
        <w:t xml:space="preserve">p. </w:t>
      </w:r>
      <w:r w:rsidRPr="00204E0E">
        <w:t xml:space="preserve">207) suggest that this power imbalance requires that "researchers, policy makers, and activists monitor, analyse, and report on the corporations and officials who sit on top of today’s global food and agricultural system". Importantly, we take this further by </w:t>
      </w:r>
      <w:r>
        <w:t>suggesting</w:t>
      </w:r>
      <w:r w:rsidRPr="00204E0E">
        <w:t xml:space="preserve"> co-creation rather than relying on analysis and reporting post-facto. </w:t>
      </w:r>
    </w:p>
    <w:p w14:paraId="02354ABA" w14:textId="1ABDD291" w:rsidR="00D80DA7" w:rsidRPr="00204E0E" w:rsidRDefault="00D80DA7" w:rsidP="007B14CB">
      <w:pPr>
        <w:spacing w:after="240" w:line="480" w:lineRule="auto"/>
        <w:ind w:firstLine="567"/>
      </w:pPr>
      <w:proofErr w:type="spellStart"/>
      <w:r w:rsidRPr="00204E0E">
        <w:t>Swinburn</w:t>
      </w:r>
      <w:proofErr w:type="spellEnd"/>
      <w:r w:rsidRPr="00204E0E">
        <w:t xml:space="preserve"> et al. (2019) call for stronger national and international governance levers to fully implement policies and Lang (2005</w:t>
      </w:r>
      <w:r w:rsidR="003B2E6B">
        <w:t xml:space="preserve">, </w:t>
      </w:r>
      <w:r w:rsidR="007E7E4C">
        <w:t xml:space="preserve">p. </w:t>
      </w:r>
      <w:r w:rsidR="003B2E6B">
        <w:t>127</w:t>
      </w:r>
      <w:r w:rsidRPr="00204E0E">
        <w:t>)</w:t>
      </w:r>
      <w:hyperlink w:anchor="_ENREF_44" w:tooltip="Lang, 2005 #555" w:history="1"/>
      <w:r w:rsidRPr="00204E0E">
        <w:t xml:space="preserve"> also discusses the need </w:t>
      </w:r>
      <w:r>
        <w:t>for</w:t>
      </w:r>
      <w:r w:rsidRPr="00204E0E">
        <w:t xml:space="preserve"> pro-activity </w:t>
      </w:r>
      <w:proofErr w:type="gramStart"/>
      <w:r w:rsidRPr="00204E0E">
        <w:t>by  government</w:t>
      </w:r>
      <w:r>
        <w:t>s</w:t>
      </w:r>
      <w:proofErr w:type="gramEnd"/>
      <w:r w:rsidRPr="00204E0E">
        <w:t xml:space="preserve"> in shaping nutrition policies: </w:t>
      </w:r>
    </w:p>
    <w:p w14:paraId="51806A2E" w14:textId="2ABC44A6" w:rsidR="00D80DA7" w:rsidRPr="00204E0E" w:rsidRDefault="00D80DA7" w:rsidP="007B14CB">
      <w:pPr>
        <w:spacing w:after="240" w:line="480" w:lineRule="auto"/>
        <w:ind w:left="567"/>
      </w:pPr>
      <w:r w:rsidRPr="00FB6DB9">
        <w:rPr>
          <w:i/>
        </w:rPr>
        <w:lastRenderedPageBreak/>
        <w:t xml:space="preserve">Even within market theory, whose purest ideologues propose that food is or ought to be subject to market forces, and whose policy central tenet is to restrict the role of the state or remove it altogether, the relationship between the supply chain and civil society/consumers </w:t>
      </w:r>
      <w:proofErr w:type="gramStart"/>
      <w:r w:rsidRPr="00FB6DB9">
        <w:rPr>
          <w:i/>
        </w:rPr>
        <w:t>is in fact mediated or framed by the state</w:t>
      </w:r>
      <w:proofErr w:type="gramEnd"/>
      <w:r w:rsidRPr="00204E0E">
        <w:t>.</w:t>
      </w:r>
    </w:p>
    <w:p w14:paraId="467651C9" w14:textId="289B604B" w:rsidR="00D80DA7" w:rsidRPr="00204E0E" w:rsidRDefault="00D80DA7" w:rsidP="007B14CB">
      <w:pPr>
        <w:spacing w:after="240" w:line="480" w:lineRule="auto"/>
        <w:ind w:firstLine="567"/>
      </w:pPr>
      <w:r w:rsidRPr="00204E0E">
        <w:t xml:space="preserve">Hawkes and </w:t>
      </w:r>
      <w:proofErr w:type="spellStart"/>
      <w:r w:rsidRPr="00204E0E">
        <w:t>Buse</w:t>
      </w:r>
      <w:proofErr w:type="spellEnd"/>
      <w:r w:rsidRPr="00204E0E">
        <w:t xml:space="preserve"> (2011) recommend the development of public-private partnerships only after policy makers take the lead to set public health objectives. Our respondents all recommended that by reducing bureaucracy and actively taking a lead government organisations could reform nutrition policy making by </w:t>
      </w:r>
      <w:r>
        <w:t>focusing on</w:t>
      </w:r>
      <w:r w:rsidRPr="00204E0E">
        <w:t xml:space="preserve"> citizen wellbeing. Interestingly, this is not to suggest a firmer monitoring role. </w:t>
      </w:r>
      <w:proofErr w:type="gramStart"/>
      <w:r w:rsidRPr="00204E0E">
        <w:t>So</w:t>
      </w:r>
      <w:proofErr w:type="gramEnd"/>
      <w:r w:rsidRPr="00204E0E">
        <w:t>, based on the research findings, government</w:t>
      </w:r>
      <w:r>
        <w:t>s</w:t>
      </w:r>
      <w:r w:rsidRPr="00204E0E">
        <w:t xml:space="preserve"> need to move from a transactional-electioneering approach to a relational thinking framework (O’Malley and Tynan</w:t>
      </w:r>
      <w:r w:rsidR="00957E84">
        <w:t>,</w:t>
      </w:r>
      <w:r w:rsidRPr="00204E0E">
        <w:t xml:space="preserve"> 2000) that focuses on </w:t>
      </w:r>
      <w:r>
        <w:t>their</w:t>
      </w:r>
      <w:r w:rsidRPr="00204E0E">
        <w:t xml:space="preserve"> connecting power; </w:t>
      </w:r>
      <w:r>
        <w:t>their</w:t>
      </w:r>
      <w:r w:rsidRPr="00204E0E">
        <w:t xml:space="preserve"> empowering of the citizen voice.</w:t>
      </w:r>
    </w:p>
    <w:p w14:paraId="442C6C27" w14:textId="2B14C8D3" w:rsidR="00D80DA7" w:rsidRDefault="00D80DA7" w:rsidP="007B14CB">
      <w:pPr>
        <w:spacing w:after="240" w:line="480" w:lineRule="auto"/>
        <w:ind w:firstLine="567"/>
      </w:pPr>
      <w:r w:rsidRPr="00204E0E">
        <w:t xml:space="preserve">Given the lack of trust evident in our findings, shared ownership of policy requires </w:t>
      </w:r>
      <w:r>
        <w:t>developing</w:t>
      </w:r>
      <w:r w:rsidRPr="00204E0E">
        <w:t xml:space="preserve"> a shared focus on citizen wellbeing. This is as distinct from blaming individuals for not changing. Failure in the system to deliver the desired outcomes of improved citizen health and wellbeing is often blamed on consumers as somewhat passive end users; that is</w:t>
      </w:r>
      <w:r>
        <w:t>,</w:t>
      </w:r>
      <w:r w:rsidRPr="00204E0E">
        <w:t xml:space="preserve"> on the individuals prone to disease and suffering ill-health </w:t>
      </w:r>
      <w:r>
        <w:t>through</w:t>
      </w:r>
      <w:r w:rsidRPr="00204E0E">
        <w:t>, for example, becoming overweight (</w:t>
      </w:r>
      <w:proofErr w:type="spellStart"/>
      <w:r w:rsidRPr="00204E0E">
        <w:t>Witkowski</w:t>
      </w:r>
      <w:proofErr w:type="spellEnd"/>
      <w:r w:rsidR="00957E84">
        <w:t>,</w:t>
      </w:r>
      <w:r w:rsidRPr="00204E0E">
        <w:t xml:space="preserve"> 2007).  </w:t>
      </w:r>
    </w:p>
    <w:p w14:paraId="773DEFBA" w14:textId="4C970366" w:rsidR="00D80DA7" w:rsidRPr="00204E0E" w:rsidRDefault="00D80DA7" w:rsidP="007B14CB">
      <w:pPr>
        <w:spacing w:after="240" w:line="480" w:lineRule="auto"/>
        <w:ind w:firstLine="567"/>
        <w:rPr>
          <w:highlight w:val="yellow"/>
        </w:rPr>
      </w:pPr>
      <w:r w:rsidRPr="00204E0E" w:rsidDel="00A60901">
        <w:t xml:space="preserve">Our </w:t>
      </w:r>
      <w:r w:rsidRPr="00204E0E">
        <w:t xml:space="preserve">model (Figure 2) does not overlook any inevitable tension and conflict but keeps the citizen at the centre of every decision. This relational approach would facilitate the development of appropriate policies to promote and support healthy eating behaviours through the interaction of all actors, since value </w:t>
      </w:r>
      <w:proofErr w:type="gramStart"/>
      <w:r w:rsidRPr="00204E0E">
        <w:t>is co-created</w:t>
      </w:r>
      <w:proofErr w:type="gramEnd"/>
      <w:r w:rsidRPr="00204E0E">
        <w:t xml:space="preserve"> within interactive processes (</w:t>
      </w:r>
      <w:proofErr w:type="spellStart"/>
      <w:r w:rsidRPr="00204E0E">
        <w:t>Grönroos</w:t>
      </w:r>
      <w:proofErr w:type="spellEnd"/>
      <w:r w:rsidR="00957E84">
        <w:t>,</w:t>
      </w:r>
      <w:r w:rsidRPr="00204E0E">
        <w:t xml:space="preserve"> 2006). This interaction will add value to citizens (healthy lives/wellbeing), stakeholders (higher profits, </w:t>
      </w:r>
      <w:r>
        <w:t>fewer</w:t>
      </w:r>
      <w:r w:rsidRPr="00204E0E">
        <w:t xml:space="preserve"> healthcare expenses, increased trust </w:t>
      </w:r>
      <w:r>
        <w:t>among</w:t>
      </w:r>
      <w:r w:rsidRPr="00204E0E">
        <w:t xml:space="preserve"> the </w:t>
      </w:r>
      <w:r w:rsidRPr="00204E0E">
        <w:lastRenderedPageBreak/>
        <w:t>citizens/voters/consumers)</w:t>
      </w:r>
      <w:r>
        <w:t>,</w:t>
      </w:r>
      <w:r w:rsidRPr="00204E0E">
        <w:t xml:space="preserve"> and society (wellbeing, sustainability, local production and economic development, environmental protection). It would </w:t>
      </w:r>
      <w:r>
        <w:t>also</w:t>
      </w:r>
      <w:r w:rsidRPr="00204E0E">
        <w:t xml:space="preserve"> mean that a strong accountability system is in place (</w:t>
      </w:r>
      <w:proofErr w:type="spellStart"/>
      <w:r w:rsidRPr="00204E0E">
        <w:t>Swinburn</w:t>
      </w:r>
      <w:proofErr w:type="spellEnd"/>
      <w:r w:rsidRPr="00204E0E">
        <w:t xml:space="preserve"> </w:t>
      </w:r>
      <w:r w:rsidRPr="00E1120C">
        <w:rPr>
          <w:i/>
        </w:rPr>
        <w:t>et al.</w:t>
      </w:r>
      <w:r w:rsidR="00E1120C">
        <w:t xml:space="preserve">, </w:t>
      </w:r>
      <w:r w:rsidRPr="00204E0E">
        <w:t xml:space="preserve">2019). </w:t>
      </w:r>
    </w:p>
    <w:p w14:paraId="1E22B16D" w14:textId="08C6407F" w:rsidR="00D80DA7" w:rsidRPr="00204E0E" w:rsidRDefault="00D80DA7" w:rsidP="00DB4267">
      <w:pPr>
        <w:pStyle w:val="Heading1"/>
        <w:numPr>
          <w:ilvl w:val="0"/>
          <w:numId w:val="17"/>
        </w:numPr>
        <w:spacing w:line="480" w:lineRule="auto"/>
        <w:rPr>
          <w:rFonts w:ascii="Times New Roman" w:hAnsi="Times New Roman" w:cs="Times New Roman"/>
          <w:b/>
          <w:color w:val="auto"/>
          <w:sz w:val="28"/>
          <w:szCs w:val="24"/>
        </w:rPr>
      </w:pPr>
      <w:r w:rsidRPr="00204E0E">
        <w:rPr>
          <w:rFonts w:ascii="Times New Roman" w:hAnsi="Times New Roman" w:cs="Times New Roman"/>
          <w:b/>
          <w:color w:val="auto"/>
          <w:sz w:val="28"/>
          <w:szCs w:val="24"/>
        </w:rPr>
        <w:t>CONCLUSIONS AND IMPLICATIONS</w:t>
      </w:r>
    </w:p>
    <w:p w14:paraId="33FD6A01" w14:textId="77777777" w:rsidR="00D80DA7" w:rsidRPr="00204E0E" w:rsidRDefault="00D80DA7" w:rsidP="007B14CB">
      <w:pPr>
        <w:spacing w:after="240" w:line="480" w:lineRule="auto"/>
        <w:ind w:firstLine="567"/>
      </w:pPr>
      <w:r w:rsidRPr="00204E0E">
        <w:t>We conclude that in the policy development context there should be a power</w:t>
      </w:r>
      <w:r>
        <w:t xml:space="preserve"> </w:t>
      </w:r>
      <w:r w:rsidRPr="00204E0E">
        <w:t>shift based on a relational marketing approach acknowledging the interdependence of all policy actors. Our findings demonstrate that conflict and the presence of dominant power in the system concern almost all the participants. Reallocation of power within nutrition policy development is, therefore, crucial. This could happen best through an intentional focus on developing a shared goal of citizen wellbeing. For this to happen consumers need to consider themselves less as passive receivers of consumer goods and services and more as active citizens, co-creating their health and wellbeing, conscious of being members of civil society.</w:t>
      </w:r>
    </w:p>
    <w:p w14:paraId="1BD8862D" w14:textId="77777777" w:rsidR="00D80DA7" w:rsidRPr="00204E0E" w:rsidRDefault="00D80DA7" w:rsidP="007B14CB">
      <w:pPr>
        <w:pStyle w:val="Bibliography"/>
        <w:spacing w:line="480" w:lineRule="auto"/>
        <w:ind w:firstLine="567"/>
      </w:pPr>
      <w:r w:rsidRPr="00204E0E">
        <w:t>Our findings suggest a need for government</w:t>
      </w:r>
      <w:r>
        <w:t>s</w:t>
      </w:r>
      <w:r w:rsidRPr="00204E0E">
        <w:t xml:space="preserve"> to lead in nutrition policy creation. Yet</w:t>
      </w:r>
      <w:r>
        <w:t>,</w:t>
      </w:r>
      <w:r w:rsidRPr="00204E0E">
        <w:t xml:space="preserve"> the findings indicate many governmental weaknesses. This is clearly problematic. We model how a greater balance of power </w:t>
      </w:r>
      <w:proofErr w:type="gramStart"/>
      <w:r w:rsidRPr="00204E0E">
        <w:t>could be achieved</w:t>
      </w:r>
      <w:proofErr w:type="gramEnd"/>
      <w:r w:rsidRPr="00204E0E">
        <w:t xml:space="preserve"> </w:t>
      </w:r>
      <w:r>
        <w:t>through</w:t>
      </w:r>
      <w:r w:rsidRPr="00204E0E">
        <w:t xml:space="preserve"> iterative interaction and government action by reducing food supply chain power and increasing government participation. So, our study enriches policy formation theory by focusing on the whole system at the same time to ensure policy develops holistically</w:t>
      </w:r>
      <w:r>
        <w:t>,</w:t>
      </w:r>
      <w:r w:rsidRPr="00204E0E">
        <w:t xml:space="preserve"> addressing power imbalance and ensuring government</w:t>
      </w:r>
      <w:r>
        <w:t>s</w:t>
      </w:r>
      <w:r w:rsidRPr="00204E0E">
        <w:t xml:space="preserve"> hold actors to account. The overall policy implication is that it is vital for government</w:t>
      </w:r>
      <w:r>
        <w:t>s</w:t>
      </w:r>
      <w:r w:rsidRPr="00204E0E">
        <w:t xml:space="preserve"> to create the context for the development of collaborative relationships among </w:t>
      </w:r>
      <w:proofErr w:type="gramStart"/>
      <w:r w:rsidRPr="00204E0E">
        <w:t>actors:</w:t>
      </w:r>
      <w:proofErr w:type="gramEnd"/>
      <w:r w:rsidRPr="00204E0E">
        <w:t xml:space="preserve"> </w:t>
      </w:r>
      <w:r>
        <w:t xml:space="preserve">the </w:t>
      </w:r>
      <w:r w:rsidRPr="00204E0E">
        <w:t>government, the food supply chain and civil society. This role for government</w:t>
      </w:r>
      <w:r>
        <w:t>s</w:t>
      </w:r>
      <w:r w:rsidRPr="00204E0E">
        <w:t xml:space="preserve"> is more important than overt regulatory power.  </w:t>
      </w:r>
    </w:p>
    <w:p w14:paraId="5CA02FB5" w14:textId="77777777" w:rsidR="00D80DA7" w:rsidRPr="00204E0E" w:rsidRDefault="00D80DA7" w:rsidP="007B14CB">
      <w:pPr>
        <w:spacing w:after="240" w:line="480" w:lineRule="auto"/>
        <w:ind w:firstLine="567"/>
      </w:pPr>
      <w:r w:rsidRPr="00204E0E">
        <w:t>We identified two key implications for theory relat</w:t>
      </w:r>
      <w:r>
        <w:t>ing</w:t>
      </w:r>
      <w:r w:rsidRPr="00204E0E">
        <w:t xml:space="preserve"> to the application of relationship thinking to nutrition policy development. One implication</w:t>
      </w:r>
      <w:r>
        <w:t>, from a theoretical perspective,</w:t>
      </w:r>
      <w:r w:rsidRPr="00204E0E">
        <w:t xml:space="preserve"> is </w:t>
      </w:r>
      <w:r w:rsidRPr="00204E0E">
        <w:lastRenderedPageBreak/>
        <w:t>the need to see nutrition</w:t>
      </w:r>
      <w:r w:rsidRPr="00204E0E" w:rsidDel="00B10E7B">
        <w:t xml:space="preserve"> policy development </w:t>
      </w:r>
      <w:r w:rsidRPr="00204E0E">
        <w:t xml:space="preserve">as a set of stakeholders </w:t>
      </w:r>
      <w:r>
        <w:t>with</w:t>
      </w:r>
      <w:r w:rsidRPr="00204E0E">
        <w:t xml:space="preserve"> the potential </w:t>
      </w:r>
      <w:proofErr w:type="gramStart"/>
      <w:r w:rsidRPr="00204E0E">
        <w:t>both to</w:t>
      </w:r>
      <w:proofErr w:type="gramEnd"/>
      <w:r w:rsidRPr="00204E0E">
        <w:t xml:space="preserve"> create and destroy value-in-use for themselves and across the system. Relational marketing encourages an understanding of the importance of re-balancing power asymmetries for the common good within the system. The second </w:t>
      </w:r>
      <w:r>
        <w:t xml:space="preserve">implication </w:t>
      </w:r>
      <w:r w:rsidRPr="00204E0E">
        <w:t xml:space="preserve">is that we </w:t>
      </w:r>
      <w:r>
        <w:t xml:space="preserve">need to </w:t>
      </w:r>
      <w:r w:rsidRPr="00204E0E">
        <w:t>develop a more nuanced understanding of relational dynamics such that actors commit to moving towards a more interconnected, interdependent approach as they create relationships, focused on a shared goal of creating citizen wellbeing.</w:t>
      </w:r>
    </w:p>
    <w:p w14:paraId="085317E9" w14:textId="77777777" w:rsidR="00D80DA7" w:rsidRPr="00204E0E" w:rsidRDefault="00D80DA7" w:rsidP="007B14CB">
      <w:pPr>
        <w:pStyle w:val="Bibliography"/>
        <w:spacing w:line="480" w:lineRule="auto"/>
        <w:ind w:firstLine="567"/>
      </w:pPr>
      <w:r w:rsidRPr="00204E0E">
        <w:t xml:space="preserve">Our overall contribution is to stress that shared goals need co-creation by all actors. This is the needed change in state-civil society-food supply chain relations. Policy makers should initiate relational processes as part of their approach to policy creation in order to increase whole system trust and cooperation and create the context for citizen buy-in. </w:t>
      </w:r>
    </w:p>
    <w:p w14:paraId="76C9015C" w14:textId="77777777" w:rsidR="00D80DA7" w:rsidRPr="00204E0E" w:rsidRDefault="00D80DA7" w:rsidP="007B14CB">
      <w:pPr>
        <w:pStyle w:val="Bibliography"/>
        <w:spacing w:line="480" w:lineRule="auto"/>
        <w:ind w:firstLine="567"/>
      </w:pPr>
      <w:r w:rsidRPr="00204E0E">
        <w:t>To move from the status quo where it is widely perceived that large corporations wield too much power whilst government</w:t>
      </w:r>
      <w:r>
        <w:t>s are</w:t>
      </w:r>
      <w:r w:rsidRPr="00204E0E">
        <w:t xml:space="preserve"> weak requires a power-shift. Our pyramid model (Figure 2) shows bi-directional relationships that </w:t>
      </w:r>
      <w:proofErr w:type="gramStart"/>
      <w:r w:rsidRPr="00204E0E">
        <w:t>are acknowledged</w:t>
      </w:r>
      <w:proofErr w:type="gramEnd"/>
      <w:r w:rsidRPr="00204E0E">
        <w:t xml:space="preserve"> as part of power dynamics, open to being better balanced between all four actors; we indicate this dynamism with two-way arrows. To facilitate this shift structural changes to enhance communication, collaboration and better organisation within governmental bodies are required. They need to play the crucial role in the process of flexing connecting power, rather than thinking of </w:t>
      </w:r>
      <w:r>
        <w:t xml:space="preserve">the </w:t>
      </w:r>
      <w:r w:rsidRPr="00204E0E">
        <w:t>governmen</w:t>
      </w:r>
      <w:r>
        <w:t>t</w:t>
      </w:r>
      <w:r w:rsidRPr="00204E0E">
        <w:t xml:space="preserve"> role as mere governance.</w:t>
      </w:r>
    </w:p>
    <w:p w14:paraId="18461DB6" w14:textId="12885948" w:rsidR="00D80DA7" w:rsidRPr="00204E0E" w:rsidRDefault="00D80DA7" w:rsidP="0071368F">
      <w:pPr>
        <w:pStyle w:val="Heading1"/>
        <w:numPr>
          <w:ilvl w:val="0"/>
          <w:numId w:val="17"/>
        </w:numPr>
        <w:spacing w:line="480" w:lineRule="auto"/>
        <w:rPr>
          <w:rFonts w:ascii="Times New Roman" w:hAnsi="Times New Roman" w:cs="Times New Roman"/>
          <w:b/>
          <w:color w:val="auto"/>
          <w:sz w:val="28"/>
          <w:szCs w:val="24"/>
        </w:rPr>
      </w:pPr>
      <w:r w:rsidRPr="00204E0E">
        <w:rPr>
          <w:rFonts w:ascii="Times New Roman" w:hAnsi="Times New Roman" w:cs="Times New Roman"/>
          <w:b/>
          <w:color w:val="auto"/>
          <w:sz w:val="28"/>
          <w:szCs w:val="24"/>
        </w:rPr>
        <w:t>LIMITATIONS AND FURTHER RESEARCH</w:t>
      </w:r>
    </w:p>
    <w:p w14:paraId="54EE8930" w14:textId="77777777" w:rsidR="00D80DA7" w:rsidRPr="00C940CA" w:rsidRDefault="00D80DA7" w:rsidP="007B14CB">
      <w:pPr>
        <w:spacing w:line="480" w:lineRule="auto"/>
        <w:ind w:firstLine="567"/>
        <w:rPr>
          <w:highlight w:val="yellow"/>
        </w:rPr>
      </w:pPr>
      <w:r w:rsidRPr="00204E0E">
        <w:t xml:space="preserve">Our study has a few limitations that may open up avenues for future research. The citizen sample consisted of educated young </w:t>
      </w:r>
      <w:proofErr w:type="gramStart"/>
      <w:r w:rsidRPr="00204E0E">
        <w:t>adults</w:t>
      </w:r>
      <w:proofErr w:type="gramEnd"/>
      <w:r w:rsidRPr="00204E0E">
        <w:t xml:space="preserve"> as these are more likely to get involved in politics and consequently shape future food policies</w:t>
      </w:r>
      <w:r>
        <w:t>. However</w:t>
      </w:r>
      <w:r w:rsidRPr="00204E0E">
        <w:t xml:space="preserve">, this </w:t>
      </w:r>
      <w:r>
        <w:t>may</w:t>
      </w:r>
      <w:r w:rsidRPr="00204E0E">
        <w:t xml:space="preserve"> be a limitation of our </w:t>
      </w:r>
      <w:proofErr w:type="gramStart"/>
      <w:r w:rsidRPr="00204E0E">
        <w:t>study</w:t>
      </w:r>
      <w:proofErr w:type="gramEnd"/>
      <w:r w:rsidRPr="00204E0E">
        <w:t xml:space="preserve"> as it does not include the views of older and less educated people whose opinions may </w:t>
      </w:r>
      <w:r w:rsidRPr="00204E0E">
        <w:lastRenderedPageBreak/>
        <w:t xml:space="preserve">also be important to policy formulation. To overcome this limitation we made sure that we recruited people from various socio-economic backgrounds and types of education. Similar future studies could consider a broader sample of citizens </w:t>
      </w:r>
      <w:proofErr w:type="gramStart"/>
      <w:r w:rsidRPr="00204E0E">
        <w:t>to better understand</w:t>
      </w:r>
      <w:proofErr w:type="gramEnd"/>
      <w:r w:rsidRPr="00204E0E">
        <w:t xml:space="preserve"> how different groups could influence food policies and how they could be more engaged to play an active role in policy development; an inclusive policy development approach may require inclusivity of various views. Moreover, this study focuses on one food policy pillar, i.e.</w:t>
      </w:r>
      <w:r>
        <w:t>,</w:t>
      </w:r>
      <w:r w:rsidRPr="00204E0E">
        <w:t xml:space="preserve"> nutrition policies. While many aspects we identified around policy formulation, such as collaboration among actors, citizen engagement with policy development, power asymmetry and trust </w:t>
      </w:r>
      <w:r>
        <w:t>in</w:t>
      </w:r>
      <w:r w:rsidRPr="00204E0E">
        <w:t xml:space="preserve"> policy actors, can have an impact across these pillars, it would be interesting for future studies to investigate if other food policy areas face similar or different challenges. This </w:t>
      </w:r>
      <w:r>
        <w:t>would</w:t>
      </w:r>
      <w:r w:rsidRPr="00204E0E">
        <w:t xml:space="preserve"> help to develop a better understanding of the factors that lead to </w:t>
      </w:r>
      <w:r>
        <w:t>food policy success as a whole.</w:t>
      </w:r>
    </w:p>
    <w:p w14:paraId="5E11C782" w14:textId="77777777" w:rsidR="00D80DA7" w:rsidRPr="00204E0E" w:rsidRDefault="00D80DA7" w:rsidP="007B14CB">
      <w:pPr>
        <w:spacing w:line="480" w:lineRule="auto"/>
        <w:ind w:firstLine="567"/>
      </w:pPr>
    </w:p>
    <w:p w14:paraId="6B1FB498" w14:textId="77777777" w:rsidR="00D80DA7" w:rsidRPr="00204E0E" w:rsidRDefault="00D80DA7" w:rsidP="007B14CB">
      <w:pPr>
        <w:spacing w:line="480" w:lineRule="auto"/>
      </w:pPr>
      <w:r w:rsidRPr="00204E0E">
        <w:br w:type="page"/>
      </w:r>
    </w:p>
    <w:p w14:paraId="3A601A6A" w14:textId="3527BBCF" w:rsidR="00D80DA7" w:rsidRPr="000E3AE0" w:rsidRDefault="00D80DA7" w:rsidP="0071368F">
      <w:pPr>
        <w:pStyle w:val="Heading1"/>
        <w:numPr>
          <w:ilvl w:val="0"/>
          <w:numId w:val="17"/>
        </w:numPr>
        <w:spacing w:line="480" w:lineRule="auto"/>
        <w:rPr>
          <w:rFonts w:ascii="Times New Roman" w:hAnsi="Times New Roman" w:cs="Times New Roman"/>
          <w:b/>
          <w:color w:val="auto"/>
          <w:sz w:val="28"/>
        </w:rPr>
      </w:pPr>
      <w:r w:rsidRPr="000E3AE0">
        <w:rPr>
          <w:rFonts w:ascii="Times New Roman" w:hAnsi="Times New Roman" w:cs="Times New Roman"/>
          <w:b/>
          <w:color w:val="auto"/>
          <w:sz w:val="28"/>
        </w:rPr>
        <w:lastRenderedPageBreak/>
        <w:t>REFERENCES</w:t>
      </w:r>
    </w:p>
    <w:p w14:paraId="3C690AAF" w14:textId="41D81274" w:rsidR="009C5C6B" w:rsidRPr="007B6350" w:rsidRDefault="006F223C"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1" w:name="_ENREF_2"/>
      <w:r w:rsidRPr="007B6350">
        <w:rPr>
          <w:rFonts w:ascii="Times New Roman" w:hAnsi="Times New Roman" w:cs="Times New Roman"/>
          <w:sz w:val="24"/>
          <w:szCs w:val="24"/>
          <w:shd w:val="clear" w:color="auto" w:fill="FFFFFF"/>
        </w:rPr>
        <w:t>Anderson, J. C. and</w:t>
      </w:r>
      <w:r w:rsidR="009C5C6B" w:rsidRPr="007B6350">
        <w:rPr>
          <w:rFonts w:ascii="Times New Roman" w:hAnsi="Times New Roman" w:cs="Times New Roman"/>
          <w:sz w:val="24"/>
          <w:szCs w:val="24"/>
          <w:shd w:val="clear" w:color="auto" w:fill="FFFFFF"/>
        </w:rPr>
        <w:t xml:space="preserve"> Narus, J. A. (1990) A model of distributor firm and manufacturer firm working partnerships. </w:t>
      </w:r>
      <w:r w:rsidR="008F331A" w:rsidRPr="007B6350">
        <w:rPr>
          <w:rFonts w:ascii="Times New Roman" w:hAnsi="Times New Roman" w:cs="Times New Roman"/>
          <w:i/>
          <w:iCs/>
          <w:sz w:val="24"/>
          <w:szCs w:val="24"/>
          <w:shd w:val="clear" w:color="auto" w:fill="FFFFFF"/>
        </w:rPr>
        <w:t>Journal of M</w:t>
      </w:r>
      <w:r w:rsidR="009C5C6B" w:rsidRPr="007B6350">
        <w:rPr>
          <w:rFonts w:ascii="Times New Roman" w:hAnsi="Times New Roman" w:cs="Times New Roman"/>
          <w:i/>
          <w:iCs/>
          <w:sz w:val="24"/>
          <w:szCs w:val="24"/>
          <w:shd w:val="clear" w:color="auto" w:fill="FFFFFF"/>
        </w:rPr>
        <w:t>arketing</w:t>
      </w:r>
      <w:r w:rsidR="009C5C6B" w:rsidRPr="007B6350">
        <w:rPr>
          <w:rFonts w:ascii="Times New Roman" w:hAnsi="Times New Roman" w:cs="Times New Roman"/>
          <w:sz w:val="24"/>
          <w:szCs w:val="24"/>
          <w:shd w:val="clear" w:color="auto" w:fill="FFFFFF"/>
        </w:rPr>
        <w:t>, </w:t>
      </w:r>
      <w:r w:rsidR="009C5C6B" w:rsidRPr="007B6350">
        <w:rPr>
          <w:rFonts w:ascii="Times New Roman" w:hAnsi="Times New Roman" w:cs="Times New Roman"/>
          <w:iCs/>
          <w:sz w:val="24"/>
          <w:szCs w:val="24"/>
          <w:shd w:val="clear" w:color="auto" w:fill="FFFFFF"/>
        </w:rPr>
        <w:t>54</w:t>
      </w:r>
      <w:r w:rsidR="009C5C6B" w:rsidRPr="007B6350">
        <w:rPr>
          <w:rFonts w:ascii="Times New Roman" w:hAnsi="Times New Roman" w:cs="Times New Roman"/>
          <w:sz w:val="24"/>
          <w:szCs w:val="24"/>
          <w:shd w:val="clear" w:color="auto" w:fill="FFFFFF"/>
        </w:rPr>
        <w:t>(1), 42-58.</w:t>
      </w:r>
    </w:p>
    <w:p w14:paraId="78224FC0" w14:textId="132040F5" w:rsidR="0065247E" w:rsidRPr="007B6350" w:rsidRDefault="0065247E"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r w:rsidRPr="007B6350">
        <w:rPr>
          <w:rFonts w:ascii="Times New Roman" w:hAnsi="Times New Roman" w:cs="Times New Roman"/>
          <w:sz w:val="24"/>
          <w:szCs w:val="24"/>
          <w:shd w:val="clear" w:color="auto" w:fill="FFFFFF"/>
        </w:rPr>
        <w:t>Aschemann-Witzel, J., de Hooge, I. E., Almli,</w:t>
      </w:r>
      <w:r w:rsidR="006F223C" w:rsidRPr="007B6350">
        <w:rPr>
          <w:rFonts w:ascii="Times New Roman" w:hAnsi="Times New Roman" w:cs="Times New Roman"/>
          <w:sz w:val="24"/>
          <w:szCs w:val="24"/>
          <w:shd w:val="clear" w:color="auto" w:fill="FFFFFF"/>
        </w:rPr>
        <w:t xml:space="preserve"> V. L. and </w:t>
      </w:r>
      <w:r w:rsidRPr="007B6350">
        <w:rPr>
          <w:rFonts w:ascii="Times New Roman" w:hAnsi="Times New Roman" w:cs="Times New Roman"/>
          <w:sz w:val="24"/>
          <w:szCs w:val="24"/>
          <w:shd w:val="clear" w:color="auto" w:fill="FFFFFF"/>
        </w:rPr>
        <w:t>Oostindjer, M. (2018) Fine-tuning the fight against food waste. </w:t>
      </w:r>
      <w:r w:rsidRPr="007B6350">
        <w:rPr>
          <w:rFonts w:ascii="Times New Roman" w:hAnsi="Times New Roman" w:cs="Times New Roman"/>
          <w:i/>
          <w:iCs/>
          <w:sz w:val="24"/>
          <w:szCs w:val="24"/>
          <w:shd w:val="clear" w:color="auto" w:fill="FFFFFF"/>
        </w:rPr>
        <w:t>Journal of Macromarketing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38</w:t>
      </w:r>
      <w:r w:rsidRPr="007B6350">
        <w:rPr>
          <w:rFonts w:ascii="Times New Roman" w:hAnsi="Times New Roman" w:cs="Times New Roman"/>
          <w:sz w:val="24"/>
          <w:szCs w:val="24"/>
          <w:shd w:val="clear" w:color="auto" w:fill="FFFFFF"/>
        </w:rPr>
        <w:t>(2), 168-184.</w:t>
      </w:r>
    </w:p>
    <w:p w14:paraId="3194B446" w14:textId="258DE655" w:rsidR="006F223C" w:rsidRPr="007B6350" w:rsidRDefault="006F223C" w:rsidP="00912C71">
      <w:pPr>
        <w:pStyle w:val="EndNoteBibliography"/>
        <w:spacing w:after="0" w:line="480" w:lineRule="auto"/>
        <w:ind w:left="720" w:hanging="720"/>
        <w:jc w:val="left"/>
        <w:rPr>
          <w:rFonts w:ascii="Times New Roman" w:hAnsi="Times New Roman" w:cs="Times New Roman"/>
          <w:sz w:val="24"/>
          <w:szCs w:val="24"/>
        </w:rPr>
      </w:pPr>
      <w:bookmarkStart w:id="2" w:name="_ENREF_3"/>
      <w:bookmarkEnd w:id="1"/>
      <w:r w:rsidRPr="007B6350">
        <w:rPr>
          <w:rFonts w:ascii="Times New Roman" w:hAnsi="Times New Roman" w:cs="Times New Roman"/>
          <w:sz w:val="24"/>
          <w:szCs w:val="24"/>
          <w:shd w:val="clear" w:color="auto" w:fill="FFFFFF"/>
        </w:rPr>
        <w:t>Aschemann-Witzel, J., Perez-Cueto, F. J., Niedzwiedzka, B., Verbeke, W. and Bech-Larsen, T. (2012) Transferability of private food marketing success factors to public food and health policy: An expert Delphi survey. </w:t>
      </w:r>
      <w:r w:rsidRPr="007B6350">
        <w:rPr>
          <w:rFonts w:ascii="Times New Roman" w:hAnsi="Times New Roman" w:cs="Times New Roman"/>
          <w:i/>
          <w:iCs/>
          <w:sz w:val="24"/>
          <w:szCs w:val="24"/>
          <w:shd w:val="clear" w:color="auto" w:fill="FFFFFF"/>
        </w:rPr>
        <w:t>Food Policy</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37</w:t>
      </w:r>
      <w:r w:rsidRPr="007B6350">
        <w:rPr>
          <w:rFonts w:ascii="Times New Roman" w:hAnsi="Times New Roman" w:cs="Times New Roman"/>
          <w:sz w:val="24"/>
          <w:szCs w:val="24"/>
          <w:shd w:val="clear" w:color="auto" w:fill="FFFFFF"/>
        </w:rPr>
        <w:t>(6), 650-660.</w:t>
      </w:r>
    </w:p>
    <w:p w14:paraId="5D313D1B" w14:textId="6AB211FD" w:rsidR="00D80DA7" w:rsidRPr="007B6350" w:rsidRDefault="00B83B77" w:rsidP="00B83B77">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3" w:name="_ENREF_4"/>
      <w:bookmarkEnd w:id="2"/>
      <w:r w:rsidRPr="007B6350">
        <w:rPr>
          <w:rFonts w:ascii="Times New Roman" w:hAnsi="Times New Roman" w:cs="Times New Roman"/>
          <w:sz w:val="24"/>
          <w:szCs w:val="24"/>
          <w:shd w:val="clear" w:color="auto" w:fill="FFFFFF"/>
        </w:rPr>
        <w:t>Baker, P., Hawkes, C., Wingrove, K., Demaio, A. R., Parkhurst, J., Thow, A. M. and Walls, H. (2018) What drives political commitment for nutrition? A review and framework synthesis to inform the United Nations Decade of Action on Nutrition. </w:t>
      </w:r>
      <w:r w:rsidRPr="007B6350">
        <w:rPr>
          <w:rFonts w:ascii="Times New Roman" w:hAnsi="Times New Roman" w:cs="Times New Roman"/>
          <w:i/>
          <w:iCs/>
          <w:sz w:val="24"/>
          <w:szCs w:val="24"/>
          <w:shd w:val="clear" w:color="auto" w:fill="FFFFFF"/>
        </w:rPr>
        <w:t>BMJ Global Health</w:t>
      </w:r>
      <w:r w:rsidRPr="007B6350">
        <w:rPr>
          <w:rFonts w:ascii="Times New Roman" w:hAnsi="Times New Roman" w:cs="Times New Roman"/>
          <w:sz w:val="24"/>
          <w:szCs w:val="24"/>
          <w:shd w:val="clear" w:color="auto" w:fill="FFFFFF"/>
        </w:rPr>
        <w:t xml:space="preserve">, 3(1), </w:t>
      </w:r>
      <w:r w:rsidR="00D80DA7" w:rsidRPr="007B6350">
        <w:rPr>
          <w:rFonts w:ascii="Times New Roman" w:hAnsi="Times New Roman" w:cs="Times New Roman"/>
          <w:sz w:val="24"/>
          <w:szCs w:val="24"/>
          <w:shd w:val="clear" w:color="auto" w:fill="FFFFFF"/>
        </w:rPr>
        <w:t>e000485.</w:t>
      </w:r>
      <w:bookmarkEnd w:id="3"/>
    </w:p>
    <w:p w14:paraId="130F1346" w14:textId="4B99DCCD" w:rsidR="00616CBB" w:rsidRPr="007B6350" w:rsidRDefault="00616CBB" w:rsidP="00616CBB">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4" w:name="_ENREF_5"/>
      <w:r w:rsidRPr="007B6350">
        <w:rPr>
          <w:rFonts w:ascii="Times New Roman" w:hAnsi="Times New Roman" w:cs="Times New Roman"/>
          <w:sz w:val="24"/>
          <w:szCs w:val="24"/>
          <w:shd w:val="clear" w:color="auto" w:fill="FFFFFF"/>
        </w:rPr>
        <w:t>Bech-Larsen, T. and Aschemann-Witzel, J. (2012) A macromarketing perspective on food safety regulation: The Danish ban on trans-fatty acids. </w:t>
      </w:r>
      <w:r w:rsidRPr="007B6350">
        <w:rPr>
          <w:rFonts w:ascii="Times New Roman" w:hAnsi="Times New Roman" w:cs="Times New Roman"/>
          <w:i/>
          <w:iCs/>
          <w:sz w:val="24"/>
          <w:szCs w:val="24"/>
          <w:shd w:val="clear" w:color="auto" w:fill="FFFFFF"/>
        </w:rPr>
        <w:t>Journal of Macromarketing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32</w:t>
      </w:r>
      <w:r w:rsidRPr="007B6350">
        <w:rPr>
          <w:rFonts w:ascii="Times New Roman" w:hAnsi="Times New Roman" w:cs="Times New Roman"/>
          <w:sz w:val="24"/>
          <w:szCs w:val="24"/>
          <w:shd w:val="clear" w:color="auto" w:fill="FFFFFF"/>
        </w:rPr>
        <w:t>(2), 208-219.</w:t>
      </w:r>
    </w:p>
    <w:p w14:paraId="49A307B8" w14:textId="197A7327" w:rsidR="00B515F7" w:rsidRPr="007B6350" w:rsidRDefault="00B515F7"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5" w:name="_ENREF_6"/>
      <w:bookmarkEnd w:id="4"/>
      <w:r w:rsidRPr="007B6350">
        <w:rPr>
          <w:rFonts w:ascii="Times New Roman" w:hAnsi="Times New Roman" w:cs="Times New Roman"/>
          <w:sz w:val="24"/>
          <w:szCs w:val="24"/>
          <w:shd w:val="clear" w:color="auto" w:fill="FFFFFF"/>
        </w:rPr>
        <w:t>Berglund, C. and Matti, S. (2006) Citizen and consumer: the dual role of individuals in environmental policy. </w:t>
      </w:r>
      <w:r w:rsidRPr="007B6350">
        <w:rPr>
          <w:rFonts w:ascii="Times New Roman" w:hAnsi="Times New Roman" w:cs="Times New Roman"/>
          <w:i/>
          <w:iCs/>
          <w:sz w:val="24"/>
          <w:szCs w:val="24"/>
          <w:shd w:val="clear" w:color="auto" w:fill="FFFFFF"/>
        </w:rPr>
        <w:t>Environmental politics</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15</w:t>
      </w:r>
      <w:r w:rsidRPr="007B6350">
        <w:rPr>
          <w:rFonts w:ascii="Times New Roman" w:hAnsi="Times New Roman" w:cs="Times New Roman"/>
          <w:sz w:val="24"/>
          <w:szCs w:val="24"/>
          <w:shd w:val="clear" w:color="auto" w:fill="FFFFFF"/>
        </w:rPr>
        <w:t>(4), 550-571.</w:t>
      </w:r>
    </w:p>
    <w:p w14:paraId="0D170C85" w14:textId="6700C231" w:rsidR="000F0CBB" w:rsidRPr="007B6350" w:rsidRDefault="000F0CBB" w:rsidP="00912C71">
      <w:pPr>
        <w:pStyle w:val="EndNoteBibliography"/>
        <w:spacing w:after="0" w:line="480" w:lineRule="auto"/>
        <w:ind w:left="720" w:hanging="720"/>
        <w:jc w:val="left"/>
        <w:rPr>
          <w:rFonts w:ascii="Times New Roman" w:hAnsi="Times New Roman" w:cs="Times New Roman"/>
          <w:sz w:val="24"/>
          <w:szCs w:val="24"/>
        </w:rPr>
      </w:pPr>
      <w:bookmarkStart w:id="6" w:name="_ENREF_7"/>
      <w:bookmarkEnd w:id="5"/>
      <w:r w:rsidRPr="007B6350">
        <w:rPr>
          <w:rFonts w:ascii="Times New Roman" w:hAnsi="Times New Roman" w:cs="Times New Roman"/>
          <w:sz w:val="24"/>
          <w:szCs w:val="24"/>
          <w:shd w:val="clear" w:color="auto" w:fill="FFFFFF"/>
        </w:rPr>
        <w:t>Brooks, S., Leaver, A</w:t>
      </w:r>
      <w:r w:rsidR="00E9052D" w:rsidRPr="007B6350">
        <w:rPr>
          <w:rFonts w:ascii="Times New Roman" w:hAnsi="Times New Roman" w:cs="Times New Roman"/>
          <w:sz w:val="24"/>
          <w:szCs w:val="24"/>
          <w:shd w:val="clear" w:color="auto" w:fill="FFFFFF"/>
        </w:rPr>
        <w:t>., Spence, M., Elliott, C. T. and</w:t>
      </w:r>
      <w:r w:rsidRPr="007B6350">
        <w:rPr>
          <w:rFonts w:ascii="Times New Roman" w:hAnsi="Times New Roman" w:cs="Times New Roman"/>
          <w:sz w:val="24"/>
          <w:szCs w:val="24"/>
          <w:shd w:val="clear" w:color="auto" w:fill="FFFFFF"/>
        </w:rPr>
        <w:t xml:space="preserve"> Dean, M. (2017) Pragmatic engagement in a low trust supply chain: Beef farmers’ perceptions of power, trust and agency. </w:t>
      </w:r>
      <w:r w:rsidRPr="007B6350">
        <w:rPr>
          <w:rFonts w:ascii="Times New Roman" w:hAnsi="Times New Roman" w:cs="Times New Roman"/>
          <w:i/>
          <w:iCs/>
          <w:sz w:val="24"/>
          <w:szCs w:val="24"/>
          <w:shd w:val="clear" w:color="auto" w:fill="FFFFFF"/>
        </w:rPr>
        <w:t>Competition &amp; Change</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21</w:t>
      </w:r>
      <w:r w:rsidRPr="007B6350">
        <w:rPr>
          <w:rFonts w:ascii="Times New Roman" w:hAnsi="Times New Roman" w:cs="Times New Roman"/>
          <w:sz w:val="24"/>
          <w:szCs w:val="24"/>
          <w:shd w:val="clear" w:color="auto" w:fill="FFFFFF"/>
        </w:rPr>
        <w:t>(2), 114-131.</w:t>
      </w:r>
    </w:p>
    <w:p w14:paraId="7BCB2AE4" w14:textId="62B3D9CB" w:rsidR="00E9052D" w:rsidRPr="007B6350" w:rsidRDefault="00E9052D"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7" w:name="_ENREF_9"/>
      <w:bookmarkEnd w:id="6"/>
      <w:r w:rsidRPr="007B6350">
        <w:rPr>
          <w:rFonts w:ascii="Times New Roman" w:hAnsi="Times New Roman" w:cs="Times New Roman"/>
          <w:sz w:val="24"/>
          <w:szCs w:val="24"/>
          <w:shd w:val="clear" w:color="auto" w:fill="FFFFFF"/>
        </w:rPr>
        <w:t>Calabrese, A. (2017) Caveat Emptor! The Rhetoric of Choice in Food Politics. </w:t>
      </w:r>
      <w:r w:rsidR="003C0E99" w:rsidRPr="007B6350">
        <w:rPr>
          <w:rFonts w:ascii="Times New Roman" w:hAnsi="Times New Roman" w:cs="Times New Roman"/>
          <w:i/>
          <w:iCs/>
          <w:sz w:val="24"/>
          <w:szCs w:val="24"/>
          <w:shd w:val="clear" w:color="auto" w:fill="FFFFFF"/>
        </w:rPr>
        <w:t>C</w:t>
      </w:r>
      <w:r w:rsidRPr="007B6350">
        <w:rPr>
          <w:rFonts w:ascii="Times New Roman" w:hAnsi="Times New Roman" w:cs="Times New Roman"/>
          <w:i/>
          <w:iCs/>
          <w:sz w:val="24"/>
          <w:szCs w:val="24"/>
          <w:shd w:val="clear" w:color="auto" w:fill="FFFFFF"/>
        </w:rPr>
        <w:t>ommunication+ 1</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6</w:t>
      </w:r>
      <w:r w:rsidRPr="007B6350">
        <w:rPr>
          <w:rFonts w:ascii="Times New Roman" w:hAnsi="Times New Roman" w:cs="Times New Roman"/>
          <w:sz w:val="24"/>
          <w:szCs w:val="24"/>
          <w:shd w:val="clear" w:color="auto" w:fill="FFFFFF"/>
        </w:rPr>
        <w:t>(1), 2.</w:t>
      </w:r>
    </w:p>
    <w:p w14:paraId="206B55E8" w14:textId="1EB646DC" w:rsidR="00ED7E01" w:rsidRPr="007B6350" w:rsidRDefault="00ED7E01"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r w:rsidRPr="007B6350">
        <w:rPr>
          <w:rFonts w:ascii="Times New Roman" w:hAnsi="Times New Roman" w:cs="Times New Roman"/>
          <w:sz w:val="24"/>
          <w:szCs w:val="24"/>
          <w:shd w:val="clear" w:color="auto" w:fill="FFFFFF"/>
        </w:rPr>
        <w:t>Candel, J. J. and Pereira, L. (2017) Towards integrated food policy: Main challenges and steps ahead. </w:t>
      </w:r>
      <w:r w:rsidRPr="007B6350">
        <w:rPr>
          <w:rFonts w:ascii="Times New Roman" w:hAnsi="Times New Roman" w:cs="Times New Roman"/>
          <w:i/>
          <w:iCs/>
          <w:sz w:val="24"/>
          <w:szCs w:val="24"/>
          <w:shd w:val="clear" w:color="auto" w:fill="FFFFFF"/>
        </w:rPr>
        <w:t>Environmental Science &amp; Policy</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73</w:t>
      </w:r>
      <w:r w:rsidRPr="007B6350">
        <w:rPr>
          <w:rFonts w:ascii="Times New Roman" w:hAnsi="Times New Roman" w:cs="Times New Roman"/>
          <w:sz w:val="24"/>
          <w:szCs w:val="24"/>
          <w:shd w:val="clear" w:color="auto" w:fill="FFFFFF"/>
        </w:rPr>
        <w:t>, 89-92.</w:t>
      </w:r>
    </w:p>
    <w:p w14:paraId="4653BCAD" w14:textId="22A79AC9" w:rsidR="009D3BEC" w:rsidRPr="007B6350" w:rsidRDefault="009D3BEC"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8" w:name="_ENREF_10"/>
      <w:bookmarkEnd w:id="7"/>
      <w:r w:rsidRPr="007B6350">
        <w:rPr>
          <w:rFonts w:ascii="Times New Roman" w:hAnsi="Times New Roman" w:cs="Times New Roman"/>
          <w:sz w:val="24"/>
          <w:szCs w:val="24"/>
          <w:shd w:val="clear" w:color="auto" w:fill="FFFFFF"/>
        </w:rPr>
        <w:lastRenderedPageBreak/>
        <w:t>Caraher</w:t>
      </w:r>
      <w:r w:rsidR="005A049A" w:rsidRPr="007B6350">
        <w:rPr>
          <w:rFonts w:ascii="Times New Roman" w:hAnsi="Times New Roman" w:cs="Times New Roman"/>
          <w:sz w:val="24"/>
          <w:szCs w:val="24"/>
          <w:shd w:val="clear" w:color="auto" w:fill="FFFFFF"/>
        </w:rPr>
        <w:t>, M., Carey, R., McConell, K. and</w:t>
      </w:r>
      <w:r w:rsidRPr="007B6350">
        <w:rPr>
          <w:rFonts w:ascii="Times New Roman" w:hAnsi="Times New Roman" w:cs="Times New Roman"/>
          <w:sz w:val="24"/>
          <w:szCs w:val="24"/>
          <w:shd w:val="clear" w:color="auto" w:fill="FFFFFF"/>
        </w:rPr>
        <w:t xml:space="preserve"> Lawrence, M. (2013) Food policy development in the Australian state of Victoria: a case study of the Food Alliance. </w:t>
      </w:r>
      <w:r w:rsidRPr="007B6350">
        <w:rPr>
          <w:rFonts w:ascii="Times New Roman" w:hAnsi="Times New Roman" w:cs="Times New Roman"/>
          <w:i/>
          <w:iCs/>
          <w:sz w:val="24"/>
          <w:szCs w:val="24"/>
          <w:shd w:val="clear" w:color="auto" w:fill="FFFFFF"/>
        </w:rPr>
        <w:t xml:space="preserve">International </w:t>
      </w:r>
      <w:r w:rsidR="0016270E" w:rsidRPr="007B6350">
        <w:rPr>
          <w:rFonts w:ascii="Times New Roman" w:hAnsi="Times New Roman" w:cs="Times New Roman"/>
          <w:i/>
          <w:iCs/>
          <w:sz w:val="24"/>
          <w:szCs w:val="24"/>
          <w:shd w:val="clear" w:color="auto" w:fill="FFFFFF"/>
        </w:rPr>
        <w:t>Planning Studies</w:t>
      </w:r>
      <w:r w:rsidR="0016270E" w:rsidRPr="007B6350">
        <w:rPr>
          <w:rFonts w:ascii="Times New Roman" w:hAnsi="Times New Roman" w:cs="Times New Roman"/>
          <w:sz w:val="24"/>
          <w:szCs w:val="24"/>
          <w:shd w:val="clear" w:color="auto" w:fill="FFFFFF"/>
        </w:rPr>
        <w:t>,</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18</w:t>
      </w:r>
      <w:r w:rsidRPr="007B6350">
        <w:rPr>
          <w:rFonts w:ascii="Times New Roman" w:hAnsi="Times New Roman" w:cs="Times New Roman"/>
          <w:sz w:val="24"/>
          <w:szCs w:val="24"/>
          <w:shd w:val="clear" w:color="auto" w:fill="FFFFFF"/>
        </w:rPr>
        <w:t>(1), 78-95.</w:t>
      </w:r>
    </w:p>
    <w:p w14:paraId="5EA6D958" w14:textId="25272149" w:rsidR="0016270E" w:rsidRPr="007B6350" w:rsidRDefault="0016270E"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9" w:name="_ENREF_11"/>
      <w:bookmarkEnd w:id="8"/>
      <w:r w:rsidRPr="007B6350">
        <w:rPr>
          <w:rFonts w:ascii="Times New Roman" w:hAnsi="Times New Roman" w:cs="Times New Roman"/>
          <w:sz w:val="24"/>
          <w:szCs w:val="24"/>
          <w:shd w:val="clear" w:color="auto" w:fill="FFFFFF"/>
        </w:rPr>
        <w:t xml:space="preserve">Carey, </w:t>
      </w:r>
      <w:r w:rsidR="00363F06" w:rsidRPr="007B6350">
        <w:rPr>
          <w:rFonts w:ascii="Times New Roman" w:hAnsi="Times New Roman" w:cs="Times New Roman"/>
          <w:sz w:val="24"/>
          <w:szCs w:val="24"/>
          <w:shd w:val="clear" w:color="auto" w:fill="FFFFFF"/>
        </w:rPr>
        <w:t>R., Caraher, M., Lawrence, M. and</w:t>
      </w:r>
      <w:r w:rsidR="00794062" w:rsidRPr="007B6350">
        <w:rPr>
          <w:rFonts w:ascii="Times New Roman" w:hAnsi="Times New Roman" w:cs="Times New Roman"/>
          <w:sz w:val="24"/>
          <w:szCs w:val="24"/>
          <w:shd w:val="clear" w:color="auto" w:fill="FFFFFF"/>
        </w:rPr>
        <w:t xml:space="preserve"> Friel, S. (2016)</w:t>
      </w:r>
      <w:r w:rsidRPr="007B6350">
        <w:rPr>
          <w:rFonts w:ascii="Times New Roman" w:hAnsi="Times New Roman" w:cs="Times New Roman"/>
          <w:sz w:val="24"/>
          <w:szCs w:val="24"/>
          <w:shd w:val="clear" w:color="auto" w:fill="FFFFFF"/>
        </w:rPr>
        <w:t xml:space="preserve"> Opportunities and challenges in developing a whole-of-government national food and nutrition policy: lessons from Australia’s National Food Plan. </w:t>
      </w:r>
      <w:r w:rsidRPr="007B6350">
        <w:rPr>
          <w:rFonts w:ascii="Times New Roman" w:hAnsi="Times New Roman" w:cs="Times New Roman"/>
          <w:i/>
          <w:iCs/>
          <w:sz w:val="24"/>
          <w:szCs w:val="24"/>
          <w:shd w:val="clear" w:color="auto" w:fill="FFFFFF"/>
        </w:rPr>
        <w:t>Public Health Nutrition</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19</w:t>
      </w:r>
      <w:r w:rsidRPr="007B6350">
        <w:rPr>
          <w:rFonts w:ascii="Times New Roman" w:hAnsi="Times New Roman" w:cs="Times New Roman"/>
          <w:sz w:val="24"/>
          <w:szCs w:val="24"/>
          <w:shd w:val="clear" w:color="auto" w:fill="FFFFFF"/>
        </w:rPr>
        <w:t>(1), 3-14.</w:t>
      </w:r>
    </w:p>
    <w:p w14:paraId="634F0CFA" w14:textId="5108C695" w:rsidR="00794062" w:rsidRPr="007B6350" w:rsidRDefault="00794062"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10" w:name="_ENREF_13"/>
      <w:bookmarkEnd w:id="9"/>
      <w:r w:rsidRPr="007B6350">
        <w:rPr>
          <w:rFonts w:ascii="Times New Roman" w:hAnsi="Times New Roman" w:cs="Times New Roman"/>
          <w:sz w:val="24"/>
          <w:szCs w:val="24"/>
          <w:shd w:val="clear" w:color="auto" w:fill="FFFFFF"/>
        </w:rPr>
        <w:t>Carr, E. R. (2006) Postmodern conceptualizations, modernist applications: Rethinking the role of society in food security. </w:t>
      </w:r>
      <w:r w:rsidRPr="007B6350">
        <w:rPr>
          <w:rFonts w:ascii="Times New Roman" w:hAnsi="Times New Roman" w:cs="Times New Roman"/>
          <w:i/>
          <w:iCs/>
          <w:sz w:val="24"/>
          <w:szCs w:val="24"/>
          <w:shd w:val="clear" w:color="auto" w:fill="FFFFFF"/>
        </w:rPr>
        <w:t>Food Policy</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31</w:t>
      </w:r>
      <w:r w:rsidRPr="007B6350">
        <w:rPr>
          <w:rFonts w:ascii="Times New Roman" w:hAnsi="Times New Roman" w:cs="Times New Roman"/>
          <w:sz w:val="24"/>
          <w:szCs w:val="24"/>
          <w:shd w:val="clear" w:color="auto" w:fill="FFFFFF"/>
        </w:rPr>
        <w:t>(1), 14-29.</w:t>
      </w:r>
    </w:p>
    <w:p w14:paraId="61973D8B" w14:textId="0019D5BA" w:rsidR="00D80DA7" w:rsidRPr="007B6350" w:rsidRDefault="008150E3" w:rsidP="00912C71">
      <w:pPr>
        <w:pStyle w:val="EndNoteBibliography"/>
        <w:spacing w:after="0" w:line="480" w:lineRule="auto"/>
        <w:ind w:left="720" w:hanging="720"/>
        <w:jc w:val="left"/>
        <w:rPr>
          <w:rFonts w:ascii="Times New Roman" w:hAnsi="Times New Roman" w:cs="Times New Roman"/>
          <w:sz w:val="24"/>
          <w:szCs w:val="24"/>
        </w:rPr>
      </w:pPr>
      <w:r w:rsidRPr="007B6350">
        <w:rPr>
          <w:rFonts w:ascii="Times New Roman" w:hAnsi="Times New Roman" w:cs="Times New Roman"/>
          <w:sz w:val="24"/>
          <w:szCs w:val="24"/>
          <w:shd w:val="clear" w:color="auto" w:fill="FFFFFF"/>
        </w:rPr>
        <w:t>Carson, D., Gilmore, A., Perry, C. and Gronhaug, K. (2001) </w:t>
      </w:r>
      <w:r w:rsidRPr="007B6350">
        <w:rPr>
          <w:rFonts w:ascii="Times New Roman" w:hAnsi="Times New Roman" w:cs="Times New Roman"/>
          <w:i/>
          <w:iCs/>
          <w:sz w:val="24"/>
          <w:szCs w:val="24"/>
          <w:shd w:val="clear" w:color="auto" w:fill="FFFFFF"/>
        </w:rPr>
        <w:t>Qualitative marketing research</w:t>
      </w:r>
      <w:r w:rsidRPr="007B6350">
        <w:rPr>
          <w:rFonts w:ascii="Times New Roman" w:hAnsi="Times New Roman" w:cs="Times New Roman"/>
          <w:sz w:val="24"/>
          <w:szCs w:val="24"/>
          <w:shd w:val="clear" w:color="auto" w:fill="FFFFFF"/>
        </w:rPr>
        <w:t>. London: Sage.</w:t>
      </w:r>
      <w:bookmarkEnd w:id="10"/>
    </w:p>
    <w:p w14:paraId="5A828356" w14:textId="0A40FF2F" w:rsidR="00551D5D" w:rsidRPr="007B6350" w:rsidRDefault="00551D5D"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11" w:name="_ENREF_14"/>
      <w:r w:rsidRPr="007B6350">
        <w:rPr>
          <w:rFonts w:ascii="Times New Roman" w:hAnsi="Times New Roman" w:cs="Times New Roman"/>
          <w:sz w:val="24"/>
          <w:szCs w:val="24"/>
          <w:shd w:val="clear" w:color="auto" w:fill="FFFFFF"/>
        </w:rPr>
        <w:t>Cullerton, K., Donnet, T., Lee, A. and Gallegos, D. (2016) Playing the policy game: a review of the barriers to and enablers of nutrition policy change. </w:t>
      </w:r>
      <w:r w:rsidRPr="007B6350">
        <w:rPr>
          <w:rFonts w:ascii="Times New Roman" w:hAnsi="Times New Roman" w:cs="Times New Roman"/>
          <w:i/>
          <w:iCs/>
          <w:sz w:val="24"/>
          <w:szCs w:val="24"/>
          <w:shd w:val="clear" w:color="auto" w:fill="FFFFFF"/>
        </w:rPr>
        <w:t>Public Health Nutrition</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19</w:t>
      </w:r>
      <w:r w:rsidRPr="007B6350">
        <w:rPr>
          <w:rFonts w:ascii="Times New Roman" w:hAnsi="Times New Roman" w:cs="Times New Roman"/>
          <w:sz w:val="24"/>
          <w:szCs w:val="24"/>
          <w:shd w:val="clear" w:color="auto" w:fill="FFFFFF"/>
        </w:rPr>
        <w:t>(14), 2643-2653.</w:t>
      </w:r>
    </w:p>
    <w:p w14:paraId="1BAC036A" w14:textId="780DB35A" w:rsidR="00541D34" w:rsidRPr="007B6350" w:rsidRDefault="00541D34"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12" w:name="_ENREF_15"/>
      <w:bookmarkEnd w:id="11"/>
      <w:r w:rsidRPr="007B6350">
        <w:rPr>
          <w:rFonts w:ascii="Times New Roman" w:hAnsi="Times New Roman" w:cs="Times New Roman"/>
          <w:sz w:val="24"/>
          <w:szCs w:val="24"/>
          <w:shd w:val="clear" w:color="auto" w:fill="FFFFFF"/>
        </w:rPr>
        <w:t>Dahlberg, K. A. (2001) Democratizing society and food systems: Or how do we transform modern structures of power?. </w:t>
      </w:r>
      <w:r w:rsidRPr="007B6350">
        <w:rPr>
          <w:rFonts w:ascii="Times New Roman" w:hAnsi="Times New Roman" w:cs="Times New Roman"/>
          <w:i/>
          <w:iCs/>
          <w:sz w:val="24"/>
          <w:szCs w:val="24"/>
          <w:shd w:val="clear" w:color="auto" w:fill="FFFFFF"/>
        </w:rPr>
        <w:t>Agriculture And Human Values</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18</w:t>
      </w:r>
      <w:r w:rsidRPr="007B6350">
        <w:rPr>
          <w:rFonts w:ascii="Times New Roman" w:hAnsi="Times New Roman" w:cs="Times New Roman"/>
          <w:sz w:val="24"/>
          <w:szCs w:val="24"/>
          <w:shd w:val="clear" w:color="auto" w:fill="FFFFFF"/>
        </w:rPr>
        <w:t>(2), 135-151.</w:t>
      </w:r>
    </w:p>
    <w:p w14:paraId="6420B104" w14:textId="2A945785" w:rsidR="00E86DA0" w:rsidRPr="007B6350" w:rsidRDefault="00E86DA0"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13" w:name="_ENREF_16"/>
      <w:bookmarkEnd w:id="12"/>
      <w:r w:rsidRPr="007B6350">
        <w:rPr>
          <w:rFonts w:ascii="Times New Roman" w:hAnsi="Times New Roman" w:cs="Times New Roman"/>
          <w:sz w:val="24"/>
          <w:szCs w:val="24"/>
          <w:shd w:val="clear" w:color="auto" w:fill="FFFFFF"/>
        </w:rPr>
        <w:t>Dalton, R. J. (2005) The social transformation of trust in government. </w:t>
      </w:r>
      <w:r w:rsidRPr="007B6350">
        <w:rPr>
          <w:rFonts w:ascii="Times New Roman" w:hAnsi="Times New Roman" w:cs="Times New Roman"/>
          <w:i/>
          <w:iCs/>
          <w:sz w:val="24"/>
          <w:szCs w:val="24"/>
          <w:shd w:val="clear" w:color="auto" w:fill="FFFFFF"/>
        </w:rPr>
        <w:t>International Review of Sociology</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15</w:t>
      </w:r>
      <w:r w:rsidRPr="007B6350">
        <w:rPr>
          <w:rFonts w:ascii="Times New Roman" w:hAnsi="Times New Roman" w:cs="Times New Roman"/>
          <w:sz w:val="24"/>
          <w:szCs w:val="24"/>
          <w:shd w:val="clear" w:color="auto" w:fill="FFFFFF"/>
        </w:rPr>
        <w:t>(1), 133-154.</w:t>
      </w:r>
    </w:p>
    <w:p w14:paraId="1EF46A07" w14:textId="6678E256" w:rsidR="00924863" w:rsidRPr="007B6350" w:rsidRDefault="00924863"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14" w:name="_ENREF_17"/>
      <w:bookmarkEnd w:id="13"/>
      <w:r w:rsidRPr="007B6350">
        <w:rPr>
          <w:rFonts w:ascii="Times New Roman" w:hAnsi="Times New Roman" w:cs="Times New Roman"/>
          <w:sz w:val="24"/>
          <w:szCs w:val="24"/>
          <w:shd w:val="clear" w:color="auto" w:fill="FFFFFF"/>
        </w:rPr>
        <w:t>Doney, P. M. and Cannon, J. P. (1997) An examination of the nature of trust in buyer–seller relationships. </w:t>
      </w:r>
      <w:r w:rsidRPr="007B6350">
        <w:rPr>
          <w:rFonts w:ascii="Times New Roman" w:hAnsi="Times New Roman" w:cs="Times New Roman"/>
          <w:i/>
          <w:iCs/>
          <w:sz w:val="24"/>
          <w:szCs w:val="24"/>
          <w:shd w:val="clear" w:color="auto" w:fill="FFFFFF"/>
        </w:rPr>
        <w:t>Journal of 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
          <w:iCs/>
          <w:sz w:val="24"/>
          <w:szCs w:val="24"/>
          <w:shd w:val="clear" w:color="auto" w:fill="FFFFFF"/>
        </w:rPr>
        <w:t>61</w:t>
      </w:r>
      <w:r w:rsidRPr="007B6350">
        <w:rPr>
          <w:rFonts w:ascii="Times New Roman" w:hAnsi="Times New Roman" w:cs="Times New Roman"/>
          <w:sz w:val="24"/>
          <w:szCs w:val="24"/>
          <w:shd w:val="clear" w:color="auto" w:fill="FFFFFF"/>
        </w:rPr>
        <w:t>(2), 35-51.</w:t>
      </w:r>
    </w:p>
    <w:p w14:paraId="5F70C541" w14:textId="502126AD" w:rsidR="00D80DA7" w:rsidRPr="007B6350" w:rsidRDefault="00D80DA7" w:rsidP="00912C71">
      <w:pPr>
        <w:pStyle w:val="EndNoteBibliography"/>
        <w:spacing w:after="0" w:line="480" w:lineRule="auto"/>
        <w:ind w:left="720" w:hanging="720"/>
        <w:jc w:val="left"/>
        <w:rPr>
          <w:rFonts w:ascii="Times New Roman" w:hAnsi="Times New Roman" w:cs="Times New Roman"/>
          <w:sz w:val="24"/>
          <w:szCs w:val="24"/>
        </w:rPr>
      </w:pPr>
      <w:bookmarkStart w:id="15" w:name="_ENREF_18"/>
      <w:bookmarkEnd w:id="14"/>
      <w:r w:rsidRPr="007B6350">
        <w:rPr>
          <w:rFonts w:ascii="Times New Roman" w:hAnsi="Times New Roman" w:cs="Times New Roman"/>
          <w:sz w:val="24"/>
          <w:szCs w:val="24"/>
        </w:rPr>
        <w:t>Fleming, P</w:t>
      </w:r>
      <w:r w:rsidR="00924863" w:rsidRPr="007B6350">
        <w:rPr>
          <w:rFonts w:ascii="Times New Roman" w:hAnsi="Times New Roman" w:cs="Times New Roman"/>
          <w:sz w:val="24"/>
          <w:szCs w:val="24"/>
        </w:rPr>
        <w:t>.</w:t>
      </w:r>
      <w:r w:rsidRPr="007B6350">
        <w:rPr>
          <w:rFonts w:ascii="Times New Roman" w:hAnsi="Times New Roman" w:cs="Times New Roman"/>
          <w:sz w:val="24"/>
          <w:szCs w:val="24"/>
        </w:rPr>
        <w:t xml:space="preserve"> and Jones</w:t>
      </w:r>
      <w:r w:rsidR="00924863" w:rsidRPr="007B6350">
        <w:rPr>
          <w:rFonts w:ascii="Times New Roman" w:hAnsi="Times New Roman" w:cs="Times New Roman"/>
          <w:sz w:val="24"/>
          <w:szCs w:val="24"/>
        </w:rPr>
        <w:t>, M. T. (2013)</w:t>
      </w:r>
      <w:r w:rsidRPr="007B6350">
        <w:rPr>
          <w:rFonts w:ascii="Times New Roman" w:hAnsi="Times New Roman" w:cs="Times New Roman"/>
          <w:sz w:val="24"/>
          <w:szCs w:val="24"/>
        </w:rPr>
        <w:t xml:space="preserve"> </w:t>
      </w:r>
      <w:r w:rsidRPr="007B6350">
        <w:rPr>
          <w:rFonts w:ascii="Times New Roman" w:hAnsi="Times New Roman" w:cs="Times New Roman"/>
          <w:i/>
          <w:sz w:val="24"/>
          <w:szCs w:val="24"/>
        </w:rPr>
        <w:t xml:space="preserve">The </w:t>
      </w:r>
      <w:r w:rsidR="004410C7" w:rsidRPr="007B6350">
        <w:rPr>
          <w:rFonts w:ascii="Times New Roman" w:hAnsi="Times New Roman" w:cs="Times New Roman"/>
          <w:i/>
          <w:sz w:val="24"/>
          <w:szCs w:val="24"/>
        </w:rPr>
        <w:t>End of Corporate Social Responsibility: Crisis &amp; Critique</w:t>
      </w:r>
      <w:r w:rsidR="00BC25FF" w:rsidRPr="007B6350">
        <w:rPr>
          <w:rFonts w:ascii="Times New Roman" w:hAnsi="Times New Roman" w:cs="Times New Roman"/>
          <w:sz w:val="24"/>
          <w:szCs w:val="24"/>
        </w:rPr>
        <w:t>. London</w:t>
      </w:r>
      <w:r w:rsidRPr="007B6350">
        <w:rPr>
          <w:rFonts w:ascii="Times New Roman" w:hAnsi="Times New Roman" w:cs="Times New Roman"/>
          <w:sz w:val="24"/>
          <w:szCs w:val="24"/>
        </w:rPr>
        <w:t>: Sage.</w:t>
      </w:r>
      <w:bookmarkEnd w:id="15"/>
    </w:p>
    <w:p w14:paraId="044C3C50" w14:textId="706EA389" w:rsidR="00D80DA7" w:rsidRPr="007B6350" w:rsidRDefault="00AA1794" w:rsidP="00BC25FF">
      <w:pPr>
        <w:pStyle w:val="EndNoteBibliography"/>
        <w:spacing w:after="0" w:line="480" w:lineRule="auto"/>
        <w:ind w:left="720" w:hanging="720"/>
        <w:jc w:val="left"/>
        <w:rPr>
          <w:rFonts w:ascii="Times New Roman" w:hAnsi="Times New Roman" w:cs="Times New Roman"/>
          <w:sz w:val="24"/>
          <w:szCs w:val="24"/>
        </w:rPr>
      </w:pPr>
      <w:bookmarkStart w:id="16" w:name="_ENREF_19"/>
      <w:r w:rsidRPr="007B6350">
        <w:rPr>
          <w:rFonts w:ascii="Times New Roman" w:hAnsi="Times New Roman" w:cs="Times New Roman"/>
          <w:sz w:val="24"/>
          <w:szCs w:val="24"/>
        </w:rPr>
        <w:t>Foucault, M</w:t>
      </w:r>
      <w:r w:rsidR="00D80DA7" w:rsidRPr="007B6350">
        <w:rPr>
          <w:rFonts w:ascii="Times New Roman" w:hAnsi="Times New Roman" w:cs="Times New Roman"/>
          <w:sz w:val="24"/>
          <w:szCs w:val="24"/>
        </w:rPr>
        <w:t xml:space="preserve">. </w:t>
      </w:r>
      <w:r w:rsidRPr="007B6350">
        <w:rPr>
          <w:rFonts w:ascii="Times New Roman" w:hAnsi="Times New Roman" w:cs="Times New Roman"/>
          <w:sz w:val="24"/>
          <w:szCs w:val="24"/>
        </w:rPr>
        <w:t xml:space="preserve">(1991) </w:t>
      </w:r>
      <w:r w:rsidR="00D80DA7" w:rsidRPr="007B6350">
        <w:rPr>
          <w:rFonts w:ascii="Times New Roman" w:hAnsi="Times New Roman" w:cs="Times New Roman"/>
          <w:i/>
          <w:sz w:val="24"/>
          <w:szCs w:val="24"/>
        </w:rPr>
        <w:t>Discipline and punish</w:t>
      </w:r>
      <w:r w:rsidR="00BC25FF" w:rsidRPr="007B6350">
        <w:rPr>
          <w:rFonts w:ascii="Times New Roman" w:hAnsi="Times New Roman" w:cs="Times New Roman"/>
          <w:sz w:val="24"/>
          <w:szCs w:val="24"/>
        </w:rPr>
        <w:t>. London</w:t>
      </w:r>
      <w:r w:rsidR="00D80DA7" w:rsidRPr="007B6350">
        <w:rPr>
          <w:rFonts w:ascii="Times New Roman" w:hAnsi="Times New Roman" w:cs="Times New Roman"/>
          <w:sz w:val="24"/>
          <w:szCs w:val="24"/>
        </w:rPr>
        <w:t>: Penguin.</w:t>
      </w:r>
      <w:bookmarkEnd w:id="16"/>
    </w:p>
    <w:p w14:paraId="3836D692" w14:textId="24146D3A" w:rsidR="00AF30B1" w:rsidRPr="007B6350" w:rsidRDefault="00AF30B1"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17" w:name="_ENREF_21"/>
      <w:r w:rsidRPr="007B6350">
        <w:rPr>
          <w:rFonts w:ascii="Times New Roman" w:hAnsi="Times New Roman" w:cs="Times New Roman"/>
          <w:sz w:val="24"/>
          <w:szCs w:val="24"/>
          <w:shd w:val="clear" w:color="auto" w:fill="FFFFFF"/>
        </w:rPr>
        <w:t>Ganesan, S. (1994) Determinants of long-term orientation in buyer-seller relationships. </w:t>
      </w:r>
      <w:r w:rsidRPr="007B6350">
        <w:rPr>
          <w:rFonts w:ascii="Times New Roman" w:hAnsi="Times New Roman" w:cs="Times New Roman"/>
          <w:i/>
          <w:iCs/>
          <w:sz w:val="24"/>
          <w:szCs w:val="24"/>
          <w:shd w:val="clear" w:color="auto" w:fill="FFFFFF"/>
        </w:rPr>
        <w:t>Journal of 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58</w:t>
      </w:r>
      <w:r w:rsidRPr="007B6350">
        <w:rPr>
          <w:rFonts w:ascii="Times New Roman" w:hAnsi="Times New Roman" w:cs="Times New Roman"/>
          <w:sz w:val="24"/>
          <w:szCs w:val="24"/>
          <w:shd w:val="clear" w:color="auto" w:fill="FFFFFF"/>
        </w:rPr>
        <w:t>(2), 1-19.</w:t>
      </w:r>
    </w:p>
    <w:p w14:paraId="1CDFABC0" w14:textId="6DEEAE70" w:rsidR="00D80DA7" w:rsidRPr="007B6350" w:rsidRDefault="00264901" w:rsidP="00C06BCC">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18" w:name="_ENREF_22"/>
      <w:bookmarkEnd w:id="17"/>
      <w:r w:rsidRPr="007B6350">
        <w:rPr>
          <w:rFonts w:ascii="Times New Roman" w:hAnsi="Times New Roman" w:cs="Times New Roman"/>
          <w:sz w:val="24"/>
          <w:szCs w:val="24"/>
          <w:shd w:val="clear" w:color="auto" w:fill="FFFFFF"/>
        </w:rPr>
        <w:lastRenderedPageBreak/>
        <w:t>Grönroos, C. (2004) The relationship marketing process: communication, interaction, dialogue, value. </w:t>
      </w:r>
      <w:r w:rsidRPr="007B6350">
        <w:rPr>
          <w:rFonts w:ascii="Times New Roman" w:hAnsi="Times New Roman" w:cs="Times New Roman"/>
          <w:i/>
          <w:iCs/>
          <w:sz w:val="24"/>
          <w:szCs w:val="24"/>
          <w:shd w:val="clear" w:color="auto" w:fill="FFFFFF"/>
        </w:rPr>
        <w:t>Journal of Business &amp; Industrial Marketing</w:t>
      </w:r>
      <w:r w:rsidR="00C06BCC" w:rsidRPr="007B6350">
        <w:rPr>
          <w:rFonts w:ascii="Times New Roman" w:hAnsi="Times New Roman" w:cs="Times New Roman"/>
          <w:sz w:val="24"/>
          <w:szCs w:val="24"/>
          <w:shd w:val="clear" w:color="auto" w:fill="FFFFFF"/>
        </w:rPr>
        <w:t xml:space="preserve">, </w:t>
      </w:r>
      <w:r w:rsidR="00C06BCC" w:rsidRPr="007B6350">
        <w:rPr>
          <w:rFonts w:ascii="Times New Roman" w:hAnsi="Times New Roman" w:cs="Times New Roman"/>
          <w:sz w:val="24"/>
          <w:szCs w:val="24"/>
        </w:rPr>
        <w:t xml:space="preserve">19 (2), </w:t>
      </w:r>
      <w:r w:rsidR="00D80DA7" w:rsidRPr="007B6350">
        <w:rPr>
          <w:rFonts w:ascii="Times New Roman" w:hAnsi="Times New Roman" w:cs="Times New Roman"/>
          <w:sz w:val="24"/>
          <w:szCs w:val="24"/>
        </w:rPr>
        <w:t>99-113.</w:t>
      </w:r>
      <w:bookmarkEnd w:id="18"/>
    </w:p>
    <w:p w14:paraId="090AD3A2" w14:textId="517FDBDF" w:rsidR="004C4DDE" w:rsidRPr="007B6350" w:rsidRDefault="004C4DDE"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19" w:name="_ENREF_23"/>
      <w:r w:rsidRPr="007B6350">
        <w:rPr>
          <w:rFonts w:ascii="Times New Roman" w:hAnsi="Times New Roman" w:cs="Times New Roman"/>
          <w:sz w:val="24"/>
          <w:szCs w:val="24"/>
          <w:shd w:val="clear" w:color="auto" w:fill="FFFFFF"/>
        </w:rPr>
        <w:t>Grönroos, C. (2006) On defining marketing: finding a new roadmap for marketing. </w:t>
      </w:r>
      <w:r w:rsidRPr="007B6350">
        <w:rPr>
          <w:rFonts w:ascii="Times New Roman" w:hAnsi="Times New Roman" w:cs="Times New Roman"/>
          <w:i/>
          <w:iCs/>
          <w:sz w:val="24"/>
          <w:szCs w:val="24"/>
          <w:shd w:val="clear" w:color="auto" w:fill="FFFFFF"/>
        </w:rPr>
        <w:t>Marketing Theory</w:t>
      </w:r>
      <w:r w:rsidRPr="007B6350">
        <w:rPr>
          <w:rFonts w:ascii="Times New Roman" w:hAnsi="Times New Roman" w:cs="Times New Roman"/>
          <w:sz w:val="24"/>
          <w:szCs w:val="24"/>
          <w:shd w:val="clear" w:color="auto" w:fill="FFFFFF"/>
        </w:rPr>
        <w:t>, </w:t>
      </w:r>
      <w:r w:rsidRPr="007B6350">
        <w:rPr>
          <w:rFonts w:ascii="Times New Roman" w:hAnsi="Times New Roman" w:cs="Times New Roman"/>
          <w:i/>
          <w:iCs/>
          <w:sz w:val="24"/>
          <w:szCs w:val="24"/>
          <w:shd w:val="clear" w:color="auto" w:fill="FFFFFF"/>
        </w:rPr>
        <w:t>6</w:t>
      </w:r>
      <w:r w:rsidRPr="007B6350">
        <w:rPr>
          <w:rFonts w:ascii="Times New Roman" w:hAnsi="Times New Roman" w:cs="Times New Roman"/>
          <w:sz w:val="24"/>
          <w:szCs w:val="24"/>
          <w:shd w:val="clear" w:color="auto" w:fill="FFFFFF"/>
        </w:rPr>
        <w:t>(4), 395-417.</w:t>
      </w:r>
    </w:p>
    <w:p w14:paraId="39202665" w14:textId="77777777" w:rsidR="0060745B" w:rsidRPr="007B6350" w:rsidRDefault="0060745B"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20" w:name="_ENREF_24"/>
      <w:bookmarkEnd w:id="19"/>
      <w:r w:rsidRPr="007B6350">
        <w:rPr>
          <w:rFonts w:ascii="Times New Roman" w:hAnsi="Times New Roman" w:cs="Times New Roman"/>
          <w:sz w:val="24"/>
          <w:szCs w:val="24"/>
          <w:shd w:val="clear" w:color="auto" w:fill="FFFFFF"/>
        </w:rPr>
        <w:t>Halliday, S. V. (2008) The power of myth in impeding service innovation: A perspective gained from analysis of service providers' narratives. </w:t>
      </w:r>
      <w:r w:rsidRPr="007B6350">
        <w:rPr>
          <w:rFonts w:ascii="Times New Roman" w:hAnsi="Times New Roman" w:cs="Times New Roman"/>
          <w:i/>
          <w:iCs/>
          <w:sz w:val="24"/>
          <w:szCs w:val="24"/>
          <w:shd w:val="clear" w:color="auto" w:fill="FFFFFF"/>
        </w:rPr>
        <w:t>Journal of Management Inquiry</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17</w:t>
      </w:r>
      <w:r w:rsidRPr="007B6350">
        <w:rPr>
          <w:rFonts w:ascii="Times New Roman" w:hAnsi="Times New Roman" w:cs="Times New Roman"/>
          <w:sz w:val="24"/>
          <w:szCs w:val="24"/>
          <w:shd w:val="clear" w:color="auto" w:fill="FFFFFF"/>
        </w:rPr>
        <w:t>(1), 44-55.</w:t>
      </w:r>
    </w:p>
    <w:p w14:paraId="5B78C4E9" w14:textId="6DDC401A" w:rsidR="00D80DA7" w:rsidRPr="007B6350" w:rsidRDefault="00D80DA7" w:rsidP="00912C71">
      <w:pPr>
        <w:pStyle w:val="EndNoteBibliography"/>
        <w:spacing w:after="0" w:line="480" w:lineRule="auto"/>
        <w:ind w:left="720" w:hanging="720"/>
        <w:jc w:val="left"/>
        <w:rPr>
          <w:rFonts w:ascii="Times New Roman" w:hAnsi="Times New Roman" w:cs="Times New Roman"/>
          <w:sz w:val="24"/>
          <w:szCs w:val="24"/>
        </w:rPr>
      </w:pPr>
      <w:bookmarkStart w:id="21" w:name="_ENREF_25"/>
      <w:bookmarkEnd w:id="20"/>
      <w:r w:rsidRPr="007B6350">
        <w:rPr>
          <w:rFonts w:ascii="Times New Roman" w:hAnsi="Times New Roman" w:cs="Times New Roman"/>
          <w:sz w:val="24"/>
          <w:szCs w:val="24"/>
        </w:rPr>
        <w:t>Harrington, M</w:t>
      </w:r>
      <w:r w:rsidR="004C50A9" w:rsidRPr="007B6350">
        <w:rPr>
          <w:rFonts w:ascii="Times New Roman" w:hAnsi="Times New Roman" w:cs="Times New Roman"/>
          <w:sz w:val="24"/>
          <w:szCs w:val="24"/>
        </w:rPr>
        <w:t xml:space="preserve">. (2017) </w:t>
      </w:r>
      <w:r w:rsidRPr="007B6350">
        <w:rPr>
          <w:rFonts w:ascii="Times New Roman" w:hAnsi="Times New Roman" w:cs="Times New Roman"/>
          <w:sz w:val="24"/>
          <w:szCs w:val="24"/>
        </w:rPr>
        <w:t xml:space="preserve">Survey: People’s </w:t>
      </w:r>
      <w:r w:rsidR="00997F90" w:rsidRPr="007B6350">
        <w:rPr>
          <w:rFonts w:ascii="Times New Roman" w:hAnsi="Times New Roman" w:cs="Times New Roman"/>
          <w:sz w:val="24"/>
          <w:szCs w:val="24"/>
        </w:rPr>
        <w:t xml:space="preserve">Trust Has Declined in Business, Media, Government, and NGOs.  </w:t>
      </w:r>
      <w:r w:rsidRPr="007B6350">
        <w:rPr>
          <w:rFonts w:ascii="Times New Roman" w:hAnsi="Times New Roman" w:cs="Times New Roman"/>
          <w:i/>
          <w:sz w:val="24"/>
          <w:szCs w:val="24"/>
        </w:rPr>
        <w:t xml:space="preserve">Harvard </w:t>
      </w:r>
      <w:r w:rsidR="00997F90" w:rsidRPr="007B6350">
        <w:rPr>
          <w:rFonts w:ascii="Times New Roman" w:hAnsi="Times New Roman" w:cs="Times New Roman"/>
          <w:i/>
          <w:sz w:val="24"/>
          <w:szCs w:val="24"/>
        </w:rPr>
        <w:t>Business Review</w:t>
      </w:r>
      <w:r w:rsidRPr="007B6350">
        <w:rPr>
          <w:rFonts w:ascii="Times New Roman" w:hAnsi="Times New Roman" w:cs="Times New Roman"/>
          <w:sz w:val="24"/>
          <w:szCs w:val="24"/>
        </w:rPr>
        <w:t>.</w:t>
      </w:r>
      <w:bookmarkEnd w:id="21"/>
    </w:p>
    <w:p w14:paraId="4326FA48" w14:textId="7FA7C660" w:rsidR="00D80DA7" w:rsidRPr="007B6350" w:rsidRDefault="00D80DA7" w:rsidP="00912C71">
      <w:pPr>
        <w:pStyle w:val="EndNoteBibliography"/>
        <w:spacing w:after="0" w:line="480" w:lineRule="auto"/>
        <w:ind w:left="720" w:hanging="720"/>
        <w:jc w:val="left"/>
        <w:rPr>
          <w:rFonts w:ascii="Times New Roman" w:hAnsi="Times New Roman" w:cs="Times New Roman"/>
          <w:sz w:val="24"/>
          <w:szCs w:val="24"/>
        </w:rPr>
      </w:pPr>
      <w:bookmarkStart w:id="22" w:name="_ENREF_26"/>
      <w:r w:rsidRPr="007B6350">
        <w:rPr>
          <w:rFonts w:ascii="Times New Roman" w:hAnsi="Times New Roman" w:cs="Times New Roman"/>
          <w:sz w:val="24"/>
          <w:szCs w:val="24"/>
        </w:rPr>
        <w:t>Hawkes, C</w:t>
      </w:r>
      <w:r w:rsidR="00191D0D" w:rsidRPr="007B6350">
        <w:rPr>
          <w:rFonts w:ascii="Times New Roman" w:hAnsi="Times New Roman" w:cs="Times New Roman"/>
          <w:sz w:val="24"/>
          <w:szCs w:val="24"/>
        </w:rPr>
        <w:t>.</w:t>
      </w:r>
      <w:r w:rsidRPr="007B6350">
        <w:rPr>
          <w:rFonts w:ascii="Times New Roman" w:hAnsi="Times New Roman" w:cs="Times New Roman"/>
          <w:sz w:val="24"/>
          <w:szCs w:val="24"/>
        </w:rPr>
        <w:t xml:space="preserve"> and Parsons</w:t>
      </w:r>
      <w:r w:rsidR="00191D0D" w:rsidRPr="007B6350">
        <w:rPr>
          <w:rFonts w:ascii="Times New Roman" w:hAnsi="Times New Roman" w:cs="Times New Roman"/>
          <w:sz w:val="24"/>
          <w:szCs w:val="24"/>
        </w:rPr>
        <w:t>, K</w:t>
      </w:r>
      <w:r w:rsidR="00BC25FF" w:rsidRPr="007B6350">
        <w:rPr>
          <w:rFonts w:ascii="Times New Roman" w:hAnsi="Times New Roman" w:cs="Times New Roman"/>
          <w:sz w:val="24"/>
          <w:szCs w:val="24"/>
        </w:rPr>
        <w:t>. (2019)</w:t>
      </w:r>
      <w:r w:rsidRPr="007B6350">
        <w:rPr>
          <w:rFonts w:ascii="Times New Roman" w:hAnsi="Times New Roman" w:cs="Times New Roman"/>
          <w:sz w:val="24"/>
          <w:szCs w:val="24"/>
        </w:rPr>
        <w:t xml:space="preserve"> </w:t>
      </w:r>
      <w:r w:rsidRPr="007B6350">
        <w:rPr>
          <w:rFonts w:ascii="Times New Roman" w:hAnsi="Times New Roman" w:cs="Times New Roman"/>
          <w:i/>
          <w:sz w:val="24"/>
          <w:szCs w:val="24"/>
        </w:rPr>
        <w:t>Brief 1: Tackling Food Systems Challenges: The Role of Food Policy</w:t>
      </w:r>
      <w:r w:rsidRPr="007B6350">
        <w:rPr>
          <w:rFonts w:ascii="Times New Roman" w:hAnsi="Times New Roman" w:cs="Times New Roman"/>
          <w:sz w:val="24"/>
          <w:szCs w:val="24"/>
        </w:rPr>
        <w:t>. London: Centre for Food Policy.</w:t>
      </w:r>
      <w:bookmarkEnd w:id="22"/>
    </w:p>
    <w:p w14:paraId="00519422" w14:textId="7BA3237F" w:rsidR="00BC25FF" w:rsidRPr="007B6350" w:rsidRDefault="00713CFF" w:rsidP="00713CFF">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23" w:name="_ENREF_27"/>
      <w:r w:rsidRPr="007B6350">
        <w:rPr>
          <w:rFonts w:ascii="Times New Roman" w:hAnsi="Times New Roman" w:cs="Times New Roman"/>
          <w:sz w:val="24"/>
          <w:szCs w:val="24"/>
          <w:shd w:val="clear" w:color="auto" w:fill="FFFFFF"/>
        </w:rPr>
        <w:t>Hawkes, C. and</w:t>
      </w:r>
      <w:r w:rsidR="00BC25FF" w:rsidRPr="007B6350">
        <w:rPr>
          <w:rFonts w:ascii="Times New Roman" w:hAnsi="Times New Roman" w:cs="Times New Roman"/>
          <w:sz w:val="24"/>
          <w:szCs w:val="24"/>
          <w:shd w:val="clear" w:color="auto" w:fill="FFFFFF"/>
        </w:rPr>
        <w:t xml:space="preserve"> Buse, K. (2011) Public health sector and food industry interaction: it’s time to clarify the term ‘partnership’and be honest about underlying interests. </w:t>
      </w:r>
      <w:r w:rsidR="00BC25FF" w:rsidRPr="007B6350">
        <w:rPr>
          <w:rFonts w:ascii="Times New Roman" w:hAnsi="Times New Roman" w:cs="Times New Roman"/>
          <w:i/>
          <w:iCs/>
          <w:sz w:val="24"/>
          <w:szCs w:val="24"/>
          <w:shd w:val="clear" w:color="auto" w:fill="FFFFFF"/>
        </w:rPr>
        <w:t>The European Journal of Public Health</w:t>
      </w:r>
      <w:r w:rsidR="00BC25FF" w:rsidRPr="007B6350">
        <w:rPr>
          <w:rFonts w:ascii="Times New Roman" w:hAnsi="Times New Roman" w:cs="Times New Roman"/>
          <w:sz w:val="24"/>
          <w:szCs w:val="24"/>
          <w:shd w:val="clear" w:color="auto" w:fill="FFFFFF"/>
        </w:rPr>
        <w:t>, </w:t>
      </w:r>
      <w:r w:rsidR="00BC25FF" w:rsidRPr="007B6350">
        <w:rPr>
          <w:rFonts w:ascii="Times New Roman" w:hAnsi="Times New Roman" w:cs="Times New Roman"/>
          <w:iCs/>
          <w:sz w:val="24"/>
          <w:szCs w:val="24"/>
          <w:shd w:val="clear" w:color="auto" w:fill="FFFFFF"/>
        </w:rPr>
        <w:t>21</w:t>
      </w:r>
      <w:r w:rsidR="00BC25FF" w:rsidRPr="007B6350">
        <w:rPr>
          <w:rFonts w:ascii="Times New Roman" w:hAnsi="Times New Roman" w:cs="Times New Roman"/>
          <w:sz w:val="24"/>
          <w:szCs w:val="24"/>
          <w:shd w:val="clear" w:color="auto" w:fill="FFFFFF"/>
        </w:rPr>
        <w:t>(4), 400-401.</w:t>
      </w:r>
    </w:p>
    <w:p w14:paraId="3CF8EA3E" w14:textId="5863B04D" w:rsidR="004C33AC" w:rsidRPr="007B6350" w:rsidRDefault="004C33AC"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24" w:name="_ENREF_28"/>
      <w:bookmarkEnd w:id="23"/>
      <w:r w:rsidRPr="007B6350">
        <w:rPr>
          <w:rFonts w:ascii="Times New Roman" w:hAnsi="Times New Roman" w:cs="Times New Roman"/>
          <w:sz w:val="24"/>
          <w:szCs w:val="24"/>
          <w:shd w:val="clear" w:color="auto" w:fill="FFFFFF"/>
        </w:rPr>
        <w:t xml:space="preserve">Hendrickson, M. K. </w:t>
      </w:r>
      <w:r w:rsidRPr="007B6350">
        <w:rPr>
          <w:rFonts w:ascii="Times New Roman" w:hAnsi="Times New Roman" w:cs="Times New Roman"/>
          <w:sz w:val="24"/>
          <w:szCs w:val="24"/>
          <w:shd w:val="clear" w:color="auto" w:fill="FFFFFF"/>
          <w:lang w:val="en-GB"/>
        </w:rPr>
        <w:t>and</w:t>
      </w:r>
      <w:r w:rsidRPr="007B6350">
        <w:rPr>
          <w:rFonts w:ascii="Times New Roman" w:hAnsi="Times New Roman" w:cs="Times New Roman"/>
          <w:sz w:val="24"/>
          <w:szCs w:val="24"/>
          <w:shd w:val="clear" w:color="auto" w:fill="FFFFFF"/>
        </w:rPr>
        <w:t xml:space="preserve"> Heffernan, W. D. (2002) Opening spaces through relocalization: locating potential resistance in the weaknesses of the global food system. </w:t>
      </w:r>
      <w:r w:rsidRPr="007B6350">
        <w:rPr>
          <w:rFonts w:ascii="Times New Roman" w:hAnsi="Times New Roman" w:cs="Times New Roman"/>
          <w:i/>
          <w:iCs/>
          <w:sz w:val="24"/>
          <w:szCs w:val="24"/>
          <w:shd w:val="clear" w:color="auto" w:fill="FFFFFF"/>
        </w:rPr>
        <w:t>Sociologia Ruralis</w:t>
      </w:r>
      <w:r w:rsidRPr="007B6350">
        <w:rPr>
          <w:rFonts w:ascii="Times New Roman" w:hAnsi="Times New Roman" w:cs="Times New Roman"/>
          <w:sz w:val="24"/>
          <w:szCs w:val="24"/>
          <w:shd w:val="clear" w:color="auto" w:fill="FFFFFF"/>
        </w:rPr>
        <w:t>, </w:t>
      </w:r>
      <w:r w:rsidRPr="007B6350">
        <w:rPr>
          <w:rFonts w:ascii="Times New Roman" w:hAnsi="Times New Roman" w:cs="Times New Roman"/>
          <w:i/>
          <w:iCs/>
          <w:sz w:val="24"/>
          <w:szCs w:val="24"/>
          <w:shd w:val="clear" w:color="auto" w:fill="FFFFFF"/>
        </w:rPr>
        <w:t>42</w:t>
      </w:r>
      <w:r w:rsidRPr="007B6350">
        <w:rPr>
          <w:rFonts w:ascii="Times New Roman" w:hAnsi="Times New Roman" w:cs="Times New Roman"/>
          <w:sz w:val="24"/>
          <w:szCs w:val="24"/>
          <w:shd w:val="clear" w:color="auto" w:fill="FFFFFF"/>
        </w:rPr>
        <w:t>(4), 347-369.</w:t>
      </w:r>
    </w:p>
    <w:p w14:paraId="036F71A3" w14:textId="4A141106" w:rsidR="002C71E0" w:rsidRPr="007B6350" w:rsidRDefault="002C71E0"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r w:rsidRPr="007B6350">
        <w:rPr>
          <w:rFonts w:ascii="Times New Roman" w:hAnsi="Times New Roman" w:cs="Times New Roman"/>
          <w:sz w:val="24"/>
          <w:szCs w:val="24"/>
          <w:shd w:val="clear" w:color="auto" w:fill="FFFFFF"/>
        </w:rPr>
        <w:t>Hong, H., Park, H., Lee, Y. and Park, J. (2012) Public segmentation and government–public relationship building: A cluster analysis of publics in the United States and 19 European countries. </w:t>
      </w:r>
      <w:r w:rsidRPr="007B6350">
        <w:rPr>
          <w:rFonts w:ascii="Times New Roman" w:hAnsi="Times New Roman" w:cs="Times New Roman"/>
          <w:i/>
          <w:iCs/>
          <w:sz w:val="24"/>
          <w:szCs w:val="24"/>
          <w:shd w:val="clear" w:color="auto" w:fill="FFFFFF"/>
        </w:rPr>
        <w:t>Journal of Public Relations Research</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24</w:t>
      </w:r>
      <w:r w:rsidRPr="007B6350">
        <w:rPr>
          <w:rFonts w:ascii="Times New Roman" w:hAnsi="Times New Roman" w:cs="Times New Roman"/>
          <w:sz w:val="24"/>
          <w:szCs w:val="24"/>
          <w:shd w:val="clear" w:color="auto" w:fill="FFFFFF"/>
        </w:rPr>
        <w:t>(1), 37-68.</w:t>
      </w:r>
    </w:p>
    <w:p w14:paraId="2DB340CA" w14:textId="7EBE2832" w:rsidR="00D80DA7" w:rsidRPr="007B6350" w:rsidRDefault="00905F24" w:rsidP="00912C71">
      <w:pPr>
        <w:pStyle w:val="EndNoteBibliography"/>
        <w:spacing w:after="0" w:line="480" w:lineRule="auto"/>
        <w:ind w:left="720" w:hanging="720"/>
        <w:jc w:val="left"/>
        <w:rPr>
          <w:rFonts w:ascii="Times New Roman" w:hAnsi="Times New Roman" w:cs="Times New Roman"/>
          <w:sz w:val="24"/>
          <w:szCs w:val="24"/>
        </w:rPr>
      </w:pPr>
      <w:bookmarkStart w:id="25" w:name="_ENREF_30"/>
      <w:bookmarkEnd w:id="24"/>
      <w:r w:rsidRPr="007B6350">
        <w:rPr>
          <w:rFonts w:ascii="Times New Roman" w:hAnsi="Times New Roman" w:cs="Times New Roman"/>
          <w:sz w:val="24"/>
          <w:szCs w:val="24"/>
        </w:rPr>
        <w:t xml:space="preserve">iPES FOOD (2020) </w:t>
      </w:r>
      <w:r w:rsidR="00D80DA7" w:rsidRPr="007B6350">
        <w:rPr>
          <w:rFonts w:ascii="Times New Roman" w:hAnsi="Times New Roman" w:cs="Times New Roman"/>
          <w:i/>
          <w:sz w:val="24"/>
          <w:szCs w:val="24"/>
        </w:rPr>
        <w:t>COVID-19 and the crisis in food systems: Symptoms, c</w:t>
      </w:r>
      <w:r w:rsidR="00912C71" w:rsidRPr="007B6350">
        <w:rPr>
          <w:rFonts w:ascii="Times New Roman" w:hAnsi="Times New Roman" w:cs="Times New Roman"/>
          <w:i/>
          <w:sz w:val="24"/>
          <w:szCs w:val="24"/>
        </w:rPr>
        <w:t>auses, and potential solutions</w:t>
      </w:r>
      <w:r w:rsidR="00912C71" w:rsidRPr="007B6350">
        <w:rPr>
          <w:rFonts w:ascii="Times New Roman" w:hAnsi="Times New Roman" w:cs="Times New Roman"/>
          <w:sz w:val="24"/>
          <w:szCs w:val="24"/>
        </w:rPr>
        <w:t>.</w:t>
      </w:r>
      <w:r w:rsidR="00D80DA7" w:rsidRPr="007B6350">
        <w:rPr>
          <w:rFonts w:ascii="Times New Roman" w:hAnsi="Times New Roman" w:cs="Times New Roman"/>
          <w:sz w:val="24"/>
          <w:szCs w:val="24"/>
        </w:rPr>
        <w:t xml:space="preserve"> </w:t>
      </w:r>
      <w:r w:rsidR="001D14FC" w:rsidRPr="007B6350">
        <w:rPr>
          <w:rFonts w:ascii="Times New Roman" w:hAnsi="Times New Roman" w:cs="Times New Roman"/>
          <w:sz w:val="24"/>
          <w:szCs w:val="24"/>
        </w:rPr>
        <w:t>Available at: http://www.ipes-food.org/_img/upload/files/COVID-19_CommuniqueEN.pdf</w:t>
      </w:r>
      <w:bookmarkEnd w:id="25"/>
      <w:r w:rsidR="001D14FC" w:rsidRPr="007B6350">
        <w:rPr>
          <w:rStyle w:val="Hyperlink"/>
          <w:rFonts w:ascii="Times New Roman" w:hAnsi="Times New Roman" w:cs="Times New Roman"/>
          <w:color w:val="auto"/>
          <w:sz w:val="24"/>
          <w:szCs w:val="24"/>
          <w:u w:val="none"/>
        </w:rPr>
        <w:t xml:space="preserve"> [Access</w:t>
      </w:r>
      <w:r w:rsidR="00EC5364" w:rsidRPr="007B6350">
        <w:rPr>
          <w:rStyle w:val="Hyperlink"/>
          <w:rFonts w:ascii="Times New Roman" w:hAnsi="Times New Roman" w:cs="Times New Roman"/>
          <w:color w:val="auto"/>
          <w:sz w:val="24"/>
          <w:szCs w:val="24"/>
          <w:u w:val="none"/>
        </w:rPr>
        <w:t>ed 20</w:t>
      </w:r>
      <w:r w:rsidR="001D14FC" w:rsidRPr="007B6350">
        <w:rPr>
          <w:rStyle w:val="Hyperlink"/>
          <w:rFonts w:ascii="Times New Roman" w:hAnsi="Times New Roman" w:cs="Times New Roman"/>
          <w:color w:val="auto"/>
          <w:sz w:val="24"/>
          <w:szCs w:val="24"/>
          <w:u w:val="none"/>
        </w:rPr>
        <w:t xml:space="preserve"> June 2021]</w:t>
      </w:r>
      <w:r w:rsidR="002D0917" w:rsidRPr="007B6350">
        <w:rPr>
          <w:rStyle w:val="Hyperlink"/>
          <w:rFonts w:ascii="Times New Roman" w:hAnsi="Times New Roman" w:cs="Times New Roman"/>
          <w:color w:val="auto"/>
          <w:sz w:val="24"/>
          <w:szCs w:val="24"/>
          <w:u w:val="none"/>
        </w:rPr>
        <w:t>.</w:t>
      </w:r>
    </w:p>
    <w:p w14:paraId="7414DB61" w14:textId="4BCCAF34" w:rsidR="00575D94" w:rsidRPr="007B6350" w:rsidRDefault="00575D94"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26" w:name="_ENREF_31"/>
      <w:r w:rsidRPr="007B6350">
        <w:rPr>
          <w:rFonts w:ascii="Times New Roman" w:hAnsi="Times New Roman" w:cs="Times New Roman"/>
          <w:sz w:val="24"/>
          <w:szCs w:val="24"/>
          <w:shd w:val="clear" w:color="auto" w:fill="FFFFFF"/>
        </w:rPr>
        <w:t>Jeruszka-Bielak, M., Sicińska, E., de Wit, L., Ruprich, J., Řehůřková, I., Brown, K. A</w:t>
      </w:r>
      <w:r w:rsidR="00823990" w:rsidRPr="007B6350">
        <w:rPr>
          <w:rFonts w:ascii="Times New Roman" w:hAnsi="Times New Roman" w:cs="Times New Roman"/>
          <w:sz w:val="24"/>
          <w:szCs w:val="24"/>
          <w:shd w:val="clear" w:color="auto" w:fill="FFFFFF"/>
        </w:rPr>
        <w:t xml:space="preserve">. </w:t>
      </w:r>
      <w:r w:rsidR="00823990" w:rsidRPr="007B6350">
        <w:rPr>
          <w:rFonts w:ascii="Times New Roman" w:hAnsi="Times New Roman" w:cs="Times New Roman"/>
          <w:i/>
          <w:sz w:val="24"/>
          <w:szCs w:val="24"/>
          <w:shd w:val="clear" w:color="auto" w:fill="FFFFFF"/>
        </w:rPr>
        <w:t>et al</w:t>
      </w:r>
      <w:r w:rsidRPr="007B6350">
        <w:rPr>
          <w:rFonts w:ascii="Times New Roman" w:hAnsi="Times New Roman" w:cs="Times New Roman"/>
          <w:i/>
          <w:sz w:val="24"/>
          <w:szCs w:val="24"/>
          <w:shd w:val="clear" w:color="auto" w:fill="FFFFFF"/>
        </w:rPr>
        <w:t>.</w:t>
      </w:r>
      <w:r w:rsidRPr="007B6350">
        <w:rPr>
          <w:rFonts w:ascii="Times New Roman" w:hAnsi="Times New Roman" w:cs="Times New Roman"/>
          <w:sz w:val="24"/>
          <w:szCs w:val="24"/>
          <w:shd w:val="clear" w:color="auto" w:fill="FFFFFF"/>
        </w:rPr>
        <w:t xml:space="preserve"> (2015) Stakeholders’ views on factors influencing nutrition policy: a qualitative study </w:t>
      </w:r>
      <w:r w:rsidRPr="007B6350">
        <w:rPr>
          <w:rFonts w:ascii="Times New Roman" w:hAnsi="Times New Roman" w:cs="Times New Roman"/>
          <w:sz w:val="24"/>
          <w:szCs w:val="24"/>
          <w:shd w:val="clear" w:color="auto" w:fill="FFFFFF"/>
        </w:rPr>
        <w:lastRenderedPageBreak/>
        <w:t>across ten European countries. </w:t>
      </w:r>
      <w:r w:rsidRPr="007B6350">
        <w:rPr>
          <w:rFonts w:ascii="Times New Roman" w:hAnsi="Times New Roman" w:cs="Times New Roman"/>
          <w:i/>
          <w:iCs/>
          <w:sz w:val="24"/>
          <w:szCs w:val="24"/>
          <w:shd w:val="clear" w:color="auto" w:fill="FFFFFF"/>
        </w:rPr>
        <w:t>Polish Journal of Food and Nutrition Sciences</w:t>
      </w:r>
      <w:r w:rsidRPr="007B6350">
        <w:rPr>
          <w:rFonts w:ascii="Times New Roman" w:hAnsi="Times New Roman" w:cs="Times New Roman"/>
          <w:sz w:val="24"/>
          <w:szCs w:val="24"/>
          <w:shd w:val="clear" w:color="auto" w:fill="FFFFFF"/>
        </w:rPr>
        <w:t>, </w:t>
      </w:r>
      <w:r w:rsidRPr="007B6350">
        <w:rPr>
          <w:rFonts w:ascii="Times New Roman" w:hAnsi="Times New Roman" w:cs="Times New Roman"/>
          <w:i/>
          <w:iCs/>
          <w:sz w:val="24"/>
          <w:szCs w:val="24"/>
          <w:shd w:val="clear" w:color="auto" w:fill="FFFFFF"/>
        </w:rPr>
        <w:t>65</w:t>
      </w:r>
      <w:r w:rsidRPr="007B6350">
        <w:rPr>
          <w:rFonts w:ascii="Times New Roman" w:hAnsi="Times New Roman" w:cs="Times New Roman"/>
          <w:sz w:val="24"/>
          <w:szCs w:val="24"/>
          <w:shd w:val="clear" w:color="auto" w:fill="FFFFFF"/>
        </w:rPr>
        <w:t>(4), 293-302.</w:t>
      </w:r>
    </w:p>
    <w:p w14:paraId="3105AEC2" w14:textId="1591EED9" w:rsidR="00FD0140" w:rsidRPr="007B6350" w:rsidRDefault="00FD0140"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27" w:name="_ENREF_32"/>
      <w:bookmarkEnd w:id="26"/>
      <w:r w:rsidRPr="007B6350">
        <w:rPr>
          <w:rFonts w:ascii="Times New Roman" w:hAnsi="Times New Roman" w:cs="Times New Roman"/>
          <w:sz w:val="24"/>
          <w:szCs w:val="24"/>
          <w:shd w:val="clear" w:color="auto" w:fill="FFFFFF"/>
        </w:rPr>
        <w:t>J</w:t>
      </w:r>
      <w:r w:rsidR="0005772D">
        <w:rPr>
          <w:rFonts w:ascii="Times New Roman" w:hAnsi="Times New Roman" w:cs="Times New Roman"/>
          <w:sz w:val="24"/>
          <w:szCs w:val="24"/>
          <w:shd w:val="clear" w:color="auto" w:fill="FFFFFF"/>
        </w:rPr>
        <w:t>ohnson, R. J. and</w:t>
      </w:r>
      <w:r w:rsidRPr="007B6350">
        <w:rPr>
          <w:rFonts w:ascii="Times New Roman" w:hAnsi="Times New Roman" w:cs="Times New Roman"/>
          <w:sz w:val="24"/>
          <w:szCs w:val="24"/>
          <w:shd w:val="clear" w:color="auto" w:fill="FFFFFF"/>
        </w:rPr>
        <w:t xml:space="preserve"> Scicchitano, M. J. (2000) Uncertainty, risk, trust, and information: Public perceptions of environmental issues and willingness to take action. </w:t>
      </w:r>
      <w:r w:rsidRPr="007B6350">
        <w:rPr>
          <w:rFonts w:ascii="Times New Roman" w:hAnsi="Times New Roman" w:cs="Times New Roman"/>
          <w:i/>
          <w:iCs/>
          <w:sz w:val="24"/>
          <w:szCs w:val="24"/>
          <w:shd w:val="clear" w:color="auto" w:fill="FFFFFF"/>
        </w:rPr>
        <w:t>Policy Studies Journal</w:t>
      </w:r>
      <w:r w:rsidRPr="007B6350">
        <w:rPr>
          <w:rFonts w:ascii="Times New Roman" w:hAnsi="Times New Roman" w:cs="Times New Roman"/>
          <w:sz w:val="24"/>
          <w:szCs w:val="24"/>
          <w:shd w:val="clear" w:color="auto" w:fill="FFFFFF"/>
        </w:rPr>
        <w:t>, </w:t>
      </w:r>
      <w:r w:rsidRPr="007B6350">
        <w:rPr>
          <w:rFonts w:ascii="Times New Roman" w:hAnsi="Times New Roman" w:cs="Times New Roman"/>
          <w:i/>
          <w:iCs/>
          <w:sz w:val="24"/>
          <w:szCs w:val="24"/>
          <w:shd w:val="clear" w:color="auto" w:fill="FFFFFF"/>
        </w:rPr>
        <w:t>28</w:t>
      </w:r>
      <w:r w:rsidRPr="007B6350">
        <w:rPr>
          <w:rFonts w:ascii="Times New Roman" w:hAnsi="Times New Roman" w:cs="Times New Roman"/>
          <w:sz w:val="24"/>
          <w:szCs w:val="24"/>
          <w:shd w:val="clear" w:color="auto" w:fill="FFFFFF"/>
        </w:rPr>
        <w:t>(3), 633-647.</w:t>
      </w:r>
    </w:p>
    <w:p w14:paraId="064909BC" w14:textId="373EA460" w:rsidR="00D80DA7" w:rsidRPr="007B6350" w:rsidRDefault="00A60CFF" w:rsidP="00912C71">
      <w:pPr>
        <w:pStyle w:val="EndNoteBibliography"/>
        <w:spacing w:after="0" w:line="480" w:lineRule="auto"/>
        <w:ind w:left="720" w:hanging="720"/>
        <w:jc w:val="left"/>
        <w:rPr>
          <w:rFonts w:ascii="Times New Roman" w:hAnsi="Times New Roman" w:cs="Times New Roman"/>
          <w:sz w:val="24"/>
          <w:szCs w:val="24"/>
        </w:rPr>
      </w:pPr>
      <w:bookmarkStart w:id="28" w:name="_ENREF_33"/>
      <w:bookmarkEnd w:id="27"/>
      <w:r w:rsidRPr="007B6350">
        <w:rPr>
          <w:rFonts w:ascii="Times New Roman" w:hAnsi="Times New Roman" w:cs="Times New Roman"/>
          <w:sz w:val="24"/>
          <w:szCs w:val="24"/>
        </w:rPr>
        <w:t>Keele, L. (2007)</w:t>
      </w:r>
      <w:r w:rsidR="00CF6000" w:rsidRPr="007B6350">
        <w:rPr>
          <w:rFonts w:ascii="Times New Roman" w:hAnsi="Times New Roman" w:cs="Times New Roman"/>
          <w:sz w:val="24"/>
          <w:szCs w:val="24"/>
        </w:rPr>
        <w:t xml:space="preserve"> </w:t>
      </w:r>
      <w:r w:rsidR="003563B5" w:rsidRPr="007B6350">
        <w:rPr>
          <w:rFonts w:ascii="Times New Roman" w:hAnsi="Times New Roman" w:cs="Times New Roman"/>
          <w:sz w:val="24"/>
          <w:szCs w:val="24"/>
        </w:rPr>
        <w:t>Social Capital and the Dynamics of Trust in Government</w:t>
      </w:r>
      <w:r w:rsidR="00D80DA7" w:rsidRPr="007B6350">
        <w:rPr>
          <w:rFonts w:ascii="Times New Roman" w:hAnsi="Times New Roman" w:cs="Times New Roman"/>
          <w:sz w:val="24"/>
          <w:szCs w:val="24"/>
        </w:rPr>
        <w:t xml:space="preserve">.  </w:t>
      </w:r>
      <w:r w:rsidR="00D80DA7" w:rsidRPr="007B6350">
        <w:rPr>
          <w:rFonts w:ascii="Times New Roman" w:hAnsi="Times New Roman" w:cs="Times New Roman"/>
          <w:i/>
          <w:sz w:val="24"/>
          <w:szCs w:val="24"/>
        </w:rPr>
        <w:t>American Journal of Political Science</w:t>
      </w:r>
      <w:r w:rsidR="00CF6000" w:rsidRPr="007B6350">
        <w:rPr>
          <w:rFonts w:ascii="Times New Roman" w:hAnsi="Times New Roman" w:cs="Times New Roman"/>
          <w:i/>
          <w:sz w:val="24"/>
          <w:szCs w:val="24"/>
        </w:rPr>
        <w:t>,</w:t>
      </w:r>
      <w:r w:rsidRPr="007B6350">
        <w:rPr>
          <w:rFonts w:ascii="Times New Roman" w:hAnsi="Times New Roman" w:cs="Times New Roman"/>
          <w:sz w:val="24"/>
          <w:szCs w:val="24"/>
        </w:rPr>
        <w:t xml:space="preserve"> 51(2), </w:t>
      </w:r>
      <w:r w:rsidR="00D80DA7" w:rsidRPr="007B6350">
        <w:rPr>
          <w:rFonts w:ascii="Times New Roman" w:hAnsi="Times New Roman" w:cs="Times New Roman"/>
          <w:sz w:val="24"/>
          <w:szCs w:val="24"/>
        </w:rPr>
        <w:t>241-254.</w:t>
      </w:r>
      <w:bookmarkEnd w:id="28"/>
    </w:p>
    <w:p w14:paraId="3B07358F" w14:textId="53E08295" w:rsidR="00D80DA7" w:rsidRPr="007B6350" w:rsidRDefault="00D80DA7" w:rsidP="00912C71">
      <w:pPr>
        <w:pStyle w:val="EndNoteBibliography"/>
        <w:spacing w:after="0" w:line="480" w:lineRule="auto"/>
        <w:ind w:left="720" w:hanging="720"/>
        <w:jc w:val="left"/>
        <w:rPr>
          <w:rFonts w:ascii="Times New Roman" w:hAnsi="Times New Roman" w:cs="Times New Roman"/>
          <w:sz w:val="24"/>
          <w:szCs w:val="24"/>
        </w:rPr>
      </w:pPr>
      <w:bookmarkStart w:id="29" w:name="_ENREF_34"/>
      <w:r w:rsidRPr="007B6350">
        <w:rPr>
          <w:rFonts w:ascii="Times New Roman" w:hAnsi="Times New Roman" w:cs="Times New Roman"/>
          <w:sz w:val="24"/>
          <w:szCs w:val="24"/>
        </w:rPr>
        <w:t>Kingdon, J</w:t>
      </w:r>
      <w:r w:rsidR="00A12F5D" w:rsidRPr="007B6350">
        <w:rPr>
          <w:rFonts w:ascii="Times New Roman" w:hAnsi="Times New Roman" w:cs="Times New Roman"/>
          <w:sz w:val="24"/>
          <w:szCs w:val="24"/>
        </w:rPr>
        <w:t>.W. (2010)</w:t>
      </w:r>
      <w:r w:rsidRPr="007B6350">
        <w:rPr>
          <w:rFonts w:ascii="Times New Roman" w:hAnsi="Times New Roman" w:cs="Times New Roman"/>
          <w:sz w:val="24"/>
          <w:szCs w:val="24"/>
        </w:rPr>
        <w:t xml:space="preserve"> </w:t>
      </w:r>
      <w:r w:rsidRPr="007B6350">
        <w:rPr>
          <w:rFonts w:ascii="Times New Roman" w:hAnsi="Times New Roman" w:cs="Times New Roman"/>
          <w:i/>
          <w:sz w:val="24"/>
          <w:szCs w:val="24"/>
        </w:rPr>
        <w:t>Agendas, Alternatives, and Public Policies, Update Edition, with an Epilogue on Health Care</w:t>
      </w:r>
      <w:r w:rsidR="00A12F5D" w:rsidRPr="007B6350">
        <w:rPr>
          <w:rFonts w:ascii="Times New Roman" w:hAnsi="Times New Roman" w:cs="Times New Roman"/>
          <w:sz w:val="24"/>
          <w:szCs w:val="24"/>
        </w:rPr>
        <w:t>,</w:t>
      </w:r>
      <w:r w:rsidRPr="007B6350">
        <w:rPr>
          <w:rFonts w:ascii="Times New Roman" w:hAnsi="Times New Roman" w:cs="Times New Roman"/>
          <w:sz w:val="24"/>
          <w:szCs w:val="24"/>
        </w:rPr>
        <w:t xml:space="preserve"> 2</w:t>
      </w:r>
      <w:r w:rsidR="00A12F5D" w:rsidRPr="007B6350">
        <w:rPr>
          <w:rFonts w:ascii="Times New Roman" w:hAnsi="Times New Roman" w:cs="Times New Roman"/>
          <w:sz w:val="24"/>
          <w:szCs w:val="24"/>
        </w:rPr>
        <w:t>nd</w:t>
      </w:r>
      <w:r w:rsidRPr="007B6350">
        <w:rPr>
          <w:rFonts w:ascii="Times New Roman" w:hAnsi="Times New Roman" w:cs="Times New Roman"/>
          <w:sz w:val="24"/>
          <w:szCs w:val="24"/>
        </w:rPr>
        <w:t xml:space="preserve"> ed</w:t>
      </w:r>
      <w:r w:rsidR="00A12F5D" w:rsidRPr="007B6350">
        <w:rPr>
          <w:rFonts w:ascii="Times New Roman" w:hAnsi="Times New Roman" w:cs="Times New Roman"/>
          <w:sz w:val="24"/>
          <w:szCs w:val="24"/>
        </w:rPr>
        <w:t>ition.</w:t>
      </w:r>
      <w:r w:rsidRPr="007B6350">
        <w:rPr>
          <w:rFonts w:ascii="Times New Roman" w:hAnsi="Times New Roman" w:cs="Times New Roman"/>
          <w:sz w:val="24"/>
          <w:szCs w:val="24"/>
        </w:rPr>
        <w:t xml:space="preserve"> London: Pearson.</w:t>
      </w:r>
      <w:bookmarkEnd w:id="29"/>
    </w:p>
    <w:p w14:paraId="1E9E74A3" w14:textId="125E7B1D" w:rsidR="00D80DA7" w:rsidRPr="007B6350" w:rsidRDefault="00A12F5D" w:rsidP="001E4E13">
      <w:pPr>
        <w:pStyle w:val="EndNoteBibliography"/>
        <w:spacing w:line="480" w:lineRule="auto"/>
        <w:ind w:left="720" w:hanging="720"/>
        <w:rPr>
          <w:rFonts w:ascii="Times New Roman" w:hAnsi="Times New Roman" w:cs="Times New Roman"/>
          <w:sz w:val="24"/>
          <w:szCs w:val="24"/>
        </w:rPr>
      </w:pPr>
      <w:bookmarkStart w:id="30" w:name="_ENREF_35"/>
      <w:r w:rsidRPr="007B6350">
        <w:rPr>
          <w:rFonts w:ascii="Times New Roman" w:hAnsi="Times New Roman" w:cs="Times New Roman"/>
          <w:sz w:val="24"/>
          <w:szCs w:val="24"/>
        </w:rPr>
        <w:t>Lang, T</w:t>
      </w:r>
      <w:r w:rsidR="00C80576" w:rsidRPr="007B6350">
        <w:rPr>
          <w:rFonts w:ascii="Times New Roman" w:hAnsi="Times New Roman" w:cs="Times New Roman"/>
          <w:sz w:val="24"/>
          <w:szCs w:val="24"/>
        </w:rPr>
        <w:t xml:space="preserve">. </w:t>
      </w:r>
      <w:r w:rsidRPr="007B6350">
        <w:rPr>
          <w:rFonts w:ascii="Times New Roman" w:hAnsi="Times New Roman" w:cs="Times New Roman"/>
          <w:sz w:val="24"/>
          <w:szCs w:val="24"/>
        </w:rPr>
        <w:t>(1999)</w:t>
      </w:r>
      <w:r w:rsidR="00C80576" w:rsidRPr="007B6350">
        <w:rPr>
          <w:rFonts w:ascii="Times New Roman" w:hAnsi="Times New Roman" w:cs="Times New Roman"/>
          <w:sz w:val="24"/>
          <w:szCs w:val="24"/>
        </w:rPr>
        <w:t xml:space="preserve"> </w:t>
      </w:r>
      <w:r w:rsidR="00D80DA7" w:rsidRPr="007B6350">
        <w:rPr>
          <w:rFonts w:ascii="Times New Roman" w:hAnsi="Times New Roman" w:cs="Times New Roman"/>
          <w:sz w:val="24"/>
          <w:szCs w:val="24"/>
        </w:rPr>
        <w:t xml:space="preserve">Food </w:t>
      </w:r>
      <w:r w:rsidR="00C80576" w:rsidRPr="007B6350">
        <w:rPr>
          <w:rFonts w:ascii="Times New Roman" w:hAnsi="Times New Roman" w:cs="Times New Roman"/>
          <w:sz w:val="24"/>
          <w:szCs w:val="24"/>
        </w:rPr>
        <w:t xml:space="preserve">Policy For The 21st Century: </w:t>
      </w:r>
      <w:r w:rsidR="00D80DA7" w:rsidRPr="007B6350">
        <w:rPr>
          <w:rFonts w:ascii="Times New Roman" w:hAnsi="Times New Roman" w:cs="Times New Roman"/>
          <w:sz w:val="24"/>
          <w:szCs w:val="24"/>
        </w:rPr>
        <w:t xml:space="preserve">Can </w:t>
      </w:r>
      <w:r w:rsidR="00C80576" w:rsidRPr="007B6350">
        <w:rPr>
          <w:rFonts w:ascii="Times New Roman" w:hAnsi="Times New Roman" w:cs="Times New Roman"/>
          <w:sz w:val="24"/>
          <w:szCs w:val="24"/>
        </w:rPr>
        <w:t>It</w:t>
      </w:r>
      <w:r w:rsidR="003C3CAB" w:rsidRPr="007B6350">
        <w:rPr>
          <w:rFonts w:ascii="Times New Roman" w:hAnsi="Times New Roman" w:cs="Times New Roman"/>
          <w:sz w:val="24"/>
          <w:szCs w:val="24"/>
        </w:rPr>
        <w:t xml:space="preserve"> Be Both Radical And Reasonable?</w:t>
      </w:r>
      <w:r w:rsidR="00C80576" w:rsidRPr="007B6350">
        <w:rPr>
          <w:rFonts w:ascii="Times New Roman" w:hAnsi="Times New Roman" w:cs="Times New Roman"/>
          <w:sz w:val="24"/>
          <w:szCs w:val="24"/>
        </w:rPr>
        <w:t xml:space="preserve">  In</w:t>
      </w:r>
      <w:r w:rsidR="00076109" w:rsidRPr="007B6350">
        <w:rPr>
          <w:rFonts w:ascii="Times New Roman" w:hAnsi="Times New Roman" w:cs="Times New Roman"/>
          <w:sz w:val="24"/>
          <w:szCs w:val="24"/>
        </w:rPr>
        <w:t>:</w:t>
      </w:r>
      <w:r w:rsidR="00C80576" w:rsidRPr="007B6350">
        <w:rPr>
          <w:rFonts w:ascii="Times New Roman" w:hAnsi="Times New Roman" w:cs="Times New Roman"/>
          <w:sz w:val="24"/>
          <w:szCs w:val="24"/>
        </w:rPr>
        <w:t xml:space="preserve"> </w:t>
      </w:r>
      <w:r w:rsidR="00492AD8" w:rsidRPr="007B6350">
        <w:rPr>
          <w:rFonts w:ascii="Times New Roman" w:hAnsi="Times New Roman" w:cs="Times New Roman"/>
          <w:sz w:val="24"/>
          <w:szCs w:val="24"/>
          <w:shd w:val="clear" w:color="auto" w:fill="FFFFFF"/>
        </w:rPr>
        <w:t xml:space="preserve">Koc, M., MacRae, R., Mougeot, L. J. A. </w:t>
      </w:r>
      <w:r w:rsidR="00AC4497" w:rsidRPr="007B6350">
        <w:rPr>
          <w:rFonts w:ascii="Times New Roman" w:hAnsi="Times New Roman" w:cs="Times New Roman"/>
          <w:sz w:val="24"/>
          <w:szCs w:val="24"/>
          <w:shd w:val="clear" w:color="auto" w:fill="FFFFFF"/>
        </w:rPr>
        <w:t>and Welsh, J.</w:t>
      </w:r>
      <w:r w:rsidR="00AC4497" w:rsidRPr="007B6350">
        <w:rPr>
          <w:rFonts w:ascii="Times New Roman" w:hAnsi="Times New Roman" w:cs="Times New Roman"/>
          <w:sz w:val="24"/>
          <w:szCs w:val="24"/>
        </w:rPr>
        <w:t xml:space="preserve"> </w:t>
      </w:r>
      <w:r w:rsidR="00076109" w:rsidRPr="007B6350">
        <w:rPr>
          <w:rFonts w:ascii="Times New Roman" w:hAnsi="Times New Roman" w:cs="Times New Roman"/>
          <w:sz w:val="24"/>
          <w:szCs w:val="24"/>
        </w:rPr>
        <w:t>[Eds.]</w:t>
      </w:r>
      <w:r w:rsidR="00076109" w:rsidRPr="007B6350">
        <w:rPr>
          <w:rFonts w:ascii="Times New Roman" w:hAnsi="Times New Roman" w:cs="Times New Roman"/>
          <w:i/>
          <w:sz w:val="24"/>
          <w:szCs w:val="24"/>
        </w:rPr>
        <w:t xml:space="preserve"> </w:t>
      </w:r>
      <w:r w:rsidR="00D80DA7" w:rsidRPr="007B6350">
        <w:rPr>
          <w:rFonts w:ascii="Times New Roman" w:hAnsi="Times New Roman" w:cs="Times New Roman"/>
          <w:i/>
          <w:sz w:val="24"/>
          <w:szCs w:val="24"/>
        </w:rPr>
        <w:t xml:space="preserve">For </w:t>
      </w:r>
      <w:r w:rsidR="00C80576" w:rsidRPr="007B6350">
        <w:rPr>
          <w:rFonts w:ascii="Times New Roman" w:hAnsi="Times New Roman" w:cs="Times New Roman"/>
          <w:i/>
          <w:sz w:val="24"/>
          <w:szCs w:val="24"/>
        </w:rPr>
        <w:t>Hunger-Proof Cities</w:t>
      </w:r>
      <w:r w:rsidR="00D80DA7" w:rsidRPr="007B6350">
        <w:rPr>
          <w:rFonts w:ascii="Times New Roman" w:hAnsi="Times New Roman" w:cs="Times New Roman"/>
          <w:i/>
          <w:sz w:val="24"/>
          <w:szCs w:val="24"/>
        </w:rPr>
        <w:t xml:space="preserve">: Sustainable </w:t>
      </w:r>
      <w:r w:rsidR="00C80576" w:rsidRPr="007B6350">
        <w:rPr>
          <w:rFonts w:ascii="Times New Roman" w:hAnsi="Times New Roman" w:cs="Times New Roman"/>
          <w:i/>
          <w:sz w:val="24"/>
          <w:szCs w:val="24"/>
        </w:rPr>
        <w:t>Urban Food Systems</w:t>
      </w:r>
      <w:r w:rsidR="00F32934" w:rsidRPr="007B6350">
        <w:rPr>
          <w:rFonts w:ascii="Times New Roman" w:hAnsi="Times New Roman" w:cs="Times New Roman"/>
          <w:sz w:val="24"/>
          <w:szCs w:val="24"/>
        </w:rPr>
        <w:t>.</w:t>
      </w:r>
      <w:r w:rsidR="001E4E13" w:rsidRPr="007B6350">
        <w:rPr>
          <w:rFonts w:ascii="Times New Roman" w:hAnsi="Times New Roman" w:cs="Times New Roman"/>
          <w:sz w:val="24"/>
          <w:szCs w:val="24"/>
        </w:rPr>
        <w:t xml:space="preserve"> </w:t>
      </w:r>
      <w:bookmarkEnd w:id="30"/>
      <w:r w:rsidR="008778FF" w:rsidRPr="007B6350">
        <w:rPr>
          <w:rFonts w:ascii="Times New Roman" w:hAnsi="Times New Roman" w:cs="Times New Roman"/>
          <w:sz w:val="24"/>
          <w:szCs w:val="24"/>
        </w:rPr>
        <w:t>Ottawa, Canada: International Development Research Centre</w:t>
      </w:r>
      <w:r w:rsidR="00F32934" w:rsidRPr="007B6350">
        <w:rPr>
          <w:rFonts w:ascii="Times New Roman" w:hAnsi="Times New Roman" w:cs="Times New Roman"/>
          <w:sz w:val="24"/>
          <w:szCs w:val="24"/>
        </w:rPr>
        <w:t>, pp. 216-224.</w:t>
      </w:r>
    </w:p>
    <w:p w14:paraId="3FED41D8" w14:textId="0333A9E9" w:rsidR="00D80DA7" w:rsidRPr="007B6350" w:rsidRDefault="0005772D" w:rsidP="00912C71">
      <w:pPr>
        <w:pStyle w:val="EndNoteBibliography"/>
        <w:spacing w:after="0" w:line="480" w:lineRule="auto"/>
        <w:ind w:left="720" w:hanging="720"/>
        <w:jc w:val="left"/>
        <w:rPr>
          <w:rFonts w:ascii="Times New Roman" w:hAnsi="Times New Roman" w:cs="Times New Roman"/>
          <w:sz w:val="24"/>
          <w:szCs w:val="24"/>
        </w:rPr>
      </w:pPr>
      <w:bookmarkStart w:id="31" w:name="_ENREF_36"/>
      <w:r>
        <w:rPr>
          <w:rFonts w:ascii="Times New Roman" w:hAnsi="Times New Roman" w:cs="Times New Roman"/>
          <w:sz w:val="24"/>
          <w:szCs w:val="24"/>
        </w:rPr>
        <w:t>Lang, T.</w:t>
      </w:r>
      <w:r w:rsidR="00D80DA7" w:rsidRPr="007B6350">
        <w:rPr>
          <w:rFonts w:ascii="Times New Roman" w:hAnsi="Times New Roman" w:cs="Times New Roman"/>
          <w:sz w:val="24"/>
          <w:szCs w:val="24"/>
        </w:rPr>
        <w:t xml:space="preserve"> </w:t>
      </w:r>
      <w:r>
        <w:rPr>
          <w:rFonts w:ascii="Times New Roman" w:hAnsi="Times New Roman" w:cs="Times New Roman"/>
          <w:sz w:val="24"/>
          <w:szCs w:val="24"/>
        </w:rPr>
        <w:t>(2005)</w:t>
      </w:r>
      <w:r w:rsidR="00D80DA7" w:rsidRPr="007B6350">
        <w:rPr>
          <w:rFonts w:ascii="Times New Roman" w:hAnsi="Times New Roman" w:cs="Times New Roman"/>
          <w:sz w:val="24"/>
          <w:szCs w:val="24"/>
        </w:rPr>
        <w:t xml:space="preserve"> What is food and farming for? – the (re)emergence of health as a key policy driver. In</w:t>
      </w:r>
      <w:r w:rsidR="000E3AE0" w:rsidRPr="007B6350">
        <w:rPr>
          <w:rFonts w:ascii="Times New Roman" w:hAnsi="Times New Roman" w:cs="Times New Roman"/>
          <w:sz w:val="24"/>
          <w:szCs w:val="24"/>
        </w:rPr>
        <w:t xml:space="preserve">: </w:t>
      </w:r>
      <w:r w:rsidR="00D80DA7" w:rsidRPr="007B6350">
        <w:rPr>
          <w:rFonts w:ascii="Times New Roman" w:hAnsi="Times New Roman" w:cs="Times New Roman"/>
          <w:sz w:val="24"/>
          <w:szCs w:val="24"/>
        </w:rPr>
        <w:t>Buttel</w:t>
      </w:r>
      <w:r w:rsidR="000E3AE0" w:rsidRPr="007B6350">
        <w:rPr>
          <w:rFonts w:ascii="Times New Roman" w:hAnsi="Times New Roman" w:cs="Times New Roman"/>
          <w:sz w:val="24"/>
          <w:szCs w:val="24"/>
        </w:rPr>
        <w:t xml:space="preserve">, F. H. </w:t>
      </w:r>
      <w:r w:rsidR="00D80DA7" w:rsidRPr="007B6350">
        <w:rPr>
          <w:rFonts w:ascii="Times New Roman" w:hAnsi="Times New Roman" w:cs="Times New Roman"/>
          <w:sz w:val="24"/>
          <w:szCs w:val="24"/>
        </w:rPr>
        <w:t>and McMichael</w:t>
      </w:r>
      <w:r w:rsidR="000E3AE0" w:rsidRPr="007B6350">
        <w:rPr>
          <w:rFonts w:ascii="Times New Roman" w:hAnsi="Times New Roman" w:cs="Times New Roman"/>
          <w:sz w:val="24"/>
          <w:szCs w:val="24"/>
        </w:rPr>
        <w:t>, P. [Eds.]</w:t>
      </w:r>
      <w:r w:rsidR="006E6DC9" w:rsidRPr="007B6350">
        <w:rPr>
          <w:rFonts w:ascii="Times New Roman" w:hAnsi="Times New Roman" w:cs="Times New Roman"/>
          <w:sz w:val="24"/>
          <w:szCs w:val="24"/>
        </w:rPr>
        <w:t xml:space="preserve"> </w:t>
      </w:r>
      <w:r w:rsidR="000E3AE0" w:rsidRPr="007B6350">
        <w:rPr>
          <w:rFonts w:ascii="Times New Roman" w:hAnsi="Times New Roman" w:cs="Times New Roman"/>
          <w:i/>
          <w:sz w:val="24"/>
          <w:szCs w:val="24"/>
        </w:rPr>
        <w:t>New Directions in the Sociology of Global Development</w:t>
      </w:r>
      <w:r w:rsidR="000E3AE0" w:rsidRPr="007B6350">
        <w:rPr>
          <w:rFonts w:ascii="Times New Roman" w:hAnsi="Times New Roman" w:cs="Times New Roman"/>
          <w:sz w:val="24"/>
          <w:szCs w:val="24"/>
        </w:rPr>
        <w:t xml:space="preserve">. </w:t>
      </w:r>
      <w:r w:rsidR="006E6DC9" w:rsidRPr="007B6350">
        <w:rPr>
          <w:rFonts w:ascii="Times New Roman" w:hAnsi="Times New Roman" w:cs="Times New Roman"/>
          <w:sz w:val="24"/>
          <w:szCs w:val="24"/>
        </w:rPr>
        <w:t>Bingley, UK</w:t>
      </w:r>
      <w:r w:rsidR="00D80DA7" w:rsidRPr="007B6350">
        <w:rPr>
          <w:rFonts w:ascii="Times New Roman" w:hAnsi="Times New Roman" w:cs="Times New Roman"/>
          <w:sz w:val="24"/>
          <w:szCs w:val="24"/>
        </w:rPr>
        <w:t>: Emerald Group Publishing Limited</w:t>
      </w:r>
      <w:bookmarkEnd w:id="31"/>
      <w:r w:rsidR="000E3AE0" w:rsidRPr="007B6350">
        <w:rPr>
          <w:rFonts w:ascii="Times New Roman" w:hAnsi="Times New Roman" w:cs="Times New Roman"/>
          <w:sz w:val="24"/>
          <w:szCs w:val="24"/>
        </w:rPr>
        <w:t>, pp. 123-144.</w:t>
      </w:r>
    </w:p>
    <w:p w14:paraId="0BAFC101" w14:textId="6145154B" w:rsidR="00566310" w:rsidRPr="007B6350" w:rsidRDefault="00566310"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32" w:name="_ENREF_37"/>
      <w:r w:rsidRPr="007B6350">
        <w:rPr>
          <w:rFonts w:ascii="Times New Roman" w:hAnsi="Times New Roman" w:cs="Times New Roman"/>
          <w:sz w:val="24"/>
          <w:szCs w:val="24"/>
          <w:shd w:val="clear" w:color="auto" w:fill="FFFFFF"/>
        </w:rPr>
        <w:t xml:space="preserve">Lloyd-Williams, F., Bromley, H., Orton, L., Hawkes, C., Taylor-Robinson, D., O’Flaherty, M. </w:t>
      </w:r>
      <w:r w:rsidRPr="007B6350">
        <w:rPr>
          <w:rFonts w:ascii="Times New Roman" w:hAnsi="Times New Roman" w:cs="Times New Roman"/>
          <w:i/>
          <w:sz w:val="24"/>
          <w:szCs w:val="24"/>
          <w:shd w:val="clear" w:color="auto" w:fill="FFFFFF"/>
        </w:rPr>
        <w:t>et al.</w:t>
      </w:r>
      <w:r w:rsidRPr="007B6350">
        <w:rPr>
          <w:rFonts w:ascii="Times New Roman" w:hAnsi="Times New Roman" w:cs="Times New Roman"/>
          <w:sz w:val="24"/>
          <w:szCs w:val="24"/>
          <w:shd w:val="clear" w:color="auto" w:fill="FFFFFF"/>
        </w:rPr>
        <w:t xml:space="preserve"> (2014) Smorgasbord or symphony? Assessing public health nutrition policies across 30 European countries using a novel framework. </w:t>
      </w:r>
      <w:r w:rsidRPr="007B6350">
        <w:rPr>
          <w:rFonts w:ascii="Times New Roman" w:hAnsi="Times New Roman" w:cs="Times New Roman"/>
          <w:i/>
          <w:iCs/>
          <w:sz w:val="24"/>
          <w:szCs w:val="24"/>
          <w:shd w:val="clear" w:color="auto" w:fill="FFFFFF"/>
        </w:rPr>
        <w:t>BMC Public Health</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14</w:t>
      </w:r>
      <w:r w:rsidRPr="007B6350">
        <w:rPr>
          <w:rFonts w:ascii="Times New Roman" w:hAnsi="Times New Roman" w:cs="Times New Roman"/>
          <w:sz w:val="24"/>
          <w:szCs w:val="24"/>
          <w:shd w:val="clear" w:color="auto" w:fill="FFFFFF"/>
        </w:rPr>
        <w:t>(1), 1-20.</w:t>
      </w:r>
    </w:p>
    <w:p w14:paraId="5F501993" w14:textId="26F23FBD" w:rsidR="00DF0169" w:rsidRPr="007B6350" w:rsidRDefault="00321A6B"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33" w:name="_ENREF_38"/>
      <w:bookmarkEnd w:id="32"/>
      <w:r w:rsidRPr="007B6350">
        <w:rPr>
          <w:rFonts w:ascii="Times New Roman" w:hAnsi="Times New Roman" w:cs="Times New Roman"/>
          <w:sz w:val="24"/>
          <w:szCs w:val="24"/>
          <w:shd w:val="clear" w:color="auto" w:fill="FFFFFF"/>
        </w:rPr>
        <w:t>Ludwig, D. S. and</w:t>
      </w:r>
      <w:r w:rsidR="00DF0169" w:rsidRPr="007B6350">
        <w:rPr>
          <w:rFonts w:ascii="Times New Roman" w:hAnsi="Times New Roman" w:cs="Times New Roman"/>
          <w:sz w:val="24"/>
          <w:szCs w:val="24"/>
          <w:shd w:val="clear" w:color="auto" w:fill="FFFFFF"/>
        </w:rPr>
        <w:t xml:space="preserve"> Nestle, M. (2008) Can the food industry play a constructiv</w:t>
      </w:r>
      <w:r w:rsidR="00A8326D" w:rsidRPr="007B6350">
        <w:rPr>
          <w:rFonts w:ascii="Times New Roman" w:hAnsi="Times New Roman" w:cs="Times New Roman"/>
          <w:sz w:val="24"/>
          <w:szCs w:val="24"/>
          <w:shd w:val="clear" w:color="auto" w:fill="FFFFFF"/>
        </w:rPr>
        <w:t>e role in the obesity epidemic?</w:t>
      </w:r>
      <w:r w:rsidR="00DF0169" w:rsidRPr="007B6350">
        <w:rPr>
          <w:rFonts w:ascii="Times New Roman" w:hAnsi="Times New Roman" w:cs="Times New Roman"/>
          <w:sz w:val="24"/>
          <w:szCs w:val="24"/>
          <w:shd w:val="clear" w:color="auto" w:fill="FFFFFF"/>
        </w:rPr>
        <w:t> </w:t>
      </w:r>
      <w:r w:rsidR="00DF0169" w:rsidRPr="007B6350">
        <w:rPr>
          <w:rFonts w:ascii="Times New Roman" w:hAnsi="Times New Roman" w:cs="Times New Roman"/>
          <w:i/>
          <w:iCs/>
          <w:sz w:val="24"/>
          <w:szCs w:val="24"/>
          <w:shd w:val="clear" w:color="auto" w:fill="FFFFFF"/>
        </w:rPr>
        <w:t>JAMA</w:t>
      </w:r>
      <w:r w:rsidR="00DF0169" w:rsidRPr="007B6350">
        <w:rPr>
          <w:rFonts w:ascii="Times New Roman" w:hAnsi="Times New Roman" w:cs="Times New Roman"/>
          <w:sz w:val="24"/>
          <w:szCs w:val="24"/>
          <w:shd w:val="clear" w:color="auto" w:fill="FFFFFF"/>
        </w:rPr>
        <w:t>, </w:t>
      </w:r>
      <w:r w:rsidR="00DF0169" w:rsidRPr="007B6350">
        <w:rPr>
          <w:rFonts w:ascii="Times New Roman" w:hAnsi="Times New Roman" w:cs="Times New Roman"/>
          <w:iCs/>
          <w:sz w:val="24"/>
          <w:szCs w:val="24"/>
          <w:shd w:val="clear" w:color="auto" w:fill="FFFFFF"/>
        </w:rPr>
        <w:t>300</w:t>
      </w:r>
      <w:r w:rsidR="00DF0169" w:rsidRPr="007B6350">
        <w:rPr>
          <w:rFonts w:ascii="Times New Roman" w:hAnsi="Times New Roman" w:cs="Times New Roman"/>
          <w:sz w:val="24"/>
          <w:szCs w:val="24"/>
          <w:shd w:val="clear" w:color="auto" w:fill="FFFFFF"/>
        </w:rPr>
        <w:t>(15), 1808-1811.</w:t>
      </w:r>
    </w:p>
    <w:p w14:paraId="566D9F93" w14:textId="5B51F110" w:rsidR="00A029C5" w:rsidRPr="007B6350" w:rsidRDefault="00A029C5" w:rsidP="00A029C5">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34" w:name="_ENREF_39"/>
      <w:bookmarkEnd w:id="33"/>
      <w:r w:rsidRPr="007B6350">
        <w:rPr>
          <w:rFonts w:ascii="Times New Roman" w:hAnsi="Times New Roman" w:cs="Times New Roman"/>
          <w:sz w:val="24"/>
          <w:szCs w:val="24"/>
          <w:shd w:val="clear" w:color="auto" w:fill="FFFFFF"/>
        </w:rPr>
        <w:t>Lund-Thomsen, P. (2009) Assessing the impact of public–private partnerships in the global south: The case of the Kasur tanneries pollution control project. </w:t>
      </w:r>
      <w:r w:rsidRPr="007B6350">
        <w:rPr>
          <w:rFonts w:ascii="Times New Roman" w:hAnsi="Times New Roman" w:cs="Times New Roman"/>
          <w:i/>
          <w:iCs/>
          <w:sz w:val="24"/>
          <w:szCs w:val="24"/>
          <w:shd w:val="clear" w:color="auto" w:fill="FFFFFF"/>
        </w:rPr>
        <w:t>Journal of Business Ethics</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90</w:t>
      </w:r>
      <w:r w:rsidRPr="007B6350">
        <w:rPr>
          <w:rFonts w:ascii="Times New Roman" w:hAnsi="Times New Roman" w:cs="Times New Roman"/>
          <w:sz w:val="24"/>
          <w:szCs w:val="24"/>
          <w:shd w:val="clear" w:color="auto" w:fill="FFFFFF"/>
        </w:rPr>
        <w:t>(1), 57-78.</w:t>
      </w:r>
    </w:p>
    <w:p w14:paraId="526CA22E" w14:textId="21D8325C" w:rsidR="00D80DA7" w:rsidRPr="007B6350" w:rsidRDefault="00D80DA7" w:rsidP="00F30F9F">
      <w:pPr>
        <w:pStyle w:val="EndNoteBibliography"/>
        <w:spacing w:after="0" w:line="480" w:lineRule="auto"/>
        <w:ind w:left="720" w:hanging="720"/>
        <w:jc w:val="left"/>
        <w:rPr>
          <w:rFonts w:ascii="Times New Roman" w:hAnsi="Times New Roman" w:cs="Times New Roman"/>
          <w:sz w:val="24"/>
          <w:szCs w:val="24"/>
          <w:highlight w:val="green"/>
        </w:rPr>
      </w:pPr>
      <w:bookmarkStart w:id="35" w:name="_ENREF_40"/>
      <w:bookmarkEnd w:id="34"/>
      <w:r w:rsidRPr="007B6350">
        <w:rPr>
          <w:rFonts w:ascii="Times New Roman" w:hAnsi="Times New Roman" w:cs="Times New Roman"/>
          <w:sz w:val="24"/>
          <w:szCs w:val="24"/>
        </w:rPr>
        <w:lastRenderedPageBreak/>
        <w:t>Lusch, R</w:t>
      </w:r>
      <w:r w:rsidR="00F30F9F" w:rsidRPr="007B6350">
        <w:rPr>
          <w:rFonts w:ascii="Times New Roman" w:hAnsi="Times New Roman" w:cs="Times New Roman"/>
          <w:sz w:val="24"/>
          <w:szCs w:val="24"/>
        </w:rPr>
        <w:t>.</w:t>
      </w:r>
      <w:r w:rsidRPr="007B6350">
        <w:rPr>
          <w:rFonts w:ascii="Times New Roman" w:hAnsi="Times New Roman" w:cs="Times New Roman"/>
          <w:sz w:val="24"/>
          <w:szCs w:val="24"/>
        </w:rPr>
        <w:t>F</w:t>
      </w:r>
      <w:r w:rsidR="00F30F9F" w:rsidRPr="007B6350">
        <w:rPr>
          <w:rFonts w:ascii="Times New Roman" w:hAnsi="Times New Roman" w:cs="Times New Roman"/>
          <w:sz w:val="24"/>
          <w:szCs w:val="24"/>
        </w:rPr>
        <w:t>. and Vargo, S.L. (2014)</w:t>
      </w:r>
      <w:r w:rsidRPr="007B6350">
        <w:rPr>
          <w:rFonts w:ascii="Times New Roman" w:hAnsi="Times New Roman" w:cs="Times New Roman"/>
          <w:sz w:val="24"/>
          <w:szCs w:val="24"/>
        </w:rPr>
        <w:t xml:space="preserve"> </w:t>
      </w:r>
      <w:r w:rsidRPr="007B6350">
        <w:rPr>
          <w:rFonts w:ascii="Times New Roman" w:hAnsi="Times New Roman" w:cs="Times New Roman"/>
          <w:i/>
          <w:sz w:val="24"/>
          <w:szCs w:val="24"/>
        </w:rPr>
        <w:t>Service-dominant logic: Premises, perspectives, possibilities</w:t>
      </w:r>
      <w:r w:rsidR="00F64428" w:rsidRPr="007B6350">
        <w:rPr>
          <w:rFonts w:ascii="Times New Roman" w:hAnsi="Times New Roman" w:cs="Times New Roman"/>
          <w:i/>
          <w:sz w:val="24"/>
          <w:szCs w:val="24"/>
        </w:rPr>
        <w:t xml:space="preserve">. </w:t>
      </w:r>
      <w:r w:rsidR="00F30F9F" w:rsidRPr="007B6350">
        <w:rPr>
          <w:rFonts w:ascii="Times New Roman" w:hAnsi="Times New Roman" w:cs="Times New Roman"/>
          <w:sz w:val="24"/>
          <w:szCs w:val="24"/>
        </w:rPr>
        <w:t>Cambridge:</w:t>
      </w:r>
      <w:r w:rsidRPr="007B6350">
        <w:rPr>
          <w:rFonts w:ascii="Times New Roman" w:hAnsi="Times New Roman" w:cs="Times New Roman"/>
          <w:sz w:val="24"/>
          <w:szCs w:val="24"/>
        </w:rPr>
        <w:t xml:space="preserve"> Cambridge University Press.</w:t>
      </w:r>
      <w:bookmarkEnd w:id="35"/>
    </w:p>
    <w:p w14:paraId="68FB5B94" w14:textId="7881711C" w:rsidR="00E601CB" w:rsidRPr="007B6350" w:rsidRDefault="00E601CB" w:rsidP="00E601CB">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36" w:name="_ENREF_41"/>
      <w:r w:rsidRPr="007B6350">
        <w:rPr>
          <w:rFonts w:ascii="Times New Roman" w:hAnsi="Times New Roman" w:cs="Times New Roman"/>
          <w:sz w:val="24"/>
          <w:szCs w:val="24"/>
          <w:shd w:val="clear" w:color="auto" w:fill="FFFFFF"/>
        </w:rPr>
        <w:t>Lusch, R. F., Vargo, S. L. and O’brien, M. (2007) Competing through service: Insights from service-dominant logic. </w:t>
      </w:r>
      <w:r w:rsidRPr="007B6350">
        <w:rPr>
          <w:rFonts w:ascii="Times New Roman" w:hAnsi="Times New Roman" w:cs="Times New Roman"/>
          <w:i/>
          <w:iCs/>
          <w:sz w:val="24"/>
          <w:szCs w:val="24"/>
          <w:shd w:val="clear" w:color="auto" w:fill="FFFFFF"/>
        </w:rPr>
        <w:t>Journal of Retailing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83</w:t>
      </w:r>
      <w:r w:rsidRPr="007B6350">
        <w:rPr>
          <w:rFonts w:ascii="Times New Roman" w:hAnsi="Times New Roman" w:cs="Times New Roman"/>
          <w:sz w:val="24"/>
          <w:szCs w:val="24"/>
          <w:shd w:val="clear" w:color="auto" w:fill="FFFFFF"/>
        </w:rPr>
        <w:t>(1), 5-18.</w:t>
      </w:r>
    </w:p>
    <w:p w14:paraId="0E6B10AD" w14:textId="0FE5C180" w:rsidR="002D1D2F" w:rsidRPr="007B6350" w:rsidRDefault="002D1D2F"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37" w:name="_ENREF_42"/>
      <w:bookmarkEnd w:id="36"/>
      <w:r w:rsidRPr="007B6350">
        <w:rPr>
          <w:rFonts w:ascii="Times New Roman" w:hAnsi="Times New Roman" w:cs="Times New Roman"/>
          <w:sz w:val="24"/>
          <w:szCs w:val="24"/>
          <w:shd w:val="clear" w:color="auto" w:fill="FFFFFF"/>
        </w:rPr>
        <w:t>Lusk, J. L. (2012) The political ideology of food. </w:t>
      </w:r>
      <w:r w:rsidRPr="007B6350">
        <w:rPr>
          <w:rFonts w:ascii="Times New Roman" w:hAnsi="Times New Roman" w:cs="Times New Roman"/>
          <w:i/>
          <w:iCs/>
          <w:sz w:val="24"/>
          <w:szCs w:val="24"/>
          <w:shd w:val="clear" w:color="auto" w:fill="FFFFFF"/>
        </w:rPr>
        <w:t>Food Policy</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37</w:t>
      </w:r>
      <w:r w:rsidRPr="007B6350">
        <w:rPr>
          <w:rFonts w:ascii="Times New Roman" w:hAnsi="Times New Roman" w:cs="Times New Roman"/>
          <w:sz w:val="24"/>
          <w:szCs w:val="24"/>
          <w:shd w:val="clear" w:color="auto" w:fill="FFFFFF"/>
        </w:rPr>
        <w:t>(5), 530-542.</w:t>
      </w:r>
    </w:p>
    <w:p w14:paraId="70F00E38" w14:textId="74273471" w:rsidR="00A27398" w:rsidRPr="007B6350" w:rsidRDefault="00A27398"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38" w:name="_ENREF_43"/>
      <w:bookmarkEnd w:id="37"/>
      <w:r w:rsidRPr="007B6350">
        <w:rPr>
          <w:rFonts w:ascii="Times New Roman" w:hAnsi="Times New Roman" w:cs="Times New Roman"/>
          <w:sz w:val="24"/>
          <w:szCs w:val="24"/>
          <w:shd w:val="clear" w:color="auto" w:fill="FFFFFF"/>
        </w:rPr>
        <w:t>Lyson, T. A. and Raymer, A. L. (2000) Stalking the wily multinational: Power and control in the US food system. </w:t>
      </w:r>
      <w:r w:rsidRPr="007B6350">
        <w:rPr>
          <w:rFonts w:ascii="Times New Roman" w:hAnsi="Times New Roman" w:cs="Times New Roman"/>
          <w:i/>
          <w:iCs/>
          <w:sz w:val="24"/>
          <w:szCs w:val="24"/>
          <w:shd w:val="clear" w:color="auto" w:fill="FFFFFF"/>
        </w:rPr>
        <w:t>Agriculture and Human Values</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17</w:t>
      </w:r>
      <w:r w:rsidRPr="007B6350">
        <w:rPr>
          <w:rFonts w:ascii="Times New Roman" w:hAnsi="Times New Roman" w:cs="Times New Roman"/>
          <w:sz w:val="24"/>
          <w:szCs w:val="24"/>
          <w:shd w:val="clear" w:color="auto" w:fill="FFFFFF"/>
        </w:rPr>
        <w:t>(2), 199-208.</w:t>
      </w:r>
    </w:p>
    <w:p w14:paraId="088D17A0" w14:textId="72EA0208" w:rsidR="00A27398" w:rsidRPr="007B6350" w:rsidRDefault="00A27398"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39" w:name="_ENREF_44"/>
      <w:bookmarkEnd w:id="38"/>
      <w:r w:rsidRPr="007B6350">
        <w:rPr>
          <w:rFonts w:ascii="Times New Roman" w:hAnsi="Times New Roman" w:cs="Times New Roman"/>
          <w:sz w:val="24"/>
          <w:szCs w:val="24"/>
          <w:shd w:val="clear" w:color="auto" w:fill="FFFFFF"/>
        </w:rPr>
        <w:t>McCort, J. D. (1994) A framework for evaluating the relational extent of a relationship marketing strategy: The case of nonprofit organizations. </w:t>
      </w:r>
      <w:r w:rsidRPr="007B6350">
        <w:rPr>
          <w:rFonts w:ascii="Times New Roman" w:hAnsi="Times New Roman" w:cs="Times New Roman"/>
          <w:i/>
          <w:iCs/>
          <w:sz w:val="24"/>
          <w:szCs w:val="24"/>
          <w:shd w:val="clear" w:color="auto" w:fill="FFFFFF"/>
        </w:rPr>
        <w:t>Journal of Direct 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8</w:t>
      </w:r>
      <w:r w:rsidRPr="007B6350">
        <w:rPr>
          <w:rFonts w:ascii="Times New Roman" w:hAnsi="Times New Roman" w:cs="Times New Roman"/>
          <w:sz w:val="24"/>
          <w:szCs w:val="24"/>
          <w:shd w:val="clear" w:color="auto" w:fill="FFFFFF"/>
        </w:rPr>
        <w:t>(2), 53-65.</w:t>
      </w:r>
    </w:p>
    <w:p w14:paraId="672B770B" w14:textId="002881DC" w:rsidR="00147D56" w:rsidRPr="007B6350" w:rsidRDefault="00147D56"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40" w:name="_ENREF_45"/>
      <w:bookmarkEnd w:id="39"/>
      <w:r w:rsidRPr="007B6350">
        <w:rPr>
          <w:rFonts w:ascii="Times New Roman" w:hAnsi="Times New Roman" w:cs="Times New Roman"/>
          <w:sz w:val="24"/>
          <w:szCs w:val="24"/>
          <w:shd w:val="clear" w:color="auto" w:fill="FFFFFF"/>
        </w:rPr>
        <w:t>McGuire, L. (2012) Slippery concepts in context: Relationship marketing and public services. </w:t>
      </w:r>
      <w:r w:rsidRPr="007B6350">
        <w:rPr>
          <w:rFonts w:ascii="Times New Roman" w:hAnsi="Times New Roman" w:cs="Times New Roman"/>
          <w:i/>
          <w:iCs/>
          <w:sz w:val="24"/>
          <w:szCs w:val="24"/>
          <w:shd w:val="clear" w:color="auto" w:fill="FFFFFF"/>
        </w:rPr>
        <w:t>Public Management Review</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14</w:t>
      </w:r>
      <w:r w:rsidRPr="007B6350">
        <w:rPr>
          <w:rFonts w:ascii="Times New Roman" w:hAnsi="Times New Roman" w:cs="Times New Roman"/>
          <w:sz w:val="24"/>
          <w:szCs w:val="24"/>
          <w:shd w:val="clear" w:color="auto" w:fill="FFFFFF"/>
        </w:rPr>
        <w:t>(4), 541-555.</w:t>
      </w:r>
    </w:p>
    <w:p w14:paraId="4BA14433" w14:textId="1034C393" w:rsidR="00D80DA7" w:rsidRPr="007B6350" w:rsidRDefault="00E3481A" w:rsidP="008C24B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41" w:name="_ENREF_46"/>
      <w:bookmarkEnd w:id="40"/>
      <w:r w:rsidRPr="007B6350">
        <w:rPr>
          <w:rFonts w:ascii="Times New Roman" w:hAnsi="Times New Roman" w:cs="Times New Roman"/>
          <w:sz w:val="24"/>
          <w:szCs w:val="24"/>
          <w:shd w:val="clear" w:color="auto" w:fill="FFFFFF"/>
        </w:rPr>
        <w:t>McLeroy, K. R., Bibeau, D., Steckler, A. and Glanz, K. (1988) An ecological perspective on health promotion programs. </w:t>
      </w:r>
      <w:r w:rsidR="00203374" w:rsidRPr="007B6350">
        <w:rPr>
          <w:rFonts w:ascii="Times New Roman" w:hAnsi="Times New Roman" w:cs="Times New Roman"/>
          <w:i/>
          <w:iCs/>
          <w:sz w:val="24"/>
          <w:szCs w:val="24"/>
          <w:shd w:val="clear" w:color="auto" w:fill="FFFFFF"/>
        </w:rPr>
        <w:t>Health Education Q</w:t>
      </w:r>
      <w:r w:rsidRPr="007B6350">
        <w:rPr>
          <w:rFonts w:ascii="Times New Roman" w:hAnsi="Times New Roman" w:cs="Times New Roman"/>
          <w:i/>
          <w:iCs/>
          <w:sz w:val="24"/>
          <w:szCs w:val="24"/>
          <w:shd w:val="clear" w:color="auto" w:fill="FFFFFF"/>
        </w:rPr>
        <w:t>uarterly</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15</w:t>
      </w:r>
      <w:r w:rsidRPr="007B6350">
        <w:rPr>
          <w:rFonts w:ascii="Times New Roman" w:hAnsi="Times New Roman" w:cs="Times New Roman"/>
          <w:sz w:val="24"/>
          <w:szCs w:val="24"/>
          <w:shd w:val="clear" w:color="auto" w:fill="FFFFFF"/>
        </w:rPr>
        <w:t>(4), 351-377.</w:t>
      </w:r>
      <w:bookmarkEnd w:id="41"/>
    </w:p>
    <w:p w14:paraId="04C241E1" w14:textId="02E8ED9C" w:rsidR="00D80DA7" w:rsidRPr="0005772D" w:rsidRDefault="00B25EAC" w:rsidP="0005772D">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42" w:name="_ENREF_47"/>
      <w:r w:rsidRPr="007B6350">
        <w:rPr>
          <w:rFonts w:ascii="Times New Roman" w:hAnsi="Times New Roman" w:cs="Times New Roman"/>
          <w:sz w:val="24"/>
          <w:szCs w:val="24"/>
          <w:shd w:val="clear" w:color="auto" w:fill="FFFFFF"/>
        </w:rPr>
        <w:t>Meadowcroft, J. (2007) Who is in charge here? Governance for sustainable development in a complex world. </w:t>
      </w:r>
      <w:r w:rsidRPr="007B6350">
        <w:rPr>
          <w:rFonts w:ascii="Times New Roman" w:hAnsi="Times New Roman" w:cs="Times New Roman"/>
          <w:i/>
          <w:iCs/>
          <w:sz w:val="24"/>
          <w:szCs w:val="24"/>
          <w:shd w:val="clear" w:color="auto" w:fill="FFFFFF"/>
        </w:rPr>
        <w:t>Journal of Environmental Policy &amp; Planning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9</w:t>
      </w:r>
      <w:r w:rsidRPr="007B6350">
        <w:rPr>
          <w:rFonts w:ascii="Times New Roman" w:hAnsi="Times New Roman" w:cs="Times New Roman"/>
          <w:sz w:val="24"/>
          <w:szCs w:val="24"/>
          <w:shd w:val="clear" w:color="auto" w:fill="FFFFFF"/>
        </w:rPr>
        <w:t>(3-4), 299-314.</w:t>
      </w:r>
      <w:bookmarkEnd w:id="42"/>
    </w:p>
    <w:p w14:paraId="15181D8E" w14:textId="64E73CA3" w:rsidR="00BA0B26" w:rsidRPr="007B6350" w:rsidRDefault="00BA0B26"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43" w:name="_ENREF_48"/>
      <w:r w:rsidRPr="007B6350">
        <w:rPr>
          <w:rFonts w:ascii="Times New Roman" w:hAnsi="Times New Roman" w:cs="Times New Roman"/>
          <w:sz w:val="24"/>
          <w:szCs w:val="24"/>
          <w:shd w:val="clear" w:color="auto" w:fill="FFFFFF"/>
        </w:rPr>
        <w:t>Milne, G. R., Iyer, E. S. and Gooding-Williams, S. (1996) Environmental organization alliance relationships within and across nonprofit, business, and government sectors. </w:t>
      </w:r>
      <w:r w:rsidRPr="007B6350">
        <w:rPr>
          <w:rFonts w:ascii="Times New Roman" w:hAnsi="Times New Roman" w:cs="Times New Roman"/>
          <w:i/>
          <w:iCs/>
          <w:sz w:val="24"/>
          <w:szCs w:val="24"/>
          <w:shd w:val="clear" w:color="auto" w:fill="FFFFFF"/>
        </w:rPr>
        <w:t>Journal of Public Policy &amp; 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15</w:t>
      </w:r>
      <w:r w:rsidRPr="007B6350">
        <w:rPr>
          <w:rFonts w:ascii="Times New Roman" w:hAnsi="Times New Roman" w:cs="Times New Roman"/>
          <w:sz w:val="24"/>
          <w:szCs w:val="24"/>
          <w:shd w:val="clear" w:color="auto" w:fill="FFFFFF"/>
        </w:rPr>
        <w:t>(2), 203-215.</w:t>
      </w:r>
    </w:p>
    <w:p w14:paraId="69A60ABB" w14:textId="1037DB61" w:rsidR="00814169" w:rsidRPr="007B6350" w:rsidRDefault="00814169"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44" w:name="_ENREF_49"/>
      <w:bookmarkEnd w:id="43"/>
      <w:r w:rsidRPr="007B6350">
        <w:rPr>
          <w:rFonts w:ascii="Times New Roman" w:hAnsi="Times New Roman" w:cs="Times New Roman"/>
          <w:sz w:val="24"/>
          <w:szCs w:val="24"/>
          <w:shd w:val="clear" w:color="auto" w:fill="FFFFFF"/>
        </w:rPr>
        <w:t>Moorman, C., Deshpande, R. and Zaltman, G. (1993) Factors affecting trust in market research relationships. </w:t>
      </w:r>
      <w:r w:rsidRPr="007B6350">
        <w:rPr>
          <w:rFonts w:ascii="Times New Roman" w:hAnsi="Times New Roman" w:cs="Times New Roman"/>
          <w:i/>
          <w:iCs/>
          <w:sz w:val="24"/>
          <w:szCs w:val="24"/>
          <w:shd w:val="clear" w:color="auto" w:fill="FFFFFF"/>
        </w:rPr>
        <w:t>Journal of 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57</w:t>
      </w:r>
      <w:r w:rsidRPr="007B6350">
        <w:rPr>
          <w:rFonts w:ascii="Times New Roman" w:hAnsi="Times New Roman" w:cs="Times New Roman"/>
          <w:sz w:val="24"/>
          <w:szCs w:val="24"/>
          <w:shd w:val="clear" w:color="auto" w:fill="FFFFFF"/>
        </w:rPr>
        <w:t>(1), 81-101.</w:t>
      </w:r>
    </w:p>
    <w:p w14:paraId="1D336C3C" w14:textId="68E93634" w:rsidR="007606CE" w:rsidRPr="007B6350" w:rsidRDefault="00115143"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45" w:name="_ENREF_50"/>
      <w:bookmarkEnd w:id="44"/>
      <w:r w:rsidRPr="007B6350">
        <w:rPr>
          <w:rFonts w:ascii="Times New Roman" w:hAnsi="Times New Roman" w:cs="Times New Roman"/>
          <w:sz w:val="24"/>
          <w:szCs w:val="24"/>
          <w:shd w:val="clear" w:color="auto" w:fill="FFFFFF"/>
        </w:rPr>
        <w:t>Morgan, R. M. and Hunt, S. D. (1994)</w:t>
      </w:r>
      <w:r w:rsidR="007606CE" w:rsidRPr="007B6350">
        <w:rPr>
          <w:rFonts w:ascii="Times New Roman" w:hAnsi="Times New Roman" w:cs="Times New Roman"/>
          <w:sz w:val="24"/>
          <w:szCs w:val="24"/>
          <w:shd w:val="clear" w:color="auto" w:fill="FFFFFF"/>
        </w:rPr>
        <w:t xml:space="preserve"> The commitment-trust theory of relationship marketing. </w:t>
      </w:r>
      <w:r w:rsidR="007606CE" w:rsidRPr="007B6350">
        <w:rPr>
          <w:rFonts w:ascii="Times New Roman" w:hAnsi="Times New Roman" w:cs="Times New Roman"/>
          <w:i/>
          <w:iCs/>
          <w:sz w:val="24"/>
          <w:szCs w:val="24"/>
          <w:shd w:val="clear" w:color="auto" w:fill="FFFFFF"/>
        </w:rPr>
        <w:t>Journal of Marketing</w:t>
      </w:r>
      <w:r w:rsidR="007606CE" w:rsidRPr="007B6350">
        <w:rPr>
          <w:rFonts w:ascii="Times New Roman" w:hAnsi="Times New Roman" w:cs="Times New Roman"/>
          <w:sz w:val="24"/>
          <w:szCs w:val="24"/>
          <w:shd w:val="clear" w:color="auto" w:fill="FFFFFF"/>
        </w:rPr>
        <w:t>, </w:t>
      </w:r>
      <w:r w:rsidR="007606CE" w:rsidRPr="007B6350">
        <w:rPr>
          <w:rFonts w:ascii="Times New Roman" w:hAnsi="Times New Roman" w:cs="Times New Roman"/>
          <w:iCs/>
          <w:sz w:val="24"/>
          <w:szCs w:val="24"/>
          <w:shd w:val="clear" w:color="auto" w:fill="FFFFFF"/>
        </w:rPr>
        <w:t>58</w:t>
      </w:r>
      <w:r w:rsidR="007606CE" w:rsidRPr="007B6350">
        <w:rPr>
          <w:rFonts w:ascii="Times New Roman" w:hAnsi="Times New Roman" w:cs="Times New Roman"/>
          <w:sz w:val="24"/>
          <w:szCs w:val="24"/>
          <w:shd w:val="clear" w:color="auto" w:fill="FFFFFF"/>
        </w:rPr>
        <w:t>(3), 20-38.</w:t>
      </w:r>
    </w:p>
    <w:p w14:paraId="4BF164D2" w14:textId="735B10D3" w:rsidR="00D80DA7" w:rsidRPr="007B6350" w:rsidRDefault="00D80DA7" w:rsidP="00912C71">
      <w:pPr>
        <w:pStyle w:val="EndNoteBibliography"/>
        <w:spacing w:after="0" w:line="480" w:lineRule="auto"/>
        <w:ind w:left="720" w:hanging="720"/>
        <w:jc w:val="left"/>
        <w:rPr>
          <w:rFonts w:ascii="Times New Roman" w:hAnsi="Times New Roman" w:cs="Times New Roman"/>
          <w:sz w:val="24"/>
          <w:szCs w:val="24"/>
        </w:rPr>
      </w:pPr>
      <w:bookmarkStart w:id="46" w:name="_ENREF_51"/>
      <w:bookmarkEnd w:id="45"/>
      <w:r w:rsidRPr="007B6350">
        <w:rPr>
          <w:rFonts w:ascii="Times New Roman" w:hAnsi="Times New Roman" w:cs="Times New Roman"/>
          <w:sz w:val="24"/>
          <w:szCs w:val="24"/>
        </w:rPr>
        <w:t>Ng, I</w:t>
      </w:r>
      <w:r w:rsidR="00142FD8" w:rsidRPr="007B6350">
        <w:rPr>
          <w:rFonts w:ascii="Times New Roman" w:hAnsi="Times New Roman" w:cs="Times New Roman"/>
          <w:sz w:val="24"/>
          <w:szCs w:val="24"/>
        </w:rPr>
        <w:t xml:space="preserve">. </w:t>
      </w:r>
      <w:r w:rsidR="006F6A78" w:rsidRPr="007B6350">
        <w:rPr>
          <w:rFonts w:ascii="Times New Roman" w:hAnsi="Times New Roman" w:cs="Times New Roman"/>
          <w:sz w:val="24"/>
          <w:szCs w:val="24"/>
        </w:rPr>
        <w:t>(</w:t>
      </w:r>
      <w:r w:rsidR="00142FD8" w:rsidRPr="007B6350">
        <w:rPr>
          <w:rFonts w:ascii="Times New Roman" w:hAnsi="Times New Roman" w:cs="Times New Roman"/>
          <w:sz w:val="24"/>
          <w:szCs w:val="24"/>
        </w:rPr>
        <w:t>2018</w:t>
      </w:r>
      <w:r w:rsidR="006F6A78" w:rsidRPr="007B6350">
        <w:rPr>
          <w:rFonts w:ascii="Times New Roman" w:hAnsi="Times New Roman" w:cs="Times New Roman"/>
          <w:sz w:val="24"/>
          <w:szCs w:val="24"/>
        </w:rPr>
        <w:t>)</w:t>
      </w:r>
      <w:r w:rsidR="00142FD8" w:rsidRPr="007B6350">
        <w:rPr>
          <w:rFonts w:ascii="Times New Roman" w:hAnsi="Times New Roman" w:cs="Times New Roman"/>
          <w:sz w:val="24"/>
          <w:szCs w:val="24"/>
        </w:rPr>
        <w:t xml:space="preserve"> Service Ecosystems.</w:t>
      </w:r>
      <w:r w:rsidRPr="007B6350">
        <w:rPr>
          <w:rFonts w:ascii="Times New Roman" w:hAnsi="Times New Roman" w:cs="Times New Roman"/>
          <w:sz w:val="24"/>
          <w:szCs w:val="24"/>
        </w:rPr>
        <w:t xml:space="preserve"> In</w:t>
      </w:r>
      <w:r w:rsidR="006F6A78" w:rsidRPr="007B6350">
        <w:rPr>
          <w:rFonts w:ascii="Times New Roman" w:hAnsi="Times New Roman" w:cs="Times New Roman"/>
          <w:sz w:val="24"/>
          <w:szCs w:val="24"/>
        </w:rPr>
        <w:t>:</w:t>
      </w:r>
      <w:r w:rsidRPr="007B6350">
        <w:rPr>
          <w:rFonts w:ascii="Times New Roman" w:hAnsi="Times New Roman" w:cs="Times New Roman"/>
          <w:sz w:val="24"/>
          <w:szCs w:val="24"/>
        </w:rPr>
        <w:t xml:space="preserve"> </w:t>
      </w:r>
      <w:r w:rsidR="006F6A78" w:rsidRPr="007B6350">
        <w:rPr>
          <w:rFonts w:ascii="Times New Roman" w:hAnsi="Times New Roman" w:cs="Times New Roman"/>
          <w:sz w:val="24"/>
          <w:szCs w:val="24"/>
        </w:rPr>
        <w:t xml:space="preserve">Vargo, S.L. and Lusch, R.F.  </w:t>
      </w:r>
      <w:r w:rsidR="00A027DA" w:rsidRPr="007B6350">
        <w:rPr>
          <w:rFonts w:ascii="Times New Roman" w:hAnsi="Times New Roman" w:cs="Times New Roman"/>
          <w:sz w:val="24"/>
          <w:szCs w:val="24"/>
        </w:rPr>
        <w:t xml:space="preserve">[Eds.] </w:t>
      </w:r>
      <w:r w:rsidRPr="007B6350">
        <w:rPr>
          <w:rFonts w:ascii="Times New Roman" w:hAnsi="Times New Roman" w:cs="Times New Roman"/>
          <w:i/>
          <w:sz w:val="24"/>
          <w:szCs w:val="24"/>
        </w:rPr>
        <w:t>The SAGE Handbook of Service-Dominant Logic</w:t>
      </w:r>
      <w:r w:rsidRPr="007B6350">
        <w:rPr>
          <w:rFonts w:ascii="Times New Roman" w:hAnsi="Times New Roman" w:cs="Times New Roman"/>
          <w:sz w:val="24"/>
          <w:szCs w:val="24"/>
        </w:rPr>
        <w:t>. London: SAGE Publications Ltd</w:t>
      </w:r>
      <w:bookmarkEnd w:id="46"/>
      <w:r w:rsidR="00100C2F" w:rsidRPr="007B6350">
        <w:rPr>
          <w:rFonts w:ascii="Times New Roman" w:hAnsi="Times New Roman" w:cs="Times New Roman"/>
          <w:sz w:val="24"/>
          <w:szCs w:val="24"/>
        </w:rPr>
        <w:t>, pp.195-260</w:t>
      </w:r>
      <w:r w:rsidR="00E42A32" w:rsidRPr="007B6350">
        <w:rPr>
          <w:rFonts w:ascii="Times New Roman" w:hAnsi="Times New Roman" w:cs="Times New Roman"/>
          <w:sz w:val="24"/>
          <w:szCs w:val="24"/>
        </w:rPr>
        <w:t>.</w:t>
      </w:r>
    </w:p>
    <w:p w14:paraId="0453B367" w14:textId="71521596" w:rsidR="00D80DA7" w:rsidRPr="007B6350" w:rsidRDefault="00E42A32" w:rsidP="00E42A32">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47" w:name="_ENREF_53"/>
      <w:r w:rsidRPr="007B6350">
        <w:rPr>
          <w:rFonts w:ascii="Times New Roman" w:hAnsi="Times New Roman" w:cs="Times New Roman"/>
          <w:sz w:val="24"/>
          <w:szCs w:val="24"/>
          <w:shd w:val="clear" w:color="auto" w:fill="FFFFFF"/>
        </w:rPr>
        <w:lastRenderedPageBreak/>
        <w:t>O’Malley, L. and Tynan, C. (2000) Relationship marketing in consumer markets–rhetoric or reality?. </w:t>
      </w:r>
      <w:r w:rsidRPr="007B6350">
        <w:rPr>
          <w:rFonts w:ascii="Times New Roman" w:hAnsi="Times New Roman" w:cs="Times New Roman"/>
          <w:i/>
          <w:iCs/>
          <w:sz w:val="24"/>
          <w:szCs w:val="24"/>
          <w:shd w:val="clear" w:color="auto" w:fill="FFFFFF"/>
        </w:rPr>
        <w:t>European Journal of Marketing</w:t>
      </w:r>
      <w:r w:rsidRPr="007B6350">
        <w:rPr>
          <w:rFonts w:ascii="Times New Roman" w:hAnsi="Times New Roman" w:cs="Times New Roman"/>
          <w:sz w:val="24"/>
          <w:szCs w:val="24"/>
          <w:shd w:val="clear" w:color="auto" w:fill="FFFFFF"/>
        </w:rPr>
        <w:t xml:space="preserve">, </w:t>
      </w:r>
      <w:r w:rsidRPr="007B6350">
        <w:rPr>
          <w:rFonts w:ascii="Times New Roman" w:hAnsi="Times New Roman" w:cs="Times New Roman"/>
          <w:sz w:val="24"/>
          <w:szCs w:val="24"/>
        </w:rPr>
        <w:t xml:space="preserve">34 (7), </w:t>
      </w:r>
      <w:r w:rsidR="00D80DA7" w:rsidRPr="007B6350">
        <w:rPr>
          <w:rFonts w:ascii="Times New Roman" w:hAnsi="Times New Roman" w:cs="Times New Roman"/>
          <w:sz w:val="24"/>
          <w:szCs w:val="24"/>
        </w:rPr>
        <w:t>797-815.</w:t>
      </w:r>
      <w:bookmarkEnd w:id="47"/>
    </w:p>
    <w:p w14:paraId="1A162434" w14:textId="599E97AF" w:rsidR="00D80DA7" w:rsidRPr="007B6350" w:rsidRDefault="0035287E" w:rsidP="00912C71">
      <w:pPr>
        <w:pStyle w:val="EndNoteBibliography"/>
        <w:spacing w:after="0" w:line="480" w:lineRule="auto"/>
        <w:ind w:left="720" w:hanging="720"/>
        <w:jc w:val="left"/>
        <w:rPr>
          <w:rFonts w:ascii="Times New Roman" w:hAnsi="Times New Roman" w:cs="Times New Roman"/>
          <w:sz w:val="24"/>
          <w:szCs w:val="24"/>
        </w:rPr>
      </w:pPr>
      <w:bookmarkStart w:id="48" w:name="_ENREF_54"/>
      <w:r w:rsidRPr="007B6350">
        <w:rPr>
          <w:rFonts w:ascii="Times New Roman" w:hAnsi="Times New Roman" w:cs="Times New Roman"/>
          <w:sz w:val="24"/>
          <w:szCs w:val="24"/>
        </w:rPr>
        <w:t>OECD (2017a)</w:t>
      </w:r>
      <w:r w:rsidR="00D80DA7" w:rsidRPr="007B6350">
        <w:rPr>
          <w:rFonts w:ascii="Times New Roman" w:hAnsi="Times New Roman" w:cs="Times New Roman"/>
          <w:sz w:val="24"/>
          <w:szCs w:val="24"/>
        </w:rPr>
        <w:t xml:space="preserve"> </w:t>
      </w:r>
      <w:r w:rsidR="00D80DA7" w:rsidRPr="007B6350">
        <w:rPr>
          <w:rFonts w:ascii="Times New Roman" w:hAnsi="Times New Roman" w:cs="Times New Roman"/>
          <w:i/>
          <w:sz w:val="24"/>
          <w:szCs w:val="24"/>
        </w:rPr>
        <w:t>Greece: Country Health Profile 2017, State of Health in the EU</w:t>
      </w:r>
      <w:r w:rsidR="00D80DA7" w:rsidRPr="007B6350">
        <w:rPr>
          <w:rFonts w:ascii="Times New Roman" w:hAnsi="Times New Roman" w:cs="Times New Roman"/>
          <w:sz w:val="24"/>
          <w:szCs w:val="24"/>
        </w:rPr>
        <w:t>. Brussels: OECD Publishing, Paris/European Observatory on Health Systems and Policies.</w:t>
      </w:r>
      <w:bookmarkEnd w:id="48"/>
    </w:p>
    <w:p w14:paraId="5E7791B1" w14:textId="6A60F643" w:rsidR="00D80DA7" w:rsidRPr="007B6350" w:rsidRDefault="0035287E" w:rsidP="00912C71">
      <w:pPr>
        <w:pStyle w:val="EndNoteBibliography"/>
        <w:spacing w:after="0" w:line="480" w:lineRule="auto"/>
        <w:ind w:left="720" w:hanging="720"/>
        <w:jc w:val="left"/>
        <w:rPr>
          <w:rFonts w:ascii="Times New Roman" w:hAnsi="Times New Roman" w:cs="Times New Roman"/>
          <w:sz w:val="24"/>
          <w:szCs w:val="24"/>
        </w:rPr>
      </w:pPr>
      <w:bookmarkStart w:id="49" w:name="_ENREF_55"/>
      <w:r w:rsidRPr="007B6350">
        <w:rPr>
          <w:rFonts w:ascii="Times New Roman" w:hAnsi="Times New Roman" w:cs="Times New Roman"/>
          <w:sz w:val="24"/>
          <w:szCs w:val="24"/>
        </w:rPr>
        <w:t>OECD (2017b)</w:t>
      </w:r>
      <w:r w:rsidR="00D80DA7" w:rsidRPr="007B6350">
        <w:rPr>
          <w:rFonts w:ascii="Times New Roman" w:hAnsi="Times New Roman" w:cs="Times New Roman"/>
          <w:sz w:val="24"/>
          <w:szCs w:val="24"/>
        </w:rPr>
        <w:t xml:space="preserve"> Trust and Public Policy: How Better Governance Can Help Rebuild Public Trust. In </w:t>
      </w:r>
      <w:r w:rsidR="00D80DA7" w:rsidRPr="007B6350">
        <w:rPr>
          <w:rFonts w:ascii="Times New Roman" w:hAnsi="Times New Roman" w:cs="Times New Roman"/>
          <w:i/>
          <w:sz w:val="24"/>
          <w:szCs w:val="24"/>
        </w:rPr>
        <w:t>OECD Public Governance Reviews</w:t>
      </w:r>
      <w:r w:rsidR="00D80DA7" w:rsidRPr="007B6350">
        <w:rPr>
          <w:rFonts w:ascii="Times New Roman" w:hAnsi="Times New Roman" w:cs="Times New Roman"/>
          <w:sz w:val="24"/>
          <w:szCs w:val="24"/>
        </w:rPr>
        <w:t>. Paris: OECD Publishing.</w:t>
      </w:r>
      <w:bookmarkEnd w:id="49"/>
    </w:p>
    <w:p w14:paraId="4449D9B9" w14:textId="3A13416A" w:rsidR="00C36103" w:rsidRPr="007B6350" w:rsidRDefault="00C36103"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50" w:name="_ENREF_56"/>
      <w:r w:rsidRPr="007B6350">
        <w:rPr>
          <w:rFonts w:ascii="Times New Roman" w:hAnsi="Times New Roman" w:cs="Times New Roman"/>
          <w:sz w:val="24"/>
          <w:szCs w:val="24"/>
          <w:shd w:val="clear" w:color="auto" w:fill="FFFFFF"/>
        </w:rPr>
        <w:t>Pelletier, D., McCullum, C., Kraak, V. and Asher, K. (2003) Participation, power and beliefs shape local food and nutrition policy. </w:t>
      </w:r>
      <w:r w:rsidRPr="007B6350">
        <w:rPr>
          <w:rFonts w:ascii="Times New Roman" w:hAnsi="Times New Roman" w:cs="Times New Roman"/>
          <w:i/>
          <w:iCs/>
          <w:sz w:val="24"/>
          <w:szCs w:val="24"/>
          <w:shd w:val="clear" w:color="auto" w:fill="FFFFFF"/>
        </w:rPr>
        <w:t>The Journal of Nutrition</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133</w:t>
      </w:r>
      <w:r w:rsidRPr="007B6350">
        <w:rPr>
          <w:rFonts w:ascii="Times New Roman" w:hAnsi="Times New Roman" w:cs="Times New Roman"/>
          <w:sz w:val="24"/>
          <w:szCs w:val="24"/>
          <w:shd w:val="clear" w:color="auto" w:fill="FFFFFF"/>
        </w:rPr>
        <w:t>(1), 301S-304S.</w:t>
      </w:r>
    </w:p>
    <w:p w14:paraId="726E25A9" w14:textId="36178404" w:rsidR="00D80DA7" w:rsidRPr="007B6350" w:rsidRDefault="00290417" w:rsidP="00E12C12">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51" w:name="_ENREF_57"/>
      <w:bookmarkEnd w:id="50"/>
      <w:r w:rsidRPr="007B6350">
        <w:rPr>
          <w:rFonts w:ascii="Times New Roman" w:hAnsi="Times New Roman" w:cs="Times New Roman"/>
          <w:sz w:val="24"/>
          <w:szCs w:val="24"/>
          <w:shd w:val="clear" w:color="auto" w:fill="FFFFFF"/>
        </w:rPr>
        <w:t>Pratto, F. (2016) On power and empowerment. </w:t>
      </w:r>
      <w:r w:rsidRPr="007B6350">
        <w:rPr>
          <w:rFonts w:ascii="Times New Roman" w:hAnsi="Times New Roman" w:cs="Times New Roman"/>
          <w:i/>
          <w:iCs/>
          <w:sz w:val="24"/>
          <w:szCs w:val="24"/>
          <w:shd w:val="clear" w:color="auto" w:fill="FFFFFF"/>
        </w:rPr>
        <w:t>British Journal of Social Psychology</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55</w:t>
      </w:r>
      <w:r w:rsidRPr="007B6350">
        <w:rPr>
          <w:rFonts w:ascii="Times New Roman" w:hAnsi="Times New Roman" w:cs="Times New Roman"/>
          <w:sz w:val="24"/>
          <w:szCs w:val="24"/>
          <w:shd w:val="clear" w:color="auto" w:fill="FFFFFF"/>
        </w:rPr>
        <w:t>(1), 1-20.</w:t>
      </w:r>
      <w:bookmarkEnd w:id="51"/>
    </w:p>
    <w:p w14:paraId="3DC211A9" w14:textId="79E7E124" w:rsidR="006020D0" w:rsidRPr="007B6350" w:rsidRDefault="006020D0"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52" w:name="_ENREF_58"/>
      <w:r w:rsidRPr="007B6350">
        <w:rPr>
          <w:rFonts w:ascii="Times New Roman" w:hAnsi="Times New Roman" w:cs="Times New Roman"/>
          <w:sz w:val="24"/>
          <w:szCs w:val="24"/>
          <w:shd w:val="clear" w:color="auto" w:fill="FFFFFF"/>
        </w:rPr>
        <w:t>Rees, P. and Gardner, H. (2003) Best value, partnerships and relationship marketing in local government. </w:t>
      </w:r>
      <w:r w:rsidRPr="007B6350">
        <w:rPr>
          <w:rFonts w:ascii="Times New Roman" w:hAnsi="Times New Roman" w:cs="Times New Roman"/>
          <w:i/>
          <w:iCs/>
          <w:sz w:val="24"/>
          <w:szCs w:val="24"/>
          <w:shd w:val="clear" w:color="auto" w:fill="FFFFFF"/>
        </w:rPr>
        <w:t>International Journal of Nonprofit and Voluntary Sector 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8</w:t>
      </w:r>
      <w:r w:rsidRPr="007B6350">
        <w:rPr>
          <w:rFonts w:ascii="Times New Roman" w:hAnsi="Times New Roman" w:cs="Times New Roman"/>
          <w:sz w:val="24"/>
          <w:szCs w:val="24"/>
          <w:shd w:val="clear" w:color="auto" w:fill="FFFFFF"/>
        </w:rPr>
        <w:t>(2), 143-152.</w:t>
      </w:r>
    </w:p>
    <w:p w14:paraId="22FD20DF" w14:textId="2860E6B6" w:rsidR="00F169AC" w:rsidRPr="007B6350" w:rsidRDefault="00F169AC"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53" w:name="_ENREF_59"/>
      <w:bookmarkEnd w:id="52"/>
      <w:r w:rsidRPr="007B6350">
        <w:rPr>
          <w:rFonts w:ascii="Times New Roman" w:hAnsi="Times New Roman" w:cs="Times New Roman"/>
          <w:sz w:val="24"/>
          <w:szCs w:val="24"/>
          <w:shd w:val="clear" w:color="auto" w:fill="FFFFFF"/>
        </w:rPr>
        <w:t>Roberto, C. A., Swinburn, B., Hawkes, C., Huang, T. T., Costa, S. A., Ashe, M.</w:t>
      </w:r>
      <w:r w:rsidR="00FB599C" w:rsidRPr="007B6350">
        <w:rPr>
          <w:rFonts w:ascii="Times New Roman" w:hAnsi="Times New Roman" w:cs="Times New Roman"/>
          <w:sz w:val="24"/>
          <w:szCs w:val="24"/>
          <w:shd w:val="clear" w:color="auto" w:fill="FFFFFF"/>
        </w:rPr>
        <w:t xml:space="preserve"> </w:t>
      </w:r>
      <w:r w:rsidR="00FB599C" w:rsidRPr="007B6350">
        <w:rPr>
          <w:rFonts w:ascii="Times New Roman" w:hAnsi="Times New Roman" w:cs="Times New Roman"/>
          <w:i/>
          <w:sz w:val="24"/>
          <w:szCs w:val="24"/>
          <w:shd w:val="clear" w:color="auto" w:fill="FFFFFF"/>
        </w:rPr>
        <w:t>et al.</w:t>
      </w:r>
      <w:r w:rsidRPr="007B6350">
        <w:rPr>
          <w:rFonts w:ascii="Times New Roman" w:hAnsi="Times New Roman" w:cs="Times New Roman"/>
          <w:sz w:val="24"/>
          <w:szCs w:val="24"/>
          <w:shd w:val="clear" w:color="auto" w:fill="FFFFFF"/>
        </w:rPr>
        <w:t xml:space="preserve"> (2015)</w:t>
      </w:r>
      <w:r w:rsidR="00FB599C" w:rsidRPr="007B6350">
        <w:rPr>
          <w:rFonts w:ascii="Times New Roman" w:hAnsi="Times New Roman" w:cs="Times New Roman"/>
          <w:sz w:val="24"/>
          <w:szCs w:val="24"/>
          <w:shd w:val="clear" w:color="auto" w:fill="FFFFFF"/>
        </w:rPr>
        <w:t xml:space="preserve"> </w:t>
      </w:r>
      <w:r w:rsidRPr="007B6350">
        <w:rPr>
          <w:rFonts w:ascii="Times New Roman" w:hAnsi="Times New Roman" w:cs="Times New Roman"/>
          <w:sz w:val="24"/>
          <w:szCs w:val="24"/>
          <w:shd w:val="clear" w:color="auto" w:fill="FFFFFF"/>
        </w:rPr>
        <w:t>Patchy progress on obesity prevention: emerging examples, entrenched barriers, and new thinking. </w:t>
      </w:r>
      <w:r w:rsidRPr="007B6350">
        <w:rPr>
          <w:rFonts w:ascii="Times New Roman" w:hAnsi="Times New Roman" w:cs="Times New Roman"/>
          <w:i/>
          <w:iCs/>
          <w:sz w:val="24"/>
          <w:szCs w:val="24"/>
          <w:shd w:val="clear" w:color="auto" w:fill="FFFFFF"/>
        </w:rPr>
        <w:t>The Lancet</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385</w:t>
      </w:r>
      <w:r w:rsidRPr="007B6350">
        <w:rPr>
          <w:rFonts w:ascii="Times New Roman" w:hAnsi="Times New Roman" w:cs="Times New Roman"/>
          <w:sz w:val="24"/>
          <w:szCs w:val="24"/>
          <w:shd w:val="clear" w:color="auto" w:fill="FFFFFF"/>
        </w:rPr>
        <w:t>(9985), 2400-2409.</w:t>
      </w:r>
    </w:p>
    <w:p w14:paraId="6FDA03BD" w14:textId="6015C589" w:rsidR="00D80DA7" w:rsidRPr="007B6350" w:rsidRDefault="000370E9" w:rsidP="00912C71">
      <w:pPr>
        <w:pStyle w:val="EndNoteBibliography"/>
        <w:spacing w:after="0" w:line="480" w:lineRule="auto"/>
        <w:ind w:left="720" w:hanging="720"/>
        <w:jc w:val="left"/>
        <w:rPr>
          <w:rFonts w:ascii="Times New Roman" w:hAnsi="Times New Roman" w:cs="Times New Roman"/>
          <w:sz w:val="24"/>
          <w:szCs w:val="24"/>
        </w:rPr>
      </w:pPr>
      <w:bookmarkStart w:id="54" w:name="_ENREF_60"/>
      <w:bookmarkEnd w:id="53"/>
      <w:r w:rsidRPr="007B6350">
        <w:rPr>
          <w:rFonts w:ascii="Times New Roman" w:hAnsi="Times New Roman" w:cs="Times New Roman"/>
          <w:sz w:val="24"/>
          <w:szCs w:val="24"/>
        </w:rPr>
        <w:t>Sayer, A. (1992)</w:t>
      </w:r>
      <w:r w:rsidR="0075623B" w:rsidRPr="007B6350">
        <w:rPr>
          <w:rFonts w:ascii="Times New Roman" w:hAnsi="Times New Roman" w:cs="Times New Roman"/>
          <w:sz w:val="24"/>
          <w:szCs w:val="24"/>
        </w:rPr>
        <w:t xml:space="preserve"> </w:t>
      </w:r>
      <w:r w:rsidR="00D80DA7" w:rsidRPr="007B6350">
        <w:rPr>
          <w:rFonts w:ascii="Times New Roman" w:hAnsi="Times New Roman" w:cs="Times New Roman"/>
          <w:i/>
          <w:sz w:val="24"/>
          <w:szCs w:val="24"/>
        </w:rPr>
        <w:t xml:space="preserve">Method </w:t>
      </w:r>
      <w:r w:rsidR="00941574" w:rsidRPr="007B6350">
        <w:rPr>
          <w:rFonts w:ascii="Times New Roman" w:hAnsi="Times New Roman" w:cs="Times New Roman"/>
          <w:i/>
          <w:sz w:val="24"/>
          <w:szCs w:val="24"/>
        </w:rPr>
        <w:t>in Social Science: A Realist Approach</w:t>
      </w:r>
      <w:r w:rsidR="0075623B" w:rsidRPr="007B6350">
        <w:rPr>
          <w:rFonts w:ascii="Times New Roman" w:hAnsi="Times New Roman" w:cs="Times New Roman"/>
          <w:sz w:val="24"/>
          <w:szCs w:val="24"/>
        </w:rPr>
        <w:t>, 2nd ed</w:t>
      </w:r>
      <w:r w:rsidRPr="007B6350">
        <w:rPr>
          <w:rFonts w:ascii="Times New Roman" w:hAnsi="Times New Roman" w:cs="Times New Roman"/>
          <w:sz w:val="24"/>
          <w:szCs w:val="24"/>
        </w:rPr>
        <w:t>ition</w:t>
      </w:r>
      <w:r w:rsidR="0075623B" w:rsidRPr="007B6350">
        <w:rPr>
          <w:rFonts w:ascii="Times New Roman" w:hAnsi="Times New Roman" w:cs="Times New Roman"/>
          <w:sz w:val="24"/>
          <w:szCs w:val="24"/>
        </w:rPr>
        <w:t xml:space="preserve">. </w:t>
      </w:r>
      <w:r w:rsidR="00D80DA7" w:rsidRPr="007B6350">
        <w:rPr>
          <w:rFonts w:ascii="Times New Roman" w:hAnsi="Times New Roman" w:cs="Times New Roman"/>
          <w:sz w:val="24"/>
          <w:szCs w:val="24"/>
        </w:rPr>
        <w:t>New York</w:t>
      </w:r>
      <w:bookmarkEnd w:id="54"/>
      <w:r w:rsidR="0075623B" w:rsidRPr="007B6350">
        <w:rPr>
          <w:rFonts w:ascii="Times New Roman" w:hAnsi="Times New Roman" w:cs="Times New Roman"/>
          <w:sz w:val="24"/>
          <w:szCs w:val="24"/>
        </w:rPr>
        <w:t>: Routledge</w:t>
      </w:r>
      <w:r w:rsidR="00626DED" w:rsidRPr="007B6350">
        <w:rPr>
          <w:rFonts w:ascii="Times New Roman" w:hAnsi="Times New Roman" w:cs="Times New Roman"/>
          <w:sz w:val="24"/>
          <w:szCs w:val="24"/>
        </w:rPr>
        <w:t>.</w:t>
      </w:r>
    </w:p>
    <w:p w14:paraId="19CE5C14" w14:textId="68000429" w:rsidR="00D80DA7" w:rsidRPr="007B6350" w:rsidRDefault="00626DED" w:rsidP="00912C71">
      <w:pPr>
        <w:pStyle w:val="EndNoteBibliography"/>
        <w:spacing w:after="0" w:line="480" w:lineRule="auto"/>
        <w:ind w:left="720" w:hanging="720"/>
        <w:jc w:val="left"/>
        <w:rPr>
          <w:rFonts w:ascii="Times New Roman" w:hAnsi="Times New Roman" w:cs="Times New Roman"/>
          <w:sz w:val="24"/>
          <w:szCs w:val="24"/>
        </w:rPr>
      </w:pPr>
      <w:bookmarkStart w:id="55" w:name="_ENREF_61"/>
      <w:r w:rsidRPr="007B6350">
        <w:rPr>
          <w:rFonts w:ascii="Times New Roman" w:hAnsi="Times New Roman" w:cs="Times New Roman"/>
          <w:sz w:val="24"/>
          <w:szCs w:val="24"/>
        </w:rPr>
        <w:t>Silverman, D</w:t>
      </w:r>
      <w:r w:rsidR="00D80DA7" w:rsidRPr="007B6350">
        <w:rPr>
          <w:rFonts w:ascii="Times New Roman" w:hAnsi="Times New Roman" w:cs="Times New Roman"/>
          <w:sz w:val="24"/>
          <w:szCs w:val="24"/>
        </w:rPr>
        <w:t xml:space="preserve">. </w:t>
      </w:r>
      <w:r w:rsidRPr="007B6350">
        <w:rPr>
          <w:rFonts w:ascii="Times New Roman" w:hAnsi="Times New Roman" w:cs="Times New Roman"/>
          <w:sz w:val="24"/>
          <w:szCs w:val="24"/>
        </w:rPr>
        <w:t>(2013)</w:t>
      </w:r>
      <w:r w:rsidR="00D80DA7" w:rsidRPr="007B6350">
        <w:rPr>
          <w:rFonts w:ascii="Times New Roman" w:hAnsi="Times New Roman" w:cs="Times New Roman"/>
          <w:sz w:val="24"/>
          <w:szCs w:val="24"/>
        </w:rPr>
        <w:t xml:space="preserve"> </w:t>
      </w:r>
      <w:r w:rsidR="00941574" w:rsidRPr="007B6350">
        <w:rPr>
          <w:rFonts w:ascii="Times New Roman" w:hAnsi="Times New Roman" w:cs="Times New Roman"/>
          <w:i/>
          <w:sz w:val="24"/>
          <w:szCs w:val="24"/>
        </w:rPr>
        <w:t>Doing Q</w:t>
      </w:r>
      <w:r w:rsidR="00D80DA7" w:rsidRPr="007B6350">
        <w:rPr>
          <w:rFonts w:ascii="Times New Roman" w:hAnsi="Times New Roman" w:cs="Times New Roman"/>
          <w:i/>
          <w:sz w:val="24"/>
          <w:szCs w:val="24"/>
        </w:rPr>
        <w:t xml:space="preserve">ualitative </w:t>
      </w:r>
      <w:r w:rsidR="00941574" w:rsidRPr="007B6350">
        <w:rPr>
          <w:rFonts w:ascii="Times New Roman" w:hAnsi="Times New Roman" w:cs="Times New Roman"/>
          <w:i/>
          <w:sz w:val="24"/>
          <w:szCs w:val="24"/>
        </w:rPr>
        <w:t>Research: A Practical H</w:t>
      </w:r>
      <w:r w:rsidR="00D80DA7" w:rsidRPr="007B6350">
        <w:rPr>
          <w:rFonts w:ascii="Times New Roman" w:hAnsi="Times New Roman" w:cs="Times New Roman"/>
          <w:i/>
          <w:sz w:val="24"/>
          <w:szCs w:val="24"/>
        </w:rPr>
        <w:t>andbook</w:t>
      </w:r>
      <w:r w:rsidR="00D72C80" w:rsidRPr="007B6350">
        <w:rPr>
          <w:rFonts w:ascii="Times New Roman" w:hAnsi="Times New Roman" w:cs="Times New Roman"/>
          <w:i/>
          <w:sz w:val="24"/>
          <w:szCs w:val="24"/>
        </w:rPr>
        <w:t xml:space="preserve">. </w:t>
      </w:r>
      <w:r w:rsidRPr="007B6350">
        <w:rPr>
          <w:rFonts w:ascii="Times New Roman" w:hAnsi="Times New Roman" w:cs="Times New Roman"/>
          <w:sz w:val="24"/>
          <w:szCs w:val="24"/>
        </w:rPr>
        <w:t>Thousand Oaks</w:t>
      </w:r>
      <w:r w:rsidR="00D80DA7" w:rsidRPr="007B6350">
        <w:rPr>
          <w:rFonts w:ascii="Times New Roman" w:hAnsi="Times New Roman" w:cs="Times New Roman"/>
          <w:sz w:val="24"/>
          <w:szCs w:val="24"/>
        </w:rPr>
        <w:t>: SAGE Publications Limited.</w:t>
      </w:r>
      <w:bookmarkEnd w:id="55"/>
    </w:p>
    <w:p w14:paraId="1CAF2CD5" w14:textId="706BB4B3" w:rsidR="00D80DA7" w:rsidRPr="007B6350" w:rsidRDefault="00940D7A" w:rsidP="00940D7A">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56" w:name="_ENREF_62"/>
      <w:r w:rsidRPr="007B6350">
        <w:rPr>
          <w:rFonts w:ascii="Times New Roman" w:hAnsi="Times New Roman" w:cs="Times New Roman"/>
          <w:sz w:val="24"/>
          <w:szCs w:val="24"/>
          <w:shd w:val="clear" w:color="auto" w:fill="FFFFFF"/>
        </w:rPr>
        <w:t>Singh, J., Jayanti, R. K., Kilgore, J. E., Agarwal, K. and Gandarvakottai, R. R. (2005) What goes around comes around: Understanding trust–value dilemmas of market relationships. </w:t>
      </w:r>
      <w:r w:rsidRPr="007B6350">
        <w:rPr>
          <w:rFonts w:ascii="Times New Roman" w:hAnsi="Times New Roman" w:cs="Times New Roman"/>
          <w:i/>
          <w:sz w:val="24"/>
          <w:szCs w:val="24"/>
        </w:rPr>
        <w:t>Journal of Public Policy &amp; 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24</w:t>
      </w:r>
      <w:r w:rsidRPr="007B6350">
        <w:rPr>
          <w:rFonts w:ascii="Times New Roman" w:hAnsi="Times New Roman" w:cs="Times New Roman"/>
          <w:sz w:val="24"/>
          <w:szCs w:val="24"/>
          <w:shd w:val="clear" w:color="auto" w:fill="FFFFFF"/>
        </w:rPr>
        <w:t>(1), 38-62.</w:t>
      </w:r>
      <w:bookmarkEnd w:id="56"/>
    </w:p>
    <w:p w14:paraId="248B3D61" w14:textId="0B2CC09E" w:rsidR="009E40B0" w:rsidRPr="007B6350" w:rsidRDefault="009E40B0"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57" w:name="_ENREF_63"/>
      <w:r w:rsidRPr="007B6350">
        <w:rPr>
          <w:rFonts w:ascii="Times New Roman" w:hAnsi="Times New Roman" w:cs="Times New Roman"/>
          <w:sz w:val="24"/>
          <w:szCs w:val="24"/>
          <w:shd w:val="clear" w:color="auto" w:fill="FFFFFF"/>
        </w:rPr>
        <w:lastRenderedPageBreak/>
        <w:t xml:space="preserve">Swinburn, B. A., Kraak, V. I., Allender, S., Atkins, V. J., Baker, P. I., Bogard, J. R. </w:t>
      </w:r>
      <w:r w:rsidRPr="007B6350">
        <w:rPr>
          <w:rFonts w:ascii="Times New Roman" w:hAnsi="Times New Roman" w:cs="Times New Roman"/>
          <w:i/>
          <w:sz w:val="24"/>
          <w:szCs w:val="24"/>
          <w:shd w:val="clear" w:color="auto" w:fill="FFFFFF"/>
        </w:rPr>
        <w:t>et al.</w:t>
      </w:r>
      <w:r w:rsidRPr="007B6350">
        <w:rPr>
          <w:rFonts w:ascii="Times New Roman" w:hAnsi="Times New Roman" w:cs="Times New Roman"/>
          <w:sz w:val="24"/>
          <w:szCs w:val="24"/>
          <w:shd w:val="clear" w:color="auto" w:fill="FFFFFF"/>
        </w:rPr>
        <w:t xml:space="preserve"> (2019) The global syndemic of obesity, undernutrition, and climate change: the Lancet Commission report. </w:t>
      </w:r>
      <w:r w:rsidRPr="007B6350">
        <w:rPr>
          <w:rFonts w:ascii="Times New Roman" w:hAnsi="Times New Roman" w:cs="Times New Roman"/>
          <w:i/>
          <w:iCs/>
          <w:sz w:val="24"/>
          <w:szCs w:val="24"/>
          <w:shd w:val="clear" w:color="auto" w:fill="FFFFFF"/>
        </w:rPr>
        <w:t>The Lancet</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393</w:t>
      </w:r>
      <w:r w:rsidRPr="007B6350">
        <w:rPr>
          <w:rFonts w:ascii="Times New Roman" w:hAnsi="Times New Roman" w:cs="Times New Roman"/>
          <w:sz w:val="24"/>
          <w:szCs w:val="24"/>
          <w:shd w:val="clear" w:color="auto" w:fill="FFFFFF"/>
        </w:rPr>
        <w:t>(10173), 791-846.</w:t>
      </w:r>
    </w:p>
    <w:p w14:paraId="4C5572EE" w14:textId="6AFEB89F" w:rsidR="00EA3C78" w:rsidRPr="007B6350" w:rsidRDefault="00EA3C78"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58" w:name="_ENREF_64"/>
      <w:bookmarkEnd w:id="57"/>
      <w:r w:rsidRPr="007B6350">
        <w:rPr>
          <w:rFonts w:ascii="Times New Roman" w:hAnsi="Times New Roman" w:cs="Times New Roman"/>
          <w:sz w:val="24"/>
          <w:szCs w:val="24"/>
          <w:shd w:val="clear" w:color="auto" w:fill="FFFFFF"/>
        </w:rPr>
        <w:t>Tonkin, E., Coveney, J., Webb, T., Wilson, A. M. and Meyer, S. B. (2018) Consumer Concerns Relating to Food Labeling and Trust—Australian Governance Actors Respond. </w:t>
      </w:r>
      <w:r w:rsidRPr="007B6350">
        <w:rPr>
          <w:rFonts w:ascii="Times New Roman" w:hAnsi="Times New Roman" w:cs="Times New Roman"/>
          <w:i/>
          <w:iCs/>
          <w:sz w:val="24"/>
          <w:szCs w:val="24"/>
          <w:shd w:val="clear" w:color="auto" w:fill="FFFFFF"/>
        </w:rPr>
        <w:t>Journal of Consumer Affairs</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52</w:t>
      </w:r>
      <w:r w:rsidRPr="007B6350">
        <w:rPr>
          <w:rFonts w:ascii="Times New Roman" w:hAnsi="Times New Roman" w:cs="Times New Roman"/>
          <w:sz w:val="24"/>
          <w:szCs w:val="24"/>
          <w:shd w:val="clear" w:color="auto" w:fill="FFFFFF"/>
        </w:rPr>
        <w:t>(2), 349-372.</w:t>
      </w:r>
    </w:p>
    <w:p w14:paraId="60422B6E" w14:textId="35C76959" w:rsidR="00D80DA7" w:rsidRPr="007B6350" w:rsidRDefault="00EA3C78" w:rsidP="00EA3C78">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59" w:name="_ENREF_65"/>
      <w:bookmarkEnd w:id="58"/>
      <w:r w:rsidRPr="007B6350">
        <w:rPr>
          <w:rFonts w:ascii="Times New Roman" w:hAnsi="Times New Roman" w:cs="Times New Roman"/>
          <w:sz w:val="24"/>
          <w:szCs w:val="24"/>
          <w:shd w:val="clear" w:color="auto" w:fill="FFFFFF"/>
        </w:rPr>
        <w:t>Trischler, J. and Charles, M. (2019) The application of a service ecosystems lens to public policy analysis and design: exploring the frontiers. </w:t>
      </w:r>
      <w:r w:rsidRPr="007B6350">
        <w:rPr>
          <w:rFonts w:ascii="Times New Roman" w:hAnsi="Times New Roman" w:cs="Times New Roman"/>
          <w:i/>
          <w:iCs/>
          <w:sz w:val="24"/>
          <w:szCs w:val="24"/>
          <w:shd w:val="clear" w:color="auto" w:fill="FFFFFF"/>
        </w:rPr>
        <w:t>Journal of Public Policy &amp; 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38</w:t>
      </w:r>
      <w:r w:rsidRPr="007B6350">
        <w:rPr>
          <w:rFonts w:ascii="Times New Roman" w:hAnsi="Times New Roman" w:cs="Times New Roman"/>
          <w:sz w:val="24"/>
          <w:szCs w:val="24"/>
          <w:shd w:val="clear" w:color="auto" w:fill="FFFFFF"/>
        </w:rPr>
        <w:t>(1), 19-35.</w:t>
      </w:r>
      <w:bookmarkEnd w:id="59"/>
    </w:p>
    <w:p w14:paraId="2D7C618E" w14:textId="08FF20B4" w:rsidR="009E05F4" w:rsidRPr="007B6350" w:rsidRDefault="009E05F4"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60" w:name="_ENREF_66"/>
      <w:r w:rsidRPr="007B6350">
        <w:rPr>
          <w:rFonts w:ascii="Times New Roman" w:hAnsi="Times New Roman" w:cs="Times New Roman"/>
          <w:sz w:val="24"/>
          <w:szCs w:val="24"/>
          <w:shd w:val="clear" w:color="auto" w:fill="FFFFFF"/>
        </w:rPr>
        <w:t>Varadarajan, P. R. and Cunningham, M. H. (1995) Strategic alliances: a synthesis of conceptual foundations. </w:t>
      </w:r>
      <w:r w:rsidRPr="007B6350">
        <w:rPr>
          <w:rFonts w:ascii="Times New Roman" w:hAnsi="Times New Roman" w:cs="Times New Roman"/>
          <w:i/>
          <w:iCs/>
          <w:sz w:val="24"/>
          <w:szCs w:val="24"/>
          <w:shd w:val="clear" w:color="auto" w:fill="FFFFFF"/>
        </w:rPr>
        <w:t>Journal of the Academy of Marketing Science</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23</w:t>
      </w:r>
      <w:r w:rsidRPr="007B6350">
        <w:rPr>
          <w:rFonts w:ascii="Times New Roman" w:hAnsi="Times New Roman" w:cs="Times New Roman"/>
          <w:sz w:val="24"/>
          <w:szCs w:val="24"/>
          <w:shd w:val="clear" w:color="auto" w:fill="FFFFFF"/>
        </w:rPr>
        <w:t>(4), 282-296.</w:t>
      </w:r>
    </w:p>
    <w:p w14:paraId="79A4EFCB" w14:textId="185AACDC" w:rsidR="009E05F4" w:rsidRPr="007B6350" w:rsidRDefault="009E05F4"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61" w:name="_ENREF_67"/>
      <w:bookmarkEnd w:id="60"/>
      <w:r w:rsidRPr="007B6350">
        <w:rPr>
          <w:rFonts w:ascii="Times New Roman" w:hAnsi="Times New Roman" w:cs="Times New Roman"/>
          <w:sz w:val="24"/>
          <w:szCs w:val="24"/>
          <w:shd w:val="clear" w:color="auto" w:fill="FFFFFF"/>
        </w:rPr>
        <w:t>Walt, G. and Gilson, L. (1994) Reforming the health sector in developing countries: the central role of policy analysis. </w:t>
      </w:r>
      <w:r w:rsidRPr="007B6350">
        <w:rPr>
          <w:rFonts w:ascii="Times New Roman" w:hAnsi="Times New Roman" w:cs="Times New Roman"/>
          <w:i/>
          <w:iCs/>
          <w:sz w:val="24"/>
          <w:szCs w:val="24"/>
          <w:shd w:val="clear" w:color="auto" w:fill="FFFFFF"/>
        </w:rPr>
        <w:t>Health Policy and Planning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9</w:t>
      </w:r>
      <w:r w:rsidRPr="007B6350">
        <w:rPr>
          <w:rFonts w:ascii="Times New Roman" w:hAnsi="Times New Roman" w:cs="Times New Roman"/>
          <w:sz w:val="24"/>
          <w:szCs w:val="24"/>
          <w:shd w:val="clear" w:color="auto" w:fill="FFFFFF"/>
        </w:rPr>
        <w:t>(4), 353-370.</w:t>
      </w:r>
    </w:p>
    <w:p w14:paraId="73072741" w14:textId="6BB543A8" w:rsidR="009E05F4" w:rsidRPr="007B6350" w:rsidRDefault="009E05F4"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62" w:name="_ENREF_69"/>
      <w:bookmarkEnd w:id="61"/>
      <w:r w:rsidRPr="007B6350">
        <w:rPr>
          <w:rFonts w:ascii="Times New Roman" w:hAnsi="Times New Roman" w:cs="Times New Roman"/>
          <w:sz w:val="24"/>
          <w:szCs w:val="24"/>
          <w:shd w:val="clear" w:color="auto" w:fill="FFFFFF"/>
        </w:rPr>
        <w:t>Wilson, D. T. (1995) An integrated model of buyer-seller relationships. </w:t>
      </w:r>
      <w:r w:rsidRPr="007B6350">
        <w:rPr>
          <w:rFonts w:ascii="Times New Roman" w:hAnsi="Times New Roman" w:cs="Times New Roman"/>
          <w:i/>
          <w:iCs/>
          <w:sz w:val="24"/>
          <w:szCs w:val="24"/>
          <w:shd w:val="clear" w:color="auto" w:fill="FFFFFF"/>
        </w:rPr>
        <w:t>Journal of the Academy of Marketing Science</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23</w:t>
      </w:r>
      <w:r w:rsidRPr="007B6350">
        <w:rPr>
          <w:rFonts w:ascii="Times New Roman" w:hAnsi="Times New Roman" w:cs="Times New Roman"/>
          <w:sz w:val="24"/>
          <w:szCs w:val="24"/>
          <w:shd w:val="clear" w:color="auto" w:fill="FFFFFF"/>
        </w:rPr>
        <w:t>(4), 335-345.</w:t>
      </w:r>
    </w:p>
    <w:p w14:paraId="2B542170" w14:textId="67FD5A65" w:rsidR="00C0729E" w:rsidRPr="007B6350" w:rsidRDefault="00C0729E" w:rsidP="00912C71">
      <w:pPr>
        <w:pStyle w:val="EndNoteBibliography"/>
        <w:spacing w:after="0" w:line="480" w:lineRule="auto"/>
        <w:ind w:left="720" w:hanging="720"/>
        <w:jc w:val="left"/>
        <w:rPr>
          <w:rFonts w:ascii="Times New Roman" w:hAnsi="Times New Roman" w:cs="Times New Roman"/>
          <w:sz w:val="24"/>
          <w:szCs w:val="24"/>
          <w:shd w:val="clear" w:color="auto" w:fill="FFFFFF"/>
        </w:rPr>
      </w:pPr>
      <w:bookmarkStart w:id="63" w:name="_ENREF_70"/>
      <w:bookmarkEnd w:id="62"/>
      <w:r w:rsidRPr="007B6350">
        <w:rPr>
          <w:rFonts w:ascii="Times New Roman" w:hAnsi="Times New Roman" w:cs="Times New Roman"/>
          <w:sz w:val="24"/>
          <w:szCs w:val="24"/>
          <w:shd w:val="clear" w:color="auto" w:fill="FFFFFF"/>
        </w:rPr>
        <w:t>Witkowski, T. H. (2007) Food marketing and obesity in developing countries: analysis, ethics, and public policy. </w:t>
      </w:r>
      <w:r w:rsidRPr="007B6350">
        <w:rPr>
          <w:rFonts w:ascii="Times New Roman" w:hAnsi="Times New Roman" w:cs="Times New Roman"/>
          <w:i/>
          <w:iCs/>
          <w:sz w:val="24"/>
          <w:szCs w:val="24"/>
          <w:shd w:val="clear" w:color="auto" w:fill="FFFFFF"/>
        </w:rPr>
        <w:t>Journal of Macromarketing</w:t>
      </w:r>
      <w:r w:rsidRPr="007B6350">
        <w:rPr>
          <w:rFonts w:ascii="Times New Roman" w:hAnsi="Times New Roman" w:cs="Times New Roman"/>
          <w:sz w:val="24"/>
          <w:szCs w:val="24"/>
          <w:shd w:val="clear" w:color="auto" w:fill="FFFFFF"/>
        </w:rPr>
        <w:t>, </w:t>
      </w:r>
      <w:r w:rsidRPr="007B6350">
        <w:rPr>
          <w:rFonts w:ascii="Times New Roman" w:hAnsi="Times New Roman" w:cs="Times New Roman"/>
          <w:iCs/>
          <w:sz w:val="24"/>
          <w:szCs w:val="24"/>
          <w:shd w:val="clear" w:color="auto" w:fill="FFFFFF"/>
        </w:rPr>
        <w:t>27</w:t>
      </w:r>
      <w:r w:rsidRPr="007B6350">
        <w:rPr>
          <w:rFonts w:ascii="Times New Roman" w:hAnsi="Times New Roman" w:cs="Times New Roman"/>
          <w:sz w:val="24"/>
          <w:szCs w:val="24"/>
          <w:shd w:val="clear" w:color="auto" w:fill="FFFFFF"/>
        </w:rPr>
        <w:t>(2), 126-137.</w:t>
      </w:r>
    </w:p>
    <w:p w14:paraId="2DF550D4" w14:textId="3D1962B5" w:rsidR="00D80DA7" w:rsidRPr="007B6350" w:rsidRDefault="00D80DA7" w:rsidP="00912C71">
      <w:pPr>
        <w:pStyle w:val="EndNoteBibliography"/>
        <w:spacing w:after="0" w:line="480" w:lineRule="auto"/>
        <w:ind w:left="720" w:hanging="720"/>
        <w:jc w:val="left"/>
        <w:rPr>
          <w:rFonts w:ascii="Times New Roman" w:hAnsi="Times New Roman" w:cs="Times New Roman"/>
          <w:sz w:val="24"/>
          <w:szCs w:val="24"/>
        </w:rPr>
      </w:pPr>
      <w:bookmarkStart w:id="64" w:name="_ENREF_71"/>
      <w:bookmarkEnd w:id="63"/>
      <w:r w:rsidRPr="007B6350">
        <w:rPr>
          <w:rFonts w:ascii="Times New Roman" w:hAnsi="Times New Roman" w:cs="Times New Roman"/>
          <w:sz w:val="24"/>
          <w:szCs w:val="24"/>
        </w:rPr>
        <w:t>World Econ</w:t>
      </w:r>
      <w:r w:rsidR="00C0729E" w:rsidRPr="007B6350">
        <w:rPr>
          <w:rFonts w:ascii="Times New Roman" w:hAnsi="Times New Roman" w:cs="Times New Roman"/>
          <w:sz w:val="24"/>
          <w:szCs w:val="24"/>
        </w:rPr>
        <w:t>omic Forum (2017)</w:t>
      </w:r>
      <w:r w:rsidRPr="007B6350">
        <w:rPr>
          <w:rFonts w:ascii="Times New Roman" w:hAnsi="Times New Roman" w:cs="Times New Roman"/>
          <w:sz w:val="24"/>
          <w:szCs w:val="24"/>
        </w:rPr>
        <w:t xml:space="preserve"> </w:t>
      </w:r>
      <w:r w:rsidRPr="007B6350">
        <w:rPr>
          <w:rFonts w:ascii="Times New Roman" w:hAnsi="Times New Roman" w:cs="Times New Roman"/>
          <w:i/>
          <w:sz w:val="24"/>
          <w:szCs w:val="24"/>
        </w:rPr>
        <w:t>Global Risks Report 2017</w:t>
      </w:r>
      <w:r w:rsidR="00C0729E" w:rsidRPr="007B6350">
        <w:rPr>
          <w:rFonts w:ascii="Times New Roman" w:hAnsi="Times New Roman" w:cs="Times New Roman"/>
          <w:sz w:val="24"/>
          <w:szCs w:val="24"/>
        </w:rPr>
        <w:t>. Geneva</w:t>
      </w:r>
      <w:r w:rsidRPr="007B6350">
        <w:rPr>
          <w:rFonts w:ascii="Times New Roman" w:hAnsi="Times New Roman" w:cs="Times New Roman"/>
          <w:sz w:val="24"/>
          <w:szCs w:val="24"/>
        </w:rPr>
        <w:t>: World Economic Forum.</w:t>
      </w:r>
      <w:bookmarkEnd w:id="64"/>
    </w:p>
    <w:p w14:paraId="5FEE6314" w14:textId="77777777" w:rsidR="0005772D" w:rsidRPr="007B6350" w:rsidRDefault="0005772D" w:rsidP="0005772D">
      <w:pPr>
        <w:pStyle w:val="EndNoteBibliography"/>
        <w:spacing w:after="0" w:line="480" w:lineRule="auto"/>
        <w:ind w:left="720" w:hanging="720"/>
        <w:jc w:val="left"/>
        <w:rPr>
          <w:rFonts w:ascii="Times New Roman" w:hAnsi="Times New Roman" w:cs="Times New Roman"/>
          <w:sz w:val="24"/>
          <w:szCs w:val="24"/>
        </w:rPr>
      </w:pPr>
      <w:bookmarkStart w:id="65" w:name="_ENREF_68"/>
      <w:bookmarkStart w:id="66" w:name="_ENREF_72"/>
      <w:r w:rsidRPr="007B6350">
        <w:rPr>
          <w:rFonts w:ascii="Times New Roman" w:hAnsi="Times New Roman" w:cs="Times New Roman"/>
          <w:sz w:val="24"/>
          <w:szCs w:val="24"/>
        </w:rPr>
        <w:t xml:space="preserve">World Health Organisation (2001) </w:t>
      </w:r>
      <w:r w:rsidRPr="007B6350">
        <w:rPr>
          <w:rFonts w:ascii="Times New Roman" w:hAnsi="Times New Roman" w:cs="Times New Roman"/>
          <w:i/>
          <w:sz w:val="24"/>
          <w:szCs w:val="24"/>
        </w:rPr>
        <w:t>The First Action Plan for Food and Nutrition Policy. WHO European Region 2000-2005</w:t>
      </w:r>
      <w:r w:rsidRPr="007B6350">
        <w:rPr>
          <w:rFonts w:ascii="Times New Roman" w:hAnsi="Times New Roman" w:cs="Times New Roman"/>
          <w:sz w:val="24"/>
          <w:szCs w:val="24"/>
        </w:rPr>
        <w:t>. Geneva: WHO Europe.</w:t>
      </w:r>
      <w:bookmarkEnd w:id="65"/>
    </w:p>
    <w:p w14:paraId="372A9DEC" w14:textId="429213EB" w:rsidR="00D80DA7" w:rsidRPr="007B6350" w:rsidRDefault="00C0729E" w:rsidP="00912C71">
      <w:pPr>
        <w:pStyle w:val="EndNoteBibliography"/>
        <w:spacing w:after="0" w:line="480" w:lineRule="auto"/>
        <w:ind w:left="720" w:hanging="720"/>
        <w:jc w:val="left"/>
        <w:rPr>
          <w:rFonts w:ascii="Times New Roman" w:hAnsi="Times New Roman" w:cs="Times New Roman"/>
          <w:sz w:val="24"/>
          <w:szCs w:val="24"/>
        </w:rPr>
      </w:pPr>
      <w:r w:rsidRPr="007B6350">
        <w:rPr>
          <w:rFonts w:ascii="Times New Roman" w:hAnsi="Times New Roman" w:cs="Times New Roman"/>
          <w:sz w:val="24"/>
          <w:szCs w:val="24"/>
        </w:rPr>
        <w:t xml:space="preserve">World Health Organisation (2018) </w:t>
      </w:r>
      <w:r w:rsidR="00D80DA7" w:rsidRPr="007B6350">
        <w:rPr>
          <w:rFonts w:ascii="Times New Roman" w:hAnsi="Times New Roman" w:cs="Times New Roman"/>
          <w:i/>
          <w:sz w:val="24"/>
          <w:szCs w:val="24"/>
        </w:rPr>
        <w:t>Childhood Obesity Surveillance Initiative</w:t>
      </w:r>
      <w:r w:rsidRPr="007B6350">
        <w:rPr>
          <w:rFonts w:ascii="Times New Roman" w:hAnsi="Times New Roman" w:cs="Times New Roman"/>
          <w:sz w:val="24"/>
          <w:szCs w:val="24"/>
        </w:rPr>
        <w:t>. Geneva</w:t>
      </w:r>
      <w:r w:rsidR="00D80DA7" w:rsidRPr="007B6350">
        <w:rPr>
          <w:rFonts w:ascii="Times New Roman" w:hAnsi="Times New Roman" w:cs="Times New Roman"/>
          <w:sz w:val="24"/>
          <w:szCs w:val="24"/>
        </w:rPr>
        <w:t>: WHO Europe.</w:t>
      </w:r>
      <w:bookmarkEnd w:id="66"/>
    </w:p>
    <w:p w14:paraId="42B1B735" w14:textId="236E0077" w:rsidR="00D80DA7" w:rsidRPr="00FB4F51" w:rsidRDefault="00742C58" w:rsidP="00FB4F51">
      <w:pPr>
        <w:pStyle w:val="EndNoteBibliography"/>
        <w:spacing w:line="480" w:lineRule="auto"/>
        <w:ind w:left="720" w:hanging="720"/>
        <w:jc w:val="left"/>
        <w:rPr>
          <w:rFonts w:ascii="Times New Roman" w:hAnsi="Times New Roman" w:cs="Times New Roman"/>
          <w:sz w:val="24"/>
          <w:szCs w:val="24"/>
          <w:shd w:val="clear" w:color="auto" w:fill="FFFFFF"/>
        </w:rPr>
      </w:pPr>
      <w:bookmarkStart w:id="67" w:name="_ENREF_73"/>
      <w:r>
        <w:rPr>
          <w:rFonts w:ascii="Times New Roman" w:hAnsi="Times New Roman" w:cs="Times New Roman"/>
          <w:sz w:val="24"/>
          <w:szCs w:val="24"/>
          <w:shd w:val="clear" w:color="auto" w:fill="FFFFFF"/>
        </w:rPr>
        <w:t>Young, L. C. and</w:t>
      </w:r>
      <w:r w:rsidR="00C0729E" w:rsidRPr="007B6350">
        <w:rPr>
          <w:rFonts w:ascii="Times New Roman" w:hAnsi="Times New Roman" w:cs="Times New Roman"/>
          <w:sz w:val="24"/>
          <w:szCs w:val="24"/>
          <w:shd w:val="clear" w:color="auto" w:fill="FFFFFF"/>
        </w:rPr>
        <w:t xml:space="preserve"> Wilkinson, I. F. (1989) The role of trust and co-operation in marketing channels: a preliminary study. </w:t>
      </w:r>
      <w:r w:rsidR="00C0729E" w:rsidRPr="007B6350">
        <w:rPr>
          <w:rFonts w:ascii="Times New Roman" w:hAnsi="Times New Roman" w:cs="Times New Roman"/>
          <w:i/>
          <w:iCs/>
          <w:sz w:val="24"/>
          <w:szCs w:val="24"/>
          <w:shd w:val="clear" w:color="auto" w:fill="FFFFFF"/>
        </w:rPr>
        <w:t>European Journal of Marketing</w:t>
      </w:r>
      <w:r w:rsidR="00C0729E" w:rsidRPr="007B6350">
        <w:rPr>
          <w:rFonts w:ascii="Times New Roman" w:hAnsi="Times New Roman" w:cs="Times New Roman"/>
          <w:sz w:val="24"/>
          <w:szCs w:val="24"/>
          <w:shd w:val="clear" w:color="auto" w:fill="FFFFFF"/>
        </w:rPr>
        <w:t>, </w:t>
      </w:r>
      <w:r w:rsidR="00C0729E" w:rsidRPr="007B6350">
        <w:rPr>
          <w:rFonts w:ascii="Times New Roman" w:hAnsi="Times New Roman" w:cs="Times New Roman"/>
          <w:iCs/>
          <w:sz w:val="24"/>
          <w:szCs w:val="24"/>
          <w:shd w:val="clear" w:color="auto" w:fill="FFFFFF"/>
        </w:rPr>
        <w:t>23</w:t>
      </w:r>
      <w:r w:rsidR="00C0729E" w:rsidRPr="007B6350">
        <w:rPr>
          <w:rFonts w:ascii="Times New Roman" w:hAnsi="Times New Roman" w:cs="Times New Roman"/>
          <w:sz w:val="24"/>
          <w:szCs w:val="24"/>
          <w:shd w:val="clear" w:color="auto" w:fill="FFFFFF"/>
        </w:rPr>
        <w:t>(2), 109-122.</w:t>
      </w:r>
      <w:bookmarkEnd w:id="67"/>
    </w:p>
    <w:sectPr w:rsidR="00D80DA7" w:rsidRPr="00FB4F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11127" w14:textId="77777777" w:rsidR="00D954D7" w:rsidRDefault="00D954D7">
      <w:r>
        <w:separator/>
      </w:r>
    </w:p>
  </w:endnote>
  <w:endnote w:type="continuationSeparator" w:id="0">
    <w:p w14:paraId="0687F921" w14:textId="77777777" w:rsidR="00D954D7" w:rsidRDefault="00D9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ヒラギノ角ゴ Pro W3">
    <w:charset w:val="80"/>
    <w:family w:val="auto"/>
    <w:pitch w:val="variable"/>
    <w:sig w:usb0="01000000" w:usb1="00000000" w:usb2="07040001" w:usb3="00000000" w:csb0="00020000" w:csb1="00000000"/>
  </w:font>
  <w:font w:name="Batang">
    <w:altName w:val="바탕"/>
    <w:panose1 w:val="02030600000101010101"/>
    <w:charset w:val="81"/>
    <w:family w:val="auto"/>
    <w:pitch w:val="variable"/>
    <w:sig w:usb0="B00002AF" w:usb1="69D77CFB" w:usb2="00000030" w:usb3="00000000" w:csb0="0008009F"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812436"/>
      <w:docPartObj>
        <w:docPartGallery w:val="Page Numbers (Bottom of Page)"/>
        <w:docPartUnique/>
      </w:docPartObj>
    </w:sdtPr>
    <w:sdtEndPr>
      <w:rPr>
        <w:noProof/>
      </w:rPr>
    </w:sdtEndPr>
    <w:sdtContent>
      <w:p w14:paraId="2C50B5DC" w14:textId="54216694" w:rsidR="00883C0F" w:rsidRDefault="00883C0F">
        <w:pPr>
          <w:pStyle w:val="Footer"/>
          <w:jc w:val="right"/>
        </w:pPr>
        <w:r>
          <w:fldChar w:fldCharType="begin"/>
        </w:r>
        <w:r>
          <w:instrText xml:space="preserve"> PAGE   \* MERGEFORMAT </w:instrText>
        </w:r>
        <w:r>
          <w:fldChar w:fldCharType="separate"/>
        </w:r>
        <w:r w:rsidR="00B36A6A">
          <w:rPr>
            <w:noProof/>
          </w:rPr>
          <w:t>2</w:t>
        </w:r>
        <w:r>
          <w:rPr>
            <w:noProof/>
          </w:rPr>
          <w:fldChar w:fldCharType="end"/>
        </w:r>
      </w:p>
    </w:sdtContent>
  </w:sdt>
  <w:p w14:paraId="2F5D747E" w14:textId="77777777" w:rsidR="00883C0F" w:rsidRDefault="0088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A485" w14:textId="77777777" w:rsidR="00D954D7" w:rsidRDefault="00D954D7">
      <w:r>
        <w:separator/>
      </w:r>
    </w:p>
  </w:footnote>
  <w:footnote w:type="continuationSeparator" w:id="0">
    <w:p w14:paraId="3B2D083F" w14:textId="77777777" w:rsidR="00D954D7" w:rsidRDefault="00D95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38F"/>
    <w:multiLevelType w:val="hybridMultilevel"/>
    <w:tmpl w:val="B6D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5DB"/>
    <w:multiLevelType w:val="multilevel"/>
    <w:tmpl w:val="B79208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F43CC6"/>
    <w:multiLevelType w:val="hybridMultilevel"/>
    <w:tmpl w:val="827099E2"/>
    <w:lvl w:ilvl="0" w:tplc="5FEE860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D2D05"/>
    <w:multiLevelType w:val="hybridMultilevel"/>
    <w:tmpl w:val="873A3D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DBE2CDC"/>
    <w:multiLevelType w:val="hybridMultilevel"/>
    <w:tmpl w:val="3B50E0A4"/>
    <w:lvl w:ilvl="0" w:tplc="A06A92EE">
      <w:start w:val="1"/>
      <w:numFmt w:val="decimal"/>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09F3220"/>
    <w:multiLevelType w:val="hybridMultilevel"/>
    <w:tmpl w:val="5852C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52E0F"/>
    <w:multiLevelType w:val="hybridMultilevel"/>
    <w:tmpl w:val="7D92A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16214"/>
    <w:multiLevelType w:val="hybridMultilevel"/>
    <w:tmpl w:val="7382B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191671"/>
    <w:multiLevelType w:val="hybridMultilevel"/>
    <w:tmpl w:val="4636EC72"/>
    <w:lvl w:ilvl="0" w:tplc="128A8AEE">
      <w:start w:val="1"/>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9" w15:restartNumberingAfterBreak="0">
    <w:nsid w:val="3D03570D"/>
    <w:multiLevelType w:val="multilevel"/>
    <w:tmpl w:val="9F4C93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44F3F6C"/>
    <w:multiLevelType w:val="hybridMultilevel"/>
    <w:tmpl w:val="67DE243A"/>
    <w:lvl w:ilvl="0" w:tplc="AD9CA918">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6E57E01"/>
    <w:multiLevelType w:val="hybridMultilevel"/>
    <w:tmpl w:val="70840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7C5DB4"/>
    <w:multiLevelType w:val="hybridMultilevel"/>
    <w:tmpl w:val="47D4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C5F39"/>
    <w:multiLevelType w:val="hybridMultilevel"/>
    <w:tmpl w:val="A386C04C"/>
    <w:lvl w:ilvl="0" w:tplc="ED2EBD1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287F2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3A37EB1"/>
    <w:multiLevelType w:val="hybridMultilevel"/>
    <w:tmpl w:val="83DC1800"/>
    <w:lvl w:ilvl="0" w:tplc="5FEE860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B70A2"/>
    <w:multiLevelType w:val="hybridMultilevel"/>
    <w:tmpl w:val="56BA7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13"/>
  </w:num>
  <w:num w:numId="5">
    <w:abstractNumId w:val="2"/>
  </w:num>
  <w:num w:numId="6">
    <w:abstractNumId w:val="5"/>
  </w:num>
  <w:num w:numId="7">
    <w:abstractNumId w:val="11"/>
  </w:num>
  <w:num w:numId="8">
    <w:abstractNumId w:val="14"/>
  </w:num>
  <w:num w:numId="9">
    <w:abstractNumId w:val="12"/>
  </w:num>
  <w:num w:numId="10">
    <w:abstractNumId w:val="3"/>
  </w:num>
  <w:num w:numId="11">
    <w:abstractNumId w:val="1"/>
  </w:num>
  <w:num w:numId="12">
    <w:abstractNumId w:val="9"/>
  </w:num>
  <w:num w:numId="13">
    <w:abstractNumId w:val="10"/>
  </w:num>
  <w:num w:numId="14">
    <w:abstractNumId w:val="6"/>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80DA7"/>
    <w:rsid w:val="0001135A"/>
    <w:rsid w:val="00022709"/>
    <w:rsid w:val="000236B6"/>
    <w:rsid w:val="00030570"/>
    <w:rsid w:val="000370E9"/>
    <w:rsid w:val="000401D4"/>
    <w:rsid w:val="0004620D"/>
    <w:rsid w:val="0005772D"/>
    <w:rsid w:val="00076109"/>
    <w:rsid w:val="0008077A"/>
    <w:rsid w:val="000A22B8"/>
    <w:rsid w:val="000C5AF8"/>
    <w:rsid w:val="000C7BC5"/>
    <w:rsid w:val="000D5185"/>
    <w:rsid w:val="000E3AE0"/>
    <w:rsid w:val="000E5A58"/>
    <w:rsid w:val="000F0CBB"/>
    <w:rsid w:val="000F560E"/>
    <w:rsid w:val="00100C2F"/>
    <w:rsid w:val="00100C97"/>
    <w:rsid w:val="00103FF0"/>
    <w:rsid w:val="0011114B"/>
    <w:rsid w:val="00115143"/>
    <w:rsid w:val="0013231C"/>
    <w:rsid w:val="00134DC7"/>
    <w:rsid w:val="00142FD8"/>
    <w:rsid w:val="00143AC6"/>
    <w:rsid w:val="00147D56"/>
    <w:rsid w:val="00156DC5"/>
    <w:rsid w:val="0016270E"/>
    <w:rsid w:val="00164187"/>
    <w:rsid w:val="001818B4"/>
    <w:rsid w:val="00191BF9"/>
    <w:rsid w:val="00191D0D"/>
    <w:rsid w:val="001A0872"/>
    <w:rsid w:val="001C232D"/>
    <w:rsid w:val="001D14FC"/>
    <w:rsid w:val="001E4E13"/>
    <w:rsid w:val="001F4195"/>
    <w:rsid w:val="00203374"/>
    <w:rsid w:val="00242BAB"/>
    <w:rsid w:val="00260617"/>
    <w:rsid w:val="00264901"/>
    <w:rsid w:val="00265698"/>
    <w:rsid w:val="00267839"/>
    <w:rsid w:val="00290417"/>
    <w:rsid w:val="002A76F6"/>
    <w:rsid w:val="002C036F"/>
    <w:rsid w:val="002C304F"/>
    <w:rsid w:val="002C592A"/>
    <w:rsid w:val="002C71E0"/>
    <w:rsid w:val="002D0917"/>
    <w:rsid w:val="002D1D2F"/>
    <w:rsid w:val="002E1516"/>
    <w:rsid w:val="002E5A6B"/>
    <w:rsid w:val="00303370"/>
    <w:rsid w:val="00303B9E"/>
    <w:rsid w:val="0030550B"/>
    <w:rsid w:val="003132EB"/>
    <w:rsid w:val="00321A6B"/>
    <w:rsid w:val="003229C6"/>
    <w:rsid w:val="00333B28"/>
    <w:rsid w:val="00345388"/>
    <w:rsid w:val="0035287E"/>
    <w:rsid w:val="00354CD1"/>
    <w:rsid w:val="003563B5"/>
    <w:rsid w:val="00363F06"/>
    <w:rsid w:val="0036723B"/>
    <w:rsid w:val="0037759F"/>
    <w:rsid w:val="0038369B"/>
    <w:rsid w:val="003875E7"/>
    <w:rsid w:val="003943BD"/>
    <w:rsid w:val="003A3B7D"/>
    <w:rsid w:val="003A7AA5"/>
    <w:rsid w:val="003B2E6B"/>
    <w:rsid w:val="003B7D02"/>
    <w:rsid w:val="003C0E99"/>
    <w:rsid w:val="003C3CAB"/>
    <w:rsid w:val="003E4CC8"/>
    <w:rsid w:val="003E5D5C"/>
    <w:rsid w:val="003F32E2"/>
    <w:rsid w:val="003F5990"/>
    <w:rsid w:val="003F6EF6"/>
    <w:rsid w:val="00411FF5"/>
    <w:rsid w:val="00440095"/>
    <w:rsid w:val="004410C7"/>
    <w:rsid w:val="00446941"/>
    <w:rsid w:val="00451C43"/>
    <w:rsid w:val="00477241"/>
    <w:rsid w:val="004826E5"/>
    <w:rsid w:val="00487875"/>
    <w:rsid w:val="00490BF7"/>
    <w:rsid w:val="00492AD8"/>
    <w:rsid w:val="004A49DC"/>
    <w:rsid w:val="004C0282"/>
    <w:rsid w:val="004C117A"/>
    <w:rsid w:val="004C33AC"/>
    <w:rsid w:val="004C4DDE"/>
    <w:rsid w:val="004C50A9"/>
    <w:rsid w:val="004F20D7"/>
    <w:rsid w:val="00501994"/>
    <w:rsid w:val="00506DDD"/>
    <w:rsid w:val="00517198"/>
    <w:rsid w:val="00532655"/>
    <w:rsid w:val="00541D34"/>
    <w:rsid w:val="00551D5D"/>
    <w:rsid w:val="00564890"/>
    <w:rsid w:val="00564EE8"/>
    <w:rsid w:val="00566310"/>
    <w:rsid w:val="00567302"/>
    <w:rsid w:val="00575D94"/>
    <w:rsid w:val="0058037D"/>
    <w:rsid w:val="005834CC"/>
    <w:rsid w:val="005857D4"/>
    <w:rsid w:val="00595AD7"/>
    <w:rsid w:val="005A049A"/>
    <w:rsid w:val="005A2996"/>
    <w:rsid w:val="005B226A"/>
    <w:rsid w:val="005B343B"/>
    <w:rsid w:val="005B4419"/>
    <w:rsid w:val="005C6D4C"/>
    <w:rsid w:val="005D3738"/>
    <w:rsid w:val="005E2AA5"/>
    <w:rsid w:val="006020D0"/>
    <w:rsid w:val="00605362"/>
    <w:rsid w:val="0060745B"/>
    <w:rsid w:val="00607FF1"/>
    <w:rsid w:val="00616CBB"/>
    <w:rsid w:val="0061772C"/>
    <w:rsid w:val="006252A2"/>
    <w:rsid w:val="00626DED"/>
    <w:rsid w:val="00643444"/>
    <w:rsid w:val="006464BB"/>
    <w:rsid w:val="0065247E"/>
    <w:rsid w:val="006707A0"/>
    <w:rsid w:val="00682913"/>
    <w:rsid w:val="0068301B"/>
    <w:rsid w:val="00697B7A"/>
    <w:rsid w:val="006A3913"/>
    <w:rsid w:val="006B624E"/>
    <w:rsid w:val="006C4DAF"/>
    <w:rsid w:val="006E6DC9"/>
    <w:rsid w:val="006F223C"/>
    <w:rsid w:val="006F6A78"/>
    <w:rsid w:val="00706033"/>
    <w:rsid w:val="00707D09"/>
    <w:rsid w:val="0071368F"/>
    <w:rsid w:val="00713CFF"/>
    <w:rsid w:val="0071728D"/>
    <w:rsid w:val="007366A8"/>
    <w:rsid w:val="00742C58"/>
    <w:rsid w:val="00745CDA"/>
    <w:rsid w:val="00750204"/>
    <w:rsid w:val="0075623B"/>
    <w:rsid w:val="007606CE"/>
    <w:rsid w:val="00774E17"/>
    <w:rsid w:val="00783631"/>
    <w:rsid w:val="00794062"/>
    <w:rsid w:val="007A1AB5"/>
    <w:rsid w:val="007B14CB"/>
    <w:rsid w:val="007B6350"/>
    <w:rsid w:val="007E7E4C"/>
    <w:rsid w:val="007F4EE0"/>
    <w:rsid w:val="008076B4"/>
    <w:rsid w:val="008133D7"/>
    <w:rsid w:val="00814169"/>
    <w:rsid w:val="008150E3"/>
    <w:rsid w:val="008158F1"/>
    <w:rsid w:val="00823990"/>
    <w:rsid w:val="0082559B"/>
    <w:rsid w:val="00831FEB"/>
    <w:rsid w:val="00833063"/>
    <w:rsid w:val="00835627"/>
    <w:rsid w:val="008778FF"/>
    <w:rsid w:val="00882E72"/>
    <w:rsid w:val="00883C0F"/>
    <w:rsid w:val="00893E4F"/>
    <w:rsid w:val="008B25F3"/>
    <w:rsid w:val="008B64D7"/>
    <w:rsid w:val="008C24B1"/>
    <w:rsid w:val="008C3A03"/>
    <w:rsid w:val="008E45C7"/>
    <w:rsid w:val="008E4CD4"/>
    <w:rsid w:val="008F1BAA"/>
    <w:rsid w:val="008F331A"/>
    <w:rsid w:val="008F5295"/>
    <w:rsid w:val="008F6589"/>
    <w:rsid w:val="00905F24"/>
    <w:rsid w:val="0091165E"/>
    <w:rsid w:val="00911BC3"/>
    <w:rsid w:val="00912C71"/>
    <w:rsid w:val="00922464"/>
    <w:rsid w:val="00924863"/>
    <w:rsid w:val="00926C1C"/>
    <w:rsid w:val="00930846"/>
    <w:rsid w:val="0093615E"/>
    <w:rsid w:val="00937435"/>
    <w:rsid w:val="00940D7A"/>
    <w:rsid w:val="00941574"/>
    <w:rsid w:val="00941A56"/>
    <w:rsid w:val="00957E84"/>
    <w:rsid w:val="00967A49"/>
    <w:rsid w:val="00971DF1"/>
    <w:rsid w:val="0097345C"/>
    <w:rsid w:val="00980427"/>
    <w:rsid w:val="00985B8F"/>
    <w:rsid w:val="00997F90"/>
    <w:rsid w:val="009A4F4E"/>
    <w:rsid w:val="009C5C6B"/>
    <w:rsid w:val="009D3BEC"/>
    <w:rsid w:val="009E04A7"/>
    <w:rsid w:val="009E05F4"/>
    <w:rsid w:val="009E40B0"/>
    <w:rsid w:val="009F02F4"/>
    <w:rsid w:val="009F36B8"/>
    <w:rsid w:val="009F70ED"/>
    <w:rsid w:val="00A027DA"/>
    <w:rsid w:val="00A029C5"/>
    <w:rsid w:val="00A044AE"/>
    <w:rsid w:val="00A12F5D"/>
    <w:rsid w:val="00A25505"/>
    <w:rsid w:val="00A272E2"/>
    <w:rsid w:val="00A27398"/>
    <w:rsid w:val="00A35129"/>
    <w:rsid w:val="00A60CFF"/>
    <w:rsid w:val="00A660E9"/>
    <w:rsid w:val="00A806AC"/>
    <w:rsid w:val="00A8326D"/>
    <w:rsid w:val="00AA1794"/>
    <w:rsid w:val="00AA1FDB"/>
    <w:rsid w:val="00AB2FFE"/>
    <w:rsid w:val="00AB4620"/>
    <w:rsid w:val="00AB674A"/>
    <w:rsid w:val="00AC4497"/>
    <w:rsid w:val="00AF1B79"/>
    <w:rsid w:val="00AF288E"/>
    <w:rsid w:val="00AF30B1"/>
    <w:rsid w:val="00AF3173"/>
    <w:rsid w:val="00AF7001"/>
    <w:rsid w:val="00AF7C92"/>
    <w:rsid w:val="00B03FA6"/>
    <w:rsid w:val="00B11DD1"/>
    <w:rsid w:val="00B17FEB"/>
    <w:rsid w:val="00B23047"/>
    <w:rsid w:val="00B25EAC"/>
    <w:rsid w:val="00B26214"/>
    <w:rsid w:val="00B36A6A"/>
    <w:rsid w:val="00B515F7"/>
    <w:rsid w:val="00B554A8"/>
    <w:rsid w:val="00B62871"/>
    <w:rsid w:val="00B63560"/>
    <w:rsid w:val="00B742EB"/>
    <w:rsid w:val="00B83B77"/>
    <w:rsid w:val="00B842A5"/>
    <w:rsid w:val="00B9556C"/>
    <w:rsid w:val="00BA0B26"/>
    <w:rsid w:val="00BA697E"/>
    <w:rsid w:val="00BB4D8C"/>
    <w:rsid w:val="00BC25FF"/>
    <w:rsid w:val="00BE6A11"/>
    <w:rsid w:val="00BF1A6B"/>
    <w:rsid w:val="00C06BCC"/>
    <w:rsid w:val="00C0729E"/>
    <w:rsid w:val="00C17A36"/>
    <w:rsid w:val="00C34B72"/>
    <w:rsid w:val="00C36103"/>
    <w:rsid w:val="00C40E53"/>
    <w:rsid w:val="00C445E4"/>
    <w:rsid w:val="00C514F7"/>
    <w:rsid w:val="00C55EC6"/>
    <w:rsid w:val="00C5742B"/>
    <w:rsid w:val="00C75C32"/>
    <w:rsid w:val="00C76EFC"/>
    <w:rsid w:val="00C80576"/>
    <w:rsid w:val="00C80F76"/>
    <w:rsid w:val="00C95F15"/>
    <w:rsid w:val="00C97B0F"/>
    <w:rsid w:val="00CA6DCD"/>
    <w:rsid w:val="00CB6F21"/>
    <w:rsid w:val="00CC3206"/>
    <w:rsid w:val="00CC5F74"/>
    <w:rsid w:val="00CD5006"/>
    <w:rsid w:val="00CF6000"/>
    <w:rsid w:val="00D12411"/>
    <w:rsid w:val="00D31BBD"/>
    <w:rsid w:val="00D421D4"/>
    <w:rsid w:val="00D602D7"/>
    <w:rsid w:val="00D64884"/>
    <w:rsid w:val="00D64BB8"/>
    <w:rsid w:val="00D72C80"/>
    <w:rsid w:val="00D80DA7"/>
    <w:rsid w:val="00D94D1D"/>
    <w:rsid w:val="00D954D7"/>
    <w:rsid w:val="00DA0A76"/>
    <w:rsid w:val="00DB30CE"/>
    <w:rsid w:val="00DB4267"/>
    <w:rsid w:val="00DC3526"/>
    <w:rsid w:val="00DC3C04"/>
    <w:rsid w:val="00DE76AF"/>
    <w:rsid w:val="00DF0169"/>
    <w:rsid w:val="00DF20FC"/>
    <w:rsid w:val="00E02AA0"/>
    <w:rsid w:val="00E07072"/>
    <w:rsid w:val="00E1120C"/>
    <w:rsid w:val="00E12C12"/>
    <w:rsid w:val="00E14C23"/>
    <w:rsid w:val="00E331B2"/>
    <w:rsid w:val="00E34171"/>
    <w:rsid w:val="00E3481A"/>
    <w:rsid w:val="00E42097"/>
    <w:rsid w:val="00E42A32"/>
    <w:rsid w:val="00E512B7"/>
    <w:rsid w:val="00E549F0"/>
    <w:rsid w:val="00E601CB"/>
    <w:rsid w:val="00E60415"/>
    <w:rsid w:val="00E722FE"/>
    <w:rsid w:val="00E77152"/>
    <w:rsid w:val="00E837C5"/>
    <w:rsid w:val="00E86DA0"/>
    <w:rsid w:val="00E9052D"/>
    <w:rsid w:val="00E91ECD"/>
    <w:rsid w:val="00E95CD9"/>
    <w:rsid w:val="00EA3C78"/>
    <w:rsid w:val="00EA5CD6"/>
    <w:rsid w:val="00EA69F0"/>
    <w:rsid w:val="00EB024D"/>
    <w:rsid w:val="00EB45F7"/>
    <w:rsid w:val="00EC5364"/>
    <w:rsid w:val="00EC7647"/>
    <w:rsid w:val="00ED24F5"/>
    <w:rsid w:val="00ED7E01"/>
    <w:rsid w:val="00EE1396"/>
    <w:rsid w:val="00EE6CB5"/>
    <w:rsid w:val="00EF6301"/>
    <w:rsid w:val="00F02928"/>
    <w:rsid w:val="00F169AC"/>
    <w:rsid w:val="00F242F8"/>
    <w:rsid w:val="00F30F9F"/>
    <w:rsid w:val="00F31DD4"/>
    <w:rsid w:val="00F32934"/>
    <w:rsid w:val="00F36A36"/>
    <w:rsid w:val="00F40840"/>
    <w:rsid w:val="00F636EC"/>
    <w:rsid w:val="00F64428"/>
    <w:rsid w:val="00F76859"/>
    <w:rsid w:val="00F92950"/>
    <w:rsid w:val="00FA0260"/>
    <w:rsid w:val="00FB4F51"/>
    <w:rsid w:val="00FB5343"/>
    <w:rsid w:val="00FB599C"/>
    <w:rsid w:val="00FD0140"/>
    <w:rsid w:val="00FD4D47"/>
    <w:rsid w:val="00FD536B"/>
    <w:rsid w:val="00FE12AC"/>
    <w:rsid w:val="00FE1B26"/>
    <w:rsid w:val="00FE614F"/>
    <w:rsid w:val="00FE6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494E"/>
  <w15:chartTrackingRefBased/>
  <w15:docId w15:val="{2E370FEA-D600-47CA-802B-464524A3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A7"/>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D80DA7"/>
    <w:pPr>
      <w:keepNext/>
      <w:keepLines/>
      <w:spacing w:before="240" w:line="259" w:lineRule="auto"/>
      <w:ind w:left="432" w:hanging="432"/>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D80DA7"/>
    <w:pPr>
      <w:keepNext/>
      <w:keepLines/>
      <w:spacing w:before="40" w:line="259" w:lineRule="auto"/>
      <w:ind w:left="576" w:hanging="576"/>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D80DA7"/>
    <w:pPr>
      <w:keepNext/>
      <w:keepLines/>
      <w:spacing w:before="200" w:line="259" w:lineRule="auto"/>
      <w:ind w:left="720" w:hanging="720"/>
      <w:outlineLvl w:val="2"/>
    </w:pPr>
    <w:rPr>
      <w:rFonts w:asciiTheme="majorHAnsi" w:eastAsiaTheme="majorEastAsia" w:hAnsiTheme="majorHAnsi" w:cstheme="majorBidi"/>
      <w:b/>
      <w:bCs/>
      <w:color w:val="5B9BD5" w:themeColor="accent1"/>
      <w:sz w:val="22"/>
      <w:szCs w:val="22"/>
      <w:lang w:eastAsia="en-US"/>
    </w:rPr>
  </w:style>
  <w:style w:type="paragraph" w:styleId="Heading4">
    <w:name w:val="heading 4"/>
    <w:basedOn w:val="Normal"/>
    <w:next w:val="Normal"/>
    <w:link w:val="Heading4Char"/>
    <w:uiPriority w:val="9"/>
    <w:semiHidden/>
    <w:unhideWhenUsed/>
    <w:qFormat/>
    <w:rsid w:val="00D80DA7"/>
    <w:pPr>
      <w:keepNext/>
      <w:keepLines/>
      <w:spacing w:before="200" w:line="259" w:lineRule="auto"/>
      <w:ind w:left="864" w:hanging="864"/>
      <w:outlineLvl w:val="3"/>
    </w:pPr>
    <w:rPr>
      <w:rFonts w:asciiTheme="majorHAnsi" w:eastAsiaTheme="majorEastAsia" w:hAnsiTheme="majorHAnsi" w:cstheme="majorBidi"/>
      <w:b/>
      <w:bCs/>
      <w:i/>
      <w:iCs/>
      <w:color w:val="5B9BD5" w:themeColor="accent1"/>
      <w:sz w:val="22"/>
      <w:szCs w:val="22"/>
      <w:lang w:eastAsia="en-US"/>
    </w:rPr>
  </w:style>
  <w:style w:type="paragraph" w:styleId="Heading5">
    <w:name w:val="heading 5"/>
    <w:basedOn w:val="Normal"/>
    <w:next w:val="Normal"/>
    <w:link w:val="Heading5Char"/>
    <w:uiPriority w:val="9"/>
    <w:semiHidden/>
    <w:unhideWhenUsed/>
    <w:qFormat/>
    <w:rsid w:val="00D80DA7"/>
    <w:pPr>
      <w:keepNext/>
      <w:keepLines/>
      <w:spacing w:before="200" w:line="259" w:lineRule="auto"/>
      <w:ind w:left="1008" w:hanging="1008"/>
      <w:outlineLvl w:val="4"/>
    </w:pPr>
    <w:rPr>
      <w:rFonts w:asciiTheme="majorHAnsi" w:eastAsiaTheme="majorEastAsia" w:hAnsiTheme="majorHAnsi" w:cstheme="majorBidi"/>
      <w:color w:val="1F4D78" w:themeColor="accent1" w:themeShade="7F"/>
      <w:sz w:val="22"/>
      <w:szCs w:val="22"/>
      <w:lang w:eastAsia="en-US"/>
    </w:rPr>
  </w:style>
  <w:style w:type="paragraph" w:styleId="Heading6">
    <w:name w:val="heading 6"/>
    <w:basedOn w:val="Normal"/>
    <w:next w:val="Normal"/>
    <w:link w:val="Heading6Char"/>
    <w:uiPriority w:val="9"/>
    <w:semiHidden/>
    <w:unhideWhenUsed/>
    <w:qFormat/>
    <w:rsid w:val="00D80DA7"/>
    <w:pPr>
      <w:keepNext/>
      <w:keepLines/>
      <w:spacing w:before="200" w:line="259" w:lineRule="auto"/>
      <w:ind w:left="1152" w:hanging="1152"/>
      <w:outlineLvl w:val="5"/>
    </w:pPr>
    <w:rPr>
      <w:rFonts w:asciiTheme="majorHAnsi" w:eastAsiaTheme="majorEastAsia" w:hAnsiTheme="majorHAnsi" w:cstheme="majorBidi"/>
      <w:i/>
      <w:iCs/>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D80DA7"/>
    <w:pPr>
      <w:keepNext/>
      <w:keepLines/>
      <w:spacing w:before="200" w:line="259"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D80DA7"/>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D80DA7"/>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D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0D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80DA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80DA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80DA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80DA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80D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0D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0DA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D80DA7"/>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80DA7"/>
  </w:style>
  <w:style w:type="paragraph" w:styleId="Footer">
    <w:name w:val="footer"/>
    <w:basedOn w:val="Normal"/>
    <w:link w:val="FooterChar"/>
    <w:uiPriority w:val="99"/>
    <w:unhideWhenUsed/>
    <w:rsid w:val="00D80DA7"/>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80DA7"/>
  </w:style>
  <w:style w:type="paragraph" w:styleId="ListParagraph">
    <w:name w:val="List Paragraph"/>
    <w:basedOn w:val="Normal"/>
    <w:uiPriority w:val="34"/>
    <w:qFormat/>
    <w:rsid w:val="00D80DA7"/>
    <w:pPr>
      <w:spacing w:after="160" w:line="259" w:lineRule="auto"/>
      <w:ind w:left="720"/>
      <w:contextualSpacing/>
    </w:pPr>
    <w:rPr>
      <w:rFonts w:ascii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80DA7"/>
    <w:rPr>
      <w:sz w:val="16"/>
      <w:szCs w:val="16"/>
    </w:rPr>
  </w:style>
  <w:style w:type="paragraph" w:styleId="CommentText">
    <w:name w:val="annotation text"/>
    <w:aliases w:val="Comment Text Char Char,Comment Text Char1"/>
    <w:basedOn w:val="Normal"/>
    <w:link w:val="CommentTextChar"/>
    <w:uiPriority w:val="99"/>
    <w:unhideWhenUsed/>
    <w:rsid w:val="00D80DA7"/>
    <w:pPr>
      <w:spacing w:after="160"/>
    </w:pPr>
    <w:rPr>
      <w:rFonts w:asciiTheme="minorHAnsi" w:hAnsiTheme="minorHAnsi" w:cstheme="minorBidi"/>
      <w:sz w:val="20"/>
      <w:szCs w:val="20"/>
      <w:lang w:eastAsia="en-US"/>
    </w:rPr>
  </w:style>
  <w:style w:type="character" w:customStyle="1" w:styleId="CommentTextChar">
    <w:name w:val="Comment Text Char"/>
    <w:aliases w:val="Comment Text Char Char Char,Comment Text Char1 Char"/>
    <w:basedOn w:val="DefaultParagraphFont"/>
    <w:link w:val="CommentText"/>
    <w:uiPriority w:val="99"/>
    <w:rsid w:val="00D80DA7"/>
    <w:rPr>
      <w:sz w:val="20"/>
      <w:szCs w:val="20"/>
    </w:rPr>
  </w:style>
  <w:style w:type="paragraph" w:styleId="CommentSubject">
    <w:name w:val="annotation subject"/>
    <w:basedOn w:val="CommentText"/>
    <w:next w:val="CommentText"/>
    <w:link w:val="CommentSubjectChar"/>
    <w:uiPriority w:val="99"/>
    <w:semiHidden/>
    <w:unhideWhenUsed/>
    <w:rsid w:val="00D80DA7"/>
    <w:rPr>
      <w:b/>
      <w:bCs/>
    </w:rPr>
  </w:style>
  <w:style w:type="character" w:customStyle="1" w:styleId="CommentSubjectChar">
    <w:name w:val="Comment Subject Char"/>
    <w:basedOn w:val="CommentTextChar"/>
    <w:link w:val="CommentSubject"/>
    <w:uiPriority w:val="99"/>
    <w:semiHidden/>
    <w:rsid w:val="00D80DA7"/>
    <w:rPr>
      <w:b/>
      <w:bCs/>
      <w:sz w:val="20"/>
      <w:szCs w:val="20"/>
    </w:rPr>
  </w:style>
  <w:style w:type="paragraph" w:styleId="BalloonText">
    <w:name w:val="Balloon Text"/>
    <w:basedOn w:val="Normal"/>
    <w:link w:val="BalloonTextChar"/>
    <w:uiPriority w:val="99"/>
    <w:semiHidden/>
    <w:unhideWhenUsed/>
    <w:rsid w:val="00D80DA7"/>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D80DA7"/>
    <w:rPr>
      <w:rFonts w:ascii="Segoe UI" w:hAnsi="Segoe UI" w:cs="Segoe UI"/>
      <w:sz w:val="18"/>
      <w:szCs w:val="18"/>
    </w:rPr>
  </w:style>
  <w:style w:type="paragraph" w:customStyle="1" w:styleId="BodyFirstIdent">
    <w:name w:val="Body First Ident"/>
    <w:rsid w:val="00D80DA7"/>
    <w:pPr>
      <w:spacing w:before="120" w:after="120" w:line="432" w:lineRule="auto"/>
      <w:ind w:firstLine="567"/>
      <w:jc w:val="both"/>
    </w:pPr>
    <w:rPr>
      <w:rFonts w:ascii="Times New Roman" w:eastAsia="ヒラギノ角ゴ Pro W3" w:hAnsi="Times New Roman" w:cs="Times New Roman"/>
      <w:color w:val="000000"/>
      <w:sz w:val="24"/>
      <w:szCs w:val="20"/>
      <w:lang w:eastAsia="el-GR" w:bidi="en-US"/>
    </w:rPr>
  </w:style>
  <w:style w:type="paragraph" w:customStyle="1" w:styleId="Heading1JPPM">
    <w:name w:val="Heading 1 JPPM"/>
    <w:basedOn w:val="Heading1"/>
    <w:rsid w:val="00D80DA7"/>
    <w:pPr>
      <w:keepLines w:val="0"/>
      <w:spacing w:before="120" w:line="480" w:lineRule="auto"/>
      <w:ind w:left="431" w:hanging="431"/>
      <w:jc w:val="center"/>
    </w:pPr>
    <w:rPr>
      <w:rFonts w:ascii="Times New Roman" w:eastAsia="Batang" w:hAnsi="Times New Roman" w:cs="Times New Roman"/>
      <w:b/>
      <w:bCs/>
      <w:color w:val="auto"/>
      <w:kern w:val="32"/>
      <w:sz w:val="28"/>
      <w:szCs w:val="24"/>
      <w:lang w:val="en-US" w:eastAsia="ko-KR" w:bidi="en-US"/>
    </w:rPr>
  </w:style>
  <w:style w:type="paragraph" w:customStyle="1" w:styleId="Heading2JPPM">
    <w:name w:val="Heading 2 JPPM"/>
    <w:basedOn w:val="Heading2"/>
    <w:rsid w:val="00D80DA7"/>
    <w:pPr>
      <w:keepLines w:val="0"/>
      <w:tabs>
        <w:tab w:val="left" w:pos="993"/>
      </w:tabs>
      <w:spacing w:before="240" w:line="480" w:lineRule="auto"/>
      <w:ind w:left="578" w:hanging="578"/>
    </w:pPr>
    <w:rPr>
      <w:rFonts w:ascii="Times New Roman" w:eastAsia="Batang" w:hAnsi="Times New Roman" w:cs="Times New Roman"/>
      <w:b/>
      <w:bCs/>
      <w:iCs/>
      <w:color w:val="auto"/>
      <w:szCs w:val="28"/>
      <w:lang w:val="en-US" w:eastAsia="ko-KR" w:bidi="en-US"/>
    </w:rPr>
  </w:style>
  <w:style w:type="paragraph" w:styleId="NormalWeb">
    <w:name w:val="Normal (Web)"/>
    <w:basedOn w:val="Normal"/>
    <w:uiPriority w:val="99"/>
    <w:unhideWhenUsed/>
    <w:rsid w:val="00D80DA7"/>
    <w:pPr>
      <w:spacing w:before="100" w:beforeAutospacing="1" w:after="100" w:afterAutospacing="1"/>
    </w:pPr>
    <w:rPr>
      <w:rFonts w:eastAsia="Times New Roman"/>
    </w:rPr>
  </w:style>
  <w:style w:type="paragraph" w:styleId="Title">
    <w:name w:val="Title"/>
    <w:basedOn w:val="Normal"/>
    <w:next w:val="Normal"/>
    <w:link w:val="TitleChar"/>
    <w:qFormat/>
    <w:rsid w:val="00D80DA7"/>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80DA7"/>
    <w:rPr>
      <w:rFonts w:asciiTheme="majorHAnsi" w:eastAsiaTheme="majorEastAsia" w:hAnsiTheme="majorHAnsi" w:cstheme="majorBidi"/>
      <w:spacing w:val="-10"/>
      <w:kern w:val="28"/>
      <w:sz w:val="56"/>
      <w:szCs w:val="56"/>
    </w:rPr>
  </w:style>
  <w:style w:type="paragraph" w:styleId="Caption">
    <w:name w:val="caption"/>
    <w:basedOn w:val="Normal"/>
    <w:next w:val="Normal"/>
    <w:qFormat/>
    <w:rsid w:val="00D80DA7"/>
    <w:pPr>
      <w:keepNext/>
      <w:keepLines/>
      <w:tabs>
        <w:tab w:val="left" w:pos="993"/>
      </w:tabs>
      <w:spacing w:before="120" w:after="120"/>
      <w:ind w:left="992" w:right="-714" w:hanging="992"/>
    </w:pPr>
    <w:rPr>
      <w:rFonts w:eastAsia="Batang"/>
      <w:b/>
      <w:bCs/>
      <w:sz w:val="22"/>
      <w:szCs w:val="20"/>
      <w:lang w:val="en-US" w:eastAsia="en-US" w:bidi="en-US"/>
    </w:rPr>
  </w:style>
  <w:style w:type="table" w:styleId="TableGrid">
    <w:name w:val="Table Grid"/>
    <w:basedOn w:val="TableNormal"/>
    <w:uiPriority w:val="39"/>
    <w:rsid w:val="00D8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0DA7"/>
    <w:rPr>
      <w:i/>
      <w:iCs/>
    </w:rPr>
  </w:style>
  <w:style w:type="character" w:customStyle="1" w:styleId="apple-converted-space">
    <w:name w:val="apple-converted-space"/>
    <w:basedOn w:val="DefaultParagraphFont"/>
    <w:rsid w:val="00D80DA7"/>
  </w:style>
  <w:style w:type="character" w:styleId="Hyperlink">
    <w:name w:val="Hyperlink"/>
    <w:basedOn w:val="DefaultParagraphFont"/>
    <w:uiPriority w:val="99"/>
    <w:unhideWhenUsed/>
    <w:rsid w:val="00D80DA7"/>
    <w:rPr>
      <w:color w:val="0563C1" w:themeColor="hyperlink"/>
      <w:u w:val="single"/>
    </w:rPr>
  </w:style>
  <w:style w:type="paragraph" w:customStyle="1" w:styleId="EndNoteBibliographyTitle">
    <w:name w:val="EndNote Bibliography Title"/>
    <w:basedOn w:val="Normal"/>
    <w:link w:val="EndNoteBibliographyTitleChar"/>
    <w:rsid w:val="00D80DA7"/>
    <w:pPr>
      <w:spacing w:line="259" w:lineRule="auto"/>
      <w:jc w:val="center"/>
    </w:pPr>
    <w:rPr>
      <w:rFonts w:ascii="Calibr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D80DA7"/>
    <w:rPr>
      <w:rFonts w:ascii="Calibri" w:hAnsi="Calibri" w:cs="Calibri"/>
      <w:noProof/>
      <w:lang w:val="en-US"/>
    </w:rPr>
  </w:style>
  <w:style w:type="paragraph" w:customStyle="1" w:styleId="EndNoteBibliography">
    <w:name w:val="EndNote Bibliography"/>
    <w:basedOn w:val="Normal"/>
    <w:link w:val="EndNoteBibliographyChar"/>
    <w:rsid w:val="00D80DA7"/>
    <w:pPr>
      <w:spacing w:after="160"/>
      <w:jc w:val="both"/>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D80DA7"/>
    <w:rPr>
      <w:rFonts w:ascii="Calibri" w:hAnsi="Calibri" w:cs="Calibri"/>
      <w:noProof/>
      <w:lang w:val="en-US"/>
    </w:rPr>
  </w:style>
  <w:style w:type="character" w:styleId="Strong">
    <w:name w:val="Strong"/>
    <w:basedOn w:val="DefaultParagraphFont"/>
    <w:uiPriority w:val="22"/>
    <w:qFormat/>
    <w:rsid w:val="00D80DA7"/>
    <w:rPr>
      <w:b/>
      <w:bCs/>
    </w:rPr>
  </w:style>
  <w:style w:type="character" w:customStyle="1" w:styleId="UnresolvedMention1">
    <w:name w:val="Unresolved Mention1"/>
    <w:basedOn w:val="DefaultParagraphFont"/>
    <w:uiPriority w:val="99"/>
    <w:semiHidden/>
    <w:unhideWhenUsed/>
    <w:rsid w:val="00D80DA7"/>
    <w:rPr>
      <w:color w:val="605E5C"/>
      <w:shd w:val="clear" w:color="auto" w:fill="E1DFDD"/>
    </w:rPr>
  </w:style>
  <w:style w:type="character" w:customStyle="1" w:styleId="UnresolvedMention2">
    <w:name w:val="Unresolved Mention2"/>
    <w:basedOn w:val="DefaultParagraphFont"/>
    <w:uiPriority w:val="99"/>
    <w:semiHidden/>
    <w:unhideWhenUsed/>
    <w:rsid w:val="00D80DA7"/>
    <w:rPr>
      <w:color w:val="605E5C"/>
      <w:shd w:val="clear" w:color="auto" w:fill="E1DFDD"/>
    </w:rPr>
  </w:style>
  <w:style w:type="character" w:customStyle="1" w:styleId="UnresolvedMention3">
    <w:name w:val="Unresolved Mention3"/>
    <w:basedOn w:val="DefaultParagraphFont"/>
    <w:uiPriority w:val="99"/>
    <w:rsid w:val="00D80DA7"/>
    <w:rPr>
      <w:color w:val="605E5C"/>
      <w:shd w:val="clear" w:color="auto" w:fill="E1DFDD"/>
    </w:rPr>
  </w:style>
  <w:style w:type="character" w:customStyle="1" w:styleId="UnresolvedMention4">
    <w:name w:val="Unresolved Mention4"/>
    <w:basedOn w:val="DefaultParagraphFont"/>
    <w:uiPriority w:val="99"/>
    <w:rsid w:val="00D80DA7"/>
    <w:rPr>
      <w:color w:val="605E5C"/>
      <w:shd w:val="clear" w:color="auto" w:fill="E1DFDD"/>
    </w:rPr>
  </w:style>
  <w:style w:type="paragraph" w:styleId="Revision">
    <w:name w:val="Revision"/>
    <w:hidden/>
    <w:uiPriority w:val="99"/>
    <w:semiHidden/>
    <w:rsid w:val="00D80DA7"/>
    <w:pPr>
      <w:spacing w:after="0" w:line="240" w:lineRule="auto"/>
    </w:pPr>
    <w:rPr>
      <w:rFonts w:ascii="Times New Roman" w:hAnsi="Times New Roman" w:cs="Times New Roman"/>
      <w:sz w:val="24"/>
      <w:szCs w:val="24"/>
      <w:lang w:eastAsia="en-GB"/>
    </w:rPr>
  </w:style>
  <w:style w:type="character" w:customStyle="1" w:styleId="UnresolvedMention5">
    <w:name w:val="Unresolved Mention5"/>
    <w:basedOn w:val="DefaultParagraphFont"/>
    <w:uiPriority w:val="99"/>
    <w:rsid w:val="00D80DA7"/>
    <w:rPr>
      <w:color w:val="605E5C"/>
      <w:shd w:val="clear" w:color="auto" w:fill="E1DFDD"/>
    </w:rPr>
  </w:style>
  <w:style w:type="paragraph" w:styleId="FootnoteText">
    <w:name w:val="footnote text"/>
    <w:basedOn w:val="Normal"/>
    <w:link w:val="FootnoteTextChar"/>
    <w:uiPriority w:val="99"/>
    <w:unhideWhenUsed/>
    <w:rsid w:val="00D80DA7"/>
    <w:rPr>
      <w:sz w:val="20"/>
      <w:szCs w:val="20"/>
    </w:rPr>
  </w:style>
  <w:style w:type="character" w:customStyle="1" w:styleId="FootnoteTextChar">
    <w:name w:val="Footnote Text Char"/>
    <w:basedOn w:val="DefaultParagraphFont"/>
    <w:link w:val="FootnoteText"/>
    <w:uiPriority w:val="99"/>
    <w:rsid w:val="00D80DA7"/>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80DA7"/>
    <w:rPr>
      <w:vertAlign w:val="superscript"/>
    </w:rPr>
  </w:style>
  <w:style w:type="paragraph" w:styleId="Bibliography">
    <w:name w:val="Bibliography"/>
    <w:basedOn w:val="Normal"/>
    <w:next w:val="Normal"/>
    <w:uiPriority w:val="37"/>
    <w:unhideWhenUsed/>
    <w:rsid w:val="00D80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7916-11B6-4FD8-AC4B-FABA4D22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Pages>
  <Words>8726</Words>
  <Characters>49742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Ariadne Kapetanaki</dc:creator>
  <cp:keywords/>
  <dc:description/>
  <cp:lastModifiedBy>Ariadne Kapetanaki</cp:lastModifiedBy>
  <cp:revision>249</cp:revision>
  <dcterms:created xsi:type="dcterms:W3CDTF">2021-06-21T11:05:00Z</dcterms:created>
  <dcterms:modified xsi:type="dcterms:W3CDTF">2021-06-23T11:23:00Z</dcterms:modified>
</cp:coreProperties>
</file>