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81733" w14:textId="1BA293F3" w:rsidR="00AB0AE7" w:rsidRPr="002F6E72" w:rsidRDefault="00AB0AE7" w:rsidP="00C57DFE">
      <w:pPr>
        <w:suppressLineNumbers/>
        <w:spacing w:line="360" w:lineRule="auto"/>
        <w:jc w:val="center"/>
        <w:rPr>
          <w:b/>
          <w:sz w:val="28"/>
          <w:szCs w:val="28"/>
        </w:rPr>
      </w:pPr>
      <w:bookmarkStart w:id="0" w:name="_GoBack"/>
      <w:bookmarkEnd w:id="0"/>
      <w:r w:rsidRPr="002F6E72">
        <w:rPr>
          <w:b/>
          <w:sz w:val="28"/>
          <w:szCs w:val="28"/>
        </w:rPr>
        <w:t>H</w:t>
      </w:r>
      <w:r w:rsidR="000B138D">
        <w:rPr>
          <w:b/>
          <w:sz w:val="28"/>
          <w:szCs w:val="28"/>
        </w:rPr>
        <w:t>ow effective is marginal health</w:t>
      </w:r>
      <w:r w:rsidRPr="002F6E72">
        <w:rPr>
          <w:b/>
          <w:sz w:val="28"/>
          <w:szCs w:val="28"/>
        </w:rPr>
        <w:t xml:space="preserve">care expenditure?  </w:t>
      </w:r>
    </w:p>
    <w:p w14:paraId="1DAAAF51" w14:textId="2438FF4C" w:rsidR="00FC049A" w:rsidRDefault="001F7730" w:rsidP="00C57DFE">
      <w:pPr>
        <w:suppressLineNumbers/>
        <w:spacing w:line="480" w:lineRule="auto"/>
        <w:jc w:val="center"/>
        <w:rPr>
          <w:b/>
          <w:sz w:val="28"/>
          <w:szCs w:val="28"/>
        </w:rPr>
      </w:pPr>
      <w:r w:rsidRPr="002F6E72">
        <w:rPr>
          <w:b/>
          <w:sz w:val="28"/>
          <w:szCs w:val="28"/>
        </w:rPr>
        <w:t>New e</w:t>
      </w:r>
      <w:r w:rsidR="00AB0AE7" w:rsidRPr="002F6E72">
        <w:rPr>
          <w:b/>
          <w:sz w:val="28"/>
          <w:szCs w:val="28"/>
        </w:rPr>
        <w:t>vidence from Engl</w:t>
      </w:r>
      <w:r w:rsidR="00280176" w:rsidRPr="002F6E72">
        <w:rPr>
          <w:b/>
          <w:sz w:val="28"/>
          <w:szCs w:val="28"/>
        </w:rPr>
        <w:t xml:space="preserve">and for </w:t>
      </w:r>
      <w:r w:rsidR="003B5398" w:rsidRPr="002F6E72">
        <w:rPr>
          <w:b/>
          <w:sz w:val="28"/>
          <w:szCs w:val="28"/>
        </w:rPr>
        <w:t>2003/</w:t>
      </w:r>
      <w:r w:rsidR="006B3087" w:rsidRPr="002F6E72">
        <w:rPr>
          <w:b/>
          <w:sz w:val="28"/>
          <w:szCs w:val="28"/>
        </w:rPr>
        <w:t>0</w:t>
      </w:r>
      <w:r w:rsidR="00F53209" w:rsidRPr="002F6E72">
        <w:rPr>
          <w:b/>
          <w:sz w:val="28"/>
          <w:szCs w:val="28"/>
        </w:rPr>
        <w:t>4 to</w:t>
      </w:r>
      <w:r w:rsidR="003B5398" w:rsidRPr="002F6E72">
        <w:rPr>
          <w:b/>
          <w:sz w:val="28"/>
          <w:szCs w:val="28"/>
        </w:rPr>
        <w:t xml:space="preserve"> 2012/13</w:t>
      </w:r>
      <w:r w:rsidR="00F53209" w:rsidRPr="002F6E72">
        <w:rPr>
          <w:b/>
          <w:sz w:val="28"/>
          <w:szCs w:val="28"/>
        </w:rPr>
        <w:t>.</w:t>
      </w:r>
    </w:p>
    <w:p w14:paraId="1991EC58" w14:textId="14D4ECC3" w:rsidR="00E34187" w:rsidRDefault="00581CE9" w:rsidP="00C57DFE">
      <w:pPr>
        <w:suppressLineNumbers/>
        <w:spacing w:after="200" w:line="276" w:lineRule="auto"/>
      </w:pPr>
      <w:r>
        <w:t>20</w:t>
      </w:r>
      <w:r w:rsidR="00762EAF">
        <w:t xml:space="preserve"> Ma</w:t>
      </w:r>
      <w:r w:rsidR="0055592D">
        <w:t>y</w:t>
      </w:r>
      <w:r w:rsidR="00067C63" w:rsidRPr="00067C63">
        <w:t xml:space="preserve"> 2021</w:t>
      </w:r>
    </w:p>
    <w:p w14:paraId="443FAEFE" w14:textId="77777777" w:rsidR="00067C63" w:rsidRPr="00067C63" w:rsidRDefault="00067C63" w:rsidP="00C57DFE">
      <w:pPr>
        <w:suppressLineNumbers/>
        <w:spacing w:after="200" w:line="276" w:lineRule="auto"/>
      </w:pPr>
    </w:p>
    <w:p w14:paraId="0BB7B778" w14:textId="77777777" w:rsidR="00871E2F" w:rsidRPr="00871E2F" w:rsidRDefault="00871E2F" w:rsidP="00871E2F">
      <w:pPr>
        <w:spacing w:line="276" w:lineRule="auto"/>
        <w:rPr>
          <w:u w:val="single"/>
        </w:rPr>
      </w:pPr>
      <w:r w:rsidRPr="00871E2F">
        <w:rPr>
          <w:u w:val="single"/>
        </w:rPr>
        <w:t>Authors</w:t>
      </w:r>
    </w:p>
    <w:p w14:paraId="22063C5B" w14:textId="5D668C44" w:rsidR="00871E2F" w:rsidRPr="00871E2F" w:rsidRDefault="00871E2F" w:rsidP="00871E2F">
      <w:pPr>
        <w:spacing w:line="276" w:lineRule="auto"/>
      </w:pPr>
      <w:r w:rsidRPr="00871E2F">
        <w:t>Stephen Martin</w:t>
      </w:r>
      <w:r w:rsidRPr="00871E2F">
        <w:rPr>
          <w:vertAlign w:val="superscript"/>
        </w:rPr>
        <w:t>a</w:t>
      </w:r>
      <w:r w:rsidRPr="00871E2F">
        <w:t xml:space="preserve">, James </w:t>
      </w:r>
      <w:proofErr w:type="spellStart"/>
      <w:r w:rsidRPr="00871E2F">
        <w:t>Lomas</w:t>
      </w:r>
      <w:r w:rsidRPr="00871E2F">
        <w:rPr>
          <w:vertAlign w:val="superscript"/>
        </w:rPr>
        <w:t>b</w:t>
      </w:r>
      <w:proofErr w:type="spellEnd"/>
      <w:r w:rsidR="00BA5E30">
        <w:t xml:space="preserve">, </w:t>
      </w:r>
      <w:r w:rsidRPr="00871E2F">
        <w:t xml:space="preserve">Karl </w:t>
      </w:r>
      <w:proofErr w:type="spellStart"/>
      <w:r w:rsidRPr="00871E2F">
        <w:t>Claxton</w:t>
      </w:r>
      <w:r w:rsidRPr="00871E2F">
        <w:rPr>
          <w:vertAlign w:val="superscript"/>
        </w:rPr>
        <w:t>a</w:t>
      </w:r>
      <w:proofErr w:type="spellEnd"/>
      <w:r w:rsidRPr="00871E2F">
        <w:rPr>
          <w:vertAlign w:val="superscript"/>
        </w:rPr>
        <w:t>, b</w:t>
      </w:r>
      <w:r>
        <w:rPr>
          <w:vertAlign w:val="superscript"/>
        </w:rPr>
        <w:t xml:space="preserve"> </w:t>
      </w:r>
      <w:r w:rsidRPr="00871E2F">
        <w:t xml:space="preserve">and Francesco </w:t>
      </w:r>
      <w:proofErr w:type="spellStart"/>
      <w:r w:rsidRPr="00871E2F">
        <w:t>Longo</w:t>
      </w:r>
      <w:r w:rsidRPr="00871E2F">
        <w:rPr>
          <w:vertAlign w:val="superscript"/>
        </w:rPr>
        <w:t>b</w:t>
      </w:r>
      <w:proofErr w:type="spellEnd"/>
    </w:p>
    <w:p w14:paraId="2786619A" w14:textId="695B16B4" w:rsidR="00067C63" w:rsidRDefault="00067C63" w:rsidP="00871E2F">
      <w:pPr>
        <w:spacing w:line="276" w:lineRule="auto"/>
        <w:rPr>
          <w:b/>
        </w:rPr>
      </w:pPr>
    </w:p>
    <w:p w14:paraId="6197D2BD" w14:textId="77777777" w:rsidR="000932BD" w:rsidRPr="00871E2F" w:rsidRDefault="000932BD" w:rsidP="00871E2F">
      <w:pPr>
        <w:spacing w:line="276" w:lineRule="auto"/>
        <w:rPr>
          <w:b/>
        </w:rPr>
      </w:pPr>
    </w:p>
    <w:p w14:paraId="7ABC8F6C" w14:textId="77777777" w:rsidR="00871E2F" w:rsidRPr="00871E2F" w:rsidRDefault="00871E2F" w:rsidP="00871E2F">
      <w:pPr>
        <w:spacing w:line="276" w:lineRule="auto"/>
        <w:rPr>
          <w:u w:val="single"/>
        </w:rPr>
      </w:pPr>
      <w:r w:rsidRPr="00871E2F">
        <w:rPr>
          <w:u w:val="single"/>
        </w:rPr>
        <w:t>Affiliations</w:t>
      </w:r>
    </w:p>
    <w:p w14:paraId="2ED72B6E" w14:textId="77777777" w:rsidR="00871E2F" w:rsidRPr="00871E2F" w:rsidRDefault="00871E2F" w:rsidP="00871E2F">
      <w:pPr>
        <w:spacing w:line="276" w:lineRule="auto"/>
      </w:pPr>
      <w:proofErr w:type="spellStart"/>
      <w:r w:rsidRPr="00871E2F">
        <w:rPr>
          <w:vertAlign w:val="superscript"/>
        </w:rPr>
        <w:t>a</w:t>
      </w:r>
      <w:r w:rsidRPr="00871E2F">
        <w:t>Department</w:t>
      </w:r>
      <w:proofErr w:type="spellEnd"/>
      <w:r w:rsidRPr="00871E2F">
        <w:t xml:space="preserve"> of Economics</w:t>
      </w:r>
    </w:p>
    <w:p w14:paraId="0FA9E4EB" w14:textId="77777777" w:rsidR="00871E2F" w:rsidRPr="00871E2F" w:rsidRDefault="00871E2F" w:rsidP="00871E2F">
      <w:pPr>
        <w:spacing w:line="276" w:lineRule="auto"/>
      </w:pPr>
      <w:r w:rsidRPr="00871E2F">
        <w:t xml:space="preserve"> University of York</w:t>
      </w:r>
    </w:p>
    <w:p w14:paraId="03BFC991" w14:textId="77777777" w:rsidR="00871E2F" w:rsidRPr="00871E2F" w:rsidRDefault="00871E2F" w:rsidP="00871E2F">
      <w:pPr>
        <w:spacing w:line="276" w:lineRule="auto"/>
      </w:pPr>
      <w:r w:rsidRPr="00871E2F">
        <w:t xml:space="preserve"> York</w:t>
      </w:r>
    </w:p>
    <w:p w14:paraId="6FA46A02" w14:textId="77777777" w:rsidR="00871E2F" w:rsidRPr="00871E2F" w:rsidRDefault="00871E2F" w:rsidP="00871E2F">
      <w:pPr>
        <w:spacing w:line="276" w:lineRule="auto"/>
      </w:pPr>
      <w:r w:rsidRPr="00871E2F">
        <w:t xml:space="preserve"> YO10 5DD</w:t>
      </w:r>
    </w:p>
    <w:p w14:paraId="1183C09F" w14:textId="77777777" w:rsidR="00871E2F" w:rsidRPr="00871E2F" w:rsidRDefault="00871E2F" w:rsidP="00871E2F">
      <w:pPr>
        <w:spacing w:after="200" w:line="276" w:lineRule="auto"/>
      </w:pPr>
      <w:r w:rsidRPr="00871E2F">
        <w:rPr>
          <w:b/>
        </w:rPr>
        <w:t xml:space="preserve"> </w:t>
      </w:r>
      <w:r w:rsidRPr="00871E2F">
        <w:t>UK</w:t>
      </w:r>
    </w:p>
    <w:p w14:paraId="06814AD6" w14:textId="77777777" w:rsidR="00871E2F" w:rsidRPr="00871E2F" w:rsidRDefault="00871E2F" w:rsidP="00871E2F">
      <w:pPr>
        <w:spacing w:line="276" w:lineRule="auto"/>
      </w:pPr>
      <w:proofErr w:type="spellStart"/>
      <w:r w:rsidRPr="00871E2F">
        <w:rPr>
          <w:vertAlign w:val="superscript"/>
        </w:rPr>
        <w:t>b</w:t>
      </w:r>
      <w:r w:rsidRPr="00871E2F">
        <w:t>Centre</w:t>
      </w:r>
      <w:proofErr w:type="spellEnd"/>
      <w:r w:rsidRPr="00871E2F">
        <w:t xml:space="preserve"> for Health Economics</w:t>
      </w:r>
    </w:p>
    <w:p w14:paraId="2920BAA0" w14:textId="77777777" w:rsidR="00871E2F" w:rsidRPr="00871E2F" w:rsidRDefault="00871E2F" w:rsidP="00871E2F">
      <w:pPr>
        <w:spacing w:line="276" w:lineRule="auto"/>
      </w:pPr>
      <w:r w:rsidRPr="00871E2F">
        <w:t xml:space="preserve"> University of York</w:t>
      </w:r>
    </w:p>
    <w:p w14:paraId="67A45F85" w14:textId="77777777" w:rsidR="00871E2F" w:rsidRPr="00871E2F" w:rsidRDefault="00871E2F" w:rsidP="00871E2F">
      <w:pPr>
        <w:spacing w:line="276" w:lineRule="auto"/>
      </w:pPr>
      <w:r w:rsidRPr="00871E2F">
        <w:t xml:space="preserve"> York</w:t>
      </w:r>
    </w:p>
    <w:p w14:paraId="27F15187" w14:textId="77777777" w:rsidR="00871E2F" w:rsidRPr="00871E2F" w:rsidRDefault="00871E2F" w:rsidP="00871E2F">
      <w:pPr>
        <w:spacing w:line="276" w:lineRule="auto"/>
      </w:pPr>
      <w:r w:rsidRPr="00871E2F">
        <w:t xml:space="preserve"> YO10 5DD</w:t>
      </w:r>
    </w:p>
    <w:p w14:paraId="4EFE3FFC" w14:textId="6F05098D" w:rsidR="00871E2F" w:rsidRDefault="00871E2F" w:rsidP="00871E2F">
      <w:pPr>
        <w:spacing w:line="276" w:lineRule="auto"/>
      </w:pPr>
      <w:r w:rsidRPr="00871E2F">
        <w:t xml:space="preserve"> UK</w:t>
      </w:r>
    </w:p>
    <w:p w14:paraId="38E6FD22" w14:textId="77777777" w:rsidR="00871E2F" w:rsidRDefault="00871E2F" w:rsidP="00871E2F">
      <w:pPr>
        <w:spacing w:line="276" w:lineRule="auto"/>
      </w:pPr>
    </w:p>
    <w:p w14:paraId="187C96DF" w14:textId="77777777" w:rsidR="000932BD" w:rsidRPr="00871E2F" w:rsidRDefault="000932BD" w:rsidP="00871E2F">
      <w:pPr>
        <w:spacing w:line="276" w:lineRule="auto"/>
      </w:pPr>
    </w:p>
    <w:p w14:paraId="0AE994C5" w14:textId="77777777" w:rsidR="00871E2F" w:rsidRPr="00871E2F" w:rsidRDefault="00871E2F" w:rsidP="00871E2F">
      <w:pPr>
        <w:spacing w:after="200" w:line="276" w:lineRule="auto"/>
        <w:rPr>
          <w:u w:val="single"/>
        </w:rPr>
      </w:pPr>
      <w:r w:rsidRPr="00871E2F">
        <w:rPr>
          <w:u w:val="single"/>
        </w:rPr>
        <w:t>Email addresses</w:t>
      </w:r>
    </w:p>
    <w:p w14:paraId="3DFD0476" w14:textId="146FD7C0" w:rsidR="00871E2F" w:rsidRPr="00871E2F" w:rsidRDefault="00871E2F" w:rsidP="00871E2F">
      <w:pPr>
        <w:spacing w:after="200" w:line="276" w:lineRule="auto"/>
      </w:pPr>
      <w:r w:rsidRPr="00871E2F">
        <w:t xml:space="preserve">Stephen Martin:  </w:t>
      </w:r>
      <w:hyperlink r:id="rId8" w:history="1">
        <w:r w:rsidR="007D5759" w:rsidRPr="00F50DAD">
          <w:rPr>
            <w:rStyle w:val="Hyperlink"/>
          </w:rPr>
          <w:t>sdm1@york.ac.uk</w:t>
        </w:r>
      </w:hyperlink>
    </w:p>
    <w:p w14:paraId="2EA0F3DE" w14:textId="77777777" w:rsidR="00871E2F" w:rsidRPr="00871E2F" w:rsidRDefault="00871E2F" w:rsidP="00871E2F">
      <w:pPr>
        <w:spacing w:after="200" w:line="276" w:lineRule="auto"/>
      </w:pPr>
      <w:r w:rsidRPr="00871E2F">
        <w:t xml:space="preserve">James Lomas:  </w:t>
      </w:r>
      <w:hyperlink r:id="rId9" w:history="1">
        <w:r w:rsidRPr="00871E2F">
          <w:rPr>
            <w:rStyle w:val="Hyperlink"/>
          </w:rPr>
          <w:t>james.lomas@york.ac.uk</w:t>
        </w:r>
      </w:hyperlink>
    </w:p>
    <w:p w14:paraId="6FB84CAF" w14:textId="77777777" w:rsidR="00871E2F" w:rsidRPr="00871E2F" w:rsidRDefault="00871E2F" w:rsidP="00871E2F">
      <w:pPr>
        <w:spacing w:after="200" w:line="276" w:lineRule="auto"/>
      </w:pPr>
      <w:r w:rsidRPr="00871E2F">
        <w:t xml:space="preserve">Karl Claxton: </w:t>
      </w:r>
      <w:hyperlink r:id="rId10" w:history="1">
        <w:r w:rsidRPr="00871E2F">
          <w:rPr>
            <w:rStyle w:val="Hyperlink"/>
          </w:rPr>
          <w:t>karl.claxton@york.ac.uk</w:t>
        </w:r>
      </w:hyperlink>
    </w:p>
    <w:p w14:paraId="13EECF2F" w14:textId="1089D067" w:rsidR="00871E2F" w:rsidRDefault="00871E2F" w:rsidP="00871E2F">
      <w:pPr>
        <w:spacing w:line="276" w:lineRule="auto"/>
      </w:pPr>
      <w:r>
        <w:t xml:space="preserve">Francesco Longo: </w:t>
      </w:r>
      <w:hyperlink r:id="rId11" w:history="1">
        <w:r w:rsidRPr="00DD78DB">
          <w:rPr>
            <w:rStyle w:val="Hyperlink"/>
          </w:rPr>
          <w:t>francesco.longo@york.ac.uk</w:t>
        </w:r>
      </w:hyperlink>
    </w:p>
    <w:p w14:paraId="1CBC3AEB" w14:textId="77777777" w:rsidR="00871E2F" w:rsidRDefault="00871E2F" w:rsidP="00871E2F">
      <w:pPr>
        <w:spacing w:line="276" w:lineRule="auto"/>
      </w:pPr>
    </w:p>
    <w:p w14:paraId="7EB4A64D" w14:textId="77777777" w:rsidR="000932BD" w:rsidRPr="00871E2F" w:rsidRDefault="000932BD" w:rsidP="00871E2F">
      <w:pPr>
        <w:spacing w:line="276" w:lineRule="auto"/>
      </w:pPr>
    </w:p>
    <w:p w14:paraId="44C19B49" w14:textId="77777777" w:rsidR="00871E2F" w:rsidRPr="00871E2F" w:rsidRDefault="00871E2F" w:rsidP="00871E2F">
      <w:pPr>
        <w:spacing w:after="200" w:line="276" w:lineRule="auto"/>
        <w:rPr>
          <w:u w:val="single"/>
        </w:rPr>
      </w:pPr>
      <w:r w:rsidRPr="00871E2F">
        <w:rPr>
          <w:u w:val="single"/>
        </w:rPr>
        <w:t>Corresponding author</w:t>
      </w:r>
    </w:p>
    <w:p w14:paraId="526F0BCC" w14:textId="3F6192CF" w:rsidR="00871E2F" w:rsidRPr="00871E2F" w:rsidRDefault="00871E2F" w:rsidP="00871E2F">
      <w:pPr>
        <w:spacing w:after="200" w:line="276" w:lineRule="auto"/>
      </w:pPr>
      <w:r w:rsidRPr="00871E2F">
        <w:t xml:space="preserve">Stephen Martin:  </w:t>
      </w:r>
      <w:hyperlink r:id="rId12" w:history="1">
        <w:r w:rsidR="007D5759" w:rsidRPr="00F50DAD">
          <w:rPr>
            <w:rStyle w:val="Hyperlink"/>
          </w:rPr>
          <w:t>sdm1@york.ac.uk</w:t>
        </w:r>
      </w:hyperlink>
    </w:p>
    <w:p w14:paraId="4DC81D7D" w14:textId="77777777" w:rsidR="008B78FD" w:rsidRDefault="008B78FD" w:rsidP="00C57DFE">
      <w:pPr>
        <w:suppressLineNumbers/>
        <w:spacing w:after="200" w:line="276" w:lineRule="auto"/>
        <w:rPr>
          <w:b/>
          <w:sz w:val="28"/>
          <w:szCs w:val="28"/>
        </w:rPr>
      </w:pPr>
    </w:p>
    <w:p w14:paraId="11202CCA" w14:textId="77777777" w:rsidR="008B78FD" w:rsidRDefault="008B78FD" w:rsidP="00C57DFE">
      <w:pPr>
        <w:suppressLineNumbers/>
        <w:spacing w:after="200" w:line="276" w:lineRule="auto"/>
        <w:rPr>
          <w:b/>
          <w:sz w:val="28"/>
          <w:szCs w:val="28"/>
        </w:rPr>
      </w:pPr>
    </w:p>
    <w:p w14:paraId="7C7CFA36" w14:textId="77777777" w:rsidR="000932BD" w:rsidRDefault="000932BD">
      <w:pPr>
        <w:spacing w:after="200" w:line="276" w:lineRule="auto"/>
        <w:rPr>
          <w:b/>
          <w:sz w:val="28"/>
          <w:szCs w:val="28"/>
        </w:rPr>
      </w:pPr>
      <w:r>
        <w:rPr>
          <w:b/>
          <w:sz w:val="28"/>
          <w:szCs w:val="28"/>
        </w:rPr>
        <w:br w:type="page"/>
      </w:r>
    </w:p>
    <w:p w14:paraId="6053816C" w14:textId="4B07921B" w:rsidR="00EC0825" w:rsidRPr="00C97011" w:rsidRDefault="00DB18CA" w:rsidP="00C57DFE">
      <w:pPr>
        <w:suppressLineNumbers/>
        <w:spacing w:after="200" w:line="276" w:lineRule="auto"/>
        <w:rPr>
          <w:b/>
          <w:sz w:val="28"/>
          <w:szCs w:val="28"/>
        </w:rPr>
      </w:pPr>
      <w:r w:rsidRPr="00C97011">
        <w:rPr>
          <w:b/>
          <w:sz w:val="28"/>
          <w:szCs w:val="28"/>
        </w:rPr>
        <w:lastRenderedPageBreak/>
        <w:t>Abstract</w:t>
      </w:r>
    </w:p>
    <w:p w14:paraId="1EDC65A8" w14:textId="77777777" w:rsidR="003447ED" w:rsidRPr="00676DC9" w:rsidRDefault="003447ED" w:rsidP="003447ED">
      <w:pPr>
        <w:suppressLineNumbers/>
        <w:spacing w:line="480" w:lineRule="auto"/>
        <w:rPr>
          <w:i/>
        </w:rPr>
      </w:pPr>
      <w:r w:rsidRPr="00676DC9">
        <w:rPr>
          <w:i/>
        </w:rPr>
        <w:t>Background</w:t>
      </w:r>
    </w:p>
    <w:p w14:paraId="0834B148" w14:textId="06D59336" w:rsidR="003447ED" w:rsidRDefault="003447ED" w:rsidP="003447ED">
      <w:pPr>
        <w:suppressLineNumbers/>
        <w:spacing w:line="480" w:lineRule="auto"/>
      </w:pPr>
      <w:r>
        <w:t>The endogenous nature of healthcare expenditure means that instruments are often used when estimating the relationship between expenditure and mortality.  Previous English studies of th</w:t>
      </w:r>
      <w:r w:rsidR="00144B12">
        <w:t>is</w:t>
      </w:r>
      <w:r>
        <w:t xml:space="preserve"> relationship have largely relied on statistical tests to justify their instruments.  A recent paper proposed that exogenous components of the resource allocation formula, used to distribute the national healthcare budget to local health authorities, be used as instruments.</w:t>
      </w:r>
    </w:p>
    <w:p w14:paraId="6881C310" w14:textId="77777777" w:rsidR="003447ED" w:rsidRPr="00676DC9" w:rsidRDefault="003447ED" w:rsidP="003447ED">
      <w:pPr>
        <w:suppressLineNumbers/>
        <w:spacing w:line="480" w:lineRule="auto"/>
        <w:rPr>
          <w:i/>
        </w:rPr>
      </w:pPr>
      <w:r w:rsidRPr="00676DC9">
        <w:rPr>
          <w:i/>
        </w:rPr>
        <w:t>Objective</w:t>
      </w:r>
      <w:r>
        <w:rPr>
          <w:i/>
        </w:rPr>
        <w:t>s</w:t>
      </w:r>
    </w:p>
    <w:p w14:paraId="55252796" w14:textId="77777777" w:rsidR="003447ED" w:rsidRDefault="003447ED" w:rsidP="003447ED">
      <w:pPr>
        <w:suppressLineNumbers/>
        <w:spacing w:line="480" w:lineRule="auto"/>
      </w:pPr>
      <w:r>
        <w:t xml:space="preserve">To estimate the relationship between healthcare expenditure and mortality by disease area for England from 2003/4 to 2012/13 using exogenous elements from the resource allocation formula as instruments for expenditure.  To use these disease-specific estimates </w:t>
      </w:r>
      <w:r w:rsidRPr="002F6E72">
        <w:t xml:space="preserve">to </w:t>
      </w:r>
      <w:r>
        <w:t xml:space="preserve">estimate the marginal </w:t>
      </w:r>
      <w:r w:rsidRPr="002F6E72">
        <w:t xml:space="preserve">cost per </w:t>
      </w:r>
      <w:r>
        <w:t>quality-adjusted life year</w:t>
      </w:r>
      <w:r w:rsidRPr="002F6E72">
        <w:t xml:space="preserve"> </w:t>
      </w:r>
      <w:r>
        <w:t>(</w:t>
      </w:r>
      <w:r w:rsidRPr="002F6E72">
        <w:t>QALY</w:t>
      </w:r>
      <w:r>
        <w:t>)</w:t>
      </w:r>
      <w:r w:rsidRPr="002F6E72">
        <w:t xml:space="preserve"> for English NHS expenditure</w:t>
      </w:r>
      <w:r>
        <w:t>.  To compare these estimates with those that relied on statistical tests to justify their instruments.</w:t>
      </w:r>
    </w:p>
    <w:p w14:paraId="0D6C791E" w14:textId="77777777" w:rsidR="003447ED" w:rsidRDefault="003447ED" w:rsidP="003447ED">
      <w:pPr>
        <w:suppressLineNumbers/>
        <w:spacing w:line="480" w:lineRule="auto"/>
        <w:rPr>
          <w:i/>
        </w:rPr>
      </w:pPr>
      <w:r w:rsidRPr="001A36E8">
        <w:rPr>
          <w:i/>
        </w:rPr>
        <w:t>Methods</w:t>
      </w:r>
    </w:p>
    <w:p w14:paraId="156F1C4A" w14:textId="77777777" w:rsidR="003447ED" w:rsidRDefault="003447ED" w:rsidP="003447ED">
      <w:pPr>
        <w:suppressLineNumbers/>
        <w:spacing w:line="480" w:lineRule="auto"/>
      </w:pPr>
      <w:r>
        <w:t xml:space="preserve">The two-stage least squares estimator is used to estimate the annual relationship between mortality and healthcare expenditure by disease area across 151 local authorities.  These disease-specific outcome elasticities are combined with information about </w:t>
      </w:r>
      <w:r w:rsidRPr="002F6E72">
        <w:t>survival and morbidity disease burden in different disease areas</w:t>
      </w:r>
      <w:r>
        <w:t xml:space="preserve"> to calculate the marginal cost per QALY for English National Health Service (NHS) expenditure.</w:t>
      </w:r>
    </w:p>
    <w:p w14:paraId="629CF2AF" w14:textId="77777777" w:rsidR="003447ED" w:rsidRPr="001A36E8" w:rsidRDefault="003447ED" w:rsidP="003447ED">
      <w:pPr>
        <w:suppressLineNumbers/>
        <w:spacing w:line="480" w:lineRule="auto"/>
        <w:rPr>
          <w:i/>
        </w:rPr>
      </w:pPr>
      <w:r w:rsidRPr="001A36E8">
        <w:rPr>
          <w:i/>
        </w:rPr>
        <w:t>Results</w:t>
      </w:r>
    </w:p>
    <w:p w14:paraId="3A171F6E" w14:textId="77777777" w:rsidR="003447ED" w:rsidRDefault="003447ED" w:rsidP="003447ED">
      <w:pPr>
        <w:suppressLineNumbers/>
        <w:spacing w:line="480" w:lineRule="auto"/>
      </w:pPr>
      <w:r>
        <w:t>The results suggest an annual marginal cost per QALY of between £5,000 and £10,000.  This is similar to that reported previously by studies that used statistical tests to justify their instruments.</w:t>
      </w:r>
    </w:p>
    <w:p w14:paraId="241DA278" w14:textId="77777777" w:rsidR="003447ED" w:rsidRDefault="003447ED" w:rsidP="003447ED">
      <w:pPr>
        <w:suppressLineNumbers/>
        <w:spacing w:line="480" w:lineRule="auto"/>
      </w:pPr>
      <w:r w:rsidRPr="001A36E8">
        <w:rPr>
          <w:i/>
        </w:rPr>
        <w:t>Conclusion</w:t>
      </w:r>
    </w:p>
    <w:p w14:paraId="1FEE9177" w14:textId="77777777" w:rsidR="003447ED" w:rsidRDefault="003447ED" w:rsidP="003447ED">
      <w:pPr>
        <w:suppressLineNumbers/>
        <w:spacing w:line="480" w:lineRule="auto"/>
      </w:pPr>
      <w:r w:rsidRPr="002F6E72">
        <w:lastRenderedPageBreak/>
        <w:t>The</w:t>
      </w:r>
      <w:r>
        <w:t>se</w:t>
      </w:r>
      <w:r w:rsidRPr="002F6E72">
        <w:t xml:space="preserve"> </w:t>
      </w:r>
      <w:r>
        <w:t xml:space="preserve">cost per QALY </w:t>
      </w:r>
      <w:r w:rsidRPr="002F6E72">
        <w:t xml:space="preserve">estimates </w:t>
      </w:r>
      <w:r>
        <w:t xml:space="preserve">are much lower than the threshold currently used by the UK’s National Institute for Health and Care Excellence (NICE) (£20,000 to £30,000) to assess whether a new pharmaceutical product should be funded by the NHS.  Our estimates </w:t>
      </w:r>
      <w:r w:rsidRPr="002F6E72">
        <w:t>suggest that guidance issued by NICE is likely to do more harm than good, reducing health outcomes ov</w:t>
      </w:r>
      <w:r>
        <w:t xml:space="preserve">erall for the NHS.  </w:t>
      </w:r>
      <w:r w:rsidRPr="00BB61D6">
        <w:rPr>
          <w:vertAlign w:val="superscript"/>
        </w:rPr>
        <w:t xml:space="preserve"> </w:t>
      </w:r>
      <w:r w:rsidRPr="002F6E72">
        <w:t xml:space="preserve">There may be legitimate reasons why such harms </w:t>
      </w:r>
      <w:r>
        <w:t>are</w:t>
      </w:r>
      <w:r w:rsidRPr="002F6E72">
        <w:t xml:space="preserve"> deemed appropriate, but it is only through the type of empirical analysis in this paper that the reasons for these ‘harms’ are likely to be articulated and explicitly justified</w:t>
      </w:r>
      <w:r>
        <w:t>.</w:t>
      </w:r>
    </w:p>
    <w:p w14:paraId="64B6F563" w14:textId="77777777" w:rsidR="00C57DFE" w:rsidRDefault="00C57DFE" w:rsidP="00C57DFE">
      <w:pPr>
        <w:suppressLineNumbers/>
        <w:spacing w:line="480" w:lineRule="auto"/>
      </w:pPr>
    </w:p>
    <w:p w14:paraId="6A31A2D6" w14:textId="77777777" w:rsidR="00C57DFE" w:rsidRPr="00C97011" w:rsidRDefault="00C57DFE" w:rsidP="00C57DFE">
      <w:pPr>
        <w:suppressLineNumbers/>
        <w:spacing w:line="480" w:lineRule="auto"/>
        <w:rPr>
          <w:b/>
          <w:sz w:val="28"/>
          <w:szCs w:val="28"/>
        </w:rPr>
      </w:pPr>
      <w:r w:rsidRPr="00C97011">
        <w:rPr>
          <w:b/>
          <w:sz w:val="28"/>
          <w:szCs w:val="28"/>
        </w:rPr>
        <w:t>Key points for decision makers</w:t>
      </w:r>
    </w:p>
    <w:p w14:paraId="1538FF0C" w14:textId="2072484E" w:rsidR="00C57DFE" w:rsidRDefault="00C57DFE" w:rsidP="00C57DFE">
      <w:pPr>
        <w:pStyle w:val="ListParagraph"/>
        <w:numPr>
          <w:ilvl w:val="0"/>
          <w:numId w:val="9"/>
        </w:numPr>
        <w:suppressLineNumbers/>
        <w:spacing w:line="480" w:lineRule="auto"/>
      </w:pPr>
      <w:r w:rsidRPr="00C57DFE">
        <w:t>To generate an additional quality-adju</w:t>
      </w:r>
      <w:r>
        <w:t>s</w:t>
      </w:r>
      <w:r w:rsidRPr="00C57DFE">
        <w:t>ted life year requires between £5,000 and £10,00</w:t>
      </w:r>
      <w:r w:rsidR="002959D7">
        <w:t>0</w:t>
      </w:r>
      <w:r w:rsidRPr="00C57DFE">
        <w:t xml:space="preserve"> of NHS expenditure </w:t>
      </w:r>
    </w:p>
    <w:p w14:paraId="5905560B" w14:textId="23519417" w:rsidR="00C57DFE" w:rsidRDefault="00C57DFE" w:rsidP="00C57DFE">
      <w:pPr>
        <w:pStyle w:val="ListParagraph"/>
        <w:numPr>
          <w:ilvl w:val="0"/>
          <w:numId w:val="9"/>
        </w:numPr>
        <w:suppressLineNumbers/>
        <w:spacing w:line="480" w:lineRule="auto"/>
      </w:pPr>
      <w:r>
        <w:t xml:space="preserve">NICE recommends that a new pharmaceutical </w:t>
      </w:r>
      <w:r w:rsidR="002959D7">
        <w:t xml:space="preserve">product should be funded by the NHS if it costs less than £20,000 to £30,000 to generate a </w:t>
      </w:r>
      <w:r w:rsidR="002959D7" w:rsidRPr="00C57DFE">
        <w:t>quality-adju</w:t>
      </w:r>
      <w:r w:rsidR="002959D7">
        <w:t>s</w:t>
      </w:r>
      <w:r w:rsidR="002959D7" w:rsidRPr="00C57DFE">
        <w:t>ted life year</w:t>
      </w:r>
    </w:p>
    <w:p w14:paraId="3252757F" w14:textId="54C7B730" w:rsidR="002959D7" w:rsidRPr="00C57DFE" w:rsidRDefault="002959D7" w:rsidP="00C57DFE">
      <w:pPr>
        <w:pStyle w:val="ListParagraph"/>
        <w:numPr>
          <w:ilvl w:val="0"/>
          <w:numId w:val="9"/>
        </w:numPr>
        <w:suppressLineNumbers/>
        <w:spacing w:line="480" w:lineRule="auto"/>
      </w:pPr>
      <w:r>
        <w:t xml:space="preserve">The NICE threshold is too high and </w:t>
      </w:r>
      <w:r w:rsidRPr="002F6E72">
        <w:t>is likely to do more harm than good, reducing health outcomes ov</w:t>
      </w:r>
      <w:r>
        <w:t xml:space="preserve">erall for the NHS.  </w:t>
      </w:r>
    </w:p>
    <w:p w14:paraId="4976E3C5" w14:textId="77777777" w:rsidR="000932BD" w:rsidRDefault="000932BD">
      <w:pPr>
        <w:spacing w:after="200" w:line="276" w:lineRule="auto"/>
        <w:rPr>
          <w:b/>
          <w:sz w:val="28"/>
          <w:szCs w:val="28"/>
        </w:rPr>
      </w:pPr>
      <w:r>
        <w:rPr>
          <w:b/>
          <w:sz w:val="28"/>
          <w:szCs w:val="28"/>
        </w:rPr>
        <w:br w:type="page"/>
      </w:r>
    </w:p>
    <w:p w14:paraId="198C33D3" w14:textId="735CC823" w:rsidR="00C97011" w:rsidRPr="00C97011" w:rsidRDefault="00C97011" w:rsidP="000932BD">
      <w:pPr>
        <w:suppressLineNumbers/>
        <w:spacing w:line="360" w:lineRule="auto"/>
        <w:rPr>
          <w:b/>
          <w:sz w:val="28"/>
          <w:szCs w:val="28"/>
        </w:rPr>
      </w:pPr>
      <w:r w:rsidRPr="00C97011">
        <w:rPr>
          <w:b/>
          <w:sz w:val="28"/>
          <w:szCs w:val="28"/>
        </w:rPr>
        <w:lastRenderedPageBreak/>
        <w:t>Declarations</w:t>
      </w:r>
    </w:p>
    <w:p w14:paraId="3CE15132" w14:textId="7832F67F" w:rsidR="00B15EB5" w:rsidRPr="000932BD" w:rsidRDefault="00B15EB5" w:rsidP="000932BD">
      <w:pPr>
        <w:suppressLineNumbers/>
        <w:spacing w:line="360" w:lineRule="auto"/>
        <w:rPr>
          <w:u w:val="single"/>
        </w:rPr>
      </w:pPr>
      <w:r w:rsidRPr="000932BD">
        <w:rPr>
          <w:u w:val="single"/>
        </w:rPr>
        <w:t>Funding</w:t>
      </w:r>
    </w:p>
    <w:p w14:paraId="2AF4BE90" w14:textId="19F48680" w:rsidR="00B15EB5" w:rsidRPr="00C97011" w:rsidRDefault="00B15EB5" w:rsidP="000932BD">
      <w:pPr>
        <w:spacing w:line="360" w:lineRule="auto"/>
      </w:pPr>
      <w:r w:rsidRPr="00C97011">
        <w:rPr>
          <w:iCs/>
          <w:color w:val="000000"/>
          <w:shd w:val="clear" w:color="auto" w:fill="FFFFFF"/>
        </w:rPr>
        <w:t>This work is independent research funded by the UK’s National Institute for Health Research Policy Research Programme (NIHR PRP) through its Policy Research Unit in Economic Evaluation of Health &amp; Care Interventions (EEPRU, grant reference 104/0001). </w:t>
      </w:r>
      <w:r w:rsidRPr="00C97011">
        <w:rPr>
          <w:iCs/>
          <w:color w:val="FF0000"/>
          <w:shd w:val="clear" w:color="auto" w:fill="FFFFFF"/>
        </w:rPr>
        <w:t> </w:t>
      </w:r>
      <w:r w:rsidRPr="00C97011">
        <w:t xml:space="preserve"> </w:t>
      </w:r>
    </w:p>
    <w:p w14:paraId="710CDC8C" w14:textId="77777777" w:rsidR="000932BD" w:rsidRDefault="000932BD" w:rsidP="000932BD">
      <w:pPr>
        <w:suppressLineNumbers/>
        <w:spacing w:line="360" w:lineRule="auto"/>
        <w:rPr>
          <w:b/>
          <w:sz w:val="28"/>
          <w:szCs w:val="28"/>
        </w:rPr>
      </w:pPr>
    </w:p>
    <w:p w14:paraId="47BAB746" w14:textId="78FAA2A8" w:rsidR="009F55D6" w:rsidRPr="000932BD" w:rsidRDefault="009F55D6" w:rsidP="000932BD">
      <w:pPr>
        <w:suppressLineNumbers/>
        <w:spacing w:line="360" w:lineRule="auto"/>
        <w:rPr>
          <w:u w:val="single"/>
        </w:rPr>
      </w:pPr>
      <w:r w:rsidRPr="000932BD">
        <w:rPr>
          <w:u w:val="single"/>
        </w:rPr>
        <w:t>Conflicts of interest</w:t>
      </w:r>
    </w:p>
    <w:p w14:paraId="7A12C264" w14:textId="137DC172" w:rsidR="00730BD2" w:rsidRDefault="00A13883" w:rsidP="00A13883">
      <w:pPr>
        <w:spacing w:line="360" w:lineRule="auto"/>
      </w:pPr>
      <w:r w:rsidRPr="00C97011">
        <w:rPr>
          <w:iCs/>
          <w:color w:val="000000"/>
          <w:shd w:val="clear" w:color="auto" w:fill="FFFFFF"/>
        </w:rPr>
        <w:t>This work is independent research funded by the UK’s National Institute for Health Research Policy Research Programme (NIHR PRP) through its Policy Research Unit in Economic Evaluation of Health &amp; Care Interventions (EEPRU, grant reference 104/0001). </w:t>
      </w:r>
      <w:r w:rsidRPr="00C97011">
        <w:rPr>
          <w:iCs/>
          <w:color w:val="FF0000"/>
          <w:shd w:val="clear" w:color="auto" w:fill="FFFFFF"/>
        </w:rPr>
        <w:t> </w:t>
      </w:r>
      <w:r w:rsidRPr="00C97011">
        <w:rPr>
          <w:iCs/>
          <w:color w:val="000000"/>
          <w:shd w:val="clear" w:color="auto" w:fill="FFFFFF"/>
        </w:rPr>
        <w:t xml:space="preserve">The views expressed in this publication are those of the authors and not necessarily those of the NHS, </w:t>
      </w:r>
      <w:r w:rsidR="00684AC6">
        <w:rPr>
          <w:iCs/>
          <w:color w:val="000000"/>
          <w:shd w:val="clear" w:color="auto" w:fill="FFFFFF"/>
        </w:rPr>
        <w:t xml:space="preserve">NHS England, </w:t>
      </w:r>
      <w:r w:rsidRPr="00C97011">
        <w:rPr>
          <w:iCs/>
          <w:color w:val="000000"/>
          <w:shd w:val="clear" w:color="auto" w:fill="FFFFFF"/>
        </w:rPr>
        <w:t>the National Institute for Health Research or the Department of Health and Social Care</w:t>
      </w:r>
      <w:r w:rsidRPr="00C97011">
        <w:rPr>
          <w:i/>
          <w:iCs/>
          <w:color w:val="000000"/>
          <w:shd w:val="clear" w:color="auto" w:fill="FFFFFF"/>
        </w:rPr>
        <w:t>.</w:t>
      </w:r>
      <w:r w:rsidRPr="00C97011">
        <w:t xml:space="preserve">  Although the results have been presented to </w:t>
      </w:r>
      <w:r w:rsidR="00684AC6">
        <w:t xml:space="preserve">NHS England and </w:t>
      </w:r>
      <w:r w:rsidRPr="00C97011">
        <w:t>the Department and members have commented on the research, the</w:t>
      </w:r>
      <w:r w:rsidR="000F6C98">
        <w:t xml:space="preserve">y </w:t>
      </w:r>
      <w:proofErr w:type="gramStart"/>
      <w:r w:rsidR="000F6C98">
        <w:t xml:space="preserve">had no </w:t>
      </w:r>
      <w:r w:rsidRPr="00C97011">
        <w:t>involve</w:t>
      </w:r>
      <w:r w:rsidR="000F6C98">
        <w:t>ment</w:t>
      </w:r>
      <w:proofErr w:type="gramEnd"/>
      <w:r w:rsidR="00730BD2">
        <w:t xml:space="preserve"> with</w:t>
      </w:r>
      <w:r w:rsidRPr="00C97011">
        <w:t xml:space="preserve">: the study design; the collection, analysis and interpretation of the data; the writing of the paper; and the decision to submit the article for publication.  </w:t>
      </w:r>
    </w:p>
    <w:p w14:paraId="0B1297E2" w14:textId="77777777" w:rsidR="00730BD2" w:rsidRDefault="00730BD2" w:rsidP="00A13883">
      <w:pPr>
        <w:spacing w:line="360" w:lineRule="auto"/>
        <w:rPr>
          <w:rFonts w:ascii="Segoe UI" w:hAnsi="Segoe UI" w:cs="Segoe UI"/>
          <w:color w:val="333333"/>
          <w:sz w:val="27"/>
          <w:szCs w:val="27"/>
          <w:shd w:val="clear" w:color="auto" w:fill="FCFCFC"/>
        </w:rPr>
      </w:pPr>
    </w:p>
    <w:p w14:paraId="4065346D" w14:textId="77777777" w:rsidR="00730BD2" w:rsidRPr="00730BD2" w:rsidRDefault="00730BD2" w:rsidP="00730BD2">
      <w:pPr>
        <w:spacing w:line="360" w:lineRule="auto"/>
        <w:rPr>
          <w:rFonts w:ascii="Segoe UI" w:hAnsi="Segoe UI" w:cs="Segoe UI"/>
          <w:color w:val="333333"/>
          <w:sz w:val="27"/>
          <w:szCs w:val="27"/>
          <w:u w:val="single"/>
          <w:shd w:val="clear" w:color="auto" w:fill="FCFCFC"/>
        </w:rPr>
      </w:pPr>
      <w:r w:rsidRPr="00730BD2">
        <w:rPr>
          <w:color w:val="333333"/>
          <w:u w:val="single"/>
          <w:shd w:val="clear" w:color="auto" w:fill="FCFCFC"/>
        </w:rPr>
        <w:t>Conflict of interest statement</w:t>
      </w:r>
    </w:p>
    <w:p w14:paraId="45E13730" w14:textId="19612F6D" w:rsidR="00A13883" w:rsidRPr="00730BD2" w:rsidRDefault="00730BD2" w:rsidP="00730BD2">
      <w:pPr>
        <w:spacing w:after="200" w:line="360" w:lineRule="auto"/>
      </w:pPr>
      <w:r w:rsidRPr="00871E2F">
        <w:t>Step</w:t>
      </w:r>
      <w:r>
        <w:t xml:space="preserve">hen Martin, </w:t>
      </w:r>
      <w:r w:rsidRPr="00871E2F">
        <w:t>J</w:t>
      </w:r>
      <w:r>
        <w:t xml:space="preserve">ames Lomas, </w:t>
      </w:r>
      <w:r w:rsidRPr="00871E2F">
        <w:t>Karl Claxton</w:t>
      </w:r>
      <w:r>
        <w:t xml:space="preserve"> and Francesco Longo </w:t>
      </w:r>
      <w:r w:rsidRPr="00730BD2">
        <w:rPr>
          <w:color w:val="333333"/>
          <w:shd w:val="clear" w:color="auto" w:fill="FCFCFC"/>
        </w:rPr>
        <w:t>declare that they have no conflict of interest.</w:t>
      </w:r>
    </w:p>
    <w:p w14:paraId="3910DDCC" w14:textId="77777777" w:rsidR="000932BD" w:rsidRDefault="000932BD" w:rsidP="000932BD">
      <w:pPr>
        <w:suppressLineNumbers/>
        <w:spacing w:line="360" w:lineRule="auto"/>
        <w:rPr>
          <w:u w:val="single"/>
        </w:rPr>
      </w:pPr>
    </w:p>
    <w:p w14:paraId="7688978E" w14:textId="77777777" w:rsidR="00C97011" w:rsidRPr="000932BD" w:rsidRDefault="00C97011" w:rsidP="00BA5E30">
      <w:pPr>
        <w:suppressLineNumbers/>
        <w:spacing w:line="360" w:lineRule="auto"/>
        <w:rPr>
          <w:u w:val="single"/>
        </w:rPr>
      </w:pPr>
      <w:r w:rsidRPr="000932BD">
        <w:rPr>
          <w:u w:val="single"/>
        </w:rPr>
        <w:t>Data availability</w:t>
      </w:r>
    </w:p>
    <w:p w14:paraId="449E3358" w14:textId="29910185" w:rsidR="0069128D" w:rsidRPr="00E71187" w:rsidRDefault="00C97011" w:rsidP="00BA5E30">
      <w:pPr>
        <w:spacing w:line="360" w:lineRule="auto"/>
        <w:rPr>
          <w:iCs/>
        </w:rPr>
      </w:pPr>
      <w:r w:rsidRPr="00C97011">
        <w:t xml:space="preserve">All </w:t>
      </w:r>
      <w:r w:rsidR="0069128D">
        <w:t xml:space="preserve">of the </w:t>
      </w:r>
      <w:r w:rsidR="00E71187">
        <w:t xml:space="preserve">raw </w:t>
      </w:r>
      <w:r w:rsidRPr="00C97011">
        <w:t>data are in the public domain.</w:t>
      </w:r>
      <w:r w:rsidR="0069128D">
        <w:t xml:space="preserve">  </w:t>
      </w:r>
      <w:r w:rsidR="0069128D" w:rsidRPr="00C35245">
        <w:rPr>
          <w:iCs/>
        </w:rPr>
        <w:t>The healthcare expenditure</w:t>
      </w:r>
      <w:r w:rsidR="009653B1">
        <w:rPr>
          <w:iCs/>
        </w:rPr>
        <w:t xml:space="preserve">, population size and ‘distance from target’ </w:t>
      </w:r>
      <w:r w:rsidR="0069128D" w:rsidRPr="00C35245">
        <w:rPr>
          <w:iCs/>
        </w:rPr>
        <w:t xml:space="preserve">data are available </w:t>
      </w:r>
      <w:r w:rsidR="0069128D">
        <w:rPr>
          <w:iCs/>
        </w:rPr>
        <w:t xml:space="preserve">from the programme budgeting data set.  This is available for 2012/13 from </w:t>
      </w:r>
      <w:hyperlink r:id="rId13" w:history="1">
        <w:r w:rsidR="0069128D" w:rsidRPr="00DD78DB">
          <w:rPr>
            <w:rStyle w:val="Hyperlink"/>
            <w:iCs/>
          </w:rPr>
          <w:t>https://www.networks.nhs.uk/nhs-networks/health-investment-network/news/2012-13-programme-budgeting-data-is-now-available</w:t>
        </w:r>
      </w:hyperlink>
      <w:r w:rsidR="0069128D">
        <w:rPr>
          <w:iCs/>
        </w:rPr>
        <w:t xml:space="preserve"> [accessed 14 July, 2020] and previous years’ data are available via links on the above webpage.  </w:t>
      </w:r>
      <w:r w:rsidR="0069128D" w:rsidRPr="00C35245">
        <w:rPr>
          <w:iCs/>
        </w:rPr>
        <w:t>The socio-economic variables have been constructed from the</w:t>
      </w:r>
      <w:r w:rsidR="0069128D">
        <w:rPr>
          <w:iCs/>
        </w:rPr>
        <w:t xml:space="preserve"> 2001 and</w:t>
      </w:r>
      <w:r w:rsidR="0069128D" w:rsidRPr="00C35245">
        <w:rPr>
          <w:iCs/>
        </w:rPr>
        <w:t xml:space="preserve"> 2011 Population Census</w:t>
      </w:r>
      <w:r w:rsidR="0069128D">
        <w:rPr>
          <w:iCs/>
        </w:rPr>
        <w:t>es</w:t>
      </w:r>
      <w:r w:rsidR="003F3DCA">
        <w:rPr>
          <w:iCs/>
        </w:rPr>
        <w:t>.  The 2011 values</w:t>
      </w:r>
      <w:r w:rsidR="0069128D" w:rsidRPr="00C35245">
        <w:rPr>
          <w:iCs/>
        </w:rPr>
        <w:t xml:space="preserve"> are available from the Office for National Statistics</w:t>
      </w:r>
      <w:r w:rsidR="0069128D">
        <w:rPr>
          <w:iCs/>
        </w:rPr>
        <w:t xml:space="preserve"> at</w:t>
      </w:r>
      <w:r w:rsidR="0069128D" w:rsidRPr="00C35245">
        <w:rPr>
          <w:iCs/>
        </w:rPr>
        <w:t xml:space="preserve"> </w:t>
      </w:r>
      <w:hyperlink r:id="rId14" w:history="1">
        <w:r w:rsidR="0069128D" w:rsidRPr="00C35245">
          <w:rPr>
            <w:rStyle w:val="Hyperlink"/>
            <w:iCs/>
          </w:rPr>
          <w:t>https://www.ons.gov.uk/peoplepopulationandcommunity/populationandmigration/populationestimates/datasets/2011censuskeystatisticsforlocalauthoritiesinenglandandwales</w:t>
        </w:r>
      </w:hyperlink>
      <w:r w:rsidR="0069128D">
        <w:rPr>
          <w:iCs/>
        </w:rPr>
        <w:t xml:space="preserve"> [accessed 14 July, 2020]</w:t>
      </w:r>
      <w:r w:rsidR="003F3DCA">
        <w:rPr>
          <w:iCs/>
        </w:rPr>
        <w:t xml:space="preserve"> and the 2001 values are available from </w:t>
      </w:r>
      <w:hyperlink r:id="rId15" w:history="1">
        <w:r w:rsidR="003F3DCA" w:rsidRPr="00DD78DB">
          <w:rPr>
            <w:rStyle w:val="Hyperlink"/>
            <w:iCs/>
          </w:rPr>
          <w:t>https://www.nomisweb.co.uk/home/census2001.asp</w:t>
        </w:r>
      </w:hyperlink>
      <w:r w:rsidR="003F3DCA">
        <w:rPr>
          <w:iCs/>
        </w:rPr>
        <w:t xml:space="preserve"> [accessed 14 July, 2020].</w:t>
      </w:r>
      <w:r w:rsidR="00AA021F">
        <w:rPr>
          <w:iCs/>
        </w:rPr>
        <w:t xml:space="preserve">  </w:t>
      </w:r>
      <w:r w:rsidR="009653B1">
        <w:rPr>
          <w:iCs/>
        </w:rPr>
        <w:t xml:space="preserve">Current mortality data are available from the NHS Digital website at </w:t>
      </w:r>
      <w:hyperlink r:id="rId16" w:history="1">
        <w:r w:rsidR="009653B1" w:rsidRPr="00DD78DB">
          <w:rPr>
            <w:rStyle w:val="Hyperlink"/>
            <w:iCs/>
          </w:rPr>
          <w:t>https://digital.nhs.uk/data-and-information/publications/statistical/compendium-mortality/current/years-of-life-lost</w:t>
        </w:r>
      </w:hyperlink>
      <w:r w:rsidR="009653B1">
        <w:rPr>
          <w:iCs/>
        </w:rPr>
        <w:t xml:space="preserve"> and historical data </w:t>
      </w:r>
      <w:r w:rsidR="00AA021F">
        <w:rPr>
          <w:iCs/>
        </w:rPr>
        <w:t xml:space="preserve">are available on request from </w:t>
      </w:r>
      <w:r w:rsidR="009653B1">
        <w:rPr>
          <w:iCs/>
        </w:rPr>
        <w:t xml:space="preserve">the Clinical Indicators team at </w:t>
      </w:r>
      <w:r w:rsidR="00AA021F" w:rsidRPr="00202D3A">
        <w:rPr>
          <w:iCs/>
        </w:rPr>
        <w:t xml:space="preserve">NHS Digital </w:t>
      </w:r>
      <w:r w:rsidR="009653B1">
        <w:rPr>
          <w:iCs/>
        </w:rPr>
        <w:t xml:space="preserve">(email address: </w:t>
      </w:r>
      <w:hyperlink r:id="rId17" w:history="1">
        <w:r w:rsidR="009653B1" w:rsidRPr="00DD78DB">
          <w:rPr>
            <w:rStyle w:val="Hyperlink"/>
            <w:bCs/>
            <w:iCs/>
          </w:rPr>
          <w:t>clinical.indicators@nhs.net</w:t>
        </w:r>
      </w:hyperlink>
      <w:r w:rsidR="009653B1">
        <w:rPr>
          <w:bCs/>
          <w:iCs/>
        </w:rPr>
        <w:t xml:space="preserve">).  </w:t>
      </w:r>
      <w:r w:rsidR="0069128D" w:rsidRPr="00C35245">
        <w:rPr>
          <w:iCs/>
        </w:rPr>
        <w:t xml:space="preserve">The </w:t>
      </w:r>
      <w:r w:rsidR="009653B1">
        <w:rPr>
          <w:iCs/>
        </w:rPr>
        <w:t xml:space="preserve">2009/10 </w:t>
      </w:r>
      <w:r w:rsidR="0069128D" w:rsidRPr="00C35245">
        <w:rPr>
          <w:iCs/>
        </w:rPr>
        <w:t xml:space="preserve">MFF and prescribing cost age indices are available from </w:t>
      </w:r>
      <w:r w:rsidR="009653B1">
        <w:rPr>
          <w:iCs/>
        </w:rPr>
        <w:t>t</w:t>
      </w:r>
      <w:r w:rsidR="009653B1" w:rsidRPr="009653B1">
        <w:rPr>
          <w:iCs/>
        </w:rPr>
        <w:t xml:space="preserve">he Department of Health’s resource allocation book for 2009/10 </w:t>
      </w:r>
      <w:r w:rsidR="009653B1">
        <w:rPr>
          <w:iCs/>
        </w:rPr>
        <w:t xml:space="preserve">at </w:t>
      </w:r>
      <w:hyperlink r:id="rId18" w:history="1">
        <w:r w:rsidR="009653B1" w:rsidRPr="009653B1">
          <w:rPr>
            <w:rStyle w:val="Hyperlink"/>
            <w:iCs/>
          </w:rPr>
          <w:t>http://webarchive.nationalarchives.gov.uk/+/www.dh.gov.uk/en/Managingyourorganisation/Financeandplanning/Allocations/DH_091850</w:t>
        </w:r>
      </w:hyperlink>
      <w:r w:rsidR="009653B1" w:rsidRPr="009653B1">
        <w:rPr>
          <w:iCs/>
        </w:rPr>
        <w:t xml:space="preserve"> (accessed June 23, 2020)</w:t>
      </w:r>
      <w:r w:rsidR="00E71187">
        <w:rPr>
          <w:iCs/>
        </w:rPr>
        <w:t xml:space="preserve">.  </w:t>
      </w:r>
      <w:r w:rsidR="00E71187" w:rsidRPr="00C35245">
        <w:rPr>
          <w:iCs/>
        </w:rPr>
        <w:t xml:space="preserve">The </w:t>
      </w:r>
      <w:r w:rsidR="00E71187">
        <w:rPr>
          <w:iCs/>
        </w:rPr>
        <w:t xml:space="preserve">2011/12 </w:t>
      </w:r>
      <w:r w:rsidR="00E71187" w:rsidRPr="00C35245">
        <w:rPr>
          <w:iCs/>
        </w:rPr>
        <w:t xml:space="preserve">MFF and prescribing cost age indices are available from </w:t>
      </w:r>
      <w:r w:rsidR="00E71187">
        <w:rPr>
          <w:iCs/>
        </w:rPr>
        <w:t>t</w:t>
      </w:r>
      <w:r w:rsidR="00E71187" w:rsidRPr="009653B1">
        <w:rPr>
          <w:iCs/>
        </w:rPr>
        <w:t>he Department of Health’s resou</w:t>
      </w:r>
      <w:r w:rsidR="00E71187">
        <w:rPr>
          <w:iCs/>
        </w:rPr>
        <w:t>rce allocation book for 2011/12</w:t>
      </w:r>
      <w:r w:rsidR="0069128D" w:rsidRPr="00C35245">
        <w:rPr>
          <w:iCs/>
        </w:rPr>
        <w:t xml:space="preserve"> at </w:t>
      </w:r>
      <w:hyperlink r:id="rId19" w:history="1">
        <w:r w:rsidR="0069128D" w:rsidRPr="00C35245">
          <w:rPr>
            <w:rStyle w:val="Hyperlink"/>
            <w:iCs/>
          </w:rPr>
          <w:t>https://www.gov.uk/government/publications/exposition-book-2011-2012</w:t>
        </w:r>
      </w:hyperlink>
      <w:r w:rsidR="0069128D">
        <w:rPr>
          <w:iCs/>
        </w:rPr>
        <w:t xml:space="preserve"> [accessed 14 July, 2020]</w:t>
      </w:r>
      <w:r w:rsidR="0069128D" w:rsidRPr="00C35245">
        <w:rPr>
          <w:iCs/>
        </w:rPr>
        <w:t>.</w:t>
      </w:r>
      <w:r w:rsidR="00E71187">
        <w:rPr>
          <w:iCs/>
        </w:rPr>
        <w:t xml:space="preserve">  The IMD 2007 is available from </w:t>
      </w:r>
      <w:r w:rsidR="00E71187" w:rsidRPr="00E71187">
        <w:rPr>
          <w:iCs/>
        </w:rPr>
        <w:t xml:space="preserve">https://webarchive.nationalarchives.gov.uk/20100411141238/http://www.communities.gov.uk/communities/neighbourhoodrenewal/deprivation/deprivation07/ </w:t>
      </w:r>
      <w:r w:rsidR="00E71187">
        <w:rPr>
          <w:iCs/>
        </w:rPr>
        <w:t xml:space="preserve">[accessed 14 July, 2020] and IMD 2010 is available from </w:t>
      </w:r>
      <w:hyperlink r:id="rId20" w:history="1">
        <w:r w:rsidR="00E71187" w:rsidRPr="00DD78DB">
          <w:rPr>
            <w:rStyle w:val="Hyperlink"/>
            <w:iCs/>
          </w:rPr>
          <w:t>https://www.gov.uk/government/statistics/english-indices-of-deprivation-2010</w:t>
        </w:r>
      </w:hyperlink>
      <w:r w:rsidR="00E71187">
        <w:rPr>
          <w:iCs/>
        </w:rPr>
        <w:t xml:space="preserve"> [accessed 14 July, 2020].</w:t>
      </w:r>
    </w:p>
    <w:p w14:paraId="2FD39D47" w14:textId="77777777" w:rsidR="00C97011" w:rsidRDefault="00C97011" w:rsidP="000932BD">
      <w:pPr>
        <w:suppressLineNumbers/>
        <w:spacing w:line="360" w:lineRule="auto"/>
        <w:rPr>
          <w:sz w:val="28"/>
          <w:szCs w:val="28"/>
        </w:rPr>
      </w:pPr>
    </w:p>
    <w:p w14:paraId="2E3C46BD" w14:textId="03E8BB89" w:rsidR="000932BD" w:rsidRPr="000932BD" w:rsidRDefault="000932BD" w:rsidP="00BA5E30">
      <w:pPr>
        <w:suppressLineNumbers/>
        <w:spacing w:line="360" w:lineRule="auto"/>
        <w:rPr>
          <w:u w:val="single"/>
        </w:rPr>
      </w:pPr>
      <w:r w:rsidRPr="000932BD">
        <w:rPr>
          <w:u w:val="single"/>
        </w:rPr>
        <w:t>Code availability</w:t>
      </w:r>
    </w:p>
    <w:p w14:paraId="2F44F7F2" w14:textId="0E3BDBF8" w:rsidR="000932BD" w:rsidRDefault="00057209" w:rsidP="00BA5E30">
      <w:pPr>
        <w:suppressLineNumbers/>
        <w:spacing w:line="360" w:lineRule="auto"/>
      </w:pPr>
      <w:r>
        <w:t>Our e</w:t>
      </w:r>
      <w:r w:rsidR="000932BD">
        <w:t>s</w:t>
      </w:r>
      <w:r w:rsidR="00BC62AC">
        <w:t xml:space="preserve">timation </w:t>
      </w:r>
      <w:r>
        <w:t xml:space="preserve">code </w:t>
      </w:r>
      <w:r w:rsidR="00BC62AC">
        <w:t xml:space="preserve">is </w:t>
      </w:r>
      <w:r>
        <w:t xml:space="preserve">not available but estimation was </w:t>
      </w:r>
      <w:r w:rsidR="00BC62AC">
        <w:t xml:space="preserve">undertaken using the </w:t>
      </w:r>
      <w:r w:rsidR="00BC62AC" w:rsidRPr="00BC62AC">
        <w:rPr>
          <w:i/>
        </w:rPr>
        <w:t>ivreg2</w:t>
      </w:r>
      <w:r w:rsidR="00BC62AC">
        <w:t xml:space="preserve"> command within the </w:t>
      </w:r>
      <w:r w:rsidR="00E71187">
        <w:t>commercial</w:t>
      </w:r>
      <w:r w:rsidR="00206812">
        <w:t>ly available</w:t>
      </w:r>
      <w:r w:rsidR="00E71187">
        <w:t xml:space="preserve"> </w:t>
      </w:r>
      <w:r w:rsidR="00BC62AC">
        <w:t xml:space="preserve">software package </w:t>
      </w:r>
      <w:r w:rsidR="000932BD" w:rsidRPr="00071181">
        <w:rPr>
          <w:i/>
        </w:rPr>
        <w:t>Stata</w:t>
      </w:r>
      <w:r w:rsidR="00BC62AC">
        <w:rPr>
          <w:i/>
        </w:rPr>
        <w:t xml:space="preserve"> 15</w:t>
      </w:r>
      <w:r w:rsidR="000932BD">
        <w:t>.</w:t>
      </w:r>
    </w:p>
    <w:p w14:paraId="7FE1104A" w14:textId="77777777" w:rsidR="000932BD" w:rsidRDefault="000932BD" w:rsidP="000932BD">
      <w:pPr>
        <w:suppressLineNumbers/>
        <w:spacing w:line="360" w:lineRule="auto"/>
        <w:rPr>
          <w:sz w:val="28"/>
          <w:szCs w:val="28"/>
        </w:rPr>
      </w:pPr>
    </w:p>
    <w:p w14:paraId="644586B4" w14:textId="2F89BCF8" w:rsidR="00C97011" w:rsidRPr="00206812" w:rsidRDefault="00C97011" w:rsidP="000932BD">
      <w:pPr>
        <w:suppressLineNumbers/>
        <w:spacing w:line="360" w:lineRule="auto"/>
        <w:rPr>
          <w:u w:val="single"/>
        </w:rPr>
      </w:pPr>
      <w:r w:rsidRPr="00206812">
        <w:rPr>
          <w:u w:val="single"/>
        </w:rPr>
        <w:t>Ethics approval</w:t>
      </w:r>
    </w:p>
    <w:p w14:paraId="38A3B9B0" w14:textId="6B55CC86" w:rsidR="0069128D" w:rsidRPr="00A42457" w:rsidRDefault="0069128D" w:rsidP="0069128D">
      <w:pPr>
        <w:spacing w:line="276" w:lineRule="auto"/>
        <w:rPr>
          <w:iCs/>
        </w:rPr>
      </w:pPr>
      <w:r>
        <w:rPr>
          <w:iCs/>
        </w:rPr>
        <w:t>Ethical approval i</w:t>
      </w:r>
      <w:r w:rsidRPr="00A42457">
        <w:rPr>
          <w:iCs/>
        </w:rPr>
        <w:t>s not required.</w:t>
      </w:r>
    </w:p>
    <w:p w14:paraId="1AA16914" w14:textId="77777777" w:rsidR="000932BD" w:rsidRPr="00C97011" w:rsidRDefault="000932BD" w:rsidP="000932BD">
      <w:pPr>
        <w:suppressLineNumbers/>
        <w:spacing w:line="360" w:lineRule="auto"/>
      </w:pPr>
    </w:p>
    <w:p w14:paraId="1EAC6D02" w14:textId="77777777" w:rsidR="00C97011" w:rsidRPr="00206812" w:rsidRDefault="00C97011" w:rsidP="000932BD">
      <w:pPr>
        <w:suppressLineNumbers/>
        <w:spacing w:line="360" w:lineRule="auto"/>
        <w:rPr>
          <w:u w:val="single"/>
        </w:rPr>
      </w:pPr>
      <w:r w:rsidRPr="00206812">
        <w:rPr>
          <w:u w:val="single"/>
        </w:rPr>
        <w:t>Author contributions</w:t>
      </w:r>
    </w:p>
    <w:p w14:paraId="66D5C6D8" w14:textId="1BE51860" w:rsidR="00A252B9" w:rsidRPr="00A252B9" w:rsidRDefault="00A252B9" w:rsidP="00A252B9">
      <w:pPr>
        <w:suppressLineNumbers/>
        <w:spacing w:line="360" w:lineRule="auto"/>
      </w:pPr>
      <w:r w:rsidRPr="00A252B9">
        <w:t xml:space="preserve">All authors </w:t>
      </w:r>
      <w:r>
        <w:t xml:space="preserve">(SM, JL, KC, FL) </w:t>
      </w:r>
      <w:r w:rsidRPr="00A252B9">
        <w:t>contributed to the concept and design of this paper. SM led on the analysis and drafting, and the final paper was edited a</w:t>
      </w:r>
      <w:r>
        <w:t xml:space="preserve">nd approved by all four </w:t>
      </w:r>
      <w:r w:rsidRPr="00A252B9">
        <w:t>authors.  The corresponding author attests that all listed authors meet authorship criteria and that no others meeting these criteria have been omitted</w:t>
      </w:r>
      <w:r>
        <w:t xml:space="preserve">. </w:t>
      </w:r>
    </w:p>
    <w:p w14:paraId="323A2E67" w14:textId="77777777" w:rsidR="00A252B9" w:rsidRPr="00A252B9" w:rsidRDefault="00A252B9" w:rsidP="00A252B9">
      <w:pPr>
        <w:suppressLineNumbers/>
        <w:spacing w:line="480" w:lineRule="auto"/>
        <w:rPr>
          <w:i/>
          <w:iCs/>
          <w:sz w:val="28"/>
          <w:szCs w:val="28"/>
          <w:u w:val="single"/>
        </w:rPr>
      </w:pPr>
    </w:p>
    <w:p w14:paraId="136E5D22" w14:textId="77777777" w:rsidR="00C97011" w:rsidRPr="00C97011" w:rsidRDefault="00C97011" w:rsidP="00C57DFE">
      <w:pPr>
        <w:suppressLineNumbers/>
        <w:spacing w:line="480" w:lineRule="auto"/>
        <w:rPr>
          <w:sz w:val="28"/>
          <w:szCs w:val="28"/>
          <w:u w:val="single"/>
        </w:rPr>
      </w:pPr>
    </w:p>
    <w:p w14:paraId="1BDCD6BB" w14:textId="77777777" w:rsidR="00C97011" w:rsidRDefault="00C97011" w:rsidP="00C57DFE">
      <w:pPr>
        <w:suppressLineNumbers/>
        <w:spacing w:line="480" w:lineRule="auto"/>
        <w:rPr>
          <w:b/>
          <w:sz w:val="28"/>
          <w:szCs w:val="28"/>
        </w:rPr>
      </w:pPr>
    </w:p>
    <w:p w14:paraId="2ACD2F31" w14:textId="033CC8E0" w:rsidR="00DC3C1C" w:rsidRPr="00C57DFE" w:rsidRDefault="00DC3C1C" w:rsidP="00C57DFE">
      <w:pPr>
        <w:suppressLineNumbers/>
        <w:spacing w:line="480" w:lineRule="auto"/>
        <w:rPr>
          <w:b/>
          <w:sz w:val="28"/>
          <w:szCs w:val="28"/>
        </w:rPr>
      </w:pPr>
    </w:p>
    <w:p w14:paraId="5CDF8099" w14:textId="18CA7689" w:rsidR="00DB18CA" w:rsidRPr="002F6E72" w:rsidRDefault="00DC3C1C" w:rsidP="00931B7C">
      <w:pPr>
        <w:spacing w:line="480" w:lineRule="auto"/>
        <w:jc w:val="center"/>
        <w:rPr>
          <w:b/>
          <w:sz w:val="28"/>
          <w:szCs w:val="28"/>
        </w:rPr>
      </w:pPr>
      <w:r>
        <w:rPr>
          <w:b/>
          <w:sz w:val="28"/>
          <w:szCs w:val="28"/>
        </w:rPr>
        <w:lastRenderedPageBreak/>
        <w:t xml:space="preserve">How </w:t>
      </w:r>
      <w:r w:rsidR="00DB18CA" w:rsidRPr="002F6E72">
        <w:rPr>
          <w:b/>
          <w:sz w:val="28"/>
          <w:szCs w:val="28"/>
        </w:rPr>
        <w:t>effective is marginal health care expenditure?</w:t>
      </w:r>
    </w:p>
    <w:p w14:paraId="05554B3F" w14:textId="71FFED08" w:rsidR="00DB18CA" w:rsidRPr="002F6E72" w:rsidRDefault="00914A6F" w:rsidP="00931B7C">
      <w:pPr>
        <w:spacing w:line="480" w:lineRule="auto"/>
        <w:jc w:val="center"/>
        <w:rPr>
          <w:b/>
          <w:sz w:val="28"/>
          <w:szCs w:val="28"/>
        </w:rPr>
      </w:pPr>
      <w:r w:rsidRPr="002F6E72">
        <w:rPr>
          <w:b/>
          <w:sz w:val="28"/>
          <w:szCs w:val="28"/>
        </w:rPr>
        <w:t>New e</w:t>
      </w:r>
      <w:r w:rsidR="00DB18CA" w:rsidRPr="002F6E72">
        <w:rPr>
          <w:b/>
          <w:sz w:val="28"/>
          <w:szCs w:val="28"/>
        </w:rPr>
        <w:t>vidence from</w:t>
      </w:r>
      <w:r w:rsidR="00C97011">
        <w:rPr>
          <w:b/>
          <w:sz w:val="28"/>
          <w:szCs w:val="28"/>
        </w:rPr>
        <w:t xml:space="preserve"> England for 2003/04 to 2012/13</w:t>
      </w:r>
      <w:r w:rsidR="00C97011" w:rsidRPr="00C97011">
        <w:rPr>
          <w:rStyle w:val="FootnoteReference"/>
          <w:b/>
          <w:sz w:val="28"/>
          <w:szCs w:val="28"/>
        </w:rPr>
        <w:footnoteReference w:id="1"/>
      </w:r>
    </w:p>
    <w:p w14:paraId="0F370922" w14:textId="77777777" w:rsidR="00DB18CA" w:rsidRPr="002F6E72" w:rsidRDefault="00DB18CA" w:rsidP="00931B7C">
      <w:pPr>
        <w:spacing w:line="480" w:lineRule="auto"/>
        <w:rPr>
          <w:b/>
        </w:rPr>
      </w:pPr>
    </w:p>
    <w:p w14:paraId="11A048AD" w14:textId="4C5FB888" w:rsidR="005F36A3" w:rsidRPr="002F6E72" w:rsidRDefault="0028684D" w:rsidP="00931B7C">
      <w:pPr>
        <w:spacing w:line="480" w:lineRule="auto"/>
        <w:rPr>
          <w:b/>
        </w:rPr>
      </w:pPr>
      <w:proofErr w:type="gramStart"/>
      <w:r w:rsidRPr="002F6E72">
        <w:rPr>
          <w:b/>
        </w:rPr>
        <w:t xml:space="preserve">1  </w:t>
      </w:r>
      <w:r w:rsidR="005F36A3" w:rsidRPr="002F6E72">
        <w:rPr>
          <w:b/>
        </w:rPr>
        <w:t>Introduction</w:t>
      </w:r>
      <w:proofErr w:type="gramEnd"/>
      <w:r w:rsidR="005F36A3" w:rsidRPr="002F6E72">
        <w:rPr>
          <w:b/>
        </w:rPr>
        <w:t xml:space="preserve"> </w:t>
      </w:r>
    </w:p>
    <w:p w14:paraId="27890AC7" w14:textId="77777777" w:rsidR="00300577" w:rsidRPr="002F6E72" w:rsidRDefault="00300577" w:rsidP="00931B7C">
      <w:pPr>
        <w:spacing w:line="480" w:lineRule="auto"/>
        <w:rPr>
          <w:b/>
        </w:rPr>
      </w:pPr>
    </w:p>
    <w:p w14:paraId="2814BFE9" w14:textId="61B44F52" w:rsidR="00775004" w:rsidRDefault="00775004" w:rsidP="00931B7C">
      <w:pPr>
        <w:spacing w:line="480" w:lineRule="auto"/>
      </w:pPr>
      <w:r>
        <w:t xml:space="preserve">Early attempts to quantify the </w:t>
      </w:r>
      <w:r w:rsidRPr="00D05758">
        <w:t>relationship be</w:t>
      </w:r>
      <w:r>
        <w:t>tween health outcomes and</w:t>
      </w:r>
      <w:r w:rsidRPr="00D05758">
        <w:t xml:space="preserve"> expenditure found rather mixed results, with some studies finding the anticipated positive effect while others struggl</w:t>
      </w:r>
      <w:r w:rsidR="00D85AF6">
        <w:t>ed to identify any association</w:t>
      </w:r>
      <w:r w:rsidR="003B034C">
        <w:t xml:space="preserve"> [</w:t>
      </w:r>
      <w:r w:rsidR="00D85AF6" w:rsidRPr="003B034C">
        <w:t>1</w:t>
      </w:r>
      <w:r w:rsidR="003B034C">
        <w:t>].</w:t>
      </w:r>
      <w:r w:rsidR="00D85AF6">
        <w:t xml:space="preserve"> </w:t>
      </w:r>
      <w:r w:rsidR="003B034C">
        <w:t xml:space="preserve"> </w:t>
      </w:r>
      <w:r>
        <w:t xml:space="preserve">Although vaguely </w:t>
      </w:r>
      <w:r w:rsidRPr="00D05758">
        <w:t>based on the idea of a</w:t>
      </w:r>
      <w:r>
        <w:t xml:space="preserve"> health production function</w:t>
      </w:r>
      <w:r w:rsidR="004859A9">
        <w:t>,</w:t>
      </w:r>
      <w:r>
        <w:t xml:space="preserve"> most early</w:t>
      </w:r>
      <w:r w:rsidRPr="00D05758">
        <w:t xml:space="preserve"> e</w:t>
      </w:r>
      <w:r w:rsidR="004859A9">
        <w:t xml:space="preserve">mpirical studies </w:t>
      </w:r>
      <w:r>
        <w:t>failed to account for the endo</w:t>
      </w:r>
      <w:r w:rsidR="00FD071A">
        <w:t xml:space="preserve">geneity of expenditure </w:t>
      </w:r>
      <w:r w:rsidR="000811CB">
        <w:t xml:space="preserve">(most likely due to reverse causality) </w:t>
      </w:r>
      <w:r w:rsidR="00FD071A">
        <w:t xml:space="preserve">and </w:t>
      </w:r>
      <w:r w:rsidRPr="00D05758">
        <w:t>often used international datasets to under</w:t>
      </w:r>
      <w:r w:rsidR="00FD071A">
        <w:t>take cross-</w:t>
      </w:r>
      <w:r w:rsidR="003D1A5B">
        <w:t>country</w:t>
      </w:r>
      <w:r w:rsidR="00FD071A">
        <w:t xml:space="preserve"> studies</w:t>
      </w:r>
      <w:r w:rsidR="003B034C">
        <w:t xml:space="preserve"> [</w:t>
      </w:r>
      <w:r w:rsidR="00D85AF6" w:rsidRPr="003B034C">
        <w:t>2</w:t>
      </w:r>
      <w:r w:rsidR="003B034C">
        <w:t>].</w:t>
      </w:r>
    </w:p>
    <w:p w14:paraId="5994579C" w14:textId="77777777" w:rsidR="00775004" w:rsidRDefault="00775004" w:rsidP="00931B7C">
      <w:pPr>
        <w:spacing w:line="480" w:lineRule="auto"/>
      </w:pPr>
    </w:p>
    <w:p w14:paraId="580645D8" w14:textId="18E42DFF" w:rsidR="00324B9B" w:rsidRDefault="00137CBC" w:rsidP="00931B7C">
      <w:pPr>
        <w:spacing w:line="480" w:lineRule="auto"/>
      </w:pPr>
      <w:r>
        <w:t xml:space="preserve">More recent research has focused </w:t>
      </w:r>
      <w:r w:rsidR="00026811">
        <w:t xml:space="preserve">on </w:t>
      </w:r>
      <w:r w:rsidR="00694F9F">
        <w:t xml:space="preserve">the analysis of national data (for Australia, the Netherlands, Spain and Sweden) </w:t>
      </w:r>
      <w:r>
        <w:t xml:space="preserve">and these </w:t>
      </w:r>
      <w:r w:rsidR="00694F9F">
        <w:t xml:space="preserve">studies </w:t>
      </w:r>
      <w:r>
        <w:t xml:space="preserve">have </w:t>
      </w:r>
      <w:r w:rsidR="00694F9F">
        <w:t xml:space="preserve">usually </w:t>
      </w:r>
      <w:r>
        <w:t>attempted to control for the endogeneity of expenditure</w:t>
      </w:r>
      <w:r w:rsidR="00CC56CE">
        <w:t xml:space="preserve"> [3-6]</w:t>
      </w:r>
      <w:r>
        <w:t>.</w:t>
      </w:r>
      <w:r w:rsidR="00D85AF6">
        <w:t xml:space="preserve"> </w:t>
      </w:r>
      <w:r w:rsidR="00CC56CE">
        <w:t xml:space="preserve"> </w:t>
      </w:r>
      <w:r w:rsidR="00B377A8">
        <w:t xml:space="preserve">Interest in this topic has been </w:t>
      </w:r>
      <w:r w:rsidR="006C6C63">
        <w:t>stimulated</w:t>
      </w:r>
      <w:r w:rsidR="00B377A8">
        <w:t xml:space="preserve"> by its increasing policy relevance</w:t>
      </w:r>
      <w:r w:rsidR="0009461E">
        <w:t>.  The results of such studies can often be</w:t>
      </w:r>
      <w:r w:rsidR="00F36C98">
        <w:t xml:space="preserve"> </w:t>
      </w:r>
      <w:r w:rsidR="006C6C63">
        <w:t xml:space="preserve">used to calculate the marginal productivity </w:t>
      </w:r>
      <w:r w:rsidR="00FD071A">
        <w:t>(</w:t>
      </w:r>
      <w:r w:rsidR="007B04F8">
        <w:t>opportunity cost</w:t>
      </w:r>
      <w:r w:rsidR="00FD071A">
        <w:t>)</w:t>
      </w:r>
      <w:r w:rsidR="007B04F8">
        <w:t xml:space="preserve"> o</w:t>
      </w:r>
      <w:r w:rsidR="006C6C63">
        <w:t>f healthcare expenditure</w:t>
      </w:r>
      <w:r w:rsidR="00324B9B">
        <w:t>, and such estimates can inform decisions</w:t>
      </w:r>
      <w:r w:rsidR="0009461E">
        <w:t xml:space="preserve"> by regulatory agencies about </w:t>
      </w:r>
      <w:r w:rsidR="0009461E" w:rsidRPr="002F6E72">
        <w:t>the maximum that the health care system can a</w:t>
      </w:r>
      <w:r w:rsidR="0009461E">
        <w:t xml:space="preserve">fford to pay for the </w:t>
      </w:r>
      <w:r w:rsidR="0009461E" w:rsidRPr="002F6E72">
        <w:t xml:space="preserve">benefits offered by </w:t>
      </w:r>
      <w:r w:rsidR="0009461E">
        <w:t>new pharmaceutical</w:t>
      </w:r>
      <w:r w:rsidR="0009461E" w:rsidRPr="002F6E72">
        <w:t xml:space="preserve"> pro</w:t>
      </w:r>
      <w:r w:rsidR="0009461E">
        <w:t>ducts.</w:t>
      </w:r>
      <w:r w:rsidR="0009461E" w:rsidRPr="002F6E72">
        <w:t xml:space="preserve"> </w:t>
      </w:r>
    </w:p>
    <w:p w14:paraId="25C86C5E" w14:textId="77777777" w:rsidR="00324B9B" w:rsidRDefault="00324B9B" w:rsidP="00931B7C">
      <w:pPr>
        <w:spacing w:line="480" w:lineRule="auto"/>
      </w:pPr>
    </w:p>
    <w:p w14:paraId="527442AB" w14:textId="79A84306" w:rsidR="00463954" w:rsidRPr="002F6E72" w:rsidRDefault="00914A6F" w:rsidP="00931B7C">
      <w:pPr>
        <w:spacing w:line="480" w:lineRule="auto"/>
      </w:pPr>
      <w:r w:rsidRPr="002F6E72">
        <w:lastRenderedPageBreak/>
        <w:t>A rece</w:t>
      </w:r>
      <w:r w:rsidR="00E87D71" w:rsidRPr="002F6E72">
        <w:t>n</w:t>
      </w:r>
      <w:r w:rsidR="00642FF0">
        <w:t>t study</w:t>
      </w:r>
      <w:r w:rsidR="00E87D71" w:rsidRPr="002F6E72">
        <w:t xml:space="preserve"> </w:t>
      </w:r>
      <w:r w:rsidR="00865443" w:rsidRPr="002F6E72">
        <w:t>estimated the</w:t>
      </w:r>
      <w:r w:rsidR="001A1D06" w:rsidRPr="002F6E72">
        <w:t xml:space="preserve"> </w:t>
      </w:r>
      <w:r w:rsidRPr="002F6E72">
        <w:t xml:space="preserve">relationship between </w:t>
      </w:r>
      <w:r w:rsidR="003F3672">
        <w:t xml:space="preserve">health </w:t>
      </w:r>
      <w:r w:rsidR="00F77C2A">
        <w:t xml:space="preserve">outcomes </w:t>
      </w:r>
      <w:r w:rsidRPr="002F6E72">
        <w:t xml:space="preserve">and healthcare expenditure </w:t>
      </w:r>
      <w:r w:rsidR="00CB2C74">
        <w:t xml:space="preserve">for 23 </w:t>
      </w:r>
      <w:r w:rsidR="00634DEC">
        <w:t>programme</w:t>
      </w:r>
      <w:r w:rsidR="00CB2C74">
        <w:t xml:space="preserve"> budget categories </w:t>
      </w:r>
      <w:r w:rsidR="003F3672">
        <w:t>(</w:t>
      </w:r>
      <w:r w:rsidR="00CB2C74">
        <w:t>PBCs) (disease areas)</w:t>
      </w:r>
      <w:r w:rsidR="003F3672">
        <w:t xml:space="preserve"> </w:t>
      </w:r>
      <w:r w:rsidRPr="002F6E72">
        <w:t>acros</w:t>
      </w:r>
      <w:r w:rsidR="00073D0F">
        <w:t xml:space="preserve">s </w:t>
      </w:r>
      <w:r w:rsidR="008D0F52">
        <w:t>15</w:t>
      </w:r>
      <w:r w:rsidR="006D7C8E">
        <w:t>2</w:t>
      </w:r>
      <w:r w:rsidR="00AD01F3">
        <w:t xml:space="preserve"> </w:t>
      </w:r>
      <w:r w:rsidRPr="002F6E72">
        <w:t>English health authorities</w:t>
      </w:r>
      <w:r w:rsidR="00CC56CE">
        <w:t xml:space="preserve"> [7]</w:t>
      </w:r>
      <w:r w:rsidR="00F13016" w:rsidRPr="002F6E72">
        <w:t>.</w:t>
      </w:r>
      <w:r w:rsidR="00CC56CE">
        <w:t xml:space="preserve">  </w:t>
      </w:r>
      <w:r w:rsidR="00D035BA">
        <w:t xml:space="preserve">This </w:t>
      </w:r>
      <w:r w:rsidR="00F77C2A">
        <w:t>used</w:t>
      </w:r>
      <w:r w:rsidR="00D035BA" w:rsidRPr="00D035BA">
        <w:t xml:space="preserve"> disease-specific expenditure to estimate outcome and expenditure equations for each of the nine disease areas with a mortality rate, and an expenditure equation for each of the other 14 </w:t>
      </w:r>
      <w:r w:rsidR="008F7B15">
        <w:t>programmes</w:t>
      </w:r>
      <w:r w:rsidR="00D035BA" w:rsidRPr="00D035BA">
        <w:t xml:space="preserve">.  The expenditure equations </w:t>
      </w:r>
      <w:r w:rsidR="00F77C2A">
        <w:t xml:space="preserve">show </w:t>
      </w:r>
      <w:r w:rsidR="00D035BA" w:rsidRPr="00D035BA">
        <w:t xml:space="preserve">how a change in </w:t>
      </w:r>
      <w:r w:rsidR="00F77C2A">
        <w:t xml:space="preserve">the </w:t>
      </w:r>
      <w:r w:rsidR="00D035BA" w:rsidRPr="00D035BA">
        <w:t xml:space="preserve">total budget is split across different </w:t>
      </w:r>
      <w:r w:rsidR="007935FC">
        <w:t>care programmes</w:t>
      </w:r>
      <w:r w:rsidR="00D035BA" w:rsidRPr="00D035BA">
        <w:t xml:space="preserve">, and the outcome equations </w:t>
      </w:r>
      <w:r w:rsidR="00F77C2A">
        <w:t xml:space="preserve">reveal </w:t>
      </w:r>
      <w:r w:rsidR="00D035BA" w:rsidRPr="00D035BA">
        <w:t xml:space="preserve">how this change in </w:t>
      </w:r>
      <w:r w:rsidR="003F3672">
        <w:t xml:space="preserve">programme </w:t>
      </w:r>
      <w:r w:rsidR="00D035BA" w:rsidRPr="00D035BA">
        <w:t xml:space="preserve">expenditure affects </w:t>
      </w:r>
      <w:r w:rsidR="003F3672">
        <w:t xml:space="preserve">programme </w:t>
      </w:r>
      <w:r w:rsidR="00D035BA" w:rsidRPr="00D035BA">
        <w:t xml:space="preserve">health.  </w:t>
      </w:r>
      <w:r w:rsidR="009E23ED" w:rsidRPr="002F6E72">
        <w:t xml:space="preserve">The </w:t>
      </w:r>
      <w:r w:rsidR="00F715EB">
        <w:t xml:space="preserve">analysis </w:t>
      </w:r>
      <w:r w:rsidR="001A1D06" w:rsidRPr="002F6E72">
        <w:t>used so</w:t>
      </w:r>
      <w:r w:rsidRPr="002F6E72">
        <w:t xml:space="preserve">cio-economic variables as instruments for </w:t>
      </w:r>
      <w:r w:rsidR="00463954" w:rsidRPr="002F6E72">
        <w:t xml:space="preserve">the potentially endogenous </w:t>
      </w:r>
      <w:r w:rsidRPr="002F6E72">
        <w:t>expenditure</w:t>
      </w:r>
      <w:r w:rsidR="009E23ED" w:rsidRPr="002F6E72">
        <w:t xml:space="preserve"> </w:t>
      </w:r>
      <w:r w:rsidR="00463954" w:rsidRPr="002F6E72">
        <w:t xml:space="preserve">variable </w:t>
      </w:r>
      <w:r w:rsidR="009E23ED" w:rsidRPr="002F6E72">
        <w:t xml:space="preserve">and the authors </w:t>
      </w:r>
      <w:r w:rsidR="00EA367C">
        <w:t xml:space="preserve">largely </w:t>
      </w:r>
      <w:r w:rsidR="009E23ED" w:rsidRPr="002F6E72">
        <w:t>relied on</w:t>
      </w:r>
      <w:r w:rsidR="00B770AA" w:rsidRPr="002F6E72">
        <w:t xml:space="preserve"> </w:t>
      </w:r>
      <w:r w:rsidR="001A1D06" w:rsidRPr="002F6E72">
        <w:t xml:space="preserve">statistical tests to </w:t>
      </w:r>
      <w:r w:rsidR="009E23ED" w:rsidRPr="002F6E72">
        <w:t>defend t</w:t>
      </w:r>
      <w:r w:rsidR="001A1D06" w:rsidRPr="002F6E72">
        <w:t>heir choice of in</w:t>
      </w:r>
      <w:r w:rsidR="00DC5384">
        <w:t>struments</w:t>
      </w:r>
      <w:r w:rsidR="0087486B" w:rsidRPr="002F6E72">
        <w:t xml:space="preserve">.  </w:t>
      </w:r>
      <w:r w:rsidR="007843F8">
        <w:t xml:space="preserve">With the aid of two assumptions – that the impact of a change in expenditure on the QALY burden </w:t>
      </w:r>
      <w:r w:rsidR="006F2678">
        <w:t xml:space="preserve">of disease </w:t>
      </w:r>
      <w:r w:rsidR="007843F8">
        <w:t xml:space="preserve">is the same as on the mortality burden, and that the average impact on mortality </w:t>
      </w:r>
      <w:r w:rsidR="007843F8" w:rsidRPr="007843F8">
        <w:t>in those area</w:t>
      </w:r>
      <w:r w:rsidR="007843F8">
        <w:t>s with a</w:t>
      </w:r>
      <w:r w:rsidR="007843F8" w:rsidRPr="007843F8">
        <w:t xml:space="preserve"> mortality-based </w:t>
      </w:r>
      <w:r w:rsidR="00304E3A">
        <w:t xml:space="preserve">measure can be </w:t>
      </w:r>
      <w:r w:rsidR="007843F8" w:rsidRPr="007843F8">
        <w:t xml:space="preserve">used as a proxy for the </w:t>
      </w:r>
      <w:r w:rsidR="00304E3A">
        <w:t xml:space="preserve">average impact in </w:t>
      </w:r>
      <w:r w:rsidR="007843F8" w:rsidRPr="007843F8">
        <w:t xml:space="preserve">those areas without a </w:t>
      </w:r>
      <w:r w:rsidR="00304E3A">
        <w:t>mortality</w:t>
      </w:r>
      <w:r w:rsidR="00A94331">
        <w:t>-</w:t>
      </w:r>
      <w:r w:rsidR="00304E3A">
        <w:t xml:space="preserve">based measure – </w:t>
      </w:r>
      <w:r w:rsidR="0089343B">
        <w:t>t</w:t>
      </w:r>
      <w:r w:rsidR="000E6F8D" w:rsidRPr="002F6E72">
        <w:t xml:space="preserve">he study </w:t>
      </w:r>
      <w:r w:rsidR="00463954" w:rsidRPr="002F6E72">
        <w:t>report</w:t>
      </w:r>
      <w:r w:rsidR="00F13016" w:rsidRPr="002F6E72">
        <w:t>ed</w:t>
      </w:r>
      <w:r w:rsidR="00463954" w:rsidRPr="002F6E72">
        <w:t xml:space="preserve"> an annual marginal cost per QALY of between £5,400 and £14,400 for </w:t>
      </w:r>
      <w:r w:rsidR="00CD7245">
        <w:t xml:space="preserve">all </w:t>
      </w:r>
      <w:r w:rsidR="00463954" w:rsidRPr="002F6E72">
        <w:t>English National H</w:t>
      </w:r>
      <w:r w:rsidR="00CC56CE">
        <w:t>ealth Service (NHS) expenditure</w:t>
      </w:r>
      <w:r w:rsidR="00B94CA1">
        <w:t xml:space="preserve"> </w:t>
      </w:r>
      <w:r w:rsidR="00CC56CE">
        <w:t>[7].</w:t>
      </w:r>
    </w:p>
    <w:p w14:paraId="2D13B1F3" w14:textId="77777777" w:rsidR="00F13016" w:rsidRPr="002F6E72" w:rsidRDefault="00F13016" w:rsidP="00931B7C">
      <w:pPr>
        <w:spacing w:line="480" w:lineRule="auto"/>
      </w:pPr>
    </w:p>
    <w:p w14:paraId="3B25E19C" w14:textId="11F08E9F" w:rsidR="00DC5384" w:rsidRDefault="000E6F8D" w:rsidP="00931B7C">
      <w:pPr>
        <w:spacing w:line="480" w:lineRule="auto"/>
      </w:pPr>
      <w:r w:rsidRPr="002F6E72">
        <w:t>Since the completion of that study, a new approach to the instrumentation of healthcare e</w:t>
      </w:r>
      <w:r w:rsidR="00E87D71" w:rsidRPr="002F6E72">
        <w:t>xpenditure has been proposed</w:t>
      </w:r>
      <w:r w:rsidR="00E53863">
        <w:t xml:space="preserve"> [8].</w:t>
      </w:r>
      <w:r w:rsidR="003B6184">
        <w:t xml:space="preserve"> </w:t>
      </w:r>
      <w:r w:rsidR="00E53863">
        <w:t xml:space="preserve"> </w:t>
      </w:r>
      <w:r w:rsidR="003B6184">
        <w:t>This</w:t>
      </w:r>
      <w:r w:rsidR="00E87D71" w:rsidRPr="002F6E72">
        <w:t xml:space="preserve"> </w:t>
      </w:r>
      <w:r w:rsidRPr="002F6E72">
        <w:t xml:space="preserve">‘funding rule’ </w:t>
      </w:r>
      <w:r w:rsidR="003F5864" w:rsidRPr="002F6E72">
        <w:t>approach</w:t>
      </w:r>
      <w:r w:rsidRPr="002F6E72">
        <w:t xml:space="preserve"> notes </w:t>
      </w:r>
      <w:r w:rsidR="00A65294" w:rsidRPr="002F6E72">
        <w:t xml:space="preserve">that the per capita budget </w:t>
      </w:r>
      <w:r w:rsidR="00804AD5" w:rsidRPr="002F6E72">
        <w:t xml:space="preserve">allocated </w:t>
      </w:r>
      <w:r w:rsidR="00363BBF" w:rsidRPr="002F6E72">
        <w:t xml:space="preserve">to each health authority </w:t>
      </w:r>
      <w:r w:rsidR="00A65294" w:rsidRPr="002F6E72">
        <w:t xml:space="preserve">is the product </w:t>
      </w:r>
      <w:r w:rsidR="00804AD5" w:rsidRPr="002F6E72">
        <w:t xml:space="preserve">of </w:t>
      </w:r>
      <w:r w:rsidR="00A65294" w:rsidRPr="002F6E72">
        <w:t>the nat</w:t>
      </w:r>
      <w:r w:rsidR="00DC5384">
        <w:t>ional per capita budget and various</w:t>
      </w:r>
      <w:r w:rsidR="00A65294" w:rsidRPr="002F6E72">
        <w:t xml:space="preserve"> adjustments reflecting</w:t>
      </w:r>
      <w:r w:rsidR="005C06AB" w:rsidRPr="002F6E72">
        <w:t xml:space="preserve"> local circumstances</w:t>
      </w:r>
      <w:r w:rsidR="00A65294" w:rsidRPr="002F6E72">
        <w:t xml:space="preserve">.  </w:t>
      </w:r>
      <w:r w:rsidR="00D413C9">
        <w:t xml:space="preserve">Where the variables used to make these adjustments have no direct link with mortality, the proposal is that they be used </w:t>
      </w:r>
      <w:r w:rsidR="00E53863">
        <w:t>as instruments for expenditure [8].</w:t>
      </w:r>
      <w:r w:rsidR="00DC5384">
        <w:t xml:space="preserve"> </w:t>
      </w:r>
    </w:p>
    <w:p w14:paraId="1CE303BB" w14:textId="77777777" w:rsidR="00DC5384" w:rsidRDefault="00DC5384" w:rsidP="00931B7C">
      <w:pPr>
        <w:spacing w:line="480" w:lineRule="auto"/>
      </w:pPr>
    </w:p>
    <w:p w14:paraId="68DFFAE5" w14:textId="0C4C18C8" w:rsidR="00E623C2" w:rsidRDefault="00205D8C" w:rsidP="00931B7C">
      <w:pPr>
        <w:spacing w:line="480" w:lineRule="auto"/>
      </w:pPr>
      <w:r w:rsidRPr="002F6E72">
        <w:t xml:space="preserve">Although the </w:t>
      </w:r>
      <w:r w:rsidR="004F3CDA" w:rsidRPr="002F6E72">
        <w:t>funding rule</w:t>
      </w:r>
      <w:r w:rsidR="005067D3" w:rsidRPr="002F6E72">
        <w:t xml:space="preserve"> </w:t>
      </w:r>
      <w:r w:rsidR="007A5316" w:rsidRPr="002F6E72">
        <w:t xml:space="preserve">(FR) </w:t>
      </w:r>
      <w:r w:rsidR="005067D3" w:rsidRPr="002F6E72">
        <w:t xml:space="preserve">approach </w:t>
      </w:r>
      <w:r w:rsidRPr="002F6E72">
        <w:t xml:space="preserve">to instrumentation can be applied </w:t>
      </w:r>
      <w:r w:rsidR="00803412" w:rsidRPr="002F6E72">
        <w:t>to disease-specific mortality</w:t>
      </w:r>
      <w:r w:rsidR="00E87D71" w:rsidRPr="002F6E72">
        <w:t xml:space="preserve">, the initial </w:t>
      </w:r>
      <w:r w:rsidR="00DA3AAA">
        <w:t xml:space="preserve">FR </w:t>
      </w:r>
      <w:r w:rsidR="00E87D71" w:rsidRPr="002F6E72">
        <w:t xml:space="preserve">study </w:t>
      </w:r>
      <w:r w:rsidR="00D0308C">
        <w:t>only reported a single</w:t>
      </w:r>
      <w:r w:rsidR="00AF52AD" w:rsidRPr="002F6E72">
        <w:t xml:space="preserve"> all-cause outcome elasticity (=-</w:t>
      </w:r>
      <w:r w:rsidR="00AF52AD" w:rsidRPr="002F6E72">
        <w:lastRenderedPageBreak/>
        <w:t>0.706 for 2005/06)</w:t>
      </w:r>
      <w:r w:rsidR="00DA3AAA">
        <w:t xml:space="preserve"> [8]</w:t>
      </w:r>
      <w:r w:rsidRPr="002F6E72">
        <w:t xml:space="preserve">.  </w:t>
      </w:r>
      <w:r w:rsidR="00D37599" w:rsidRPr="002F6E72">
        <w:t xml:space="preserve">This is unfortunate because it is not possible to convert an all-cause outcome elasticity into </w:t>
      </w:r>
      <w:r w:rsidR="00A0073F">
        <w:t xml:space="preserve">a cost per </w:t>
      </w:r>
      <w:r w:rsidR="00D37599" w:rsidRPr="002F6E72">
        <w:t>quality-a</w:t>
      </w:r>
      <w:r w:rsidR="00A0073F">
        <w:t>djusted life-year (QALY)</w:t>
      </w:r>
      <w:r w:rsidR="00D37599" w:rsidRPr="002F6E72">
        <w:t xml:space="preserve"> </w:t>
      </w:r>
      <w:r w:rsidR="00E623C2">
        <w:t xml:space="preserve">without assuming </w:t>
      </w:r>
      <w:r w:rsidR="00437237" w:rsidRPr="00437237">
        <w:t xml:space="preserve">that, for a small change in NHS expenditure, the total health (QALY) effect </w:t>
      </w:r>
      <w:r w:rsidR="00E623C2">
        <w:t xml:space="preserve">estimated </w:t>
      </w:r>
      <w:r w:rsidR="00437237" w:rsidRPr="00437237">
        <w:t>using all-cause mortality is the same as the sum of the health (QALY) effects across all disease-specific areas when separate outcome equations are estimated for each of these disease areas.</w:t>
      </w:r>
      <w:r w:rsidR="00E623C2">
        <w:t xml:space="preserve">  </w:t>
      </w:r>
      <w:r w:rsidR="00E623C2" w:rsidRPr="00E623C2">
        <w:t>Our results suggest that this assumption is not met (the disease-specific resul</w:t>
      </w:r>
      <w:r w:rsidR="00D34F48">
        <w:t xml:space="preserve">ts generate more QALYs in total </w:t>
      </w:r>
      <w:r w:rsidR="00E623C2" w:rsidRPr="00E623C2">
        <w:t xml:space="preserve">than the all-cause result) and so we believe that disease-specific results provide a more secure basis for cost per QALY estimates. </w:t>
      </w:r>
    </w:p>
    <w:p w14:paraId="3A01F3E6" w14:textId="77777777" w:rsidR="00E623C2" w:rsidRDefault="00E623C2" w:rsidP="00931B7C">
      <w:pPr>
        <w:spacing w:line="480" w:lineRule="auto"/>
      </w:pPr>
    </w:p>
    <w:p w14:paraId="1996C3F7" w14:textId="56D3628B" w:rsidR="00AF6B70" w:rsidRPr="002F6E72" w:rsidRDefault="00B6589A" w:rsidP="00931B7C">
      <w:pPr>
        <w:spacing w:line="480" w:lineRule="auto"/>
      </w:pPr>
      <w:r>
        <w:t xml:space="preserve">Following </w:t>
      </w:r>
      <w:r w:rsidRPr="002F6E72">
        <w:t xml:space="preserve">the initial </w:t>
      </w:r>
      <w:r>
        <w:t xml:space="preserve">FR </w:t>
      </w:r>
      <w:r w:rsidRPr="002F6E72">
        <w:t>study</w:t>
      </w:r>
      <w:r>
        <w:t>,</w:t>
      </w:r>
      <w:r w:rsidRPr="002F6E72">
        <w:t xml:space="preserve"> </w:t>
      </w:r>
      <w:r>
        <w:t>a</w:t>
      </w:r>
      <w:r w:rsidR="00D37599" w:rsidRPr="002F6E72">
        <w:t xml:space="preserve"> </w:t>
      </w:r>
      <w:r w:rsidR="007D2B9D" w:rsidRPr="002F6E72">
        <w:t xml:space="preserve">small pilot study </w:t>
      </w:r>
      <w:r w:rsidR="00205D8C" w:rsidRPr="002F6E72">
        <w:t xml:space="preserve">obtained plausible results using the </w:t>
      </w:r>
      <w:r w:rsidR="00D44E15">
        <w:t xml:space="preserve">FR </w:t>
      </w:r>
      <w:r w:rsidR="00205D8C" w:rsidRPr="002F6E72">
        <w:t xml:space="preserve">approach </w:t>
      </w:r>
      <w:r w:rsidR="004F3CDA" w:rsidRPr="002F6E72">
        <w:t>for four di</w:t>
      </w:r>
      <w:r w:rsidR="00163F99">
        <w:t xml:space="preserve">sease </w:t>
      </w:r>
      <w:r w:rsidR="00205D8C" w:rsidRPr="002F6E72">
        <w:t>areas</w:t>
      </w:r>
      <w:r w:rsidR="007D2B9D" w:rsidRPr="002F6E72">
        <w:t xml:space="preserve"> </w:t>
      </w:r>
      <w:r w:rsidR="004F3CDA" w:rsidRPr="002F6E72">
        <w:t xml:space="preserve">using English healthcare data </w:t>
      </w:r>
      <w:r w:rsidR="007A4D3C">
        <w:t xml:space="preserve">for the same </w:t>
      </w:r>
      <w:r w:rsidR="00E53863">
        <w:t>single year (for 2005/06)</w:t>
      </w:r>
      <w:r w:rsidR="00075272">
        <w:t>,</w:t>
      </w:r>
      <w:r w:rsidR="00E53863">
        <w:t xml:space="preserve"> </w:t>
      </w:r>
      <w:r w:rsidR="00B2180D">
        <w:t xml:space="preserve">but </w:t>
      </w:r>
      <w:r w:rsidR="007935FC">
        <w:t xml:space="preserve">it </w:t>
      </w:r>
      <w:r w:rsidR="00B2180D">
        <w:t xml:space="preserve">presented no cost per QALY estimates </w:t>
      </w:r>
      <w:r w:rsidR="00E53863">
        <w:t xml:space="preserve">[9]. </w:t>
      </w:r>
      <w:r w:rsidR="00B36623" w:rsidRPr="002F6E72">
        <w:t xml:space="preserve"> </w:t>
      </w:r>
      <w:r w:rsidR="00B2180D">
        <w:t xml:space="preserve">A </w:t>
      </w:r>
      <w:r w:rsidR="00152158" w:rsidRPr="002F6E72">
        <w:t xml:space="preserve">plausible </w:t>
      </w:r>
      <w:r w:rsidR="00AF6B70" w:rsidRPr="002F6E72">
        <w:t xml:space="preserve">cost per </w:t>
      </w:r>
      <w:r w:rsidR="00152158" w:rsidRPr="002F6E72">
        <w:t>quality-adjusted life-y</w:t>
      </w:r>
      <w:r w:rsidR="00AF6B70" w:rsidRPr="002F6E72">
        <w:t xml:space="preserve">ear (QALY) estimate for all </w:t>
      </w:r>
      <w:r w:rsidR="0087486B" w:rsidRPr="002F6E72">
        <w:t xml:space="preserve">NHS </w:t>
      </w:r>
      <w:r w:rsidR="00AF6B70" w:rsidRPr="002F6E72">
        <w:t>healthcare expenditure requires disease-specific elasticities for as many conditions as mortality data permit.</w:t>
      </w:r>
    </w:p>
    <w:p w14:paraId="40061487" w14:textId="77777777" w:rsidR="00AF6B70" w:rsidRPr="002F6E72" w:rsidRDefault="00AF6B70" w:rsidP="00931B7C">
      <w:pPr>
        <w:spacing w:line="480" w:lineRule="auto"/>
      </w:pPr>
    </w:p>
    <w:p w14:paraId="267CDF7B" w14:textId="06B29926" w:rsidR="00264BF3" w:rsidRPr="002E3390" w:rsidRDefault="008F7B15" w:rsidP="00931B7C">
      <w:pPr>
        <w:spacing w:line="480" w:lineRule="auto"/>
        <w:rPr>
          <w:color w:val="222222"/>
          <w:shd w:val="clear" w:color="auto" w:fill="FFFFFF"/>
        </w:rPr>
      </w:pPr>
      <w:r>
        <w:t>In addition to better instrumentation, t</w:t>
      </w:r>
      <w:r w:rsidR="00B770AA" w:rsidRPr="002F6E72">
        <w:t xml:space="preserve">he </w:t>
      </w:r>
      <w:r w:rsidR="00524738">
        <w:t>FR</w:t>
      </w:r>
      <w:r w:rsidR="004F3CDA" w:rsidRPr="002F6E72">
        <w:t xml:space="preserve"> </w:t>
      </w:r>
      <w:r w:rsidR="007A5316" w:rsidRPr="002F6E72">
        <w:t xml:space="preserve">approach has several </w:t>
      </w:r>
      <w:r>
        <w:t xml:space="preserve">other </w:t>
      </w:r>
      <w:r w:rsidR="007A5316" w:rsidRPr="002F6E72">
        <w:t>advantages over the use of socio-econo</w:t>
      </w:r>
      <w:r w:rsidR="00E53863">
        <w:t>mic variables as instruments [9]</w:t>
      </w:r>
      <w:r w:rsidR="00B2180D">
        <w:t>.  For example,</w:t>
      </w:r>
      <w:r w:rsidR="00D87081">
        <w:t xml:space="preserve"> </w:t>
      </w:r>
      <w:r>
        <w:t xml:space="preserve">by using total rather than disease-specific expenditure, </w:t>
      </w:r>
      <w:r w:rsidR="00D87081">
        <w:t xml:space="preserve">the FR approach </w:t>
      </w:r>
      <w:r w:rsidR="00D87081" w:rsidRPr="00D87081">
        <w:t xml:space="preserve">avoids the need to estimate </w:t>
      </w:r>
      <w:r>
        <w:t xml:space="preserve">any </w:t>
      </w:r>
      <w:r w:rsidR="00D87081" w:rsidRPr="00D87081">
        <w:t>expenditure equations</w:t>
      </w:r>
      <w:r>
        <w:t xml:space="preserve"> and hence </w:t>
      </w:r>
      <w:r w:rsidR="008A4C83">
        <w:t xml:space="preserve">it </w:t>
      </w:r>
      <w:r w:rsidR="00D87081">
        <w:t xml:space="preserve">does not rely on </w:t>
      </w:r>
      <w:r w:rsidR="00A31595">
        <w:t xml:space="preserve">the availability of disease-specific expenditure nor on </w:t>
      </w:r>
      <w:r w:rsidR="00062264">
        <w:t>health author</w:t>
      </w:r>
      <w:r w:rsidR="00185054">
        <w:t>i</w:t>
      </w:r>
      <w:r w:rsidR="00062264">
        <w:t xml:space="preserve">ties </w:t>
      </w:r>
      <w:r w:rsidR="00185054">
        <w:t xml:space="preserve">providing </w:t>
      </w:r>
      <w:r w:rsidR="00D87081">
        <w:t>an accurate</w:t>
      </w:r>
      <w:r w:rsidR="008A4C83">
        <w:t xml:space="preserve"> </w:t>
      </w:r>
      <w:r w:rsidR="00D87081">
        <w:t xml:space="preserve">split </w:t>
      </w:r>
      <w:r w:rsidR="00185054">
        <w:t>of</w:t>
      </w:r>
      <w:r w:rsidR="00D87081">
        <w:t xml:space="preserve"> total expenditure across different care programmes</w:t>
      </w:r>
      <w:r w:rsidR="00D87081" w:rsidRPr="00D87081">
        <w:t>.</w:t>
      </w:r>
      <w:r w:rsidR="00264BF3">
        <w:t xml:space="preserve"> </w:t>
      </w:r>
      <w:r w:rsidR="00367DFB">
        <w:t xml:space="preserve"> Moreover</w:t>
      </w:r>
      <w:r>
        <w:t>, the use of total rather than disease-</w:t>
      </w:r>
      <w:r w:rsidRPr="008F7B15">
        <w:t>specific expenditure</w:t>
      </w:r>
      <w:r>
        <w:t xml:space="preserve"> means that </w:t>
      </w:r>
      <w:r w:rsidRPr="008F7B15">
        <w:t xml:space="preserve">results </w:t>
      </w:r>
      <w:r>
        <w:t xml:space="preserve">will </w:t>
      </w:r>
      <w:r w:rsidRPr="008F7B15">
        <w:t xml:space="preserve">reflect the health benefits in each disease area generated by expenditure </w:t>
      </w:r>
      <w:r w:rsidR="008A4C83">
        <w:t>in</w:t>
      </w:r>
      <w:r w:rsidRPr="008F7B15">
        <w:t xml:space="preserve"> all disease areas, and these may</w:t>
      </w:r>
      <w:r w:rsidR="00601FBE">
        <w:t xml:space="preserve"> </w:t>
      </w:r>
      <w:r w:rsidRPr="008F7B15">
        <w:t>be important for patients with co-morbidities</w:t>
      </w:r>
      <w:r>
        <w:t xml:space="preserve"> (</w:t>
      </w:r>
      <w:proofErr w:type="spellStart"/>
      <w:r w:rsidRPr="002E3390">
        <w:t>eg</w:t>
      </w:r>
      <w:proofErr w:type="spellEnd"/>
      <w:r w:rsidR="002E3390" w:rsidRPr="002E3390">
        <w:t xml:space="preserve"> </w:t>
      </w:r>
      <w:r w:rsidR="002E3390" w:rsidRPr="002E3390">
        <w:rPr>
          <w:color w:val="222222"/>
          <w:shd w:val="clear" w:color="auto" w:fill="FFFFFF"/>
        </w:rPr>
        <w:t>an effect on deaths recorded as cardiovascular disease may reflect expenditure in non-cardiovascular areas such as diabetes).</w:t>
      </w:r>
    </w:p>
    <w:p w14:paraId="26628B8B" w14:textId="77777777" w:rsidR="002E3390" w:rsidRDefault="002E3390" w:rsidP="00931B7C">
      <w:pPr>
        <w:spacing w:line="480" w:lineRule="auto"/>
      </w:pPr>
    </w:p>
    <w:p w14:paraId="59702C7F" w14:textId="14EBB3FD" w:rsidR="0087486B" w:rsidRDefault="00264BF3" w:rsidP="00931B7C">
      <w:pPr>
        <w:spacing w:line="480" w:lineRule="auto"/>
      </w:pPr>
      <w:r>
        <w:t xml:space="preserve">Given the improvements offered by the FR approach, </w:t>
      </w:r>
      <w:r w:rsidR="00B770AA" w:rsidRPr="002F6E72">
        <w:t>it is important</w:t>
      </w:r>
      <w:r w:rsidR="00AF6B70" w:rsidRPr="002F6E72">
        <w:t xml:space="preserve"> to examine whether the </w:t>
      </w:r>
      <w:r w:rsidR="00B770AA" w:rsidRPr="002F6E72">
        <w:t xml:space="preserve">cost per QALY </w:t>
      </w:r>
      <w:r w:rsidR="00AF6B70" w:rsidRPr="002F6E72">
        <w:t>estimates implied by the new approach confirm or reject the earlier results obtained using the less acceptable socio-ec</w:t>
      </w:r>
      <w:r w:rsidR="00B770AA" w:rsidRPr="002F6E72">
        <w:t>o</w:t>
      </w:r>
      <w:r w:rsidR="00AF6B70" w:rsidRPr="002F6E72">
        <w:t>nomic instruments.</w:t>
      </w:r>
      <w:r w:rsidR="00B770AA" w:rsidRPr="002F6E72">
        <w:t xml:space="preserve"> </w:t>
      </w:r>
      <w:r w:rsidR="00AF6B70" w:rsidRPr="002F6E72">
        <w:t xml:space="preserve"> </w:t>
      </w:r>
      <w:r w:rsidR="0087486B" w:rsidRPr="002F6E72">
        <w:t xml:space="preserve">To facilitate this comparison, we use the FR approach to estimate outcome equations for all-cause mortality and for nine disease areas, annually, over the ten-year period from 2003/04 to 2012/13.  We use the resulting elasticities, together with information about survival and disease burden in </w:t>
      </w:r>
      <w:r w:rsidR="00EA367C">
        <w:t xml:space="preserve">all 23 care </w:t>
      </w:r>
      <w:r w:rsidR="0087486B" w:rsidRPr="002F6E72">
        <w:t xml:space="preserve">programmes, to calculate the implied marginal cost per QALY and the health opportunity costs associated with £10m of NHS expenditure.  </w:t>
      </w:r>
      <w:r w:rsidR="006D1ADB">
        <w:t>Ten a</w:t>
      </w:r>
      <w:r w:rsidR="006D1ADB" w:rsidRPr="006D1ADB">
        <w:t>nnual estimates ha</w:t>
      </w:r>
      <w:r w:rsidR="006D1ADB">
        <w:t xml:space="preserve">ve been calculated </w:t>
      </w:r>
      <w:r w:rsidR="006D1ADB" w:rsidRPr="006D1ADB">
        <w:t>to check the plausibility of an</w:t>
      </w:r>
      <w:r w:rsidR="006D1ADB">
        <w:t xml:space="preserve">y one year’s estimates and </w:t>
      </w:r>
      <w:r w:rsidR="006D1ADB" w:rsidRPr="006D1ADB">
        <w:t>to examine time trends in the estimates.</w:t>
      </w:r>
      <w:r w:rsidR="00AA2E73">
        <w:t xml:space="preserve">  </w:t>
      </w:r>
      <w:r w:rsidR="0087486B" w:rsidRPr="002F6E72">
        <w:t xml:space="preserve">We </w:t>
      </w:r>
      <w:r w:rsidR="00AA2E73">
        <w:t xml:space="preserve">also </w:t>
      </w:r>
      <w:r w:rsidR="0087486B" w:rsidRPr="002F6E72">
        <w:t>compare these FR-based results with those reported previously that used socio-econo</w:t>
      </w:r>
      <w:r w:rsidR="00B36623" w:rsidRPr="002F6E72">
        <w:t>mic variables as instruments</w:t>
      </w:r>
      <w:r w:rsidR="00E53863">
        <w:t xml:space="preserve"> [7].</w:t>
      </w:r>
      <w:r w:rsidR="00B36623" w:rsidRPr="002F6E72">
        <w:t xml:space="preserve"> </w:t>
      </w:r>
    </w:p>
    <w:p w14:paraId="743A24DF" w14:textId="77777777" w:rsidR="006A670A" w:rsidRPr="002F6E72" w:rsidRDefault="006A670A" w:rsidP="00931B7C">
      <w:pPr>
        <w:spacing w:line="480" w:lineRule="auto"/>
        <w:rPr>
          <w:b/>
        </w:rPr>
      </w:pPr>
    </w:p>
    <w:p w14:paraId="212DC5E4" w14:textId="058B52D6" w:rsidR="00911A62" w:rsidRPr="002F6E72" w:rsidRDefault="00F07A80" w:rsidP="00931B7C">
      <w:pPr>
        <w:spacing w:after="200" w:line="480" w:lineRule="auto"/>
        <w:rPr>
          <w:b/>
        </w:rPr>
      </w:pPr>
      <w:r w:rsidRPr="002F6E72">
        <w:rPr>
          <w:b/>
        </w:rPr>
        <w:t xml:space="preserve">2 </w:t>
      </w:r>
      <w:r w:rsidR="00C046B3" w:rsidRPr="002F6E72">
        <w:rPr>
          <w:b/>
        </w:rPr>
        <w:t>Methods</w:t>
      </w:r>
    </w:p>
    <w:p w14:paraId="740D822F" w14:textId="77777777" w:rsidR="00E535CE" w:rsidRPr="002F6E72" w:rsidRDefault="00E535CE" w:rsidP="00931B7C">
      <w:pPr>
        <w:pStyle w:val="Main"/>
        <w:spacing w:line="480" w:lineRule="auto"/>
        <w:rPr>
          <w:rFonts w:ascii="Times New Roman" w:hAnsi="Times New Roman"/>
          <w:b/>
          <w:i/>
          <w:sz w:val="24"/>
          <w:szCs w:val="24"/>
        </w:rPr>
      </w:pPr>
      <w:r w:rsidRPr="002F6E72">
        <w:rPr>
          <w:rFonts w:ascii="Times New Roman" w:hAnsi="Times New Roman"/>
          <w:b/>
          <w:i/>
          <w:sz w:val="24"/>
          <w:szCs w:val="24"/>
        </w:rPr>
        <w:t>2.1 Institutional context</w:t>
      </w:r>
    </w:p>
    <w:p w14:paraId="54EC1BD8" w14:textId="221DB858" w:rsidR="00475F82" w:rsidRDefault="00A83D00" w:rsidP="00931B7C">
      <w:pPr>
        <w:spacing w:line="480" w:lineRule="auto"/>
      </w:pPr>
      <w:r w:rsidRPr="002F6E72">
        <w:t>The E</w:t>
      </w:r>
      <w:r w:rsidR="00AD15C1" w:rsidRPr="002F6E72">
        <w:t>nglish NHS</w:t>
      </w:r>
      <w:r w:rsidRPr="002F6E72">
        <w:t xml:space="preserve"> is a centrally planned and publicly funded health care system.  Its </w:t>
      </w:r>
      <w:r w:rsidR="00DA4481" w:rsidRPr="002F6E72">
        <w:t>income</w:t>
      </w:r>
      <w:r w:rsidRPr="002F6E72">
        <w:t xml:space="preserve"> </w:t>
      </w:r>
      <w:r w:rsidR="00DA4481" w:rsidRPr="002F6E72">
        <w:t>comes</w:t>
      </w:r>
      <w:r w:rsidRPr="002F6E72">
        <w:t xml:space="preserve"> almost entirely from national taxation</w:t>
      </w:r>
      <w:r w:rsidR="00DA4481" w:rsidRPr="002F6E72">
        <w:t>. A</w:t>
      </w:r>
      <w:r w:rsidRPr="002F6E72">
        <w:t xml:space="preserve">ccess to the </w:t>
      </w:r>
      <w:r w:rsidR="00DA4481" w:rsidRPr="002F6E72">
        <w:t>Service</w:t>
      </w:r>
      <w:r w:rsidRPr="002F6E72">
        <w:t xml:space="preserve"> is </w:t>
      </w:r>
      <w:r w:rsidR="00DA4481" w:rsidRPr="002F6E72">
        <w:t xml:space="preserve">usually via general practitioners who act as </w:t>
      </w:r>
      <w:r w:rsidRPr="002F6E72">
        <w:t xml:space="preserve">gatekeepers to secondary care and pharmaceuticals.  </w:t>
      </w:r>
      <w:r w:rsidR="00DA4481" w:rsidRPr="002F6E72">
        <w:t>Wi</w:t>
      </w:r>
      <w:r w:rsidR="006F4196" w:rsidRPr="002F6E72">
        <w:t>th some minor exceptions</w:t>
      </w:r>
      <w:r w:rsidR="00DA4481" w:rsidRPr="002F6E72">
        <w:t xml:space="preserve">, the service is free at the point of consumption for patients.  </w:t>
      </w:r>
      <w:r w:rsidRPr="002F6E72">
        <w:t xml:space="preserve">The </w:t>
      </w:r>
      <w:r w:rsidR="00D7311E" w:rsidRPr="002F6E72">
        <w:t>Service</w:t>
      </w:r>
      <w:r w:rsidRPr="002F6E72">
        <w:t xml:space="preserve"> is organized geographically, with responsibility for the local </w:t>
      </w:r>
      <w:r w:rsidR="00D7311E" w:rsidRPr="002F6E72">
        <w:t xml:space="preserve">management </w:t>
      </w:r>
      <w:r w:rsidRPr="002F6E72">
        <w:t xml:space="preserve">of the NHS </w:t>
      </w:r>
      <w:r w:rsidR="00D7311E" w:rsidRPr="002F6E72">
        <w:t>delegated</w:t>
      </w:r>
      <w:r w:rsidRPr="002F6E72">
        <w:t xml:space="preserve"> to local health authorities.  </w:t>
      </w:r>
      <w:r w:rsidR="00D7311E" w:rsidRPr="002F6E72">
        <w:t xml:space="preserve">In the </w:t>
      </w:r>
      <w:r w:rsidR="00FB2AAE" w:rsidRPr="002F6E72">
        <w:t>ten years</w:t>
      </w:r>
      <w:r w:rsidR="00D7311E" w:rsidRPr="002F6E72">
        <w:t xml:space="preserve"> </w:t>
      </w:r>
      <w:r w:rsidR="000757CF" w:rsidRPr="002F6E72">
        <w:t>to</w:t>
      </w:r>
      <w:r w:rsidRPr="002F6E72">
        <w:t xml:space="preserve"> April 2013</w:t>
      </w:r>
      <w:r w:rsidR="000757CF" w:rsidRPr="002F6E72">
        <w:t>,</w:t>
      </w:r>
      <w:r w:rsidRPr="002F6E72">
        <w:t xml:space="preserve"> these authorities were known as Primary Care Trusts (PCTs).  </w:t>
      </w:r>
      <w:r w:rsidR="00137DBD">
        <w:t xml:space="preserve">Using </w:t>
      </w:r>
      <w:r w:rsidR="00322FB0">
        <w:t>various</w:t>
      </w:r>
      <w:r w:rsidR="006F6D6E">
        <w:t xml:space="preserve"> </w:t>
      </w:r>
      <w:r w:rsidR="00137DBD">
        <w:t>resource allocation formula</w:t>
      </w:r>
      <w:r w:rsidR="00322FB0">
        <w:t>e</w:t>
      </w:r>
      <w:r w:rsidR="00767095">
        <w:t xml:space="preserve"> developed by the Department of Health</w:t>
      </w:r>
      <w:r w:rsidR="00856952">
        <w:t xml:space="preserve"> (one for hospital services, one for pharmaceuticals and one for primary care)</w:t>
      </w:r>
      <w:r w:rsidR="00BF66BA">
        <w:t xml:space="preserve">, </w:t>
      </w:r>
      <w:r w:rsidRPr="002F6E72">
        <w:t xml:space="preserve">PCTs were </w:t>
      </w:r>
      <w:r w:rsidR="00571C10" w:rsidRPr="002F6E72">
        <w:t>assigned</w:t>
      </w:r>
      <w:r w:rsidRPr="002F6E72">
        <w:t xml:space="preserve"> </w:t>
      </w:r>
      <w:r w:rsidR="0084761E">
        <w:t xml:space="preserve">a </w:t>
      </w:r>
      <w:r w:rsidRPr="002F6E72">
        <w:t xml:space="preserve">fixed annual budget by the national ministry within which they were </w:t>
      </w:r>
      <w:r w:rsidR="00571C10" w:rsidRPr="002F6E72">
        <w:t>supposed</w:t>
      </w:r>
      <w:r w:rsidRPr="002F6E72">
        <w:t xml:space="preserve"> to meet expenditure on </w:t>
      </w:r>
      <w:r w:rsidR="000757CF" w:rsidRPr="002F6E72">
        <w:t>al</w:t>
      </w:r>
      <w:r w:rsidRPr="002F6E72">
        <w:t xml:space="preserve">most </w:t>
      </w:r>
      <w:r w:rsidR="000757CF" w:rsidRPr="002F6E72">
        <w:t xml:space="preserve">all </w:t>
      </w:r>
      <w:r w:rsidR="00571C10" w:rsidRPr="002F6E72">
        <w:t>types</w:t>
      </w:r>
      <w:r w:rsidRPr="002F6E72">
        <w:t xml:space="preserve"> of </w:t>
      </w:r>
      <w:r w:rsidR="00D46AC9" w:rsidRPr="002F6E72">
        <w:t>health care</w:t>
      </w:r>
      <w:r w:rsidR="00717FE2">
        <w:t>.</w:t>
      </w:r>
      <w:r w:rsidR="00137DBD" w:rsidRPr="00137DBD">
        <w:t xml:space="preserve"> </w:t>
      </w:r>
      <w:r w:rsidR="00137DBD">
        <w:t>The g</w:t>
      </w:r>
      <w:r w:rsidR="00137DBD" w:rsidRPr="00137DBD">
        <w:t xml:space="preserve">uiding principle </w:t>
      </w:r>
      <w:r w:rsidR="00137DBD">
        <w:lastRenderedPageBreak/>
        <w:t xml:space="preserve">behind </w:t>
      </w:r>
      <w:r w:rsidR="00BF66BA">
        <w:t>the allocation formula</w:t>
      </w:r>
      <w:r w:rsidR="00856952">
        <w:t>e</w:t>
      </w:r>
      <w:r w:rsidR="00137DBD">
        <w:t xml:space="preserve"> </w:t>
      </w:r>
      <w:r w:rsidR="00137DBD" w:rsidRPr="00137DBD">
        <w:t xml:space="preserve">was that </w:t>
      </w:r>
      <w:r w:rsidR="00137DBD">
        <w:t xml:space="preserve">the </w:t>
      </w:r>
      <w:r w:rsidR="00137DBD" w:rsidRPr="00137DBD">
        <w:t>need for medical care in a given population could be systematically calculated, allowing resources to be allocated in a fair and transparent manner</w:t>
      </w:r>
      <w:r w:rsidR="00137DBD">
        <w:t>, so that areas in equal need received the same budget.</w:t>
      </w:r>
      <w:r w:rsidR="00E44C53">
        <w:t xml:space="preserve">  </w:t>
      </w:r>
      <w:r w:rsidR="00717FE2" w:rsidRPr="002F6E72">
        <w:t xml:space="preserve">Well </w:t>
      </w:r>
      <w:r w:rsidR="00717FE2">
        <w:t>over two-thirds of all funding wa</w:t>
      </w:r>
      <w:r w:rsidR="00717FE2" w:rsidRPr="002F6E72">
        <w:t>s for hospital and community health services (HCHS) with most of the remainder split between prescribing and primary care</w:t>
      </w:r>
      <w:r w:rsidR="00856952">
        <w:t>.</w:t>
      </w:r>
    </w:p>
    <w:p w14:paraId="2278566F" w14:textId="77777777" w:rsidR="00773727" w:rsidRPr="002F6E72" w:rsidRDefault="00773727" w:rsidP="00931B7C">
      <w:pPr>
        <w:spacing w:line="480" w:lineRule="auto"/>
        <w:rPr>
          <w:i/>
        </w:rPr>
      </w:pPr>
    </w:p>
    <w:p w14:paraId="3DD40AF6" w14:textId="1EE3941E" w:rsidR="0035141A" w:rsidRDefault="00A44F70" w:rsidP="00931B7C">
      <w:pPr>
        <w:spacing w:line="480" w:lineRule="auto"/>
        <w:rPr>
          <w:b/>
          <w:i/>
        </w:rPr>
      </w:pPr>
      <w:r w:rsidRPr="002F6E72">
        <w:rPr>
          <w:b/>
          <w:i/>
        </w:rPr>
        <w:t xml:space="preserve">2.2 </w:t>
      </w:r>
      <w:r w:rsidR="00C046B3" w:rsidRPr="002F6E72">
        <w:rPr>
          <w:b/>
          <w:i/>
        </w:rPr>
        <w:t>Theoretical framework</w:t>
      </w:r>
    </w:p>
    <w:p w14:paraId="206E9AD9" w14:textId="6D0F6EEE" w:rsidR="0062365D" w:rsidRDefault="0062365D" w:rsidP="003D7B98">
      <w:pPr>
        <w:spacing w:line="480" w:lineRule="auto"/>
      </w:pPr>
      <w:r w:rsidRPr="002F6E72">
        <w:t>Most health outcome and expenditure studies estimate an equation of the form</w:t>
      </w:r>
    </w:p>
    <w:p w14:paraId="4E372FDA" w14:textId="49D1A25F" w:rsidR="0062365D" w:rsidRPr="00081EE9" w:rsidRDefault="0062365D" w:rsidP="003D7B98">
      <w:pPr>
        <w:spacing w:line="480" w:lineRule="auto"/>
        <w:rPr>
          <w:sz w:val="28"/>
          <w:szCs w:val="28"/>
        </w:rPr>
      </w:pPr>
      <w:r>
        <w:tab/>
      </w:r>
      <w:r>
        <w:tab/>
      </w:r>
      <w:r>
        <w:rPr>
          <w:sz w:val="28"/>
          <w:szCs w:val="28"/>
          <w:vertAlign w:val="subscript"/>
        </w:rPr>
        <w:tab/>
      </w:r>
      <m:oMath>
        <m:sSub>
          <m:sSubPr>
            <m:ctrlPr>
              <w:rPr>
                <w:rFonts w:ascii="Cambria Math" w:hAnsi="Cambria Math"/>
                <w:i/>
                <w:sz w:val="28"/>
                <w:szCs w:val="28"/>
                <w:vertAlign w:val="subscript"/>
              </w:rPr>
            </m:ctrlPr>
          </m:sSubPr>
          <m:e>
            <m:r>
              <w:rPr>
                <w:rFonts w:ascii="Cambria Math" w:hAnsi="Cambria Math"/>
                <w:sz w:val="28"/>
                <w:szCs w:val="28"/>
                <w:vertAlign w:val="subscript"/>
              </w:rPr>
              <m:t>y</m:t>
            </m:r>
          </m:e>
          <m:sub>
            <m:r>
              <w:rPr>
                <w:rFonts w:ascii="Cambria Math" w:hAnsi="Cambria Math"/>
                <w:sz w:val="28"/>
                <w:szCs w:val="28"/>
                <w:vertAlign w:val="subscript"/>
              </w:rPr>
              <m:t>i</m:t>
            </m:r>
          </m:sub>
        </m:sSub>
        <m:r>
          <w:rPr>
            <w:rFonts w:ascii="Cambria Math" w:hAnsi="Cambria Math"/>
            <w:sz w:val="28"/>
            <w:szCs w:val="28"/>
            <w:vertAlign w:val="subscript"/>
          </w:rPr>
          <m:t>= α+ βx</m:t>
        </m:r>
      </m:oMath>
      <w:r w:rsidRPr="00822A5D">
        <w:rPr>
          <w:rFonts w:ascii="Cambria Math" w:hAnsi="Cambria Math"/>
          <w:sz w:val="28"/>
          <w:szCs w:val="28"/>
          <w:vertAlign w:val="subscript"/>
        </w:rPr>
        <w:t>i</w:t>
      </w:r>
      <m:oMath>
        <m:r>
          <w:rPr>
            <w:rFonts w:ascii="Cambria Math" w:hAnsi="Cambria Math"/>
            <w:sz w:val="28"/>
            <w:szCs w:val="28"/>
            <w:vertAlign w:val="subscript"/>
          </w:rPr>
          <m:t xml:space="preserve"> + </m:t>
        </m:r>
        <m:sSub>
          <m:sSubPr>
            <m:ctrlPr>
              <w:rPr>
                <w:rFonts w:ascii="Cambria Math" w:hAnsi="Cambria Math"/>
                <w:i/>
                <w:sz w:val="28"/>
                <w:szCs w:val="28"/>
                <w:vertAlign w:val="subscript"/>
              </w:rPr>
            </m:ctrlPr>
          </m:sSubPr>
          <m:e>
            <m:r>
              <w:rPr>
                <w:rFonts w:ascii="Cambria Math" w:hAnsi="Cambria Math"/>
                <w:sz w:val="28"/>
                <w:szCs w:val="28"/>
                <w:vertAlign w:val="subscript"/>
              </w:rPr>
              <m:t>γN</m:t>
            </m:r>
          </m:e>
          <m:sub>
            <m:r>
              <w:rPr>
                <w:rFonts w:ascii="Cambria Math" w:hAnsi="Cambria Math"/>
                <w:sz w:val="28"/>
                <w:szCs w:val="28"/>
                <w:vertAlign w:val="subscript"/>
              </w:rPr>
              <m:t>i</m:t>
            </m:r>
          </m:sub>
        </m:sSub>
        <m:r>
          <w:rPr>
            <w:rFonts w:ascii="Cambria Math" w:hAnsi="Cambria Math"/>
            <w:sz w:val="28"/>
            <w:szCs w:val="28"/>
            <w:vertAlign w:val="subscript"/>
          </w:rPr>
          <m:t xml:space="preserve">+ </m:t>
        </m:r>
        <m:sSub>
          <m:sSubPr>
            <m:ctrlPr>
              <w:rPr>
                <w:rFonts w:ascii="Cambria Math" w:hAnsi="Cambria Math"/>
                <w:i/>
                <w:sz w:val="28"/>
                <w:szCs w:val="28"/>
                <w:vertAlign w:val="subscript"/>
              </w:rPr>
            </m:ctrlPr>
          </m:sSubPr>
          <m:e>
            <m:r>
              <w:rPr>
                <w:rFonts w:ascii="Cambria Math" w:hAnsi="Cambria Math"/>
                <w:sz w:val="28"/>
                <w:szCs w:val="28"/>
                <w:vertAlign w:val="subscript"/>
              </w:rPr>
              <m:t>ε</m:t>
            </m:r>
          </m:e>
          <m:sub>
            <m:r>
              <w:rPr>
                <w:rFonts w:ascii="Cambria Math" w:hAnsi="Cambria Math"/>
                <w:sz w:val="28"/>
                <w:szCs w:val="28"/>
                <w:vertAlign w:val="subscript"/>
              </w:rPr>
              <m:t>i</m:t>
            </m:r>
          </m:sub>
        </m:sSub>
      </m:oMath>
      <w:r>
        <w:rPr>
          <w:sz w:val="28"/>
          <w:szCs w:val="28"/>
          <w:vertAlign w:val="subscript"/>
        </w:rPr>
        <w:tab/>
      </w:r>
      <w:r>
        <w:rPr>
          <w:sz w:val="28"/>
          <w:szCs w:val="28"/>
          <w:vertAlign w:val="subscript"/>
        </w:rPr>
        <w:tab/>
      </w:r>
      <w:r>
        <w:rPr>
          <w:sz w:val="28"/>
          <w:szCs w:val="28"/>
          <w:vertAlign w:val="subscript"/>
        </w:rPr>
        <w:tab/>
      </w:r>
      <w:r w:rsidRPr="007B45ED">
        <w:rPr>
          <w:sz w:val="28"/>
          <w:szCs w:val="28"/>
        </w:rPr>
        <w:t>(1)</w:t>
      </w:r>
    </w:p>
    <w:p w14:paraId="3633A0CD" w14:textId="7776C41B" w:rsidR="0062365D" w:rsidRPr="00FC1537" w:rsidRDefault="0062365D" w:rsidP="00391DEC">
      <w:pPr>
        <w:spacing w:line="480" w:lineRule="auto"/>
      </w:pPr>
      <w:r w:rsidRPr="002F6E72">
        <w:t xml:space="preserve">where </w:t>
      </w:r>
      <m:oMath>
        <m:r>
          <w:rPr>
            <w:rFonts w:ascii="Cambria Math" w:hAnsi="Cambria Math"/>
            <w:sz w:val="28"/>
            <w:szCs w:val="28"/>
            <w:vertAlign w:val="subscript"/>
          </w:rPr>
          <m:t>y</m:t>
        </m:r>
      </m:oMath>
      <w:r>
        <w:t xml:space="preserve"> is some measure of health outcome</w:t>
      </w:r>
      <w:r w:rsidR="0084761E">
        <w:t xml:space="preserve"> (we use the under 75 age/sex standardised years of life lost rate</w:t>
      </w:r>
      <w:proofErr w:type="gramStart"/>
      <w:r w:rsidR="0084761E">
        <w:t xml:space="preserve">) </w:t>
      </w:r>
      <w:r>
        <w:t>,</w:t>
      </w:r>
      <w:proofErr w:type="gramEnd"/>
      <w:r>
        <w:t xml:space="preserve"> </w:t>
      </w:r>
      <m:oMath>
        <m:r>
          <w:rPr>
            <w:rFonts w:ascii="Cambria Math" w:hAnsi="Cambria Math"/>
            <w:sz w:val="28"/>
            <w:szCs w:val="28"/>
            <w:vertAlign w:val="subscript"/>
          </w:rPr>
          <m:t>x</m:t>
        </m:r>
      </m:oMath>
      <w:r>
        <w:t xml:space="preserve"> is a measure of healthcare </w:t>
      </w:r>
      <w:r w:rsidRPr="002F6E72">
        <w:t>expenditure</w:t>
      </w:r>
      <w:r w:rsidR="0084761E">
        <w:t xml:space="preserve"> (we use expenditure per resident)</w:t>
      </w:r>
      <w:r>
        <w:t xml:space="preserve">, N </w:t>
      </w:r>
      <w:r w:rsidRPr="002F6E72">
        <w:t xml:space="preserve">is </w:t>
      </w:r>
      <w:r>
        <w:t xml:space="preserve">the need for healthcare </w:t>
      </w:r>
      <w:r w:rsidRPr="002F6E72">
        <w:t xml:space="preserve">and </w:t>
      </w:r>
      <m:oMath>
        <m:r>
          <w:rPr>
            <w:rFonts w:ascii="Cambria Math" w:hAnsi="Cambria Math"/>
            <w:sz w:val="28"/>
            <w:szCs w:val="28"/>
            <w:vertAlign w:val="subscript"/>
          </w:rPr>
          <m:t>ε</m:t>
        </m:r>
      </m:oMath>
      <w:r w:rsidRPr="002F6E72">
        <w:t xml:space="preserve"> reflects everything not included elsewhere in the specification.  </w:t>
      </w:r>
      <w:r>
        <w:t xml:space="preserve">Interest focuses on the size of the estimate of </w:t>
      </w:r>
      <m:oMath>
        <m:r>
          <w:rPr>
            <w:rFonts w:ascii="Cambria Math" w:hAnsi="Cambria Math"/>
            <w:sz w:val="28"/>
            <w:szCs w:val="28"/>
            <w:vertAlign w:val="subscript"/>
          </w:rPr>
          <m:t>β</m:t>
        </m:r>
      </m:oMath>
      <w:r>
        <w:rPr>
          <w:sz w:val="28"/>
          <w:szCs w:val="28"/>
          <w:vertAlign w:val="subscript"/>
        </w:rPr>
        <w:t xml:space="preserve"> </w:t>
      </w:r>
      <w:r>
        <w:t xml:space="preserve">as this tells us how responsive outcomes are to </w:t>
      </w:r>
      <w:r w:rsidR="007A5BD6">
        <w:t>a small change</w:t>
      </w:r>
      <w:r>
        <w:t xml:space="preserve"> in the level of expenditure.  Healthcare expenditure is likely to be endogenous due to the presence of reverse causality, that is, it is likely to be affected by (historic) mortality.  This reverse causation implies that expenditure is likely to be correlated with the error term in </w:t>
      </w:r>
      <w:r w:rsidR="007A5BD6">
        <w:t xml:space="preserve">equation </w:t>
      </w:r>
      <w:r>
        <w:t>(1)</w:t>
      </w:r>
      <w:r w:rsidR="00FC1537">
        <w:t>,</w:t>
      </w:r>
      <w:r>
        <w:t xml:space="preserve"> </w:t>
      </w:r>
      <w:r w:rsidR="00C320FE">
        <w:t xml:space="preserve">that </w:t>
      </w:r>
      <w:r>
        <w:t xml:space="preserve">the </w:t>
      </w:r>
      <w:r w:rsidR="000157EB">
        <w:t>ordinary least squares (</w:t>
      </w:r>
      <w:r>
        <w:t>OLS</w:t>
      </w:r>
      <w:r w:rsidR="000157EB">
        <w:t>)</w:t>
      </w:r>
      <w:r>
        <w:t xml:space="preserve"> estimator will be both biased and inconsistent</w:t>
      </w:r>
      <w:r w:rsidR="00FC1537">
        <w:t xml:space="preserve">, and that </w:t>
      </w:r>
      <w:r w:rsidR="00C320FE" w:rsidRPr="00FC1537">
        <w:t xml:space="preserve">the OLS coefficient on expenditure </w:t>
      </w:r>
      <w:r w:rsidR="00FC1537">
        <w:t xml:space="preserve">will </w:t>
      </w:r>
      <w:r w:rsidR="00C320FE" w:rsidRPr="00FC1537">
        <w:t>under-estimat</w:t>
      </w:r>
      <w:r w:rsidR="00FC1537">
        <w:t>e</w:t>
      </w:r>
      <w:r w:rsidR="00C320FE" w:rsidRPr="00FC1537">
        <w:t xml:space="preserve"> the size of the negative effect on mortality.  </w:t>
      </w:r>
      <w:r w:rsidRPr="00FC1537">
        <w:t xml:space="preserve"> </w:t>
      </w:r>
    </w:p>
    <w:p w14:paraId="75ACB3CF" w14:textId="77777777" w:rsidR="0062365D" w:rsidRDefault="0062365D" w:rsidP="003D7B98">
      <w:pPr>
        <w:spacing w:line="480" w:lineRule="auto"/>
      </w:pPr>
    </w:p>
    <w:p w14:paraId="209A558A" w14:textId="5BD0618D" w:rsidR="006256EB" w:rsidRDefault="0062365D" w:rsidP="003D7B98">
      <w:pPr>
        <w:spacing w:line="480" w:lineRule="auto"/>
      </w:pPr>
      <w:r>
        <w:t xml:space="preserve">To obtain consistent estimates, researchers often use instrumental variable analysis (also known as two-stage least squares (2SLS)).  This involves finding one or more exogenous variables (‘instruments’) that are associated with the exogenous part of the variation in the endogenous regressor (the level of healthcare expenditure) but which are otherwise unrelated </w:t>
      </w:r>
      <w:r>
        <w:lastRenderedPageBreak/>
        <w:t xml:space="preserve">to the dependent variable (the mortality rate).  If </w:t>
      </w:r>
      <w:r w:rsidR="009C7432">
        <w:t xml:space="preserve">Z is </w:t>
      </w:r>
      <w:r>
        <w:t>the selected instrument then estimation proceeds in two steps.  The following first-stage equation is estimated using OLS</w:t>
      </w:r>
      <w:r w:rsidR="00DD41DD">
        <w:t>:</w:t>
      </w:r>
    </w:p>
    <w:p w14:paraId="09838238" w14:textId="643B56EE" w:rsidR="006256EB" w:rsidRPr="00822A5D" w:rsidRDefault="0062365D" w:rsidP="003D7B98">
      <w:pPr>
        <w:spacing w:line="480" w:lineRule="auto"/>
        <w:rPr>
          <w:sz w:val="28"/>
          <w:szCs w:val="28"/>
        </w:rPr>
      </w:pPr>
      <w:r>
        <w:tab/>
      </w:r>
      <w:r>
        <w:tab/>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i</m:t>
            </m:r>
          </m:sub>
        </m:sSub>
        <m:r>
          <w:rPr>
            <w:rFonts w:ascii="Cambria Math" w:hAnsi="Cambria Math"/>
            <w:sz w:val="28"/>
            <w:szCs w:val="28"/>
          </w:rPr>
          <m:t>= δ+θ</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vertAlign w:val="subscript"/>
              </w:rPr>
            </m:ctrlPr>
          </m:sSubPr>
          <m:e>
            <m:r>
              <w:rPr>
                <w:rFonts w:ascii="Cambria Math" w:hAnsi="Cambria Math"/>
                <w:sz w:val="28"/>
                <w:szCs w:val="28"/>
                <w:vertAlign w:val="subscript"/>
              </w:rPr>
              <m:t>ρN</m:t>
            </m:r>
          </m:e>
          <m:sub>
            <m:r>
              <w:rPr>
                <w:rFonts w:ascii="Cambria Math" w:hAnsi="Cambria Math"/>
                <w:sz w:val="28"/>
                <w:szCs w:val="28"/>
                <w:vertAlign w:val="subscript"/>
              </w:rPr>
              <m:t>i</m:t>
            </m:r>
          </m:sub>
        </m:sSub>
        <m:r>
          <w:rPr>
            <w:rFonts w:ascii="Cambria Math" w:hAnsi="Cambria Math"/>
            <w:sz w:val="28"/>
            <w:szCs w:val="28"/>
            <w:vertAlign w:val="subscript"/>
          </w:rPr>
          <m:t>+</m:t>
        </m:r>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i</m:t>
            </m:r>
          </m:sub>
        </m:sSub>
      </m:oMath>
      <w:r>
        <w:rPr>
          <w:sz w:val="28"/>
          <w:szCs w:val="28"/>
        </w:rPr>
        <w:tab/>
      </w:r>
      <w:r>
        <w:rPr>
          <w:sz w:val="28"/>
          <w:szCs w:val="28"/>
        </w:rPr>
        <w:tab/>
      </w:r>
      <w:r>
        <w:rPr>
          <w:sz w:val="28"/>
          <w:szCs w:val="28"/>
        </w:rPr>
        <w:tab/>
      </w:r>
      <w:r>
        <w:rPr>
          <w:sz w:val="28"/>
          <w:szCs w:val="28"/>
        </w:rPr>
        <w:tab/>
      </w:r>
      <w:r>
        <w:rPr>
          <w:sz w:val="28"/>
          <w:szCs w:val="28"/>
        </w:rPr>
        <w:tab/>
        <w:t>(2)</w:t>
      </w:r>
    </w:p>
    <w:p w14:paraId="07C73B0A" w14:textId="751878B2" w:rsidR="0062365D" w:rsidRDefault="0062365D" w:rsidP="003D7B98">
      <w:pPr>
        <w:spacing w:line="480" w:lineRule="auto"/>
      </w:pPr>
      <w:r>
        <w:t xml:space="preserve">The instrument (Z) and the controls from the equation of interest </w:t>
      </w:r>
      <w:r w:rsidR="0053045C">
        <w:t xml:space="preserve">(N) </w:t>
      </w:r>
      <w:r>
        <w:t xml:space="preserve">are used to predict the ‘good’ (or exogenous) variation in the endogenous regressor (expenditure), that is, that part that is not correlated with the error term in equation </w:t>
      </w:r>
      <w:r w:rsidR="00484313">
        <w:t>(</w:t>
      </w:r>
      <w:r>
        <w:t>1</w:t>
      </w:r>
      <w:r w:rsidR="00484313">
        <w:t>)</w:t>
      </w:r>
      <w:r>
        <w:t>.  At the second stage, this predicted level of expenditure (</w:t>
      </w:r>
      <m:oMath>
        <m:acc>
          <m:accPr>
            <m:ctrlPr>
              <w:rPr>
                <w:rFonts w:ascii="Cambria Math" w:hAnsi="Cambria Math"/>
                <w:i/>
                <w:sz w:val="28"/>
                <w:szCs w:val="28"/>
              </w:rPr>
            </m:ctrlPr>
          </m:accPr>
          <m:e>
            <m:r>
              <w:rPr>
                <w:rFonts w:ascii="Cambria Math" w:hAnsi="Cambria Math"/>
                <w:sz w:val="28"/>
                <w:szCs w:val="28"/>
              </w:rPr>
              <m:t>x</m:t>
            </m:r>
          </m:e>
        </m:acc>
      </m:oMath>
      <w:r w:rsidRPr="00314FBB">
        <w:rPr>
          <w:sz w:val="28"/>
          <w:szCs w:val="28"/>
          <w:vertAlign w:val="subscript"/>
        </w:rPr>
        <w:t>i</w:t>
      </w:r>
      <w:r>
        <w:t>) replaces the actual level of expenditure (</w:t>
      </w:r>
      <m:oMath>
        <m:r>
          <w:rPr>
            <w:rFonts w:ascii="Cambria Math" w:hAnsi="Cambria Math"/>
            <w:sz w:val="28"/>
            <w:szCs w:val="28"/>
          </w:rPr>
          <m:t>x</m:t>
        </m:r>
      </m:oMath>
      <w:r w:rsidRPr="00314FBB">
        <w:rPr>
          <w:sz w:val="28"/>
          <w:szCs w:val="28"/>
          <w:vertAlign w:val="subscript"/>
        </w:rPr>
        <w:t>i</w:t>
      </w:r>
      <w:r>
        <w:t xml:space="preserve">) when using OLS to estimate equation </w:t>
      </w:r>
      <w:r w:rsidR="00484313">
        <w:t>(</w:t>
      </w:r>
      <w:r>
        <w:t>1</w:t>
      </w:r>
      <w:r w:rsidR="00484313">
        <w:t>)</w:t>
      </w:r>
      <w:r>
        <w:t>.</w:t>
      </w:r>
    </w:p>
    <w:p w14:paraId="0130991F" w14:textId="77777777" w:rsidR="0062365D" w:rsidRDefault="0062365D" w:rsidP="003D7B98">
      <w:pPr>
        <w:spacing w:line="480" w:lineRule="auto"/>
      </w:pPr>
    </w:p>
    <w:p w14:paraId="406EED5D" w14:textId="7C91D291" w:rsidR="0062365D" w:rsidRDefault="0062365D" w:rsidP="003D7B98">
      <w:pPr>
        <w:spacing w:line="480" w:lineRule="auto"/>
      </w:pPr>
      <w:r>
        <w:t xml:space="preserve">For 2SLS to generate consistent estimates certain assumptions have to be met.  </w:t>
      </w:r>
      <w:r w:rsidRPr="00B65888">
        <w:t>First,</w:t>
      </w:r>
      <w:r>
        <w:t xml:space="preserve"> the instrumental variable (Z) should be </w:t>
      </w:r>
      <w:r w:rsidR="006256EB">
        <w:t xml:space="preserve">a </w:t>
      </w:r>
      <w:r>
        <w:t xml:space="preserve">‘strong’ </w:t>
      </w:r>
      <w:r w:rsidR="00FD381D">
        <w:t xml:space="preserve">(good) </w:t>
      </w:r>
      <w:r>
        <w:t>predictor of the endogenous variable; ‘weak’ instruments can generate estimates with wide confidence intervals and cause the 2SLS estimator to be badly biased towards the OLS estimate.  The usual rule of thumb ‘test’ for strong instruments is that the F statistic associated with the instrument</w:t>
      </w:r>
      <w:r w:rsidR="006256EB">
        <w:t>(</w:t>
      </w:r>
      <w:r>
        <w:t>s</w:t>
      </w:r>
      <w:r w:rsidR="006256EB">
        <w:t>)</w:t>
      </w:r>
      <w:r>
        <w:t xml:space="preserve"> in the first-stage regression should be about 10 or better, and hence we report the </w:t>
      </w:r>
      <w:proofErr w:type="spellStart"/>
      <w:r w:rsidRPr="005325A4">
        <w:t>Kleibergen-Paap</w:t>
      </w:r>
      <w:proofErr w:type="spellEnd"/>
      <w:r w:rsidRPr="005325A4">
        <w:t xml:space="preserve"> F </w:t>
      </w:r>
      <w:r>
        <w:t xml:space="preserve">test statistic for all first-stage estimations in this study [10].  </w:t>
      </w:r>
    </w:p>
    <w:p w14:paraId="7A94DDFA" w14:textId="77777777" w:rsidR="0062365D" w:rsidRDefault="0062365D" w:rsidP="003D7B98">
      <w:pPr>
        <w:spacing w:line="480" w:lineRule="auto"/>
      </w:pPr>
    </w:p>
    <w:p w14:paraId="5112ECB8" w14:textId="18E72F9E" w:rsidR="001A4416" w:rsidRDefault="0062365D" w:rsidP="003D7B98">
      <w:pPr>
        <w:spacing w:line="480" w:lineRule="auto"/>
      </w:pPr>
      <w:r>
        <w:t xml:space="preserve">The second assumption is that the </w:t>
      </w:r>
      <w:r w:rsidR="001A4416">
        <w:t>only reason for the relationship between the instrument and the outcome is the first-stage</w:t>
      </w:r>
      <w:r w:rsidR="00D448F8">
        <w:t xml:space="preserve"> so tha</w:t>
      </w:r>
      <w:r w:rsidR="00D3262D">
        <w:t>t</w:t>
      </w:r>
      <w:r w:rsidR="00D448F8">
        <w:t xml:space="preserve"> </w:t>
      </w:r>
      <m:oMath>
        <m:r>
          <w:rPr>
            <w:rFonts w:ascii="Cambria Math" w:hAnsi="Cambria Math"/>
          </w:rPr>
          <m:t>Cov</m:t>
        </m:r>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i</m:t>
                </m:r>
              </m:sub>
            </m:sSub>
            <m:r>
              <w:rPr>
                <w:rFonts w:ascii="Cambria Math" w:hAnsi="Cambria Math"/>
              </w:rPr>
              <m:t xml:space="preserve">, </m:t>
            </m:r>
            <m:sSub>
              <m:sSubPr>
                <m:ctrlPr>
                  <w:rPr>
                    <w:rFonts w:ascii="Cambria Math" w:hAnsi="Cambria Math"/>
                    <w:i/>
                  </w:rPr>
                </m:ctrlPr>
              </m:sSubPr>
              <m:e>
                <m:r>
                  <w:rPr>
                    <w:rFonts w:ascii="Cambria Math" w:hAnsi="Cambria Math"/>
                  </w:rPr>
                  <m:t>ε</m:t>
                </m:r>
              </m:e>
              <m:sub>
                <m:r>
                  <w:rPr>
                    <w:rFonts w:ascii="Cambria Math" w:hAnsi="Cambria Math"/>
                  </w:rPr>
                  <m:t>i</m:t>
                </m:r>
              </m:sub>
            </m:sSub>
          </m:e>
        </m:d>
        <m:r>
          <w:rPr>
            <w:rFonts w:ascii="Cambria Math" w:hAnsi="Cambria Math"/>
          </w:rPr>
          <m:t>=0</m:t>
        </m:r>
      </m:oMath>
      <w:r w:rsidR="00D448F8">
        <w:t xml:space="preserve">.  </w:t>
      </w:r>
      <w:r w:rsidR="009C7432">
        <w:t xml:space="preserve">Although this is called </w:t>
      </w:r>
      <w:r w:rsidR="009C7432" w:rsidRPr="00BD1021">
        <w:rPr>
          <w:i/>
        </w:rPr>
        <w:t>the</w:t>
      </w:r>
      <w:r w:rsidR="009C7432">
        <w:t xml:space="preserve"> exclusion restriction assumption, this assumption has two parts.  The first part is that the instruments are as good as randomly assigned so that, conditional on </w:t>
      </w:r>
      <w:r w:rsidR="00DC342B">
        <w:t>the controls (N)</w:t>
      </w:r>
      <w:r w:rsidR="009C7432">
        <w:t>, they are independent of the outcome [11].  This requires that there are no unmeasured/unobserved confounders that affect both the instrument and the outcome variable.  The second part of the exclusion restriction assumption is that</w:t>
      </w:r>
      <w:r w:rsidR="00893CB3">
        <w:t>,</w:t>
      </w:r>
      <w:r w:rsidR="00893CB3" w:rsidRPr="00893CB3">
        <w:t xml:space="preserve"> </w:t>
      </w:r>
      <w:r w:rsidR="00893CB3">
        <w:t>conditional on the co</w:t>
      </w:r>
      <w:r w:rsidR="00C81D7F">
        <w:t>ntrols</w:t>
      </w:r>
      <w:r w:rsidR="00893CB3">
        <w:t xml:space="preserve"> (N),</w:t>
      </w:r>
      <w:r w:rsidR="009C7432">
        <w:t xml:space="preserve"> the instrument has no effect on the outcome other than through the first-stage channel</w:t>
      </w:r>
      <w:r w:rsidR="00DB722D">
        <w:t xml:space="preserve"> [11].</w:t>
      </w:r>
    </w:p>
    <w:p w14:paraId="0214C392" w14:textId="77777777" w:rsidR="0062365D" w:rsidRDefault="0062365D" w:rsidP="003D7B98">
      <w:pPr>
        <w:spacing w:line="480" w:lineRule="auto"/>
      </w:pPr>
    </w:p>
    <w:p w14:paraId="0AFDE35D" w14:textId="59CE34C6" w:rsidR="0062365D" w:rsidRDefault="0062365D" w:rsidP="003D7B98">
      <w:pPr>
        <w:spacing w:line="480" w:lineRule="auto"/>
      </w:pPr>
      <w:r>
        <w:t>Th</w:t>
      </w:r>
      <w:r w:rsidR="00DC342B">
        <w:t>e exclusion restriction</w:t>
      </w:r>
      <w:r>
        <w:t xml:space="preserve"> assumption cannot be tested if the number of instruments is the same as the number of endogenous regressors.  However, if there are more instruments than endogenous variables, we can test whether the additional instruments are valid.  This test compares the 2SLS estimator with all instruments to 2SLS using a subset that just identifies equation (1).  If all instruments are valid, the estimates should differ only as a result of sampling error </w:t>
      </w:r>
      <w:r w:rsidR="00DD41DD">
        <w:t>[12]</w:t>
      </w:r>
      <w:r>
        <w:t xml:space="preserve">.  If we fail to reject the null hypothesis that all instruments are valid, we can have some confidence in the set of instruments used.  However, there remains the possibility that more than one instrument is endogenous, and that the 2SLS estimators using a full and reduced set of instruments are biased in the same direction and with the same degree of bias </w:t>
      </w:r>
      <w:r w:rsidR="00DD41DD">
        <w:t>[12]</w:t>
      </w:r>
      <w:r>
        <w:t xml:space="preserve">.  Where </w:t>
      </w:r>
      <w:r w:rsidR="0053045C">
        <w:t>there are two or more instruments</w:t>
      </w:r>
      <w:r>
        <w:t>, we report the Hansen-</w:t>
      </w:r>
      <w:proofErr w:type="spellStart"/>
      <w:r>
        <w:t>Sargan</w:t>
      </w:r>
      <w:proofErr w:type="spellEnd"/>
      <w:r>
        <w:t xml:space="preserve"> test of instrument validity for every estimated second-stage equation. </w:t>
      </w:r>
    </w:p>
    <w:p w14:paraId="79BDC93A" w14:textId="667659B7" w:rsidR="00136597" w:rsidRDefault="00136597" w:rsidP="00931B7C">
      <w:pPr>
        <w:spacing w:line="480" w:lineRule="auto"/>
      </w:pPr>
    </w:p>
    <w:p w14:paraId="655CB41E" w14:textId="400CABFC" w:rsidR="00F9138E" w:rsidRPr="00F42DB0" w:rsidRDefault="00F42DB0" w:rsidP="00931B7C">
      <w:pPr>
        <w:spacing w:line="480" w:lineRule="auto"/>
        <w:rPr>
          <w:b/>
          <w:i/>
        </w:rPr>
      </w:pPr>
      <w:r w:rsidRPr="00F42DB0">
        <w:rPr>
          <w:b/>
          <w:i/>
        </w:rPr>
        <w:t>2.3 The funding rule approach to instrumentation</w:t>
      </w:r>
    </w:p>
    <w:p w14:paraId="6B0C6C71" w14:textId="749B7629" w:rsidR="005A53E3" w:rsidRDefault="00563DA2" w:rsidP="00931B7C">
      <w:pPr>
        <w:spacing w:line="480" w:lineRule="auto"/>
      </w:pPr>
      <w:r w:rsidRPr="002F6E72">
        <w:t>I</w:t>
      </w:r>
      <w:r w:rsidR="00D65697" w:rsidRPr="002F6E72">
        <w:t>n</w:t>
      </w:r>
      <w:r w:rsidRPr="002F6E72">
        <w:t xml:space="preserve">itial English studies </w:t>
      </w:r>
      <w:r w:rsidR="00376794" w:rsidRPr="002F6E72">
        <w:t>use</w:t>
      </w:r>
      <w:r w:rsidR="00557E2F" w:rsidRPr="002F6E72">
        <w:t>d</w:t>
      </w:r>
      <w:r w:rsidR="00376794" w:rsidRPr="002F6E72">
        <w:t xml:space="preserve"> socio-economic variables as instruments for </w:t>
      </w:r>
      <w:r w:rsidR="00F42DB0">
        <w:t xml:space="preserve">healthcare </w:t>
      </w:r>
      <w:r w:rsidR="00376794" w:rsidRPr="002F6E72">
        <w:t>expenditure</w:t>
      </w:r>
      <w:r w:rsidR="00C679DB">
        <w:t xml:space="preserve"> [1</w:t>
      </w:r>
      <w:r w:rsidR="00861636">
        <w:t>3</w:t>
      </w:r>
      <w:r w:rsidR="00C679DB">
        <w:t>-1</w:t>
      </w:r>
      <w:r w:rsidR="00861636">
        <w:t>5</w:t>
      </w:r>
      <w:r w:rsidR="00C679DB">
        <w:t>].</w:t>
      </w:r>
      <w:r w:rsidR="00AD6622">
        <w:t xml:space="preserve"> </w:t>
      </w:r>
      <w:r w:rsidR="00C679DB">
        <w:t xml:space="preserve"> </w:t>
      </w:r>
      <w:r w:rsidR="00AD6622">
        <w:t>M</w:t>
      </w:r>
      <w:r w:rsidR="00557E2F" w:rsidRPr="002F6E72">
        <w:t>ore recently,</w:t>
      </w:r>
      <w:r w:rsidR="00376794" w:rsidRPr="002F6E72">
        <w:t xml:space="preserve"> </w:t>
      </w:r>
      <w:r w:rsidRPr="002F6E72">
        <w:t>an alternative approach has been proposed</w:t>
      </w:r>
      <w:r w:rsidR="00C679DB">
        <w:t xml:space="preserve"> [8].</w:t>
      </w:r>
      <w:r w:rsidR="00DF7163" w:rsidRPr="002F6E72">
        <w:t xml:space="preserve"> </w:t>
      </w:r>
      <w:r w:rsidR="0040678E">
        <w:t xml:space="preserve"> </w:t>
      </w:r>
      <w:r w:rsidR="002F34FA" w:rsidRPr="002F6E72">
        <w:t>Th</w:t>
      </w:r>
      <w:r w:rsidR="00557E2F" w:rsidRPr="002F6E72">
        <w:t xml:space="preserve">is </w:t>
      </w:r>
      <w:r w:rsidR="002F34FA" w:rsidRPr="002F6E72">
        <w:t>notes</w:t>
      </w:r>
      <w:r w:rsidR="0031502C" w:rsidRPr="002F6E72">
        <w:t xml:space="preserve"> </w:t>
      </w:r>
      <w:r w:rsidR="00A83D00" w:rsidRPr="002F6E72">
        <w:t xml:space="preserve">that </w:t>
      </w:r>
      <w:r w:rsidR="00B1398A" w:rsidRPr="002F6E72">
        <w:t>between 2003</w:t>
      </w:r>
      <w:r w:rsidR="0060153B" w:rsidRPr="002F6E72">
        <w:t>/04</w:t>
      </w:r>
      <w:r w:rsidR="00B1398A" w:rsidRPr="002F6E72">
        <w:t xml:space="preserve"> and 2012</w:t>
      </w:r>
      <w:r w:rsidR="0060153B" w:rsidRPr="002F6E72">
        <w:t>/13</w:t>
      </w:r>
      <w:r w:rsidR="00B1398A" w:rsidRPr="002F6E72">
        <w:t xml:space="preserve"> </w:t>
      </w:r>
      <w:r w:rsidR="00A83D00" w:rsidRPr="002F6E72">
        <w:t xml:space="preserve">the share of the national budget </w:t>
      </w:r>
      <w:r w:rsidR="00CA46DB" w:rsidRPr="002F6E72">
        <w:t>apportioned</w:t>
      </w:r>
      <w:r w:rsidR="00A83D00" w:rsidRPr="002F6E72">
        <w:t xml:space="preserve"> to each PCT was </w:t>
      </w:r>
      <w:r w:rsidR="00CA46DB" w:rsidRPr="002F6E72">
        <w:t>governed</w:t>
      </w:r>
      <w:r w:rsidR="00A83D00" w:rsidRPr="002F6E72">
        <w:t xml:space="preserve"> by the Department of Health’s </w:t>
      </w:r>
      <w:r w:rsidR="00CB16FA">
        <w:t>allocation formula or ‘</w:t>
      </w:r>
      <w:r w:rsidR="00A83D00" w:rsidRPr="002F6E72">
        <w:t>funding rule</w:t>
      </w:r>
      <w:r w:rsidR="00CB16FA">
        <w:t>’</w:t>
      </w:r>
      <w:r w:rsidR="00A83D00" w:rsidRPr="002F6E72">
        <w:t xml:space="preserve">.  </w:t>
      </w:r>
      <w:r w:rsidR="005A53E3">
        <w:t xml:space="preserve">Strictly speaking, there were different formulae for different types of healthcare activity but the </w:t>
      </w:r>
      <w:r w:rsidR="006E435E">
        <w:t xml:space="preserve">basic </w:t>
      </w:r>
      <w:r w:rsidR="005A53E3">
        <w:t xml:space="preserve">structure of each formula was the same and hence the discussion below talks of a single formula or funding rule. </w:t>
      </w:r>
    </w:p>
    <w:p w14:paraId="55341D20" w14:textId="77777777" w:rsidR="005A53E3" w:rsidRDefault="005A53E3" w:rsidP="00931B7C">
      <w:pPr>
        <w:spacing w:line="480" w:lineRule="auto"/>
      </w:pPr>
    </w:p>
    <w:p w14:paraId="3E1E9F60" w14:textId="19D117D3" w:rsidR="00A83D00" w:rsidRPr="002F6E72" w:rsidRDefault="00A83D00" w:rsidP="00931B7C">
      <w:pPr>
        <w:spacing w:line="480" w:lineRule="auto"/>
      </w:pPr>
      <w:r w:rsidRPr="002F6E72">
        <w:t>Th</w:t>
      </w:r>
      <w:r w:rsidR="005A53E3">
        <w:t>e Department’s funding</w:t>
      </w:r>
      <w:r w:rsidRPr="002F6E72">
        <w:t xml:space="preserve"> rule reflected each PCT’s </w:t>
      </w:r>
      <w:r w:rsidR="0031502C" w:rsidRPr="002F6E72">
        <w:t xml:space="preserve">need for </w:t>
      </w:r>
      <w:r w:rsidRPr="002F6E72">
        <w:t xml:space="preserve">expenditure and this, in turn, reflected </w:t>
      </w:r>
      <w:r w:rsidR="0031502C" w:rsidRPr="002F6E72">
        <w:t>the PCT’s</w:t>
      </w:r>
      <w:r w:rsidRPr="002F6E72">
        <w:t xml:space="preserve"> population size, </w:t>
      </w:r>
      <w:r w:rsidR="007104DD" w:rsidRPr="002F6E72">
        <w:t xml:space="preserve">its </w:t>
      </w:r>
      <w:r w:rsidRPr="002F6E72">
        <w:t xml:space="preserve">age profile, local input prices, and other </w:t>
      </w:r>
      <w:r w:rsidR="00F51BC8" w:rsidRPr="002F6E72">
        <w:t>‘</w:t>
      </w:r>
      <w:r w:rsidRPr="002F6E72">
        <w:t>need</w:t>
      </w:r>
      <w:r w:rsidR="0031502C" w:rsidRPr="002F6E72">
        <w:t xml:space="preserve"> for health care</w:t>
      </w:r>
      <w:r w:rsidR="00F51BC8" w:rsidRPr="002F6E72">
        <w:t>’</w:t>
      </w:r>
      <w:r w:rsidRPr="002F6E72">
        <w:t xml:space="preserve"> factors.  Periodically, the </w:t>
      </w:r>
      <w:r w:rsidR="0031502C" w:rsidRPr="002F6E72">
        <w:t>national ministry</w:t>
      </w:r>
      <w:r w:rsidRPr="002F6E72">
        <w:t xml:space="preserve"> revised its funding rule and this</w:t>
      </w:r>
      <w:r w:rsidR="00F51BC8" w:rsidRPr="002F6E72">
        <w:t xml:space="preserve">, </w:t>
      </w:r>
      <w:r w:rsidR="00F51BC8" w:rsidRPr="002F6E72">
        <w:lastRenderedPageBreak/>
        <w:t>together with data updates,</w:t>
      </w:r>
      <w:r w:rsidR="007104DD" w:rsidRPr="002F6E72">
        <w:t xml:space="preserve"> generated a new target</w:t>
      </w:r>
      <w:r w:rsidR="0031502C" w:rsidRPr="002F6E72">
        <w:t xml:space="preserve"> </w:t>
      </w:r>
      <w:r w:rsidR="006E679B" w:rsidRPr="002F6E72">
        <w:t>allocation for each PCT.   T</w:t>
      </w:r>
      <w:r w:rsidRPr="002F6E72">
        <w:t xml:space="preserve">he new funding rule might </w:t>
      </w:r>
      <w:r w:rsidR="0031502C" w:rsidRPr="002F6E72">
        <w:t xml:space="preserve">generate </w:t>
      </w:r>
      <w:r w:rsidR="006E679B" w:rsidRPr="002F6E72">
        <w:t>a large change in the</w:t>
      </w:r>
      <w:r w:rsidRPr="002F6E72">
        <w:t xml:space="preserve"> target allocation </w:t>
      </w:r>
      <w:r w:rsidR="006E679B" w:rsidRPr="002F6E72">
        <w:t xml:space="preserve">for some PCTs </w:t>
      </w:r>
      <w:r w:rsidRPr="002F6E72">
        <w:t>and, to avoid sudden large reductions</w:t>
      </w:r>
      <w:r w:rsidR="007104DD" w:rsidRPr="002F6E72">
        <w:t xml:space="preserve"> in actual budgets</w:t>
      </w:r>
      <w:r w:rsidRPr="002F6E72">
        <w:t xml:space="preserve">, such changes were usually </w:t>
      </w:r>
      <w:r w:rsidR="00981D82" w:rsidRPr="002F6E72">
        <w:t xml:space="preserve">incorporated </w:t>
      </w:r>
      <w:r w:rsidRPr="002F6E72">
        <w:t>in</w:t>
      </w:r>
      <w:r w:rsidR="007104DD" w:rsidRPr="002F6E72">
        <w:t>to</w:t>
      </w:r>
      <w:r w:rsidR="0031502C" w:rsidRPr="002F6E72">
        <w:t xml:space="preserve"> </w:t>
      </w:r>
      <w:r w:rsidR="007104DD" w:rsidRPr="002F6E72">
        <w:t xml:space="preserve">annual </w:t>
      </w:r>
      <w:r w:rsidR="0031502C" w:rsidRPr="002F6E72">
        <w:t>budgets</w:t>
      </w:r>
      <w:r w:rsidR="00557E2F" w:rsidRPr="002F6E72">
        <w:t xml:space="preserve"> over a number of years</w:t>
      </w:r>
      <w:r w:rsidR="00C679DB">
        <w:t xml:space="preserve"> [1</w:t>
      </w:r>
      <w:r w:rsidR="003D5114">
        <w:t>6</w:t>
      </w:r>
      <w:r w:rsidR="00C679DB">
        <w:t>].</w:t>
      </w:r>
      <w:r w:rsidR="00557E2F" w:rsidRPr="002F6E72">
        <w:t xml:space="preserve"> </w:t>
      </w:r>
      <w:proofErr w:type="gramStart"/>
      <w:r w:rsidR="00F51BC8" w:rsidRPr="002F6E72">
        <w:t>Thus</w:t>
      </w:r>
      <w:proofErr w:type="gramEnd"/>
      <w:r w:rsidRPr="002F6E72">
        <w:t xml:space="preserve"> each PCT’s budget could be </w:t>
      </w:r>
      <w:r w:rsidR="00981D82" w:rsidRPr="002F6E72">
        <w:t xml:space="preserve">specified </w:t>
      </w:r>
      <w:r w:rsidRPr="002F6E72">
        <w:t>as:</w:t>
      </w:r>
    </w:p>
    <w:p w14:paraId="37D4F9F2" w14:textId="77777777" w:rsidR="00A83D00" w:rsidRPr="002F6E72" w:rsidRDefault="00A83D00" w:rsidP="00931B7C">
      <w:pPr>
        <w:pStyle w:val="Main"/>
        <w:spacing w:line="480" w:lineRule="auto"/>
        <w:rPr>
          <w:rFonts w:ascii="Times New Roman" w:hAnsi="Times New Roman"/>
          <w:sz w:val="24"/>
          <w:szCs w:val="24"/>
        </w:rPr>
      </w:pPr>
    </w:p>
    <w:p w14:paraId="00858B1D" w14:textId="5636AF6D" w:rsidR="00A83D00" w:rsidRPr="002F6E72" w:rsidRDefault="00A86489" w:rsidP="00931B7C">
      <w:pPr>
        <w:pStyle w:val="Main"/>
        <w:spacing w:line="480" w:lineRule="auto"/>
        <w:rPr>
          <w:rFonts w:ascii="Times New Roman" w:hAnsi="Times New Roman"/>
          <w:sz w:val="24"/>
          <w:szCs w:val="24"/>
        </w:rPr>
      </w:pPr>
      <w:r w:rsidRPr="002F6E72">
        <w:rPr>
          <w:rFonts w:ascii="Times New Roman" w:hAnsi="Times New Roman"/>
          <w:sz w:val="24"/>
          <w:szCs w:val="24"/>
        </w:rPr>
        <w:t>L</w:t>
      </w:r>
      <w:r w:rsidR="00612968" w:rsidRPr="002F6E72">
        <w:rPr>
          <w:rFonts w:ascii="Times New Roman" w:hAnsi="Times New Roman"/>
          <w:sz w:val="24"/>
          <w:szCs w:val="24"/>
        </w:rPr>
        <w:t>ocal b</w:t>
      </w:r>
      <w:r w:rsidR="00A83D00" w:rsidRPr="002F6E72">
        <w:rPr>
          <w:rFonts w:ascii="Times New Roman" w:hAnsi="Times New Roman"/>
          <w:sz w:val="24"/>
          <w:szCs w:val="24"/>
        </w:rPr>
        <w:t xml:space="preserve">udget per person= (National </w:t>
      </w:r>
      <w:r w:rsidRPr="002F6E72">
        <w:rPr>
          <w:rFonts w:ascii="Times New Roman" w:hAnsi="Times New Roman"/>
          <w:sz w:val="24"/>
          <w:szCs w:val="24"/>
        </w:rPr>
        <w:t>b</w:t>
      </w:r>
      <w:r w:rsidR="00A83D00" w:rsidRPr="002F6E72">
        <w:rPr>
          <w:rFonts w:ascii="Times New Roman" w:hAnsi="Times New Roman"/>
          <w:sz w:val="24"/>
          <w:szCs w:val="24"/>
        </w:rPr>
        <w:t xml:space="preserve">udget per person) </w:t>
      </w:r>
      <w:r w:rsidR="00981D82" w:rsidRPr="002F6E72">
        <w:rPr>
          <w:rFonts w:ascii="Times New Roman" w:hAnsi="Times New Roman"/>
          <w:sz w:val="24"/>
          <w:szCs w:val="24"/>
        </w:rPr>
        <w:t>x</w:t>
      </w:r>
      <w:r w:rsidR="00A83D00" w:rsidRPr="002F6E72">
        <w:rPr>
          <w:rFonts w:ascii="Times New Roman" w:hAnsi="Times New Roman"/>
          <w:sz w:val="24"/>
          <w:szCs w:val="24"/>
        </w:rPr>
        <w:t xml:space="preserve"> (</w:t>
      </w:r>
      <w:r w:rsidR="00612968" w:rsidRPr="002F6E72">
        <w:rPr>
          <w:rFonts w:ascii="Times New Roman" w:hAnsi="Times New Roman"/>
          <w:sz w:val="24"/>
          <w:szCs w:val="24"/>
        </w:rPr>
        <w:t xml:space="preserve">Local </w:t>
      </w:r>
      <w:r w:rsidRPr="002F6E72">
        <w:rPr>
          <w:rFonts w:ascii="Times New Roman" w:hAnsi="Times New Roman"/>
          <w:sz w:val="24"/>
          <w:szCs w:val="24"/>
        </w:rPr>
        <w:t>a</w:t>
      </w:r>
      <w:r w:rsidR="00A83D00" w:rsidRPr="002F6E72">
        <w:rPr>
          <w:rFonts w:ascii="Times New Roman" w:hAnsi="Times New Roman"/>
          <w:sz w:val="24"/>
          <w:szCs w:val="24"/>
        </w:rPr>
        <w:t>ge</w:t>
      </w:r>
      <w:r w:rsidR="00FF474C">
        <w:rPr>
          <w:rFonts w:ascii="Times New Roman" w:hAnsi="Times New Roman"/>
          <w:sz w:val="24"/>
          <w:szCs w:val="24"/>
        </w:rPr>
        <w:t>-cost</w:t>
      </w:r>
      <w:r w:rsidR="00A83D00" w:rsidRPr="002F6E72">
        <w:rPr>
          <w:rFonts w:ascii="Times New Roman" w:hAnsi="Times New Roman"/>
          <w:sz w:val="24"/>
          <w:szCs w:val="24"/>
        </w:rPr>
        <w:t xml:space="preserve"> </w:t>
      </w:r>
      <w:r w:rsidRPr="002F6E72">
        <w:rPr>
          <w:rFonts w:ascii="Times New Roman" w:hAnsi="Times New Roman"/>
          <w:sz w:val="24"/>
          <w:szCs w:val="24"/>
        </w:rPr>
        <w:t>i</w:t>
      </w:r>
      <w:r w:rsidR="00A83D00" w:rsidRPr="002F6E72">
        <w:rPr>
          <w:rFonts w:ascii="Times New Roman" w:hAnsi="Times New Roman"/>
          <w:sz w:val="24"/>
          <w:szCs w:val="24"/>
        </w:rPr>
        <w:t xml:space="preserve">ndex) </w:t>
      </w:r>
      <w:r w:rsidR="00981D82" w:rsidRPr="002F6E72">
        <w:rPr>
          <w:rFonts w:ascii="Times New Roman" w:hAnsi="Times New Roman"/>
          <w:sz w:val="24"/>
          <w:szCs w:val="24"/>
        </w:rPr>
        <w:t>x</w:t>
      </w:r>
    </w:p>
    <w:p w14:paraId="1E3694FB" w14:textId="77777777" w:rsidR="00A83D00" w:rsidRPr="002F6E72" w:rsidRDefault="00A83D00" w:rsidP="00931B7C">
      <w:pPr>
        <w:pStyle w:val="Main"/>
        <w:spacing w:line="480" w:lineRule="auto"/>
        <w:rPr>
          <w:rFonts w:ascii="Times New Roman" w:hAnsi="Times New Roman"/>
          <w:sz w:val="24"/>
          <w:szCs w:val="24"/>
        </w:rPr>
      </w:pPr>
    </w:p>
    <w:p w14:paraId="2EFE1290" w14:textId="71E2D3E1" w:rsidR="00A83D00" w:rsidRPr="002F6E72" w:rsidRDefault="00A83D00" w:rsidP="00931B7C">
      <w:pPr>
        <w:pStyle w:val="Main"/>
        <w:spacing w:line="480" w:lineRule="auto"/>
        <w:rPr>
          <w:rFonts w:ascii="Times New Roman" w:hAnsi="Times New Roman"/>
          <w:sz w:val="24"/>
          <w:szCs w:val="24"/>
        </w:rPr>
      </w:pPr>
      <w:r w:rsidRPr="002F6E72">
        <w:rPr>
          <w:rFonts w:ascii="Times New Roman" w:hAnsi="Times New Roman"/>
          <w:sz w:val="24"/>
          <w:szCs w:val="24"/>
        </w:rPr>
        <w:tab/>
        <w:t>(</w:t>
      </w:r>
      <w:r w:rsidR="00612968" w:rsidRPr="002F6E72">
        <w:rPr>
          <w:rFonts w:ascii="Times New Roman" w:hAnsi="Times New Roman"/>
          <w:sz w:val="24"/>
          <w:szCs w:val="24"/>
        </w:rPr>
        <w:t xml:space="preserve">Local </w:t>
      </w:r>
      <w:r w:rsidR="00A86489" w:rsidRPr="002F6E72">
        <w:rPr>
          <w:rFonts w:ascii="Times New Roman" w:hAnsi="Times New Roman"/>
          <w:sz w:val="24"/>
          <w:szCs w:val="24"/>
        </w:rPr>
        <w:t>a</w:t>
      </w:r>
      <w:r w:rsidRPr="002F6E72">
        <w:rPr>
          <w:rFonts w:ascii="Times New Roman" w:hAnsi="Times New Roman"/>
          <w:sz w:val="24"/>
          <w:szCs w:val="24"/>
        </w:rPr>
        <w:t xml:space="preserve">dditional </w:t>
      </w:r>
      <w:r w:rsidR="00A86489" w:rsidRPr="002F6E72">
        <w:rPr>
          <w:rFonts w:ascii="Times New Roman" w:hAnsi="Times New Roman"/>
          <w:sz w:val="24"/>
          <w:szCs w:val="24"/>
        </w:rPr>
        <w:t>n</w:t>
      </w:r>
      <w:r w:rsidRPr="002F6E72">
        <w:rPr>
          <w:rFonts w:ascii="Times New Roman" w:hAnsi="Times New Roman"/>
          <w:sz w:val="24"/>
          <w:szCs w:val="24"/>
        </w:rPr>
        <w:t xml:space="preserve">eeds </w:t>
      </w:r>
      <w:r w:rsidR="00A86489" w:rsidRPr="002F6E72">
        <w:rPr>
          <w:rFonts w:ascii="Times New Roman" w:hAnsi="Times New Roman"/>
          <w:sz w:val="24"/>
          <w:szCs w:val="24"/>
        </w:rPr>
        <w:t>i</w:t>
      </w:r>
      <w:r w:rsidRPr="002F6E72">
        <w:rPr>
          <w:rFonts w:ascii="Times New Roman" w:hAnsi="Times New Roman"/>
          <w:sz w:val="24"/>
          <w:szCs w:val="24"/>
        </w:rPr>
        <w:t xml:space="preserve">ndex) </w:t>
      </w:r>
      <w:r w:rsidR="00981D82" w:rsidRPr="002F6E72">
        <w:rPr>
          <w:rFonts w:ascii="Times New Roman" w:hAnsi="Times New Roman"/>
          <w:sz w:val="24"/>
          <w:szCs w:val="24"/>
        </w:rPr>
        <w:t>x</w:t>
      </w:r>
      <w:r w:rsidRPr="002F6E72">
        <w:rPr>
          <w:rFonts w:ascii="Times New Roman" w:hAnsi="Times New Roman"/>
          <w:sz w:val="24"/>
          <w:szCs w:val="24"/>
        </w:rPr>
        <w:t xml:space="preserve"> (</w:t>
      </w:r>
      <w:r w:rsidR="00612968" w:rsidRPr="002F6E72">
        <w:rPr>
          <w:rFonts w:ascii="Times New Roman" w:hAnsi="Times New Roman"/>
          <w:sz w:val="24"/>
          <w:szCs w:val="24"/>
        </w:rPr>
        <w:t xml:space="preserve">Local </w:t>
      </w:r>
      <w:r w:rsidR="00A86489" w:rsidRPr="002F6E72">
        <w:rPr>
          <w:rFonts w:ascii="Times New Roman" w:hAnsi="Times New Roman"/>
          <w:sz w:val="24"/>
          <w:szCs w:val="24"/>
        </w:rPr>
        <w:t>i</w:t>
      </w:r>
      <w:r w:rsidRPr="002F6E72">
        <w:rPr>
          <w:rFonts w:ascii="Times New Roman" w:hAnsi="Times New Roman"/>
          <w:sz w:val="24"/>
          <w:szCs w:val="24"/>
        </w:rPr>
        <w:t xml:space="preserve">nput </w:t>
      </w:r>
      <w:r w:rsidR="00A86489" w:rsidRPr="002F6E72">
        <w:rPr>
          <w:rFonts w:ascii="Times New Roman" w:hAnsi="Times New Roman"/>
          <w:sz w:val="24"/>
          <w:szCs w:val="24"/>
        </w:rPr>
        <w:t>p</w:t>
      </w:r>
      <w:r w:rsidRPr="002F6E72">
        <w:rPr>
          <w:rFonts w:ascii="Times New Roman" w:hAnsi="Times New Roman"/>
          <w:sz w:val="24"/>
          <w:szCs w:val="24"/>
        </w:rPr>
        <w:t xml:space="preserve">rice </w:t>
      </w:r>
      <w:r w:rsidR="00A86489" w:rsidRPr="002F6E72">
        <w:rPr>
          <w:rFonts w:ascii="Times New Roman" w:hAnsi="Times New Roman"/>
          <w:sz w:val="24"/>
          <w:szCs w:val="24"/>
        </w:rPr>
        <w:t>i</w:t>
      </w:r>
      <w:r w:rsidRPr="002F6E72">
        <w:rPr>
          <w:rFonts w:ascii="Times New Roman" w:hAnsi="Times New Roman"/>
          <w:sz w:val="24"/>
          <w:szCs w:val="24"/>
        </w:rPr>
        <w:t xml:space="preserve">ndex) </w:t>
      </w:r>
      <w:r w:rsidR="00981D82" w:rsidRPr="002F6E72">
        <w:rPr>
          <w:rFonts w:ascii="Times New Roman" w:hAnsi="Times New Roman"/>
          <w:sz w:val="24"/>
          <w:szCs w:val="24"/>
        </w:rPr>
        <w:t>x</w:t>
      </w:r>
      <w:r w:rsidRPr="002F6E72">
        <w:rPr>
          <w:rFonts w:ascii="Times New Roman" w:hAnsi="Times New Roman"/>
          <w:sz w:val="24"/>
          <w:szCs w:val="24"/>
        </w:rPr>
        <w:t xml:space="preserve"> (</w:t>
      </w:r>
      <w:r w:rsidR="00612968" w:rsidRPr="002F6E72">
        <w:rPr>
          <w:rFonts w:ascii="Times New Roman" w:hAnsi="Times New Roman"/>
          <w:sz w:val="24"/>
          <w:szCs w:val="24"/>
        </w:rPr>
        <w:t xml:space="preserve">Local </w:t>
      </w:r>
      <w:r w:rsidR="00B46D1E" w:rsidRPr="002F6E72">
        <w:rPr>
          <w:rFonts w:ascii="Times New Roman" w:hAnsi="Times New Roman"/>
          <w:sz w:val="24"/>
          <w:szCs w:val="24"/>
        </w:rPr>
        <w:t>DFT Index)</w:t>
      </w:r>
      <w:r w:rsidR="00B46D1E" w:rsidRPr="002F6E72">
        <w:rPr>
          <w:rFonts w:ascii="Times New Roman" w:hAnsi="Times New Roman"/>
          <w:sz w:val="24"/>
          <w:szCs w:val="24"/>
        </w:rPr>
        <w:tab/>
        <w:t>(</w:t>
      </w:r>
      <w:r w:rsidR="00A86713">
        <w:rPr>
          <w:rFonts w:ascii="Times New Roman" w:hAnsi="Times New Roman"/>
          <w:sz w:val="24"/>
          <w:szCs w:val="24"/>
        </w:rPr>
        <w:t>3</w:t>
      </w:r>
      <w:r w:rsidRPr="002F6E72">
        <w:rPr>
          <w:rFonts w:ascii="Times New Roman" w:hAnsi="Times New Roman"/>
          <w:sz w:val="24"/>
          <w:szCs w:val="24"/>
        </w:rPr>
        <w:t>)</w:t>
      </w:r>
    </w:p>
    <w:p w14:paraId="641AF830" w14:textId="77777777" w:rsidR="00A83D00" w:rsidRPr="002F6E72" w:rsidRDefault="00A83D00" w:rsidP="00931B7C">
      <w:pPr>
        <w:pStyle w:val="Main"/>
        <w:spacing w:line="480" w:lineRule="auto"/>
        <w:rPr>
          <w:rFonts w:ascii="Times New Roman" w:hAnsi="Times New Roman"/>
          <w:sz w:val="24"/>
          <w:szCs w:val="24"/>
        </w:rPr>
      </w:pPr>
    </w:p>
    <w:p w14:paraId="5BC11814" w14:textId="77777777" w:rsidR="00666D4A" w:rsidRPr="002F6E72" w:rsidRDefault="00A83D00" w:rsidP="00931B7C">
      <w:pPr>
        <w:pStyle w:val="Main"/>
        <w:spacing w:line="480" w:lineRule="auto"/>
        <w:rPr>
          <w:rFonts w:ascii="Times New Roman" w:hAnsi="Times New Roman"/>
          <w:sz w:val="24"/>
          <w:szCs w:val="24"/>
        </w:rPr>
      </w:pPr>
      <w:r w:rsidRPr="002F6E72">
        <w:rPr>
          <w:rFonts w:ascii="Times New Roman" w:hAnsi="Times New Roman"/>
          <w:sz w:val="24"/>
          <w:szCs w:val="24"/>
        </w:rPr>
        <w:t xml:space="preserve">where: </w:t>
      </w:r>
    </w:p>
    <w:p w14:paraId="01D31AF6" w14:textId="0395479E" w:rsidR="00666D4A" w:rsidRPr="002F6E72" w:rsidRDefault="00A83D00" w:rsidP="00931B7C">
      <w:pPr>
        <w:pStyle w:val="Main"/>
        <w:spacing w:line="480" w:lineRule="auto"/>
        <w:rPr>
          <w:rFonts w:ascii="Times New Roman" w:hAnsi="Times New Roman"/>
          <w:sz w:val="24"/>
          <w:szCs w:val="24"/>
        </w:rPr>
      </w:pPr>
      <w:r w:rsidRPr="002F6E72">
        <w:rPr>
          <w:rFonts w:ascii="Times New Roman" w:hAnsi="Times New Roman"/>
          <w:sz w:val="24"/>
          <w:szCs w:val="24"/>
        </w:rPr>
        <w:t>(a) the age</w:t>
      </w:r>
      <w:r w:rsidR="00FF474C">
        <w:rPr>
          <w:rFonts w:ascii="Times New Roman" w:hAnsi="Times New Roman"/>
          <w:sz w:val="24"/>
          <w:szCs w:val="24"/>
        </w:rPr>
        <w:t>-cost</w:t>
      </w:r>
      <w:r w:rsidRPr="002F6E72">
        <w:rPr>
          <w:rFonts w:ascii="Times New Roman" w:hAnsi="Times New Roman"/>
          <w:sz w:val="24"/>
          <w:szCs w:val="24"/>
        </w:rPr>
        <w:t xml:space="preserve"> index reflects the </w:t>
      </w:r>
      <w:r w:rsidR="002243CE">
        <w:rPr>
          <w:rFonts w:ascii="Times New Roman" w:hAnsi="Times New Roman"/>
          <w:sz w:val="24"/>
          <w:szCs w:val="24"/>
        </w:rPr>
        <w:t xml:space="preserve">pure age/gender </w:t>
      </w:r>
      <w:r w:rsidR="00FF474C">
        <w:rPr>
          <w:rFonts w:ascii="Times New Roman" w:hAnsi="Times New Roman"/>
          <w:sz w:val="24"/>
          <w:szCs w:val="24"/>
        </w:rPr>
        <w:t xml:space="preserve">impact of </w:t>
      </w:r>
      <w:r w:rsidR="002243CE">
        <w:rPr>
          <w:rFonts w:ascii="Times New Roman" w:hAnsi="Times New Roman"/>
          <w:sz w:val="24"/>
          <w:szCs w:val="24"/>
        </w:rPr>
        <w:t xml:space="preserve">the </w:t>
      </w:r>
      <w:r w:rsidR="00FF474C">
        <w:rPr>
          <w:rFonts w:ascii="Times New Roman" w:hAnsi="Times New Roman"/>
          <w:sz w:val="24"/>
          <w:szCs w:val="24"/>
        </w:rPr>
        <w:t xml:space="preserve">local population’s </w:t>
      </w:r>
      <w:r w:rsidRPr="002F6E72">
        <w:rPr>
          <w:rFonts w:ascii="Times New Roman" w:hAnsi="Times New Roman"/>
          <w:sz w:val="24"/>
          <w:szCs w:val="24"/>
        </w:rPr>
        <w:t xml:space="preserve">demographic profile </w:t>
      </w:r>
      <w:r w:rsidR="00FF474C">
        <w:rPr>
          <w:rFonts w:ascii="Times New Roman" w:hAnsi="Times New Roman"/>
          <w:sz w:val="24"/>
          <w:szCs w:val="24"/>
        </w:rPr>
        <w:t>on healthcare costs</w:t>
      </w:r>
      <w:r w:rsidRPr="002F6E72">
        <w:rPr>
          <w:rFonts w:ascii="Times New Roman" w:hAnsi="Times New Roman"/>
          <w:sz w:val="24"/>
          <w:szCs w:val="24"/>
        </w:rPr>
        <w:t xml:space="preserve">; </w:t>
      </w:r>
    </w:p>
    <w:p w14:paraId="471694D1" w14:textId="01011E69" w:rsidR="00666D4A" w:rsidRPr="002F6E72" w:rsidRDefault="00A83D00" w:rsidP="00931B7C">
      <w:pPr>
        <w:pStyle w:val="Main"/>
        <w:spacing w:line="480" w:lineRule="auto"/>
        <w:rPr>
          <w:rFonts w:ascii="Times New Roman" w:hAnsi="Times New Roman"/>
          <w:sz w:val="24"/>
          <w:szCs w:val="24"/>
        </w:rPr>
      </w:pPr>
      <w:r w:rsidRPr="002F6E72">
        <w:rPr>
          <w:rFonts w:ascii="Times New Roman" w:hAnsi="Times New Roman"/>
          <w:sz w:val="24"/>
          <w:szCs w:val="24"/>
        </w:rPr>
        <w:t>(b) the additional needs index reflects loca</w:t>
      </w:r>
      <w:r w:rsidR="006E3F81">
        <w:rPr>
          <w:rFonts w:ascii="Times New Roman" w:hAnsi="Times New Roman"/>
          <w:sz w:val="24"/>
          <w:szCs w:val="24"/>
        </w:rPr>
        <w:t xml:space="preserve">l deprivation and other factors, such as </w:t>
      </w:r>
      <w:r w:rsidR="00520CD5">
        <w:rPr>
          <w:rFonts w:ascii="Times New Roman" w:hAnsi="Times New Roman"/>
          <w:sz w:val="24"/>
          <w:szCs w:val="24"/>
        </w:rPr>
        <w:t xml:space="preserve">the recent </w:t>
      </w:r>
      <w:r w:rsidR="006E3F81">
        <w:rPr>
          <w:rFonts w:ascii="Times New Roman" w:hAnsi="Times New Roman"/>
          <w:sz w:val="24"/>
          <w:szCs w:val="24"/>
        </w:rPr>
        <w:t xml:space="preserve">mortality rate, </w:t>
      </w:r>
      <w:r w:rsidRPr="002F6E72">
        <w:rPr>
          <w:rFonts w:ascii="Times New Roman" w:hAnsi="Times New Roman"/>
          <w:sz w:val="24"/>
          <w:szCs w:val="24"/>
        </w:rPr>
        <w:t xml:space="preserve">likely to influence the need for health care; </w:t>
      </w:r>
    </w:p>
    <w:p w14:paraId="42349517" w14:textId="1C15044B" w:rsidR="00666D4A" w:rsidRPr="002F6E72" w:rsidRDefault="00A83D00" w:rsidP="00931B7C">
      <w:pPr>
        <w:pStyle w:val="Main"/>
        <w:spacing w:line="480" w:lineRule="auto"/>
        <w:rPr>
          <w:rFonts w:ascii="Times New Roman" w:hAnsi="Times New Roman"/>
          <w:sz w:val="24"/>
          <w:szCs w:val="24"/>
        </w:rPr>
      </w:pPr>
      <w:r w:rsidRPr="002F6E72">
        <w:rPr>
          <w:rFonts w:ascii="Times New Roman" w:hAnsi="Times New Roman"/>
          <w:sz w:val="24"/>
          <w:szCs w:val="24"/>
        </w:rPr>
        <w:t xml:space="preserve">(c) the input price index </w:t>
      </w:r>
      <w:r w:rsidR="00B323BF" w:rsidRPr="002F6E72">
        <w:rPr>
          <w:rFonts w:ascii="Times New Roman" w:hAnsi="Times New Roman"/>
          <w:sz w:val="24"/>
          <w:szCs w:val="24"/>
        </w:rPr>
        <w:t xml:space="preserve">(the market forces factor (MFF)) </w:t>
      </w:r>
      <w:r w:rsidRPr="002F6E72">
        <w:rPr>
          <w:rFonts w:ascii="Times New Roman" w:hAnsi="Times New Roman"/>
          <w:sz w:val="24"/>
          <w:szCs w:val="24"/>
        </w:rPr>
        <w:t xml:space="preserve">reflects prices in the local health economy; and </w:t>
      </w:r>
    </w:p>
    <w:p w14:paraId="79B031C6" w14:textId="4D02167F" w:rsidR="00A83D00" w:rsidRPr="002F6E72" w:rsidRDefault="00A83D00" w:rsidP="00931B7C">
      <w:pPr>
        <w:pStyle w:val="Main"/>
        <w:spacing w:line="480" w:lineRule="auto"/>
        <w:rPr>
          <w:rFonts w:ascii="Times New Roman" w:hAnsi="Times New Roman"/>
          <w:sz w:val="24"/>
          <w:szCs w:val="24"/>
        </w:rPr>
      </w:pPr>
      <w:r w:rsidRPr="002F6E72">
        <w:rPr>
          <w:rFonts w:ascii="Times New Roman" w:hAnsi="Times New Roman"/>
          <w:sz w:val="24"/>
          <w:szCs w:val="24"/>
        </w:rPr>
        <w:t xml:space="preserve">(d) the distance from target (DFT) index reflects how far each PCT’s actual </w:t>
      </w:r>
      <w:r w:rsidR="00056CB3" w:rsidRPr="002F6E72">
        <w:rPr>
          <w:rFonts w:ascii="Times New Roman" w:hAnsi="Times New Roman"/>
          <w:sz w:val="24"/>
          <w:szCs w:val="24"/>
        </w:rPr>
        <w:t xml:space="preserve">budget </w:t>
      </w:r>
      <w:r w:rsidRPr="002F6E72">
        <w:rPr>
          <w:rFonts w:ascii="Times New Roman" w:hAnsi="Times New Roman"/>
          <w:sz w:val="24"/>
          <w:szCs w:val="24"/>
        </w:rPr>
        <w:t>allocation is from its ta</w:t>
      </w:r>
      <w:r w:rsidR="00D7185E" w:rsidRPr="002F6E72">
        <w:rPr>
          <w:rFonts w:ascii="Times New Roman" w:hAnsi="Times New Roman"/>
          <w:sz w:val="24"/>
          <w:szCs w:val="24"/>
        </w:rPr>
        <w:t>rget allocation</w:t>
      </w:r>
      <w:r w:rsidRPr="002F6E72">
        <w:rPr>
          <w:rFonts w:ascii="Times New Roman" w:hAnsi="Times New Roman"/>
          <w:sz w:val="24"/>
          <w:szCs w:val="24"/>
        </w:rPr>
        <w:t>.</w:t>
      </w:r>
    </w:p>
    <w:p w14:paraId="7772637A" w14:textId="77777777" w:rsidR="00A83D00" w:rsidRPr="002F6E72" w:rsidRDefault="00A83D00" w:rsidP="00931B7C">
      <w:pPr>
        <w:pStyle w:val="Main"/>
        <w:spacing w:line="480" w:lineRule="auto"/>
        <w:rPr>
          <w:rFonts w:ascii="Times New Roman" w:hAnsi="Times New Roman"/>
          <w:sz w:val="24"/>
          <w:szCs w:val="24"/>
        </w:rPr>
      </w:pPr>
    </w:p>
    <w:p w14:paraId="60D1D870" w14:textId="3D6E9052" w:rsidR="009C3A41" w:rsidRPr="002F6E72" w:rsidRDefault="00D7185E" w:rsidP="00931B7C">
      <w:pPr>
        <w:pStyle w:val="NormalWeb"/>
        <w:shd w:val="clear" w:color="auto" w:fill="FFFFFF"/>
        <w:spacing w:before="0" w:beforeAutospacing="0" w:after="0" w:afterAutospacing="0" w:line="480" w:lineRule="auto"/>
      </w:pPr>
      <w:r w:rsidRPr="002F6E72">
        <w:t>It is argued that</w:t>
      </w:r>
      <w:r w:rsidR="00035558" w:rsidRPr="002F6E72">
        <w:t xml:space="preserve"> </w:t>
      </w:r>
      <w:r w:rsidR="00A83D00" w:rsidRPr="002F6E72">
        <w:t>three of t</w:t>
      </w:r>
      <w:r w:rsidR="00146717" w:rsidRPr="002F6E72">
        <w:t xml:space="preserve">he four adjustment factors in </w:t>
      </w:r>
      <w:r w:rsidR="00FD381D">
        <w:t xml:space="preserve">equation </w:t>
      </w:r>
      <w:r w:rsidR="00146717" w:rsidRPr="002F6E72">
        <w:t>(</w:t>
      </w:r>
      <w:r w:rsidR="00C312C6">
        <w:t>3</w:t>
      </w:r>
      <w:r w:rsidR="00A83D00" w:rsidRPr="002F6E72">
        <w:t xml:space="preserve">) </w:t>
      </w:r>
      <w:r w:rsidRPr="002F6E72">
        <w:t xml:space="preserve">can be used as instruments </w:t>
      </w:r>
      <w:r w:rsidR="00035558" w:rsidRPr="002F6E72">
        <w:t>because these factors will be correlated with expenditure but are</w:t>
      </w:r>
      <w:r w:rsidR="00A83D00" w:rsidRPr="002F6E72">
        <w:t xml:space="preserve"> unlikely to be correlated with mortality</w:t>
      </w:r>
      <w:r w:rsidR="00B527EE">
        <w:t xml:space="preserve">, particularly </w:t>
      </w:r>
      <w:r w:rsidR="00A15BC9">
        <w:t>with the inclusion of appropriate controls in equation (1)</w:t>
      </w:r>
      <w:r w:rsidR="00495C06">
        <w:t xml:space="preserve"> [8]</w:t>
      </w:r>
      <w:r w:rsidR="00035558" w:rsidRPr="002F6E72">
        <w:t xml:space="preserve">.  The </w:t>
      </w:r>
      <w:r w:rsidR="00A83D00" w:rsidRPr="002F6E72">
        <w:t xml:space="preserve">additional needs index </w:t>
      </w:r>
      <w:r w:rsidR="00035558" w:rsidRPr="002F6E72">
        <w:t xml:space="preserve">is not an appropriate instrument </w:t>
      </w:r>
      <w:r w:rsidR="00A83D00" w:rsidRPr="002F6E72">
        <w:t>because</w:t>
      </w:r>
      <w:r w:rsidR="00AA613A">
        <w:t>, as constructed,</w:t>
      </w:r>
      <w:r w:rsidR="00A83D00" w:rsidRPr="002F6E72">
        <w:t xml:space="preserve"> it contains </w:t>
      </w:r>
      <w:r w:rsidR="00AA613A">
        <w:t xml:space="preserve">a measure of </w:t>
      </w:r>
      <w:r w:rsidR="00A83D00" w:rsidRPr="002F6E72">
        <w:t>historic</w:t>
      </w:r>
      <w:r w:rsidR="00594CCA" w:rsidRPr="002F6E72">
        <w:t>al mortality</w:t>
      </w:r>
      <w:r w:rsidR="00F32B0A">
        <w:t xml:space="preserve"> which would introduce an element of reverse causality</w:t>
      </w:r>
      <w:r w:rsidR="00F32B0A" w:rsidRPr="002F6E72">
        <w:t xml:space="preserve">.  </w:t>
      </w:r>
    </w:p>
    <w:p w14:paraId="30BF0A50" w14:textId="77777777" w:rsidR="00557E2F" w:rsidRPr="002F6E72" w:rsidRDefault="00557E2F" w:rsidP="00931B7C">
      <w:pPr>
        <w:shd w:val="clear" w:color="auto" w:fill="FFFFFF"/>
        <w:spacing w:line="480" w:lineRule="auto"/>
      </w:pPr>
    </w:p>
    <w:p w14:paraId="6C221A17" w14:textId="33F46CBF" w:rsidR="00AD66DB" w:rsidRDefault="00AD66DB" w:rsidP="00AD66DB">
      <w:pPr>
        <w:shd w:val="clear" w:color="auto" w:fill="FFFFFF"/>
        <w:spacing w:line="480" w:lineRule="auto"/>
      </w:pPr>
      <w:r>
        <w:t>We saw in section 2.2 that valid instruments should be both exogenous (uncorrelated with unobservable determinants of mortality) and excludable (from the second-stage).  Let us consider whether the proposed instruments meet these requirements.  The MFF (input price index) adjustment reflects prices in the local health economy.  It is designed to compensate health authorities for the unavoidable higher costs they incur when purchasing labour and other goods/services.  If the MFF adjustment is perfect for every health authority then all</w:t>
      </w:r>
    </w:p>
    <w:p w14:paraId="6D819AFB" w14:textId="055EEE6A" w:rsidR="00AD66DB" w:rsidRDefault="00AD66DB" w:rsidP="00AD66DB">
      <w:pPr>
        <w:shd w:val="clear" w:color="auto" w:fill="FFFFFF"/>
        <w:spacing w:line="480" w:lineRule="auto"/>
      </w:pPr>
      <w:r>
        <w:t>PCTs will be able to buy the same bundle of inputs and, although a useful predictor of nominal expenditure, this instrument can, in principle, have no impact on mortality because it has no impact on real expenditure.  However, in practice, the MFF adjustment will not be perfect and any errors in the adjustment will lead to differences in the volume of real resources available to health authorities (we assume that this</w:t>
      </w:r>
      <w:r w:rsidR="003F14C7">
        <w:t xml:space="preserve"> error is small relative to the </w:t>
      </w:r>
      <w:r>
        <w:t xml:space="preserve">adjustment for local prices). </w:t>
      </w:r>
      <w:r w:rsidR="003F14C7">
        <w:t xml:space="preserve"> </w:t>
      </w:r>
      <w:r>
        <w:t>We have no reason to belie</w:t>
      </w:r>
      <w:r w:rsidR="003F14C7">
        <w:t xml:space="preserve">ve that these errors in the MFF </w:t>
      </w:r>
      <w:r>
        <w:t>adjustment will have any effect on mortality other than thro</w:t>
      </w:r>
      <w:r w:rsidR="003F14C7">
        <w:t xml:space="preserve">ugh their effect on expenditure </w:t>
      </w:r>
      <w:r>
        <w:t xml:space="preserve">(excludability). </w:t>
      </w:r>
      <w:r w:rsidR="003F14C7">
        <w:t xml:space="preserve"> </w:t>
      </w:r>
      <w:r>
        <w:t xml:space="preserve">The MFF index reflects characteristics of </w:t>
      </w:r>
      <w:r w:rsidR="003F14C7">
        <w:t xml:space="preserve">the local (health) economy that </w:t>
      </w:r>
      <w:r>
        <w:t xml:space="preserve">could potentially be correlated with unmeasured determinants </w:t>
      </w:r>
      <w:r w:rsidR="003F14C7">
        <w:t xml:space="preserve">of mortality and its exogeneity </w:t>
      </w:r>
      <w:r>
        <w:t>is therefore conditional on health needs and socio-demograp</w:t>
      </w:r>
      <w:r w:rsidR="003F14C7">
        <w:t>hic characteristics</w:t>
      </w:r>
      <w:r>
        <w:t xml:space="preserve"> employed in the estimated specificati</w:t>
      </w:r>
      <w:r w:rsidR="00727AAD">
        <w:t>on [17</w:t>
      </w:r>
      <w:r>
        <w:t>].</w:t>
      </w:r>
    </w:p>
    <w:p w14:paraId="2023784F" w14:textId="77777777" w:rsidR="00AD66DB" w:rsidRDefault="00AD66DB" w:rsidP="00AD66DB">
      <w:pPr>
        <w:shd w:val="clear" w:color="auto" w:fill="FFFFFF"/>
        <w:spacing w:line="480" w:lineRule="auto"/>
      </w:pPr>
    </w:p>
    <w:p w14:paraId="521AC9AC" w14:textId="182292F7" w:rsidR="00AD66DB" w:rsidRDefault="00AD66DB" w:rsidP="00AD66DB">
      <w:pPr>
        <w:shd w:val="clear" w:color="auto" w:fill="FFFFFF"/>
        <w:spacing w:line="480" w:lineRule="auto"/>
      </w:pPr>
      <w:r>
        <w:t xml:space="preserve">Similar arguments can </w:t>
      </w:r>
      <w:r w:rsidR="003F14C7">
        <w:t xml:space="preserve">be made for the age-cost index.  </w:t>
      </w:r>
      <w:r>
        <w:t>This i</w:t>
      </w:r>
      <w:r w:rsidR="003F14C7">
        <w:t xml:space="preserve">s designed to compensate health </w:t>
      </w:r>
      <w:r>
        <w:t>authorities for the unavoidable additional expenditure th</w:t>
      </w:r>
      <w:r w:rsidR="003F14C7">
        <w:t xml:space="preserve">ey incur due to the demographic </w:t>
      </w:r>
      <w:r>
        <w:t xml:space="preserve">profile of their population. </w:t>
      </w:r>
      <w:r w:rsidR="003F14C7">
        <w:t xml:space="preserve"> </w:t>
      </w:r>
      <w:r>
        <w:t>If the age-cost adjustment is per</w:t>
      </w:r>
      <w:r w:rsidR="003F14C7">
        <w:t xml:space="preserve">fect for every health authority </w:t>
      </w:r>
      <w:r>
        <w:t>then all PCTs will be able to offer the same level of car</w:t>
      </w:r>
      <w:r w:rsidR="003F14C7">
        <w:t xml:space="preserve">e irrespective of whether their </w:t>
      </w:r>
      <w:r>
        <w:t xml:space="preserve">population is a particularly old or young one. </w:t>
      </w:r>
      <w:r w:rsidR="003F14C7">
        <w:t xml:space="preserve"> </w:t>
      </w:r>
      <w:r>
        <w:t>Again, this (a</w:t>
      </w:r>
      <w:r w:rsidR="003F14C7">
        <w:t xml:space="preserve">ge-cost) index will be a useful </w:t>
      </w:r>
      <w:r>
        <w:t>predictor of nominal expenditure but, if the adjustment is perfe</w:t>
      </w:r>
      <w:r w:rsidR="003F14C7">
        <w:t xml:space="preserve">ct, this instrument can have no </w:t>
      </w:r>
      <w:r>
        <w:lastRenderedPageBreak/>
        <w:t xml:space="preserve">impact on mortality because it has no impact on real expenditure. </w:t>
      </w:r>
      <w:r w:rsidR="003F14C7">
        <w:t xml:space="preserve"> </w:t>
      </w:r>
      <w:r>
        <w:t>However, the age-cost</w:t>
      </w:r>
      <w:r w:rsidR="003F14C7">
        <w:t xml:space="preserve"> </w:t>
      </w:r>
      <w:r>
        <w:t xml:space="preserve">adjustment will not be perfect and any errors in the adjustment </w:t>
      </w:r>
      <w:r w:rsidR="003F14C7">
        <w:t xml:space="preserve">will lead to differences in the </w:t>
      </w:r>
      <w:r>
        <w:t xml:space="preserve">volume of real resources available to health authorities. </w:t>
      </w:r>
      <w:r w:rsidR="003F14C7">
        <w:t xml:space="preserve"> </w:t>
      </w:r>
      <w:r>
        <w:t>We</w:t>
      </w:r>
      <w:r w:rsidR="003F14C7">
        <w:t xml:space="preserve"> have no reason to believe that </w:t>
      </w:r>
      <w:r>
        <w:t>these errors will have any effect on mortality other than thro</w:t>
      </w:r>
      <w:r w:rsidR="003F14C7">
        <w:t xml:space="preserve">ugh their effect on expenditure </w:t>
      </w:r>
      <w:r>
        <w:t xml:space="preserve">(excludability). </w:t>
      </w:r>
      <w:r w:rsidR="003F14C7">
        <w:t xml:space="preserve"> </w:t>
      </w:r>
      <w:r>
        <w:t>The age-cost index reflects the impact of the</w:t>
      </w:r>
      <w:r w:rsidR="003F14C7">
        <w:t xml:space="preserve"> local population’s demographic </w:t>
      </w:r>
      <w:r>
        <w:t xml:space="preserve">profile on healthcare costs. </w:t>
      </w:r>
      <w:r w:rsidR="003F14C7">
        <w:t xml:space="preserve"> </w:t>
      </w:r>
      <w:r>
        <w:t>As is the case for the MFF, th</w:t>
      </w:r>
      <w:r w:rsidR="003F14C7">
        <w:t xml:space="preserve">is profile could potentially be </w:t>
      </w:r>
      <w:r>
        <w:t xml:space="preserve">correlated with unmeasured determinants of mortality </w:t>
      </w:r>
      <w:r w:rsidR="003F14C7">
        <w:t xml:space="preserve">and its exogeneity is therefore </w:t>
      </w:r>
      <w:r>
        <w:t>conditional on the control variables employed in the estimated specification.</w:t>
      </w:r>
    </w:p>
    <w:p w14:paraId="68B7B907" w14:textId="77777777" w:rsidR="00AD66DB" w:rsidRDefault="00AD66DB" w:rsidP="00AD66DB">
      <w:pPr>
        <w:shd w:val="clear" w:color="auto" w:fill="FFFFFF"/>
        <w:spacing w:line="480" w:lineRule="auto"/>
      </w:pPr>
    </w:p>
    <w:p w14:paraId="5F824A63" w14:textId="0AC7B7AF" w:rsidR="00AD66DB" w:rsidRDefault="00EA686E" w:rsidP="00AD66DB">
      <w:pPr>
        <w:shd w:val="clear" w:color="auto" w:fill="FFFFFF"/>
        <w:spacing w:line="480" w:lineRule="auto"/>
      </w:pPr>
      <w:r>
        <w:t>T</w:t>
      </w:r>
      <w:r w:rsidR="00AD66DB">
        <w:t>he DFT index will reflect the various fundin</w:t>
      </w:r>
      <w:r w:rsidR="00BD044B">
        <w:t xml:space="preserve">g formulae and ‘pace of change’ </w:t>
      </w:r>
      <w:r w:rsidR="00AD66DB">
        <w:t>policies implemented under several governments of various</w:t>
      </w:r>
      <w:r w:rsidR="00BD044B">
        <w:t xml:space="preserve"> political persuasions over the </w:t>
      </w:r>
      <w:r w:rsidR="00AD66DB">
        <w:t>past thirty years.  While there are undeniably policy choices i</w:t>
      </w:r>
      <w:r w:rsidR="00BD044B">
        <w:t xml:space="preserve">nvolved, such as the setting of </w:t>
      </w:r>
      <w:r w:rsidR="00AD66DB">
        <w:t>the ‘pace of change’ (POC) adjustment that transitions PCTs</w:t>
      </w:r>
      <w:r w:rsidR="00BD044B">
        <w:t xml:space="preserve"> towards their target, over the </w:t>
      </w:r>
      <w:r w:rsidR="00AD66DB">
        <w:t>study period the POC policy focussed on providing a mini</w:t>
      </w:r>
      <w:r w:rsidR="00BD044B">
        <w:t xml:space="preserve">mum basic budget uplift for all </w:t>
      </w:r>
      <w:r w:rsidR="00AD66DB">
        <w:t>PCTs with a larger i</w:t>
      </w:r>
      <w:r w:rsidR="00BD044B">
        <w:t>ncrease for those that were most</w:t>
      </w:r>
      <w:r w:rsidR="00AD66DB">
        <w:t xml:space="preserve"> under-target. </w:t>
      </w:r>
      <w:r w:rsidR="00BD044B">
        <w:t xml:space="preserve"> We have no evidence to </w:t>
      </w:r>
      <w:r w:rsidR="00AD66DB">
        <w:t>suggest that these policy choices were made on the basis of other factors such as outcom</w:t>
      </w:r>
      <w:r w:rsidR="00BD044B">
        <w:t xml:space="preserve">es </w:t>
      </w:r>
      <w:r w:rsidR="00AD66DB">
        <w:t>(exclud</w:t>
      </w:r>
      <w:r w:rsidR="00650D3F">
        <w:t>ability) [18</w:t>
      </w:r>
      <w:r w:rsidR="00AD66DB">
        <w:t xml:space="preserve">]. </w:t>
      </w:r>
      <w:r w:rsidR="00BD044B">
        <w:t xml:space="preserve"> </w:t>
      </w:r>
      <w:r w:rsidR="00AD66DB">
        <w:t xml:space="preserve">Moreover, </w:t>
      </w:r>
      <w:r w:rsidR="00FD381D">
        <w:t>health authority allocations usually include</w:t>
      </w:r>
      <w:r w:rsidR="00BD044B">
        <w:t xml:space="preserve"> a </w:t>
      </w:r>
      <w:r w:rsidR="00AD66DB">
        <w:t>relatively small component that seeks to address health inequaliti</w:t>
      </w:r>
      <w:r w:rsidR="00BD044B">
        <w:t xml:space="preserve">es </w:t>
      </w:r>
      <w:r w:rsidR="00BA700E">
        <w:t xml:space="preserve">directly </w:t>
      </w:r>
      <w:r w:rsidR="00BD044B">
        <w:t xml:space="preserve">and it is at this point that </w:t>
      </w:r>
      <w:r w:rsidR="00AD66DB">
        <w:t>outcomes are considered rather than at</w:t>
      </w:r>
      <w:r w:rsidR="001B19B6">
        <w:t xml:space="preserve"> the POC policy stage [19</w:t>
      </w:r>
      <w:r w:rsidR="00AD66DB">
        <w:t xml:space="preserve">]. </w:t>
      </w:r>
      <w:r w:rsidR="00BD044B">
        <w:t xml:space="preserve"> We also have no </w:t>
      </w:r>
      <w:r w:rsidR="00AD66DB">
        <w:t>evidence to suggest that, conditional on our controls, the DF</w:t>
      </w:r>
      <w:r w:rsidR="00BD044B">
        <w:t xml:space="preserve">T index will be correlated with </w:t>
      </w:r>
      <w:r w:rsidR="00AD66DB">
        <w:t>unmeasured/unobserved determinants of mortality (exogeneity).</w:t>
      </w:r>
    </w:p>
    <w:p w14:paraId="246CAB5B" w14:textId="77777777" w:rsidR="00AD66DB" w:rsidRDefault="00AD66DB" w:rsidP="00AD66DB">
      <w:pPr>
        <w:shd w:val="clear" w:color="auto" w:fill="FFFFFF"/>
        <w:spacing w:line="480" w:lineRule="auto"/>
      </w:pPr>
    </w:p>
    <w:p w14:paraId="776150DA" w14:textId="0F031810" w:rsidR="003E7CF8" w:rsidRDefault="00AD66DB" w:rsidP="00AD66DB">
      <w:pPr>
        <w:shd w:val="clear" w:color="auto" w:fill="FFFFFF"/>
        <w:spacing w:line="480" w:lineRule="auto"/>
      </w:pPr>
      <w:r>
        <w:t>Finally, of course, we test the empirical validity of our instruments usi</w:t>
      </w:r>
      <w:r w:rsidR="00BD044B">
        <w:t xml:space="preserve">ng the appropriate </w:t>
      </w:r>
      <w:r>
        <w:t>statistical test (the Hansen-</w:t>
      </w:r>
      <w:proofErr w:type="spellStart"/>
      <w:r>
        <w:t>Sargan</w:t>
      </w:r>
      <w:proofErr w:type="spellEnd"/>
      <w:r>
        <w:t xml:space="preserve"> test).</w:t>
      </w:r>
    </w:p>
    <w:p w14:paraId="79825B52" w14:textId="2AE96E05" w:rsidR="00DF7163" w:rsidRPr="002F6E72" w:rsidRDefault="00DF7163" w:rsidP="002909D4">
      <w:pPr>
        <w:spacing w:line="480" w:lineRule="auto"/>
      </w:pPr>
    </w:p>
    <w:p w14:paraId="0533FF02" w14:textId="31432D82" w:rsidR="00C56468" w:rsidRPr="002F6E72" w:rsidRDefault="00A44F70" w:rsidP="002909D4">
      <w:pPr>
        <w:spacing w:line="480" w:lineRule="auto"/>
        <w:rPr>
          <w:b/>
          <w:i/>
        </w:rPr>
      </w:pPr>
      <w:r w:rsidRPr="002F6E72">
        <w:rPr>
          <w:b/>
          <w:i/>
        </w:rPr>
        <w:lastRenderedPageBreak/>
        <w:t>2.</w:t>
      </w:r>
      <w:r w:rsidR="000811CB">
        <w:rPr>
          <w:b/>
          <w:i/>
        </w:rPr>
        <w:t>4</w:t>
      </w:r>
      <w:r w:rsidR="0035141A" w:rsidRPr="002F6E72">
        <w:rPr>
          <w:b/>
          <w:i/>
        </w:rPr>
        <w:t xml:space="preserve"> Estimation strategy</w:t>
      </w:r>
    </w:p>
    <w:p w14:paraId="14A20D8F" w14:textId="03FF498D" w:rsidR="0049429F" w:rsidRPr="002F6E72" w:rsidRDefault="00306D7B" w:rsidP="00931B7C">
      <w:pPr>
        <w:spacing w:line="480" w:lineRule="auto"/>
      </w:pPr>
      <w:r w:rsidRPr="002F6E72">
        <w:t xml:space="preserve">To facilitate comparison with </w:t>
      </w:r>
      <w:r w:rsidR="00007AEB" w:rsidRPr="002F6E72">
        <w:t>o</w:t>
      </w:r>
      <w:r w:rsidR="00557E2F" w:rsidRPr="002F6E72">
        <w:t xml:space="preserve">ther studies, </w:t>
      </w:r>
      <w:r w:rsidRPr="002F6E72">
        <w:t xml:space="preserve">we too start with an analysis of </w:t>
      </w:r>
      <w:r w:rsidR="00312405" w:rsidRPr="002F6E72">
        <w:t xml:space="preserve">expenditure </w:t>
      </w:r>
      <w:r w:rsidRPr="002F6E72">
        <w:t>data for 2005</w:t>
      </w:r>
      <w:r w:rsidR="00312405" w:rsidRPr="002F6E72">
        <w:t>/06</w:t>
      </w:r>
      <w:r w:rsidRPr="002F6E72">
        <w:t xml:space="preserve">.  </w:t>
      </w:r>
      <w:r w:rsidR="00F37C13" w:rsidRPr="002F6E72">
        <w:t>W</w:t>
      </w:r>
      <w:r w:rsidR="0049429F" w:rsidRPr="002F6E72">
        <w:t xml:space="preserve">e use </w:t>
      </w:r>
      <w:r w:rsidR="00F37C13" w:rsidRPr="002F6E72">
        <w:t xml:space="preserve">three </w:t>
      </w:r>
      <w:r w:rsidR="00557E2F" w:rsidRPr="002F6E72">
        <w:t xml:space="preserve">funding rule variables </w:t>
      </w:r>
      <w:r w:rsidR="00B05FF3">
        <w:t xml:space="preserve">(an age index, an MFF index and a DFT index) </w:t>
      </w:r>
      <w:r w:rsidR="005E507E">
        <w:t xml:space="preserve">from the resource allocation formulae used to distribute budgets to PCTs </w:t>
      </w:r>
      <w:r w:rsidR="0049429F" w:rsidRPr="002F6E72">
        <w:t>as instruments</w:t>
      </w:r>
      <w:r w:rsidRPr="002F6E72">
        <w:t xml:space="preserve"> </w:t>
      </w:r>
      <w:r w:rsidR="00557E2F" w:rsidRPr="002F6E72">
        <w:t>for expenditure</w:t>
      </w:r>
      <w:r w:rsidR="005E507E">
        <w:t>.</w:t>
      </w:r>
      <w:r w:rsidR="005B2845">
        <w:t xml:space="preserve">  When estimating equation (1) t</w:t>
      </w:r>
      <w:r w:rsidR="00CE07D2">
        <w:t xml:space="preserve">heory suggests that it is important to control for </w:t>
      </w:r>
      <w:r w:rsidR="005B2845">
        <w:t xml:space="preserve">healthcare </w:t>
      </w:r>
      <w:r w:rsidR="00CE07D2">
        <w:t>need because need will be strongly correlated with mortality and expenditure.  However, t</w:t>
      </w:r>
      <w:r w:rsidR="0049429F" w:rsidRPr="002F6E72">
        <w:t xml:space="preserve">heory provides little guidance as to the </w:t>
      </w:r>
      <w:r w:rsidR="00CE07D2">
        <w:t xml:space="preserve">precise </w:t>
      </w:r>
      <w:r w:rsidR="0049429F" w:rsidRPr="002F6E72">
        <w:t>appropriate cont</w:t>
      </w:r>
      <w:r w:rsidR="00557E2F" w:rsidRPr="002F6E72">
        <w:t>rols</w:t>
      </w:r>
      <w:r w:rsidR="00FB7A90">
        <w:t xml:space="preserve">.  Hence </w:t>
      </w:r>
      <w:r w:rsidR="00557E2F" w:rsidRPr="002F6E72">
        <w:t xml:space="preserve">following other studies </w:t>
      </w:r>
      <w:r w:rsidR="002E3851" w:rsidRPr="002F6E72">
        <w:t>and to make our results comparable with thei</w:t>
      </w:r>
      <w:r w:rsidR="00DF69E6" w:rsidRPr="002F6E72">
        <w:t>rs</w:t>
      </w:r>
      <w:r w:rsidR="0049429F" w:rsidRPr="002F6E72">
        <w:t>, we identify a dozen socio-economic variables</w:t>
      </w:r>
      <w:r w:rsidRPr="002F6E72">
        <w:t xml:space="preserve"> </w:t>
      </w:r>
      <w:r w:rsidR="009C4F9A" w:rsidRPr="002F6E72">
        <w:t>–</w:t>
      </w:r>
      <w:r w:rsidR="0049429F" w:rsidRPr="002F6E72">
        <w:t xml:space="preserve"> </w:t>
      </w:r>
      <w:r w:rsidR="00B06D41" w:rsidRPr="002F6E72">
        <w:t xml:space="preserve">such as </w:t>
      </w:r>
      <w:r w:rsidR="0049429F" w:rsidRPr="002F6E72">
        <w:t xml:space="preserve">the proportion of owner-occupied households </w:t>
      </w:r>
      <w:r w:rsidRPr="002F6E72">
        <w:t>–</w:t>
      </w:r>
      <w:r w:rsidR="006A6714" w:rsidRPr="002F6E72">
        <w:t xml:space="preserve"> as potential controls for the need for health care</w:t>
      </w:r>
      <w:r w:rsidR="00B83A9F">
        <w:t xml:space="preserve"> and we use backward and forward selectio</w:t>
      </w:r>
      <w:r w:rsidR="00FB7A90">
        <w:t xml:space="preserve">n techniques to reduce </w:t>
      </w:r>
      <w:r w:rsidR="00B83A9F">
        <w:t>multicollinearity problems</w:t>
      </w:r>
      <w:r w:rsidR="00C679DB">
        <w:t xml:space="preserve"> [7, 9</w:t>
      </w:r>
      <w:r w:rsidR="003D5114">
        <w:t>, 13</w:t>
      </w:r>
      <w:r w:rsidR="00C679DB">
        <w:t>-1</w:t>
      </w:r>
      <w:r w:rsidR="003D5114">
        <w:t>5</w:t>
      </w:r>
      <w:r w:rsidR="00C679DB">
        <w:t>].</w:t>
      </w:r>
      <w:r w:rsidR="00CE07D2">
        <w:rPr>
          <w:vertAlign w:val="superscript"/>
        </w:rPr>
        <w:t xml:space="preserve">   </w:t>
      </w:r>
    </w:p>
    <w:p w14:paraId="01E4B57B" w14:textId="77777777" w:rsidR="007D773D" w:rsidRPr="002F6E72" w:rsidRDefault="007D773D" w:rsidP="00931B7C">
      <w:pPr>
        <w:spacing w:line="480" w:lineRule="auto"/>
      </w:pPr>
    </w:p>
    <w:p w14:paraId="27EEF0AE" w14:textId="21F63231" w:rsidR="0049429F" w:rsidRPr="002F6E72" w:rsidRDefault="0049429F" w:rsidP="00931B7C">
      <w:pPr>
        <w:spacing w:line="480" w:lineRule="auto"/>
      </w:pPr>
      <w:r w:rsidRPr="002F6E72">
        <w:t>For each disease area, we start by estimating (</w:t>
      </w:r>
      <w:r w:rsidR="00C312C6">
        <w:t>1</w:t>
      </w:r>
      <w:r w:rsidRPr="002F6E72">
        <w:t xml:space="preserve">) with all socio-economic variables included as controls.  </w:t>
      </w:r>
      <w:r w:rsidR="00AD41DF">
        <w:t>This</w:t>
      </w:r>
      <w:r w:rsidR="00AD41DF" w:rsidRPr="00AD41DF">
        <w:rPr>
          <w:rPrChange w:id="1" w:author="Author">
            <w:rPr>
              <w:i/>
            </w:rPr>
          </w:rPrChange>
        </w:rPr>
        <w:t xml:space="preserve"> </w:t>
      </w:r>
      <w:r w:rsidR="00AD41DF">
        <w:t>‘</w:t>
      </w:r>
      <w:r w:rsidR="00AD41DF" w:rsidRPr="00AD41DF">
        <w:rPr>
          <w:rPrChange w:id="2" w:author="Author">
            <w:rPr>
              <w:i/>
            </w:rPr>
          </w:rPrChange>
        </w:rPr>
        <w:t>full</w:t>
      </w:r>
      <w:r w:rsidR="00AD41DF">
        <w:t>’</w:t>
      </w:r>
      <w:r w:rsidR="00AD41DF" w:rsidRPr="00AD41DF">
        <w:rPr>
          <w:rPrChange w:id="3" w:author="Author">
            <w:rPr>
              <w:i/>
            </w:rPr>
          </w:rPrChange>
        </w:rPr>
        <w:t xml:space="preserve"> specification is merely a starting point (based on an evolved body of work in this area) from which we seek to identify a plausible specification that passes the usual statistical tests.</w:t>
      </w:r>
      <w:r w:rsidR="00AD41DF">
        <w:rPr>
          <w:i/>
        </w:rPr>
        <w:t xml:space="preserve">  </w:t>
      </w:r>
      <w:r w:rsidRPr="002F6E72">
        <w:t>The least significant regressor is removed from the specification and the equation is re-estimated.  This process – of dropping the least significant regressor and re-estimating -- continues until there are only significant controls remaining</w:t>
      </w:r>
      <w:r w:rsidR="00451896" w:rsidRPr="002F6E72">
        <w:t xml:space="preserve"> (the expenditure term is forced to be ever-present)</w:t>
      </w:r>
      <w:r w:rsidRPr="002F6E72">
        <w:t>.</w:t>
      </w:r>
      <w:r w:rsidR="00032D4C" w:rsidRPr="002F6E72">
        <w:t xml:space="preserve"> </w:t>
      </w:r>
      <w:r w:rsidRPr="002F6E72">
        <w:t xml:space="preserve"> This specification </w:t>
      </w:r>
      <w:r w:rsidR="00082110" w:rsidRPr="002F6E72">
        <w:t xml:space="preserve">becomes our preferred result if the estimated coefficients correspond with our theoretical priors </w:t>
      </w:r>
      <w:r w:rsidR="00A91E02" w:rsidRPr="002F6E72">
        <w:t>(</w:t>
      </w:r>
      <w:proofErr w:type="spellStart"/>
      <w:r w:rsidR="00A91E02" w:rsidRPr="002F6E72">
        <w:t>eg</w:t>
      </w:r>
      <w:proofErr w:type="spellEnd"/>
      <w:r w:rsidR="00A91E02" w:rsidRPr="002F6E72">
        <w:t xml:space="preserve"> the coefficient on expenditure is not positive) </w:t>
      </w:r>
      <w:r w:rsidR="00082110" w:rsidRPr="002F6E72">
        <w:t xml:space="preserve">and </w:t>
      </w:r>
      <w:r w:rsidRPr="002F6E72">
        <w:t>i</w:t>
      </w:r>
      <w:r w:rsidR="00082110" w:rsidRPr="002F6E72">
        <w:t xml:space="preserve">t </w:t>
      </w:r>
      <w:r w:rsidRPr="002F6E72">
        <w:t>passes the appropriate statistical tests (</w:t>
      </w:r>
      <w:proofErr w:type="spellStart"/>
      <w:r w:rsidRPr="002F6E72">
        <w:t>eg</w:t>
      </w:r>
      <w:proofErr w:type="spellEnd"/>
      <w:r w:rsidRPr="002F6E72">
        <w:t xml:space="preserve"> the instruments are</w:t>
      </w:r>
      <w:r w:rsidR="00082110" w:rsidRPr="002F6E72">
        <w:t xml:space="preserve"> valid and </w:t>
      </w:r>
      <w:r w:rsidR="00A91E02" w:rsidRPr="002F6E72">
        <w:t>strong).  However,</w:t>
      </w:r>
      <w:r w:rsidRPr="002F6E72">
        <w:t xml:space="preserve"> if this is not the case, the specification is adjusted (</w:t>
      </w:r>
      <w:proofErr w:type="spellStart"/>
      <w:r w:rsidRPr="002F6E72">
        <w:t>eg</w:t>
      </w:r>
      <w:proofErr w:type="spellEnd"/>
      <w:r w:rsidRPr="002F6E72">
        <w:t xml:space="preserve"> an invalid instrument is removed) and the equation re-estimated.  </w:t>
      </w:r>
      <w:r w:rsidR="00451896" w:rsidRPr="002F6E72">
        <w:t xml:space="preserve">When the specification requires no further </w:t>
      </w:r>
      <w:proofErr w:type="gramStart"/>
      <w:r w:rsidR="00451896" w:rsidRPr="002F6E72">
        <w:t>adjustment</w:t>
      </w:r>
      <w:proofErr w:type="gramEnd"/>
      <w:r w:rsidR="00451896" w:rsidRPr="002F6E72">
        <w:t xml:space="preserve"> it becomes our preferred specification for this estimation </w:t>
      </w:r>
      <w:r w:rsidR="00CD054F" w:rsidRPr="002F6E72">
        <w:t>year</w:t>
      </w:r>
      <w:r w:rsidR="003D4002" w:rsidRPr="002F6E72">
        <w:t xml:space="preserve"> (2005/06)</w:t>
      </w:r>
      <w:r w:rsidR="00451896" w:rsidRPr="002F6E72">
        <w:t>.</w:t>
      </w:r>
    </w:p>
    <w:p w14:paraId="06AB0F2B" w14:textId="77777777" w:rsidR="0054619A" w:rsidRPr="002F6E72" w:rsidRDefault="0054619A" w:rsidP="00931B7C">
      <w:pPr>
        <w:spacing w:line="480" w:lineRule="auto"/>
      </w:pPr>
    </w:p>
    <w:p w14:paraId="2ED563F9" w14:textId="668E5BCC" w:rsidR="00E4668E" w:rsidRPr="002F6E72" w:rsidRDefault="001959BB" w:rsidP="00931B7C">
      <w:pPr>
        <w:spacing w:line="480" w:lineRule="auto"/>
      </w:pPr>
      <w:r w:rsidRPr="002F6E72">
        <w:t>Rather than re-derive the precise empirical specification for each programme for the following year</w:t>
      </w:r>
      <w:r w:rsidR="0054619A" w:rsidRPr="002F6E72">
        <w:t xml:space="preserve"> (i</w:t>
      </w:r>
      <w:r w:rsidR="0092768F" w:rsidRPr="002F6E72">
        <w:t>.</w:t>
      </w:r>
      <w:r w:rsidR="0054619A" w:rsidRPr="002F6E72">
        <w:t>e</w:t>
      </w:r>
      <w:r w:rsidR="0092768F" w:rsidRPr="002F6E72">
        <w:t>.,</w:t>
      </w:r>
      <w:r w:rsidR="0054619A" w:rsidRPr="002F6E72">
        <w:t xml:space="preserve"> for 2006/7)</w:t>
      </w:r>
      <w:r w:rsidRPr="002F6E72">
        <w:t>, we update the dat</w:t>
      </w:r>
      <w:r w:rsidR="00350B6D" w:rsidRPr="002F6E72">
        <w:t>a</w:t>
      </w:r>
      <w:r w:rsidRPr="002F6E72">
        <w:t>set and use the prefe</w:t>
      </w:r>
      <w:r w:rsidR="00F943D4" w:rsidRPr="002F6E72">
        <w:t xml:space="preserve">rred </w:t>
      </w:r>
      <w:r w:rsidRPr="002F6E72">
        <w:t>specification for 2005</w:t>
      </w:r>
      <w:r w:rsidR="003D4002" w:rsidRPr="002F6E72">
        <w:t>/06</w:t>
      </w:r>
      <w:r w:rsidR="00306D7B" w:rsidRPr="002F6E72">
        <w:t xml:space="preserve"> to re-estimate e</w:t>
      </w:r>
      <w:r w:rsidRPr="002F6E72">
        <w:t>ach outcome equation for 2006</w:t>
      </w:r>
      <w:r w:rsidR="003D4002" w:rsidRPr="002F6E72">
        <w:t>/07</w:t>
      </w:r>
      <w:r w:rsidR="00306D7B" w:rsidRPr="002F6E72">
        <w:t xml:space="preserve">.  </w:t>
      </w:r>
      <w:r w:rsidR="00F943D4" w:rsidRPr="002F6E72">
        <w:t>We use this as our preferred result for 2006</w:t>
      </w:r>
      <w:r w:rsidR="003D4002" w:rsidRPr="002F6E72">
        <w:t>/07</w:t>
      </w:r>
      <w:r w:rsidR="00F943D4" w:rsidRPr="002F6E72">
        <w:t xml:space="preserve"> i</w:t>
      </w:r>
      <w:r w:rsidR="00306D7B" w:rsidRPr="002F6E72">
        <w:t>f this re-estima</w:t>
      </w:r>
      <w:r w:rsidR="00356E69" w:rsidRPr="002F6E72">
        <w:t>tion produces a result that</w:t>
      </w:r>
      <w:r w:rsidR="00306D7B" w:rsidRPr="002F6E72">
        <w:t xml:space="preserve"> passes the approp</w:t>
      </w:r>
      <w:r w:rsidR="00082110" w:rsidRPr="002F6E72">
        <w:t xml:space="preserve">riate statistical tests and </w:t>
      </w:r>
      <w:r w:rsidR="00306D7B" w:rsidRPr="002F6E72">
        <w:t xml:space="preserve">generates coefficients in line with </w:t>
      </w:r>
      <w:r w:rsidR="00350B6D" w:rsidRPr="002F6E72">
        <w:t xml:space="preserve">our </w:t>
      </w:r>
      <w:r w:rsidR="00E74FBF" w:rsidRPr="002F6E72">
        <w:t xml:space="preserve">theoretical priors.  </w:t>
      </w:r>
      <w:r w:rsidR="00082110" w:rsidRPr="002F6E72">
        <w:t>If the</w:t>
      </w:r>
      <w:r w:rsidR="00306D7B" w:rsidRPr="002F6E72">
        <w:t xml:space="preserve"> re-est</w:t>
      </w:r>
      <w:r w:rsidR="009C4F9A" w:rsidRPr="002F6E72">
        <w:t xml:space="preserve">imation fails to do this, </w:t>
      </w:r>
      <w:r w:rsidR="00306D7B" w:rsidRPr="002F6E72">
        <w:t>we re-estimate the equation having adjusted the specification as su</w:t>
      </w:r>
      <w:r w:rsidR="00235F06">
        <w:t>ggested by the initial result.</w:t>
      </w:r>
      <w:r w:rsidR="00306D7B" w:rsidRPr="002F6E72">
        <w:t xml:space="preserve">  </w:t>
      </w:r>
      <w:r w:rsidR="00B71367" w:rsidRPr="002F6E72">
        <w:t>This process – of using the empirical specification for the previous year and applying it to updated data – is applied to each year’s dataset both going forward from 2005/06</w:t>
      </w:r>
      <w:r w:rsidR="007E04EE" w:rsidRPr="002F6E72">
        <w:t xml:space="preserve"> </w:t>
      </w:r>
      <w:r w:rsidR="00B71367" w:rsidRPr="002F6E72">
        <w:t xml:space="preserve">to 2012/13, and </w:t>
      </w:r>
      <w:r w:rsidR="007E04EE" w:rsidRPr="002F6E72">
        <w:t xml:space="preserve">going </w:t>
      </w:r>
      <w:r w:rsidR="00B71367" w:rsidRPr="002F6E72">
        <w:t xml:space="preserve">back </w:t>
      </w:r>
      <w:r w:rsidR="00594CCA" w:rsidRPr="002F6E72">
        <w:t xml:space="preserve">from 2005/06 </w:t>
      </w:r>
      <w:r w:rsidR="00B71367" w:rsidRPr="002F6E72">
        <w:t xml:space="preserve">to 2003/04.   </w:t>
      </w:r>
      <w:r w:rsidR="00312405" w:rsidRPr="002F6E72">
        <w:t xml:space="preserve">In addition to </w:t>
      </w:r>
      <w:r w:rsidR="00594CCA" w:rsidRPr="002F6E72">
        <w:t xml:space="preserve">nine </w:t>
      </w:r>
      <w:r w:rsidR="00312405" w:rsidRPr="002F6E72">
        <w:t xml:space="preserve">disease-specific outcome equations, we also </w:t>
      </w:r>
      <w:r w:rsidR="00E4668E" w:rsidRPr="002F6E72">
        <w:t xml:space="preserve">use this estimation strategy to </w:t>
      </w:r>
      <w:r w:rsidR="004F4FC7" w:rsidRPr="002F6E72">
        <w:t xml:space="preserve">obtain </w:t>
      </w:r>
      <w:r w:rsidR="00E4668E" w:rsidRPr="002F6E72">
        <w:t xml:space="preserve">an </w:t>
      </w:r>
      <w:r w:rsidR="00312405" w:rsidRPr="002F6E72">
        <w:t xml:space="preserve">all-cause specification </w:t>
      </w:r>
      <w:r w:rsidR="00E4668E" w:rsidRPr="002F6E72">
        <w:t>for each year.</w:t>
      </w:r>
    </w:p>
    <w:p w14:paraId="70962CD6" w14:textId="5E54E05E" w:rsidR="00356E69" w:rsidRPr="002F6E72" w:rsidRDefault="00356E69" w:rsidP="00931B7C">
      <w:pPr>
        <w:spacing w:line="480" w:lineRule="auto"/>
      </w:pPr>
    </w:p>
    <w:p w14:paraId="7ADE5C02" w14:textId="3DA78B14" w:rsidR="007B0DF7" w:rsidRPr="002F6E72" w:rsidRDefault="00356E69" w:rsidP="00687BA3">
      <w:pPr>
        <w:spacing w:line="480" w:lineRule="auto"/>
      </w:pPr>
      <w:r w:rsidRPr="002F6E72">
        <w:t>Ideally, the same empirical specification would be relevant for a particular disease area for each data year but sometimes the specification requires adjustment</w:t>
      </w:r>
      <w:r w:rsidR="00753A74">
        <w:t xml:space="preserve"> (table A1 in appendix</w:t>
      </w:r>
      <w:r w:rsidR="00EB5517">
        <w:t xml:space="preserve"> 0</w:t>
      </w:r>
      <w:r w:rsidR="00753A74">
        <w:t xml:space="preserve"> provides a qualitative indicator </w:t>
      </w:r>
      <w:r w:rsidR="00753A74" w:rsidRPr="00B856F2">
        <w:t>of the degree to which the preferred specification for the current year has been changed from that for the previous year</w:t>
      </w:r>
      <w:r w:rsidR="00753A74">
        <w:t>)</w:t>
      </w:r>
      <w:r w:rsidRPr="002F6E72">
        <w:t xml:space="preserve">.  There may be good reasons </w:t>
      </w:r>
      <w:r w:rsidR="00753A74">
        <w:t>why adjustment is required</w:t>
      </w:r>
      <w:r w:rsidRPr="002F6E72">
        <w:t xml:space="preserve">.  </w:t>
      </w:r>
      <w:r w:rsidR="00B212DA">
        <w:t xml:space="preserve">For example, </w:t>
      </w:r>
      <w:r w:rsidR="00005A17" w:rsidRPr="002F6E72">
        <w:t xml:space="preserve">the </w:t>
      </w:r>
      <w:r w:rsidR="00504267">
        <w:t xml:space="preserve">general </w:t>
      </w:r>
      <w:r w:rsidR="00504267" w:rsidRPr="00612EC8">
        <w:t xml:space="preserve">population </w:t>
      </w:r>
      <w:r w:rsidR="00504267">
        <w:t xml:space="preserve">and the population at risk </w:t>
      </w:r>
      <w:r w:rsidR="00005A17" w:rsidRPr="002F6E72">
        <w:t xml:space="preserve">in each </w:t>
      </w:r>
      <w:r w:rsidR="00504267">
        <w:t xml:space="preserve">disease </w:t>
      </w:r>
      <w:r w:rsidR="00005A17" w:rsidRPr="002F6E72">
        <w:t xml:space="preserve">area will be changing every year and this may affect the relationship between </w:t>
      </w:r>
      <w:r w:rsidR="00504267">
        <w:t xml:space="preserve">instruments, </w:t>
      </w:r>
      <w:r w:rsidR="00005A17" w:rsidRPr="002F6E72">
        <w:t>expenditure</w:t>
      </w:r>
      <w:r w:rsidR="00EE1666" w:rsidRPr="002F6E72">
        <w:t>, controls</w:t>
      </w:r>
      <w:r w:rsidR="00005A17" w:rsidRPr="002F6E72">
        <w:t xml:space="preserve"> and mortality.  </w:t>
      </w:r>
      <w:r w:rsidR="00B212DA">
        <w:t xml:space="preserve">Moreover, </w:t>
      </w:r>
      <w:r w:rsidRPr="002F6E72">
        <w:t xml:space="preserve">we only have observations for the socio-economic controls for two years (for 2001 and 2011) and </w:t>
      </w:r>
      <w:r w:rsidR="00005A17" w:rsidRPr="002F6E72">
        <w:t xml:space="preserve">values </w:t>
      </w:r>
      <w:r w:rsidRPr="002F6E72">
        <w:t>for the intervening years</w:t>
      </w:r>
      <w:r w:rsidR="00EE1666" w:rsidRPr="002F6E72">
        <w:t xml:space="preserve"> are estimated using i</w:t>
      </w:r>
      <w:r w:rsidR="00005A17" w:rsidRPr="002F6E72">
        <w:t xml:space="preserve">nterpolation.  </w:t>
      </w:r>
      <w:r w:rsidRPr="002F6E72">
        <w:t>A chan</w:t>
      </w:r>
      <w:r w:rsidR="00005A17" w:rsidRPr="002F6E72">
        <w:t xml:space="preserve">ged specification might reflect inaccuracies associated with interpolation </w:t>
      </w:r>
      <w:r w:rsidRPr="002F6E72">
        <w:t xml:space="preserve">rather </w:t>
      </w:r>
      <w:r w:rsidR="00005A17" w:rsidRPr="002F6E72">
        <w:t>than a</w:t>
      </w:r>
      <w:r w:rsidR="00EE1666" w:rsidRPr="002F6E72">
        <w:t>ny</w:t>
      </w:r>
      <w:r w:rsidR="00005A17" w:rsidRPr="002F6E72">
        <w:t xml:space="preserve"> change in the underlying data generating process.  </w:t>
      </w:r>
    </w:p>
    <w:p w14:paraId="7DD6EC9C" w14:textId="77777777" w:rsidR="00687BA3" w:rsidRDefault="00687BA3" w:rsidP="00687BA3">
      <w:pPr>
        <w:spacing w:line="480" w:lineRule="auto"/>
      </w:pPr>
    </w:p>
    <w:p w14:paraId="7B581AD7" w14:textId="1F445B89" w:rsidR="009D555E" w:rsidRDefault="00E966B2" w:rsidP="00687BA3">
      <w:pPr>
        <w:spacing w:line="480" w:lineRule="auto"/>
      </w:pPr>
      <w:r>
        <w:lastRenderedPageBreak/>
        <w:t xml:space="preserve">When estimating regressions, the values for all variables are logged so that regression coefficients can be interpreted as </w:t>
      </w:r>
      <w:r w:rsidR="00CE221A">
        <w:t xml:space="preserve">elasticities.  </w:t>
      </w:r>
      <w:r>
        <w:t xml:space="preserve">All observations are weighted by the size of </w:t>
      </w:r>
      <w:r w:rsidR="00412C5C">
        <w:t xml:space="preserve">the area’s </w:t>
      </w:r>
      <w:r>
        <w:t>p</w:t>
      </w:r>
      <w:r w:rsidR="00412C5C">
        <w:t xml:space="preserve">opulation and robust </w:t>
      </w:r>
      <w:r>
        <w:t xml:space="preserve">standard errors are reported.  Estimation is undertaken using the </w:t>
      </w:r>
      <w:r w:rsidRPr="00071181">
        <w:rPr>
          <w:i/>
        </w:rPr>
        <w:t xml:space="preserve">Stata </w:t>
      </w:r>
      <w:r w:rsidR="007D4D01" w:rsidRPr="007D4D01">
        <w:t>statistical package</w:t>
      </w:r>
      <w:r w:rsidR="007D4D01">
        <w:rPr>
          <w:i/>
        </w:rPr>
        <w:t xml:space="preserve"> </w:t>
      </w:r>
      <w:r w:rsidR="007D4D01" w:rsidRPr="007D4D01">
        <w:t>and the</w:t>
      </w:r>
      <w:r w:rsidR="007D4D01">
        <w:rPr>
          <w:i/>
        </w:rPr>
        <w:t xml:space="preserve"> </w:t>
      </w:r>
      <w:r w:rsidRPr="00071181">
        <w:rPr>
          <w:i/>
        </w:rPr>
        <w:t>ivreg2</w:t>
      </w:r>
      <w:r w:rsidR="007D4D01">
        <w:t xml:space="preserve"> command</w:t>
      </w:r>
      <w:r w:rsidR="00B1454D">
        <w:t xml:space="preserve"> [20</w:t>
      </w:r>
      <w:r w:rsidR="0019671F">
        <w:t>].</w:t>
      </w:r>
      <w:r w:rsidR="00923B91">
        <w:t xml:space="preserve">  </w:t>
      </w:r>
      <w:r w:rsidR="00913BB4">
        <w:t>In addition to the weak instrument and valid instrument tests mentioned above, we also report a test for whether expenditure is endogenous and a reset test (</w:t>
      </w:r>
      <w:proofErr w:type="spellStart"/>
      <w:r w:rsidR="00913BB4">
        <w:t>Pesaran</w:t>
      </w:r>
      <w:proofErr w:type="spellEnd"/>
      <w:r w:rsidR="00913BB4">
        <w:t>-Taylor) for mis-specification</w:t>
      </w:r>
      <w:r w:rsidR="00002D19">
        <w:t xml:space="preserve"> [20, 21</w:t>
      </w:r>
      <w:r w:rsidR="00AA2ECE">
        <w:t>]</w:t>
      </w:r>
      <w:r w:rsidR="00913BB4">
        <w:t xml:space="preserve">. </w:t>
      </w:r>
    </w:p>
    <w:p w14:paraId="0C36D6FC" w14:textId="0DE46C88" w:rsidR="00356E69" w:rsidRDefault="00356E69" w:rsidP="00931B7C">
      <w:pPr>
        <w:spacing w:line="480" w:lineRule="auto"/>
      </w:pPr>
    </w:p>
    <w:p w14:paraId="01EBE0FF" w14:textId="5542DD37" w:rsidR="00D013FF" w:rsidRDefault="00773727" w:rsidP="00D013FF">
      <w:pPr>
        <w:spacing w:line="480" w:lineRule="auto"/>
        <w:rPr>
          <w:b/>
          <w:i/>
        </w:rPr>
      </w:pPr>
      <w:bookmarkStart w:id="4" w:name="_Hlk63031582"/>
      <w:r>
        <w:rPr>
          <w:b/>
          <w:i/>
        </w:rPr>
        <w:t>2.</w:t>
      </w:r>
      <w:r w:rsidR="000811CB">
        <w:rPr>
          <w:b/>
          <w:i/>
        </w:rPr>
        <w:t>5</w:t>
      </w:r>
      <w:r w:rsidR="00600DAF">
        <w:rPr>
          <w:b/>
          <w:i/>
        </w:rPr>
        <w:t xml:space="preserve"> </w:t>
      </w:r>
      <w:r>
        <w:rPr>
          <w:b/>
          <w:i/>
        </w:rPr>
        <w:t xml:space="preserve">Using the outcome elasticities to estimate the </w:t>
      </w:r>
      <w:r w:rsidR="00D013FF" w:rsidRPr="002F6E72">
        <w:rPr>
          <w:b/>
          <w:i/>
        </w:rPr>
        <w:t>cost per QA</w:t>
      </w:r>
      <w:r>
        <w:rPr>
          <w:b/>
          <w:i/>
        </w:rPr>
        <w:t xml:space="preserve">LY </w:t>
      </w:r>
    </w:p>
    <w:p w14:paraId="31758AE1" w14:textId="6AB4C85C" w:rsidR="00BF4247" w:rsidRPr="00BF4247" w:rsidRDefault="002909D4" w:rsidP="00BF4247">
      <w:pPr>
        <w:spacing w:line="480" w:lineRule="auto"/>
      </w:pPr>
      <w:r w:rsidRPr="002909D4">
        <w:t>The outcome elasticities obtained by estimating equation (1) for each disease area with a mortality indicator in</w:t>
      </w:r>
      <w:r>
        <w:t>dicate the proportionate effect</w:t>
      </w:r>
      <w:r w:rsidRPr="002909D4">
        <w:t xml:space="preserve"> on mortality in that particular disease area in one year, due to a proportionate change in total expenditure.  These </w:t>
      </w:r>
      <w:r w:rsidR="003010AF">
        <w:t xml:space="preserve">elasticities </w:t>
      </w:r>
      <w:r w:rsidRPr="002909D4">
        <w:t xml:space="preserve">are used as a </w:t>
      </w:r>
      <w:r>
        <w:t>surrogate for the likely effect</w:t>
      </w:r>
      <w:r w:rsidRPr="002909D4">
        <w:t xml:space="preserve"> of </w:t>
      </w:r>
      <w:r>
        <w:t>a change</w:t>
      </w:r>
      <w:r w:rsidRPr="002909D4">
        <w:t xml:space="preserve"> in expenditure on a more complete measur</w:t>
      </w:r>
      <w:r>
        <w:t>e of the health</w:t>
      </w:r>
      <w:r w:rsidRPr="002909D4">
        <w:t>, which combine</w:t>
      </w:r>
      <w:r>
        <w:t>s</w:t>
      </w:r>
      <w:r w:rsidRPr="002909D4">
        <w:t xml:space="preserve"> survival and morbidity effects (i.e., changes in the QALY burden of disease).  In those PB</w:t>
      </w:r>
      <w:r>
        <w:t>Cs without significant mort</w:t>
      </w:r>
      <w:r w:rsidRPr="002909D4">
        <w:t>ality</w:t>
      </w:r>
      <w:r w:rsidR="00246BD6">
        <w:t xml:space="preserve"> </w:t>
      </w:r>
      <w:r w:rsidR="00246BD6">
        <w:rPr>
          <w:rFonts w:cstheme="minorHAnsi"/>
        </w:rPr>
        <w:t xml:space="preserve">(see table A1 in </w:t>
      </w:r>
      <w:r w:rsidR="00246BD6" w:rsidRPr="00811DC7">
        <w:t>appendix</w:t>
      </w:r>
      <w:r w:rsidR="00246BD6">
        <w:rPr>
          <w:rFonts w:cstheme="minorHAnsi"/>
        </w:rPr>
        <w:t xml:space="preserve"> 1)</w:t>
      </w:r>
      <w:r>
        <w:t>,</w:t>
      </w:r>
      <w:r w:rsidRPr="002909D4">
        <w:t xml:space="preserve"> where </w:t>
      </w:r>
      <w:r>
        <w:t xml:space="preserve">mortality </w:t>
      </w:r>
      <w:r w:rsidRPr="002909D4">
        <w:t xml:space="preserve">elasticities cannot be estimated, the proportional effect of </w:t>
      </w:r>
      <w:r w:rsidR="00487548">
        <w:t>a change</w:t>
      </w:r>
      <w:r w:rsidRPr="002909D4">
        <w:t xml:space="preserve"> in expenditure on the QALY burden of disease is assumed to be the same as the overall proportional effect on the burden of disease across those PBCs where </w:t>
      </w:r>
      <w:r w:rsidR="00487548">
        <w:t xml:space="preserve">the </w:t>
      </w:r>
      <w:r w:rsidRPr="002909D4">
        <w:t>mortality eff</w:t>
      </w:r>
      <w:r w:rsidR="00487548">
        <w:t>ect</w:t>
      </w:r>
      <w:r>
        <w:t xml:space="preserve"> can</w:t>
      </w:r>
      <w:r w:rsidRPr="002909D4">
        <w:t xml:space="preserve"> be estimated</w:t>
      </w:r>
      <w:r w:rsidR="008E2391">
        <w:t xml:space="preserve"> (this is the extrapolation assumption)</w:t>
      </w:r>
      <w:r w:rsidRPr="002909D4">
        <w:t xml:space="preserve">. </w:t>
      </w:r>
      <w:r w:rsidR="00246BD6">
        <w:t xml:space="preserve"> The estimated outcome elasticities, together with the</w:t>
      </w:r>
      <w:r w:rsidR="00487548">
        <w:t>se</w:t>
      </w:r>
      <w:r w:rsidR="00246BD6">
        <w:t xml:space="preserve"> </w:t>
      </w:r>
      <w:r w:rsidR="00246BD6" w:rsidRPr="002909D4">
        <w:t>surrogacy and extrapolation</w:t>
      </w:r>
      <w:r w:rsidR="00246BD6">
        <w:t xml:space="preserve"> assumptions, are used to calculate the change in the </w:t>
      </w:r>
      <w:r w:rsidR="00BF4247">
        <w:t xml:space="preserve">total </w:t>
      </w:r>
      <w:r w:rsidR="00246BD6">
        <w:t xml:space="preserve">QALY burden </w:t>
      </w:r>
      <w:r w:rsidR="00043421">
        <w:t xml:space="preserve">across all PBCs </w:t>
      </w:r>
      <w:r w:rsidR="00246BD6">
        <w:t>associated with a small change in health care expenditure</w:t>
      </w:r>
      <w:r w:rsidR="00BF4247">
        <w:t xml:space="preserve">, and hence </w:t>
      </w:r>
      <w:r w:rsidR="00BF4247">
        <w:rPr>
          <w:rFonts w:cstheme="minorHAnsi"/>
        </w:rPr>
        <w:t xml:space="preserve">the </w:t>
      </w:r>
      <w:r w:rsidR="00BF4247" w:rsidRPr="002F6E72">
        <w:rPr>
          <w:rFonts w:cstheme="minorHAnsi"/>
        </w:rPr>
        <w:t xml:space="preserve">marginal </w:t>
      </w:r>
      <w:r w:rsidR="00BF4247">
        <w:rPr>
          <w:rFonts w:cstheme="minorHAnsi"/>
        </w:rPr>
        <w:t>cost per QALY</w:t>
      </w:r>
      <w:r w:rsidR="00BF4247" w:rsidRPr="002F6E72">
        <w:rPr>
          <w:rFonts w:cstheme="minorHAnsi"/>
        </w:rPr>
        <w:t xml:space="preserve">.  </w:t>
      </w:r>
      <w:r w:rsidR="00BF4247">
        <w:rPr>
          <w:rFonts w:cstheme="minorHAnsi"/>
        </w:rPr>
        <w:t>We also calculate the number of QALYs gained through a small (£10m) increase in the total NHS budget.</w:t>
      </w:r>
    </w:p>
    <w:p w14:paraId="44751589" w14:textId="28B27200" w:rsidR="00246BD6" w:rsidRDefault="00246BD6" w:rsidP="002909D4">
      <w:pPr>
        <w:spacing w:line="480" w:lineRule="auto"/>
      </w:pPr>
    </w:p>
    <w:p w14:paraId="2BF9672C" w14:textId="60B16DF3" w:rsidR="002909D4" w:rsidRPr="002909D4" w:rsidRDefault="00FC060B" w:rsidP="002909D4">
      <w:pPr>
        <w:spacing w:line="480" w:lineRule="auto"/>
      </w:pPr>
      <w:r>
        <w:t xml:space="preserve">The </w:t>
      </w:r>
      <w:r w:rsidR="002909D4" w:rsidRPr="002909D4">
        <w:t>assumptions of surrogacy</w:t>
      </w:r>
      <w:r>
        <w:t xml:space="preserve"> and extrapolation </w:t>
      </w:r>
      <w:r w:rsidR="002909D4" w:rsidRPr="002909D4">
        <w:t xml:space="preserve">have been found to be conservative with respect to the likely health effects of changes in expenditure </w:t>
      </w:r>
      <w:r w:rsidR="004C0DB4">
        <w:t>[22, 23].</w:t>
      </w:r>
      <w:r w:rsidR="002909D4" w:rsidRPr="002909D4">
        <w:t xml:space="preserve"> </w:t>
      </w:r>
      <w:r w:rsidR="004C0DB4">
        <w:t xml:space="preserve"> </w:t>
      </w:r>
      <w:r w:rsidR="002909D4" w:rsidRPr="002909D4">
        <w:t xml:space="preserve">Both, however, require </w:t>
      </w:r>
      <w:r w:rsidR="002909D4" w:rsidRPr="002909D4">
        <w:lastRenderedPageBreak/>
        <w:t>estimates of the total QALY burden of disease for the population with disease (in a PBC) in a</w:t>
      </w:r>
      <w:r>
        <w:t xml:space="preserve"> particular expenditure year.  </w:t>
      </w:r>
      <w:r w:rsidR="002909D4" w:rsidRPr="002909D4">
        <w:t>Each PBC (with the exceptions of PBCs 16, 22 and 23) is a subset of the approximately 1500 non-procedural</w:t>
      </w:r>
      <w:r>
        <w:t xml:space="preserve">, 3-digit ICD 10 codes.  </w:t>
      </w:r>
      <w:r w:rsidR="002909D4" w:rsidRPr="002909D4">
        <w:t>Therefore, the QALY burden of disease is first estimated at ICD code level before being aggregated to each PBC</w:t>
      </w:r>
      <w:r>
        <w:t xml:space="preserve"> (see a</w:t>
      </w:r>
      <w:r w:rsidR="003010AF">
        <w:t>ppendix 1 for additional step</w:t>
      </w:r>
      <w:r w:rsidR="002909D4" w:rsidRPr="002909D4">
        <w:t xml:space="preserve">wise explanation, sources and specific links to </w:t>
      </w:r>
      <w:r>
        <w:t xml:space="preserve">the </w:t>
      </w:r>
      <w:r w:rsidR="002909D4" w:rsidRPr="002909D4">
        <w:t>previous publication of these methods and data).</w:t>
      </w:r>
    </w:p>
    <w:p w14:paraId="19F7CA3E" w14:textId="77777777" w:rsidR="002909D4" w:rsidRPr="002909D4" w:rsidRDefault="002909D4" w:rsidP="002909D4">
      <w:pPr>
        <w:spacing w:line="480" w:lineRule="auto"/>
      </w:pPr>
      <w:r w:rsidRPr="002909D4">
        <w:t xml:space="preserve">  </w:t>
      </w:r>
    </w:p>
    <w:p w14:paraId="52167C65" w14:textId="03743EBE" w:rsidR="002909D4" w:rsidRPr="002909D4" w:rsidRDefault="00B856F2" w:rsidP="002909D4">
      <w:pPr>
        <w:spacing w:line="480" w:lineRule="auto"/>
      </w:pPr>
      <w:r>
        <w:t>Office for National Statistics (</w:t>
      </w:r>
      <w:r w:rsidR="002909D4" w:rsidRPr="002909D4">
        <w:t>ONS</w:t>
      </w:r>
      <w:r>
        <w:t>)</w:t>
      </w:r>
      <w:r w:rsidR="002909D4" w:rsidRPr="002909D4">
        <w:t xml:space="preserve"> data, which report the age of death, for all deaths, by gender for all ICD codes each year, combined with evidence about the age and gender distribution of the at</w:t>
      </w:r>
      <w:r w:rsidR="00593F9B">
        <w:t>-</w:t>
      </w:r>
      <w:r w:rsidR="002909D4" w:rsidRPr="002909D4">
        <w:t>risk population in each ICD code, is compared to the life expectancy of the matched general population, to provide a measure of the sur</w:t>
      </w:r>
      <w:r w:rsidR="00BF4247">
        <w:t xml:space="preserve">vival burden of disease (YLL).  </w:t>
      </w:r>
      <w:r w:rsidR="002909D4" w:rsidRPr="002909D4">
        <w:t>The impact of disease on quality of life for those surviving with disease must first account for evidence of quality of life ‘norms’ for the general population by age and gender of the at</w:t>
      </w:r>
      <w:r w:rsidR="00593F9B">
        <w:t>-</w:t>
      </w:r>
      <w:r w:rsidR="002909D4" w:rsidRPr="002909D4">
        <w:t xml:space="preserve">risk population in each ICD code.  Quality of life decrements due to disease (using pooled data from </w:t>
      </w:r>
      <w:r w:rsidR="00BF4247">
        <w:t>the Health Outcome Data Repository</w:t>
      </w:r>
      <w:r w:rsidR="00BF4247" w:rsidRPr="002909D4">
        <w:t xml:space="preserve"> </w:t>
      </w:r>
      <w:r w:rsidR="00BF4247">
        <w:t>(</w:t>
      </w:r>
      <w:proofErr w:type="spellStart"/>
      <w:r w:rsidR="002909D4" w:rsidRPr="002909D4">
        <w:t>HoDAR</w:t>
      </w:r>
      <w:proofErr w:type="spellEnd"/>
      <w:r w:rsidR="00BF4247">
        <w:t>)</w:t>
      </w:r>
      <w:r w:rsidR="002909D4" w:rsidRPr="002909D4">
        <w:t xml:space="preserve"> and </w:t>
      </w:r>
      <w:r w:rsidR="00BF4247">
        <w:t>the Medical Expenditure Panel Survey (</w:t>
      </w:r>
      <w:r w:rsidR="002909D4" w:rsidRPr="002909D4">
        <w:t>MEPS</w:t>
      </w:r>
      <w:r w:rsidR="00BF4247">
        <w:t>)</w:t>
      </w:r>
      <w:r w:rsidR="002909D4" w:rsidRPr="002909D4">
        <w:t>) are then applied to these age and gender ‘</w:t>
      </w:r>
      <w:proofErr w:type="gramStart"/>
      <w:r w:rsidR="002909D4" w:rsidRPr="002909D4">
        <w:t>norms’</w:t>
      </w:r>
      <w:proofErr w:type="gramEnd"/>
      <w:r w:rsidR="002909D4" w:rsidRPr="002909D4">
        <w:t xml:space="preserve">.  </w:t>
      </w:r>
    </w:p>
    <w:p w14:paraId="20D61DE6" w14:textId="77777777" w:rsidR="00BF4247" w:rsidRDefault="00BF4247" w:rsidP="002909D4">
      <w:pPr>
        <w:spacing w:line="480" w:lineRule="auto"/>
      </w:pPr>
    </w:p>
    <w:p w14:paraId="3084B170" w14:textId="27390913" w:rsidR="002909D4" w:rsidRPr="002909D4" w:rsidRDefault="002909D4" w:rsidP="002909D4">
      <w:pPr>
        <w:spacing w:line="480" w:lineRule="auto"/>
      </w:pPr>
      <w:r w:rsidRPr="002909D4">
        <w:t>Therefore, the total QALY burden of disease (for each ICD code aggregated to PBC) in one year is the sum of the YLL adjusted for quality of life norms and the quality of life impact of disease on average for the incident and prevalent population in one year.  These are updated each year using the routinely reported ONS data, which provides age of death for all deaths</w:t>
      </w:r>
      <w:r w:rsidR="00593F9B">
        <w:t>,</w:t>
      </w:r>
      <w:r w:rsidRPr="002909D4">
        <w:t xml:space="preserve"> by age of death and gender for all ICD codes</w:t>
      </w:r>
      <w:r w:rsidR="00593F9B">
        <w:t>,</w:t>
      </w:r>
      <w:r w:rsidRPr="002909D4">
        <w:t xml:space="preserve"> and life expectancy for the general population matched to the age and gender of the at</w:t>
      </w:r>
      <w:r w:rsidR="00593F9B">
        <w:t>-</w:t>
      </w:r>
      <w:r w:rsidRPr="002909D4">
        <w:t xml:space="preserve">risk population in each ICD code (using ONS life tables). </w:t>
      </w:r>
      <w:r w:rsidR="00BF4247">
        <w:t xml:space="preserve"> </w:t>
      </w:r>
      <w:r w:rsidRPr="002909D4">
        <w:t xml:space="preserve">Estimates of </w:t>
      </w:r>
      <w:r w:rsidR="00BF4247">
        <w:t xml:space="preserve">the </w:t>
      </w:r>
      <w:r w:rsidRPr="002909D4">
        <w:t xml:space="preserve">YLL and total annual QALY burden </w:t>
      </w:r>
      <w:r w:rsidR="00BF4247">
        <w:t xml:space="preserve">by PBC </w:t>
      </w:r>
      <w:r w:rsidRPr="002909D4">
        <w:t xml:space="preserve">are reported in </w:t>
      </w:r>
      <w:r w:rsidR="005445F3">
        <w:t xml:space="preserve">table A1 in </w:t>
      </w:r>
      <w:r w:rsidRPr="002909D4">
        <w:t xml:space="preserve">appendix 1 for each year of expenditure data.  </w:t>
      </w:r>
    </w:p>
    <w:bookmarkEnd w:id="4"/>
    <w:p w14:paraId="2661A94C" w14:textId="05058F62" w:rsidR="00360C55" w:rsidRDefault="00360C55" w:rsidP="00E966B2">
      <w:pPr>
        <w:spacing w:after="200" w:line="276" w:lineRule="auto"/>
        <w:rPr>
          <w:b/>
        </w:rPr>
      </w:pPr>
    </w:p>
    <w:p w14:paraId="40E4CDDE" w14:textId="3924A1B4" w:rsidR="004C26BA" w:rsidRDefault="00360C55" w:rsidP="00E966B2">
      <w:pPr>
        <w:spacing w:after="200" w:line="276" w:lineRule="auto"/>
        <w:rPr>
          <w:b/>
        </w:rPr>
      </w:pPr>
      <w:r>
        <w:rPr>
          <w:b/>
        </w:rPr>
        <w:t>3</w:t>
      </w:r>
      <w:r w:rsidR="005068AA" w:rsidRPr="002F6E72">
        <w:rPr>
          <w:b/>
        </w:rPr>
        <w:t xml:space="preserve"> </w:t>
      </w:r>
      <w:r w:rsidR="00C046B3" w:rsidRPr="002F6E72">
        <w:rPr>
          <w:b/>
        </w:rPr>
        <w:t>Data</w:t>
      </w:r>
    </w:p>
    <w:p w14:paraId="4D5C4D9B" w14:textId="77777777" w:rsidR="001B7A1C" w:rsidRPr="002F6E72" w:rsidRDefault="001B7A1C" w:rsidP="00E966B2">
      <w:pPr>
        <w:spacing w:after="200" w:line="276" w:lineRule="auto"/>
        <w:rPr>
          <w:b/>
        </w:rPr>
      </w:pPr>
    </w:p>
    <w:p w14:paraId="4C45DF55" w14:textId="4EA8B495" w:rsidR="009F135B" w:rsidRPr="001B7A1C" w:rsidRDefault="001B7A1C" w:rsidP="009F135B">
      <w:pPr>
        <w:spacing w:line="480" w:lineRule="auto"/>
        <w:rPr>
          <w:b/>
          <w:i/>
        </w:rPr>
      </w:pPr>
      <w:r w:rsidRPr="001B7A1C">
        <w:rPr>
          <w:b/>
          <w:i/>
        </w:rPr>
        <w:t>3.1 Expenditure data</w:t>
      </w:r>
    </w:p>
    <w:p w14:paraId="357E4C69" w14:textId="684E6383" w:rsidR="009F135B" w:rsidRPr="00D37957" w:rsidRDefault="00810B25" w:rsidP="009F135B">
      <w:pPr>
        <w:spacing w:line="480" w:lineRule="auto"/>
        <w:rPr>
          <w:i/>
        </w:rPr>
      </w:pPr>
      <w:r>
        <w:t>NHS expenditure data w</w:t>
      </w:r>
      <w:r w:rsidR="00EC2173">
        <w:t>ere</w:t>
      </w:r>
      <w:r>
        <w:t xml:space="preserve"> obtained from the NHS programme budgeting website (see </w:t>
      </w:r>
      <w:hyperlink r:id="rId21" w:history="1">
        <w:r w:rsidRPr="007A4817">
          <w:rPr>
            <w:rStyle w:val="Hyperlink"/>
          </w:rPr>
          <w:t>https://www.networks.nhs.uk/nhs-networks/health-investment-network/news/2012-13-programme-budgeting-data-is-now-available</w:t>
        </w:r>
      </w:hyperlink>
      <w:r>
        <w:t xml:space="preserve">).  </w:t>
      </w:r>
      <w:r w:rsidR="0022095B">
        <w:t xml:space="preserve">This dataset includes all expenditure by PCTs including that on inpatient and outpatient care, pharmaceuticals and primary care.  </w:t>
      </w:r>
      <w:r w:rsidR="002C77C3" w:rsidRPr="002F6E72">
        <w:t>We want</w:t>
      </w:r>
      <w:r w:rsidR="00737BC9" w:rsidRPr="002F6E72">
        <w:t xml:space="preserve"> to </w:t>
      </w:r>
      <w:r w:rsidR="00DC367A" w:rsidRPr="002F6E72">
        <w:t>estimate outcome equations for as many years as possible</w:t>
      </w:r>
      <w:r w:rsidR="004C71A8" w:rsidRPr="002F6E72">
        <w:t xml:space="preserve">, from the first availability of </w:t>
      </w:r>
      <w:r w:rsidR="004F4FC7" w:rsidRPr="002F6E72">
        <w:t>the expenditure data (</w:t>
      </w:r>
      <w:r w:rsidR="003773B3" w:rsidRPr="002F6E72">
        <w:t>for 2003/04) to th</w:t>
      </w:r>
      <w:r w:rsidR="004C71A8" w:rsidRPr="002F6E72">
        <w:t>e aboliti</w:t>
      </w:r>
      <w:r w:rsidR="009F135B">
        <w:t xml:space="preserve">on of Primary Care Trusts in </w:t>
      </w:r>
      <w:r w:rsidR="004C71A8" w:rsidRPr="002F6E72">
        <w:t xml:space="preserve">March 2013.   The only geography for which mortality data is available over this entire period is </w:t>
      </w:r>
      <w:r w:rsidR="00E1672A" w:rsidRPr="002F6E72">
        <w:t>by</w:t>
      </w:r>
      <w:r w:rsidR="00514DB9" w:rsidRPr="002F6E72">
        <w:t xml:space="preserve"> </w:t>
      </w:r>
      <w:r w:rsidR="004C71A8" w:rsidRPr="002F6E72">
        <w:t>local authority</w:t>
      </w:r>
      <w:r w:rsidR="00E1672A" w:rsidRPr="002F6E72">
        <w:t xml:space="preserve"> </w:t>
      </w:r>
      <w:r w:rsidR="0098243F" w:rsidRPr="002F6E72">
        <w:t>and hence we use local authorities</w:t>
      </w:r>
      <w:r w:rsidR="00514DB9" w:rsidRPr="002F6E72">
        <w:t>, rather than PCTs, as our unit of analysis.</w:t>
      </w:r>
      <w:r w:rsidR="00692394" w:rsidRPr="002F6E72">
        <w:t xml:space="preserve">  </w:t>
      </w:r>
      <w:r w:rsidR="009F135B">
        <w:t xml:space="preserve">PCT expenditure </w:t>
      </w:r>
      <w:r w:rsidR="001847DB" w:rsidRPr="002F6E72">
        <w:t xml:space="preserve">data are converted to </w:t>
      </w:r>
      <w:r w:rsidR="009F135B">
        <w:t xml:space="preserve">a </w:t>
      </w:r>
      <w:r w:rsidR="001847DB" w:rsidRPr="002F6E72">
        <w:t>LA</w:t>
      </w:r>
      <w:r w:rsidR="009F135B">
        <w:t xml:space="preserve"> geography </w:t>
      </w:r>
      <w:r w:rsidR="001847DB" w:rsidRPr="002F6E72">
        <w:t xml:space="preserve">using </w:t>
      </w:r>
      <w:r w:rsidR="007D4D01">
        <w:t xml:space="preserve">information from </w:t>
      </w:r>
      <w:r w:rsidR="00BE1A83" w:rsidRPr="002F6E72">
        <w:t xml:space="preserve">a </w:t>
      </w:r>
      <w:r w:rsidR="001847DB" w:rsidRPr="002F6E72">
        <w:t>mapper that reflects population size</w:t>
      </w:r>
      <w:r w:rsidR="00BE1A83" w:rsidRPr="002F6E72">
        <w:t>s</w:t>
      </w:r>
      <w:r w:rsidR="001847DB" w:rsidRPr="002F6E72">
        <w:t xml:space="preserve"> as at mid-2010.</w:t>
      </w:r>
      <w:r w:rsidR="009F135B">
        <w:t xml:space="preserve">  </w:t>
      </w:r>
      <w:r w:rsidR="00D37957" w:rsidRPr="00D37957">
        <w:t>These time-fixed weights are used to map expenditure from PCTs to LAs according to the proportion of the PCT population in each LA.</w:t>
      </w:r>
      <w:r w:rsidR="00D37957">
        <w:rPr>
          <w:i/>
        </w:rPr>
        <w:t xml:space="preserve">  </w:t>
      </w:r>
      <w:r w:rsidR="009F135B" w:rsidRPr="002F6E72">
        <w:t>As Table 1 reveals, the average level of expenditure per person by LA for 2005/6 is £1,340, but this varies across LAs from just over £1,000 to just under £2,000 per person.</w:t>
      </w:r>
      <w:r w:rsidR="00313C3F">
        <w:t xml:space="preserve">  Further details about the expenditure data are in appendices 2 and 3.</w:t>
      </w:r>
    </w:p>
    <w:p w14:paraId="037E0349" w14:textId="691A1DA1" w:rsidR="004F4FC7" w:rsidRDefault="004F4FC7" w:rsidP="00931B7C">
      <w:pPr>
        <w:spacing w:line="480" w:lineRule="auto"/>
        <w:rPr>
          <w:b/>
          <w:i/>
        </w:rPr>
      </w:pPr>
    </w:p>
    <w:p w14:paraId="29EFA007" w14:textId="744E8B80" w:rsidR="001B7A1C" w:rsidRPr="002F6E72" w:rsidRDefault="001B7A1C" w:rsidP="00931B7C">
      <w:pPr>
        <w:spacing w:line="480" w:lineRule="auto"/>
        <w:rPr>
          <w:b/>
          <w:i/>
        </w:rPr>
      </w:pPr>
      <w:r>
        <w:rPr>
          <w:b/>
          <w:i/>
        </w:rPr>
        <w:t>3.2 Mortality data</w:t>
      </w:r>
    </w:p>
    <w:p w14:paraId="76E1C0CC" w14:textId="1DF6708C" w:rsidR="00313C3F" w:rsidRPr="00D37957" w:rsidRDefault="00434279" w:rsidP="00313C3F">
      <w:pPr>
        <w:spacing w:line="480" w:lineRule="auto"/>
        <w:rPr>
          <w:i/>
        </w:rPr>
      </w:pPr>
      <w:r w:rsidRPr="002F6E72">
        <w:t>To study of the impact of expenditure in 2005/6 on health outcomes</w:t>
      </w:r>
      <w:r>
        <w:t>, w</w:t>
      </w:r>
      <w:r w:rsidR="009F135B">
        <w:t>e use the under 75 years (age</w:t>
      </w:r>
      <w:r w:rsidR="009F135B" w:rsidRPr="002F6E72">
        <w:t xml:space="preserve"> standardised</w:t>
      </w:r>
      <w:r w:rsidR="009F135B">
        <w:t>)</w:t>
      </w:r>
      <w:r w:rsidR="009F135B" w:rsidRPr="002F6E72">
        <w:t xml:space="preserve"> years of life lost rate (SYLLR)) calculated by pooling deaths data over the three-year period 2005, 2006 and 2007</w:t>
      </w:r>
      <w:r>
        <w:t xml:space="preserve"> as our measure of mortality</w:t>
      </w:r>
      <w:r w:rsidR="003E0C17">
        <w:t xml:space="preserve"> [24</w:t>
      </w:r>
      <w:r w:rsidR="00810B25">
        <w:t xml:space="preserve">].  </w:t>
      </w:r>
      <w:r w:rsidR="003D4E95">
        <w:t xml:space="preserve">The </w:t>
      </w:r>
      <w:r w:rsidR="003D4E95" w:rsidRPr="006860EB">
        <w:t xml:space="preserve">mortality data was also pooled over a </w:t>
      </w:r>
      <w:r w:rsidR="003D4E95">
        <w:t>three</w:t>
      </w:r>
      <w:r w:rsidR="003D4E95" w:rsidRPr="006860EB">
        <w:t xml:space="preserve">-year period when calculating SYLLR for the other </w:t>
      </w:r>
      <w:r w:rsidR="003D4E95">
        <w:t xml:space="preserve">study </w:t>
      </w:r>
      <w:r w:rsidR="003D4E95" w:rsidRPr="006860EB">
        <w:t>years</w:t>
      </w:r>
      <w:r w:rsidR="003D4E95">
        <w:t xml:space="preserve">.  </w:t>
      </w:r>
      <w:r w:rsidR="00D22264">
        <w:t xml:space="preserve">This mortality data was obtained via the NHS Digital Clinical Indicators </w:t>
      </w:r>
      <w:r w:rsidR="00D22264">
        <w:lastRenderedPageBreak/>
        <w:t xml:space="preserve">portal (see </w:t>
      </w:r>
      <w:hyperlink r:id="rId22" w:history="1">
        <w:r w:rsidR="00D22264" w:rsidRPr="007A4817">
          <w:rPr>
            <w:rStyle w:val="Hyperlink"/>
          </w:rPr>
          <w:t>https://digital.nhs.uk/data-and-information/publications/statistical/compendium-mortality/current/years-of-life-lost</w:t>
        </w:r>
      </w:hyperlink>
      <w:r w:rsidR="00D22264">
        <w:t xml:space="preserve">).  </w:t>
      </w:r>
      <w:r w:rsidR="00A36AE1" w:rsidRPr="002F6E72">
        <w:t xml:space="preserve">Descriptive statistics for the </w:t>
      </w:r>
      <w:r w:rsidR="00C6763E" w:rsidRPr="002F6E72">
        <w:t>various</w:t>
      </w:r>
      <w:r w:rsidR="00D83AE2" w:rsidRPr="002F6E72">
        <w:t xml:space="preserve"> </w:t>
      </w:r>
      <w:r w:rsidR="00A36AE1" w:rsidRPr="002F6E72">
        <w:t>S</w:t>
      </w:r>
      <w:r w:rsidR="00E67801" w:rsidRPr="002F6E72">
        <w:t xml:space="preserve">YLLRs for 2005/2006/2007 </w:t>
      </w:r>
      <w:r w:rsidR="00B323BF" w:rsidRPr="002F6E72">
        <w:t xml:space="preserve">are </w:t>
      </w:r>
      <w:r w:rsidR="00A36AE1" w:rsidRPr="002F6E72">
        <w:t>in Table 1</w:t>
      </w:r>
      <w:r w:rsidR="00C6763E" w:rsidRPr="002F6E72">
        <w:t>.  For example, the all-cause</w:t>
      </w:r>
      <w:r w:rsidR="00A36AE1" w:rsidRPr="002F6E72">
        <w:t xml:space="preserve"> SYLLR averaged 471 years of life lost per 10,000 head of population.  However, this rate varied considerably across LAs, ranging from 257 to 736 years of life lost per 10,000 head of population.   Equally large geographical variations in morta</w:t>
      </w:r>
      <w:r w:rsidR="004159C9" w:rsidRPr="002F6E72">
        <w:t>lity rates are evident for</w:t>
      </w:r>
      <w:r w:rsidR="00A36AE1" w:rsidRPr="002F6E72">
        <w:t xml:space="preserve"> </w:t>
      </w:r>
      <w:r w:rsidR="00BE1A83" w:rsidRPr="002F6E72">
        <w:t xml:space="preserve">some </w:t>
      </w:r>
      <w:r w:rsidR="00A36AE1" w:rsidRPr="002F6E72">
        <w:t>disease</w:t>
      </w:r>
      <w:r w:rsidR="004159C9" w:rsidRPr="002F6E72">
        <w:t>-specific</w:t>
      </w:r>
      <w:r w:rsidR="00A36AE1" w:rsidRPr="002F6E72">
        <w:t xml:space="preserve"> areas.</w:t>
      </w:r>
      <w:r w:rsidR="00313C3F">
        <w:t xml:space="preserve">  Further details about the mortality data are in appendices 2 and 3.</w:t>
      </w:r>
    </w:p>
    <w:p w14:paraId="057CC95B" w14:textId="044AB08E" w:rsidR="00434279" w:rsidRDefault="00434279" w:rsidP="00931B7C">
      <w:pPr>
        <w:spacing w:line="480" w:lineRule="auto"/>
        <w:rPr>
          <w:b/>
          <w:i/>
        </w:rPr>
      </w:pPr>
    </w:p>
    <w:p w14:paraId="4063DF39" w14:textId="61AFC2F6" w:rsidR="001B7A1C" w:rsidRPr="002F6E72" w:rsidRDefault="001B7A1C" w:rsidP="00931B7C">
      <w:pPr>
        <w:spacing w:line="480" w:lineRule="auto"/>
        <w:rPr>
          <w:b/>
          <w:i/>
        </w:rPr>
      </w:pPr>
      <w:r>
        <w:rPr>
          <w:b/>
          <w:i/>
        </w:rPr>
        <w:t>3.3 Instruments</w:t>
      </w:r>
    </w:p>
    <w:p w14:paraId="6A66C974" w14:textId="141339DD" w:rsidR="00BC4FBD" w:rsidRDefault="006356BF" w:rsidP="0047344F">
      <w:pPr>
        <w:pStyle w:val="Main"/>
        <w:spacing w:line="480" w:lineRule="auto"/>
        <w:rPr>
          <w:rFonts w:ascii="Times New Roman" w:hAnsi="Times New Roman"/>
          <w:sz w:val="24"/>
          <w:szCs w:val="24"/>
        </w:rPr>
      </w:pPr>
      <w:r>
        <w:rPr>
          <w:rFonts w:ascii="Times New Roman" w:hAnsi="Times New Roman"/>
          <w:sz w:val="24"/>
          <w:szCs w:val="24"/>
        </w:rPr>
        <w:t xml:space="preserve">During the study period the Department of Health employed </w:t>
      </w:r>
      <w:r w:rsidR="006072BC">
        <w:rPr>
          <w:rFonts w:ascii="Times New Roman" w:hAnsi="Times New Roman"/>
          <w:sz w:val="24"/>
          <w:szCs w:val="24"/>
        </w:rPr>
        <w:t xml:space="preserve">a </w:t>
      </w:r>
      <w:r w:rsidR="00AB60D2" w:rsidRPr="002F6E72">
        <w:rPr>
          <w:rFonts w:ascii="Times New Roman" w:hAnsi="Times New Roman"/>
          <w:sz w:val="24"/>
          <w:szCs w:val="24"/>
        </w:rPr>
        <w:t xml:space="preserve">different </w:t>
      </w:r>
      <w:r w:rsidR="003110C4" w:rsidRPr="002F6E72">
        <w:rPr>
          <w:rFonts w:ascii="Times New Roman" w:hAnsi="Times New Roman"/>
          <w:sz w:val="24"/>
          <w:szCs w:val="24"/>
        </w:rPr>
        <w:t xml:space="preserve">resource allocation </w:t>
      </w:r>
      <w:r w:rsidR="00AB60D2" w:rsidRPr="002F6E72">
        <w:rPr>
          <w:rFonts w:ascii="Times New Roman" w:hAnsi="Times New Roman"/>
          <w:sz w:val="24"/>
          <w:szCs w:val="24"/>
        </w:rPr>
        <w:t xml:space="preserve">formula for </w:t>
      </w:r>
      <w:r w:rsidR="006072BC">
        <w:rPr>
          <w:rFonts w:ascii="Times New Roman" w:hAnsi="Times New Roman"/>
          <w:sz w:val="24"/>
          <w:szCs w:val="24"/>
        </w:rPr>
        <w:t xml:space="preserve">each of the main types of healthcare (HCHS, primary care, pharmaceuticals) funded by the NHS.  </w:t>
      </w:r>
      <w:r w:rsidR="00434279">
        <w:rPr>
          <w:rFonts w:ascii="Times New Roman" w:hAnsi="Times New Roman"/>
          <w:sz w:val="24"/>
          <w:szCs w:val="24"/>
        </w:rPr>
        <w:t xml:space="preserve">Each </w:t>
      </w:r>
      <w:r w:rsidR="006072BC">
        <w:rPr>
          <w:rFonts w:ascii="Times New Roman" w:hAnsi="Times New Roman"/>
          <w:sz w:val="24"/>
          <w:szCs w:val="24"/>
        </w:rPr>
        <w:t xml:space="preserve">formula has </w:t>
      </w:r>
      <w:r w:rsidR="00BE473C" w:rsidRPr="002F6E72">
        <w:rPr>
          <w:rFonts w:ascii="Times New Roman" w:hAnsi="Times New Roman"/>
          <w:sz w:val="24"/>
          <w:szCs w:val="24"/>
        </w:rPr>
        <w:t xml:space="preserve">its own age, needs, and MFF indices.  </w:t>
      </w:r>
      <w:r w:rsidR="00434279">
        <w:rPr>
          <w:rFonts w:ascii="Times New Roman" w:hAnsi="Times New Roman"/>
          <w:sz w:val="24"/>
          <w:szCs w:val="24"/>
        </w:rPr>
        <w:t xml:space="preserve">These formulae </w:t>
      </w:r>
      <w:r w:rsidR="006072BC">
        <w:rPr>
          <w:rFonts w:ascii="Times New Roman" w:hAnsi="Times New Roman"/>
          <w:sz w:val="24"/>
          <w:szCs w:val="24"/>
        </w:rPr>
        <w:t>we</w:t>
      </w:r>
      <w:r w:rsidR="00434279">
        <w:rPr>
          <w:rFonts w:ascii="Times New Roman" w:hAnsi="Times New Roman"/>
          <w:sz w:val="24"/>
          <w:szCs w:val="24"/>
        </w:rPr>
        <w:t>re only revised intermittently so that t</w:t>
      </w:r>
      <w:r w:rsidR="00BF0147" w:rsidRPr="002F6E72">
        <w:rPr>
          <w:rFonts w:ascii="Times New Roman" w:hAnsi="Times New Roman"/>
          <w:sz w:val="24"/>
          <w:szCs w:val="24"/>
        </w:rPr>
        <w:t>ime-varying MFF an</w:t>
      </w:r>
      <w:r w:rsidR="00434279">
        <w:rPr>
          <w:rFonts w:ascii="Times New Roman" w:hAnsi="Times New Roman"/>
          <w:sz w:val="24"/>
          <w:szCs w:val="24"/>
        </w:rPr>
        <w:t xml:space="preserve">d age indices are not available </w:t>
      </w:r>
      <w:r w:rsidR="006824AB">
        <w:rPr>
          <w:rFonts w:ascii="Times New Roman" w:hAnsi="Times New Roman"/>
          <w:sz w:val="24"/>
          <w:szCs w:val="24"/>
        </w:rPr>
        <w:t xml:space="preserve">for every study year </w:t>
      </w:r>
      <w:r w:rsidR="00434279">
        <w:rPr>
          <w:rFonts w:ascii="Times New Roman" w:hAnsi="Times New Roman"/>
          <w:sz w:val="24"/>
          <w:szCs w:val="24"/>
        </w:rPr>
        <w:t>(</w:t>
      </w:r>
      <w:r w:rsidR="006824AB">
        <w:rPr>
          <w:rFonts w:ascii="Times New Roman" w:hAnsi="Times New Roman"/>
          <w:sz w:val="24"/>
          <w:szCs w:val="24"/>
        </w:rPr>
        <w:t>and, anyway, these will only change very slowly).  W</w:t>
      </w:r>
      <w:r w:rsidR="00BF0147" w:rsidRPr="002F6E72">
        <w:rPr>
          <w:rFonts w:ascii="Times New Roman" w:hAnsi="Times New Roman"/>
          <w:sz w:val="24"/>
          <w:szCs w:val="24"/>
        </w:rPr>
        <w:t xml:space="preserve">e make the best use of what is available.  </w:t>
      </w:r>
    </w:p>
    <w:p w14:paraId="1133D7DF" w14:textId="77777777" w:rsidR="0047344F" w:rsidRDefault="0047344F" w:rsidP="0047344F">
      <w:pPr>
        <w:pStyle w:val="Main"/>
        <w:spacing w:line="480" w:lineRule="auto"/>
        <w:rPr>
          <w:rFonts w:ascii="Times New Roman" w:hAnsi="Times New Roman"/>
          <w:sz w:val="24"/>
          <w:szCs w:val="24"/>
        </w:rPr>
      </w:pPr>
    </w:p>
    <w:p w14:paraId="1FF8D29A" w14:textId="5D3417F6" w:rsidR="0047344F" w:rsidRDefault="0047344F" w:rsidP="0047344F">
      <w:pPr>
        <w:pStyle w:val="Main"/>
        <w:spacing w:line="480" w:lineRule="auto"/>
        <w:rPr>
          <w:rFonts w:ascii="Times New Roman" w:hAnsi="Times New Roman"/>
          <w:sz w:val="24"/>
          <w:szCs w:val="24"/>
        </w:rPr>
      </w:pPr>
      <w:r w:rsidRPr="00B93B17">
        <w:rPr>
          <w:rFonts w:ascii="Times New Roman" w:hAnsi="Times New Roman"/>
          <w:sz w:val="24"/>
          <w:szCs w:val="24"/>
        </w:rPr>
        <w:t>The Department of Health’s resource allocation books for 2003/4, 2004/5 and 2005/6 can be used to extract the relevant age and MFF indices for Hospital and Co</w:t>
      </w:r>
      <w:r>
        <w:rPr>
          <w:rFonts w:ascii="Times New Roman" w:hAnsi="Times New Roman"/>
          <w:sz w:val="24"/>
          <w:szCs w:val="24"/>
        </w:rPr>
        <w:t>mmunity Health Services (HCHS).  However, these allocations a</w:t>
      </w:r>
      <w:r w:rsidRPr="00B93B17">
        <w:rPr>
          <w:rFonts w:ascii="Times New Roman" w:hAnsi="Times New Roman"/>
          <w:sz w:val="24"/>
          <w:szCs w:val="24"/>
        </w:rPr>
        <w:t>re for the 303 PCTs in existence in April 2003.  In October 2006 there was a major re-organisation of PCTs and their numbe</w:t>
      </w:r>
      <w:r>
        <w:rPr>
          <w:rFonts w:ascii="Times New Roman" w:hAnsi="Times New Roman"/>
          <w:sz w:val="24"/>
          <w:szCs w:val="24"/>
        </w:rPr>
        <w:t xml:space="preserve">r was reduced from 303 to 152.  </w:t>
      </w:r>
      <w:r w:rsidRPr="00B93B17">
        <w:rPr>
          <w:rFonts w:ascii="Times New Roman" w:hAnsi="Times New Roman"/>
          <w:sz w:val="24"/>
          <w:szCs w:val="24"/>
        </w:rPr>
        <w:t xml:space="preserve">As we do not have an appropriate mapper to convert the age and MFF indices for the 303 PCTs to 152, we consulted </w:t>
      </w:r>
      <w:r>
        <w:rPr>
          <w:rFonts w:ascii="Times New Roman" w:hAnsi="Times New Roman"/>
          <w:sz w:val="24"/>
          <w:szCs w:val="24"/>
        </w:rPr>
        <w:t xml:space="preserve">the first </w:t>
      </w:r>
      <w:r w:rsidRPr="00B93B17">
        <w:rPr>
          <w:rFonts w:ascii="Times New Roman" w:hAnsi="Times New Roman"/>
          <w:sz w:val="24"/>
          <w:szCs w:val="24"/>
        </w:rPr>
        <w:t>post-</w:t>
      </w:r>
      <w:r>
        <w:rPr>
          <w:rFonts w:ascii="Times New Roman" w:hAnsi="Times New Roman"/>
          <w:sz w:val="24"/>
          <w:szCs w:val="24"/>
        </w:rPr>
        <w:t xml:space="preserve">merger </w:t>
      </w:r>
      <w:r w:rsidRPr="00B93B17">
        <w:rPr>
          <w:rFonts w:ascii="Times New Roman" w:hAnsi="Times New Roman"/>
          <w:sz w:val="24"/>
          <w:szCs w:val="24"/>
        </w:rPr>
        <w:t>resource allocation book for proxies for these variables.  The resource allocation book for 2009/10 contains a</w:t>
      </w:r>
      <w:r>
        <w:rPr>
          <w:rFonts w:ascii="Times New Roman" w:hAnsi="Times New Roman"/>
          <w:sz w:val="24"/>
          <w:szCs w:val="24"/>
        </w:rPr>
        <w:t xml:space="preserve">n </w:t>
      </w:r>
      <w:r w:rsidRPr="00B93B17">
        <w:rPr>
          <w:rFonts w:ascii="Times New Roman" w:hAnsi="Times New Roman"/>
          <w:sz w:val="24"/>
          <w:szCs w:val="24"/>
        </w:rPr>
        <w:t xml:space="preserve">MFF for HCHS </w:t>
      </w:r>
      <w:r>
        <w:rPr>
          <w:rFonts w:ascii="Times New Roman" w:hAnsi="Times New Roman"/>
          <w:sz w:val="24"/>
          <w:szCs w:val="24"/>
        </w:rPr>
        <w:t>and we use this as our first instrument for the initial study year (2005/06) having mapped it to our local authority geography.</w:t>
      </w:r>
    </w:p>
    <w:p w14:paraId="04A09821" w14:textId="77777777" w:rsidR="0047344F" w:rsidRDefault="0047344F" w:rsidP="0047344F">
      <w:pPr>
        <w:pStyle w:val="Main"/>
        <w:spacing w:line="480" w:lineRule="auto"/>
        <w:rPr>
          <w:rFonts w:ascii="Times New Roman" w:hAnsi="Times New Roman"/>
          <w:sz w:val="24"/>
          <w:szCs w:val="24"/>
        </w:rPr>
      </w:pPr>
    </w:p>
    <w:p w14:paraId="62912963" w14:textId="24357026" w:rsidR="00C2320C" w:rsidRDefault="004461FF" w:rsidP="0047344F">
      <w:pPr>
        <w:pStyle w:val="Main"/>
        <w:spacing w:line="480" w:lineRule="auto"/>
        <w:rPr>
          <w:rFonts w:ascii="Times New Roman" w:hAnsi="Times New Roman"/>
          <w:sz w:val="24"/>
          <w:szCs w:val="24"/>
        </w:rPr>
      </w:pPr>
      <w:r w:rsidRPr="002F6E72">
        <w:rPr>
          <w:rFonts w:ascii="Times New Roman" w:hAnsi="Times New Roman"/>
          <w:sz w:val="24"/>
          <w:szCs w:val="24"/>
        </w:rPr>
        <w:t xml:space="preserve">The HCHS resource allocation formula for 2009/10 also contains an age index but this is combined with an additional need index and the latter includes an element of historical mortality.  Hence </w:t>
      </w:r>
      <w:r w:rsidR="00C2320C">
        <w:rPr>
          <w:rFonts w:ascii="Times New Roman" w:hAnsi="Times New Roman"/>
          <w:sz w:val="24"/>
          <w:szCs w:val="24"/>
        </w:rPr>
        <w:t xml:space="preserve">as our second instrument </w:t>
      </w:r>
      <w:r w:rsidRPr="002F6E72">
        <w:rPr>
          <w:rFonts w:ascii="Times New Roman" w:hAnsi="Times New Roman"/>
          <w:sz w:val="24"/>
          <w:szCs w:val="24"/>
        </w:rPr>
        <w:t xml:space="preserve">we use the age index from the prescribing </w:t>
      </w:r>
      <w:r w:rsidR="00C2320C">
        <w:rPr>
          <w:rFonts w:ascii="Times New Roman" w:hAnsi="Times New Roman"/>
          <w:sz w:val="24"/>
          <w:szCs w:val="24"/>
        </w:rPr>
        <w:t xml:space="preserve">cost </w:t>
      </w:r>
      <w:r w:rsidRPr="002F6E72">
        <w:rPr>
          <w:rFonts w:ascii="Times New Roman" w:hAnsi="Times New Roman"/>
          <w:sz w:val="24"/>
          <w:szCs w:val="24"/>
        </w:rPr>
        <w:t>resource allocation formula for 2009/10 which is a pure age index and uncontaminated with any measure of mortality.</w:t>
      </w:r>
      <w:r w:rsidR="00896431" w:rsidRPr="002F6E72">
        <w:rPr>
          <w:rFonts w:ascii="Times New Roman" w:hAnsi="Times New Roman"/>
          <w:szCs w:val="24"/>
        </w:rPr>
        <w:t xml:space="preserve"> </w:t>
      </w:r>
      <w:r w:rsidR="00E7262A" w:rsidRPr="002F6E72">
        <w:rPr>
          <w:rFonts w:ascii="Times New Roman" w:hAnsi="Times New Roman"/>
          <w:szCs w:val="24"/>
        </w:rPr>
        <w:t xml:space="preserve"> </w:t>
      </w:r>
      <w:r w:rsidR="00DA2B07">
        <w:rPr>
          <w:rFonts w:ascii="Times New Roman" w:hAnsi="Times New Roman"/>
          <w:sz w:val="24"/>
          <w:szCs w:val="24"/>
        </w:rPr>
        <w:t xml:space="preserve"> </w:t>
      </w:r>
      <w:r w:rsidR="00C2320C" w:rsidRPr="002F6E72">
        <w:rPr>
          <w:rFonts w:ascii="Times New Roman" w:hAnsi="Times New Roman"/>
          <w:sz w:val="24"/>
          <w:szCs w:val="24"/>
        </w:rPr>
        <w:t xml:space="preserve">Annual </w:t>
      </w:r>
      <w:r w:rsidR="00C2320C">
        <w:rPr>
          <w:rFonts w:ascii="Times New Roman" w:hAnsi="Times New Roman"/>
          <w:sz w:val="24"/>
          <w:szCs w:val="24"/>
        </w:rPr>
        <w:t>distance from target (</w:t>
      </w:r>
      <w:r w:rsidR="00C2320C" w:rsidRPr="002F6E72">
        <w:rPr>
          <w:rFonts w:ascii="Times New Roman" w:hAnsi="Times New Roman"/>
          <w:sz w:val="24"/>
          <w:szCs w:val="24"/>
        </w:rPr>
        <w:t>DFT</w:t>
      </w:r>
      <w:r w:rsidR="00C2320C">
        <w:rPr>
          <w:rFonts w:ascii="Times New Roman" w:hAnsi="Times New Roman"/>
          <w:sz w:val="24"/>
          <w:szCs w:val="24"/>
        </w:rPr>
        <w:t>)</w:t>
      </w:r>
      <w:r w:rsidR="00C2320C" w:rsidRPr="002F6E72">
        <w:rPr>
          <w:rFonts w:ascii="Times New Roman" w:hAnsi="Times New Roman"/>
          <w:sz w:val="24"/>
          <w:szCs w:val="24"/>
        </w:rPr>
        <w:t xml:space="preserve"> data for </w:t>
      </w:r>
      <w:r w:rsidR="00DA2B07">
        <w:rPr>
          <w:rFonts w:ascii="Times New Roman" w:hAnsi="Times New Roman"/>
          <w:sz w:val="24"/>
          <w:szCs w:val="24"/>
        </w:rPr>
        <w:t xml:space="preserve">each PCT’s </w:t>
      </w:r>
      <w:r w:rsidR="00C2320C" w:rsidRPr="002F6E72">
        <w:rPr>
          <w:rFonts w:ascii="Times New Roman" w:hAnsi="Times New Roman"/>
          <w:sz w:val="24"/>
          <w:szCs w:val="24"/>
        </w:rPr>
        <w:t>total allocation across all funding streams</w:t>
      </w:r>
      <w:r w:rsidR="00C2320C">
        <w:rPr>
          <w:rFonts w:ascii="Times New Roman" w:hAnsi="Times New Roman"/>
          <w:sz w:val="24"/>
          <w:szCs w:val="24"/>
        </w:rPr>
        <w:t xml:space="preserve"> is available for all study years and this is our </w:t>
      </w:r>
      <w:r w:rsidR="00DA2B07">
        <w:rPr>
          <w:rFonts w:ascii="Times New Roman" w:hAnsi="Times New Roman"/>
          <w:sz w:val="24"/>
          <w:szCs w:val="24"/>
        </w:rPr>
        <w:t>third</w:t>
      </w:r>
      <w:r w:rsidR="00C2320C">
        <w:rPr>
          <w:rFonts w:ascii="Times New Roman" w:hAnsi="Times New Roman"/>
          <w:sz w:val="24"/>
          <w:szCs w:val="24"/>
        </w:rPr>
        <w:t xml:space="preserve"> instrument.</w:t>
      </w:r>
    </w:p>
    <w:p w14:paraId="6D223872" w14:textId="77777777" w:rsidR="00DA2B07" w:rsidRDefault="00DA2B07" w:rsidP="00931B7C">
      <w:pPr>
        <w:pStyle w:val="Main"/>
        <w:spacing w:line="480" w:lineRule="auto"/>
        <w:rPr>
          <w:rFonts w:ascii="Times New Roman" w:hAnsi="Times New Roman"/>
          <w:sz w:val="24"/>
          <w:szCs w:val="24"/>
        </w:rPr>
      </w:pPr>
    </w:p>
    <w:p w14:paraId="515ABF10" w14:textId="444424D9" w:rsidR="00B00568" w:rsidRDefault="00B00568" w:rsidP="00931B7C">
      <w:pPr>
        <w:pStyle w:val="Main"/>
        <w:spacing w:line="480" w:lineRule="auto"/>
        <w:rPr>
          <w:rFonts w:ascii="Times New Roman" w:hAnsi="Times New Roman"/>
          <w:sz w:val="24"/>
          <w:szCs w:val="24"/>
        </w:rPr>
      </w:pPr>
      <w:r w:rsidRPr="002F6E72">
        <w:rPr>
          <w:rFonts w:ascii="Times New Roman" w:hAnsi="Times New Roman"/>
          <w:sz w:val="24"/>
          <w:szCs w:val="24"/>
        </w:rPr>
        <w:t xml:space="preserve">Table 1 </w:t>
      </w:r>
      <w:r w:rsidR="00B94CA1">
        <w:rPr>
          <w:rFonts w:ascii="Times New Roman" w:hAnsi="Times New Roman"/>
          <w:sz w:val="24"/>
          <w:szCs w:val="24"/>
        </w:rPr>
        <w:t xml:space="preserve">shows that </w:t>
      </w:r>
      <w:r w:rsidR="007909D4">
        <w:rPr>
          <w:rFonts w:ascii="Times New Roman" w:hAnsi="Times New Roman"/>
          <w:sz w:val="24"/>
          <w:szCs w:val="24"/>
        </w:rPr>
        <w:t xml:space="preserve">all three of our instruments </w:t>
      </w:r>
      <w:proofErr w:type="gramStart"/>
      <w:r w:rsidR="00123582">
        <w:rPr>
          <w:rFonts w:ascii="Times New Roman" w:hAnsi="Times New Roman"/>
          <w:sz w:val="24"/>
          <w:szCs w:val="24"/>
        </w:rPr>
        <w:t>average</w:t>
      </w:r>
      <w:proofErr w:type="gramEnd"/>
      <w:r w:rsidR="00123582">
        <w:rPr>
          <w:rFonts w:ascii="Times New Roman" w:hAnsi="Times New Roman"/>
          <w:sz w:val="24"/>
          <w:szCs w:val="24"/>
        </w:rPr>
        <w:t xml:space="preserve"> about one but</w:t>
      </w:r>
      <w:r w:rsidRPr="002F6E72">
        <w:rPr>
          <w:rFonts w:ascii="Times New Roman" w:hAnsi="Times New Roman"/>
          <w:sz w:val="24"/>
          <w:szCs w:val="24"/>
        </w:rPr>
        <w:t xml:space="preserve"> </w:t>
      </w:r>
      <w:r w:rsidR="00B94CA1">
        <w:rPr>
          <w:rFonts w:ascii="Times New Roman" w:hAnsi="Times New Roman"/>
          <w:sz w:val="24"/>
          <w:szCs w:val="24"/>
        </w:rPr>
        <w:t xml:space="preserve">that </w:t>
      </w:r>
      <w:r w:rsidRPr="002F6E72">
        <w:rPr>
          <w:rFonts w:ascii="Times New Roman" w:hAnsi="Times New Roman"/>
          <w:sz w:val="24"/>
          <w:szCs w:val="24"/>
        </w:rPr>
        <w:t>there is considerable variation around the country.  For example,</w:t>
      </w:r>
      <w:r w:rsidR="00D64EE4" w:rsidRPr="002F6E72">
        <w:rPr>
          <w:rFonts w:ascii="Times New Roman" w:hAnsi="Times New Roman"/>
          <w:sz w:val="24"/>
          <w:szCs w:val="24"/>
        </w:rPr>
        <w:t xml:space="preserve"> t</w:t>
      </w:r>
      <w:r w:rsidRPr="002F6E72">
        <w:rPr>
          <w:rFonts w:ascii="Times New Roman" w:hAnsi="Times New Roman"/>
          <w:sz w:val="24"/>
          <w:szCs w:val="24"/>
        </w:rPr>
        <w:t xml:space="preserve">he </w:t>
      </w:r>
      <w:r w:rsidR="00C04074">
        <w:rPr>
          <w:rFonts w:ascii="Times New Roman" w:hAnsi="Times New Roman"/>
          <w:sz w:val="24"/>
          <w:szCs w:val="24"/>
        </w:rPr>
        <w:t>MFF</w:t>
      </w:r>
      <w:r w:rsidRPr="002F6E72">
        <w:rPr>
          <w:rFonts w:ascii="Times New Roman" w:hAnsi="Times New Roman"/>
          <w:sz w:val="24"/>
          <w:szCs w:val="24"/>
        </w:rPr>
        <w:t xml:space="preserve"> index suggests that unit costs in some LAs are between 7% lower and 15% higher than the average.</w:t>
      </w:r>
      <w:r w:rsidR="007909D4">
        <w:rPr>
          <w:rFonts w:ascii="Times New Roman" w:hAnsi="Times New Roman"/>
          <w:sz w:val="24"/>
          <w:szCs w:val="24"/>
        </w:rPr>
        <w:t xml:space="preserve">  Further details about the </w:t>
      </w:r>
      <w:r w:rsidR="00123582">
        <w:rPr>
          <w:rFonts w:ascii="Times New Roman" w:hAnsi="Times New Roman"/>
          <w:sz w:val="24"/>
          <w:szCs w:val="24"/>
        </w:rPr>
        <w:t>instrument</w:t>
      </w:r>
      <w:r w:rsidR="00313C3F">
        <w:rPr>
          <w:rFonts w:ascii="Times New Roman" w:hAnsi="Times New Roman"/>
          <w:sz w:val="24"/>
          <w:szCs w:val="24"/>
        </w:rPr>
        <w:t xml:space="preserve">s can be </w:t>
      </w:r>
      <w:r w:rsidR="00123582">
        <w:rPr>
          <w:rFonts w:ascii="Times New Roman" w:hAnsi="Times New Roman"/>
          <w:sz w:val="24"/>
          <w:szCs w:val="24"/>
        </w:rPr>
        <w:t>found in appendi</w:t>
      </w:r>
      <w:r w:rsidR="00462F3D">
        <w:rPr>
          <w:rFonts w:ascii="Times New Roman" w:hAnsi="Times New Roman"/>
          <w:sz w:val="24"/>
          <w:szCs w:val="24"/>
        </w:rPr>
        <w:t>ces 2 and 3</w:t>
      </w:r>
      <w:r w:rsidR="007909D4">
        <w:rPr>
          <w:rFonts w:ascii="Times New Roman" w:hAnsi="Times New Roman"/>
          <w:sz w:val="24"/>
          <w:szCs w:val="24"/>
        </w:rPr>
        <w:t>.</w:t>
      </w:r>
    </w:p>
    <w:p w14:paraId="09F575B3" w14:textId="7E4DF47D" w:rsidR="00FD33A7" w:rsidRPr="002F6E72" w:rsidRDefault="00FD33A7" w:rsidP="00931B7C">
      <w:pPr>
        <w:pStyle w:val="Main"/>
        <w:spacing w:line="480" w:lineRule="auto"/>
        <w:rPr>
          <w:rFonts w:ascii="Times New Roman" w:hAnsi="Times New Roman"/>
          <w:sz w:val="24"/>
          <w:szCs w:val="24"/>
        </w:rPr>
      </w:pPr>
    </w:p>
    <w:p w14:paraId="173AC514" w14:textId="377E310A" w:rsidR="00632674" w:rsidRPr="002F6E72" w:rsidRDefault="001B7A1C" w:rsidP="00931B7C">
      <w:pPr>
        <w:spacing w:line="480" w:lineRule="auto"/>
        <w:rPr>
          <w:b/>
          <w:i/>
        </w:rPr>
      </w:pPr>
      <w:r>
        <w:rPr>
          <w:b/>
          <w:i/>
        </w:rPr>
        <w:t>3.4</w:t>
      </w:r>
      <w:r w:rsidR="009C3CD2" w:rsidRPr="002F6E72">
        <w:rPr>
          <w:b/>
          <w:i/>
        </w:rPr>
        <w:t xml:space="preserve"> </w:t>
      </w:r>
      <w:r w:rsidR="00B00568" w:rsidRPr="002F6E72">
        <w:rPr>
          <w:b/>
          <w:i/>
        </w:rPr>
        <w:t>Socio-economic variables</w:t>
      </w:r>
    </w:p>
    <w:p w14:paraId="4D8C509D" w14:textId="67F20CEB" w:rsidR="002C77C3" w:rsidRPr="002F6E72" w:rsidRDefault="00354E4D" w:rsidP="00931B7C">
      <w:pPr>
        <w:pStyle w:val="Main"/>
        <w:spacing w:line="480" w:lineRule="auto"/>
        <w:rPr>
          <w:rFonts w:ascii="Times New Roman" w:hAnsi="Times New Roman"/>
          <w:sz w:val="24"/>
          <w:szCs w:val="24"/>
        </w:rPr>
      </w:pPr>
      <w:r w:rsidRPr="002F6E72">
        <w:rPr>
          <w:rFonts w:ascii="Times New Roman" w:hAnsi="Times New Roman"/>
          <w:sz w:val="24"/>
          <w:szCs w:val="24"/>
        </w:rPr>
        <w:t>The</w:t>
      </w:r>
      <w:r w:rsidR="00247159" w:rsidRPr="002F6E72">
        <w:rPr>
          <w:rFonts w:ascii="Times New Roman" w:hAnsi="Times New Roman"/>
          <w:sz w:val="24"/>
          <w:szCs w:val="24"/>
        </w:rPr>
        <w:t xml:space="preserve"> dozen potential socio-economic controls for the need for health care </w:t>
      </w:r>
      <w:r w:rsidR="00A82473" w:rsidRPr="002F6E72">
        <w:rPr>
          <w:rFonts w:ascii="Times New Roman" w:hAnsi="Times New Roman"/>
          <w:sz w:val="24"/>
          <w:szCs w:val="24"/>
        </w:rPr>
        <w:t xml:space="preserve">are </w:t>
      </w:r>
      <w:r w:rsidR="00247159" w:rsidRPr="002F6E72">
        <w:rPr>
          <w:rFonts w:ascii="Times New Roman" w:hAnsi="Times New Roman"/>
          <w:sz w:val="24"/>
          <w:szCs w:val="24"/>
        </w:rPr>
        <w:t xml:space="preserve">in Table 1.  These </w:t>
      </w:r>
      <w:r w:rsidR="00632674" w:rsidRPr="002F6E72">
        <w:rPr>
          <w:rFonts w:ascii="Times New Roman" w:hAnsi="Times New Roman"/>
          <w:sz w:val="24"/>
          <w:szCs w:val="24"/>
        </w:rPr>
        <w:t xml:space="preserve">census-based </w:t>
      </w:r>
      <w:r w:rsidR="00737BC9" w:rsidRPr="002F6E72">
        <w:rPr>
          <w:rFonts w:ascii="Times New Roman" w:hAnsi="Times New Roman"/>
          <w:sz w:val="24"/>
          <w:szCs w:val="24"/>
        </w:rPr>
        <w:t xml:space="preserve">variables are constructed using </w:t>
      </w:r>
      <w:r w:rsidR="00632674" w:rsidRPr="002F6E72">
        <w:rPr>
          <w:rFonts w:ascii="Times New Roman" w:hAnsi="Times New Roman"/>
          <w:sz w:val="24"/>
          <w:szCs w:val="24"/>
        </w:rPr>
        <w:t xml:space="preserve">the </w:t>
      </w:r>
      <w:r w:rsidR="00737BC9" w:rsidRPr="002F6E72">
        <w:rPr>
          <w:rFonts w:ascii="Times New Roman" w:hAnsi="Times New Roman"/>
          <w:sz w:val="24"/>
          <w:szCs w:val="24"/>
        </w:rPr>
        <w:t xml:space="preserve">2001 </w:t>
      </w:r>
      <w:r w:rsidR="00632674" w:rsidRPr="002F6E72">
        <w:rPr>
          <w:rFonts w:ascii="Times New Roman" w:hAnsi="Times New Roman"/>
          <w:sz w:val="24"/>
          <w:szCs w:val="24"/>
        </w:rPr>
        <w:t>census and then again using the 2011 census</w:t>
      </w:r>
      <w:r w:rsidR="00737BC9" w:rsidRPr="002F6E72">
        <w:rPr>
          <w:rFonts w:ascii="Times New Roman" w:hAnsi="Times New Roman"/>
          <w:sz w:val="24"/>
          <w:szCs w:val="24"/>
        </w:rPr>
        <w:t>.</w:t>
      </w:r>
      <w:r w:rsidR="00632674" w:rsidRPr="002F6E72">
        <w:rPr>
          <w:rFonts w:ascii="Times New Roman" w:hAnsi="Times New Roman"/>
          <w:sz w:val="24"/>
          <w:szCs w:val="24"/>
        </w:rPr>
        <w:t xml:space="preserve">  Values for specific analysis years (e</w:t>
      </w:r>
      <w:r w:rsidR="00155FF3" w:rsidRPr="002F6E72">
        <w:rPr>
          <w:rFonts w:ascii="Times New Roman" w:hAnsi="Times New Roman"/>
          <w:sz w:val="24"/>
          <w:szCs w:val="24"/>
        </w:rPr>
        <w:t>.</w:t>
      </w:r>
      <w:r w:rsidR="00632674" w:rsidRPr="002F6E72">
        <w:rPr>
          <w:rFonts w:ascii="Times New Roman" w:hAnsi="Times New Roman"/>
          <w:sz w:val="24"/>
          <w:szCs w:val="24"/>
        </w:rPr>
        <w:t>g</w:t>
      </w:r>
      <w:r w:rsidR="00155FF3" w:rsidRPr="002F6E72">
        <w:rPr>
          <w:rFonts w:ascii="Times New Roman" w:hAnsi="Times New Roman"/>
          <w:sz w:val="24"/>
          <w:szCs w:val="24"/>
        </w:rPr>
        <w:t>.,</w:t>
      </w:r>
      <w:r w:rsidR="00632674" w:rsidRPr="002F6E72">
        <w:rPr>
          <w:rFonts w:ascii="Times New Roman" w:hAnsi="Times New Roman"/>
          <w:sz w:val="24"/>
          <w:szCs w:val="24"/>
        </w:rPr>
        <w:t xml:space="preserve"> for 2005) are constructed by linear interpolation between the values for the two censuses.  For the final study year (2012) we use the same values as for the </w:t>
      </w:r>
      <w:r w:rsidR="00E67801" w:rsidRPr="002F6E72">
        <w:rPr>
          <w:rFonts w:ascii="Times New Roman" w:hAnsi="Times New Roman"/>
          <w:sz w:val="24"/>
          <w:szCs w:val="24"/>
        </w:rPr>
        <w:t xml:space="preserve">penultimate study year (2011).  </w:t>
      </w:r>
      <w:r w:rsidR="00B7148E" w:rsidRPr="002F6E72">
        <w:rPr>
          <w:rFonts w:ascii="Times New Roman" w:hAnsi="Times New Roman"/>
          <w:sz w:val="24"/>
          <w:szCs w:val="24"/>
        </w:rPr>
        <w:t xml:space="preserve">The </w:t>
      </w:r>
      <w:r w:rsidR="00E67801" w:rsidRPr="002F6E72">
        <w:rPr>
          <w:rFonts w:ascii="Times New Roman" w:hAnsi="Times New Roman"/>
          <w:sz w:val="24"/>
          <w:szCs w:val="24"/>
        </w:rPr>
        <w:t xml:space="preserve">descriptive </w:t>
      </w:r>
      <w:r w:rsidR="00B7148E" w:rsidRPr="002F6E72">
        <w:rPr>
          <w:rFonts w:ascii="Times New Roman" w:hAnsi="Times New Roman"/>
          <w:sz w:val="24"/>
          <w:szCs w:val="24"/>
        </w:rPr>
        <w:t>s</w:t>
      </w:r>
      <w:r w:rsidR="00DA7A08" w:rsidRPr="002F6E72">
        <w:rPr>
          <w:rFonts w:ascii="Times New Roman" w:hAnsi="Times New Roman"/>
          <w:sz w:val="24"/>
          <w:szCs w:val="24"/>
        </w:rPr>
        <w:t xml:space="preserve">tatistics </w:t>
      </w:r>
      <w:r w:rsidR="00B7148E" w:rsidRPr="002F6E72">
        <w:rPr>
          <w:rFonts w:ascii="Times New Roman" w:hAnsi="Times New Roman"/>
          <w:sz w:val="24"/>
          <w:szCs w:val="24"/>
        </w:rPr>
        <w:t xml:space="preserve">in Table 1 relate to the 2005 study year.  </w:t>
      </w:r>
      <w:r w:rsidR="00DE0658">
        <w:rPr>
          <w:rFonts w:ascii="Times New Roman" w:hAnsi="Times New Roman"/>
          <w:sz w:val="24"/>
          <w:szCs w:val="24"/>
        </w:rPr>
        <w:t>They reveal that</w:t>
      </w:r>
      <w:r w:rsidR="00DE0658" w:rsidRPr="00DE0658">
        <w:rPr>
          <w:rFonts w:ascii="Times New Roman" w:hAnsi="Times New Roman"/>
          <w:sz w:val="24"/>
          <w:szCs w:val="24"/>
        </w:rPr>
        <w:t xml:space="preserve">, on average, 10% of all residents are born outside the European Union, 29% of the working-age population are employed in managerial and professional occupations, and 65% of households are owner occupied.  Again, these averages mask considerable variation across local authorities: the proportion of residents born outside the EU varies from less than 1% to more than 42%, and the extent of owner </w:t>
      </w:r>
      <w:r w:rsidR="00DE0658" w:rsidRPr="00DE0658">
        <w:rPr>
          <w:rFonts w:ascii="Times New Roman" w:hAnsi="Times New Roman"/>
          <w:sz w:val="24"/>
          <w:szCs w:val="24"/>
        </w:rPr>
        <w:lastRenderedPageBreak/>
        <w:t>occupation ranges from 28% to 83% of all households.</w:t>
      </w:r>
      <w:r w:rsidR="00DE0658">
        <w:rPr>
          <w:rFonts w:ascii="Times New Roman" w:hAnsi="Times New Roman"/>
          <w:sz w:val="24"/>
          <w:szCs w:val="24"/>
        </w:rPr>
        <w:t xml:space="preserve">  </w:t>
      </w:r>
      <w:r w:rsidR="00B7148E" w:rsidRPr="002F6E72">
        <w:rPr>
          <w:rFonts w:ascii="Times New Roman" w:hAnsi="Times New Roman"/>
          <w:sz w:val="24"/>
          <w:szCs w:val="24"/>
        </w:rPr>
        <w:t xml:space="preserve">Statistics for the same variables for the other study years </w:t>
      </w:r>
      <w:r w:rsidR="00DA7A08" w:rsidRPr="002F6E72">
        <w:rPr>
          <w:rFonts w:ascii="Times New Roman" w:hAnsi="Times New Roman"/>
          <w:sz w:val="24"/>
          <w:szCs w:val="24"/>
        </w:rPr>
        <w:t xml:space="preserve">are </w:t>
      </w:r>
      <w:r w:rsidR="00123582">
        <w:rPr>
          <w:rFonts w:ascii="Times New Roman" w:hAnsi="Times New Roman"/>
          <w:sz w:val="24"/>
          <w:szCs w:val="24"/>
        </w:rPr>
        <w:t xml:space="preserve">in appendix </w:t>
      </w:r>
      <w:r w:rsidR="009C4005">
        <w:rPr>
          <w:rFonts w:ascii="Times New Roman" w:hAnsi="Times New Roman"/>
          <w:sz w:val="24"/>
          <w:szCs w:val="24"/>
        </w:rPr>
        <w:t>3</w:t>
      </w:r>
      <w:r w:rsidR="00DA7A08" w:rsidRPr="002F6E72">
        <w:rPr>
          <w:rFonts w:ascii="Times New Roman" w:hAnsi="Times New Roman"/>
          <w:sz w:val="24"/>
          <w:szCs w:val="24"/>
        </w:rPr>
        <w:t>.</w:t>
      </w:r>
    </w:p>
    <w:p w14:paraId="1AFD7932" w14:textId="77777777" w:rsidR="00C353E8" w:rsidRPr="002F6E72" w:rsidRDefault="00C353E8" w:rsidP="00931B7C">
      <w:pPr>
        <w:spacing w:line="480" w:lineRule="auto"/>
      </w:pPr>
    </w:p>
    <w:p w14:paraId="3CA85F44" w14:textId="50CDCE2B" w:rsidR="0035141A" w:rsidRPr="002F6E72" w:rsidRDefault="004938BA" w:rsidP="00931B7C">
      <w:pPr>
        <w:spacing w:after="200" w:line="480" w:lineRule="auto"/>
        <w:rPr>
          <w:b/>
        </w:rPr>
      </w:pPr>
      <w:r w:rsidRPr="002F6E72">
        <w:rPr>
          <w:b/>
        </w:rPr>
        <w:t>4</w:t>
      </w:r>
      <w:r w:rsidR="005068AA" w:rsidRPr="002F6E72">
        <w:rPr>
          <w:b/>
        </w:rPr>
        <w:t xml:space="preserve">.  </w:t>
      </w:r>
      <w:r w:rsidR="00C046B3" w:rsidRPr="002F6E72">
        <w:rPr>
          <w:b/>
        </w:rPr>
        <w:t>Results</w:t>
      </w:r>
    </w:p>
    <w:p w14:paraId="225B8A3F" w14:textId="77777777" w:rsidR="00786FBE" w:rsidRPr="002F6E72" w:rsidRDefault="005919BD" w:rsidP="00931B7C">
      <w:pPr>
        <w:spacing w:line="480" w:lineRule="auto"/>
        <w:rPr>
          <w:b/>
          <w:i/>
        </w:rPr>
      </w:pPr>
      <w:r w:rsidRPr="002F6E72">
        <w:rPr>
          <w:b/>
          <w:i/>
        </w:rPr>
        <w:t>4</w:t>
      </w:r>
      <w:r w:rsidR="00786FBE" w:rsidRPr="002F6E72">
        <w:rPr>
          <w:b/>
          <w:i/>
        </w:rPr>
        <w:t>.1 Outcome elasticities</w:t>
      </w:r>
    </w:p>
    <w:p w14:paraId="2CD364DC" w14:textId="544C3536" w:rsidR="00C53344" w:rsidRPr="002F6E72" w:rsidRDefault="003D7C02" w:rsidP="00931B7C">
      <w:pPr>
        <w:spacing w:line="480" w:lineRule="auto"/>
      </w:pPr>
      <w:r w:rsidRPr="002F6E72">
        <w:t>T</w:t>
      </w:r>
      <w:r w:rsidR="00845D84" w:rsidRPr="002F6E72">
        <w:t>he</w:t>
      </w:r>
      <w:r w:rsidRPr="002F6E72">
        <w:t xml:space="preserve"> estimation</w:t>
      </w:r>
      <w:r w:rsidR="00845D84" w:rsidRPr="002F6E72">
        <w:t xml:space="preserve"> strategy outlined </w:t>
      </w:r>
      <w:r w:rsidRPr="002F6E72">
        <w:t>above</w:t>
      </w:r>
      <w:r w:rsidR="00C353E8" w:rsidRPr="002F6E72">
        <w:t xml:space="preserve"> generates a large amount of </w:t>
      </w:r>
      <w:r w:rsidRPr="002F6E72">
        <w:t xml:space="preserve">statistical </w:t>
      </w:r>
      <w:r w:rsidR="00C353E8" w:rsidRPr="002F6E72">
        <w:t>output</w:t>
      </w:r>
      <w:r w:rsidRPr="002F6E72">
        <w:t xml:space="preserve"> when applied to ten disease areas</w:t>
      </w:r>
      <w:r w:rsidR="00D05037" w:rsidRPr="002F6E72">
        <w:t>, annually,</w:t>
      </w:r>
      <w:r w:rsidRPr="002F6E72">
        <w:t xml:space="preserve"> </w:t>
      </w:r>
      <w:r w:rsidR="00D05037" w:rsidRPr="002F6E72">
        <w:t>over the study period</w:t>
      </w:r>
      <w:r w:rsidR="00C353E8" w:rsidRPr="002F6E72">
        <w:t>.  Here we provide detailed results for one year (for 2005/</w:t>
      </w:r>
      <w:r w:rsidR="00E12476" w:rsidRPr="002F6E72">
        <w:t>0</w:t>
      </w:r>
      <w:r w:rsidR="00C353E8" w:rsidRPr="002F6E72">
        <w:t xml:space="preserve">6) </w:t>
      </w:r>
      <w:r w:rsidR="001A7766" w:rsidRPr="002F6E72">
        <w:t xml:space="preserve">with summaries for the others, </w:t>
      </w:r>
      <w:r w:rsidR="00C353E8" w:rsidRPr="002F6E72">
        <w:t xml:space="preserve">but detailed results for each of the other study years are </w:t>
      </w:r>
      <w:r w:rsidR="00520C25" w:rsidRPr="002F6E72">
        <w:t xml:space="preserve">in appendix </w:t>
      </w:r>
      <w:r w:rsidR="00CE1D4D">
        <w:t>4</w:t>
      </w:r>
      <w:r w:rsidR="00C353E8" w:rsidRPr="002F6E72">
        <w:t xml:space="preserve">. </w:t>
      </w:r>
    </w:p>
    <w:p w14:paraId="44D11AD2" w14:textId="77777777" w:rsidR="007E0FF1" w:rsidRPr="002F6E72" w:rsidRDefault="00C353E8" w:rsidP="00931B7C">
      <w:pPr>
        <w:spacing w:line="480" w:lineRule="auto"/>
      </w:pPr>
      <w:r w:rsidRPr="002F6E72">
        <w:t xml:space="preserve"> </w:t>
      </w:r>
    </w:p>
    <w:p w14:paraId="24FECE65" w14:textId="77777777" w:rsidR="00911A62" w:rsidRPr="002F6E72" w:rsidRDefault="007E0FF1" w:rsidP="00931B7C">
      <w:pPr>
        <w:spacing w:line="480" w:lineRule="auto"/>
        <w:rPr>
          <w:i/>
        </w:rPr>
      </w:pPr>
      <w:r w:rsidRPr="002F6E72">
        <w:rPr>
          <w:i/>
        </w:rPr>
        <w:t>All-cause mortality</w:t>
      </w:r>
      <w:r w:rsidR="00C353E8" w:rsidRPr="002F6E72">
        <w:rPr>
          <w:i/>
        </w:rPr>
        <w:t xml:space="preserve"> </w:t>
      </w:r>
      <w:r w:rsidR="00837A77" w:rsidRPr="002F6E72">
        <w:rPr>
          <w:i/>
        </w:rPr>
        <w:t>for 2005/</w:t>
      </w:r>
      <w:r w:rsidR="00E12476" w:rsidRPr="002F6E72">
        <w:rPr>
          <w:i/>
        </w:rPr>
        <w:t>0</w:t>
      </w:r>
      <w:r w:rsidR="00837A77" w:rsidRPr="002F6E72">
        <w:rPr>
          <w:i/>
        </w:rPr>
        <w:t>6</w:t>
      </w:r>
    </w:p>
    <w:p w14:paraId="5E40C5F1" w14:textId="3E5FA5DB" w:rsidR="007E0FF1" w:rsidRPr="002F6E72" w:rsidRDefault="0071112F" w:rsidP="00931B7C">
      <w:pPr>
        <w:spacing w:line="480" w:lineRule="auto"/>
      </w:pPr>
      <w:r w:rsidRPr="002F6E72">
        <w:t xml:space="preserve">The results in Table 2 </w:t>
      </w:r>
      <w:r w:rsidR="00DB551C" w:rsidRPr="002F6E72">
        <w:t>illustrate the application of our estimation strategy</w:t>
      </w:r>
      <w:r w:rsidR="00564957" w:rsidRPr="002F6E72">
        <w:t xml:space="preserve"> to the estimation of equation (</w:t>
      </w:r>
      <w:r w:rsidR="001A6F0A">
        <w:t>1</w:t>
      </w:r>
      <w:r w:rsidR="00564957" w:rsidRPr="002F6E72">
        <w:t>)</w:t>
      </w:r>
      <w:r w:rsidR="00F6790C" w:rsidRPr="002F6E72">
        <w:t xml:space="preserve"> for all-cause mortality</w:t>
      </w:r>
      <w:r w:rsidR="00DB551C" w:rsidRPr="002F6E72">
        <w:t xml:space="preserve">.  </w:t>
      </w:r>
      <w:r w:rsidR="004F38B2" w:rsidRPr="002F6E72">
        <w:t>Th</w:t>
      </w:r>
      <w:r w:rsidRPr="002F6E72">
        <w:t xml:space="preserve">is </w:t>
      </w:r>
      <w:r w:rsidR="004F38B2" w:rsidRPr="002F6E72">
        <w:t>report</w:t>
      </w:r>
      <w:r w:rsidRPr="002F6E72">
        <w:t>s the second-stage regression</w:t>
      </w:r>
      <w:r w:rsidR="00D1111D" w:rsidRPr="002F6E72">
        <w:t xml:space="preserve"> </w:t>
      </w:r>
      <w:r w:rsidR="004F38B2" w:rsidRPr="002F6E72">
        <w:t xml:space="preserve">for </w:t>
      </w:r>
      <w:r w:rsidR="00EB000A" w:rsidRPr="002F6E72">
        <w:t>various specifications as suggested by our estimation strategy</w:t>
      </w:r>
      <w:r w:rsidRPr="002F6E72">
        <w:t xml:space="preserve"> (first-stage results are in Table A10</w:t>
      </w:r>
      <w:r w:rsidR="00DB526C" w:rsidRPr="002F6E72">
        <w:t xml:space="preserve"> in </w:t>
      </w:r>
      <w:r w:rsidRPr="002F6E72">
        <w:t>appendix</w:t>
      </w:r>
      <w:r w:rsidR="00DB526C" w:rsidRPr="002F6E72">
        <w:t xml:space="preserve"> </w:t>
      </w:r>
      <w:r w:rsidR="00CE1D4D">
        <w:t>4</w:t>
      </w:r>
      <w:r w:rsidRPr="002F6E72">
        <w:t>)</w:t>
      </w:r>
      <w:r w:rsidR="00EB000A" w:rsidRPr="002F6E72">
        <w:t xml:space="preserve">.  </w:t>
      </w:r>
      <w:r w:rsidR="00993180" w:rsidRPr="002F6E72">
        <w:t>We begin</w:t>
      </w:r>
      <w:r w:rsidR="00D1111D" w:rsidRPr="002F6E72">
        <w:t xml:space="preserve"> with the inclusion of all</w:t>
      </w:r>
      <w:r w:rsidR="00993180" w:rsidRPr="002F6E72">
        <w:t xml:space="preserve"> potential socio-economic controls </w:t>
      </w:r>
      <w:r w:rsidR="00D1111D" w:rsidRPr="002F6E72">
        <w:t xml:space="preserve">in the equation of interest </w:t>
      </w:r>
      <w:r w:rsidR="00993180" w:rsidRPr="002F6E72">
        <w:t>(</w:t>
      </w:r>
      <w:r w:rsidR="00EB000A" w:rsidRPr="002F6E72">
        <w:t xml:space="preserve">see </w:t>
      </w:r>
      <w:r w:rsidR="00993180" w:rsidRPr="002F6E72">
        <w:t>column 1 of Tabl</w:t>
      </w:r>
      <w:r w:rsidR="0081577F" w:rsidRPr="002F6E72">
        <w:t>e 2) and all three funding rule</w:t>
      </w:r>
      <w:r w:rsidR="00993180" w:rsidRPr="002F6E72">
        <w:t xml:space="preserve"> variables </w:t>
      </w:r>
      <w:r w:rsidR="00D1111D" w:rsidRPr="002F6E72">
        <w:t>as instruments</w:t>
      </w:r>
      <w:r w:rsidR="00993180" w:rsidRPr="002F6E72">
        <w:t xml:space="preserve"> (</w:t>
      </w:r>
      <w:r w:rsidR="00EB000A" w:rsidRPr="002F6E72">
        <w:t xml:space="preserve">see </w:t>
      </w:r>
      <w:r w:rsidRPr="002F6E72">
        <w:t>column 1 of Table A10</w:t>
      </w:r>
      <w:r w:rsidR="00993180" w:rsidRPr="002F6E72">
        <w:t xml:space="preserve">).  </w:t>
      </w:r>
      <w:r w:rsidR="0075604F" w:rsidRPr="002F6E72">
        <w:t>As indicated by our estimation strategy</w:t>
      </w:r>
      <w:r w:rsidR="004840FF" w:rsidRPr="002F6E72">
        <w:t>,</w:t>
      </w:r>
      <w:r w:rsidR="0075604F" w:rsidRPr="002F6E72">
        <w:t xml:space="preserve"> t</w:t>
      </w:r>
      <w:r w:rsidR="0007158A" w:rsidRPr="002F6E72">
        <w:t>he least significant regressor is removed from the specification and the equation is re-estimated.  This process – of dropping the least significant regressor and re-estimating -- continues until there are only significant controls remaining</w:t>
      </w:r>
      <w:r w:rsidR="009D6A64" w:rsidRPr="002F6E72">
        <w:t xml:space="preserve">.  This process leads to the </w:t>
      </w:r>
      <w:r w:rsidR="007E0FF1" w:rsidRPr="002F6E72">
        <w:t xml:space="preserve">more parsimonious </w:t>
      </w:r>
      <w:r w:rsidR="002016FC">
        <w:t xml:space="preserve">second-stage </w:t>
      </w:r>
      <w:r w:rsidR="007E0FF1" w:rsidRPr="002F6E72">
        <w:t xml:space="preserve">specification </w:t>
      </w:r>
      <w:r w:rsidR="0075604F" w:rsidRPr="002F6E72">
        <w:t>shown in column 2</w:t>
      </w:r>
      <w:r w:rsidR="002016FC">
        <w:t xml:space="preserve"> of Table 2</w:t>
      </w:r>
      <w:r w:rsidR="0075604F" w:rsidRPr="002F6E72">
        <w:t>.</w:t>
      </w:r>
      <w:r w:rsidR="007E0FF1" w:rsidRPr="002F6E72">
        <w:t xml:space="preserve">  </w:t>
      </w:r>
    </w:p>
    <w:p w14:paraId="75F692CD" w14:textId="77777777" w:rsidR="007E0FF1" w:rsidRPr="002F6E72" w:rsidRDefault="007E0FF1" w:rsidP="00931B7C">
      <w:pPr>
        <w:spacing w:line="480" w:lineRule="auto"/>
      </w:pPr>
    </w:p>
    <w:p w14:paraId="0F6AC407" w14:textId="1948D3C9" w:rsidR="0075604F" w:rsidRPr="002F6E72" w:rsidRDefault="007E0FF1" w:rsidP="00931B7C">
      <w:pPr>
        <w:spacing w:line="480" w:lineRule="auto"/>
      </w:pPr>
      <w:r w:rsidRPr="002F6E72">
        <w:t>Unfortunately, the instrument set associa</w:t>
      </w:r>
      <w:r w:rsidR="009D6A64" w:rsidRPr="002F6E72">
        <w:t xml:space="preserve">ted with this </w:t>
      </w:r>
      <w:r w:rsidR="00C17827" w:rsidRPr="002F6E72">
        <w:t>specification is not valid</w:t>
      </w:r>
      <w:r w:rsidR="004840FF" w:rsidRPr="002F6E72">
        <w:t xml:space="preserve"> </w:t>
      </w:r>
      <w:r w:rsidRPr="002F6E72">
        <w:t>so we eliminate one instrument at a time and re-estimate the model</w:t>
      </w:r>
      <w:r w:rsidR="004840FF" w:rsidRPr="002F6E72">
        <w:t xml:space="preserve"> </w:t>
      </w:r>
      <w:r w:rsidR="00C53344" w:rsidRPr="002F6E72">
        <w:t>(</w:t>
      </w:r>
      <w:r w:rsidR="004840FF" w:rsidRPr="002F6E72">
        <w:t>three times</w:t>
      </w:r>
      <w:r w:rsidR="00C53344" w:rsidRPr="002F6E72">
        <w:t xml:space="preserve"> in all)</w:t>
      </w:r>
      <w:r w:rsidRPr="002F6E72">
        <w:t xml:space="preserve">.  The result in column 3 shows the result associated with the least invalid instrument set (this includes the </w:t>
      </w:r>
      <w:r w:rsidRPr="002F6E72">
        <w:lastRenderedPageBreak/>
        <w:t xml:space="preserve">age and MFF instruments) but this </w:t>
      </w:r>
      <w:r w:rsidR="00C53344" w:rsidRPr="002F6E72">
        <w:t xml:space="preserve">combination of instruments </w:t>
      </w:r>
      <w:r w:rsidRPr="002F6E72">
        <w:t>still just fails the Hansen-</w:t>
      </w:r>
      <w:proofErr w:type="spellStart"/>
      <w:r w:rsidRPr="002F6E72">
        <w:t>Sargan</w:t>
      </w:r>
      <w:proofErr w:type="spellEnd"/>
      <w:r w:rsidRPr="002F6E72">
        <w:t xml:space="preserve"> test at the 10% level.   The specification in column 4 shows the (strongest instrument) result associated with the use of a single instrument (the MFF index).  However, this specification still fails the reset test so we re-estimate this several times and, on each occasion, add back in one of our previously deleted socio-economic </w:t>
      </w:r>
      <w:r w:rsidR="009D6A64" w:rsidRPr="002F6E72">
        <w:t xml:space="preserve">control </w:t>
      </w:r>
      <w:r w:rsidRPr="002F6E72">
        <w:t>variables.  The results shown in columns 5 and 6 both pass the reset test and, as the final result has the strongest instrument set</w:t>
      </w:r>
      <w:r w:rsidR="007941AE" w:rsidRPr="002F6E72">
        <w:t xml:space="preserve"> (the </w:t>
      </w:r>
      <w:proofErr w:type="spellStart"/>
      <w:r w:rsidR="007941AE" w:rsidRPr="002F6E72">
        <w:t>Kleibergen-Paap</w:t>
      </w:r>
      <w:proofErr w:type="spellEnd"/>
      <w:r w:rsidR="007941AE" w:rsidRPr="002F6E72">
        <w:t xml:space="preserve"> F statistic=26.7)</w:t>
      </w:r>
      <w:r w:rsidRPr="002F6E72">
        <w:t>, this is our preferred outcome specification for all-cause mortality.</w:t>
      </w:r>
    </w:p>
    <w:p w14:paraId="0DEEF645" w14:textId="77777777" w:rsidR="007E0FF1" w:rsidRPr="002F6E72" w:rsidRDefault="007E0FF1" w:rsidP="00931B7C">
      <w:pPr>
        <w:spacing w:line="480" w:lineRule="auto"/>
      </w:pPr>
    </w:p>
    <w:p w14:paraId="236A719C" w14:textId="77777777" w:rsidR="007E0FF1" w:rsidRPr="002F6E72" w:rsidRDefault="007E0FF1" w:rsidP="00931B7C">
      <w:pPr>
        <w:spacing w:line="480" w:lineRule="auto"/>
        <w:rPr>
          <w:i/>
        </w:rPr>
      </w:pPr>
      <w:r w:rsidRPr="002F6E72">
        <w:rPr>
          <w:i/>
        </w:rPr>
        <w:t>Disease-specific mortality</w:t>
      </w:r>
      <w:r w:rsidR="007349FE" w:rsidRPr="002F6E72">
        <w:rPr>
          <w:i/>
        </w:rPr>
        <w:t xml:space="preserve"> </w:t>
      </w:r>
      <w:r w:rsidR="00837A77" w:rsidRPr="002F6E72">
        <w:rPr>
          <w:i/>
        </w:rPr>
        <w:t>for 2005/</w:t>
      </w:r>
      <w:r w:rsidR="00A332D7" w:rsidRPr="002F6E72">
        <w:rPr>
          <w:i/>
        </w:rPr>
        <w:t>0</w:t>
      </w:r>
      <w:r w:rsidR="00837A77" w:rsidRPr="002F6E72">
        <w:rPr>
          <w:i/>
        </w:rPr>
        <w:t>6</w:t>
      </w:r>
    </w:p>
    <w:p w14:paraId="45953E85" w14:textId="04AE5FA6" w:rsidR="00FC47A3" w:rsidRPr="002F6E72" w:rsidRDefault="00091E35" w:rsidP="00931B7C">
      <w:pPr>
        <w:spacing w:line="480" w:lineRule="auto"/>
      </w:pPr>
      <w:r>
        <w:t xml:space="preserve">If we apply the same </w:t>
      </w:r>
      <w:r w:rsidR="007E0FF1" w:rsidRPr="002F6E72">
        <w:t xml:space="preserve">strategy to the estimation of </w:t>
      </w:r>
      <w:r w:rsidR="00A332D7" w:rsidRPr="002F6E72">
        <w:t xml:space="preserve">the </w:t>
      </w:r>
      <w:r>
        <w:t>health outcome equation (1</w:t>
      </w:r>
      <w:r w:rsidR="007E0FF1" w:rsidRPr="002F6E72">
        <w:t xml:space="preserve">) for nine disease-specific mortality rates we obtain the </w:t>
      </w:r>
      <w:r w:rsidR="005931AA" w:rsidRPr="002F6E72">
        <w:t xml:space="preserve">second-stage </w:t>
      </w:r>
      <w:r w:rsidR="007E0FF1" w:rsidRPr="002F6E72">
        <w:t xml:space="preserve">results </w:t>
      </w:r>
      <w:r w:rsidR="00B32B92" w:rsidRPr="002F6E72">
        <w:t>shown in columns 2</w:t>
      </w:r>
      <w:r w:rsidR="007E0FF1" w:rsidRPr="002F6E72">
        <w:t xml:space="preserve"> –</w:t>
      </w:r>
      <w:r w:rsidR="00B32B92" w:rsidRPr="002F6E72">
        <w:t xml:space="preserve"> 9</w:t>
      </w:r>
      <w:r w:rsidR="007E0FF1" w:rsidRPr="002F6E72">
        <w:t xml:space="preserve"> of </w:t>
      </w:r>
      <w:r w:rsidR="00DB526C" w:rsidRPr="002F6E72">
        <w:t>Table 3</w:t>
      </w:r>
      <w:r w:rsidR="007E0FF1" w:rsidRPr="002F6E72">
        <w:t xml:space="preserve"> (first-stage results</w:t>
      </w:r>
      <w:r w:rsidR="005931AA" w:rsidRPr="002F6E72">
        <w:t xml:space="preserve"> are in Table A11 in appendix </w:t>
      </w:r>
      <w:r w:rsidR="00347B38">
        <w:t>4</w:t>
      </w:r>
      <w:r w:rsidR="007E0FF1" w:rsidRPr="002F6E72">
        <w:t>).</w:t>
      </w:r>
      <w:r w:rsidR="0085149A" w:rsidRPr="002F6E72">
        <w:t xml:space="preserve">  </w:t>
      </w:r>
      <w:r w:rsidR="002604C6" w:rsidRPr="002F6E72">
        <w:t>There is no result for</w:t>
      </w:r>
      <w:r w:rsidR="00B32B92" w:rsidRPr="002F6E72">
        <w:t xml:space="preserve"> epilepsy mortality because we were unable to find a plausible specification</w:t>
      </w:r>
      <w:r w:rsidR="00916DA1" w:rsidRPr="002F6E72">
        <w:t xml:space="preserve"> </w:t>
      </w:r>
      <w:r w:rsidR="00FD6A88" w:rsidRPr="002F6E72">
        <w:t xml:space="preserve">for this disease area </w:t>
      </w:r>
      <w:r w:rsidR="00090932" w:rsidRPr="002F6E72">
        <w:t>for this year</w:t>
      </w:r>
      <w:r w:rsidR="00916DA1" w:rsidRPr="002F6E72">
        <w:t xml:space="preserve">. </w:t>
      </w:r>
      <w:r w:rsidR="004C2F28" w:rsidRPr="002F6E72">
        <w:t xml:space="preserve"> The coefficient on expenditure is significant at the 10% level for all eight disease-specific areas.  The endogeneity test statistics suggest that expenditure is clearly endogenous for all eight specialties.  The Hansen-</w:t>
      </w:r>
      <w:proofErr w:type="spellStart"/>
      <w:r w:rsidR="004C2F28" w:rsidRPr="002F6E72">
        <w:t>Sargan</w:t>
      </w:r>
      <w:proofErr w:type="spellEnd"/>
      <w:r w:rsidR="004C2F28" w:rsidRPr="002F6E72">
        <w:t xml:space="preserve"> test statistics suggest that the instrument sets are valid.  The </w:t>
      </w:r>
      <w:proofErr w:type="spellStart"/>
      <w:r w:rsidR="004C2F28" w:rsidRPr="002F6E72">
        <w:t>Kleibergen-Paap</w:t>
      </w:r>
      <w:proofErr w:type="spellEnd"/>
      <w:r w:rsidR="004C2F28" w:rsidRPr="002F6E72">
        <w:t xml:space="preserve"> F statistics suggest that, for six of the eight specifications, we have strong instruments (F statistic around ten or better) and that for the other two (for gastro-intestinal problems and for neonate mortality) the instrument sets are borderline strong (F-statistics of 8.74 and 8.95 respectively).  The </w:t>
      </w:r>
      <w:proofErr w:type="spellStart"/>
      <w:r w:rsidR="004C2F28" w:rsidRPr="002F6E72">
        <w:t>Pesaran</w:t>
      </w:r>
      <w:proofErr w:type="spellEnd"/>
      <w:r w:rsidR="004C2F28" w:rsidRPr="002F6E72">
        <w:t xml:space="preserve">-Taylor reset test statistics suggest no evidence of mis-specification.  The coefficients on the instruments in the </w:t>
      </w:r>
      <w:r w:rsidR="00D5699B" w:rsidRPr="002F6E72">
        <w:t>first-stage regressions (Table A11</w:t>
      </w:r>
      <w:r w:rsidR="005C0185">
        <w:t xml:space="preserve"> in appendix 4</w:t>
      </w:r>
      <w:r w:rsidR="00DC18C9" w:rsidRPr="002F6E72">
        <w:t>) are usually</w:t>
      </w:r>
      <w:r w:rsidR="004C2F28" w:rsidRPr="002F6E72">
        <w:t xml:space="preserve"> signif</w:t>
      </w:r>
      <w:r w:rsidR="00135426" w:rsidRPr="002F6E72">
        <w:t xml:space="preserve">icant and positive (as is </w:t>
      </w:r>
      <w:r w:rsidR="004C2F28" w:rsidRPr="002F6E72">
        <w:t>anticipated).</w:t>
      </w:r>
    </w:p>
    <w:p w14:paraId="5B2960D3" w14:textId="3C71A81B" w:rsidR="007915CB" w:rsidRPr="002F6E72" w:rsidRDefault="007915CB" w:rsidP="00931B7C">
      <w:pPr>
        <w:spacing w:line="480" w:lineRule="auto"/>
      </w:pPr>
    </w:p>
    <w:p w14:paraId="5D74715E" w14:textId="512B4DBB" w:rsidR="007E0FF1" w:rsidRPr="002F6E72" w:rsidRDefault="001438F0" w:rsidP="00931B7C">
      <w:pPr>
        <w:spacing w:line="480" w:lineRule="auto"/>
        <w:rPr>
          <w:i/>
        </w:rPr>
      </w:pPr>
      <w:r w:rsidRPr="002F6E72">
        <w:rPr>
          <w:i/>
        </w:rPr>
        <w:t>All-</w:t>
      </w:r>
      <w:r w:rsidR="00837A77" w:rsidRPr="002F6E72">
        <w:rPr>
          <w:i/>
        </w:rPr>
        <w:t>cause and disease</w:t>
      </w:r>
      <w:r w:rsidRPr="002F6E72">
        <w:rPr>
          <w:i/>
        </w:rPr>
        <w:t xml:space="preserve">-specific mortality for 2003/04, 2004/05, 2006/07 </w:t>
      </w:r>
      <w:r w:rsidR="00837A77" w:rsidRPr="002F6E72">
        <w:rPr>
          <w:i/>
        </w:rPr>
        <w:t>– 2012/13</w:t>
      </w:r>
    </w:p>
    <w:p w14:paraId="312453F4" w14:textId="45460B25" w:rsidR="002604C6" w:rsidRPr="002F6E72" w:rsidRDefault="00060964" w:rsidP="00931B7C">
      <w:pPr>
        <w:spacing w:line="480" w:lineRule="auto"/>
      </w:pPr>
      <w:r w:rsidRPr="002F6E72">
        <w:lastRenderedPageBreak/>
        <w:t>The estimation strategy outlined in section 2.</w:t>
      </w:r>
      <w:r w:rsidR="00F17071">
        <w:t>4</w:t>
      </w:r>
      <w:r w:rsidR="00976C8D" w:rsidRPr="002F6E72">
        <w:t xml:space="preserve"> is </w:t>
      </w:r>
      <w:r w:rsidR="0066697F" w:rsidRPr="002F6E72">
        <w:t>applied to each year’s dataset</w:t>
      </w:r>
      <w:r w:rsidR="005C3A8C" w:rsidRPr="002F6E72">
        <w:t>,</w:t>
      </w:r>
      <w:r w:rsidR="0066697F" w:rsidRPr="002F6E72">
        <w:t xml:space="preserve"> both going forward from 2005/06 to 2012/1</w:t>
      </w:r>
      <w:r w:rsidR="00E7262A" w:rsidRPr="002F6E72">
        <w:t xml:space="preserve">3, and going back to 2003/04.  The values of all variables are logged before estimation so that the regression coefficients can be interpreted as elasticities; they reflect the percentage change in mortality associated with a 1% change in NHS expenditure.  The outcome elasticities for all-cause and disease-specific mortality are in Table 4.  </w:t>
      </w:r>
      <w:r w:rsidR="009D14DD">
        <w:t xml:space="preserve">Confidence intervals associated with these point estimates are in </w:t>
      </w:r>
      <w:r w:rsidR="00575B51">
        <w:t xml:space="preserve">Table A30 in </w:t>
      </w:r>
      <w:r w:rsidR="009D14DD">
        <w:t xml:space="preserve">appendix 5.  </w:t>
      </w:r>
      <w:r w:rsidR="00366DDF" w:rsidRPr="002F6E72">
        <w:t xml:space="preserve">In addition to the </w:t>
      </w:r>
      <w:r w:rsidR="00FF2B5C" w:rsidRPr="002F6E72">
        <w:t>directly estimated out</w:t>
      </w:r>
      <w:r w:rsidR="00DB526C" w:rsidRPr="002F6E72">
        <w:t>come elasticities, Table 4</w:t>
      </w:r>
      <w:r w:rsidR="00FF2B5C" w:rsidRPr="002F6E72">
        <w:t xml:space="preserve"> also reports the all-cause elasticity implied by the disease-specific elasticities</w:t>
      </w:r>
      <w:r w:rsidR="007A5E3E">
        <w:t>.</w:t>
      </w:r>
    </w:p>
    <w:p w14:paraId="59B59453" w14:textId="77777777" w:rsidR="00FD13EB" w:rsidRPr="002F6E72" w:rsidRDefault="00FD13EB" w:rsidP="00931B7C">
      <w:pPr>
        <w:spacing w:line="480" w:lineRule="auto"/>
      </w:pPr>
    </w:p>
    <w:p w14:paraId="26082871" w14:textId="77777777" w:rsidR="00786FBE" w:rsidRPr="002F6E72" w:rsidRDefault="00FB6AA1" w:rsidP="00863464">
      <w:pPr>
        <w:spacing w:line="480" w:lineRule="auto"/>
        <w:rPr>
          <w:b/>
          <w:i/>
        </w:rPr>
      </w:pPr>
      <w:r w:rsidRPr="002F6E72">
        <w:rPr>
          <w:b/>
          <w:i/>
        </w:rPr>
        <w:t>4</w:t>
      </w:r>
      <w:r w:rsidR="00786FBE" w:rsidRPr="002F6E72">
        <w:rPr>
          <w:b/>
          <w:i/>
        </w:rPr>
        <w:t xml:space="preserve">.2 Implied cost per QALY and health opportunity costs </w:t>
      </w:r>
    </w:p>
    <w:p w14:paraId="05E4CA33" w14:textId="1D31F06D" w:rsidR="003C29C8" w:rsidRPr="003C29C8" w:rsidRDefault="006E4A38" w:rsidP="003C29C8">
      <w:pPr>
        <w:spacing w:line="480" w:lineRule="auto"/>
      </w:pPr>
      <w:r w:rsidRPr="002F6E72">
        <w:t xml:space="preserve">The outcome elasticities </w:t>
      </w:r>
      <w:r w:rsidR="00E576DF" w:rsidRPr="002F6E72">
        <w:t>reported in Table 4</w:t>
      </w:r>
      <w:r w:rsidR="00AC711F" w:rsidRPr="002F6E72">
        <w:t>,</w:t>
      </w:r>
      <w:r w:rsidRPr="002F6E72">
        <w:t xml:space="preserve"> </w:t>
      </w:r>
      <w:r w:rsidR="00AC711F" w:rsidRPr="002F6E72">
        <w:rPr>
          <w:rFonts w:cstheme="minorHAnsi"/>
        </w:rPr>
        <w:t>toge</w:t>
      </w:r>
      <w:r w:rsidR="002E336A">
        <w:rPr>
          <w:rFonts w:cstheme="minorHAnsi"/>
        </w:rPr>
        <w:t xml:space="preserve">ther with information about </w:t>
      </w:r>
      <w:r w:rsidR="002F645F" w:rsidRPr="002F6E72">
        <w:rPr>
          <w:rFonts w:cstheme="minorHAnsi"/>
        </w:rPr>
        <w:t xml:space="preserve">the </w:t>
      </w:r>
      <w:r w:rsidR="00AC711F" w:rsidRPr="002F6E72">
        <w:rPr>
          <w:rFonts w:cstheme="minorHAnsi"/>
        </w:rPr>
        <w:t>QALY burden of disease</w:t>
      </w:r>
      <w:r w:rsidR="00FD7ACC" w:rsidRPr="002F6E72">
        <w:rPr>
          <w:rFonts w:cstheme="minorHAnsi"/>
        </w:rPr>
        <w:t xml:space="preserve"> and</w:t>
      </w:r>
      <w:r w:rsidR="002F645F" w:rsidRPr="002F6E72">
        <w:rPr>
          <w:rFonts w:cstheme="minorHAnsi"/>
        </w:rPr>
        <w:t xml:space="preserve"> the</w:t>
      </w:r>
      <w:r w:rsidR="002E336A">
        <w:rPr>
          <w:rFonts w:cstheme="minorHAnsi"/>
        </w:rPr>
        <w:t xml:space="preserve"> </w:t>
      </w:r>
      <w:r w:rsidR="00AC711F" w:rsidRPr="002F6E72">
        <w:rPr>
          <w:rFonts w:cstheme="minorHAnsi"/>
        </w:rPr>
        <w:t>surrogacy and extrapolation assumptions</w:t>
      </w:r>
      <w:r w:rsidR="002E336A">
        <w:rPr>
          <w:rFonts w:cstheme="minorHAnsi"/>
        </w:rPr>
        <w:t xml:space="preserve"> outlined in section 2.</w:t>
      </w:r>
      <w:r w:rsidR="00851CEA">
        <w:rPr>
          <w:rFonts w:cstheme="minorHAnsi"/>
        </w:rPr>
        <w:t>5</w:t>
      </w:r>
      <w:r w:rsidR="00AC711F" w:rsidRPr="002F6E72">
        <w:rPr>
          <w:rFonts w:cstheme="minorHAnsi"/>
        </w:rPr>
        <w:t xml:space="preserve">, </w:t>
      </w:r>
      <w:r w:rsidR="002E336A">
        <w:rPr>
          <w:rFonts w:cstheme="minorHAnsi"/>
        </w:rPr>
        <w:t xml:space="preserve">enable us to estimate </w:t>
      </w:r>
      <w:r w:rsidR="00FC0739">
        <w:rPr>
          <w:rFonts w:cstheme="minorHAnsi"/>
        </w:rPr>
        <w:t xml:space="preserve">the </w:t>
      </w:r>
      <w:r w:rsidR="0044299F" w:rsidRPr="002F6E72">
        <w:rPr>
          <w:rFonts w:cstheme="minorHAnsi"/>
        </w:rPr>
        <w:t xml:space="preserve">marginal </w:t>
      </w:r>
      <w:r w:rsidR="00FC0739">
        <w:rPr>
          <w:rFonts w:cstheme="minorHAnsi"/>
        </w:rPr>
        <w:t>cost per QALY</w:t>
      </w:r>
      <w:r w:rsidR="002E336A">
        <w:rPr>
          <w:rFonts w:cstheme="minorHAnsi"/>
        </w:rPr>
        <w:t xml:space="preserve"> for total NHS expenditure</w:t>
      </w:r>
      <w:r w:rsidR="00AC711F" w:rsidRPr="002F6E72">
        <w:rPr>
          <w:rFonts w:cstheme="minorHAnsi"/>
        </w:rPr>
        <w:t xml:space="preserve">. </w:t>
      </w:r>
      <w:r w:rsidR="00AC7766" w:rsidRPr="002F6E72">
        <w:rPr>
          <w:rFonts w:cstheme="minorHAnsi"/>
        </w:rPr>
        <w:t xml:space="preserve"> These cost per QAL</w:t>
      </w:r>
      <w:r w:rsidR="00C94435" w:rsidRPr="002F6E72">
        <w:rPr>
          <w:rFonts w:cstheme="minorHAnsi"/>
        </w:rPr>
        <w:t>Y estimates are shown in Table 5</w:t>
      </w:r>
      <w:r w:rsidR="00AC7766" w:rsidRPr="002F6E72">
        <w:rPr>
          <w:rFonts w:cstheme="minorHAnsi"/>
        </w:rPr>
        <w:t xml:space="preserve"> together with </w:t>
      </w:r>
      <w:r w:rsidR="00AC7766" w:rsidRPr="002F6E72">
        <w:t xml:space="preserve">the health opportunity costs (in terms of the number of QALYs forgone or gained) associated with a small (£10m) change in health care expenditure.  </w:t>
      </w:r>
      <w:r w:rsidR="003C29C8">
        <w:t xml:space="preserve">The </w:t>
      </w:r>
      <w:r w:rsidR="003C29C8" w:rsidRPr="003C29C8">
        <w:t xml:space="preserve">confidence intervals </w:t>
      </w:r>
      <w:r w:rsidR="003C29C8">
        <w:t xml:space="preserve">associated with the </w:t>
      </w:r>
      <w:bookmarkStart w:id="5" w:name="_Hlk62491915"/>
      <w:r w:rsidR="003C29C8" w:rsidRPr="003C29C8">
        <w:t xml:space="preserve">mortality elasticities </w:t>
      </w:r>
      <w:r w:rsidR="003C29C8">
        <w:t xml:space="preserve">were used </w:t>
      </w:r>
      <w:r w:rsidR="00F26A28">
        <w:t>to derive</w:t>
      </w:r>
      <w:r w:rsidR="003C29C8" w:rsidRPr="003C29C8">
        <w:t xml:space="preserve"> </w:t>
      </w:r>
      <w:r w:rsidR="003C29C8">
        <w:t>the confidence interval</w:t>
      </w:r>
      <w:r w:rsidR="00F26A28">
        <w:t>s</w:t>
      </w:r>
      <w:r w:rsidR="003C29C8">
        <w:t xml:space="preserve"> for the cost per </w:t>
      </w:r>
      <w:r w:rsidR="003C29C8" w:rsidRPr="003C29C8">
        <w:t>QAL</w:t>
      </w:r>
      <w:r w:rsidR="003C29C8">
        <w:t>Y</w:t>
      </w:r>
      <w:r w:rsidR="00F26A28">
        <w:t xml:space="preserve"> and health opportunity cost estimates</w:t>
      </w:r>
      <w:r w:rsidR="003C29C8" w:rsidRPr="003C29C8">
        <w:t xml:space="preserve">. </w:t>
      </w:r>
    </w:p>
    <w:bookmarkEnd w:id="5"/>
    <w:p w14:paraId="4F92617F" w14:textId="49744B33" w:rsidR="002E336A" w:rsidRPr="002F6E72" w:rsidRDefault="002E336A" w:rsidP="00863464">
      <w:pPr>
        <w:spacing w:line="480" w:lineRule="auto"/>
      </w:pPr>
    </w:p>
    <w:p w14:paraId="29C4E14B" w14:textId="356D5A35" w:rsidR="004053FD" w:rsidRDefault="00D013FF" w:rsidP="00D97DFF">
      <w:pPr>
        <w:spacing w:line="480" w:lineRule="auto"/>
      </w:pPr>
      <w:r w:rsidRPr="002F6E72">
        <w:t>The cost per QALY point estimates and their associated confidence intervals in Table 5 are illustrated diagrammatically, using a solid line, in Figure 1.  These estimates can also be presented as the number of QALYs gained or forgone associated with a small change in the level of NHS e</w:t>
      </w:r>
      <w:r w:rsidR="00D82A50">
        <w:t>xpenditure (say, £10m).  These health opportunity cost</w:t>
      </w:r>
      <w:r w:rsidRPr="002F6E72">
        <w:t xml:space="preserve"> estimates are also presented in Table 5 and are illustrated diagrammatically, using a solid line, in Figure 2.</w:t>
      </w:r>
      <w:r w:rsidR="004053FD">
        <w:t xml:space="preserve">  </w:t>
      </w:r>
    </w:p>
    <w:p w14:paraId="06DB907C" w14:textId="77777777" w:rsidR="004053FD" w:rsidRDefault="004053FD" w:rsidP="00D97DFF">
      <w:pPr>
        <w:spacing w:line="480" w:lineRule="auto"/>
      </w:pPr>
    </w:p>
    <w:p w14:paraId="7C782E67" w14:textId="77777777" w:rsidR="00D82A50" w:rsidRDefault="004053FD" w:rsidP="004753F5">
      <w:pPr>
        <w:spacing w:line="480" w:lineRule="auto"/>
      </w:pPr>
      <w:r>
        <w:lastRenderedPageBreak/>
        <w:t xml:space="preserve">One </w:t>
      </w:r>
      <w:r w:rsidR="00D013FF" w:rsidRPr="002F6E72">
        <w:t xml:space="preserve">advantage of the diagrammatic form is that it permits a ready comparison with the cost per QALY </w:t>
      </w:r>
      <w:r w:rsidR="00D82A50">
        <w:t>and health opportunity cost</w:t>
      </w:r>
      <w:r w:rsidR="00D94077">
        <w:t xml:space="preserve"> </w:t>
      </w:r>
      <w:r w:rsidR="00D013FF" w:rsidRPr="002F6E72">
        <w:t xml:space="preserve">estimates </w:t>
      </w:r>
      <w:r w:rsidR="00D013FF">
        <w:t xml:space="preserve">obtained using socio-economic instruments [7].  These </w:t>
      </w:r>
      <w:r w:rsidR="00D82A50">
        <w:t>estimates and</w:t>
      </w:r>
      <w:r w:rsidR="00D013FF" w:rsidRPr="002F6E72">
        <w:t xml:space="preserve"> their associated confidence intervals are reproduced diagrammatically using a dashed line in Figure</w:t>
      </w:r>
      <w:r w:rsidR="00D94077">
        <w:t>s</w:t>
      </w:r>
      <w:r w:rsidR="00D013FF" w:rsidRPr="002F6E72">
        <w:t xml:space="preserve"> 1</w:t>
      </w:r>
      <w:r w:rsidR="00D94077">
        <w:t xml:space="preserve"> and 2</w:t>
      </w:r>
      <w:r w:rsidR="00D013FF" w:rsidRPr="002F6E72">
        <w:t xml:space="preserve">.  </w:t>
      </w:r>
    </w:p>
    <w:p w14:paraId="70E691B8" w14:textId="77777777" w:rsidR="00D82A50" w:rsidRDefault="00D82A50" w:rsidP="004753F5">
      <w:pPr>
        <w:spacing w:line="480" w:lineRule="auto"/>
      </w:pPr>
    </w:p>
    <w:p w14:paraId="52962DCF" w14:textId="299915D0" w:rsidR="00B412F0" w:rsidRPr="00B412F0" w:rsidRDefault="00B412F0" w:rsidP="004753F5">
      <w:pPr>
        <w:spacing w:line="480" w:lineRule="auto"/>
      </w:pPr>
      <w:r w:rsidRPr="00B412F0">
        <w:t xml:space="preserve">All of the estimates </w:t>
      </w:r>
      <w:r w:rsidR="0064723D">
        <w:t xml:space="preserve">in Table 5 and Figures 1 and 2 </w:t>
      </w:r>
      <w:r w:rsidRPr="00B412F0">
        <w:t xml:space="preserve">are at current prices. </w:t>
      </w:r>
      <w:r>
        <w:t xml:space="preserve"> Outcome elasticities estimated over the pooled sample </w:t>
      </w:r>
      <w:r w:rsidR="002F6627">
        <w:t xml:space="preserve">using constant </w:t>
      </w:r>
      <w:r>
        <w:t>(2012</w:t>
      </w:r>
      <w:r w:rsidR="002F6627">
        <w:t>/13</w:t>
      </w:r>
      <w:r w:rsidR="00464A9E">
        <w:t>) price expenditure data</w:t>
      </w:r>
      <w:r>
        <w:t xml:space="preserve"> </w:t>
      </w:r>
      <w:r w:rsidR="002F6627">
        <w:t xml:space="preserve">are in appendix 6.  This appendix also reports the annual cost per QALY </w:t>
      </w:r>
      <w:r w:rsidR="00BC33ED">
        <w:t xml:space="preserve">at constant (2012/13) prices using </w:t>
      </w:r>
      <w:r w:rsidR="00F527CF">
        <w:t xml:space="preserve">(a) </w:t>
      </w:r>
      <w:r w:rsidR="00BC33ED">
        <w:t xml:space="preserve">the cross-section results and </w:t>
      </w:r>
      <w:r w:rsidR="00F527CF">
        <w:t xml:space="preserve">(b) </w:t>
      </w:r>
      <w:r w:rsidR="00BC33ED">
        <w:t xml:space="preserve">the pooled analysis. </w:t>
      </w:r>
    </w:p>
    <w:p w14:paraId="4A54059C" w14:textId="77777777" w:rsidR="00B412F0" w:rsidRPr="002F6E72" w:rsidRDefault="00B412F0" w:rsidP="00931B7C">
      <w:pPr>
        <w:spacing w:after="200" w:line="480" w:lineRule="auto"/>
        <w:rPr>
          <w:b/>
        </w:rPr>
      </w:pPr>
    </w:p>
    <w:p w14:paraId="09D6DD30" w14:textId="0BAF6C8B" w:rsidR="00806F57" w:rsidRPr="002F6E72" w:rsidRDefault="008579BC" w:rsidP="00931B7C">
      <w:pPr>
        <w:spacing w:line="480" w:lineRule="auto"/>
        <w:rPr>
          <w:b/>
        </w:rPr>
      </w:pPr>
      <w:r w:rsidRPr="002F6E72">
        <w:rPr>
          <w:b/>
        </w:rPr>
        <w:t>5</w:t>
      </w:r>
      <w:r w:rsidR="000C382D" w:rsidRPr="002F6E72">
        <w:rPr>
          <w:b/>
        </w:rPr>
        <w:t>.  Discussion</w:t>
      </w:r>
    </w:p>
    <w:p w14:paraId="7AA7ECFE" w14:textId="3269D1A9" w:rsidR="000F7E5D" w:rsidRPr="002F6E72" w:rsidRDefault="00900984" w:rsidP="00931B7C">
      <w:pPr>
        <w:spacing w:line="480" w:lineRule="auto"/>
        <w:rPr>
          <w:b/>
          <w:i/>
        </w:rPr>
      </w:pPr>
      <w:r w:rsidRPr="002F6E72">
        <w:rPr>
          <w:b/>
          <w:i/>
        </w:rPr>
        <w:t xml:space="preserve">5.1 </w:t>
      </w:r>
      <w:r w:rsidR="006A1BD3" w:rsidRPr="002F6E72">
        <w:rPr>
          <w:b/>
          <w:i/>
        </w:rPr>
        <w:t xml:space="preserve">Outcome </w:t>
      </w:r>
      <w:r w:rsidR="00640736" w:rsidRPr="002F6E72">
        <w:rPr>
          <w:b/>
          <w:i/>
        </w:rPr>
        <w:t>Elasticities</w:t>
      </w:r>
    </w:p>
    <w:p w14:paraId="173BBCF8" w14:textId="295001C8" w:rsidR="000F7E5D" w:rsidRPr="002F6E72" w:rsidRDefault="00363360" w:rsidP="00931B7C">
      <w:pPr>
        <w:spacing w:line="480" w:lineRule="auto"/>
      </w:pPr>
      <w:r w:rsidRPr="002F6E72">
        <w:t>The disease-specific elasticit</w:t>
      </w:r>
      <w:r w:rsidR="00C94435" w:rsidRPr="002F6E72">
        <w:t>ies shown in Table 4</w:t>
      </w:r>
      <w:r w:rsidR="0046727B" w:rsidRPr="002F6E72">
        <w:t xml:space="preserve"> </w:t>
      </w:r>
      <w:r w:rsidR="00E467A9" w:rsidRPr="002F6E72">
        <w:t>reveal that, although there is some across year variation, the elasticities for most disease areas are reasonably co</w:t>
      </w:r>
      <w:r w:rsidR="00181C2E" w:rsidRPr="002F6E72">
        <w:t>nstant throughout the study</w:t>
      </w:r>
      <w:r w:rsidR="00E467A9" w:rsidRPr="002F6E72">
        <w:t xml:space="preserve"> </w:t>
      </w:r>
      <w:r w:rsidR="00640736" w:rsidRPr="002F6E72">
        <w:t>period.  T</w:t>
      </w:r>
      <w:r w:rsidR="00E467A9" w:rsidRPr="002F6E72">
        <w:t>his consistency is most notable for those disease areas with a relatively large number of deaths (such as c</w:t>
      </w:r>
      <w:r w:rsidR="00B844E2" w:rsidRPr="002F6E72">
        <w:t>ancer and circulatory disease)</w:t>
      </w:r>
      <w:r w:rsidR="0097255E" w:rsidRPr="002F6E72">
        <w:t>.</w:t>
      </w:r>
      <w:r w:rsidR="00C7617A" w:rsidRPr="002F6E72">
        <w:t xml:space="preserve">  </w:t>
      </w:r>
      <w:r w:rsidR="0097255E" w:rsidRPr="002F6E72">
        <w:t>The disease-</w:t>
      </w:r>
      <w:r w:rsidR="002447CA" w:rsidRPr="002F6E72">
        <w:t>specific elasticities in Table 4</w:t>
      </w:r>
      <w:r w:rsidR="0097255E" w:rsidRPr="002F6E72">
        <w:t xml:space="preserve"> also demonstrate that </w:t>
      </w:r>
      <w:r w:rsidRPr="002F6E72">
        <w:t xml:space="preserve">the </w:t>
      </w:r>
      <w:r w:rsidR="000F7E5D" w:rsidRPr="002F6E72">
        <w:t xml:space="preserve">responsiveness of mortality to changes in expenditure varies </w:t>
      </w:r>
      <w:r w:rsidR="0097255E" w:rsidRPr="002F6E72">
        <w:t xml:space="preserve">considerably </w:t>
      </w:r>
      <w:r w:rsidR="000F7E5D" w:rsidRPr="002F6E72">
        <w:t xml:space="preserve">by disease area.  For example, for </w:t>
      </w:r>
      <w:r w:rsidR="0097255E" w:rsidRPr="002F6E72">
        <w:t xml:space="preserve">every </w:t>
      </w:r>
      <w:r w:rsidR="00B844E2" w:rsidRPr="002F6E72">
        <w:t xml:space="preserve">year </w:t>
      </w:r>
      <w:r w:rsidR="000F7E5D" w:rsidRPr="002F6E72">
        <w:t>circulatory disease appears to be more responsive than cancer to marginal changes in expenditure.</w:t>
      </w:r>
    </w:p>
    <w:p w14:paraId="7FD48B4B" w14:textId="7A2ED356" w:rsidR="00C56699" w:rsidRPr="002F6E72" w:rsidRDefault="00C56699" w:rsidP="00931B7C">
      <w:pPr>
        <w:spacing w:line="480" w:lineRule="auto"/>
        <w:rPr>
          <w:i/>
        </w:rPr>
      </w:pPr>
    </w:p>
    <w:p w14:paraId="1A07C2C9" w14:textId="4EDD8BFC" w:rsidR="00144B12" w:rsidRPr="000E6898" w:rsidRDefault="00293FD1" w:rsidP="00144B12">
      <w:pPr>
        <w:spacing w:line="480" w:lineRule="auto"/>
      </w:pPr>
      <w:r w:rsidRPr="002F6E72">
        <w:t>Two all-cause outcome elas</w:t>
      </w:r>
      <w:r w:rsidR="00C94435" w:rsidRPr="002F6E72">
        <w:t>ticities are reported in Table 4</w:t>
      </w:r>
      <w:r w:rsidRPr="002F6E72">
        <w:t>.  One of these has been directly estimated</w:t>
      </w:r>
      <w:r w:rsidR="001614CF" w:rsidRPr="002F6E72">
        <w:t xml:space="preserve"> in the same way as the disease-</w:t>
      </w:r>
      <w:r w:rsidRPr="002F6E72">
        <w:t xml:space="preserve">specific </w:t>
      </w:r>
      <w:r w:rsidR="002D326C" w:rsidRPr="002F6E72">
        <w:t xml:space="preserve">elasticities, and the other is the elasticity implied by the disease-specific estimates.  </w:t>
      </w:r>
      <w:r w:rsidR="00782AD1" w:rsidRPr="002F6E72">
        <w:t>These confirm the patterns noted for the disease-specific elasticities: first, although there is some variation across years, both series are relatively consistent</w:t>
      </w:r>
      <w:r w:rsidR="00EF31F0" w:rsidRPr="002F6E72">
        <w:t>; and second, as these re</w:t>
      </w:r>
      <w:r w:rsidR="00782AD1" w:rsidRPr="002F6E72">
        <w:t>flect total mortality</w:t>
      </w:r>
      <w:r w:rsidR="00EF31F0" w:rsidRPr="002F6E72">
        <w:t>,</w:t>
      </w:r>
      <w:r w:rsidR="00782AD1" w:rsidRPr="002F6E72">
        <w:t xml:space="preserve"> the variation in the estimates </w:t>
      </w:r>
      <w:r w:rsidR="00782AD1" w:rsidRPr="002F6E72">
        <w:lastRenderedPageBreak/>
        <w:t>across time is smaller than the variation in the disease-specific estimates.</w:t>
      </w:r>
      <w:r w:rsidR="00A82C9B" w:rsidRPr="002F6E72">
        <w:t xml:space="preserve">  It is also worth noting that, for all ten years, the directly estimated all-cause elasticity is smaller (absolutely) than the all-cause elasticity implied by the disease-specific elasticities</w:t>
      </w:r>
      <w:r w:rsidR="003D1A5B">
        <w:t>.  There may be some aggregation bias associated with the all-cause elasticity that is avoided through the use of more disaggregated data.</w:t>
      </w:r>
      <w:r w:rsidR="00144B12">
        <w:t xml:space="preserve">  A reviewer suggested that this result</w:t>
      </w:r>
      <w:r w:rsidR="00144B12" w:rsidRPr="006860EB">
        <w:t xml:space="preserve"> could also be </w:t>
      </w:r>
      <w:r w:rsidR="00144B12">
        <w:t xml:space="preserve">because the </w:t>
      </w:r>
      <w:r w:rsidR="00144B12" w:rsidRPr="006860EB">
        <w:t>disease specific result is the less robust result due to the cumulative effects of bias across the ind</w:t>
      </w:r>
      <w:r w:rsidR="00144B12">
        <w:t xml:space="preserve">ividual disease specific models.  However, </w:t>
      </w:r>
      <w:r w:rsidR="00144B12" w:rsidRPr="000E6898">
        <w:t xml:space="preserve">it is not obvious </w:t>
      </w:r>
      <w:r w:rsidR="00144B12" w:rsidRPr="00144B12">
        <w:t>why the disease specific results should all be affected by bias in the same direction, nor why this bias should</w:t>
      </w:r>
      <w:r w:rsidR="00144B12">
        <w:t xml:space="preserve"> not affect the all-cause result.</w:t>
      </w:r>
    </w:p>
    <w:p w14:paraId="202388BF" w14:textId="77777777" w:rsidR="008C1609" w:rsidRPr="002F6E72" w:rsidRDefault="008C1609" w:rsidP="00931B7C">
      <w:pPr>
        <w:spacing w:line="480" w:lineRule="auto"/>
      </w:pPr>
    </w:p>
    <w:p w14:paraId="0B3FFB3C" w14:textId="75262A44" w:rsidR="00CA216C" w:rsidRPr="002F6E72" w:rsidRDefault="003410A2" w:rsidP="00931B7C">
      <w:pPr>
        <w:spacing w:line="480" w:lineRule="auto"/>
      </w:pPr>
      <w:r>
        <w:t>O</w:t>
      </w:r>
      <w:r w:rsidR="00C06609" w:rsidRPr="002F6E72">
        <w:t>ur</w:t>
      </w:r>
      <w:r>
        <w:t xml:space="preserve"> FR-based elasticities can also be compared </w:t>
      </w:r>
      <w:r w:rsidR="005C5784" w:rsidRPr="002F6E72">
        <w:t xml:space="preserve">with those </w:t>
      </w:r>
      <w:r>
        <w:t>obtained when analysing</w:t>
      </w:r>
      <w:r w:rsidR="005C5784" w:rsidRPr="002F6E72">
        <w:t xml:space="preserve"> a </w:t>
      </w:r>
      <w:r w:rsidR="000E2F61">
        <w:t xml:space="preserve">very </w:t>
      </w:r>
      <w:r w:rsidR="005C5784" w:rsidRPr="002F6E72">
        <w:t xml:space="preserve">similar English dataset </w:t>
      </w:r>
      <w:r w:rsidR="00CA216C" w:rsidRPr="002F6E72">
        <w:t xml:space="preserve">but </w:t>
      </w:r>
      <w:r w:rsidR="00C55EA8">
        <w:t xml:space="preserve">using </w:t>
      </w:r>
      <w:r w:rsidR="00C06609" w:rsidRPr="002F6E72">
        <w:t xml:space="preserve">socio-economic </w:t>
      </w:r>
      <w:r w:rsidR="00624A6A" w:rsidRPr="002F6E72">
        <w:t xml:space="preserve">instruments </w:t>
      </w:r>
      <w:r w:rsidR="00411A98" w:rsidRPr="002F6E72">
        <w:t xml:space="preserve">selected using </w:t>
      </w:r>
      <w:r w:rsidR="005470CD" w:rsidRPr="002F6E72">
        <w:t>stati</w:t>
      </w:r>
      <w:r w:rsidR="00527919">
        <w:t>stical tests</w:t>
      </w:r>
      <w:r w:rsidR="00C55EA8">
        <w:t>.</w:t>
      </w:r>
      <w:r w:rsidR="005470CD" w:rsidRPr="002F6E72">
        <w:t xml:space="preserve"> </w:t>
      </w:r>
      <w:r w:rsidR="007C4FEC">
        <w:t>We find that our FR-based elasticities are similar to those reported previously u</w:t>
      </w:r>
      <w:r w:rsidR="00D90C2D">
        <w:t>sing socio-economic instruments [7].</w:t>
      </w:r>
      <w:r w:rsidR="007C4FEC">
        <w:t xml:space="preserve">  </w:t>
      </w:r>
      <w:r w:rsidR="00714806" w:rsidRPr="002F6E72">
        <w:t xml:space="preserve">For example, over the ten-year study period </w:t>
      </w:r>
      <w:r w:rsidR="00687C88" w:rsidRPr="002F6E72">
        <w:t xml:space="preserve">we find that </w:t>
      </w:r>
      <w:r w:rsidR="00714806" w:rsidRPr="002F6E72">
        <w:t xml:space="preserve">the </w:t>
      </w:r>
      <w:r w:rsidR="005146A2" w:rsidRPr="002F6E72">
        <w:t xml:space="preserve">average </w:t>
      </w:r>
      <w:r w:rsidR="007C4FEC">
        <w:t xml:space="preserve">FR-based </w:t>
      </w:r>
      <w:r w:rsidR="005146A2" w:rsidRPr="002F6E72">
        <w:t>implied all-cause elasticity is -1.1</w:t>
      </w:r>
      <w:r w:rsidR="00043D52" w:rsidRPr="002F6E72">
        <w:t>93</w:t>
      </w:r>
      <w:r w:rsidR="007C4FEC">
        <w:t xml:space="preserve"> and this is almost identical to that reported using socio-economic instruments (=</w:t>
      </w:r>
      <w:r w:rsidR="00A206CF" w:rsidRPr="002F6E72">
        <w:t>-1.248</w:t>
      </w:r>
      <w:r w:rsidR="007C4FEC">
        <w:t>)</w:t>
      </w:r>
      <w:r w:rsidR="00D90C2D">
        <w:t xml:space="preserve"> [7].</w:t>
      </w:r>
      <w:r w:rsidR="005146A2" w:rsidRPr="002F6E72">
        <w:t xml:space="preserve">  </w:t>
      </w:r>
      <w:r w:rsidR="00067094" w:rsidRPr="002F6E72">
        <w:t xml:space="preserve">In other words, </w:t>
      </w:r>
      <w:r w:rsidR="00647E4C" w:rsidRPr="002F6E72">
        <w:t xml:space="preserve">the use </w:t>
      </w:r>
      <w:r w:rsidR="009C7FDD" w:rsidRPr="002F6E72">
        <w:t xml:space="preserve">of </w:t>
      </w:r>
      <w:r w:rsidR="002447CA" w:rsidRPr="002F6E72">
        <w:t>two</w:t>
      </w:r>
      <w:r w:rsidR="00647E4C" w:rsidRPr="002F6E72">
        <w:t xml:space="preserve"> different approaches to the identification of expend</w:t>
      </w:r>
      <w:r w:rsidR="005146A2" w:rsidRPr="002F6E72">
        <w:t>iture ge</w:t>
      </w:r>
      <w:r w:rsidR="001B4BC3" w:rsidRPr="002F6E72">
        <w:t xml:space="preserve">nerates almost identical </w:t>
      </w:r>
      <w:r w:rsidR="000F0342" w:rsidRPr="002F6E72">
        <w:t xml:space="preserve">average </w:t>
      </w:r>
      <w:r w:rsidR="001B4BC3" w:rsidRPr="002F6E72">
        <w:t>(implied) all-cause</w:t>
      </w:r>
      <w:r w:rsidR="005146A2" w:rsidRPr="002F6E72">
        <w:t xml:space="preserve"> outcome elasticit</w:t>
      </w:r>
      <w:r w:rsidR="00BD4082" w:rsidRPr="002F6E72">
        <w:t>ies</w:t>
      </w:r>
      <w:r w:rsidR="005146A2" w:rsidRPr="002F6E72">
        <w:t>.</w:t>
      </w:r>
    </w:p>
    <w:p w14:paraId="10F88751" w14:textId="77777777" w:rsidR="00EB767B" w:rsidRPr="002F6E72" w:rsidRDefault="00EB767B" w:rsidP="00931B7C">
      <w:pPr>
        <w:spacing w:line="480" w:lineRule="auto"/>
      </w:pPr>
    </w:p>
    <w:p w14:paraId="296BD6BE" w14:textId="2515047A" w:rsidR="000F0D7A" w:rsidRDefault="000F0D7A" w:rsidP="00931B7C">
      <w:pPr>
        <w:spacing w:line="480" w:lineRule="auto"/>
        <w:rPr>
          <w:b/>
          <w:i/>
        </w:rPr>
      </w:pPr>
      <w:r w:rsidRPr="002F6E72">
        <w:rPr>
          <w:b/>
          <w:i/>
        </w:rPr>
        <w:t>5.2 Cost per QALY</w:t>
      </w:r>
      <w:r w:rsidR="002B4D25" w:rsidRPr="002F6E72">
        <w:rPr>
          <w:b/>
          <w:i/>
        </w:rPr>
        <w:t xml:space="preserve"> and health opportunity costs</w:t>
      </w:r>
    </w:p>
    <w:p w14:paraId="63E1DC32" w14:textId="5F85E4BC" w:rsidR="004053FD" w:rsidRDefault="004053FD" w:rsidP="004053FD">
      <w:pPr>
        <w:spacing w:line="480" w:lineRule="auto"/>
      </w:pPr>
      <w:r w:rsidRPr="002F6E72">
        <w:t>All</w:t>
      </w:r>
      <w:r w:rsidR="00676481">
        <w:t xml:space="preserve"> </w:t>
      </w:r>
      <w:r w:rsidRPr="002F6E72">
        <w:t xml:space="preserve">of the cost per QALY </w:t>
      </w:r>
      <w:r w:rsidR="00676481">
        <w:t xml:space="preserve">estimates in Table 5 </w:t>
      </w:r>
      <w:r w:rsidRPr="002F6E72">
        <w:t>lie within a relatively narrow range, that is, between £5,800 and £9,900.  The 95% confidence intervals associated with these point estimates overlap each other considerably and, across all years, fall between £4,200 and £22,400</w:t>
      </w:r>
      <w:r w:rsidR="00812DB3">
        <w:t xml:space="preserve">.  </w:t>
      </w:r>
      <w:r w:rsidRPr="002F6E72">
        <w:t xml:space="preserve">Similarly, the point estimates of the health opportunity cost associated with £10m of NHS expenditure lie within a relatively narrow band for all of the ten years (between 1,000 </w:t>
      </w:r>
      <w:r w:rsidRPr="002F6E72">
        <w:lastRenderedPageBreak/>
        <w:t xml:space="preserve">and 1,800 QALYs), with all 95% confidence intervals ranging between 440 and 2,400 QALYs.  </w:t>
      </w:r>
    </w:p>
    <w:p w14:paraId="32598441" w14:textId="485953FB" w:rsidR="004053FD" w:rsidRDefault="004053FD" w:rsidP="00931B7C">
      <w:pPr>
        <w:spacing w:line="480" w:lineRule="auto"/>
        <w:rPr>
          <w:b/>
          <w:i/>
        </w:rPr>
      </w:pPr>
    </w:p>
    <w:p w14:paraId="46306B55" w14:textId="22CCBA70" w:rsidR="00C00BE7" w:rsidRDefault="00C33DFB" w:rsidP="00931B7C">
      <w:pPr>
        <w:spacing w:line="480" w:lineRule="auto"/>
      </w:pPr>
      <w:r>
        <w:t>The</w:t>
      </w:r>
      <w:r w:rsidR="004053FD" w:rsidRPr="002F6E72">
        <w:t xml:space="preserve"> diagrammatic presentation of our results </w:t>
      </w:r>
      <w:r w:rsidR="00676481">
        <w:t>in F</w:t>
      </w:r>
      <w:r w:rsidR="00D11939">
        <w:t xml:space="preserve">igure 1 </w:t>
      </w:r>
      <w:r w:rsidR="00676481">
        <w:t xml:space="preserve">(solid line) </w:t>
      </w:r>
      <w:r w:rsidR="004053FD" w:rsidRPr="002F6E72">
        <w:t>emphasises the relative</w:t>
      </w:r>
      <w:r w:rsidR="00676481">
        <w:t xml:space="preserve"> consistency of our results through time and that they are similar to those </w:t>
      </w:r>
      <w:r w:rsidR="004053FD">
        <w:t xml:space="preserve">obtained using socio-economic instruments </w:t>
      </w:r>
      <w:r w:rsidR="00676481">
        <w:t xml:space="preserve">(dashed line) [7].  </w:t>
      </w:r>
      <w:r w:rsidR="007F4E86" w:rsidRPr="002F6E72">
        <w:t>For eight of the ten</w:t>
      </w:r>
      <w:r w:rsidR="00D609BE" w:rsidRPr="002F6E72">
        <w:t xml:space="preserve"> years</w:t>
      </w:r>
      <w:r w:rsidR="00C00BE7" w:rsidRPr="002F6E72">
        <w:t xml:space="preserve"> the two sets of </w:t>
      </w:r>
      <w:r w:rsidR="003C6FA2" w:rsidRPr="002F6E72">
        <w:t xml:space="preserve">cost per </w:t>
      </w:r>
      <w:r w:rsidR="00C00BE7" w:rsidRPr="002F6E72">
        <w:t xml:space="preserve">QALY estimates are very similar, </w:t>
      </w:r>
      <w:r w:rsidR="007F4E86" w:rsidRPr="002F6E72">
        <w:t xml:space="preserve">with the </w:t>
      </w:r>
      <w:r w:rsidR="0056509C">
        <w:t xml:space="preserve">socio-economic instruments </w:t>
      </w:r>
      <w:r w:rsidR="007F4E86" w:rsidRPr="002F6E72">
        <w:t>generating a slightly larger cost per QALY in both 2008/09 and 2012/13.</w:t>
      </w:r>
      <w:r w:rsidR="0056509C">
        <w:t xml:space="preserve">  The </w:t>
      </w:r>
      <w:r w:rsidR="00676481">
        <w:t xml:space="preserve">two sets of </w:t>
      </w:r>
      <w:r w:rsidR="00CA4B88" w:rsidRPr="002F6E72">
        <w:t>health opportunity cost</w:t>
      </w:r>
      <w:r w:rsidR="0056509C">
        <w:t xml:space="preserve"> </w:t>
      </w:r>
      <w:r w:rsidR="006E45AD" w:rsidRPr="002F6E72">
        <w:t>estimate</w:t>
      </w:r>
      <w:r w:rsidR="00EE7834" w:rsidRPr="002F6E72">
        <w:t xml:space="preserve">s </w:t>
      </w:r>
      <w:r w:rsidR="00676481">
        <w:t xml:space="preserve">shown </w:t>
      </w:r>
      <w:r w:rsidR="00CA4B88" w:rsidRPr="002F6E72">
        <w:t>in Figure 2</w:t>
      </w:r>
      <w:r w:rsidR="00676481">
        <w:t xml:space="preserve"> also </w:t>
      </w:r>
      <w:r w:rsidR="0047601C" w:rsidRPr="002F6E72">
        <w:t xml:space="preserve">demonstrate that </w:t>
      </w:r>
      <w:r w:rsidR="006E45AD" w:rsidRPr="002F6E72">
        <w:t xml:space="preserve">two very different approaches to instrumentation generate similar </w:t>
      </w:r>
      <w:r w:rsidR="00EA3C91" w:rsidRPr="002F6E72">
        <w:t>results.</w:t>
      </w:r>
    </w:p>
    <w:p w14:paraId="39074D0A" w14:textId="77777777" w:rsidR="00870DC9" w:rsidRDefault="00870DC9" w:rsidP="00870DC9">
      <w:pPr>
        <w:spacing w:line="480" w:lineRule="auto"/>
      </w:pPr>
    </w:p>
    <w:p w14:paraId="6BB4D89D" w14:textId="20238E35" w:rsidR="0001397E" w:rsidRDefault="00870DC9" w:rsidP="00931B7C">
      <w:pPr>
        <w:spacing w:line="480" w:lineRule="auto"/>
      </w:pPr>
      <w:r>
        <w:t>T</w:t>
      </w:r>
      <w:r w:rsidR="0001397E" w:rsidRPr="00870DC9">
        <w:t xml:space="preserve">he cost per QALY estimates are in nominal </w:t>
      </w:r>
      <w:r w:rsidR="00AF04A3">
        <w:t xml:space="preserve">(current price) </w:t>
      </w:r>
      <w:r w:rsidR="0001397E" w:rsidRPr="00870DC9">
        <w:t>terms</w:t>
      </w:r>
      <w:r w:rsidR="008E54A0">
        <w:t xml:space="preserve"> and reveal an average annual growth rate of 5.4%</w:t>
      </w:r>
      <w:r w:rsidR="0001397E" w:rsidRPr="00870DC9">
        <w:t xml:space="preserve">.  They can be deflated to constant prices using the average annual growth rate of the hospital and community health services (HCHS) pay and price index (2.8%) over the study period </w:t>
      </w:r>
      <w:r w:rsidR="003E0C17">
        <w:t>[25</w:t>
      </w:r>
      <w:r>
        <w:t>]</w:t>
      </w:r>
      <w:r w:rsidR="0001397E" w:rsidRPr="00870DC9">
        <w:t xml:space="preserve">. </w:t>
      </w:r>
      <w:r>
        <w:t xml:space="preserve"> </w:t>
      </w:r>
      <w:r w:rsidR="0001397E" w:rsidRPr="00870DC9">
        <w:t>Having taken account of this, our results indicate that the estimated cost of a QALY gained by marginal NHS expenditure grew in real terms with an average real-terms annual growth rate of 2.6%</w:t>
      </w:r>
      <w:r w:rsidR="00464A9E">
        <w:t xml:space="preserve"> (see Table A32 in appendix 6).  This growth in the cost per QALY implies a fall in real marginal productivity</w:t>
      </w:r>
      <w:r w:rsidR="0001397E" w:rsidRPr="00870DC9">
        <w:t>.</w:t>
      </w:r>
      <w:r w:rsidR="00EA1522">
        <w:t xml:space="preserve"> </w:t>
      </w:r>
      <w:r w:rsidR="0001397E" w:rsidRPr="00870DC9">
        <w:t xml:space="preserve"> This may </w:t>
      </w:r>
      <w:r w:rsidR="00464A9E">
        <w:t xml:space="preserve">be attributed to </w:t>
      </w:r>
      <w:r w:rsidR="0001397E" w:rsidRPr="00870DC9">
        <w:t>diminishing marginal returns to the dramatically increased total NHS expenditure over this period, which followed an average real-terms annual growth rate of 4.2%</w:t>
      </w:r>
      <w:r w:rsidR="0083369D">
        <w:t xml:space="preserve"> (the average annual growth rate in current price NHS expenditure was 7.0% </w:t>
      </w:r>
      <w:r w:rsidR="00ED247D">
        <w:t xml:space="preserve">(see appendix 3) </w:t>
      </w:r>
      <w:r w:rsidR="0083369D">
        <w:t>and the corresponding growth rate in the HCHS pay and price index was 2.8%) [25]</w:t>
      </w:r>
      <w:r w:rsidR="0001397E" w:rsidRPr="00870DC9">
        <w:t xml:space="preserve">.  </w:t>
      </w:r>
    </w:p>
    <w:p w14:paraId="61C5E1C4" w14:textId="6CD3C3B1" w:rsidR="000E2F61" w:rsidRDefault="000E2F61" w:rsidP="00931B7C">
      <w:pPr>
        <w:spacing w:line="480" w:lineRule="auto"/>
      </w:pPr>
    </w:p>
    <w:p w14:paraId="4A92818E" w14:textId="5233CC9B" w:rsidR="00EB767B" w:rsidRDefault="00202325" w:rsidP="00931B7C">
      <w:pPr>
        <w:spacing w:line="480" w:lineRule="auto"/>
        <w:rPr>
          <w:color w:val="222222"/>
        </w:rPr>
      </w:pPr>
      <w:r>
        <w:t xml:space="preserve">A recent </w:t>
      </w:r>
      <w:r w:rsidRPr="00202325">
        <w:t>paper used 28 clinical experts and 25 individuals with policy responsibilitie</w:t>
      </w:r>
      <w:r w:rsidR="00130E61">
        <w:t>s to examine the validity of our</w:t>
      </w:r>
      <w:r w:rsidRPr="00202325">
        <w:t xml:space="preserve"> surrogacy and the extrapolation assumptions [</w:t>
      </w:r>
      <w:r w:rsidR="00633B49">
        <w:t>2</w:t>
      </w:r>
      <w:r w:rsidR="003E0C17">
        <w:t>2, 23</w:t>
      </w:r>
      <w:r>
        <w:t xml:space="preserve">].  </w:t>
      </w:r>
      <w:r w:rsidRPr="00202325">
        <w:t xml:space="preserve">The results </w:t>
      </w:r>
      <w:r w:rsidRPr="00202325">
        <w:lastRenderedPageBreak/>
        <w:t>from the r</w:t>
      </w:r>
      <w:r w:rsidR="00575B51">
        <w:t>esearch suggest that the effect</w:t>
      </w:r>
      <w:r w:rsidRPr="00202325">
        <w:t xml:space="preserve"> of </w:t>
      </w:r>
      <w:r w:rsidR="00575B51">
        <w:t>a change</w:t>
      </w:r>
      <w:r w:rsidRPr="00202325">
        <w:t xml:space="preserve"> in expendit</w:t>
      </w:r>
      <w:r w:rsidR="00575B51">
        <w:t>ure on the total QALY burden is</w:t>
      </w:r>
      <w:r w:rsidRPr="00202325">
        <w:t xml:space="preserve">, in proportionate terms, expected to be higher than (rather than equal to) those on </w:t>
      </w:r>
      <w:r w:rsidR="00575B51">
        <w:t xml:space="preserve">the </w:t>
      </w:r>
      <w:r w:rsidRPr="00202325">
        <w:t>mortality burden.  In other words, the surrogacy assumption is likely to underestimate the QALY benefits of a change in expenditure.  The research also suggests that the extrapolation assumption is likely to underestimate QALY benefits; in particular, the health effects in disease areas without measured mortality effects are</w:t>
      </w:r>
      <w:r w:rsidR="00575B51">
        <w:t>, on balance,</w:t>
      </w:r>
      <w:r w:rsidRPr="00202325">
        <w:t xml:space="preserve"> expected to be greater than the assumed average of those effects where a mortality measure is available.  Th</w:t>
      </w:r>
      <w:r w:rsidR="003F152B">
        <w:t xml:space="preserve">is evidence </w:t>
      </w:r>
      <w:r w:rsidRPr="00202325">
        <w:t>suggests that the surrogacy and extrapolation assumptions are</w:t>
      </w:r>
      <w:r w:rsidR="00575B51">
        <w:t>, if anything, conservative ones</w:t>
      </w:r>
      <w:r w:rsidRPr="00202325">
        <w:t xml:space="preserve">. </w:t>
      </w:r>
      <w:r w:rsidRPr="00202325">
        <w:br/>
      </w:r>
    </w:p>
    <w:p w14:paraId="4E4D54E6" w14:textId="66440027" w:rsidR="00130E61" w:rsidRDefault="00130E61" w:rsidP="00130E61">
      <w:pPr>
        <w:spacing w:line="480" w:lineRule="auto"/>
      </w:pPr>
      <w:r>
        <w:rPr>
          <w:color w:val="222222"/>
        </w:rPr>
        <w:t xml:space="preserve">However, it is straightforward to examine the impact of the assumption that </w:t>
      </w:r>
      <w:r w:rsidRPr="00863464">
        <w:rPr>
          <w:color w:val="222222"/>
        </w:rPr>
        <w:t>t</w:t>
      </w:r>
      <w:r>
        <w:rPr>
          <w:color w:val="222222"/>
        </w:rPr>
        <w:t>he effect</w:t>
      </w:r>
      <w:r w:rsidRPr="00863464">
        <w:rPr>
          <w:color w:val="222222"/>
        </w:rPr>
        <w:t xml:space="preserve"> of expenditure on the mortality burden of disease </w:t>
      </w:r>
      <w:r>
        <w:rPr>
          <w:color w:val="222222"/>
        </w:rPr>
        <w:t xml:space="preserve">can be used </w:t>
      </w:r>
      <w:r w:rsidRPr="00863464">
        <w:rPr>
          <w:color w:val="222222"/>
        </w:rPr>
        <w:t xml:space="preserve">as </w:t>
      </w:r>
      <w:r>
        <w:rPr>
          <w:color w:val="222222"/>
        </w:rPr>
        <w:t xml:space="preserve">a surrogate for the </w:t>
      </w:r>
      <w:r w:rsidRPr="00863464">
        <w:rPr>
          <w:color w:val="222222"/>
        </w:rPr>
        <w:t>eff</w:t>
      </w:r>
      <w:r>
        <w:rPr>
          <w:color w:val="222222"/>
        </w:rPr>
        <w:t>ect</w:t>
      </w:r>
      <w:r w:rsidRPr="00863464">
        <w:rPr>
          <w:color w:val="222222"/>
        </w:rPr>
        <w:t xml:space="preserve"> on the broader QALY burden.  </w:t>
      </w:r>
      <w:r w:rsidRPr="00863464">
        <w:t>If the effect on the QALY burden is twice as big as the effect on mort</w:t>
      </w:r>
      <w:r>
        <w:t xml:space="preserve">ality, then the cost per QALY would be </w:t>
      </w:r>
      <w:r w:rsidRPr="00863464">
        <w:t xml:space="preserve">halved.  Alternatively, if the effect on the QALY burden is half the effect on mortality, then the cost per QALY is doubled.  </w:t>
      </w:r>
    </w:p>
    <w:p w14:paraId="283D2F53" w14:textId="77777777" w:rsidR="00130E61" w:rsidRPr="003F152B" w:rsidRDefault="00130E61" w:rsidP="00931B7C">
      <w:pPr>
        <w:spacing w:line="480" w:lineRule="auto"/>
        <w:rPr>
          <w:color w:val="222222"/>
        </w:rPr>
      </w:pPr>
    </w:p>
    <w:p w14:paraId="3DD5BBBC" w14:textId="77777777" w:rsidR="003563ED" w:rsidRDefault="00D3448D" w:rsidP="00931B7C">
      <w:pPr>
        <w:spacing w:line="480" w:lineRule="auto"/>
      </w:pPr>
      <w:r w:rsidRPr="002F6E72">
        <w:t>Interest in the cost per QALY for health expenditure is not</w:t>
      </w:r>
      <w:r w:rsidR="002C2AE3" w:rsidRPr="002F6E72">
        <w:t xml:space="preserve"> confined to the UK.  </w:t>
      </w:r>
      <w:r w:rsidR="003563ED">
        <w:t xml:space="preserve">A study of </w:t>
      </w:r>
    </w:p>
    <w:p w14:paraId="0F5BE7C2" w14:textId="15AEA729" w:rsidR="003563ED" w:rsidRPr="002F6E72" w:rsidRDefault="003563ED" w:rsidP="00931B7C">
      <w:pPr>
        <w:spacing w:line="480" w:lineRule="auto"/>
      </w:pPr>
      <w:r w:rsidRPr="002F6E72">
        <w:t>Spanish health care expenditure</w:t>
      </w:r>
      <w:r>
        <w:t xml:space="preserve"> reports a cost per QALY</w:t>
      </w:r>
      <w:r w:rsidRPr="002F6E72">
        <w:t xml:space="preserve"> of between 22,000€ and 25,000</w:t>
      </w:r>
      <w:r w:rsidR="00E614D4">
        <w:t xml:space="preserve">€ </w:t>
      </w:r>
      <w:r w:rsidRPr="003563ED">
        <w:t>and an</w:t>
      </w:r>
      <w:r>
        <w:rPr>
          <w:vertAlign w:val="superscript"/>
        </w:rPr>
        <w:t xml:space="preserve"> </w:t>
      </w:r>
      <w:r>
        <w:t xml:space="preserve">Australian study suggests a figure of </w:t>
      </w:r>
      <w:r w:rsidR="00F33C2F">
        <w:t>AU$28,000 per QALY gained [3,</w:t>
      </w:r>
      <w:r w:rsidR="003E0C17">
        <w:t xml:space="preserve"> </w:t>
      </w:r>
      <w:r w:rsidR="00F33C2F">
        <w:t>5].</w:t>
      </w:r>
      <w:r w:rsidR="003B442E">
        <w:rPr>
          <w:vertAlign w:val="superscript"/>
        </w:rPr>
        <w:t xml:space="preserve"> </w:t>
      </w:r>
      <w:r w:rsidRPr="002F6E72">
        <w:t xml:space="preserve">   At current exchange rates both of these studies report slightly larger cost per QALY figures than we have found for England.  Est</w:t>
      </w:r>
      <w:r w:rsidR="003B442E">
        <w:t>imates are also available for</w:t>
      </w:r>
      <w:r w:rsidR="006F28C7">
        <w:t xml:space="preserve"> the Netherlands</w:t>
      </w:r>
      <w:r w:rsidR="003B442E">
        <w:t xml:space="preserve"> </w:t>
      </w:r>
      <w:r w:rsidR="00D14887">
        <w:t>(41,000</w:t>
      </w:r>
      <w:r w:rsidR="00D14887" w:rsidRPr="002F6E72">
        <w:t>€</w:t>
      </w:r>
      <w:r w:rsidR="00D14887">
        <w:t xml:space="preserve"> per QALY) </w:t>
      </w:r>
      <w:r w:rsidR="003B442E">
        <w:t>and Sweden</w:t>
      </w:r>
      <w:r w:rsidR="00F33C2F">
        <w:t xml:space="preserve"> </w:t>
      </w:r>
      <w:r w:rsidR="00D14887">
        <w:t>(39,000</w:t>
      </w:r>
      <w:r w:rsidR="00FE7B7F" w:rsidRPr="002F6E72">
        <w:t>€</w:t>
      </w:r>
      <w:r w:rsidR="00D14887">
        <w:t xml:space="preserve"> per QALY) </w:t>
      </w:r>
      <w:r w:rsidR="00F33C2F">
        <w:t>[4</w:t>
      </w:r>
      <w:r w:rsidR="00E614D4">
        <w:t xml:space="preserve">, </w:t>
      </w:r>
      <w:r w:rsidR="00F33C2F">
        <w:t>6].</w:t>
      </w:r>
    </w:p>
    <w:p w14:paraId="6E657E3E" w14:textId="77777777" w:rsidR="003563ED" w:rsidRDefault="003563ED" w:rsidP="00931B7C">
      <w:pPr>
        <w:spacing w:line="480" w:lineRule="auto"/>
      </w:pPr>
    </w:p>
    <w:p w14:paraId="66C2C84E" w14:textId="3C1B50E1" w:rsidR="00B13CC4" w:rsidRPr="002F6E72" w:rsidRDefault="0094036B" w:rsidP="00931B7C">
      <w:pPr>
        <w:spacing w:after="200" w:line="480" w:lineRule="auto"/>
        <w:rPr>
          <w:b/>
          <w:i/>
        </w:rPr>
      </w:pPr>
      <w:r w:rsidRPr="002F6E72">
        <w:rPr>
          <w:b/>
          <w:i/>
        </w:rPr>
        <w:t xml:space="preserve">5.3 </w:t>
      </w:r>
      <w:r w:rsidR="002B4D25" w:rsidRPr="002F6E72">
        <w:rPr>
          <w:b/>
          <w:i/>
        </w:rPr>
        <w:t>Policy impl</w:t>
      </w:r>
      <w:r w:rsidRPr="002F6E72">
        <w:rPr>
          <w:b/>
          <w:i/>
        </w:rPr>
        <w:t>i</w:t>
      </w:r>
      <w:r w:rsidR="002B4D25" w:rsidRPr="002F6E72">
        <w:rPr>
          <w:b/>
          <w:i/>
        </w:rPr>
        <w:t>cations</w:t>
      </w:r>
    </w:p>
    <w:p w14:paraId="76D08FF2" w14:textId="12B9DFA2" w:rsidR="009F39DD" w:rsidRPr="002F6E72" w:rsidRDefault="00027334" w:rsidP="00931B7C">
      <w:pPr>
        <w:spacing w:line="480" w:lineRule="auto"/>
      </w:pPr>
      <w:r w:rsidRPr="002F6E72">
        <w:t xml:space="preserve">An assessment of the marginal productivity of health care expenditure is of </w:t>
      </w:r>
      <w:r w:rsidR="00D408FE" w:rsidRPr="002F6E72">
        <w:t xml:space="preserve">considerable </w:t>
      </w:r>
      <w:r w:rsidRPr="002F6E72">
        <w:t>policy interest.  For example,</w:t>
      </w:r>
      <w:r w:rsidR="009F39DD" w:rsidRPr="002F6E72">
        <w:t xml:space="preserve"> the cost per QALY </w:t>
      </w:r>
      <w:r w:rsidRPr="002F6E72">
        <w:t xml:space="preserve">estimates </w:t>
      </w:r>
      <w:r w:rsidR="00925668" w:rsidRPr="002F6E72">
        <w:t xml:space="preserve">presented above </w:t>
      </w:r>
      <w:r w:rsidRPr="002F6E72">
        <w:t xml:space="preserve">suggest that </w:t>
      </w:r>
      <w:r w:rsidRPr="002F6E72">
        <w:lastRenderedPageBreak/>
        <w:t>marginal increases in health expenditure, whether funded through additional taxation, borrowing or reallocation from other spending departments, ap</w:t>
      </w:r>
      <w:r w:rsidR="00324A28" w:rsidRPr="002F6E72">
        <w:t>pear good value when compared with</w:t>
      </w:r>
      <w:r w:rsidRPr="002F6E72">
        <w:t xml:space="preserve"> estimates of the equivalent consumption value of health.</w:t>
      </w:r>
      <w:r w:rsidR="009F39DD" w:rsidRPr="002F6E72">
        <w:t xml:space="preserve"> Recent reviews of stated pr</w:t>
      </w:r>
      <w:r w:rsidR="00330E49">
        <w:t xml:space="preserve">eferences </w:t>
      </w:r>
      <w:r w:rsidR="009F39DD" w:rsidRPr="002F6E72">
        <w:t>suggest that £30,000 per QALY might be a reasonable lower bound on individual willingness to pay to i</w:t>
      </w:r>
      <w:r w:rsidR="00F069F5">
        <w:t>mprove their health by one QALY [</w:t>
      </w:r>
      <w:r w:rsidR="00974213">
        <w:t>2</w:t>
      </w:r>
      <w:r w:rsidR="001A194E">
        <w:t>6</w:t>
      </w:r>
      <w:r w:rsidR="00F069F5">
        <w:t>,</w:t>
      </w:r>
      <w:r w:rsidR="00FD28EC">
        <w:t xml:space="preserve"> </w:t>
      </w:r>
      <w:r w:rsidR="00974213">
        <w:t>2</w:t>
      </w:r>
      <w:r w:rsidR="001A194E">
        <w:t>7</w:t>
      </w:r>
      <w:r w:rsidR="00F069F5">
        <w:t>].</w:t>
      </w:r>
      <w:r w:rsidR="009F39DD" w:rsidRPr="002F6E72">
        <w:t xml:space="preserve"> </w:t>
      </w:r>
    </w:p>
    <w:p w14:paraId="4DDCA554" w14:textId="4CD8E0D1" w:rsidR="000543E5" w:rsidRPr="002F6E72" w:rsidRDefault="000543E5" w:rsidP="00931B7C">
      <w:pPr>
        <w:spacing w:line="480" w:lineRule="auto"/>
      </w:pPr>
    </w:p>
    <w:p w14:paraId="755740C3" w14:textId="3960E3DC" w:rsidR="003003E7" w:rsidRPr="002F6E72" w:rsidRDefault="003B7B81" w:rsidP="00931B7C">
      <w:pPr>
        <w:spacing w:line="480" w:lineRule="auto"/>
      </w:pPr>
      <w:r w:rsidRPr="002F6E72">
        <w:t>T</w:t>
      </w:r>
      <w:r w:rsidR="004C0DA6" w:rsidRPr="002F6E72">
        <w:t>here is limited evidence about</w:t>
      </w:r>
      <w:r w:rsidR="00027334" w:rsidRPr="002F6E72">
        <w:t xml:space="preserve"> </w:t>
      </w:r>
      <w:r w:rsidR="00180292" w:rsidRPr="002F6E72">
        <w:t xml:space="preserve">the </w:t>
      </w:r>
      <w:r w:rsidR="00027334" w:rsidRPr="002F6E72">
        <w:t>marginal productivity of other t</w:t>
      </w:r>
      <w:r w:rsidR="002B52C2" w:rsidRPr="002F6E72">
        <w:t>ypes of public expenditure that</w:t>
      </w:r>
      <w:r w:rsidR="00027334" w:rsidRPr="002F6E72">
        <w:t xml:space="preserve"> could start to inform UK Treasury </w:t>
      </w:r>
      <w:r w:rsidR="000543E5" w:rsidRPr="002F6E72">
        <w:t xml:space="preserve">decisions </w:t>
      </w:r>
      <w:r w:rsidR="00027334" w:rsidRPr="002F6E72">
        <w:t xml:space="preserve">during periodic public expenditure reviews.  However, a similar approach to </w:t>
      </w:r>
      <w:r w:rsidR="002B52C2" w:rsidRPr="002F6E72">
        <w:t xml:space="preserve">that adopted here </w:t>
      </w:r>
      <w:r w:rsidR="00027334" w:rsidRPr="002F6E72">
        <w:t xml:space="preserve">may </w:t>
      </w:r>
      <w:r w:rsidR="002B52C2" w:rsidRPr="002F6E72">
        <w:t xml:space="preserve">generate marginal productivity estimates </w:t>
      </w:r>
      <w:r w:rsidR="00027334" w:rsidRPr="002F6E72">
        <w:t>for other cat</w:t>
      </w:r>
      <w:r w:rsidR="00180292" w:rsidRPr="002F6E72">
        <w:t>egories of public expenditure</w:t>
      </w:r>
      <w:r w:rsidR="002B52C2" w:rsidRPr="002F6E72">
        <w:t>, partic</w:t>
      </w:r>
      <w:r w:rsidR="007C1915" w:rsidRPr="002F6E72">
        <w:t xml:space="preserve">ularly those designed to reduce mortality </w:t>
      </w:r>
      <w:r w:rsidR="002B52C2" w:rsidRPr="002F6E72">
        <w:t xml:space="preserve">and/or </w:t>
      </w:r>
      <w:r w:rsidR="007C1915" w:rsidRPr="002F6E72">
        <w:t xml:space="preserve">improve </w:t>
      </w:r>
      <w:r w:rsidR="002B52C2" w:rsidRPr="002F6E72">
        <w:t>the quality of life.  For example, l</w:t>
      </w:r>
      <w:r w:rsidR="003003E7" w:rsidRPr="002F6E72">
        <w:t>oc</w:t>
      </w:r>
      <w:r w:rsidR="00403957" w:rsidRPr="002F6E72">
        <w:t>al authority expenditure on</w:t>
      </w:r>
      <w:r w:rsidR="003003E7" w:rsidRPr="002F6E72">
        <w:t xml:space="preserve"> public health and social </w:t>
      </w:r>
      <w:r w:rsidR="00403957" w:rsidRPr="002F6E72">
        <w:t>care pursue</w:t>
      </w:r>
      <w:r w:rsidR="007C1915" w:rsidRPr="002F6E72">
        <w:t xml:space="preserve"> these</w:t>
      </w:r>
      <w:r w:rsidR="00403957" w:rsidRPr="002F6E72">
        <w:t xml:space="preserve"> </w:t>
      </w:r>
      <w:r w:rsidR="003003E7" w:rsidRPr="002F6E72">
        <w:t>objective</w:t>
      </w:r>
      <w:r w:rsidR="002B52C2" w:rsidRPr="002F6E72">
        <w:t>s</w:t>
      </w:r>
      <w:r w:rsidR="003003E7" w:rsidRPr="002F6E72">
        <w:t xml:space="preserve"> </w:t>
      </w:r>
      <w:r w:rsidR="002B52C2" w:rsidRPr="002F6E72">
        <w:t xml:space="preserve">and evidence </w:t>
      </w:r>
      <w:r w:rsidR="00B3265D" w:rsidRPr="002F6E72">
        <w:t xml:space="preserve">about the marginal productivity of both </w:t>
      </w:r>
      <w:r w:rsidR="002B52C2" w:rsidRPr="002F6E72">
        <w:t xml:space="preserve">would usefully </w:t>
      </w:r>
      <w:r w:rsidR="00B3265D" w:rsidRPr="002F6E72">
        <w:t>inform any assessment of where public money is best spent.</w:t>
      </w:r>
    </w:p>
    <w:p w14:paraId="6DABD6F5" w14:textId="77777777" w:rsidR="00B3265D" w:rsidRPr="002F6E72" w:rsidRDefault="00B3265D" w:rsidP="00931B7C">
      <w:pPr>
        <w:spacing w:line="480" w:lineRule="auto"/>
      </w:pPr>
    </w:p>
    <w:p w14:paraId="2C2CBE29" w14:textId="0C7C278E" w:rsidR="00535F23" w:rsidRPr="002F6E72" w:rsidRDefault="00027334" w:rsidP="00931B7C">
      <w:pPr>
        <w:spacing w:line="480" w:lineRule="auto"/>
      </w:pPr>
      <w:r w:rsidRPr="002F6E72">
        <w:t>Some assessment of the marginal productivity of health care expenditure is also unavoidable when considering more granu</w:t>
      </w:r>
      <w:r w:rsidR="00044AB9" w:rsidRPr="002F6E72">
        <w:t>lar choices within the</w:t>
      </w:r>
      <w:r w:rsidR="009F39DD" w:rsidRPr="002F6E72">
        <w:t xml:space="preserve"> health</w:t>
      </w:r>
      <w:r w:rsidR="004B2E2E" w:rsidRPr="002F6E72">
        <w:t xml:space="preserve"> </w:t>
      </w:r>
      <w:r w:rsidRPr="002F6E72">
        <w:t>care system.  For example, when considering whether a proposed investment (e.g., a programme of care, access to a new drug, procedure or intervention) will improve health outcomes, a comparison of the expected health benefits of the investment with the expected health opportunity costs of the additional re</w:t>
      </w:r>
      <w:r w:rsidR="0039688C" w:rsidRPr="002F6E72">
        <w:t>sources required is necessary</w:t>
      </w:r>
      <w:r w:rsidR="00F069F5">
        <w:t xml:space="preserve"> [</w:t>
      </w:r>
      <w:r w:rsidR="00974213">
        <w:t>2</w:t>
      </w:r>
      <w:r w:rsidR="001A194E">
        <w:t>8</w:t>
      </w:r>
      <w:r w:rsidR="00F069F5">
        <w:t>].</w:t>
      </w:r>
      <w:r w:rsidR="003B5048" w:rsidRPr="002F6E72">
        <w:t xml:space="preserve"> </w:t>
      </w:r>
    </w:p>
    <w:p w14:paraId="7EC0F36D" w14:textId="206EB629" w:rsidR="00027334" w:rsidRPr="002F6E72" w:rsidRDefault="00027334" w:rsidP="00931B7C">
      <w:pPr>
        <w:spacing w:line="480" w:lineRule="auto"/>
      </w:pPr>
    </w:p>
    <w:p w14:paraId="42134D74" w14:textId="7965DDCB" w:rsidR="00034AC5" w:rsidRPr="002F6E72" w:rsidRDefault="009F39DD" w:rsidP="00931B7C">
      <w:pPr>
        <w:spacing w:line="480" w:lineRule="auto"/>
      </w:pPr>
      <w:r w:rsidRPr="002F6E72">
        <w:t xml:space="preserve">Importantly, the marginal productivity </w:t>
      </w:r>
      <w:r w:rsidR="00027334" w:rsidRPr="002F6E72">
        <w:t xml:space="preserve">estimates </w:t>
      </w:r>
      <w:r w:rsidRPr="002F6E72">
        <w:t xml:space="preserve">presented here </w:t>
      </w:r>
      <w:r w:rsidR="00027334" w:rsidRPr="002F6E72">
        <w:t xml:space="preserve">start to reveal whether the unavoidable implicit or explicit norms used in making these types of decisions are reasonable and evidence based.  For example, since 2004, the National Institute for Health and Care </w:t>
      </w:r>
      <w:r w:rsidR="00027334" w:rsidRPr="002F6E72">
        <w:lastRenderedPageBreak/>
        <w:t>Excellence (NICE), which issues guidance to the UK NHS, has published an explicit range for the c</w:t>
      </w:r>
      <w:r w:rsidR="004C4555">
        <w:t xml:space="preserve">ost-effectiveness ‘thresholds’ </w:t>
      </w:r>
      <w:r w:rsidR="00027334" w:rsidRPr="002F6E72">
        <w:t>used in its deliberative decision-making pro</w:t>
      </w:r>
      <w:r w:rsidR="00E96357">
        <w:t>cess</w:t>
      </w:r>
      <w:r w:rsidR="00F069F5">
        <w:t xml:space="preserve"> [</w:t>
      </w:r>
      <w:r w:rsidR="00974213">
        <w:t>2</w:t>
      </w:r>
      <w:r w:rsidR="001A194E">
        <w:t>9</w:t>
      </w:r>
      <w:r w:rsidR="00F069F5">
        <w:t xml:space="preserve">]. </w:t>
      </w:r>
      <w:r w:rsidR="00033AB7" w:rsidRPr="002F6E72">
        <w:t xml:space="preserve">  NICE states</w:t>
      </w:r>
      <w:r w:rsidR="00027334" w:rsidRPr="002F6E72">
        <w:t xml:space="preserve"> that the ‘threshold’ ought to represent the health opportunity costs of the additional NHS costs of a new technology</w:t>
      </w:r>
      <w:r w:rsidR="00033AB7" w:rsidRPr="002F6E72">
        <w:t xml:space="preserve">.  However, </w:t>
      </w:r>
      <w:r w:rsidR="00027334" w:rsidRPr="002F6E72">
        <w:t>th</w:t>
      </w:r>
      <w:r w:rsidR="00033AB7" w:rsidRPr="002F6E72">
        <w:t xml:space="preserve">e stated </w:t>
      </w:r>
      <w:r w:rsidR="00027334" w:rsidRPr="002F6E72">
        <w:t xml:space="preserve">range </w:t>
      </w:r>
      <w:r w:rsidR="00033AB7" w:rsidRPr="002F6E72">
        <w:t xml:space="preserve">(£20,000 to £30,000 per QALY) </w:t>
      </w:r>
      <w:r w:rsidR="00027334" w:rsidRPr="002F6E72">
        <w:t xml:space="preserve">was, in fact, founded on the values implied by the decisions it made between 1999 and </w:t>
      </w:r>
      <w:r w:rsidR="00CC2A5A">
        <w:t>2003</w:t>
      </w:r>
      <w:r w:rsidR="00027334" w:rsidRPr="002F6E72">
        <w:t xml:space="preserve"> and has been widely recognised for some time (including by NICE) as hav</w:t>
      </w:r>
      <w:r w:rsidR="004C4555">
        <w:t>ing little empirical foundation [</w:t>
      </w:r>
      <w:r w:rsidR="001A194E">
        <w:t>30</w:t>
      </w:r>
      <w:r w:rsidR="004C4555">
        <w:t>].</w:t>
      </w:r>
    </w:p>
    <w:p w14:paraId="16656A11" w14:textId="52A69349" w:rsidR="00535F23" w:rsidRPr="002F6E72" w:rsidRDefault="00027334" w:rsidP="00931B7C">
      <w:pPr>
        <w:spacing w:line="480" w:lineRule="auto"/>
      </w:pPr>
      <w:r w:rsidRPr="002F6E72">
        <w:t xml:space="preserve">  </w:t>
      </w:r>
    </w:p>
    <w:p w14:paraId="084C853E" w14:textId="6989FF4F" w:rsidR="00CA2C06" w:rsidRPr="002F6E72" w:rsidRDefault="00027334" w:rsidP="00931B7C">
      <w:pPr>
        <w:spacing w:line="480" w:lineRule="auto"/>
      </w:pPr>
      <w:r w:rsidRPr="002F6E72">
        <w:t>More recent evidence suggests that the ‘thresholds’ implied by the decisions NICE actually makes are, in fact,</w:t>
      </w:r>
      <w:r w:rsidR="00CC2A5A">
        <w:t xml:space="preserve"> much higher</w:t>
      </w:r>
      <w:r w:rsidR="001A194E">
        <w:t xml:space="preserve"> [31</w:t>
      </w:r>
      <w:r w:rsidR="00385980">
        <w:t xml:space="preserve">]. </w:t>
      </w:r>
      <w:r w:rsidR="00BB61D6">
        <w:t xml:space="preserve"> </w:t>
      </w:r>
      <w:r w:rsidRPr="002F6E72">
        <w:t>The estimates of marginal productivity in this paper suggest that guidan</w:t>
      </w:r>
      <w:r w:rsidR="00073357">
        <w:t xml:space="preserve">ce issued by NICE </w:t>
      </w:r>
      <w:r w:rsidRPr="002F6E72">
        <w:t>is likely to do more harm than good, reducing health outcomes ov</w:t>
      </w:r>
      <w:r w:rsidR="00BB61D6">
        <w:t>erall for the NHS</w:t>
      </w:r>
      <w:r w:rsidR="001A194E">
        <w:t xml:space="preserve"> [32</w:t>
      </w:r>
      <w:r w:rsidR="00385980">
        <w:t xml:space="preserve">]. </w:t>
      </w:r>
      <w:r w:rsidRPr="00BB61D6">
        <w:rPr>
          <w:vertAlign w:val="superscript"/>
        </w:rPr>
        <w:t xml:space="preserve"> </w:t>
      </w:r>
      <w:r w:rsidRPr="002F6E72">
        <w:t xml:space="preserve">There may be legitimate reasons why such harms might be deemed appropriate, but it is only through the type of empirical analysis in this paper that </w:t>
      </w:r>
      <w:r w:rsidR="00CA2C06" w:rsidRPr="002F6E72">
        <w:t>the reasons for these ‘harms’ are likely to be articulated and explicitly justified.</w:t>
      </w:r>
    </w:p>
    <w:p w14:paraId="1A420D63" w14:textId="444A257E" w:rsidR="008150C7" w:rsidRPr="002F6E72" w:rsidRDefault="008150C7" w:rsidP="00931B7C">
      <w:pPr>
        <w:spacing w:line="480" w:lineRule="auto"/>
      </w:pPr>
    </w:p>
    <w:p w14:paraId="0621DBB0" w14:textId="23D7DB26" w:rsidR="008150C7" w:rsidRPr="002F6E72" w:rsidRDefault="008150C7" w:rsidP="00931B7C">
      <w:pPr>
        <w:spacing w:line="480" w:lineRule="auto"/>
      </w:pPr>
      <w:r w:rsidRPr="002F6E72">
        <w:t xml:space="preserve">Other established norms are also evident in published economic evaluations.  For example, in the US, thresholds of $50,000 to $100,000 per QALY have become increasingly cited but are also widely recognised as having little evidential </w:t>
      </w:r>
      <w:r w:rsidR="00BB61D6">
        <w:t>foundation</w:t>
      </w:r>
      <w:r w:rsidR="001A194E">
        <w:t xml:space="preserve"> [33</w:t>
      </w:r>
      <w:r w:rsidR="00385980">
        <w:t xml:space="preserve">]. </w:t>
      </w:r>
      <w:r w:rsidR="00BB61D6">
        <w:t xml:space="preserve"> </w:t>
      </w:r>
      <w:r w:rsidRPr="002F6E72">
        <w:t>The type of ‘thresholds’ previously promoted by the World Health Organisation became widely cited but do not reflect evidence of health opportu</w:t>
      </w:r>
      <w:r w:rsidR="00BB61D6">
        <w:t>nity costs</w:t>
      </w:r>
      <w:r w:rsidR="00385980">
        <w:t xml:space="preserve"> [</w:t>
      </w:r>
      <w:r w:rsidR="001A194E">
        <w:t>34</w:t>
      </w:r>
      <w:r w:rsidR="00385980">
        <w:t xml:space="preserve">]. </w:t>
      </w:r>
      <w:r w:rsidRPr="002F6E72">
        <w:t xml:space="preserve"> Therefore evidence-based challenges to these implied and/or explicit norms seem warranted.  </w:t>
      </w:r>
    </w:p>
    <w:p w14:paraId="66898C25" w14:textId="64C20097" w:rsidR="00482DB7" w:rsidRPr="002F6E72" w:rsidRDefault="00482DB7" w:rsidP="00931B7C">
      <w:pPr>
        <w:spacing w:line="480" w:lineRule="auto"/>
      </w:pPr>
    </w:p>
    <w:p w14:paraId="0B2638C4" w14:textId="77777777" w:rsidR="00C15831" w:rsidRPr="002F6E72" w:rsidRDefault="0094036B" w:rsidP="00931B7C">
      <w:pPr>
        <w:spacing w:line="480" w:lineRule="auto"/>
      </w:pPr>
      <w:r w:rsidRPr="002F6E72">
        <w:rPr>
          <w:b/>
          <w:i/>
        </w:rPr>
        <w:t xml:space="preserve">5.4 Study </w:t>
      </w:r>
      <w:r w:rsidR="00C2105D" w:rsidRPr="002F6E72">
        <w:rPr>
          <w:b/>
          <w:i/>
        </w:rPr>
        <w:t>l</w:t>
      </w:r>
      <w:r w:rsidR="00F036A1" w:rsidRPr="002F6E72">
        <w:rPr>
          <w:b/>
          <w:i/>
        </w:rPr>
        <w:t>imitations</w:t>
      </w:r>
    </w:p>
    <w:p w14:paraId="646A059A" w14:textId="77777777" w:rsidR="00812DB3" w:rsidRDefault="00C15831" w:rsidP="0030322F">
      <w:pPr>
        <w:spacing w:line="480" w:lineRule="auto"/>
      </w:pPr>
      <w:r w:rsidRPr="002F6E72">
        <w:t>Our</w:t>
      </w:r>
      <w:r w:rsidR="00B52DD4" w:rsidRPr="002F6E72">
        <w:t xml:space="preserve"> results are reasonably consistent</w:t>
      </w:r>
      <w:r w:rsidR="008E31A8" w:rsidRPr="002F6E72">
        <w:t xml:space="preserve">; </w:t>
      </w:r>
      <w:r w:rsidR="00B52DD4" w:rsidRPr="002F6E72">
        <w:t>the</w:t>
      </w:r>
      <w:r w:rsidR="001372CA">
        <w:t xml:space="preserve"> point estimates</w:t>
      </w:r>
      <w:r w:rsidR="00B52DD4" w:rsidRPr="002F6E72">
        <w:t xml:space="preserve"> sugge</w:t>
      </w:r>
      <w:r w:rsidR="0081543B" w:rsidRPr="002F6E72">
        <w:t>st a cost per</w:t>
      </w:r>
      <w:r w:rsidR="002C7B1B" w:rsidRPr="002F6E72">
        <w:t xml:space="preserve"> QALY of between £5,8</w:t>
      </w:r>
      <w:r w:rsidR="009F39DD" w:rsidRPr="002F6E72">
        <w:t>00 and £9,9</w:t>
      </w:r>
      <w:r w:rsidR="00B52DD4" w:rsidRPr="002F6E72">
        <w:t>00</w:t>
      </w:r>
      <w:r w:rsidR="001372CA">
        <w:t xml:space="preserve"> (CI: £4,200 - £22,300)</w:t>
      </w:r>
      <w:r w:rsidR="00B52DD4" w:rsidRPr="002F6E72">
        <w:t xml:space="preserve">.  </w:t>
      </w:r>
      <w:r w:rsidR="008E31A8" w:rsidRPr="002F6E72">
        <w:t>T</w:t>
      </w:r>
      <w:r w:rsidR="001C0911" w:rsidRPr="002F6E72">
        <w:t>ha</w:t>
      </w:r>
      <w:r w:rsidRPr="002F6E72">
        <w:t>t we obtain similar results for</w:t>
      </w:r>
      <w:r w:rsidR="001C0911" w:rsidRPr="002F6E72">
        <w:t xml:space="preserve"> several </w:t>
      </w:r>
      <w:r w:rsidR="001C0911" w:rsidRPr="002F6E72">
        <w:lastRenderedPageBreak/>
        <w:t>time periods could be interpreted as evidence of the reliability of our findings.  Alterna</w:t>
      </w:r>
      <w:r w:rsidRPr="002F6E72">
        <w:t xml:space="preserve">tively, </w:t>
      </w:r>
      <w:r w:rsidR="001C0911" w:rsidRPr="002F6E72">
        <w:t>w</w:t>
      </w:r>
      <w:r w:rsidR="007B3391" w:rsidRPr="002F6E72">
        <w:t xml:space="preserve">e </w:t>
      </w:r>
      <w:r w:rsidRPr="002F6E72">
        <w:t xml:space="preserve">may </w:t>
      </w:r>
      <w:r w:rsidR="007B3391" w:rsidRPr="002F6E72">
        <w:t xml:space="preserve">have been estimating </w:t>
      </w:r>
      <w:r w:rsidR="00CE4B37" w:rsidRPr="002F6E72">
        <w:t xml:space="preserve">the same </w:t>
      </w:r>
      <w:r w:rsidR="001C0911" w:rsidRPr="002F6E72">
        <w:t>relationship using ten different draws from the same data</w:t>
      </w:r>
      <w:r w:rsidR="00CE4B37" w:rsidRPr="002F6E72">
        <w:t xml:space="preserve"> generati</w:t>
      </w:r>
      <w:r w:rsidR="0077739D" w:rsidRPr="002F6E72">
        <w:t>ng</w:t>
      </w:r>
      <w:r w:rsidR="00CE4B37" w:rsidRPr="002F6E72">
        <w:t xml:space="preserve"> process</w:t>
      </w:r>
      <w:r w:rsidR="00DE0121">
        <w:t>.</w:t>
      </w:r>
      <w:r w:rsidR="00812DB3">
        <w:t xml:space="preserve">  </w:t>
      </w:r>
    </w:p>
    <w:p w14:paraId="62D3B7B4" w14:textId="3895988F" w:rsidR="001A23C5" w:rsidRPr="002F6E72" w:rsidRDefault="001A23C5" w:rsidP="0030322F">
      <w:pPr>
        <w:spacing w:line="480" w:lineRule="auto"/>
      </w:pPr>
    </w:p>
    <w:p w14:paraId="57797CA5" w14:textId="5C8D3A6B" w:rsidR="003D5A56" w:rsidRPr="0070537A" w:rsidRDefault="003D5A56" w:rsidP="0030322F">
      <w:pPr>
        <w:spacing w:line="480" w:lineRule="auto"/>
        <w:rPr>
          <w:i/>
          <w:color w:val="222222"/>
        </w:rPr>
      </w:pPr>
      <w:r w:rsidRPr="002F6E72">
        <w:t>Th</w:t>
      </w:r>
      <w:r w:rsidR="00A84C0D">
        <w:t>e</w:t>
      </w:r>
      <w:r w:rsidRPr="002F6E72">
        <w:t xml:space="preserve"> backward selection </w:t>
      </w:r>
      <w:r w:rsidR="000A7F28">
        <w:t xml:space="preserve">of covariates </w:t>
      </w:r>
      <w:r w:rsidR="00571207">
        <w:t xml:space="preserve">is one of several approaches to the identification </w:t>
      </w:r>
      <w:r w:rsidR="00345E88">
        <w:t>of a more parsimonious specification</w:t>
      </w:r>
      <w:r w:rsidRPr="002F6E72">
        <w:t>.  It involves the application of standard statistical tests -- which assume a single test of a pre-specified model -- to a sequence of steps to identify relevant explanatory variables</w:t>
      </w:r>
      <w:r w:rsidR="0030322F">
        <w:t>,</w:t>
      </w:r>
      <w:r w:rsidR="0070537A">
        <w:t xml:space="preserve"> and this may mean </w:t>
      </w:r>
      <w:r w:rsidR="0070537A" w:rsidRPr="0070537A">
        <w:rPr>
          <w:color w:val="222222"/>
        </w:rPr>
        <w:t xml:space="preserve">that </w:t>
      </w:r>
      <w:r w:rsidR="0070537A">
        <w:rPr>
          <w:color w:val="222222"/>
        </w:rPr>
        <w:t xml:space="preserve">the </w:t>
      </w:r>
      <w:r w:rsidR="0070537A" w:rsidRPr="0070537A">
        <w:rPr>
          <w:color w:val="222222"/>
        </w:rPr>
        <w:t>reported p-values are incorrect</w:t>
      </w:r>
      <w:r w:rsidR="0070537A">
        <w:rPr>
          <w:i/>
          <w:color w:val="222222"/>
        </w:rPr>
        <w:t xml:space="preserve"> </w:t>
      </w:r>
      <w:r w:rsidR="0070537A">
        <w:rPr>
          <w:color w:val="222222"/>
        </w:rPr>
        <w:t>[</w:t>
      </w:r>
      <w:r w:rsidR="00C837F2">
        <w:rPr>
          <w:color w:val="222222"/>
        </w:rPr>
        <w:t>3</w:t>
      </w:r>
      <w:r w:rsidR="001A194E">
        <w:rPr>
          <w:color w:val="222222"/>
        </w:rPr>
        <w:t>5</w:t>
      </w:r>
      <w:r w:rsidR="0070537A">
        <w:rPr>
          <w:color w:val="222222"/>
        </w:rPr>
        <w:t xml:space="preserve">].  </w:t>
      </w:r>
      <w:r w:rsidRPr="002F6E72">
        <w:t>We readily acknowledge this limitation but we persevere with this approach so that our results are comparable with a similar study that used the same approach with socio-economic instr</w:t>
      </w:r>
      <w:r w:rsidR="00A47646">
        <w:t>u</w:t>
      </w:r>
      <w:r w:rsidR="00DE0121">
        <w:t>ments [7].</w:t>
      </w:r>
    </w:p>
    <w:p w14:paraId="318B92BC" w14:textId="77777777" w:rsidR="008E31A8" w:rsidRPr="002F6E72" w:rsidRDefault="008E31A8" w:rsidP="0030322F">
      <w:pPr>
        <w:spacing w:line="480" w:lineRule="auto"/>
      </w:pPr>
    </w:p>
    <w:p w14:paraId="488AB210" w14:textId="44EC040D" w:rsidR="00AD6CD9" w:rsidRPr="002F6E72" w:rsidRDefault="008E31A8" w:rsidP="0030322F">
      <w:pPr>
        <w:spacing w:line="480" w:lineRule="auto"/>
      </w:pPr>
      <w:r w:rsidRPr="002F6E72">
        <w:t>One</w:t>
      </w:r>
      <w:r w:rsidR="009F0C05" w:rsidRPr="002F6E72">
        <w:t xml:space="preserve"> issue </w:t>
      </w:r>
      <w:r w:rsidR="00644C76" w:rsidRPr="002F6E72">
        <w:t>that w</w:t>
      </w:r>
      <w:r w:rsidR="00B63E1D" w:rsidRPr="002F6E72">
        <w:t xml:space="preserve">e have not addressed </w:t>
      </w:r>
      <w:r w:rsidR="009F0C05" w:rsidRPr="002F6E72">
        <w:t xml:space="preserve">is </w:t>
      </w:r>
      <w:r w:rsidR="00AD6FED" w:rsidRPr="002F6E72">
        <w:t xml:space="preserve">the </w:t>
      </w:r>
      <w:r w:rsidR="009F0C05" w:rsidRPr="002F6E72">
        <w:t>potential lagged effec</w:t>
      </w:r>
      <w:r w:rsidR="00B63E1D" w:rsidRPr="002F6E72">
        <w:t xml:space="preserve">t of expenditure on mortality.  </w:t>
      </w:r>
      <w:r w:rsidR="00644C76" w:rsidRPr="002F6E72">
        <w:t xml:space="preserve">We have the impact of expenditure in, say, 2005/06 confined to </w:t>
      </w:r>
      <w:r w:rsidR="00B63E1D" w:rsidRPr="002F6E72">
        <w:t xml:space="preserve">mortality in </w:t>
      </w:r>
      <w:r w:rsidR="00644C76" w:rsidRPr="002F6E72">
        <w:t>2005/06/07.  This precludes any lagged effect on mortality in, say, 2007/08.  Similarly, the mortality effect in 2</w:t>
      </w:r>
      <w:r w:rsidR="00136EC1">
        <w:t>005/06/07 only reflects expenditure</w:t>
      </w:r>
      <w:r w:rsidR="00644C76" w:rsidRPr="002F6E72">
        <w:t xml:space="preserve"> in 2005/06 and not, say, spending in 2004/05. </w:t>
      </w:r>
      <w:r w:rsidR="00B63E1D" w:rsidRPr="002F6E72">
        <w:t>Therefore, our</w:t>
      </w:r>
      <w:r w:rsidR="00644C76" w:rsidRPr="002F6E72">
        <w:t xml:space="preserve"> estimates will reflect the full impact of expenditure on mortality if these two lagged effects cancel each other out</w:t>
      </w:r>
      <w:r w:rsidR="00571437">
        <w:t xml:space="preserve"> for each disease group although, of course, the length of this lag may be longer for some areas (</w:t>
      </w:r>
      <w:proofErr w:type="spellStart"/>
      <w:r w:rsidR="00571437">
        <w:t>eg</w:t>
      </w:r>
      <w:proofErr w:type="spellEnd"/>
      <w:r w:rsidR="00571437">
        <w:t xml:space="preserve"> cancer) than for others (circulatory disease).</w:t>
      </w:r>
    </w:p>
    <w:p w14:paraId="3A56F092" w14:textId="77777777" w:rsidR="00A312DF" w:rsidRDefault="00A312DF" w:rsidP="00931B7C">
      <w:pPr>
        <w:spacing w:line="480" w:lineRule="auto"/>
      </w:pPr>
    </w:p>
    <w:p w14:paraId="36EBC358" w14:textId="0F8E8171" w:rsidR="00A57D89" w:rsidRDefault="00BE471A" w:rsidP="00931B7C">
      <w:pPr>
        <w:spacing w:line="480" w:lineRule="auto"/>
      </w:pPr>
      <w:r>
        <w:t>W</w:t>
      </w:r>
      <w:r w:rsidR="00A2364B" w:rsidRPr="002F6E72">
        <w:t>e should acknowl</w:t>
      </w:r>
      <w:r w:rsidR="00A81E78" w:rsidRPr="002F6E72">
        <w:t xml:space="preserve">edge the possibility </w:t>
      </w:r>
      <w:r w:rsidR="00A2364B" w:rsidRPr="002F6E72">
        <w:t>that both mortality and expenditure might be driven by local differences in some unspecified variable that we have omitted from the study</w:t>
      </w:r>
      <w:r w:rsidR="00D87E93">
        <w:t xml:space="preserve"> (</w:t>
      </w:r>
      <w:r w:rsidR="0077768D">
        <w:t>i</w:t>
      </w:r>
      <w:r w:rsidR="00261770">
        <w:t>.</w:t>
      </w:r>
      <w:r w:rsidR="0077768D">
        <w:t>e</w:t>
      </w:r>
      <w:r w:rsidR="00261770">
        <w:t>.,</w:t>
      </w:r>
      <w:r w:rsidR="0077768D">
        <w:t xml:space="preserve"> that one of the assumptions required for 2SLS to be a consistent estimator is not met)</w:t>
      </w:r>
      <w:r w:rsidR="00A2364B" w:rsidRPr="002F6E72">
        <w:t xml:space="preserve">.  If this were true, any claims about the causality of the relationship we have estimated </w:t>
      </w:r>
      <w:r w:rsidR="0062492F" w:rsidRPr="002F6E72">
        <w:t xml:space="preserve">between </w:t>
      </w:r>
      <w:r w:rsidR="00A2364B" w:rsidRPr="002F6E72">
        <w:lastRenderedPageBreak/>
        <w:t>health care expenditure and mortality would be weakened.  This possibility is inevitably true of any statistical analysis where the precise details of the true underlying causal mechanism</w:t>
      </w:r>
      <w:r w:rsidR="00F675DF" w:rsidRPr="002F6E72">
        <w:t>s are not known with certainty</w:t>
      </w:r>
      <w:r w:rsidR="005F6FAD">
        <w:t xml:space="preserve">.  We </w:t>
      </w:r>
      <w:r w:rsidR="00A2364B" w:rsidRPr="002F6E72">
        <w:t>have examined all plausible possibilities based on the limited guidanc</w:t>
      </w:r>
      <w:r w:rsidR="0062492F" w:rsidRPr="002F6E72">
        <w:t>e that theory can offer</w:t>
      </w:r>
      <w:r w:rsidR="00A2364B" w:rsidRPr="002F6E72">
        <w:t>, the previous empirical work that has been undertaken in this area</w:t>
      </w:r>
      <w:r w:rsidR="00F63602" w:rsidRPr="002F6E72">
        <w:t>,</w:t>
      </w:r>
      <w:r w:rsidR="00A2364B" w:rsidRPr="002F6E72">
        <w:t xml:space="preserve"> and all the sources of data that are currently av</w:t>
      </w:r>
      <w:r w:rsidR="005F6FAD">
        <w:t xml:space="preserve">ailable. </w:t>
      </w:r>
    </w:p>
    <w:p w14:paraId="7C7D31B2" w14:textId="77777777" w:rsidR="00A57D89" w:rsidRDefault="00A57D89" w:rsidP="00931B7C">
      <w:pPr>
        <w:spacing w:line="480" w:lineRule="auto"/>
      </w:pPr>
    </w:p>
    <w:p w14:paraId="17B92795" w14:textId="6B6E8D3E" w:rsidR="00BE471A" w:rsidRPr="002F6E72" w:rsidRDefault="005F6FAD" w:rsidP="00931B7C">
      <w:pPr>
        <w:spacing w:line="480" w:lineRule="auto"/>
      </w:pPr>
      <w:r>
        <w:t>We believe that t</w:t>
      </w:r>
      <w:r w:rsidR="00A2364B" w:rsidRPr="002F6E72">
        <w:t xml:space="preserve">he funding rule approach adopted here offers a substantial advance on what has gone before and </w:t>
      </w:r>
      <w:r>
        <w:t xml:space="preserve">that </w:t>
      </w:r>
      <w:r w:rsidR="00A2364B" w:rsidRPr="002F6E72">
        <w:t>the estimates we provide can inform, and bring more accountability to, important and unavoidable social choices about health care expenditure and how it is allocated.</w:t>
      </w:r>
      <w:r w:rsidR="00BE471A">
        <w:t xml:space="preserve">  Nevertheless, </w:t>
      </w:r>
      <w:r w:rsidR="00AE0B03">
        <w:t>the assumptions and methodological cho</w:t>
      </w:r>
      <w:r w:rsidR="000B5A88">
        <w:t xml:space="preserve">ices that </w:t>
      </w:r>
      <w:r w:rsidR="00AE0B03">
        <w:t xml:space="preserve">we have had to make do generate uncertainty </w:t>
      </w:r>
      <w:r w:rsidR="009A4719">
        <w:t>and this</w:t>
      </w:r>
      <w:r w:rsidR="000B5A88">
        <w:t xml:space="preserve"> </w:t>
      </w:r>
      <w:r w:rsidR="00AE0B03">
        <w:t xml:space="preserve">is not captured in </w:t>
      </w:r>
      <w:r w:rsidR="00357139">
        <w:t xml:space="preserve">the reported </w:t>
      </w:r>
      <w:r w:rsidR="00AE0B03">
        <w:t xml:space="preserve">confidence intervals. </w:t>
      </w:r>
    </w:p>
    <w:p w14:paraId="1CAF7CA3" w14:textId="35A25071" w:rsidR="001A4CE8" w:rsidRPr="002F6E72" w:rsidRDefault="001A4CE8" w:rsidP="00931B7C">
      <w:pPr>
        <w:spacing w:line="480" w:lineRule="auto"/>
        <w:rPr>
          <w:shd w:val="clear" w:color="auto" w:fill="FFFFFF"/>
        </w:rPr>
      </w:pPr>
    </w:p>
    <w:p w14:paraId="7B83A71B" w14:textId="640557BE" w:rsidR="00CC452C" w:rsidRPr="002F6E72" w:rsidRDefault="00D31832" w:rsidP="00931B7C">
      <w:pPr>
        <w:spacing w:after="200" w:line="480" w:lineRule="auto"/>
        <w:rPr>
          <w:b/>
        </w:rPr>
      </w:pPr>
      <w:r w:rsidRPr="002F6E72">
        <w:rPr>
          <w:b/>
        </w:rPr>
        <w:t>6</w:t>
      </w:r>
      <w:r w:rsidR="007A4BD7" w:rsidRPr="002F6E72">
        <w:rPr>
          <w:b/>
        </w:rPr>
        <w:t xml:space="preserve">. </w:t>
      </w:r>
      <w:r w:rsidR="005D4AF2" w:rsidRPr="002F6E72">
        <w:rPr>
          <w:b/>
        </w:rPr>
        <w:t>Conclusions</w:t>
      </w:r>
    </w:p>
    <w:p w14:paraId="34500D00" w14:textId="0739C12C" w:rsidR="00EE5EF3" w:rsidRPr="002F6E72" w:rsidRDefault="00E17A76" w:rsidP="00931B7C">
      <w:pPr>
        <w:spacing w:line="480" w:lineRule="auto"/>
      </w:pPr>
      <w:r w:rsidRPr="002F6E72">
        <w:t>T</w:t>
      </w:r>
      <w:r w:rsidR="00A83937" w:rsidRPr="002F6E72">
        <w:t xml:space="preserve">his paper </w:t>
      </w:r>
      <w:r w:rsidRPr="002F6E72">
        <w:t>builds</w:t>
      </w:r>
      <w:r w:rsidR="00100135" w:rsidRPr="002F6E72">
        <w:t xml:space="preserve"> on previous attempts to estimate the marginal benefit associated with English NHS expen</w:t>
      </w:r>
      <w:r w:rsidR="00F111AF">
        <w:t xml:space="preserve">diture.  Previous studies </w:t>
      </w:r>
      <w:r w:rsidR="00302313" w:rsidRPr="002F6E72">
        <w:t xml:space="preserve">used socio-economic variables as instruments for </w:t>
      </w:r>
      <w:r w:rsidR="0015179B" w:rsidRPr="002F6E72">
        <w:t xml:space="preserve">disease-specific </w:t>
      </w:r>
      <w:r w:rsidR="00302313" w:rsidRPr="002F6E72">
        <w:t xml:space="preserve">expenditure </w:t>
      </w:r>
      <w:r w:rsidR="005D137E">
        <w:t xml:space="preserve">but a new approach proposes the use of </w:t>
      </w:r>
      <w:r w:rsidR="006E719D">
        <w:t>exogenous</w:t>
      </w:r>
      <w:r w:rsidR="0034387F" w:rsidRPr="002F6E72">
        <w:t xml:space="preserve"> </w:t>
      </w:r>
      <w:r w:rsidR="00184C1D" w:rsidRPr="002F6E72">
        <w:t xml:space="preserve">variables </w:t>
      </w:r>
      <w:r w:rsidR="005D137E">
        <w:t xml:space="preserve">in the formula </w:t>
      </w:r>
      <w:r w:rsidR="00184C1D" w:rsidRPr="002F6E72">
        <w:t>used to allocate funds</w:t>
      </w:r>
      <w:r w:rsidR="0034387F" w:rsidRPr="002F6E72">
        <w:t xml:space="preserve"> to local health authori</w:t>
      </w:r>
      <w:r w:rsidR="00F95A4D" w:rsidRPr="002F6E72">
        <w:t>ties</w:t>
      </w:r>
      <w:r w:rsidR="00EA7E10" w:rsidRPr="002F6E72">
        <w:t xml:space="preserve">.  </w:t>
      </w:r>
      <w:r w:rsidR="009E0238" w:rsidRPr="002F6E72">
        <w:t>W</w:t>
      </w:r>
      <w:r w:rsidR="00E73562" w:rsidRPr="002F6E72">
        <w:t>e have</w:t>
      </w:r>
      <w:r w:rsidR="009E0238" w:rsidRPr="002F6E72">
        <w:t xml:space="preserve"> applied this</w:t>
      </w:r>
      <w:r w:rsidR="00091E93" w:rsidRPr="002F6E72">
        <w:t xml:space="preserve"> </w:t>
      </w:r>
      <w:r w:rsidR="00DC7171" w:rsidRPr="002F6E72">
        <w:t>approach to g</w:t>
      </w:r>
      <w:r w:rsidR="00BD724F" w:rsidRPr="002F6E72">
        <w:t>enerate</w:t>
      </w:r>
      <w:r w:rsidR="00DC7171" w:rsidRPr="002F6E72">
        <w:t xml:space="preserve"> annual cost per QALY estimates for English NHS expen</w:t>
      </w:r>
      <w:r w:rsidR="00BD2501" w:rsidRPr="002F6E72">
        <w:t xml:space="preserve">diture </w:t>
      </w:r>
      <w:r w:rsidR="003D3F5D" w:rsidRPr="002F6E72">
        <w:t xml:space="preserve">from </w:t>
      </w:r>
      <w:r w:rsidR="00DC7171" w:rsidRPr="002F6E72">
        <w:t>2003/04 to 2012/13.</w:t>
      </w:r>
      <w:r w:rsidR="003D3F5D" w:rsidRPr="002F6E72">
        <w:t xml:space="preserve">  </w:t>
      </w:r>
      <w:r w:rsidR="00116214" w:rsidRPr="002F6E72">
        <w:t>T</w:t>
      </w:r>
      <w:r w:rsidR="003D3F5D" w:rsidRPr="002F6E72">
        <w:t>hese estimates sugge</w:t>
      </w:r>
      <w:r w:rsidR="00116214" w:rsidRPr="002F6E72">
        <w:t>st an an</w:t>
      </w:r>
      <w:r w:rsidR="004B39D6" w:rsidRPr="002F6E72">
        <w:t>nu</w:t>
      </w:r>
      <w:r w:rsidR="002C7B1B" w:rsidRPr="002F6E72">
        <w:t>al cost per QALY of between £5,800 and £9,9</w:t>
      </w:r>
      <w:r w:rsidR="003D3F5D" w:rsidRPr="002F6E72">
        <w:t>00</w:t>
      </w:r>
      <w:r w:rsidR="00975E8A" w:rsidRPr="002F6E72">
        <w:t>.  These figures</w:t>
      </w:r>
      <w:r w:rsidR="00BD663A" w:rsidRPr="002F6E72">
        <w:t xml:space="preserve"> </w:t>
      </w:r>
      <w:r w:rsidR="00513C1D">
        <w:t xml:space="preserve">are close to those reported </w:t>
      </w:r>
      <w:r w:rsidR="00F965E6">
        <w:t xml:space="preserve">previously </w:t>
      </w:r>
      <w:r w:rsidR="00513C1D">
        <w:t xml:space="preserve">using </w:t>
      </w:r>
      <w:r w:rsidR="00EE5EF3" w:rsidRPr="002F6E72">
        <w:t>a similar dataset but socio-economic rather than funding rule variables as in</w:t>
      </w:r>
      <w:r w:rsidR="00A821DA" w:rsidRPr="002F6E72">
        <w:t xml:space="preserve">struments.  </w:t>
      </w:r>
    </w:p>
    <w:p w14:paraId="7E0F8BA4" w14:textId="77777777" w:rsidR="00D613BD" w:rsidRPr="002F6E72" w:rsidRDefault="00D613BD" w:rsidP="00931B7C">
      <w:pPr>
        <w:spacing w:line="480" w:lineRule="auto"/>
      </w:pPr>
    </w:p>
    <w:p w14:paraId="1E54D3D8" w14:textId="77777777" w:rsidR="002847CB" w:rsidRDefault="00256973" w:rsidP="00512590">
      <w:pPr>
        <w:spacing w:line="480" w:lineRule="auto"/>
      </w:pPr>
      <w:r w:rsidRPr="002F6E72">
        <w:t xml:space="preserve">Currently, there is limited evidence about the marginal productivity of other types of public expenditure but the approach outlined here has obvious applications to other types of expenditure and, in particular, to </w:t>
      </w:r>
      <w:r w:rsidR="002847CB">
        <w:t xml:space="preserve">specific components of healthcare expenditure (e.g., </w:t>
      </w:r>
      <w:r w:rsidR="002847CB">
        <w:lastRenderedPageBreak/>
        <w:t>pharmaceuticals) and to other types of health</w:t>
      </w:r>
      <w:r w:rsidRPr="002F6E72">
        <w:t xml:space="preserve">care </w:t>
      </w:r>
      <w:r w:rsidR="002847CB">
        <w:t xml:space="preserve">related </w:t>
      </w:r>
      <w:r w:rsidRPr="002F6E72">
        <w:t>expenditure</w:t>
      </w:r>
      <w:r w:rsidR="00F965E6">
        <w:t xml:space="preserve"> (e</w:t>
      </w:r>
      <w:r w:rsidR="00261770">
        <w:t>.</w:t>
      </w:r>
      <w:r w:rsidR="00F965E6">
        <w:t>g</w:t>
      </w:r>
      <w:r w:rsidR="00261770">
        <w:t>.,</w:t>
      </w:r>
      <w:r w:rsidR="00F965E6">
        <w:t xml:space="preserve"> public health and social care)</w:t>
      </w:r>
      <w:r w:rsidRPr="002F6E72">
        <w:t xml:space="preserve">. </w:t>
      </w:r>
      <w:r w:rsidR="000B0CC6" w:rsidRPr="002F6E72">
        <w:t xml:space="preserve"> </w:t>
      </w:r>
    </w:p>
    <w:p w14:paraId="0D311725" w14:textId="77777777" w:rsidR="002847CB" w:rsidRDefault="002847CB" w:rsidP="00512590">
      <w:pPr>
        <w:spacing w:line="480" w:lineRule="auto"/>
      </w:pPr>
    </w:p>
    <w:p w14:paraId="76CD1341" w14:textId="6D730680" w:rsidR="004A798D" w:rsidRPr="00512590" w:rsidRDefault="00C976E4" w:rsidP="00512590">
      <w:pPr>
        <w:spacing w:line="480" w:lineRule="auto"/>
      </w:pPr>
      <w:r w:rsidRPr="002F6E72">
        <w:t xml:space="preserve">The most recent results reported here are for 2012/13.  Clinical Commissioning Groups (CCGs) replaced PCTs as commissioners of local health services </w:t>
      </w:r>
      <w:r w:rsidR="00184211">
        <w:t xml:space="preserve">in England </w:t>
      </w:r>
      <w:r w:rsidRPr="002F6E72">
        <w:t>from April 2013</w:t>
      </w:r>
      <w:r w:rsidR="00184211">
        <w:t xml:space="preserve">. </w:t>
      </w:r>
      <w:r w:rsidR="00A9304B">
        <w:t xml:space="preserve"> </w:t>
      </w:r>
      <w:r w:rsidR="00184211">
        <w:t xml:space="preserve">CCGs </w:t>
      </w:r>
      <w:r w:rsidR="00F965E6">
        <w:t>lost about one-third of their commissioning remit with responsibility for primary care, spec</w:t>
      </w:r>
      <w:r w:rsidR="00130E61">
        <w:t xml:space="preserve">ialised commissioning and </w:t>
      </w:r>
      <w:r w:rsidR="00F965E6">
        <w:t xml:space="preserve">public health transferred </w:t>
      </w:r>
      <w:r w:rsidR="00C9005D">
        <w:t>to more central administrators</w:t>
      </w:r>
      <w:r w:rsidR="00F965E6">
        <w:t>.  We have no reason to believe that th</w:t>
      </w:r>
      <w:r w:rsidR="00ED1681">
        <w:t>is re-allocation of commissioning responsibility will affect the relationship between</w:t>
      </w:r>
      <w:r w:rsidR="00A84C0D">
        <w:t xml:space="preserve"> total NHS</w:t>
      </w:r>
      <w:r w:rsidR="00ED1681">
        <w:t xml:space="preserve"> expenditure and mortality, but the identification of s</w:t>
      </w:r>
      <w:r w:rsidR="00A84C0D">
        <w:t xml:space="preserve">eparate </w:t>
      </w:r>
      <w:r w:rsidR="00ED1681">
        <w:t xml:space="preserve">expenditure </w:t>
      </w:r>
      <w:r w:rsidR="00A84C0D">
        <w:t>totals for specific types of</w:t>
      </w:r>
      <w:r w:rsidR="00AE0B03">
        <w:t xml:space="preserve"> healthcare</w:t>
      </w:r>
      <w:r w:rsidR="00A84C0D">
        <w:t xml:space="preserve"> </w:t>
      </w:r>
      <w:r w:rsidR="00AE0B03">
        <w:t xml:space="preserve">since 2013 </w:t>
      </w:r>
      <w:r w:rsidR="00ED1681">
        <w:t xml:space="preserve">may </w:t>
      </w:r>
      <w:r w:rsidR="00A84C0D">
        <w:t xml:space="preserve">permit </w:t>
      </w:r>
      <w:r w:rsidR="00ED1681">
        <w:t xml:space="preserve">the estimation of </w:t>
      </w:r>
      <w:r w:rsidR="00AB025A">
        <w:t>the marginal productivity</w:t>
      </w:r>
      <w:r w:rsidR="00AE0B03">
        <w:t xml:space="preserve"> of these types of activity</w:t>
      </w:r>
      <w:r w:rsidR="00A84C0D">
        <w:t>.</w:t>
      </w:r>
    </w:p>
    <w:p w14:paraId="295E0175" w14:textId="77777777" w:rsidR="0030322F" w:rsidRDefault="0030322F">
      <w:pPr>
        <w:spacing w:after="200" w:line="276" w:lineRule="auto"/>
        <w:rPr>
          <w:b/>
        </w:rPr>
      </w:pPr>
      <w:r>
        <w:rPr>
          <w:b/>
        </w:rPr>
        <w:br w:type="page"/>
      </w:r>
    </w:p>
    <w:p w14:paraId="01BC89C9" w14:textId="7D4A6051" w:rsidR="002F6E72" w:rsidRPr="007F57CF" w:rsidRDefault="0074097F" w:rsidP="00931B7C">
      <w:pPr>
        <w:spacing w:line="480" w:lineRule="auto"/>
        <w:rPr>
          <w:b/>
        </w:rPr>
      </w:pPr>
      <w:r w:rsidRPr="002F6E72">
        <w:rPr>
          <w:b/>
        </w:rPr>
        <w:lastRenderedPageBreak/>
        <w:t>References</w:t>
      </w:r>
    </w:p>
    <w:p w14:paraId="38FE8BF5" w14:textId="77777777" w:rsidR="002F6E72" w:rsidRDefault="002F6E72" w:rsidP="00931B7C">
      <w:pPr>
        <w:spacing w:line="480" w:lineRule="auto"/>
      </w:pPr>
    </w:p>
    <w:p w14:paraId="30E6A0C8" w14:textId="2995D574" w:rsidR="00506B0A" w:rsidRPr="005E505A" w:rsidRDefault="00506B0A" w:rsidP="005A7FF2">
      <w:pPr>
        <w:spacing w:line="480" w:lineRule="auto"/>
      </w:pPr>
      <w:r>
        <w:t xml:space="preserve">1. </w:t>
      </w:r>
      <w:r w:rsidRPr="005E505A">
        <w:t>Nolte, E and McKee, M (2004).  Does health care save lives?  Avoidable mortality revisited.  Research Report.  The Nuffield Trust, London. Available at: https://www.nuffieldtrust.org.uk/research/does-healthcare-save-lives-a</w:t>
      </w:r>
      <w:r w:rsidR="00F04C93">
        <w:t xml:space="preserve">voidable-mortality-revisited </w:t>
      </w:r>
      <w:r w:rsidR="00D85AF6">
        <w:t>[a</w:t>
      </w:r>
      <w:r w:rsidRPr="005E505A">
        <w:t xml:space="preserve">ccessed </w:t>
      </w:r>
      <w:r w:rsidR="00D85AF6">
        <w:t>21 June 2020</w:t>
      </w:r>
      <w:r w:rsidRPr="005E505A">
        <w:t>].</w:t>
      </w:r>
    </w:p>
    <w:p w14:paraId="1AB2D43A" w14:textId="77777777" w:rsidR="00506B0A" w:rsidRDefault="00506B0A" w:rsidP="005A7FF2">
      <w:pPr>
        <w:spacing w:line="480" w:lineRule="auto"/>
      </w:pPr>
    </w:p>
    <w:p w14:paraId="18E6E255" w14:textId="14142D96" w:rsidR="00506B0A" w:rsidRPr="005E505A" w:rsidRDefault="00506B0A" w:rsidP="005A7FF2">
      <w:pPr>
        <w:spacing w:line="480" w:lineRule="auto"/>
      </w:pPr>
      <w:r>
        <w:t xml:space="preserve">2. </w:t>
      </w:r>
      <w:r w:rsidRPr="005E505A">
        <w:t xml:space="preserve">Nixon, J. and </w:t>
      </w:r>
      <w:proofErr w:type="spellStart"/>
      <w:r w:rsidRPr="005E505A">
        <w:t>Ulmann</w:t>
      </w:r>
      <w:proofErr w:type="spellEnd"/>
      <w:r w:rsidRPr="005E505A">
        <w:t>, P (2006).  The relationship between health care expenditure and health outcomes.  European Journal of Health Economics, 7(1), pp.7-18. Available at: https://link.springer.com/arti</w:t>
      </w:r>
      <w:r w:rsidR="00D85AF6">
        <w:t>cle/10.1007/s10198-005-0336-8 [a</w:t>
      </w:r>
      <w:r w:rsidRPr="005E505A">
        <w:t xml:space="preserve">ccessed </w:t>
      </w:r>
      <w:r w:rsidR="00D85AF6">
        <w:t>21 June 2020</w:t>
      </w:r>
      <w:r w:rsidRPr="005E505A">
        <w:t>].</w:t>
      </w:r>
    </w:p>
    <w:p w14:paraId="03847471" w14:textId="77777777" w:rsidR="00506B0A" w:rsidRDefault="00506B0A" w:rsidP="00506B0A">
      <w:pPr>
        <w:spacing w:line="480" w:lineRule="auto"/>
      </w:pPr>
    </w:p>
    <w:p w14:paraId="0B73D72A" w14:textId="70289E92" w:rsidR="00506B0A" w:rsidRPr="007F57CF" w:rsidRDefault="00D85AF6" w:rsidP="00506B0A">
      <w:pPr>
        <w:spacing w:line="480" w:lineRule="auto"/>
      </w:pPr>
      <w:r>
        <w:t>3</w:t>
      </w:r>
      <w:r w:rsidR="00506B0A">
        <w:t xml:space="preserve">. </w:t>
      </w:r>
      <w:proofErr w:type="spellStart"/>
      <w:r w:rsidR="00506B0A">
        <w:t>Edney</w:t>
      </w:r>
      <w:proofErr w:type="spellEnd"/>
      <w:r w:rsidR="00506B0A">
        <w:t xml:space="preserve">, L.C, </w:t>
      </w:r>
      <w:proofErr w:type="spellStart"/>
      <w:r w:rsidR="00506B0A" w:rsidRPr="00BC2EFF">
        <w:t>Afzali</w:t>
      </w:r>
      <w:proofErr w:type="spellEnd"/>
      <w:r w:rsidR="00506B0A">
        <w:t xml:space="preserve">, H. H. A., </w:t>
      </w:r>
      <w:r w:rsidR="00506B0A" w:rsidRPr="00BC2EFF">
        <w:t>Cheng</w:t>
      </w:r>
      <w:r w:rsidR="00506B0A">
        <w:t xml:space="preserve">, T. C., and </w:t>
      </w:r>
      <w:proofErr w:type="spellStart"/>
      <w:r w:rsidR="00506B0A" w:rsidRPr="00BC2EFF">
        <w:t>Karnon</w:t>
      </w:r>
      <w:proofErr w:type="spellEnd"/>
      <w:r w:rsidR="00506B0A" w:rsidRPr="00BC2EFF">
        <w:t xml:space="preserve"> </w:t>
      </w:r>
      <w:r w:rsidR="00506B0A">
        <w:t>J</w:t>
      </w:r>
      <w:r w:rsidR="00506B0A" w:rsidRPr="007F57CF">
        <w:t>. Estimating the Reference Incremental Cost-Effectiveness Ratio for the Australian He</w:t>
      </w:r>
      <w:r w:rsidR="00506B0A">
        <w:t xml:space="preserve">alth System. </w:t>
      </w:r>
      <w:proofErr w:type="spellStart"/>
      <w:r w:rsidR="00506B0A">
        <w:t>PharmacoEconomics</w:t>
      </w:r>
      <w:proofErr w:type="spellEnd"/>
      <w:r w:rsidR="00506B0A">
        <w:t xml:space="preserve">, 2018, </w:t>
      </w:r>
      <w:r w:rsidR="00506B0A" w:rsidRPr="007F57CF">
        <w:t>36(2), pp.239–252. Available at: http://www.ncb</w:t>
      </w:r>
      <w:r w:rsidR="00506B0A">
        <w:t>i.nlm.nih.gov/pubmed/29273843 (a</w:t>
      </w:r>
      <w:r w:rsidR="00506B0A" w:rsidRPr="007F57CF">
        <w:t xml:space="preserve">ccessed </w:t>
      </w:r>
      <w:r w:rsidR="00506B0A">
        <w:t>21 June 2020)</w:t>
      </w:r>
      <w:r w:rsidR="00506B0A" w:rsidRPr="007F57CF">
        <w:t>.</w:t>
      </w:r>
    </w:p>
    <w:p w14:paraId="76121E00" w14:textId="77777777" w:rsidR="00506B0A" w:rsidRDefault="00506B0A" w:rsidP="00506B0A">
      <w:pPr>
        <w:spacing w:line="480" w:lineRule="auto"/>
      </w:pPr>
    </w:p>
    <w:p w14:paraId="61BBF150" w14:textId="248E467F" w:rsidR="00D85AF6" w:rsidRPr="007F57CF" w:rsidRDefault="00D85AF6" w:rsidP="00D85AF6">
      <w:pPr>
        <w:spacing w:line="480" w:lineRule="auto"/>
      </w:pPr>
      <w:r>
        <w:t xml:space="preserve">4. </w:t>
      </w:r>
      <w:r w:rsidRPr="007F57CF">
        <w:t>Van Baal, P, Perry-</w:t>
      </w:r>
      <w:proofErr w:type="spellStart"/>
      <w:r w:rsidRPr="007F57CF">
        <w:t>Duxberry</w:t>
      </w:r>
      <w:proofErr w:type="spellEnd"/>
      <w:r w:rsidRPr="007F57CF">
        <w:t xml:space="preserve">, M, </w:t>
      </w:r>
      <w:proofErr w:type="spellStart"/>
      <w:r w:rsidRPr="007F57CF">
        <w:t>Bakx</w:t>
      </w:r>
      <w:proofErr w:type="spellEnd"/>
      <w:r w:rsidRPr="007F57CF">
        <w:t xml:space="preserve">, P, </w:t>
      </w:r>
      <w:proofErr w:type="spellStart"/>
      <w:r w:rsidRPr="007F57CF">
        <w:t>Versteegh</w:t>
      </w:r>
      <w:proofErr w:type="spellEnd"/>
      <w:r w:rsidRPr="007F57CF">
        <w:t xml:space="preserve">, M, van </w:t>
      </w:r>
      <w:proofErr w:type="spellStart"/>
      <w:r w:rsidRPr="007F57CF">
        <w:t>Do</w:t>
      </w:r>
      <w:r>
        <w:t>orslaer</w:t>
      </w:r>
      <w:proofErr w:type="spellEnd"/>
      <w:r>
        <w:t>, E, and W Brouwer</w:t>
      </w:r>
      <w:r w:rsidRPr="007F57CF">
        <w:t>.  A cost‐effectiveness threshold based on the marginal returns of cardiovascular hospital spending.  Health</w:t>
      </w:r>
      <w:r>
        <w:t xml:space="preserve"> Economics, 2019, 28, 1, 87-100.  Available at:  </w:t>
      </w:r>
      <w:hyperlink r:id="rId23" w:history="1">
        <w:r w:rsidRPr="00292607">
          <w:rPr>
            <w:rStyle w:val="Hyperlink"/>
          </w:rPr>
          <w:t>https://doi.org/10.1002/hec.3831</w:t>
        </w:r>
      </w:hyperlink>
      <w:r>
        <w:t xml:space="preserve"> (accessed 21 June 2020).</w:t>
      </w:r>
    </w:p>
    <w:p w14:paraId="2631DB6F" w14:textId="77777777" w:rsidR="00D85AF6" w:rsidRDefault="00D85AF6" w:rsidP="00506B0A">
      <w:pPr>
        <w:spacing w:line="480" w:lineRule="auto"/>
      </w:pPr>
    </w:p>
    <w:p w14:paraId="0A28F7D7" w14:textId="2403CFDF" w:rsidR="00D85AF6" w:rsidRPr="007F57CF" w:rsidRDefault="00D85AF6" w:rsidP="00D85AF6">
      <w:pPr>
        <w:spacing w:line="480" w:lineRule="auto"/>
      </w:pPr>
      <w:r>
        <w:rPr>
          <w:lang w:val="it-IT"/>
        </w:rPr>
        <w:t>5</w:t>
      </w:r>
      <w:r w:rsidRPr="009E7BAD">
        <w:rPr>
          <w:lang w:val="it-IT"/>
        </w:rPr>
        <w:t xml:space="preserve">. Vallejo-Torres, L., Garcia-Lorenzo, B., and Serrano-Aguilar, P.  </w:t>
      </w:r>
      <w:r w:rsidRPr="007F57CF">
        <w:t xml:space="preserve">Estimating a cost-effectiveness threshold for the Spanish NHS.  Health Economics, </w:t>
      </w:r>
      <w:r>
        <w:t xml:space="preserve">2018, </w:t>
      </w:r>
      <w:r w:rsidRPr="007F57CF">
        <w:t xml:space="preserve">27(4), pp.746-761.  Available at: </w:t>
      </w:r>
      <w:hyperlink r:id="rId24" w:history="1">
        <w:r w:rsidRPr="00292607">
          <w:rPr>
            <w:rStyle w:val="Hyperlink"/>
          </w:rPr>
          <w:t>https://onlinelibrary.wiley.com/doi/abs/10.1002/hec.3633</w:t>
        </w:r>
      </w:hyperlink>
      <w:r>
        <w:t xml:space="preserve"> (a</w:t>
      </w:r>
      <w:r w:rsidRPr="007F57CF">
        <w:t xml:space="preserve">ccessed </w:t>
      </w:r>
      <w:r>
        <w:t>21 June 2020)</w:t>
      </w:r>
      <w:r w:rsidRPr="007F57CF">
        <w:t>.</w:t>
      </w:r>
    </w:p>
    <w:p w14:paraId="041DE6B9" w14:textId="77777777" w:rsidR="00D85AF6" w:rsidRDefault="00D85AF6" w:rsidP="00506B0A">
      <w:pPr>
        <w:spacing w:line="480" w:lineRule="auto"/>
      </w:pPr>
    </w:p>
    <w:p w14:paraId="3015EB99" w14:textId="13F6AC7F" w:rsidR="00506B0A" w:rsidRDefault="00D85AF6" w:rsidP="00506B0A">
      <w:pPr>
        <w:spacing w:line="480" w:lineRule="auto"/>
      </w:pPr>
      <w:r>
        <w:t>6</w:t>
      </w:r>
      <w:r w:rsidR="00506B0A">
        <w:t xml:space="preserve">. </w:t>
      </w:r>
      <w:proofErr w:type="spellStart"/>
      <w:r w:rsidR="00506B0A" w:rsidRPr="007F57CF">
        <w:t>Sive</w:t>
      </w:r>
      <w:r w:rsidR="00506B0A">
        <w:t>rskog</w:t>
      </w:r>
      <w:proofErr w:type="spellEnd"/>
      <w:r w:rsidR="00506B0A">
        <w:t xml:space="preserve">, J. and </w:t>
      </w:r>
      <w:proofErr w:type="spellStart"/>
      <w:r w:rsidR="00506B0A">
        <w:t>Henriksson</w:t>
      </w:r>
      <w:proofErr w:type="spellEnd"/>
      <w:r w:rsidR="00506B0A">
        <w:t>, M</w:t>
      </w:r>
      <w:r w:rsidR="00506B0A" w:rsidRPr="007F57CF">
        <w:t>. Estimating the marginal cost of a life year in Sweden’s public healthcare sector.  E</w:t>
      </w:r>
      <w:r w:rsidR="00506B0A">
        <w:t>ur J Health Econ (2019) 20: 751-762.  Available at:</w:t>
      </w:r>
      <w:r w:rsidR="00506B0A" w:rsidRPr="007F57CF">
        <w:t xml:space="preserve"> </w:t>
      </w:r>
      <w:hyperlink r:id="rId25" w:history="1">
        <w:r w:rsidR="00506B0A" w:rsidRPr="00292607">
          <w:rPr>
            <w:rStyle w:val="Hyperlink"/>
          </w:rPr>
          <w:t>https://doi.org/10.1007/s10198-019-01039-0</w:t>
        </w:r>
      </w:hyperlink>
      <w:r w:rsidR="00506B0A">
        <w:t xml:space="preserve"> (accessed 21 June 2020).</w:t>
      </w:r>
    </w:p>
    <w:p w14:paraId="2FFE8DD9" w14:textId="539484CA" w:rsidR="00506B0A" w:rsidRPr="007F57CF" w:rsidRDefault="00506B0A" w:rsidP="00931B7C">
      <w:pPr>
        <w:spacing w:line="480" w:lineRule="auto"/>
      </w:pPr>
    </w:p>
    <w:p w14:paraId="184C08BB" w14:textId="1B6FC657" w:rsidR="002F6E72" w:rsidRPr="007F57CF" w:rsidRDefault="00093627" w:rsidP="00931B7C">
      <w:pPr>
        <w:spacing w:line="480" w:lineRule="auto"/>
      </w:pPr>
      <w:r>
        <w:t>7</w:t>
      </w:r>
      <w:r w:rsidR="002F6E72" w:rsidRPr="007F57CF">
        <w:t>. Lomas, J., Cl</w:t>
      </w:r>
      <w:r w:rsidR="00EE37DA">
        <w:t>axton, K., and Martin, S</w:t>
      </w:r>
      <w:r w:rsidR="002F6E72" w:rsidRPr="007F57CF">
        <w:t xml:space="preserve">.  Estimating the marginal productivity of the English National Health Service from 2003/04 to 2012/13. Value in Health, </w:t>
      </w:r>
      <w:r w:rsidR="00EE37DA">
        <w:t xml:space="preserve">2019, </w:t>
      </w:r>
      <w:r w:rsidR="002F6E72" w:rsidRPr="007F57CF">
        <w:t xml:space="preserve">22, 9, 995-1002.  DOI:  </w:t>
      </w:r>
      <w:hyperlink r:id="rId26" w:history="1">
        <w:r w:rsidR="007820AC" w:rsidRPr="00292607">
          <w:rPr>
            <w:rStyle w:val="Hyperlink"/>
          </w:rPr>
          <w:t>https://doi.org/10.1016/j.jval.2019.04.1926</w:t>
        </w:r>
      </w:hyperlink>
      <w:r w:rsidR="007820AC">
        <w:t xml:space="preserve"> (accessed 21 June 2020).</w:t>
      </w:r>
    </w:p>
    <w:p w14:paraId="37F7A66E" w14:textId="77777777" w:rsidR="002F6E72" w:rsidRPr="007F57CF" w:rsidRDefault="002F6E72" w:rsidP="00931B7C">
      <w:pPr>
        <w:spacing w:line="480" w:lineRule="auto"/>
      </w:pPr>
    </w:p>
    <w:p w14:paraId="32B8A227" w14:textId="4D52C239" w:rsidR="002F6E72" w:rsidRPr="007F57CF" w:rsidRDefault="00093627" w:rsidP="00931B7C">
      <w:pPr>
        <w:spacing w:line="480" w:lineRule="auto"/>
      </w:pPr>
      <w:r>
        <w:t>8</w:t>
      </w:r>
      <w:r w:rsidR="00C53CBC">
        <w:t xml:space="preserve">. </w:t>
      </w:r>
      <w:r w:rsidR="00C53CBC" w:rsidRPr="00C53CBC">
        <w:t xml:space="preserve">Andrews, </w:t>
      </w:r>
      <w:r w:rsidR="00C53CBC">
        <w:t xml:space="preserve">M., </w:t>
      </w:r>
      <w:proofErr w:type="spellStart"/>
      <w:r w:rsidR="00C53CBC" w:rsidRPr="00C53CBC">
        <w:t>Elamin</w:t>
      </w:r>
      <w:proofErr w:type="spellEnd"/>
      <w:r w:rsidR="00C53CBC" w:rsidRPr="00C53CBC">
        <w:t xml:space="preserve">, </w:t>
      </w:r>
      <w:r w:rsidR="00C53CBC">
        <w:t xml:space="preserve">O., </w:t>
      </w:r>
      <w:r w:rsidR="00C53CBC" w:rsidRPr="00C53CBC">
        <w:t xml:space="preserve">Hall, </w:t>
      </w:r>
      <w:r w:rsidR="00C53CBC">
        <w:t xml:space="preserve">A.R. </w:t>
      </w:r>
      <w:proofErr w:type="spellStart"/>
      <w:proofErr w:type="gramStart"/>
      <w:r w:rsidR="00C53CBC" w:rsidRPr="00C53CBC">
        <w:t>Kyriakoulis</w:t>
      </w:r>
      <w:proofErr w:type="spellEnd"/>
      <w:r w:rsidR="00C53CBC">
        <w:t>,,</w:t>
      </w:r>
      <w:proofErr w:type="gramEnd"/>
      <w:r w:rsidR="00C53CBC">
        <w:t xml:space="preserve">K  and </w:t>
      </w:r>
      <w:r w:rsidR="00C53CBC" w:rsidRPr="00C53CBC">
        <w:t>Sutton</w:t>
      </w:r>
      <w:r w:rsidR="00EE37DA">
        <w:t>, M</w:t>
      </w:r>
      <w:r w:rsidR="002F6E72" w:rsidRPr="007F57CF">
        <w:t xml:space="preserve">. Inference in the presence of redundant moment conditions and the impact of government health expenditure on health outcomes in England. Econometric Reviews, </w:t>
      </w:r>
      <w:r w:rsidR="00EE37DA">
        <w:t xml:space="preserve">2017, </w:t>
      </w:r>
      <w:r w:rsidR="002F6E72" w:rsidRPr="007F57CF">
        <w:t>3</w:t>
      </w:r>
      <w:r w:rsidR="007820AC">
        <w:t xml:space="preserve">6(1–3), pp.23–41. DOI: </w:t>
      </w:r>
      <w:r w:rsidR="002F6E72" w:rsidRPr="007F57CF">
        <w:t>https://www.tandfonline.com/doi/full/</w:t>
      </w:r>
      <w:r w:rsidR="007820AC">
        <w:t>10.1080/07474938.2016.1114205 (accessed 21 June 2020</w:t>
      </w:r>
      <w:r w:rsidR="00F0615B">
        <w:t>)</w:t>
      </w:r>
      <w:r w:rsidR="002F6E72" w:rsidRPr="007F57CF">
        <w:t>.</w:t>
      </w:r>
    </w:p>
    <w:p w14:paraId="703183FD" w14:textId="77777777" w:rsidR="002F6E72" w:rsidRPr="007F57CF" w:rsidRDefault="002F6E72" w:rsidP="00931B7C">
      <w:pPr>
        <w:spacing w:line="480" w:lineRule="auto"/>
      </w:pPr>
    </w:p>
    <w:p w14:paraId="36A1683D" w14:textId="1960B55F" w:rsidR="002F6E72" w:rsidRPr="007F57CF" w:rsidRDefault="00093627" w:rsidP="00931B7C">
      <w:pPr>
        <w:spacing w:line="480" w:lineRule="auto"/>
      </w:pPr>
      <w:r>
        <w:t>9</w:t>
      </w:r>
      <w:r w:rsidR="00BA2F78">
        <w:t>. Claxton, K., Lomas, J. and</w:t>
      </w:r>
      <w:r w:rsidR="00EE37DA">
        <w:t xml:space="preserve"> Martin, S</w:t>
      </w:r>
      <w:r w:rsidR="002F6E72" w:rsidRPr="007F57CF">
        <w:t xml:space="preserve">. The impact of NHS expenditure on health outcomes in England: Alternative approaches to identification in all-cause and disease specific models of mortality. Health Economics, </w:t>
      </w:r>
      <w:r w:rsidR="00EE37DA">
        <w:t xml:space="preserve">2018, </w:t>
      </w:r>
      <w:r w:rsidR="002F6E72" w:rsidRPr="007F57CF">
        <w:t xml:space="preserve">27(6), pp.1017-1023. Available at: </w:t>
      </w:r>
      <w:hyperlink r:id="rId27" w:history="1">
        <w:r w:rsidR="006D0920" w:rsidRPr="00292607">
          <w:rPr>
            <w:rStyle w:val="Hyperlink"/>
          </w:rPr>
          <w:t>https://onlinelibrary.wiley.com/doi/abs/10.1002/hec.3650</w:t>
        </w:r>
      </w:hyperlink>
      <w:r w:rsidR="006D0920">
        <w:t xml:space="preserve"> (a</w:t>
      </w:r>
      <w:r w:rsidR="002F6E72" w:rsidRPr="007F57CF">
        <w:t xml:space="preserve">ccessed </w:t>
      </w:r>
      <w:r w:rsidR="006D0920">
        <w:t>21 June 2020)</w:t>
      </w:r>
      <w:r w:rsidR="002F6E72" w:rsidRPr="007F57CF">
        <w:t>.</w:t>
      </w:r>
    </w:p>
    <w:p w14:paraId="6928B237" w14:textId="0AB8E8B1" w:rsidR="002F6E72" w:rsidRDefault="002F6E72" w:rsidP="00931B7C">
      <w:pPr>
        <w:spacing w:line="480" w:lineRule="auto"/>
      </w:pPr>
    </w:p>
    <w:p w14:paraId="5316ECCA" w14:textId="241FA240" w:rsidR="009D555E" w:rsidRDefault="009D555E" w:rsidP="009D555E">
      <w:pPr>
        <w:spacing w:line="480" w:lineRule="auto"/>
      </w:pPr>
      <w:r>
        <w:t xml:space="preserve">10. </w:t>
      </w:r>
      <w:proofErr w:type="spellStart"/>
      <w:r>
        <w:t>Staiger</w:t>
      </w:r>
      <w:proofErr w:type="spellEnd"/>
      <w:r>
        <w:t xml:space="preserve"> D, and Stock J. Instrumental variables regression with weak instruments. </w:t>
      </w:r>
      <w:proofErr w:type="spellStart"/>
      <w:r>
        <w:t>Econometrica</w:t>
      </w:r>
      <w:proofErr w:type="spellEnd"/>
      <w:r>
        <w:t>, 1997, 65:557–586.</w:t>
      </w:r>
    </w:p>
    <w:p w14:paraId="72C38D76" w14:textId="038BEAB3" w:rsidR="009D555E" w:rsidRDefault="009D555E" w:rsidP="00931B7C">
      <w:pPr>
        <w:spacing w:line="480" w:lineRule="auto"/>
      </w:pPr>
    </w:p>
    <w:p w14:paraId="6C66064E" w14:textId="47DB6DA3" w:rsidR="003652D0" w:rsidRDefault="003652D0" w:rsidP="003652D0">
      <w:pPr>
        <w:spacing w:line="480" w:lineRule="auto"/>
        <w:rPr>
          <w:noProof/>
        </w:rPr>
      </w:pPr>
      <w:r>
        <w:t xml:space="preserve">11. </w:t>
      </w:r>
      <w:r w:rsidR="001E0D41" w:rsidRPr="001E0D41">
        <w:t xml:space="preserve">Angrist, Joshua &amp; </w:t>
      </w:r>
      <w:proofErr w:type="spellStart"/>
      <w:r w:rsidR="001E0D41" w:rsidRPr="001E0D41">
        <w:t>Pischke</w:t>
      </w:r>
      <w:proofErr w:type="spellEnd"/>
      <w:r w:rsidR="001E0D41" w:rsidRPr="001E0D41">
        <w:t xml:space="preserve">, </w:t>
      </w:r>
      <w:proofErr w:type="spellStart"/>
      <w:r w:rsidR="001E0D41" w:rsidRPr="001E0D41">
        <w:t>Jörn</w:t>
      </w:r>
      <w:proofErr w:type="spellEnd"/>
      <w:r w:rsidR="001E0D41" w:rsidRPr="001E0D41">
        <w:t>-Steffen. (2009). Mostly Harmless Econometrics: An Empiricist's Companion.</w:t>
      </w:r>
      <w:r w:rsidR="00270B85">
        <w:t xml:space="preserve">  Princeton University Press.</w:t>
      </w:r>
    </w:p>
    <w:p w14:paraId="156E8D36" w14:textId="77777777" w:rsidR="003652D0" w:rsidRPr="00715C4E" w:rsidRDefault="003652D0" w:rsidP="003652D0">
      <w:pPr>
        <w:spacing w:line="480" w:lineRule="auto"/>
      </w:pPr>
    </w:p>
    <w:p w14:paraId="70CF7160" w14:textId="59E292DE" w:rsidR="003E681E" w:rsidRPr="003E681E" w:rsidRDefault="003652D0" w:rsidP="003E681E">
      <w:pPr>
        <w:spacing w:line="480" w:lineRule="auto"/>
        <w:rPr>
          <w:b/>
          <w:bCs/>
        </w:rPr>
      </w:pPr>
      <w:r>
        <w:t xml:space="preserve">12. </w:t>
      </w:r>
      <w:r w:rsidR="0030319E">
        <w:t xml:space="preserve">Wooldridge </w:t>
      </w:r>
      <w:r w:rsidR="003E681E">
        <w:t xml:space="preserve">J. M. (2010).  </w:t>
      </w:r>
      <w:r w:rsidR="003E681E" w:rsidRPr="003E681E">
        <w:t>Econometric analysis of cross section and panel data</w:t>
      </w:r>
      <w:r w:rsidR="003E681E">
        <w:t xml:space="preserve">.  Second edition. MIT Press.   </w:t>
      </w:r>
    </w:p>
    <w:p w14:paraId="29B7971E" w14:textId="7C3ACAF8" w:rsidR="003652D0" w:rsidRPr="007F57CF" w:rsidRDefault="003652D0" w:rsidP="00931B7C">
      <w:pPr>
        <w:spacing w:line="480" w:lineRule="auto"/>
      </w:pPr>
    </w:p>
    <w:p w14:paraId="5949E1D0" w14:textId="3CB66735" w:rsidR="002F6E72" w:rsidRPr="007F57CF" w:rsidRDefault="00093627" w:rsidP="00931B7C">
      <w:pPr>
        <w:spacing w:line="480" w:lineRule="auto"/>
      </w:pPr>
      <w:r>
        <w:t>1</w:t>
      </w:r>
      <w:r w:rsidR="00A91B70">
        <w:t>3</w:t>
      </w:r>
      <w:r w:rsidR="002F6E72" w:rsidRPr="007F57CF">
        <w:t>.  Marti</w:t>
      </w:r>
      <w:r w:rsidR="00BA2F78">
        <w:t>n, S., Rice, N. and</w:t>
      </w:r>
      <w:r w:rsidR="00EE37DA">
        <w:t xml:space="preserve"> Smith, P.C</w:t>
      </w:r>
      <w:r w:rsidR="002F6E72" w:rsidRPr="007F57CF">
        <w:t>. Does health care spending improve health outcomes? Evidence from English progra</w:t>
      </w:r>
      <w:r w:rsidR="007C6997">
        <w:t>mme budgeting data. Journal of Health E</w:t>
      </w:r>
      <w:r w:rsidR="002F6E72" w:rsidRPr="007F57CF">
        <w:t xml:space="preserve">conomics, </w:t>
      </w:r>
      <w:r w:rsidR="00EE37DA">
        <w:t xml:space="preserve">2008, </w:t>
      </w:r>
      <w:r w:rsidR="002F6E72" w:rsidRPr="007F57CF">
        <w:t>27(4), pp.826–42. Available at: http://www.ncb</w:t>
      </w:r>
      <w:r w:rsidR="001F3ACC">
        <w:t>i.nlm.nih.gov/pubmed/18261812 (a</w:t>
      </w:r>
      <w:r w:rsidR="002F6E72" w:rsidRPr="007F57CF">
        <w:t xml:space="preserve">ccessed </w:t>
      </w:r>
      <w:r w:rsidR="001F3ACC">
        <w:t>21 June 2020).</w:t>
      </w:r>
    </w:p>
    <w:p w14:paraId="0268CFBE" w14:textId="77777777" w:rsidR="002F6E72" w:rsidRPr="007F57CF" w:rsidRDefault="002F6E72" w:rsidP="00931B7C">
      <w:pPr>
        <w:spacing w:line="480" w:lineRule="auto"/>
      </w:pPr>
    </w:p>
    <w:p w14:paraId="09F66413" w14:textId="334A67B0" w:rsidR="002F6E72" w:rsidRPr="007F57CF" w:rsidRDefault="00093627" w:rsidP="00931B7C">
      <w:pPr>
        <w:spacing w:line="480" w:lineRule="auto"/>
      </w:pPr>
      <w:r>
        <w:t>1</w:t>
      </w:r>
      <w:r w:rsidR="00A91B70">
        <w:t>4</w:t>
      </w:r>
      <w:r w:rsidR="00BA2F78">
        <w:t>. Martin, S., Rice, N. and</w:t>
      </w:r>
      <w:r w:rsidR="00EE37DA">
        <w:t xml:space="preserve"> Smith, P.C</w:t>
      </w:r>
      <w:r w:rsidR="002F6E72" w:rsidRPr="007F57CF">
        <w:t xml:space="preserve">. Comparing costs and outcomes across programmes of health care. Health Economics, </w:t>
      </w:r>
      <w:r w:rsidR="00EE37DA">
        <w:t xml:space="preserve">2012, </w:t>
      </w:r>
      <w:r w:rsidR="002F6E72" w:rsidRPr="007F57CF">
        <w:t>21(3), pp.316–337. Available at: http://www.ncb</w:t>
      </w:r>
      <w:r w:rsidR="00BA2F78">
        <w:t>i.nlm.nih.gov/pubmed/21322086 (a</w:t>
      </w:r>
      <w:r w:rsidR="002F6E72" w:rsidRPr="007F57CF">
        <w:t xml:space="preserve">ccessed </w:t>
      </w:r>
      <w:r w:rsidR="00386532">
        <w:t>21 June 2020</w:t>
      </w:r>
      <w:r w:rsidR="00BA2F78">
        <w:t>)</w:t>
      </w:r>
      <w:r w:rsidR="002F6E72" w:rsidRPr="007F57CF">
        <w:t>.</w:t>
      </w:r>
    </w:p>
    <w:p w14:paraId="4C69DB49" w14:textId="77777777" w:rsidR="002F6E72" w:rsidRPr="007F57CF" w:rsidRDefault="002F6E72" w:rsidP="00931B7C">
      <w:pPr>
        <w:spacing w:line="480" w:lineRule="auto"/>
      </w:pPr>
    </w:p>
    <w:p w14:paraId="140E5AB3" w14:textId="12C8BBC3" w:rsidR="002F6E72" w:rsidRPr="007F57CF" w:rsidRDefault="00093627" w:rsidP="00931B7C">
      <w:pPr>
        <w:spacing w:line="480" w:lineRule="auto"/>
      </w:pPr>
      <w:r>
        <w:t>1</w:t>
      </w:r>
      <w:r w:rsidR="00A91B70">
        <w:t>5</w:t>
      </w:r>
      <w:r w:rsidR="002F6E72" w:rsidRPr="007F57CF">
        <w:t>.  Claxton, K., Martin, S., Soares M, Rice N, Spackman E, Hinde S, Dev</w:t>
      </w:r>
      <w:r w:rsidR="00EE37DA">
        <w:t xml:space="preserve">lin N, Smith PC and </w:t>
      </w:r>
      <w:proofErr w:type="spellStart"/>
      <w:r w:rsidR="00EE37DA">
        <w:t>Sculpher</w:t>
      </w:r>
      <w:proofErr w:type="spellEnd"/>
      <w:r w:rsidR="00EE37DA">
        <w:t xml:space="preserve"> M</w:t>
      </w:r>
      <w:r w:rsidR="002F6E72" w:rsidRPr="007F57CF">
        <w:t>. Metho</w:t>
      </w:r>
      <w:r w:rsidR="00EE37DA">
        <w:t xml:space="preserve">ds for the estimation of the </w:t>
      </w:r>
      <w:r w:rsidR="002F6E72" w:rsidRPr="007F57CF">
        <w:t>cost-e</w:t>
      </w:r>
      <w:r w:rsidR="00A07BC4">
        <w:t>ffectiveness threshold. Health Technology A</w:t>
      </w:r>
      <w:r w:rsidR="002F6E72" w:rsidRPr="007F57CF">
        <w:t>ssessment, 2015 Feb, 19(14), pp.1-503, v-vi. Available at https://www.nc</w:t>
      </w:r>
      <w:r w:rsidR="00BA2F78">
        <w:t>bi.nlm.nih.gov/pubmed/25692211 (a</w:t>
      </w:r>
      <w:r w:rsidR="002F6E72" w:rsidRPr="007F57CF">
        <w:t xml:space="preserve">ccessed </w:t>
      </w:r>
      <w:r w:rsidR="00BA2F78">
        <w:t>21 June 2020</w:t>
      </w:r>
      <w:r>
        <w:t>)</w:t>
      </w:r>
      <w:r w:rsidR="002F6E72" w:rsidRPr="007F57CF">
        <w:t>.</w:t>
      </w:r>
    </w:p>
    <w:p w14:paraId="22F63512" w14:textId="4BF2EB13" w:rsidR="00810B25" w:rsidRPr="007F57CF" w:rsidRDefault="00810B25" w:rsidP="00931B7C">
      <w:pPr>
        <w:spacing w:line="480" w:lineRule="auto"/>
      </w:pPr>
    </w:p>
    <w:p w14:paraId="57DF32F4" w14:textId="44782B36" w:rsidR="002F6E72" w:rsidRPr="007F57CF" w:rsidRDefault="0043700E" w:rsidP="00931B7C">
      <w:pPr>
        <w:spacing w:line="480" w:lineRule="auto"/>
      </w:pPr>
      <w:r>
        <w:t>1</w:t>
      </w:r>
      <w:r w:rsidR="00A91B70">
        <w:t>6</w:t>
      </w:r>
      <w:r w:rsidR="001E1319">
        <w:t xml:space="preserve">. </w:t>
      </w:r>
      <w:r w:rsidR="002F6E72" w:rsidRPr="007F57CF">
        <w:t>D</w:t>
      </w:r>
      <w:r w:rsidR="001E1319">
        <w:t xml:space="preserve">epartment of </w:t>
      </w:r>
      <w:r w:rsidR="002F6E72" w:rsidRPr="007F57CF">
        <w:t>H</w:t>
      </w:r>
      <w:r w:rsidR="001E1319">
        <w:t>ealth</w:t>
      </w:r>
      <w:r w:rsidR="002F6E72" w:rsidRPr="007F57CF">
        <w:t>.  Resource Allocation: Weighted Capitation Formula. Sixth Edition.</w:t>
      </w:r>
      <w:r w:rsidR="00EE37DA">
        <w:t xml:space="preserve"> 2</w:t>
      </w:r>
      <w:r>
        <w:t>0</w:t>
      </w:r>
      <w:r w:rsidR="00EE37DA">
        <w:t>08.</w:t>
      </w:r>
      <w:r w:rsidR="002F6E72" w:rsidRPr="007F57CF">
        <w:t xml:space="preserve">  Available </w:t>
      </w:r>
      <w:r w:rsidR="001E1319">
        <w:t xml:space="preserve">at: </w:t>
      </w:r>
      <w:r w:rsidR="002F6E72" w:rsidRPr="007F57CF">
        <w:t>https://webarchive.nationalarchives.gov.uk/20130124044910/http://www.dh.gov.uk/prod_consum_dh/groups/dh_digitalassets/@dh/@en/docume</w:t>
      </w:r>
      <w:r w:rsidR="00BA2F78">
        <w:t>nts/digitalasset/dh_091848.pdf (</w:t>
      </w:r>
      <w:r w:rsidR="002F6E72" w:rsidRPr="007F57CF">
        <w:t>accessed</w:t>
      </w:r>
      <w:r w:rsidR="00BA2F78">
        <w:t xml:space="preserve"> 21 June 2020)</w:t>
      </w:r>
      <w:r w:rsidR="002F6E72" w:rsidRPr="007F57CF">
        <w:t>.</w:t>
      </w:r>
    </w:p>
    <w:p w14:paraId="28B28C50" w14:textId="77777777" w:rsidR="002F6E72" w:rsidRDefault="002F6E72" w:rsidP="00931B7C">
      <w:pPr>
        <w:spacing w:line="480" w:lineRule="auto"/>
      </w:pPr>
    </w:p>
    <w:p w14:paraId="30BC5633" w14:textId="77777777" w:rsidR="00CD2F98" w:rsidRDefault="00CD2F98" w:rsidP="0043700E">
      <w:pPr>
        <w:spacing w:line="480" w:lineRule="auto"/>
      </w:pPr>
    </w:p>
    <w:p w14:paraId="754DC2F1" w14:textId="227D6B44" w:rsidR="00CD2F98" w:rsidRDefault="00CD2F98" w:rsidP="0043700E">
      <w:pPr>
        <w:spacing w:line="480" w:lineRule="auto"/>
        <w:rPr>
          <w:color w:val="000000"/>
          <w:spacing w:val="-5"/>
          <w:shd w:val="clear" w:color="auto" w:fill="FFFFFF"/>
        </w:rPr>
      </w:pPr>
      <w:r>
        <w:rPr>
          <w:color w:val="000000"/>
          <w:spacing w:val="-5"/>
          <w:shd w:val="clear" w:color="auto" w:fill="FFFFFF"/>
        </w:rPr>
        <w:lastRenderedPageBreak/>
        <w:t xml:space="preserve">17.  </w:t>
      </w:r>
      <w:r w:rsidRPr="00CD2F98">
        <w:rPr>
          <w:color w:val="000000"/>
          <w:spacing w:val="-5"/>
          <w:shd w:val="clear" w:color="auto" w:fill="FFFFFF"/>
        </w:rPr>
        <w:t xml:space="preserve">Propper, Carol, and John Van Reenen. "Can Pay Regulation Kill? Panel Data Evidence on the Effect of </w:t>
      </w:r>
      <w:proofErr w:type="spellStart"/>
      <w:r w:rsidRPr="00CD2F98">
        <w:rPr>
          <w:color w:val="000000"/>
          <w:spacing w:val="-5"/>
          <w:shd w:val="clear" w:color="auto" w:fill="FFFFFF"/>
        </w:rPr>
        <w:t>Labor</w:t>
      </w:r>
      <w:proofErr w:type="spellEnd"/>
      <w:r w:rsidRPr="00CD2F98">
        <w:rPr>
          <w:color w:val="000000"/>
          <w:spacing w:val="-5"/>
          <w:shd w:val="clear" w:color="auto" w:fill="FFFFFF"/>
        </w:rPr>
        <w:t xml:space="preserve"> Markets on Hospital Performance." </w:t>
      </w:r>
      <w:r w:rsidRPr="00CD2F98">
        <w:rPr>
          <w:i/>
          <w:iCs/>
          <w:color w:val="000000"/>
          <w:spacing w:val="-5"/>
          <w:shd w:val="clear" w:color="auto" w:fill="FFFFFF"/>
        </w:rPr>
        <w:t>Journal of Political Economy</w:t>
      </w:r>
      <w:r w:rsidRPr="00CD2F98">
        <w:rPr>
          <w:color w:val="000000"/>
          <w:spacing w:val="-5"/>
          <w:shd w:val="clear" w:color="auto" w:fill="FFFFFF"/>
        </w:rPr>
        <w:t> 118, no. 2 (2010): 222-73.</w:t>
      </w:r>
      <w:r>
        <w:rPr>
          <w:color w:val="000000"/>
          <w:spacing w:val="-5"/>
          <w:shd w:val="clear" w:color="auto" w:fill="FFFFFF"/>
        </w:rPr>
        <w:t xml:space="preserve">  DOI</w:t>
      </w:r>
      <w:r w:rsidRPr="00CD2F98">
        <w:rPr>
          <w:color w:val="000000"/>
          <w:spacing w:val="-5"/>
          <w:shd w:val="clear" w:color="auto" w:fill="FFFFFF"/>
        </w:rPr>
        <w:t>:10.1086/653137</w:t>
      </w:r>
      <w:r>
        <w:rPr>
          <w:rFonts w:ascii="Helvetica" w:hAnsi="Helvetica" w:cs="Helvetica"/>
          <w:color w:val="000000"/>
          <w:spacing w:val="-5"/>
          <w:shd w:val="clear" w:color="auto" w:fill="FFFFFF"/>
        </w:rPr>
        <w:t xml:space="preserve"> (</w:t>
      </w:r>
      <w:r w:rsidRPr="00CD2F98">
        <w:rPr>
          <w:color w:val="000000"/>
          <w:spacing w:val="-5"/>
          <w:shd w:val="clear" w:color="auto" w:fill="FFFFFF"/>
        </w:rPr>
        <w:t xml:space="preserve">accessed </w:t>
      </w:r>
      <w:r w:rsidR="00801513">
        <w:rPr>
          <w:color w:val="000000"/>
          <w:spacing w:val="-5"/>
          <w:shd w:val="clear" w:color="auto" w:fill="FFFFFF"/>
        </w:rPr>
        <w:t xml:space="preserve">19 February, </w:t>
      </w:r>
      <w:r w:rsidRPr="00CD2F98">
        <w:rPr>
          <w:color w:val="000000"/>
          <w:spacing w:val="-5"/>
          <w:shd w:val="clear" w:color="auto" w:fill="FFFFFF"/>
        </w:rPr>
        <w:t>2021</w:t>
      </w:r>
      <w:r>
        <w:rPr>
          <w:color w:val="000000"/>
          <w:spacing w:val="-5"/>
          <w:shd w:val="clear" w:color="auto" w:fill="FFFFFF"/>
        </w:rPr>
        <w:t>).</w:t>
      </w:r>
    </w:p>
    <w:p w14:paraId="5F2F0433" w14:textId="29C104E0" w:rsidR="00CD2F98" w:rsidRDefault="00CD2F98" w:rsidP="0043700E">
      <w:pPr>
        <w:spacing w:line="480" w:lineRule="auto"/>
        <w:rPr>
          <w:color w:val="000000"/>
          <w:spacing w:val="-5"/>
          <w:shd w:val="clear" w:color="auto" w:fill="FFFFFF"/>
        </w:rPr>
      </w:pPr>
    </w:p>
    <w:p w14:paraId="18543F41" w14:textId="0852D8DA" w:rsidR="005944D0" w:rsidRDefault="00650D3F" w:rsidP="005944D0">
      <w:pPr>
        <w:spacing w:line="480" w:lineRule="auto"/>
        <w:rPr>
          <w:color w:val="000000"/>
          <w:spacing w:val="-5"/>
          <w:shd w:val="clear" w:color="auto" w:fill="FFFFFF"/>
        </w:rPr>
      </w:pPr>
      <w:r>
        <w:rPr>
          <w:color w:val="000000"/>
          <w:spacing w:val="-5"/>
          <w:shd w:val="clear" w:color="auto" w:fill="FFFFFF"/>
        </w:rPr>
        <w:t xml:space="preserve">18.  </w:t>
      </w:r>
      <w:proofErr w:type="spellStart"/>
      <w:r>
        <w:t>Carr</w:t>
      </w:r>
      <w:proofErr w:type="spellEnd"/>
      <w:r>
        <w:t xml:space="preserve">-Hill, </w:t>
      </w:r>
      <w:r w:rsidR="005944D0">
        <w:t xml:space="preserve">R. A., </w:t>
      </w:r>
      <w:r>
        <w:t>Geoffrey Hardman, Stephen Martin, Stuart Peacock, Trevor A. S</w:t>
      </w:r>
      <w:r w:rsidR="005944D0">
        <w:t xml:space="preserve">heldon and Peter C. Smith.  </w:t>
      </w:r>
      <w:r w:rsidR="001B19B6">
        <w:t>Interfaces</w:t>
      </w:r>
      <w:r>
        <w:t>, Jan. - Feb., 1997, Vol. 27, No. 1, Franz Edelman Award Papers (</w:t>
      </w:r>
      <w:r w:rsidR="005944D0">
        <w:t xml:space="preserve">Jan. - Feb., 1997), pp. 53-70.  Available from: </w:t>
      </w:r>
      <w:hyperlink r:id="rId28" w:history="1">
        <w:r w:rsidR="005944D0" w:rsidRPr="00C50782">
          <w:rPr>
            <w:rStyle w:val="Hyperlink"/>
          </w:rPr>
          <w:t>https://www.jstor.org/stable/25062211</w:t>
        </w:r>
      </w:hyperlink>
      <w:r w:rsidR="005944D0">
        <w:t xml:space="preserve"> </w:t>
      </w:r>
      <w:r w:rsidR="005944D0">
        <w:rPr>
          <w:rFonts w:ascii="Helvetica" w:hAnsi="Helvetica" w:cs="Helvetica"/>
          <w:color w:val="000000"/>
          <w:spacing w:val="-5"/>
          <w:shd w:val="clear" w:color="auto" w:fill="FFFFFF"/>
        </w:rPr>
        <w:t>(</w:t>
      </w:r>
      <w:r w:rsidR="005944D0" w:rsidRPr="00CD2F98">
        <w:rPr>
          <w:color w:val="000000"/>
          <w:spacing w:val="-5"/>
          <w:shd w:val="clear" w:color="auto" w:fill="FFFFFF"/>
        </w:rPr>
        <w:t xml:space="preserve">accessed </w:t>
      </w:r>
      <w:r w:rsidR="001143E8">
        <w:rPr>
          <w:color w:val="000000"/>
          <w:spacing w:val="-5"/>
          <w:shd w:val="clear" w:color="auto" w:fill="FFFFFF"/>
        </w:rPr>
        <w:t>19 February,</w:t>
      </w:r>
      <w:r w:rsidR="005944D0" w:rsidRPr="00CD2F98">
        <w:rPr>
          <w:color w:val="000000"/>
          <w:spacing w:val="-5"/>
          <w:shd w:val="clear" w:color="auto" w:fill="FFFFFF"/>
        </w:rPr>
        <w:t xml:space="preserve"> 2021</w:t>
      </w:r>
      <w:r w:rsidR="005944D0">
        <w:rPr>
          <w:color w:val="000000"/>
          <w:spacing w:val="-5"/>
          <w:shd w:val="clear" w:color="auto" w:fill="FFFFFF"/>
        </w:rPr>
        <w:t>).</w:t>
      </w:r>
    </w:p>
    <w:p w14:paraId="0301A20B" w14:textId="78B1EFAC" w:rsidR="00CD2F98" w:rsidRDefault="00CD2F98" w:rsidP="0043700E">
      <w:pPr>
        <w:spacing w:line="480" w:lineRule="auto"/>
      </w:pPr>
    </w:p>
    <w:p w14:paraId="664894D0" w14:textId="4A648814" w:rsidR="006039F5" w:rsidRDefault="006039F5" w:rsidP="0043700E">
      <w:pPr>
        <w:spacing w:line="480" w:lineRule="auto"/>
      </w:pPr>
      <w:r>
        <w:t>19.  Smith, Peter C.  Resource allocation and purchasing in the health sector: the English experience.  Bulletin o</w:t>
      </w:r>
      <w:r w:rsidR="00A437F9">
        <w:t xml:space="preserve">f the World Health Organization, 2008, </w:t>
      </w:r>
      <w:r>
        <w:t>86:884–888.</w:t>
      </w:r>
      <w:r w:rsidR="001143E8">
        <w:t xml:space="preserve">  Available from: </w:t>
      </w:r>
      <w:hyperlink r:id="rId29" w:history="1">
        <w:r w:rsidR="001143E8" w:rsidRPr="00C50782">
          <w:rPr>
            <w:rStyle w:val="Hyperlink"/>
          </w:rPr>
          <w:t>https://www.who.int/bulletin/volumes/86/11/07-049528.pdf</w:t>
        </w:r>
      </w:hyperlink>
      <w:r w:rsidR="001143E8">
        <w:t xml:space="preserve"> (accessed 19 February, 2021).</w:t>
      </w:r>
    </w:p>
    <w:p w14:paraId="465A2235" w14:textId="77777777" w:rsidR="001B19B6" w:rsidRDefault="001B19B6" w:rsidP="0043700E">
      <w:pPr>
        <w:spacing w:line="480" w:lineRule="auto"/>
      </w:pPr>
    </w:p>
    <w:p w14:paraId="0AA7A831" w14:textId="31E2B1E5" w:rsidR="0043700E" w:rsidRDefault="00F438D7" w:rsidP="0043700E">
      <w:pPr>
        <w:spacing w:line="480" w:lineRule="auto"/>
      </w:pPr>
      <w:r>
        <w:t>20</w:t>
      </w:r>
      <w:r w:rsidR="0043700E">
        <w:t xml:space="preserve">. </w:t>
      </w:r>
      <w:r w:rsidR="0043700E" w:rsidRPr="00B06DE9">
        <w:t xml:space="preserve">Baum, C.F., Schaffer, M.E., </w:t>
      </w:r>
      <w:proofErr w:type="spellStart"/>
      <w:r w:rsidR="0043700E" w:rsidRPr="00B06DE9">
        <w:t>Stillman</w:t>
      </w:r>
      <w:proofErr w:type="spellEnd"/>
      <w:r w:rsidR="0043700E" w:rsidRPr="00B06DE9">
        <w:t xml:space="preserve">, S. </w:t>
      </w:r>
      <w:r w:rsidR="0043700E">
        <w:t xml:space="preserve">(2010).  ivreg2: Stata module for </w:t>
      </w:r>
      <w:r w:rsidR="0043700E" w:rsidRPr="00B06DE9">
        <w:t>extended instrumental variables</w:t>
      </w:r>
      <w:r w:rsidR="0043700E">
        <w:t xml:space="preserve">/2SLS, GMM and AC/HAC, LIML and </w:t>
      </w:r>
      <w:r w:rsidR="0043700E" w:rsidRPr="00B06DE9">
        <w:t xml:space="preserve">k-class regression.  </w:t>
      </w:r>
      <w:r w:rsidR="0043700E">
        <w:t xml:space="preserve">Available from: </w:t>
      </w:r>
      <w:hyperlink r:id="rId30" w:history="1">
        <w:r w:rsidR="0043700E" w:rsidRPr="00A27EEF">
          <w:rPr>
            <w:rStyle w:val="Hyperlink"/>
          </w:rPr>
          <w:t>http://ideas.repec.org/c/boc/bocode/s425401.html</w:t>
        </w:r>
      </w:hyperlink>
      <w:r w:rsidR="0043700E">
        <w:rPr>
          <w:rStyle w:val="Hyperlink"/>
        </w:rPr>
        <w:t xml:space="preserve"> </w:t>
      </w:r>
      <w:r w:rsidR="0043700E">
        <w:t>(a</w:t>
      </w:r>
      <w:r w:rsidR="0043700E" w:rsidRPr="007F57CF">
        <w:t xml:space="preserve">ccessed </w:t>
      </w:r>
      <w:r w:rsidR="0043700E">
        <w:t>21 June 2020)</w:t>
      </w:r>
      <w:r w:rsidR="0043700E" w:rsidRPr="007F57CF">
        <w:t>.</w:t>
      </w:r>
    </w:p>
    <w:p w14:paraId="3302BA09" w14:textId="44AAE590" w:rsidR="0043700E" w:rsidRDefault="0043700E" w:rsidP="00931B7C">
      <w:pPr>
        <w:spacing w:line="480" w:lineRule="auto"/>
      </w:pPr>
    </w:p>
    <w:p w14:paraId="6B35A0A6" w14:textId="2C0ECBE8" w:rsidR="00A91B70" w:rsidRDefault="00F438D7" w:rsidP="00931B7C">
      <w:pPr>
        <w:spacing w:line="480" w:lineRule="auto"/>
      </w:pPr>
      <w:r>
        <w:t>21</w:t>
      </w:r>
      <w:r w:rsidR="00A91B70">
        <w:t xml:space="preserve">. </w:t>
      </w:r>
      <w:r w:rsidR="00A91B70" w:rsidRPr="00715C4E">
        <w:rPr>
          <w:noProof/>
        </w:rPr>
        <w:t xml:space="preserve">Pesaran, M.H. and L.W. Taylor, </w:t>
      </w:r>
      <w:r w:rsidR="00A91B70" w:rsidRPr="00715C4E">
        <w:rPr>
          <w:i/>
          <w:noProof/>
        </w:rPr>
        <w:t>Diagnostics for IV regressions.</w:t>
      </w:r>
      <w:r w:rsidR="00A91B70" w:rsidRPr="00715C4E">
        <w:rPr>
          <w:noProof/>
        </w:rPr>
        <w:t xml:space="preserve"> Oxford Bulletin of Economics and Statistics, 1999. </w:t>
      </w:r>
      <w:r w:rsidR="00A91B70" w:rsidRPr="00715C4E">
        <w:rPr>
          <w:b/>
          <w:noProof/>
        </w:rPr>
        <w:t>61</w:t>
      </w:r>
      <w:r w:rsidR="00A91B70" w:rsidRPr="00715C4E">
        <w:rPr>
          <w:noProof/>
        </w:rPr>
        <w:t>(2): p. 255-</w:t>
      </w:r>
      <w:r w:rsidR="00A91B70">
        <w:rPr>
          <w:noProof/>
        </w:rPr>
        <w:t>265</w:t>
      </w:r>
      <w:r w:rsidR="00A91B70" w:rsidRPr="00715C4E">
        <w:rPr>
          <w:noProof/>
        </w:rPr>
        <w:t>.</w:t>
      </w:r>
    </w:p>
    <w:p w14:paraId="38079375" w14:textId="3EEEFABB" w:rsidR="00A91B70" w:rsidRDefault="00A91B70" w:rsidP="00931B7C">
      <w:pPr>
        <w:spacing w:line="480" w:lineRule="auto"/>
      </w:pPr>
    </w:p>
    <w:p w14:paraId="7115A51B" w14:textId="6EF31390" w:rsidR="0065245D" w:rsidRDefault="0065245D" w:rsidP="00931B7C">
      <w:pPr>
        <w:spacing w:line="480" w:lineRule="auto"/>
      </w:pPr>
      <w:r>
        <w:t>22.</w:t>
      </w:r>
      <w:r w:rsidR="004B3CA5">
        <w:t xml:space="preserve"> </w:t>
      </w:r>
      <w:r w:rsidR="004B3CA5" w:rsidRPr="00D60598">
        <w:rPr>
          <w:color w:val="222222"/>
        </w:rPr>
        <w:t xml:space="preserve">Soares, M, </w:t>
      </w:r>
      <w:proofErr w:type="spellStart"/>
      <w:r w:rsidR="004B3CA5" w:rsidRPr="00D60598">
        <w:rPr>
          <w:color w:val="222222"/>
        </w:rPr>
        <w:t>Sculpher</w:t>
      </w:r>
      <w:proofErr w:type="spellEnd"/>
      <w:r w:rsidR="004B3CA5" w:rsidRPr="00D60598">
        <w:rPr>
          <w:color w:val="222222"/>
        </w:rPr>
        <w:t xml:space="preserve">, M and Claxton, K (2020).  Health Opportunity Costs: Assessing the Implications of Uncertainty Using Elicitation Methods with Experts.  Medical Decision Making, vol 40, no 4.  See </w:t>
      </w:r>
      <w:hyperlink r:id="rId31" w:history="1">
        <w:r w:rsidR="004B3CA5" w:rsidRPr="00D60598">
          <w:rPr>
            <w:rStyle w:val="Hyperlink"/>
            <w:rFonts w:eastAsiaTheme="majorEastAsia"/>
          </w:rPr>
          <w:t>https://doi.org/10.1177%2F0272989X20916450</w:t>
        </w:r>
      </w:hyperlink>
      <w:r w:rsidR="004B3CA5">
        <w:rPr>
          <w:color w:val="222222"/>
        </w:rPr>
        <w:t xml:space="preserve"> </w:t>
      </w:r>
      <w:r w:rsidR="004B3CA5">
        <w:t>(accessed 25 January, 2021).</w:t>
      </w:r>
    </w:p>
    <w:p w14:paraId="4F5D1653" w14:textId="412E41D9" w:rsidR="0065245D" w:rsidRDefault="0065245D" w:rsidP="00931B7C">
      <w:pPr>
        <w:spacing w:line="480" w:lineRule="auto"/>
      </w:pPr>
    </w:p>
    <w:p w14:paraId="56F17887" w14:textId="26D7CB4F" w:rsidR="004B3CA5" w:rsidRDefault="004B3CA5" w:rsidP="004B3CA5">
      <w:pPr>
        <w:spacing w:line="480" w:lineRule="auto"/>
      </w:pPr>
      <w:r>
        <w:lastRenderedPageBreak/>
        <w:t xml:space="preserve">23. Soares MO, </w:t>
      </w:r>
      <w:proofErr w:type="spellStart"/>
      <w:r>
        <w:t>Sculpher</w:t>
      </w:r>
      <w:proofErr w:type="spellEnd"/>
      <w:r>
        <w:t xml:space="preserve"> MJ, Claxton K. Authors’ Response to: “Health Opportunity Costs and Expert Elicitation: A Comment on Soares et al.” by Sampson, Firth, and </w:t>
      </w:r>
      <w:proofErr w:type="spellStart"/>
      <w:r>
        <w:t>Towse</w:t>
      </w:r>
      <w:proofErr w:type="spellEnd"/>
      <w:r>
        <w:t>. Medical Decision Making. February 2021. DOI:10.1177/0272989X20987222 (accessed 16 March 2021).</w:t>
      </w:r>
    </w:p>
    <w:p w14:paraId="77BD0FF2" w14:textId="5FF4906B" w:rsidR="0065245D" w:rsidRDefault="004B3CA5" w:rsidP="00931B7C">
      <w:pPr>
        <w:spacing w:line="480" w:lineRule="auto"/>
      </w:pPr>
      <w:r>
        <w:t xml:space="preserve">  </w:t>
      </w:r>
    </w:p>
    <w:p w14:paraId="05CC9DFF" w14:textId="6FBE3CDC" w:rsidR="00A91B70" w:rsidRPr="00810B25" w:rsidRDefault="004B3CA5" w:rsidP="00A91B70">
      <w:pPr>
        <w:pStyle w:val="FootnoteText"/>
        <w:spacing w:line="480" w:lineRule="auto"/>
        <w:rPr>
          <w:rFonts w:ascii="Times New Roman" w:hAnsi="Times New Roman" w:cs="Times New Roman"/>
          <w:sz w:val="24"/>
          <w:szCs w:val="24"/>
        </w:rPr>
      </w:pPr>
      <w:r>
        <w:rPr>
          <w:rFonts w:ascii="Times New Roman" w:hAnsi="Times New Roman" w:cs="Times New Roman"/>
          <w:sz w:val="24"/>
          <w:szCs w:val="24"/>
        </w:rPr>
        <w:t>24</w:t>
      </w:r>
      <w:r w:rsidR="00A91B70">
        <w:rPr>
          <w:rFonts w:ascii="Times New Roman" w:hAnsi="Times New Roman" w:cs="Times New Roman"/>
          <w:sz w:val="24"/>
          <w:szCs w:val="24"/>
        </w:rPr>
        <w:t xml:space="preserve">. </w:t>
      </w:r>
      <w:r w:rsidR="00A91B70" w:rsidRPr="00810B25">
        <w:rPr>
          <w:rFonts w:ascii="Times New Roman" w:hAnsi="Times New Roman" w:cs="Times New Roman"/>
          <w:sz w:val="24"/>
          <w:szCs w:val="24"/>
        </w:rPr>
        <w:t>Lakhani</w:t>
      </w:r>
      <w:r w:rsidR="00A91B70">
        <w:t xml:space="preserve"> </w:t>
      </w:r>
      <w:r w:rsidR="00A91B70" w:rsidRPr="00810B25">
        <w:rPr>
          <w:rFonts w:ascii="Times New Roman" w:hAnsi="Times New Roman" w:cs="Times New Roman"/>
          <w:sz w:val="24"/>
          <w:szCs w:val="24"/>
        </w:rPr>
        <w:t xml:space="preserve">A, </w:t>
      </w:r>
      <w:proofErr w:type="spellStart"/>
      <w:r w:rsidR="00A91B70" w:rsidRPr="00810B25">
        <w:rPr>
          <w:rFonts w:ascii="Times New Roman" w:hAnsi="Times New Roman" w:cs="Times New Roman"/>
          <w:sz w:val="24"/>
          <w:szCs w:val="24"/>
        </w:rPr>
        <w:t>Olearnik</w:t>
      </w:r>
      <w:proofErr w:type="spellEnd"/>
      <w:r w:rsidR="00A91B70" w:rsidRPr="00810B25">
        <w:rPr>
          <w:rFonts w:ascii="Times New Roman" w:hAnsi="Times New Roman" w:cs="Times New Roman"/>
          <w:sz w:val="24"/>
          <w:szCs w:val="24"/>
        </w:rPr>
        <w:t xml:space="preserve"> H and </w:t>
      </w:r>
      <w:proofErr w:type="spellStart"/>
      <w:r w:rsidR="00A91B70" w:rsidRPr="00810B25">
        <w:rPr>
          <w:rFonts w:ascii="Times New Roman" w:hAnsi="Times New Roman" w:cs="Times New Roman"/>
          <w:sz w:val="24"/>
          <w:szCs w:val="24"/>
        </w:rPr>
        <w:t>Eayres</w:t>
      </w:r>
      <w:proofErr w:type="spellEnd"/>
      <w:r w:rsidR="00A91B70" w:rsidRPr="00810B25">
        <w:rPr>
          <w:rFonts w:ascii="Times New Roman" w:hAnsi="Times New Roman" w:cs="Times New Roman"/>
          <w:sz w:val="24"/>
          <w:szCs w:val="24"/>
        </w:rPr>
        <w:t xml:space="preserve"> D eds (2006). Compendium of clinical and health indicators: data definitions and user guide for computer files. London: National Centre for Health Outcomes Development.  An updated version (December 2015) is available at: https://files.digital.nhs.uk/60/236EC2/Compendium%20User%20Guide%202</w:t>
      </w:r>
      <w:r w:rsidR="00A91B70">
        <w:rPr>
          <w:rFonts w:ascii="Times New Roman" w:hAnsi="Times New Roman" w:cs="Times New Roman"/>
          <w:sz w:val="24"/>
          <w:szCs w:val="24"/>
        </w:rPr>
        <w:t>015%20Dec%20Annex%203%20V1.pdf (accessed January 23, 2021)</w:t>
      </w:r>
      <w:r w:rsidR="00A91B70" w:rsidRPr="00810B25">
        <w:rPr>
          <w:rFonts w:ascii="Times New Roman" w:hAnsi="Times New Roman" w:cs="Times New Roman"/>
          <w:sz w:val="24"/>
          <w:szCs w:val="24"/>
        </w:rPr>
        <w:t>.</w:t>
      </w:r>
    </w:p>
    <w:p w14:paraId="6C3A1F31" w14:textId="31BA7875" w:rsidR="00A91B70" w:rsidRDefault="00A91B70" w:rsidP="00931B7C">
      <w:pPr>
        <w:spacing w:line="480" w:lineRule="auto"/>
      </w:pPr>
    </w:p>
    <w:p w14:paraId="59ABEC55" w14:textId="7F6D1A47" w:rsidR="00C837F2" w:rsidRDefault="004B3CA5" w:rsidP="00931B7C">
      <w:pPr>
        <w:spacing w:line="480" w:lineRule="auto"/>
      </w:pPr>
      <w:r>
        <w:t>25</w:t>
      </w:r>
      <w:r w:rsidR="00C837F2">
        <w:t xml:space="preserve">.  </w:t>
      </w:r>
      <w:r w:rsidR="00AF04A3">
        <w:t>Curtis, Lesley A. (2014)</w:t>
      </w:r>
      <w:r w:rsidR="00D60598">
        <w:t xml:space="preserve">. </w:t>
      </w:r>
      <w:r w:rsidR="00AF04A3">
        <w:t xml:space="preserve"> Unit Costs of Health and Social Care 2014. Other. Personal Social Services Research Unit, Canterbury Kent.  See </w:t>
      </w:r>
      <w:hyperlink r:id="rId32" w:history="1">
        <w:r w:rsidR="00AF04A3" w:rsidRPr="00DB18B0">
          <w:rPr>
            <w:rStyle w:val="Hyperlink"/>
          </w:rPr>
          <w:t>https://kar.kent.ac.uk/46138/1/sources-of-information.pdf</w:t>
        </w:r>
      </w:hyperlink>
      <w:r w:rsidR="00AF04A3">
        <w:t xml:space="preserve"> (accessed 25 January, 2021).</w:t>
      </w:r>
    </w:p>
    <w:p w14:paraId="5D7D0FFC" w14:textId="02192592" w:rsidR="00C837F2" w:rsidRDefault="00C837F2" w:rsidP="00931B7C">
      <w:pPr>
        <w:spacing w:line="480" w:lineRule="auto"/>
      </w:pPr>
    </w:p>
    <w:p w14:paraId="2B8490B4" w14:textId="4D18A242" w:rsidR="00D85AF6" w:rsidRPr="007F57CF" w:rsidRDefault="00B01274" w:rsidP="00D85AF6">
      <w:pPr>
        <w:spacing w:line="480" w:lineRule="auto"/>
      </w:pPr>
      <w:r>
        <w:t>2</w:t>
      </w:r>
      <w:r w:rsidR="004B3CA5">
        <w:t>6</w:t>
      </w:r>
      <w:r w:rsidR="00D85AF6">
        <w:t xml:space="preserve">. </w:t>
      </w:r>
      <w:r w:rsidR="00D85AF6" w:rsidRPr="007F57CF">
        <w:t xml:space="preserve">Vallejo‐Torres, L., García‐Lorenzo, B., Castilla‐Rodríguez, I., </w:t>
      </w:r>
      <w:proofErr w:type="spellStart"/>
      <w:r w:rsidR="00D85AF6" w:rsidRPr="007F57CF">
        <w:t>Valcárcel‐Nazco</w:t>
      </w:r>
      <w:proofErr w:type="spellEnd"/>
      <w:r w:rsidR="00D85AF6" w:rsidRPr="007F57CF">
        <w:t xml:space="preserve">, C., García‐Pérez, L., </w:t>
      </w:r>
      <w:proofErr w:type="spellStart"/>
      <w:r w:rsidR="00D85AF6" w:rsidRPr="007F57CF">
        <w:t>Linertová</w:t>
      </w:r>
      <w:proofErr w:type="spellEnd"/>
      <w:r w:rsidR="00D85AF6" w:rsidRPr="007F57CF">
        <w:t xml:space="preserve">, R., </w:t>
      </w:r>
      <w:proofErr w:type="spellStart"/>
      <w:r w:rsidR="00D85AF6" w:rsidRPr="007F57CF">
        <w:t>Polentinos</w:t>
      </w:r>
      <w:proofErr w:type="spellEnd"/>
      <w:r w:rsidR="00D85AF6" w:rsidRPr="007F57CF">
        <w:t>-Cast</w:t>
      </w:r>
      <w:r w:rsidR="00D85AF6">
        <w:t>ro E, Serrano‐Aguilar, P</w:t>
      </w:r>
      <w:r w:rsidR="00D85AF6" w:rsidRPr="007F57CF">
        <w:t xml:space="preserve">. On the estimation of the cost‐effectiveness threshold: Why, what, how? Value in Health, </w:t>
      </w:r>
      <w:r w:rsidR="00D85AF6">
        <w:t xml:space="preserve">2016, </w:t>
      </w:r>
      <w:r w:rsidR="00D85AF6" w:rsidRPr="007F57CF">
        <w:t xml:space="preserve">19(5), 558–556.  </w:t>
      </w:r>
      <w:r w:rsidR="00D85AF6">
        <w:t xml:space="preserve">DOI: </w:t>
      </w:r>
      <w:hyperlink r:id="rId33" w:history="1">
        <w:r w:rsidR="00D85AF6" w:rsidRPr="00292607">
          <w:rPr>
            <w:rStyle w:val="Hyperlink"/>
          </w:rPr>
          <w:t>https://doi.org/10.1016/j.jval.2016.02.020</w:t>
        </w:r>
      </w:hyperlink>
      <w:r w:rsidR="00D85AF6">
        <w:t xml:space="preserve"> (a</w:t>
      </w:r>
      <w:r w:rsidR="00D85AF6" w:rsidRPr="007F57CF">
        <w:t xml:space="preserve">ccessed </w:t>
      </w:r>
      <w:r w:rsidR="00D85AF6">
        <w:t>21 June 2020)</w:t>
      </w:r>
      <w:r w:rsidR="00D85AF6" w:rsidRPr="007F57CF">
        <w:t>.</w:t>
      </w:r>
    </w:p>
    <w:p w14:paraId="5C73DA5D" w14:textId="19D24F25" w:rsidR="002F6E72" w:rsidRDefault="002F6E72" w:rsidP="00931B7C">
      <w:pPr>
        <w:spacing w:line="480" w:lineRule="auto"/>
      </w:pPr>
    </w:p>
    <w:p w14:paraId="25837980" w14:textId="688DBB81" w:rsidR="000C32FB" w:rsidRPr="007F57CF" w:rsidRDefault="00B01274" w:rsidP="00931B7C">
      <w:pPr>
        <w:spacing w:line="480" w:lineRule="auto"/>
      </w:pPr>
      <w:r>
        <w:t>2</w:t>
      </w:r>
      <w:r w:rsidR="004B3CA5">
        <w:t>7</w:t>
      </w:r>
      <w:r w:rsidR="000C32FB">
        <w:t xml:space="preserve">. </w:t>
      </w:r>
      <w:proofErr w:type="spellStart"/>
      <w:r w:rsidR="000C32FB" w:rsidRPr="007F57CF">
        <w:t>Ryen</w:t>
      </w:r>
      <w:proofErr w:type="spellEnd"/>
      <w:r w:rsidR="000C32FB" w:rsidRPr="007F57CF">
        <w:t xml:space="preserve">, L. and </w:t>
      </w:r>
      <w:proofErr w:type="spellStart"/>
      <w:r w:rsidR="004F3586">
        <w:t>Svensson</w:t>
      </w:r>
      <w:proofErr w:type="spellEnd"/>
      <w:r w:rsidR="004F3586">
        <w:t>, M</w:t>
      </w:r>
      <w:r w:rsidR="000C32FB" w:rsidRPr="007F57CF">
        <w:t xml:space="preserve">.  The Willingness to Pay for a Quality Adjusted Life Year: A Review of the Empirical Literature.  Health Economics, </w:t>
      </w:r>
      <w:r w:rsidR="004F3586">
        <w:t xml:space="preserve">2015, </w:t>
      </w:r>
      <w:r w:rsidR="000C32FB" w:rsidRPr="007F57CF">
        <w:t xml:space="preserve">24(10), pp1289-1301.  Available at: </w:t>
      </w:r>
      <w:hyperlink r:id="rId34" w:history="1">
        <w:r w:rsidR="0071617B" w:rsidRPr="00292607">
          <w:rPr>
            <w:rStyle w:val="Hyperlink"/>
          </w:rPr>
          <w:t>https://onlinelibrary.wiley.com/doi/abs/10.1002/hec.3085</w:t>
        </w:r>
      </w:hyperlink>
      <w:r w:rsidR="0071617B">
        <w:t xml:space="preserve"> (a</w:t>
      </w:r>
      <w:r w:rsidR="000C32FB" w:rsidRPr="007F57CF">
        <w:t xml:space="preserve">ccessed </w:t>
      </w:r>
      <w:r w:rsidR="0071617B">
        <w:t>21 June 2020)</w:t>
      </w:r>
      <w:r w:rsidR="000C32FB" w:rsidRPr="007F57CF">
        <w:t>.</w:t>
      </w:r>
    </w:p>
    <w:p w14:paraId="2554698F" w14:textId="0E0D0B9F" w:rsidR="000C32FB" w:rsidRDefault="000C32FB" w:rsidP="00931B7C">
      <w:pPr>
        <w:spacing w:line="480" w:lineRule="auto"/>
      </w:pPr>
    </w:p>
    <w:p w14:paraId="6A39D25B" w14:textId="12DE0ED1" w:rsidR="00870B02" w:rsidRPr="007F57CF" w:rsidRDefault="00B01274" w:rsidP="00931B7C">
      <w:pPr>
        <w:spacing w:line="480" w:lineRule="auto"/>
      </w:pPr>
      <w:r>
        <w:lastRenderedPageBreak/>
        <w:t>2</w:t>
      </w:r>
      <w:r w:rsidR="004B3CA5">
        <w:t>8</w:t>
      </w:r>
      <w:r w:rsidR="00870B02">
        <w:t xml:space="preserve">. </w:t>
      </w:r>
      <w:r w:rsidR="004F3586">
        <w:t>National Audit Office</w:t>
      </w:r>
      <w:r w:rsidR="00870B02" w:rsidRPr="007F57CF">
        <w:t>. Investigation into the can</w:t>
      </w:r>
      <w:r w:rsidR="00B75900">
        <w:t>cer drugs fund.  HC 442, Session</w:t>
      </w:r>
      <w:r w:rsidR="00870B02" w:rsidRPr="007F57CF">
        <w:t xml:space="preserve"> 2015-16.  Available at: </w:t>
      </w:r>
      <w:proofErr w:type="gramStart"/>
      <w:r w:rsidR="00870B02" w:rsidRPr="007F57CF">
        <w:t>https://www.nao.org.uk/wp-content/uploads/2015/09/Investigation-int</w:t>
      </w:r>
      <w:r w:rsidR="00B75900">
        <w:t>o-the-Cancer-Drugs-Fund1.pdf  (</w:t>
      </w:r>
      <w:proofErr w:type="gramEnd"/>
      <w:r w:rsidR="00B75900">
        <w:t>a</w:t>
      </w:r>
      <w:r w:rsidR="00870B02" w:rsidRPr="007F57CF">
        <w:t xml:space="preserve">ccessed </w:t>
      </w:r>
      <w:r w:rsidR="00B75900">
        <w:t xml:space="preserve">21 </w:t>
      </w:r>
      <w:r w:rsidR="00870B02" w:rsidRPr="007F57CF">
        <w:t>Ju</w:t>
      </w:r>
      <w:r w:rsidR="00B75900">
        <w:t>ne 2020</w:t>
      </w:r>
      <w:r w:rsidR="00F0615B">
        <w:t>)</w:t>
      </w:r>
      <w:r w:rsidR="00870B02" w:rsidRPr="007F57CF">
        <w:t>.</w:t>
      </w:r>
    </w:p>
    <w:p w14:paraId="3FD8F9D1" w14:textId="3C040565" w:rsidR="000C32FB" w:rsidRDefault="000C32FB" w:rsidP="00931B7C">
      <w:pPr>
        <w:spacing w:line="480" w:lineRule="auto"/>
      </w:pPr>
    </w:p>
    <w:p w14:paraId="6D8619EC" w14:textId="718578E7" w:rsidR="00513C1D" w:rsidRPr="007F57CF" w:rsidRDefault="00B01274" w:rsidP="00931B7C">
      <w:pPr>
        <w:spacing w:line="480" w:lineRule="auto"/>
      </w:pPr>
      <w:r>
        <w:t>2</w:t>
      </w:r>
      <w:r w:rsidR="004B3CA5">
        <w:t>9</w:t>
      </w:r>
      <w:r w:rsidR="00E96357">
        <w:t xml:space="preserve">. </w:t>
      </w:r>
      <w:r w:rsidR="00513C1D" w:rsidRPr="007F57CF">
        <w:t>National Ins</w:t>
      </w:r>
      <w:r w:rsidR="004F3586">
        <w:t>titute for Clinical Excellence</w:t>
      </w:r>
      <w:r w:rsidR="00513C1D" w:rsidRPr="007F57CF">
        <w:t xml:space="preserve">. Guide to the Methods of Technology Appraisal, </w:t>
      </w:r>
      <w:r w:rsidR="004F3586">
        <w:t xml:space="preserve">2004, </w:t>
      </w:r>
      <w:r w:rsidR="00513C1D" w:rsidRPr="007F57CF">
        <w:t xml:space="preserve">London. Available at: </w:t>
      </w:r>
      <w:proofErr w:type="gramStart"/>
      <w:r w:rsidR="00513C1D" w:rsidRPr="007F57CF">
        <w:t>https://www.gov.uk/government/uploads/system/uploads/attachment_data/file/191504/NICE_guide_to_the_methods</w:t>
      </w:r>
      <w:r w:rsidR="00FB399C">
        <w:t>_of_technology_appraisal.pdf  (</w:t>
      </w:r>
      <w:proofErr w:type="gramEnd"/>
      <w:r w:rsidR="00FB399C">
        <w:t>a</w:t>
      </w:r>
      <w:r w:rsidR="00513C1D" w:rsidRPr="007F57CF">
        <w:t xml:space="preserve">ccessed </w:t>
      </w:r>
      <w:r w:rsidR="00FB399C">
        <w:t>21 June 2020</w:t>
      </w:r>
      <w:r w:rsidR="00F0615B">
        <w:t>)</w:t>
      </w:r>
      <w:r w:rsidR="00513C1D" w:rsidRPr="007F57CF">
        <w:t>.</w:t>
      </w:r>
    </w:p>
    <w:p w14:paraId="01F4AA5C" w14:textId="03289A4C" w:rsidR="000C32FB" w:rsidRDefault="000C32FB" w:rsidP="00931B7C">
      <w:pPr>
        <w:spacing w:line="480" w:lineRule="auto"/>
      </w:pPr>
    </w:p>
    <w:p w14:paraId="6EA868E7" w14:textId="235F568E" w:rsidR="00CC2A5A" w:rsidRPr="007F57CF" w:rsidRDefault="004B3CA5" w:rsidP="00931B7C">
      <w:pPr>
        <w:spacing w:line="480" w:lineRule="auto"/>
      </w:pPr>
      <w:r>
        <w:t>30</w:t>
      </w:r>
      <w:r w:rsidR="00CC2A5A">
        <w:t xml:space="preserve">. </w:t>
      </w:r>
      <w:r w:rsidR="00CC2A5A" w:rsidRPr="007F57CF">
        <w:t>Rawlins M</w:t>
      </w:r>
      <w:r w:rsidR="005577CF">
        <w:t xml:space="preserve">. </w:t>
      </w:r>
      <w:r w:rsidR="00CC2A5A" w:rsidRPr="007F57CF">
        <w:t>D</w:t>
      </w:r>
      <w:r w:rsidR="005577CF">
        <w:t>.</w:t>
      </w:r>
      <w:r w:rsidR="00CC2A5A" w:rsidRPr="007F57CF">
        <w:t xml:space="preserve"> and </w:t>
      </w:r>
      <w:proofErr w:type="spellStart"/>
      <w:r w:rsidR="00CC2A5A" w:rsidRPr="007F57CF">
        <w:t>Culyer</w:t>
      </w:r>
      <w:proofErr w:type="spellEnd"/>
      <w:r w:rsidR="00CC2A5A" w:rsidRPr="007F57CF">
        <w:t xml:space="preserve"> A</w:t>
      </w:r>
      <w:r w:rsidR="005577CF">
        <w:t>.</w:t>
      </w:r>
      <w:r w:rsidR="00CC2A5A" w:rsidRPr="007F57CF">
        <w:t xml:space="preserve">J. National Institute for Clinical Excellence and its value judgments. BMJ, </w:t>
      </w:r>
      <w:r w:rsidR="004F3586">
        <w:t xml:space="preserve">2004, </w:t>
      </w:r>
      <w:r w:rsidR="00CC2A5A" w:rsidRPr="007F57CF">
        <w:t>329(224), July.  Available at: https://ww</w:t>
      </w:r>
      <w:r w:rsidR="007B4EB5">
        <w:t>w.bmj.com/content/329/7459/224 (a</w:t>
      </w:r>
      <w:r w:rsidR="00CC2A5A" w:rsidRPr="007F57CF">
        <w:t xml:space="preserve">ccessed </w:t>
      </w:r>
      <w:r w:rsidR="007B4EB5">
        <w:t>21 June 2020)</w:t>
      </w:r>
      <w:r w:rsidR="00CC2A5A" w:rsidRPr="007F57CF">
        <w:t>.</w:t>
      </w:r>
    </w:p>
    <w:p w14:paraId="22384053" w14:textId="3434F504" w:rsidR="000C32FB" w:rsidRDefault="000C32FB" w:rsidP="00931B7C">
      <w:pPr>
        <w:spacing w:line="480" w:lineRule="auto"/>
      </w:pPr>
    </w:p>
    <w:p w14:paraId="57D65521" w14:textId="6432968F" w:rsidR="00513C1D" w:rsidRPr="007F57CF" w:rsidRDefault="004B3CA5" w:rsidP="00931B7C">
      <w:pPr>
        <w:spacing w:line="480" w:lineRule="auto"/>
      </w:pPr>
      <w:r>
        <w:t>31</w:t>
      </w:r>
      <w:r w:rsidR="00513C1D">
        <w:t xml:space="preserve">. </w:t>
      </w:r>
      <w:r w:rsidR="00513C1D" w:rsidRPr="007F57CF">
        <w:t xml:space="preserve">Dakin H, Devlin N, Feng </w:t>
      </w:r>
      <w:r w:rsidR="008D7C62">
        <w:t xml:space="preserve">Y, </w:t>
      </w:r>
      <w:r w:rsidR="004F3586">
        <w:t>Rice N, O'Neill P, and Parkin D</w:t>
      </w:r>
      <w:r w:rsidR="00513C1D" w:rsidRPr="007F57CF">
        <w:t xml:space="preserve">. The influence of cost-effectiveness and other factors on NICE decisions. Health Economics, </w:t>
      </w:r>
      <w:r w:rsidR="004F3586">
        <w:t xml:space="preserve">2014, </w:t>
      </w:r>
      <w:r w:rsidR="00513C1D" w:rsidRPr="007F57CF">
        <w:t>24 (10), pp.1256–1271.</w:t>
      </w:r>
    </w:p>
    <w:p w14:paraId="548CC5B4" w14:textId="092EB71F" w:rsidR="00513C1D" w:rsidRPr="007F57CF" w:rsidRDefault="00513C1D" w:rsidP="00931B7C">
      <w:pPr>
        <w:spacing w:line="480" w:lineRule="auto"/>
      </w:pPr>
      <w:r w:rsidRPr="007F57CF">
        <w:t>Available at: https://onlinelibrary.wiley</w:t>
      </w:r>
      <w:r w:rsidR="0014548E">
        <w:t>.com/doi/abs/10.1002/hec.3086 (a</w:t>
      </w:r>
      <w:r w:rsidRPr="007F57CF">
        <w:t xml:space="preserve">ccessed </w:t>
      </w:r>
      <w:r w:rsidR="0014548E">
        <w:t>21 June 2020)</w:t>
      </w:r>
      <w:r w:rsidRPr="007F57CF">
        <w:t>.</w:t>
      </w:r>
    </w:p>
    <w:p w14:paraId="5A6FAEA6" w14:textId="098BEB80" w:rsidR="00513C1D" w:rsidRDefault="00513C1D" w:rsidP="00931B7C">
      <w:pPr>
        <w:spacing w:line="480" w:lineRule="auto"/>
      </w:pPr>
    </w:p>
    <w:p w14:paraId="26E67CF3" w14:textId="3F76487C" w:rsidR="00CC2A5A" w:rsidRPr="007F57CF" w:rsidRDefault="004B3CA5" w:rsidP="00931B7C">
      <w:pPr>
        <w:spacing w:line="480" w:lineRule="auto"/>
      </w:pPr>
      <w:r>
        <w:t>32</w:t>
      </w:r>
      <w:r w:rsidR="00CC2A5A">
        <w:t xml:space="preserve">. </w:t>
      </w:r>
      <w:r w:rsidR="00CC2A5A" w:rsidRPr="007F57CF">
        <w:t xml:space="preserve">Claxton K, </w:t>
      </w:r>
      <w:proofErr w:type="spellStart"/>
      <w:r w:rsidR="00CC2A5A" w:rsidRPr="007F57CF">
        <w:t>Sculpher</w:t>
      </w:r>
      <w:proofErr w:type="spellEnd"/>
      <w:r w:rsidR="00CC2A5A" w:rsidRPr="007F57CF">
        <w:t xml:space="preserve"> M, Palmer S, </w:t>
      </w:r>
      <w:r w:rsidR="008D7C62">
        <w:t xml:space="preserve">and </w:t>
      </w:r>
      <w:proofErr w:type="spellStart"/>
      <w:r w:rsidR="00CC2A5A" w:rsidRPr="007F57CF">
        <w:t>Culyer</w:t>
      </w:r>
      <w:proofErr w:type="spellEnd"/>
      <w:r w:rsidR="00CC2A5A" w:rsidRPr="007F57CF">
        <w:t xml:space="preserve"> A</w:t>
      </w:r>
      <w:r w:rsidR="008D7C62">
        <w:t xml:space="preserve">. </w:t>
      </w:r>
      <w:r w:rsidR="00137ABA">
        <w:t>J. Causes for concern: Is NICE</w:t>
      </w:r>
      <w:r w:rsidR="00CC2A5A" w:rsidRPr="007F57CF">
        <w:t xml:space="preserve"> failing to uphold its responsibilities to all NHS patients? Health Economics, </w:t>
      </w:r>
      <w:r w:rsidR="004F3586">
        <w:t xml:space="preserve">2015, </w:t>
      </w:r>
      <w:r w:rsidR="00CC2A5A" w:rsidRPr="007F57CF">
        <w:t xml:space="preserve">24(1), pp1-7.  Available at: </w:t>
      </w:r>
      <w:hyperlink r:id="rId35" w:history="1">
        <w:r w:rsidR="00C94553" w:rsidRPr="00292607">
          <w:rPr>
            <w:rStyle w:val="Hyperlink"/>
          </w:rPr>
          <w:t>https://onlinelibrary.wiley.com/doi/abs/10.1002/hec.3130</w:t>
        </w:r>
      </w:hyperlink>
      <w:r w:rsidR="00C94553">
        <w:t xml:space="preserve"> (a</w:t>
      </w:r>
      <w:r w:rsidR="00CC2A5A" w:rsidRPr="007F57CF">
        <w:t xml:space="preserve">ccessed </w:t>
      </w:r>
      <w:r w:rsidR="00C94553">
        <w:t>21 June 2020)</w:t>
      </w:r>
      <w:r w:rsidR="00CC2A5A" w:rsidRPr="007F57CF">
        <w:t xml:space="preserve">. </w:t>
      </w:r>
    </w:p>
    <w:p w14:paraId="63086CC5" w14:textId="44D12789" w:rsidR="000C32FB" w:rsidRDefault="000C32FB" w:rsidP="00931B7C">
      <w:pPr>
        <w:spacing w:line="480" w:lineRule="auto"/>
      </w:pPr>
    </w:p>
    <w:p w14:paraId="56646E51" w14:textId="56AE5DF2" w:rsidR="00F111AF" w:rsidRPr="007F57CF" w:rsidRDefault="004B3CA5" w:rsidP="00931B7C">
      <w:pPr>
        <w:spacing w:line="480" w:lineRule="auto"/>
      </w:pPr>
      <w:r>
        <w:lastRenderedPageBreak/>
        <w:t>33</w:t>
      </w:r>
      <w:r w:rsidR="00F111AF">
        <w:t>.</w:t>
      </w:r>
      <w:r w:rsidR="00F111AF" w:rsidRPr="00F111AF">
        <w:t xml:space="preserve"> </w:t>
      </w:r>
      <w:r w:rsidR="00F111AF" w:rsidRPr="007F57CF">
        <w:t>Neumann P</w:t>
      </w:r>
      <w:r w:rsidR="00383FDD">
        <w:t>.</w:t>
      </w:r>
      <w:r w:rsidR="00F111AF" w:rsidRPr="007F57CF">
        <w:t>J</w:t>
      </w:r>
      <w:r w:rsidR="00383FDD">
        <w:t>.</w:t>
      </w:r>
      <w:r w:rsidR="00F111AF" w:rsidRPr="007F57CF">
        <w:t>, Cohen J</w:t>
      </w:r>
      <w:r w:rsidR="00383FDD">
        <w:t>.</w:t>
      </w:r>
      <w:r w:rsidR="00F111AF" w:rsidRPr="007F57CF">
        <w:t>T</w:t>
      </w:r>
      <w:r w:rsidR="00383FDD">
        <w:t>.</w:t>
      </w:r>
      <w:r w:rsidR="00F111AF" w:rsidRPr="007F57CF">
        <w:t xml:space="preserve"> and Weinstein M</w:t>
      </w:r>
      <w:r w:rsidR="00383FDD">
        <w:t>.</w:t>
      </w:r>
      <w:r w:rsidR="004F3586">
        <w:t>C</w:t>
      </w:r>
      <w:r w:rsidR="00F111AF" w:rsidRPr="007F57CF">
        <w:t>. Updating cost-effectiveness--the curious resilience of the $50,000-per-QALY threshold. The New England Journal of Medicine, August 28</w:t>
      </w:r>
      <w:r w:rsidR="004F3586">
        <w:t xml:space="preserve"> 2014</w:t>
      </w:r>
      <w:r w:rsidR="00F111AF" w:rsidRPr="007F57CF">
        <w:t>, 371(9), pp796–797.  Available at: https://www.nejm.org/d</w:t>
      </w:r>
      <w:r w:rsidR="00383FDD">
        <w:t>oi/full/10.1056/NEJMp1405158 (a</w:t>
      </w:r>
      <w:r w:rsidR="00F111AF" w:rsidRPr="007F57CF">
        <w:t xml:space="preserve">ccessed </w:t>
      </w:r>
      <w:r w:rsidR="00383FDD">
        <w:t>21 June 2020)</w:t>
      </w:r>
      <w:r w:rsidR="00F111AF" w:rsidRPr="007F57CF">
        <w:t>.</w:t>
      </w:r>
    </w:p>
    <w:p w14:paraId="6042C37C" w14:textId="77777777" w:rsidR="000C32FB" w:rsidRPr="007F57CF" w:rsidRDefault="000C32FB" w:rsidP="00931B7C">
      <w:pPr>
        <w:spacing w:line="480" w:lineRule="auto"/>
      </w:pPr>
    </w:p>
    <w:p w14:paraId="360417A7" w14:textId="57D8EE28" w:rsidR="00E74240" w:rsidRDefault="004B3CA5" w:rsidP="00062E89">
      <w:pPr>
        <w:spacing w:line="480" w:lineRule="auto"/>
      </w:pPr>
      <w:r>
        <w:t>34</w:t>
      </w:r>
      <w:r w:rsidR="00F111AF">
        <w:t xml:space="preserve">. </w:t>
      </w:r>
      <w:r w:rsidR="002F6E72" w:rsidRPr="007F57CF">
        <w:t>Bertram M</w:t>
      </w:r>
      <w:r w:rsidR="00E90E73">
        <w:t>.</w:t>
      </w:r>
      <w:r w:rsidR="002F6E72" w:rsidRPr="007F57CF">
        <w:t>Y</w:t>
      </w:r>
      <w:r w:rsidR="00E90E73">
        <w:t>.</w:t>
      </w:r>
      <w:r w:rsidR="002F6E72" w:rsidRPr="007F57CF">
        <w:t>, Lauer J</w:t>
      </w:r>
      <w:r w:rsidR="00E90E73">
        <w:t>.</w:t>
      </w:r>
      <w:r w:rsidR="002F6E72" w:rsidRPr="007F57CF">
        <w:t>A</w:t>
      </w:r>
      <w:r w:rsidR="00E90E73">
        <w:t>.</w:t>
      </w:r>
      <w:r w:rsidR="002F6E72" w:rsidRPr="007F57CF">
        <w:t xml:space="preserve">, </w:t>
      </w:r>
      <w:proofErr w:type="spellStart"/>
      <w:r w:rsidR="002F6E72" w:rsidRPr="007F57CF">
        <w:t>Joncheere</w:t>
      </w:r>
      <w:proofErr w:type="spellEnd"/>
      <w:r w:rsidR="002F6E72" w:rsidRPr="007F57CF">
        <w:t xml:space="preserve"> K</w:t>
      </w:r>
      <w:r w:rsidR="00E90E73">
        <w:t>.</w:t>
      </w:r>
      <w:r w:rsidR="002F6E72" w:rsidRPr="007F57CF">
        <w:t xml:space="preserve">, </w:t>
      </w:r>
      <w:proofErr w:type="spellStart"/>
      <w:r w:rsidR="002F6E72" w:rsidRPr="007F57CF">
        <w:t>Edejer</w:t>
      </w:r>
      <w:proofErr w:type="spellEnd"/>
      <w:r w:rsidR="002F6E72" w:rsidRPr="007F57CF">
        <w:t xml:space="preserve"> T</w:t>
      </w:r>
      <w:r w:rsidR="00E90E73">
        <w:t>.</w:t>
      </w:r>
      <w:r w:rsidR="002F6E72" w:rsidRPr="007F57CF">
        <w:t xml:space="preserve">, </w:t>
      </w:r>
      <w:proofErr w:type="spellStart"/>
      <w:r w:rsidR="002F6E72" w:rsidRPr="007F57CF">
        <w:t>Hutubessy</w:t>
      </w:r>
      <w:proofErr w:type="spellEnd"/>
      <w:r w:rsidR="002F6E72" w:rsidRPr="007F57CF">
        <w:t xml:space="preserve"> R</w:t>
      </w:r>
      <w:r w:rsidR="00E90E73">
        <w:t>.</w:t>
      </w:r>
      <w:r w:rsidR="002F6E72" w:rsidRPr="007F57CF">
        <w:t xml:space="preserve">, </w:t>
      </w:r>
      <w:proofErr w:type="spellStart"/>
      <w:r w:rsidR="002F6E72" w:rsidRPr="007F57CF">
        <w:t>Kienya</w:t>
      </w:r>
      <w:proofErr w:type="spellEnd"/>
      <w:r w:rsidR="002F6E72" w:rsidRPr="007F57CF">
        <w:t xml:space="preserve"> M</w:t>
      </w:r>
      <w:r w:rsidR="004F3586">
        <w:t>. and Hill S</w:t>
      </w:r>
      <w:r w:rsidR="002F6E72" w:rsidRPr="007F57CF">
        <w:t xml:space="preserve">. Use and Misuse of Thresholds Cost–effectiveness Thresholds: Pros and Cons. Bulletin of the World Health Organization, 94, </w:t>
      </w:r>
      <w:r w:rsidR="004F3586">
        <w:t xml:space="preserve">2016, </w:t>
      </w:r>
      <w:r w:rsidR="002F6E72" w:rsidRPr="007F57CF">
        <w:t xml:space="preserve">pp925-930. Available from: </w:t>
      </w:r>
      <w:proofErr w:type="gramStart"/>
      <w:r w:rsidR="002F6E72" w:rsidRPr="007F57CF">
        <w:t>https://pdfs.semanticscholar.org/353e/9dd1b2ee92ef</w:t>
      </w:r>
      <w:r w:rsidR="00E90E73">
        <w:t>fae44f7982863a212f0c0fb2.pdf  (</w:t>
      </w:r>
      <w:proofErr w:type="gramEnd"/>
      <w:r w:rsidR="00E90E73">
        <w:t>a</w:t>
      </w:r>
      <w:r w:rsidR="002F6E72" w:rsidRPr="007F57CF">
        <w:t xml:space="preserve">ccessed </w:t>
      </w:r>
      <w:r w:rsidR="00E90E73">
        <w:t>21 June 2020)</w:t>
      </w:r>
      <w:r w:rsidR="002F6E72" w:rsidRPr="007F57CF">
        <w:t>.</w:t>
      </w:r>
    </w:p>
    <w:p w14:paraId="23650648" w14:textId="77777777" w:rsidR="00AC6F8D" w:rsidRDefault="00AC6F8D" w:rsidP="00062E89">
      <w:pPr>
        <w:spacing w:line="480" w:lineRule="auto"/>
      </w:pPr>
    </w:p>
    <w:p w14:paraId="19108379" w14:textId="2DC98E82" w:rsidR="0070537A" w:rsidRPr="00F22A73" w:rsidRDefault="00477402" w:rsidP="00062E89">
      <w:pPr>
        <w:spacing w:line="480" w:lineRule="auto"/>
        <w:rPr>
          <w:i/>
          <w:color w:val="222222"/>
        </w:rPr>
      </w:pPr>
      <w:r>
        <w:t>3</w:t>
      </w:r>
      <w:r w:rsidR="004B3CA5">
        <w:t>5</w:t>
      </w:r>
      <w:r w:rsidR="0070537A">
        <w:t xml:space="preserve">. </w:t>
      </w:r>
      <w:r w:rsidR="00062E89" w:rsidRPr="00062E89">
        <w:rPr>
          <w:color w:val="242729"/>
          <w:shd w:val="clear" w:color="auto" w:fill="FFFFFF"/>
        </w:rPr>
        <w:t xml:space="preserve">Harrell, </w:t>
      </w:r>
      <w:r w:rsidR="00062E89">
        <w:rPr>
          <w:color w:val="242729"/>
          <w:shd w:val="clear" w:color="auto" w:fill="FFFFFF"/>
        </w:rPr>
        <w:t xml:space="preserve">F. </w:t>
      </w:r>
      <w:r w:rsidR="00062E89" w:rsidRPr="00062E89">
        <w:rPr>
          <w:color w:val="242729"/>
          <w:shd w:val="clear" w:color="auto" w:fill="FFFFFF"/>
        </w:rPr>
        <w:t>2015.</w:t>
      </w:r>
      <w:r w:rsidR="0070537A" w:rsidRPr="00062E89">
        <w:rPr>
          <w:color w:val="242729"/>
          <w:shd w:val="clear" w:color="auto" w:fill="FFFFFF"/>
        </w:rPr>
        <w:t> Regression Model</w:t>
      </w:r>
      <w:r w:rsidR="00062E89">
        <w:rPr>
          <w:color w:val="242729"/>
          <w:shd w:val="clear" w:color="auto" w:fill="FFFFFF"/>
        </w:rPr>
        <w:t>l</w:t>
      </w:r>
      <w:r w:rsidR="0070537A" w:rsidRPr="00062E89">
        <w:rPr>
          <w:color w:val="242729"/>
          <w:shd w:val="clear" w:color="auto" w:fill="FFFFFF"/>
        </w:rPr>
        <w:t>ing Strategies: With Applications to Linear Models, Logistic and Ordinal Regression, and Survival Analysis</w:t>
      </w:r>
      <w:r w:rsidR="00062E89" w:rsidRPr="00062E89">
        <w:rPr>
          <w:color w:val="242729"/>
          <w:shd w:val="clear" w:color="auto" w:fill="FFFFFF"/>
        </w:rPr>
        <w:t>.</w:t>
      </w:r>
      <w:r w:rsidR="0070537A" w:rsidRPr="00062E89">
        <w:rPr>
          <w:color w:val="242729"/>
          <w:shd w:val="clear" w:color="auto" w:fill="FFFFFF"/>
        </w:rPr>
        <w:t xml:space="preserve"> </w:t>
      </w:r>
      <w:r w:rsidR="00062E89" w:rsidRPr="00062E89">
        <w:rPr>
          <w:color w:val="242729"/>
          <w:shd w:val="clear" w:color="auto" w:fill="FFFFFF"/>
        </w:rPr>
        <w:t>Springer Series in Statistics</w:t>
      </w:r>
      <w:r w:rsidR="0070537A" w:rsidRPr="00062E89">
        <w:rPr>
          <w:color w:val="242729"/>
          <w:shd w:val="clear" w:color="auto" w:fill="FFFFFF"/>
        </w:rPr>
        <w:t>.</w:t>
      </w:r>
    </w:p>
    <w:p w14:paraId="6EDD75C4" w14:textId="77777777" w:rsidR="00AD78E1" w:rsidRPr="00715C4E" w:rsidRDefault="00AD78E1" w:rsidP="00B01274">
      <w:pPr>
        <w:pStyle w:val="Main"/>
        <w:rPr>
          <w:noProof/>
        </w:rPr>
      </w:pPr>
    </w:p>
    <w:p w14:paraId="63A098DB" w14:textId="77777777" w:rsidR="007501BD" w:rsidRDefault="007501BD" w:rsidP="00A97507">
      <w:pPr>
        <w:spacing w:line="480" w:lineRule="auto"/>
      </w:pPr>
    </w:p>
    <w:sectPr w:rsidR="007501BD" w:rsidSect="00A9750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0F755" w14:textId="77777777" w:rsidR="006F79AA" w:rsidRDefault="006F79AA" w:rsidP="0003403A">
      <w:r>
        <w:separator/>
      </w:r>
    </w:p>
  </w:endnote>
  <w:endnote w:type="continuationSeparator" w:id="0">
    <w:p w14:paraId="44BBFA2B" w14:textId="77777777" w:rsidR="006F79AA" w:rsidRDefault="006F79AA" w:rsidP="00034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519D0B" w14:textId="77777777" w:rsidR="006F79AA" w:rsidRDefault="006F79AA" w:rsidP="0003403A">
      <w:r>
        <w:separator/>
      </w:r>
    </w:p>
  </w:footnote>
  <w:footnote w:type="continuationSeparator" w:id="0">
    <w:p w14:paraId="1B7C601C" w14:textId="77777777" w:rsidR="006F79AA" w:rsidRDefault="006F79AA" w:rsidP="0003403A">
      <w:r>
        <w:continuationSeparator/>
      </w:r>
    </w:p>
  </w:footnote>
  <w:footnote w:id="1">
    <w:p w14:paraId="4D4266A0" w14:textId="32ECDAFA" w:rsidR="00C97011" w:rsidRPr="00C97011" w:rsidRDefault="00C97011">
      <w:pPr>
        <w:pStyle w:val="FootnoteText"/>
        <w:rPr>
          <w:rFonts w:ascii="Times New Roman" w:hAnsi="Times New Roman" w:cs="Times New Roman"/>
          <w:sz w:val="24"/>
          <w:szCs w:val="24"/>
        </w:rPr>
      </w:pPr>
      <w:r w:rsidRPr="00C97011">
        <w:rPr>
          <w:rStyle w:val="FootnoteReference"/>
          <w:rFonts w:ascii="Times New Roman" w:hAnsi="Times New Roman" w:cs="Times New Roman"/>
          <w:sz w:val="24"/>
          <w:szCs w:val="24"/>
        </w:rPr>
        <w:footnoteRef/>
      </w:r>
      <w:r w:rsidRPr="00C97011">
        <w:rPr>
          <w:rFonts w:ascii="Times New Roman" w:hAnsi="Times New Roman" w:cs="Times New Roman"/>
          <w:sz w:val="24"/>
          <w:szCs w:val="24"/>
        </w:rPr>
        <w:t xml:space="preserve"> </w:t>
      </w:r>
      <w:r w:rsidRPr="00C97011">
        <w:rPr>
          <w:rFonts w:ascii="Times New Roman" w:hAnsi="Times New Roman" w:cs="Times New Roman"/>
          <w:iCs/>
          <w:color w:val="000000"/>
          <w:sz w:val="24"/>
          <w:szCs w:val="24"/>
          <w:shd w:val="clear" w:color="auto" w:fill="FFFFFF"/>
        </w:rPr>
        <w:t>This work is independent research funded by the UK’s National Institute for Health Research Policy Research Programme (NIHR PRP) through its Policy Research Unit in Economic Evaluation of Health &amp; Care Interventions (EEPRU, grant reference 104/0001). </w:t>
      </w:r>
      <w:r w:rsidRPr="00C97011">
        <w:rPr>
          <w:rFonts w:ascii="Times New Roman" w:hAnsi="Times New Roman" w:cs="Times New Roman"/>
          <w:iCs/>
          <w:color w:val="FF0000"/>
          <w:sz w:val="24"/>
          <w:szCs w:val="24"/>
          <w:shd w:val="clear" w:color="auto" w:fill="FFFFFF"/>
        </w:rPr>
        <w:t> </w:t>
      </w:r>
      <w:r w:rsidRPr="00C97011">
        <w:rPr>
          <w:rFonts w:ascii="Times New Roman" w:hAnsi="Times New Roman" w:cs="Times New Roman"/>
          <w:iCs/>
          <w:color w:val="000000"/>
          <w:sz w:val="24"/>
          <w:szCs w:val="24"/>
          <w:shd w:val="clear" w:color="auto" w:fill="FFFFFF"/>
        </w:rPr>
        <w:t>The views expressed in this publication are those of the authors and not necessarily those of the NHS, the National Institute for Health Research or the Department of Health and Social Care</w:t>
      </w:r>
      <w:r w:rsidRPr="00C97011">
        <w:rPr>
          <w:rFonts w:ascii="Times New Roman" w:hAnsi="Times New Roman" w:cs="Times New Roman"/>
          <w:i/>
          <w:iCs/>
          <w:color w:val="000000"/>
          <w:sz w:val="24"/>
          <w:szCs w:val="24"/>
          <w:shd w:val="clear" w:color="auto" w:fill="FFFFFF"/>
        </w:rPr>
        <w:t>.</w:t>
      </w:r>
      <w:r w:rsidRPr="00C97011">
        <w:rPr>
          <w:rFonts w:ascii="Times New Roman" w:hAnsi="Times New Roman" w:cs="Times New Roman"/>
          <w:sz w:val="24"/>
          <w:szCs w:val="24"/>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315C3"/>
    <w:multiLevelType w:val="hybridMultilevel"/>
    <w:tmpl w:val="383CB12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 w15:restartNumberingAfterBreak="0">
    <w:nsid w:val="269439B0"/>
    <w:multiLevelType w:val="hybridMultilevel"/>
    <w:tmpl w:val="99E45D7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 w15:restartNumberingAfterBreak="0">
    <w:nsid w:val="39A11078"/>
    <w:multiLevelType w:val="hybridMultilevel"/>
    <w:tmpl w:val="02467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A05D90"/>
    <w:multiLevelType w:val="hybridMultilevel"/>
    <w:tmpl w:val="7B8418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923A9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3131C3D"/>
    <w:multiLevelType w:val="multilevel"/>
    <w:tmpl w:val="2A684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1F7346"/>
    <w:multiLevelType w:val="hybridMultilevel"/>
    <w:tmpl w:val="CE02A8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6E62A32"/>
    <w:multiLevelType w:val="hybridMultilevel"/>
    <w:tmpl w:val="F4727028"/>
    <w:lvl w:ilvl="0" w:tplc="08090001">
      <w:start w:val="6"/>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9A5070"/>
    <w:multiLevelType w:val="hybridMultilevel"/>
    <w:tmpl w:val="3148FB98"/>
    <w:lvl w:ilvl="0" w:tplc="0809000B">
      <w:start w:val="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7"/>
  </w:num>
  <w:num w:numId="4">
    <w:abstractNumId w:val="5"/>
  </w:num>
  <w:num w:numId="5">
    <w:abstractNumId w:val="3"/>
  </w:num>
  <w:num w:numId="6">
    <w:abstractNumId w:val="6"/>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EFD"/>
    <w:rsid w:val="00001499"/>
    <w:rsid w:val="00002261"/>
    <w:rsid w:val="00002D19"/>
    <w:rsid w:val="00004ACF"/>
    <w:rsid w:val="00004F17"/>
    <w:rsid w:val="00005603"/>
    <w:rsid w:val="0000568D"/>
    <w:rsid w:val="00005A17"/>
    <w:rsid w:val="00005E3D"/>
    <w:rsid w:val="0000600B"/>
    <w:rsid w:val="00006455"/>
    <w:rsid w:val="00006706"/>
    <w:rsid w:val="00006919"/>
    <w:rsid w:val="00007667"/>
    <w:rsid w:val="00007AEB"/>
    <w:rsid w:val="00011F90"/>
    <w:rsid w:val="00012C9E"/>
    <w:rsid w:val="000132D1"/>
    <w:rsid w:val="00013475"/>
    <w:rsid w:val="000137FF"/>
    <w:rsid w:val="0001397E"/>
    <w:rsid w:val="00013A35"/>
    <w:rsid w:val="000149E0"/>
    <w:rsid w:val="00014DAA"/>
    <w:rsid w:val="00014E43"/>
    <w:rsid w:val="00015058"/>
    <w:rsid w:val="000157EB"/>
    <w:rsid w:val="00016937"/>
    <w:rsid w:val="000169D2"/>
    <w:rsid w:val="00016AEB"/>
    <w:rsid w:val="00016B9E"/>
    <w:rsid w:val="00016BB8"/>
    <w:rsid w:val="00016D09"/>
    <w:rsid w:val="00016FC7"/>
    <w:rsid w:val="00017074"/>
    <w:rsid w:val="0001781C"/>
    <w:rsid w:val="00017B2B"/>
    <w:rsid w:val="00017F52"/>
    <w:rsid w:val="00020A37"/>
    <w:rsid w:val="00021814"/>
    <w:rsid w:val="00021C07"/>
    <w:rsid w:val="00021F22"/>
    <w:rsid w:val="00022AED"/>
    <w:rsid w:val="00022BC4"/>
    <w:rsid w:val="0002306E"/>
    <w:rsid w:val="00023E37"/>
    <w:rsid w:val="00025AAF"/>
    <w:rsid w:val="00026811"/>
    <w:rsid w:val="00027334"/>
    <w:rsid w:val="00027FE8"/>
    <w:rsid w:val="00032D4C"/>
    <w:rsid w:val="000331F8"/>
    <w:rsid w:val="00033814"/>
    <w:rsid w:val="00033AB7"/>
    <w:rsid w:val="0003403A"/>
    <w:rsid w:val="000347ED"/>
    <w:rsid w:val="00034AC5"/>
    <w:rsid w:val="00034B62"/>
    <w:rsid w:val="00034F7F"/>
    <w:rsid w:val="00035106"/>
    <w:rsid w:val="00035558"/>
    <w:rsid w:val="000359D9"/>
    <w:rsid w:val="00036226"/>
    <w:rsid w:val="00036CAB"/>
    <w:rsid w:val="00036DAD"/>
    <w:rsid w:val="00036E8D"/>
    <w:rsid w:val="0004058B"/>
    <w:rsid w:val="000414B0"/>
    <w:rsid w:val="00042078"/>
    <w:rsid w:val="00042EA5"/>
    <w:rsid w:val="0004318B"/>
    <w:rsid w:val="000431B5"/>
    <w:rsid w:val="00043421"/>
    <w:rsid w:val="000434A6"/>
    <w:rsid w:val="00043D52"/>
    <w:rsid w:val="00043E55"/>
    <w:rsid w:val="00044AB9"/>
    <w:rsid w:val="00045230"/>
    <w:rsid w:val="00045922"/>
    <w:rsid w:val="0004624D"/>
    <w:rsid w:val="00046417"/>
    <w:rsid w:val="00046A60"/>
    <w:rsid w:val="000474D8"/>
    <w:rsid w:val="00047724"/>
    <w:rsid w:val="000500BF"/>
    <w:rsid w:val="000512B8"/>
    <w:rsid w:val="0005151E"/>
    <w:rsid w:val="00053F34"/>
    <w:rsid w:val="000543E5"/>
    <w:rsid w:val="000549D5"/>
    <w:rsid w:val="00056CB3"/>
    <w:rsid w:val="00056F45"/>
    <w:rsid w:val="00057209"/>
    <w:rsid w:val="00057287"/>
    <w:rsid w:val="0005762F"/>
    <w:rsid w:val="00057ADC"/>
    <w:rsid w:val="00060964"/>
    <w:rsid w:val="00061E1A"/>
    <w:rsid w:val="00062264"/>
    <w:rsid w:val="00062DD9"/>
    <w:rsid w:val="00062E89"/>
    <w:rsid w:val="00062F88"/>
    <w:rsid w:val="00063FF9"/>
    <w:rsid w:val="0006496C"/>
    <w:rsid w:val="000659E3"/>
    <w:rsid w:val="0006645E"/>
    <w:rsid w:val="00066516"/>
    <w:rsid w:val="000667CE"/>
    <w:rsid w:val="00066977"/>
    <w:rsid w:val="00066DAB"/>
    <w:rsid w:val="00066E35"/>
    <w:rsid w:val="00067094"/>
    <w:rsid w:val="00067C63"/>
    <w:rsid w:val="00070AC7"/>
    <w:rsid w:val="000713BF"/>
    <w:rsid w:val="0007158A"/>
    <w:rsid w:val="000717B2"/>
    <w:rsid w:val="000730E3"/>
    <w:rsid w:val="00073357"/>
    <w:rsid w:val="000735C1"/>
    <w:rsid w:val="00073D0F"/>
    <w:rsid w:val="000746CC"/>
    <w:rsid w:val="00074ACF"/>
    <w:rsid w:val="00074D99"/>
    <w:rsid w:val="00075272"/>
    <w:rsid w:val="000757CF"/>
    <w:rsid w:val="000777DA"/>
    <w:rsid w:val="00077B61"/>
    <w:rsid w:val="00077CB2"/>
    <w:rsid w:val="00077CD1"/>
    <w:rsid w:val="0008038D"/>
    <w:rsid w:val="00080F6D"/>
    <w:rsid w:val="000811CB"/>
    <w:rsid w:val="00082110"/>
    <w:rsid w:val="000825F3"/>
    <w:rsid w:val="0008299F"/>
    <w:rsid w:val="00083586"/>
    <w:rsid w:val="00083F3B"/>
    <w:rsid w:val="00084203"/>
    <w:rsid w:val="00085871"/>
    <w:rsid w:val="00086B53"/>
    <w:rsid w:val="00086DCA"/>
    <w:rsid w:val="00087401"/>
    <w:rsid w:val="00090932"/>
    <w:rsid w:val="00091C2F"/>
    <w:rsid w:val="00091E35"/>
    <w:rsid w:val="00091E93"/>
    <w:rsid w:val="00092204"/>
    <w:rsid w:val="00092374"/>
    <w:rsid w:val="000932BD"/>
    <w:rsid w:val="00093627"/>
    <w:rsid w:val="00093B41"/>
    <w:rsid w:val="0009461E"/>
    <w:rsid w:val="00094C67"/>
    <w:rsid w:val="0009644B"/>
    <w:rsid w:val="00096C33"/>
    <w:rsid w:val="000A1594"/>
    <w:rsid w:val="000A22FD"/>
    <w:rsid w:val="000A279F"/>
    <w:rsid w:val="000A28AB"/>
    <w:rsid w:val="000A364F"/>
    <w:rsid w:val="000A434E"/>
    <w:rsid w:val="000A4524"/>
    <w:rsid w:val="000A4CD3"/>
    <w:rsid w:val="000A60DF"/>
    <w:rsid w:val="000A6197"/>
    <w:rsid w:val="000A6E51"/>
    <w:rsid w:val="000A7551"/>
    <w:rsid w:val="000A77DD"/>
    <w:rsid w:val="000A7C46"/>
    <w:rsid w:val="000A7F28"/>
    <w:rsid w:val="000B03FD"/>
    <w:rsid w:val="000B0CC6"/>
    <w:rsid w:val="000B0CFB"/>
    <w:rsid w:val="000B138D"/>
    <w:rsid w:val="000B14F3"/>
    <w:rsid w:val="000B1F15"/>
    <w:rsid w:val="000B436D"/>
    <w:rsid w:val="000B4436"/>
    <w:rsid w:val="000B44EA"/>
    <w:rsid w:val="000B5064"/>
    <w:rsid w:val="000B58D7"/>
    <w:rsid w:val="000B5A88"/>
    <w:rsid w:val="000B79EC"/>
    <w:rsid w:val="000C0F94"/>
    <w:rsid w:val="000C22B1"/>
    <w:rsid w:val="000C32FB"/>
    <w:rsid w:val="000C36AB"/>
    <w:rsid w:val="000C382D"/>
    <w:rsid w:val="000C42BA"/>
    <w:rsid w:val="000C4F34"/>
    <w:rsid w:val="000C5383"/>
    <w:rsid w:val="000C5DDF"/>
    <w:rsid w:val="000C68E5"/>
    <w:rsid w:val="000C78BF"/>
    <w:rsid w:val="000C78CF"/>
    <w:rsid w:val="000C7B83"/>
    <w:rsid w:val="000D0104"/>
    <w:rsid w:val="000D0D92"/>
    <w:rsid w:val="000D2732"/>
    <w:rsid w:val="000D3737"/>
    <w:rsid w:val="000D404D"/>
    <w:rsid w:val="000D4E70"/>
    <w:rsid w:val="000D6BC0"/>
    <w:rsid w:val="000D715F"/>
    <w:rsid w:val="000E1082"/>
    <w:rsid w:val="000E1F91"/>
    <w:rsid w:val="000E2122"/>
    <w:rsid w:val="000E2A59"/>
    <w:rsid w:val="000E2F61"/>
    <w:rsid w:val="000E35D4"/>
    <w:rsid w:val="000E360B"/>
    <w:rsid w:val="000E399C"/>
    <w:rsid w:val="000E3C1E"/>
    <w:rsid w:val="000E4C0E"/>
    <w:rsid w:val="000E5573"/>
    <w:rsid w:val="000E5818"/>
    <w:rsid w:val="000E6F8D"/>
    <w:rsid w:val="000E7CB9"/>
    <w:rsid w:val="000F0342"/>
    <w:rsid w:val="000F0D7A"/>
    <w:rsid w:val="000F300C"/>
    <w:rsid w:val="000F44DB"/>
    <w:rsid w:val="000F48B1"/>
    <w:rsid w:val="000F4A89"/>
    <w:rsid w:val="000F55A1"/>
    <w:rsid w:val="000F5771"/>
    <w:rsid w:val="000F5812"/>
    <w:rsid w:val="000F5B91"/>
    <w:rsid w:val="000F6C98"/>
    <w:rsid w:val="000F79EC"/>
    <w:rsid w:val="000F7E5D"/>
    <w:rsid w:val="00100135"/>
    <w:rsid w:val="00100F6C"/>
    <w:rsid w:val="00101190"/>
    <w:rsid w:val="001011E5"/>
    <w:rsid w:val="00101BD5"/>
    <w:rsid w:val="001025C0"/>
    <w:rsid w:val="00102BB8"/>
    <w:rsid w:val="001031A1"/>
    <w:rsid w:val="00103774"/>
    <w:rsid w:val="00103B11"/>
    <w:rsid w:val="00105499"/>
    <w:rsid w:val="00107847"/>
    <w:rsid w:val="00110118"/>
    <w:rsid w:val="00110DB5"/>
    <w:rsid w:val="001126F6"/>
    <w:rsid w:val="00112BC0"/>
    <w:rsid w:val="00112EE9"/>
    <w:rsid w:val="0011309D"/>
    <w:rsid w:val="001143E8"/>
    <w:rsid w:val="001152C0"/>
    <w:rsid w:val="0011536C"/>
    <w:rsid w:val="0011540F"/>
    <w:rsid w:val="00116214"/>
    <w:rsid w:val="001163D4"/>
    <w:rsid w:val="00120134"/>
    <w:rsid w:val="00120789"/>
    <w:rsid w:val="00120E88"/>
    <w:rsid w:val="001220DA"/>
    <w:rsid w:val="00122BDC"/>
    <w:rsid w:val="001233D9"/>
    <w:rsid w:val="00123582"/>
    <w:rsid w:val="00123A27"/>
    <w:rsid w:val="00123C77"/>
    <w:rsid w:val="00123F68"/>
    <w:rsid w:val="001242E6"/>
    <w:rsid w:val="00124455"/>
    <w:rsid w:val="00124E5B"/>
    <w:rsid w:val="001253D9"/>
    <w:rsid w:val="00125F9B"/>
    <w:rsid w:val="00126B88"/>
    <w:rsid w:val="00127793"/>
    <w:rsid w:val="00127913"/>
    <w:rsid w:val="00127D1E"/>
    <w:rsid w:val="001301F2"/>
    <w:rsid w:val="00130E61"/>
    <w:rsid w:val="00130F17"/>
    <w:rsid w:val="00131534"/>
    <w:rsid w:val="00135426"/>
    <w:rsid w:val="00136597"/>
    <w:rsid w:val="001366A5"/>
    <w:rsid w:val="0013688A"/>
    <w:rsid w:val="00136EC1"/>
    <w:rsid w:val="001372CA"/>
    <w:rsid w:val="00137ABA"/>
    <w:rsid w:val="00137CBC"/>
    <w:rsid w:val="00137DBD"/>
    <w:rsid w:val="001405D5"/>
    <w:rsid w:val="00141581"/>
    <w:rsid w:val="00141FA7"/>
    <w:rsid w:val="00142140"/>
    <w:rsid w:val="001427A8"/>
    <w:rsid w:val="001429B2"/>
    <w:rsid w:val="00142B1D"/>
    <w:rsid w:val="00142C71"/>
    <w:rsid w:val="001438F0"/>
    <w:rsid w:val="001446E0"/>
    <w:rsid w:val="00144B12"/>
    <w:rsid w:val="0014548E"/>
    <w:rsid w:val="00145E18"/>
    <w:rsid w:val="001461BD"/>
    <w:rsid w:val="00146480"/>
    <w:rsid w:val="001465D5"/>
    <w:rsid w:val="00146717"/>
    <w:rsid w:val="00146D52"/>
    <w:rsid w:val="0015179B"/>
    <w:rsid w:val="001519F1"/>
    <w:rsid w:val="00151A5A"/>
    <w:rsid w:val="00151AB0"/>
    <w:rsid w:val="00151E76"/>
    <w:rsid w:val="00152158"/>
    <w:rsid w:val="0015248E"/>
    <w:rsid w:val="00152C48"/>
    <w:rsid w:val="00153700"/>
    <w:rsid w:val="00154533"/>
    <w:rsid w:val="001548DB"/>
    <w:rsid w:val="0015510A"/>
    <w:rsid w:val="00155752"/>
    <w:rsid w:val="00155FC3"/>
    <w:rsid w:val="00155FF3"/>
    <w:rsid w:val="00156711"/>
    <w:rsid w:val="00156F7F"/>
    <w:rsid w:val="001573DC"/>
    <w:rsid w:val="00157D5D"/>
    <w:rsid w:val="0016053A"/>
    <w:rsid w:val="00160680"/>
    <w:rsid w:val="001614CF"/>
    <w:rsid w:val="00162F1F"/>
    <w:rsid w:val="001632E5"/>
    <w:rsid w:val="001634AD"/>
    <w:rsid w:val="001637AD"/>
    <w:rsid w:val="00163F99"/>
    <w:rsid w:val="00164F98"/>
    <w:rsid w:val="001654CC"/>
    <w:rsid w:val="00166E13"/>
    <w:rsid w:val="00170783"/>
    <w:rsid w:val="001707EB"/>
    <w:rsid w:val="001715CF"/>
    <w:rsid w:val="0017160E"/>
    <w:rsid w:val="001742A6"/>
    <w:rsid w:val="00174A6A"/>
    <w:rsid w:val="00175BD2"/>
    <w:rsid w:val="00175E02"/>
    <w:rsid w:val="001761C3"/>
    <w:rsid w:val="00176E9A"/>
    <w:rsid w:val="00177F64"/>
    <w:rsid w:val="00180292"/>
    <w:rsid w:val="0018139A"/>
    <w:rsid w:val="00181C2E"/>
    <w:rsid w:val="00181E26"/>
    <w:rsid w:val="00182C25"/>
    <w:rsid w:val="00184211"/>
    <w:rsid w:val="001847DB"/>
    <w:rsid w:val="00184C1D"/>
    <w:rsid w:val="00185054"/>
    <w:rsid w:val="001853DF"/>
    <w:rsid w:val="00185DA8"/>
    <w:rsid w:val="001867E5"/>
    <w:rsid w:val="00186E09"/>
    <w:rsid w:val="00187A9B"/>
    <w:rsid w:val="00187F19"/>
    <w:rsid w:val="0019038A"/>
    <w:rsid w:val="00190A87"/>
    <w:rsid w:val="00190F38"/>
    <w:rsid w:val="00191253"/>
    <w:rsid w:val="0019145A"/>
    <w:rsid w:val="00191651"/>
    <w:rsid w:val="00193BE0"/>
    <w:rsid w:val="0019480C"/>
    <w:rsid w:val="001959BB"/>
    <w:rsid w:val="0019671F"/>
    <w:rsid w:val="001967B4"/>
    <w:rsid w:val="00197173"/>
    <w:rsid w:val="001978DE"/>
    <w:rsid w:val="001A07A5"/>
    <w:rsid w:val="001A0EF7"/>
    <w:rsid w:val="001A194E"/>
    <w:rsid w:val="001A1A97"/>
    <w:rsid w:val="001A1B16"/>
    <w:rsid w:val="001A1D06"/>
    <w:rsid w:val="001A2152"/>
    <w:rsid w:val="001A23C5"/>
    <w:rsid w:val="001A282F"/>
    <w:rsid w:val="001A32F4"/>
    <w:rsid w:val="001A41CC"/>
    <w:rsid w:val="001A4416"/>
    <w:rsid w:val="001A4CE8"/>
    <w:rsid w:val="001A5A98"/>
    <w:rsid w:val="001A6F0A"/>
    <w:rsid w:val="001A7766"/>
    <w:rsid w:val="001A7F88"/>
    <w:rsid w:val="001B0518"/>
    <w:rsid w:val="001B1025"/>
    <w:rsid w:val="001B1962"/>
    <w:rsid w:val="001B19B6"/>
    <w:rsid w:val="001B21B0"/>
    <w:rsid w:val="001B2233"/>
    <w:rsid w:val="001B280E"/>
    <w:rsid w:val="001B2849"/>
    <w:rsid w:val="001B2C08"/>
    <w:rsid w:val="001B3AB7"/>
    <w:rsid w:val="001B4424"/>
    <w:rsid w:val="001B4BC3"/>
    <w:rsid w:val="001B6582"/>
    <w:rsid w:val="001B75D8"/>
    <w:rsid w:val="001B7A1C"/>
    <w:rsid w:val="001B7C97"/>
    <w:rsid w:val="001B7F29"/>
    <w:rsid w:val="001C070B"/>
    <w:rsid w:val="001C08B9"/>
    <w:rsid w:val="001C0911"/>
    <w:rsid w:val="001C1564"/>
    <w:rsid w:val="001C2461"/>
    <w:rsid w:val="001C34F7"/>
    <w:rsid w:val="001C3905"/>
    <w:rsid w:val="001C3B01"/>
    <w:rsid w:val="001C4147"/>
    <w:rsid w:val="001C5A54"/>
    <w:rsid w:val="001D0726"/>
    <w:rsid w:val="001D0FCF"/>
    <w:rsid w:val="001D11A4"/>
    <w:rsid w:val="001D2B8F"/>
    <w:rsid w:val="001D2C3D"/>
    <w:rsid w:val="001D33F5"/>
    <w:rsid w:val="001E025A"/>
    <w:rsid w:val="001E0D41"/>
    <w:rsid w:val="001E0E38"/>
    <w:rsid w:val="001E1319"/>
    <w:rsid w:val="001E336B"/>
    <w:rsid w:val="001E361F"/>
    <w:rsid w:val="001E3DB4"/>
    <w:rsid w:val="001E3F3B"/>
    <w:rsid w:val="001E4D11"/>
    <w:rsid w:val="001E5833"/>
    <w:rsid w:val="001E6DF4"/>
    <w:rsid w:val="001E774C"/>
    <w:rsid w:val="001E7951"/>
    <w:rsid w:val="001F0E75"/>
    <w:rsid w:val="001F195D"/>
    <w:rsid w:val="001F2CBC"/>
    <w:rsid w:val="001F3008"/>
    <w:rsid w:val="001F3ACC"/>
    <w:rsid w:val="001F3C1E"/>
    <w:rsid w:val="001F45E1"/>
    <w:rsid w:val="001F4A37"/>
    <w:rsid w:val="001F5628"/>
    <w:rsid w:val="001F5C16"/>
    <w:rsid w:val="001F7730"/>
    <w:rsid w:val="002001F1"/>
    <w:rsid w:val="002016FC"/>
    <w:rsid w:val="002018B6"/>
    <w:rsid w:val="00201E3C"/>
    <w:rsid w:val="00201ED3"/>
    <w:rsid w:val="00202000"/>
    <w:rsid w:val="00202325"/>
    <w:rsid w:val="0020392B"/>
    <w:rsid w:val="00203A30"/>
    <w:rsid w:val="002043ED"/>
    <w:rsid w:val="00205D8C"/>
    <w:rsid w:val="00206475"/>
    <w:rsid w:val="00206812"/>
    <w:rsid w:val="00206B5E"/>
    <w:rsid w:val="0020779D"/>
    <w:rsid w:val="0021078A"/>
    <w:rsid w:val="00210D91"/>
    <w:rsid w:val="002116B6"/>
    <w:rsid w:val="00211D44"/>
    <w:rsid w:val="00211DD1"/>
    <w:rsid w:val="00212255"/>
    <w:rsid w:val="0021410D"/>
    <w:rsid w:val="00214182"/>
    <w:rsid w:val="002143CE"/>
    <w:rsid w:val="00214793"/>
    <w:rsid w:val="002168EB"/>
    <w:rsid w:val="00216BB3"/>
    <w:rsid w:val="00217174"/>
    <w:rsid w:val="00217CFA"/>
    <w:rsid w:val="0022095B"/>
    <w:rsid w:val="00220CFE"/>
    <w:rsid w:val="0022159A"/>
    <w:rsid w:val="00221E97"/>
    <w:rsid w:val="00222133"/>
    <w:rsid w:val="00222458"/>
    <w:rsid w:val="00222CEC"/>
    <w:rsid w:val="002239D9"/>
    <w:rsid w:val="00223F38"/>
    <w:rsid w:val="00224152"/>
    <w:rsid w:val="002243CE"/>
    <w:rsid w:val="0022768C"/>
    <w:rsid w:val="00227958"/>
    <w:rsid w:val="00227B92"/>
    <w:rsid w:val="00230F74"/>
    <w:rsid w:val="002323F2"/>
    <w:rsid w:val="00232912"/>
    <w:rsid w:val="00234497"/>
    <w:rsid w:val="002356B7"/>
    <w:rsid w:val="00235F06"/>
    <w:rsid w:val="00237EDC"/>
    <w:rsid w:val="002403C7"/>
    <w:rsid w:val="002405D6"/>
    <w:rsid w:val="002406BB"/>
    <w:rsid w:val="00240E03"/>
    <w:rsid w:val="00241554"/>
    <w:rsid w:val="00241D49"/>
    <w:rsid w:val="002424E9"/>
    <w:rsid w:val="002426CB"/>
    <w:rsid w:val="00242B6A"/>
    <w:rsid w:val="002447CA"/>
    <w:rsid w:val="00244E0A"/>
    <w:rsid w:val="0024516A"/>
    <w:rsid w:val="00245346"/>
    <w:rsid w:val="002454AA"/>
    <w:rsid w:val="00245755"/>
    <w:rsid w:val="002457D7"/>
    <w:rsid w:val="00245F4C"/>
    <w:rsid w:val="002463E7"/>
    <w:rsid w:val="00246BD6"/>
    <w:rsid w:val="00246E02"/>
    <w:rsid w:val="00247159"/>
    <w:rsid w:val="00247D8D"/>
    <w:rsid w:val="002510F4"/>
    <w:rsid w:val="00251DB6"/>
    <w:rsid w:val="00253517"/>
    <w:rsid w:val="0025430F"/>
    <w:rsid w:val="002546CB"/>
    <w:rsid w:val="00254956"/>
    <w:rsid w:val="002551A9"/>
    <w:rsid w:val="00255ACF"/>
    <w:rsid w:val="00256973"/>
    <w:rsid w:val="00256E7D"/>
    <w:rsid w:val="00257FDA"/>
    <w:rsid w:val="00260358"/>
    <w:rsid w:val="002604C6"/>
    <w:rsid w:val="00260FCE"/>
    <w:rsid w:val="00261770"/>
    <w:rsid w:val="0026254A"/>
    <w:rsid w:val="00262B78"/>
    <w:rsid w:val="00262F80"/>
    <w:rsid w:val="0026369E"/>
    <w:rsid w:val="00263B75"/>
    <w:rsid w:val="00263D0C"/>
    <w:rsid w:val="00264620"/>
    <w:rsid w:val="00264BF3"/>
    <w:rsid w:val="00265783"/>
    <w:rsid w:val="00265ADF"/>
    <w:rsid w:val="00265E58"/>
    <w:rsid w:val="00265F79"/>
    <w:rsid w:val="00266569"/>
    <w:rsid w:val="00266B6A"/>
    <w:rsid w:val="00267924"/>
    <w:rsid w:val="002703C1"/>
    <w:rsid w:val="00270B85"/>
    <w:rsid w:val="00271418"/>
    <w:rsid w:val="00271913"/>
    <w:rsid w:val="0027292E"/>
    <w:rsid w:val="00273771"/>
    <w:rsid w:val="002754B7"/>
    <w:rsid w:val="00275E53"/>
    <w:rsid w:val="0027784B"/>
    <w:rsid w:val="00280176"/>
    <w:rsid w:val="00281221"/>
    <w:rsid w:val="0028158D"/>
    <w:rsid w:val="00281E5F"/>
    <w:rsid w:val="00283115"/>
    <w:rsid w:val="0028381F"/>
    <w:rsid w:val="002844E5"/>
    <w:rsid w:val="002847CB"/>
    <w:rsid w:val="00284B68"/>
    <w:rsid w:val="0028554D"/>
    <w:rsid w:val="0028684D"/>
    <w:rsid w:val="0028733B"/>
    <w:rsid w:val="00290623"/>
    <w:rsid w:val="00290751"/>
    <w:rsid w:val="002909D4"/>
    <w:rsid w:val="0029196D"/>
    <w:rsid w:val="00291D2E"/>
    <w:rsid w:val="00292597"/>
    <w:rsid w:val="002928A8"/>
    <w:rsid w:val="00293931"/>
    <w:rsid w:val="00293FD1"/>
    <w:rsid w:val="00294439"/>
    <w:rsid w:val="0029465C"/>
    <w:rsid w:val="00295836"/>
    <w:rsid w:val="002959D7"/>
    <w:rsid w:val="002959FB"/>
    <w:rsid w:val="00296116"/>
    <w:rsid w:val="002963D2"/>
    <w:rsid w:val="0029653B"/>
    <w:rsid w:val="0029696F"/>
    <w:rsid w:val="002A1364"/>
    <w:rsid w:val="002A1AA0"/>
    <w:rsid w:val="002A1EBE"/>
    <w:rsid w:val="002A1F72"/>
    <w:rsid w:val="002A231D"/>
    <w:rsid w:val="002A25DA"/>
    <w:rsid w:val="002A2CE2"/>
    <w:rsid w:val="002A3E05"/>
    <w:rsid w:val="002A4712"/>
    <w:rsid w:val="002A4BB2"/>
    <w:rsid w:val="002A5684"/>
    <w:rsid w:val="002A734C"/>
    <w:rsid w:val="002A7F49"/>
    <w:rsid w:val="002B0461"/>
    <w:rsid w:val="002B09D0"/>
    <w:rsid w:val="002B1227"/>
    <w:rsid w:val="002B144B"/>
    <w:rsid w:val="002B16C0"/>
    <w:rsid w:val="002B16F4"/>
    <w:rsid w:val="002B25C8"/>
    <w:rsid w:val="002B4CD8"/>
    <w:rsid w:val="002B4D25"/>
    <w:rsid w:val="002B52C2"/>
    <w:rsid w:val="002B53B2"/>
    <w:rsid w:val="002B5D77"/>
    <w:rsid w:val="002B68F5"/>
    <w:rsid w:val="002B7CB7"/>
    <w:rsid w:val="002C04E5"/>
    <w:rsid w:val="002C067E"/>
    <w:rsid w:val="002C0858"/>
    <w:rsid w:val="002C094B"/>
    <w:rsid w:val="002C0B05"/>
    <w:rsid w:val="002C0DC7"/>
    <w:rsid w:val="002C2563"/>
    <w:rsid w:val="002C2AE3"/>
    <w:rsid w:val="002C5818"/>
    <w:rsid w:val="002C77C3"/>
    <w:rsid w:val="002C7993"/>
    <w:rsid w:val="002C7B1B"/>
    <w:rsid w:val="002D09FE"/>
    <w:rsid w:val="002D1BAC"/>
    <w:rsid w:val="002D22F8"/>
    <w:rsid w:val="002D2BCF"/>
    <w:rsid w:val="002D326C"/>
    <w:rsid w:val="002D32BB"/>
    <w:rsid w:val="002D348D"/>
    <w:rsid w:val="002D3A32"/>
    <w:rsid w:val="002D40A8"/>
    <w:rsid w:val="002D471B"/>
    <w:rsid w:val="002D48F9"/>
    <w:rsid w:val="002D4F7D"/>
    <w:rsid w:val="002D5CCE"/>
    <w:rsid w:val="002D72E4"/>
    <w:rsid w:val="002E0098"/>
    <w:rsid w:val="002E00D6"/>
    <w:rsid w:val="002E075C"/>
    <w:rsid w:val="002E088C"/>
    <w:rsid w:val="002E09D8"/>
    <w:rsid w:val="002E280D"/>
    <w:rsid w:val="002E2C96"/>
    <w:rsid w:val="002E2E53"/>
    <w:rsid w:val="002E336A"/>
    <w:rsid w:val="002E3390"/>
    <w:rsid w:val="002E3851"/>
    <w:rsid w:val="002E5899"/>
    <w:rsid w:val="002E6455"/>
    <w:rsid w:val="002E6978"/>
    <w:rsid w:val="002E76D2"/>
    <w:rsid w:val="002F0B80"/>
    <w:rsid w:val="002F1BED"/>
    <w:rsid w:val="002F1DBD"/>
    <w:rsid w:val="002F1E29"/>
    <w:rsid w:val="002F207B"/>
    <w:rsid w:val="002F2C1C"/>
    <w:rsid w:val="002F34FA"/>
    <w:rsid w:val="002F368E"/>
    <w:rsid w:val="002F390F"/>
    <w:rsid w:val="002F3D1E"/>
    <w:rsid w:val="002F3FD9"/>
    <w:rsid w:val="002F4657"/>
    <w:rsid w:val="002F571C"/>
    <w:rsid w:val="002F62C4"/>
    <w:rsid w:val="002F645F"/>
    <w:rsid w:val="002F6627"/>
    <w:rsid w:val="002F6E72"/>
    <w:rsid w:val="002F7FDA"/>
    <w:rsid w:val="003003E7"/>
    <w:rsid w:val="00300577"/>
    <w:rsid w:val="00301027"/>
    <w:rsid w:val="003010AF"/>
    <w:rsid w:val="003011EB"/>
    <w:rsid w:val="003019E9"/>
    <w:rsid w:val="00302313"/>
    <w:rsid w:val="00303157"/>
    <w:rsid w:val="0030319E"/>
    <w:rsid w:val="0030322F"/>
    <w:rsid w:val="00303B62"/>
    <w:rsid w:val="003041E8"/>
    <w:rsid w:val="00304E3A"/>
    <w:rsid w:val="00305005"/>
    <w:rsid w:val="00305BFE"/>
    <w:rsid w:val="00305D6D"/>
    <w:rsid w:val="00306D7B"/>
    <w:rsid w:val="00306FAF"/>
    <w:rsid w:val="003074A3"/>
    <w:rsid w:val="00307A7B"/>
    <w:rsid w:val="00310B1F"/>
    <w:rsid w:val="00310F98"/>
    <w:rsid w:val="003110C4"/>
    <w:rsid w:val="00312405"/>
    <w:rsid w:val="00312BF1"/>
    <w:rsid w:val="0031328E"/>
    <w:rsid w:val="00313C3F"/>
    <w:rsid w:val="00313C81"/>
    <w:rsid w:val="003149B2"/>
    <w:rsid w:val="0031502C"/>
    <w:rsid w:val="00315CC0"/>
    <w:rsid w:val="00315F65"/>
    <w:rsid w:val="00317977"/>
    <w:rsid w:val="00317F3A"/>
    <w:rsid w:val="003203C2"/>
    <w:rsid w:val="00320E8C"/>
    <w:rsid w:val="00321D05"/>
    <w:rsid w:val="0032295B"/>
    <w:rsid w:val="0032298A"/>
    <w:rsid w:val="00322FB0"/>
    <w:rsid w:val="00323638"/>
    <w:rsid w:val="003236A7"/>
    <w:rsid w:val="00323A82"/>
    <w:rsid w:val="003241E9"/>
    <w:rsid w:val="00324A28"/>
    <w:rsid w:val="00324B9B"/>
    <w:rsid w:val="00327262"/>
    <w:rsid w:val="00330568"/>
    <w:rsid w:val="00330E49"/>
    <w:rsid w:val="00331CA0"/>
    <w:rsid w:val="003323F7"/>
    <w:rsid w:val="00332BB1"/>
    <w:rsid w:val="00333AB8"/>
    <w:rsid w:val="00333BAF"/>
    <w:rsid w:val="0033497F"/>
    <w:rsid w:val="00334DEE"/>
    <w:rsid w:val="00334FAE"/>
    <w:rsid w:val="003364E1"/>
    <w:rsid w:val="003407DA"/>
    <w:rsid w:val="00340ADE"/>
    <w:rsid w:val="00340CFF"/>
    <w:rsid w:val="003410A2"/>
    <w:rsid w:val="0034110A"/>
    <w:rsid w:val="0034387F"/>
    <w:rsid w:val="00343EB1"/>
    <w:rsid w:val="003447ED"/>
    <w:rsid w:val="00344ECC"/>
    <w:rsid w:val="00345942"/>
    <w:rsid w:val="00345B3C"/>
    <w:rsid w:val="00345E88"/>
    <w:rsid w:val="00345EC6"/>
    <w:rsid w:val="00346BAA"/>
    <w:rsid w:val="00346BC0"/>
    <w:rsid w:val="003471DD"/>
    <w:rsid w:val="00347B38"/>
    <w:rsid w:val="00347B88"/>
    <w:rsid w:val="003502C5"/>
    <w:rsid w:val="00350B6D"/>
    <w:rsid w:val="0035141A"/>
    <w:rsid w:val="003523D9"/>
    <w:rsid w:val="00352B66"/>
    <w:rsid w:val="00352C5A"/>
    <w:rsid w:val="00353D49"/>
    <w:rsid w:val="00354028"/>
    <w:rsid w:val="0035415D"/>
    <w:rsid w:val="00354E4D"/>
    <w:rsid w:val="00355DE4"/>
    <w:rsid w:val="003563ED"/>
    <w:rsid w:val="00356E69"/>
    <w:rsid w:val="00357139"/>
    <w:rsid w:val="00360C55"/>
    <w:rsid w:val="0036138B"/>
    <w:rsid w:val="00362946"/>
    <w:rsid w:val="00363360"/>
    <w:rsid w:val="003639E8"/>
    <w:rsid w:val="00363BBF"/>
    <w:rsid w:val="00364562"/>
    <w:rsid w:val="00364F79"/>
    <w:rsid w:val="003652D0"/>
    <w:rsid w:val="00365656"/>
    <w:rsid w:val="00365CB8"/>
    <w:rsid w:val="00365FA4"/>
    <w:rsid w:val="00366452"/>
    <w:rsid w:val="00366DDF"/>
    <w:rsid w:val="00367DEB"/>
    <w:rsid w:val="00367DFB"/>
    <w:rsid w:val="003719A5"/>
    <w:rsid w:val="00372AC9"/>
    <w:rsid w:val="00372B4B"/>
    <w:rsid w:val="00372D87"/>
    <w:rsid w:val="003748B3"/>
    <w:rsid w:val="00375A68"/>
    <w:rsid w:val="00375EFA"/>
    <w:rsid w:val="00376794"/>
    <w:rsid w:val="003769E1"/>
    <w:rsid w:val="00376E53"/>
    <w:rsid w:val="003773B3"/>
    <w:rsid w:val="003779C0"/>
    <w:rsid w:val="00377DB3"/>
    <w:rsid w:val="00381094"/>
    <w:rsid w:val="003818D8"/>
    <w:rsid w:val="00381B02"/>
    <w:rsid w:val="00382452"/>
    <w:rsid w:val="0038273F"/>
    <w:rsid w:val="00383FDD"/>
    <w:rsid w:val="00384B38"/>
    <w:rsid w:val="00385980"/>
    <w:rsid w:val="003864D9"/>
    <w:rsid w:val="00386532"/>
    <w:rsid w:val="0038654B"/>
    <w:rsid w:val="00386CD9"/>
    <w:rsid w:val="003901C0"/>
    <w:rsid w:val="00390720"/>
    <w:rsid w:val="00390C64"/>
    <w:rsid w:val="00391437"/>
    <w:rsid w:val="00391B33"/>
    <w:rsid w:val="00392DB4"/>
    <w:rsid w:val="00395056"/>
    <w:rsid w:val="0039575F"/>
    <w:rsid w:val="00395DD7"/>
    <w:rsid w:val="0039688C"/>
    <w:rsid w:val="00396D8B"/>
    <w:rsid w:val="003A043F"/>
    <w:rsid w:val="003A058D"/>
    <w:rsid w:val="003A0642"/>
    <w:rsid w:val="003A0DBC"/>
    <w:rsid w:val="003A0EA2"/>
    <w:rsid w:val="003A155E"/>
    <w:rsid w:val="003A2700"/>
    <w:rsid w:val="003A4039"/>
    <w:rsid w:val="003A48B1"/>
    <w:rsid w:val="003A4945"/>
    <w:rsid w:val="003A5085"/>
    <w:rsid w:val="003A5F60"/>
    <w:rsid w:val="003A61DD"/>
    <w:rsid w:val="003A65B3"/>
    <w:rsid w:val="003A7909"/>
    <w:rsid w:val="003A7DE2"/>
    <w:rsid w:val="003B034C"/>
    <w:rsid w:val="003B18A7"/>
    <w:rsid w:val="003B268A"/>
    <w:rsid w:val="003B318E"/>
    <w:rsid w:val="003B31AC"/>
    <w:rsid w:val="003B348E"/>
    <w:rsid w:val="003B436C"/>
    <w:rsid w:val="003B442E"/>
    <w:rsid w:val="003B5048"/>
    <w:rsid w:val="003B5398"/>
    <w:rsid w:val="003B5970"/>
    <w:rsid w:val="003B6184"/>
    <w:rsid w:val="003B7523"/>
    <w:rsid w:val="003B75F7"/>
    <w:rsid w:val="003B7B81"/>
    <w:rsid w:val="003C09F7"/>
    <w:rsid w:val="003C187E"/>
    <w:rsid w:val="003C1AA1"/>
    <w:rsid w:val="003C1ED7"/>
    <w:rsid w:val="003C234D"/>
    <w:rsid w:val="003C29C8"/>
    <w:rsid w:val="003C2A4B"/>
    <w:rsid w:val="003C30F2"/>
    <w:rsid w:val="003C3A42"/>
    <w:rsid w:val="003C5322"/>
    <w:rsid w:val="003C5D55"/>
    <w:rsid w:val="003C6FA2"/>
    <w:rsid w:val="003C75A0"/>
    <w:rsid w:val="003C78FB"/>
    <w:rsid w:val="003D0425"/>
    <w:rsid w:val="003D0F43"/>
    <w:rsid w:val="003D10CC"/>
    <w:rsid w:val="003D1482"/>
    <w:rsid w:val="003D1A5B"/>
    <w:rsid w:val="003D2ABC"/>
    <w:rsid w:val="003D3F5D"/>
    <w:rsid w:val="003D4002"/>
    <w:rsid w:val="003D4296"/>
    <w:rsid w:val="003D4AF8"/>
    <w:rsid w:val="003D4E95"/>
    <w:rsid w:val="003D5114"/>
    <w:rsid w:val="003D54E0"/>
    <w:rsid w:val="003D5A56"/>
    <w:rsid w:val="003D6328"/>
    <w:rsid w:val="003D7C02"/>
    <w:rsid w:val="003E00DF"/>
    <w:rsid w:val="003E0C17"/>
    <w:rsid w:val="003E2598"/>
    <w:rsid w:val="003E2EC6"/>
    <w:rsid w:val="003E31BE"/>
    <w:rsid w:val="003E4AA6"/>
    <w:rsid w:val="003E4F3D"/>
    <w:rsid w:val="003E6051"/>
    <w:rsid w:val="003E614F"/>
    <w:rsid w:val="003E681E"/>
    <w:rsid w:val="003E73AB"/>
    <w:rsid w:val="003E7902"/>
    <w:rsid w:val="003E7CF8"/>
    <w:rsid w:val="003F0FEE"/>
    <w:rsid w:val="003F14C7"/>
    <w:rsid w:val="003F152B"/>
    <w:rsid w:val="003F2690"/>
    <w:rsid w:val="003F2DB8"/>
    <w:rsid w:val="003F3672"/>
    <w:rsid w:val="003F3AF6"/>
    <w:rsid w:val="003F3C17"/>
    <w:rsid w:val="003F3DCA"/>
    <w:rsid w:val="003F510E"/>
    <w:rsid w:val="003F5864"/>
    <w:rsid w:val="003F724E"/>
    <w:rsid w:val="00400587"/>
    <w:rsid w:val="00400F13"/>
    <w:rsid w:val="00401650"/>
    <w:rsid w:val="00403957"/>
    <w:rsid w:val="004042E0"/>
    <w:rsid w:val="0040466D"/>
    <w:rsid w:val="00404832"/>
    <w:rsid w:val="004053FD"/>
    <w:rsid w:val="0040678E"/>
    <w:rsid w:val="0041006A"/>
    <w:rsid w:val="00410074"/>
    <w:rsid w:val="004104F4"/>
    <w:rsid w:val="00410AE9"/>
    <w:rsid w:val="00410CC2"/>
    <w:rsid w:val="00411A49"/>
    <w:rsid w:val="00411A98"/>
    <w:rsid w:val="00412278"/>
    <w:rsid w:val="004128CC"/>
    <w:rsid w:val="00412C5C"/>
    <w:rsid w:val="00413ED4"/>
    <w:rsid w:val="00414E7D"/>
    <w:rsid w:val="0041519B"/>
    <w:rsid w:val="004159C9"/>
    <w:rsid w:val="00415A44"/>
    <w:rsid w:val="00415F55"/>
    <w:rsid w:val="00416C9B"/>
    <w:rsid w:val="00420887"/>
    <w:rsid w:val="00420DDE"/>
    <w:rsid w:val="00421598"/>
    <w:rsid w:val="00421A48"/>
    <w:rsid w:val="004241E7"/>
    <w:rsid w:val="00424268"/>
    <w:rsid w:val="00424AED"/>
    <w:rsid w:val="00425103"/>
    <w:rsid w:val="00425464"/>
    <w:rsid w:val="00426009"/>
    <w:rsid w:val="004272FC"/>
    <w:rsid w:val="0043066D"/>
    <w:rsid w:val="00430EBB"/>
    <w:rsid w:val="0043146B"/>
    <w:rsid w:val="004318DA"/>
    <w:rsid w:val="00431E49"/>
    <w:rsid w:val="00432702"/>
    <w:rsid w:val="00433D7E"/>
    <w:rsid w:val="00434279"/>
    <w:rsid w:val="00434AA6"/>
    <w:rsid w:val="00435C62"/>
    <w:rsid w:val="004362F2"/>
    <w:rsid w:val="00436553"/>
    <w:rsid w:val="0043700E"/>
    <w:rsid w:val="00437237"/>
    <w:rsid w:val="0043738F"/>
    <w:rsid w:val="00440A78"/>
    <w:rsid w:val="00440B02"/>
    <w:rsid w:val="00440C0E"/>
    <w:rsid w:val="004427F5"/>
    <w:rsid w:val="0044299F"/>
    <w:rsid w:val="00443D66"/>
    <w:rsid w:val="00444358"/>
    <w:rsid w:val="0044471E"/>
    <w:rsid w:val="00444890"/>
    <w:rsid w:val="0044532C"/>
    <w:rsid w:val="00445C68"/>
    <w:rsid w:val="004461FF"/>
    <w:rsid w:val="004469D4"/>
    <w:rsid w:val="004471BC"/>
    <w:rsid w:val="00447588"/>
    <w:rsid w:val="00447653"/>
    <w:rsid w:val="00451896"/>
    <w:rsid w:val="00452D78"/>
    <w:rsid w:val="00452E2F"/>
    <w:rsid w:val="004538B9"/>
    <w:rsid w:val="00453D4A"/>
    <w:rsid w:val="00453D7B"/>
    <w:rsid w:val="004542AB"/>
    <w:rsid w:val="0045607C"/>
    <w:rsid w:val="004560B3"/>
    <w:rsid w:val="004561F2"/>
    <w:rsid w:val="0045642A"/>
    <w:rsid w:val="00457A2D"/>
    <w:rsid w:val="0046066C"/>
    <w:rsid w:val="004606A0"/>
    <w:rsid w:val="004609C8"/>
    <w:rsid w:val="0046134B"/>
    <w:rsid w:val="004624D2"/>
    <w:rsid w:val="00462F3D"/>
    <w:rsid w:val="0046360B"/>
    <w:rsid w:val="00463954"/>
    <w:rsid w:val="00463F2F"/>
    <w:rsid w:val="00464903"/>
    <w:rsid w:val="00464A9E"/>
    <w:rsid w:val="00464E58"/>
    <w:rsid w:val="00465360"/>
    <w:rsid w:val="00465B06"/>
    <w:rsid w:val="00465BC6"/>
    <w:rsid w:val="00465BF3"/>
    <w:rsid w:val="004668A5"/>
    <w:rsid w:val="00466B4E"/>
    <w:rsid w:val="00466EAD"/>
    <w:rsid w:val="0046727B"/>
    <w:rsid w:val="004674B7"/>
    <w:rsid w:val="004706A4"/>
    <w:rsid w:val="004731AB"/>
    <w:rsid w:val="004732A3"/>
    <w:rsid w:val="0047344F"/>
    <w:rsid w:val="00473A36"/>
    <w:rsid w:val="00473DF4"/>
    <w:rsid w:val="004745A1"/>
    <w:rsid w:val="004753F5"/>
    <w:rsid w:val="00475F82"/>
    <w:rsid w:val="0047601C"/>
    <w:rsid w:val="00476112"/>
    <w:rsid w:val="00477402"/>
    <w:rsid w:val="004779A1"/>
    <w:rsid w:val="00477A8E"/>
    <w:rsid w:val="00477E5B"/>
    <w:rsid w:val="0048076C"/>
    <w:rsid w:val="00481470"/>
    <w:rsid w:val="00481DB7"/>
    <w:rsid w:val="004820A0"/>
    <w:rsid w:val="00482DB7"/>
    <w:rsid w:val="004840FF"/>
    <w:rsid w:val="00484313"/>
    <w:rsid w:val="004859A9"/>
    <w:rsid w:val="00486337"/>
    <w:rsid w:val="004867AB"/>
    <w:rsid w:val="00486A97"/>
    <w:rsid w:val="00487548"/>
    <w:rsid w:val="004877AE"/>
    <w:rsid w:val="00487BE6"/>
    <w:rsid w:val="00491471"/>
    <w:rsid w:val="0049323D"/>
    <w:rsid w:val="004938BA"/>
    <w:rsid w:val="00493B56"/>
    <w:rsid w:val="0049429F"/>
    <w:rsid w:val="00494694"/>
    <w:rsid w:val="00494915"/>
    <w:rsid w:val="00494DD9"/>
    <w:rsid w:val="004956E6"/>
    <w:rsid w:val="00495C06"/>
    <w:rsid w:val="004979B5"/>
    <w:rsid w:val="00497FB8"/>
    <w:rsid w:val="004A15A7"/>
    <w:rsid w:val="004A2F09"/>
    <w:rsid w:val="004A457F"/>
    <w:rsid w:val="004A4DE5"/>
    <w:rsid w:val="004A57CB"/>
    <w:rsid w:val="004A7167"/>
    <w:rsid w:val="004A77E4"/>
    <w:rsid w:val="004A798D"/>
    <w:rsid w:val="004A7AFA"/>
    <w:rsid w:val="004B02CC"/>
    <w:rsid w:val="004B0524"/>
    <w:rsid w:val="004B0AF5"/>
    <w:rsid w:val="004B0B84"/>
    <w:rsid w:val="004B0D68"/>
    <w:rsid w:val="004B19B1"/>
    <w:rsid w:val="004B1BDD"/>
    <w:rsid w:val="004B2231"/>
    <w:rsid w:val="004B26C0"/>
    <w:rsid w:val="004B2E2E"/>
    <w:rsid w:val="004B34DD"/>
    <w:rsid w:val="004B38B8"/>
    <w:rsid w:val="004B39D6"/>
    <w:rsid w:val="004B3CA5"/>
    <w:rsid w:val="004B4059"/>
    <w:rsid w:val="004B5EEA"/>
    <w:rsid w:val="004B705F"/>
    <w:rsid w:val="004B725B"/>
    <w:rsid w:val="004C022B"/>
    <w:rsid w:val="004C0651"/>
    <w:rsid w:val="004C0DA6"/>
    <w:rsid w:val="004C0DB4"/>
    <w:rsid w:val="004C1576"/>
    <w:rsid w:val="004C1979"/>
    <w:rsid w:val="004C1A6B"/>
    <w:rsid w:val="004C26BA"/>
    <w:rsid w:val="004C2F28"/>
    <w:rsid w:val="004C3B15"/>
    <w:rsid w:val="004C3B34"/>
    <w:rsid w:val="004C4555"/>
    <w:rsid w:val="004C470B"/>
    <w:rsid w:val="004C71A8"/>
    <w:rsid w:val="004D02FF"/>
    <w:rsid w:val="004D30F1"/>
    <w:rsid w:val="004D357F"/>
    <w:rsid w:val="004D4BC7"/>
    <w:rsid w:val="004D5307"/>
    <w:rsid w:val="004D6440"/>
    <w:rsid w:val="004D68AA"/>
    <w:rsid w:val="004D68D5"/>
    <w:rsid w:val="004D76AD"/>
    <w:rsid w:val="004D7B9D"/>
    <w:rsid w:val="004E1370"/>
    <w:rsid w:val="004E1794"/>
    <w:rsid w:val="004E17EC"/>
    <w:rsid w:val="004E2C18"/>
    <w:rsid w:val="004E2E5A"/>
    <w:rsid w:val="004E3226"/>
    <w:rsid w:val="004E38A1"/>
    <w:rsid w:val="004E3A13"/>
    <w:rsid w:val="004E3E3A"/>
    <w:rsid w:val="004E3E4D"/>
    <w:rsid w:val="004E6D8B"/>
    <w:rsid w:val="004F0704"/>
    <w:rsid w:val="004F0C72"/>
    <w:rsid w:val="004F10AB"/>
    <w:rsid w:val="004F13A9"/>
    <w:rsid w:val="004F26E4"/>
    <w:rsid w:val="004F297C"/>
    <w:rsid w:val="004F2E42"/>
    <w:rsid w:val="004F3586"/>
    <w:rsid w:val="004F38B2"/>
    <w:rsid w:val="004F3CDA"/>
    <w:rsid w:val="004F4050"/>
    <w:rsid w:val="004F4457"/>
    <w:rsid w:val="004F4FC7"/>
    <w:rsid w:val="004F51E3"/>
    <w:rsid w:val="004F6FAE"/>
    <w:rsid w:val="004F71F3"/>
    <w:rsid w:val="004F72F5"/>
    <w:rsid w:val="004F79A7"/>
    <w:rsid w:val="004F7AA1"/>
    <w:rsid w:val="004F7F88"/>
    <w:rsid w:val="005002EA"/>
    <w:rsid w:val="005009AE"/>
    <w:rsid w:val="00500E39"/>
    <w:rsid w:val="00501179"/>
    <w:rsid w:val="005017E4"/>
    <w:rsid w:val="00503F49"/>
    <w:rsid w:val="00504267"/>
    <w:rsid w:val="0050555E"/>
    <w:rsid w:val="00505DE3"/>
    <w:rsid w:val="005067D3"/>
    <w:rsid w:val="005068AA"/>
    <w:rsid w:val="00506B0A"/>
    <w:rsid w:val="005074B6"/>
    <w:rsid w:val="00510073"/>
    <w:rsid w:val="0051036D"/>
    <w:rsid w:val="0051086D"/>
    <w:rsid w:val="00510A2E"/>
    <w:rsid w:val="00510BBB"/>
    <w:rsid w:val="00511508"/>
    <w:rsid w:val="0051189B"/>
    <w:rsid w:val="00511A91"/>
    <w:rsid w:val="00512590"/>
    <w:rsid w:val="00512855"/>
    <w:rsid w:val="00512F19"/>
    <w:rsid w:val="00513B66"/>
    <w:rsid w:val="00513C1D"/>
    <w:rsid w:val="005146A2"/>
    <w:rsid w:val="00514DB9"/>
    <w:rsid w:val="00514EA6"/>
    <w:rsid w:val="0051546B"/>
    <w:rsid w:val="005167D9"/>
    <w:rsid w:val="00517762"/>
    <w:rsid w:val="00520C25"/>
    <w:rsid w:val="00520CD5"/>
    <w:rsid w:val="00521968"/>
    <w:rsid w:val="00522786"/>
    <w:rsid w:val="00522C8E"/>
    <w:rsid w:val="005232D7"/>
    <w:rsid w:val="00523790"/>
    <w:rsid w:val="00524491"/>
    <w:rsid w:val="00524738"/>
    <w:rsid w:val="00524A84"/>
    <w:rsid w:val="005253B6"/>
    <w:rsid w:val="0052589D"/>
    <w:rsid w:val="0052595B"/>
    <w:rsid w:val="00525A2E"/>
    <w:rsid w:val="00525EB3"/>
    <w:rsid w:val="00527919"/>
    <w:rsid w:val="0053015C"/>
    <w:rsid w:val="0053045C"/>
    <w:rsid w:val="00530C5C"/>
    <w:rsid w:val="00531F94"/>
    <w:rsid w:val="00532553"/>
    <w:rsid w:val="005325A4"/>
    <w:rsid w:val="005334AB"/>
    <w:rsid w:val="005356AC"/>
    <w:rsid w:val="00535F23"/>
    <w:rsid w:val="005363BC"/>
    <w:rsid w:val="005403E7"/>
    <w:rsid w:val="00540C56"/>
    <w:rsid w:val="0054118B"/>
    <w:rsid w:val="005419E3"/>
    <w:rsid w:val="00541A8E"/>
    <w:rsid w:val="00543853"/>
    <w:rsid w:val="00543D6F"/>
    <w:rsid w:val="0054402E"/>
    <w:rsid w:val="005445F3"/>
    <w:rsid w:val="00545217"/>
    <w:rsid w:val="00545AB6"/>
    <w:rsid w:val="00545BD9"/>
    <w:rsid w:val="0054619A"/>
    <w:rsid w:val="005461B9"/>
    <w:rsid w:val="00546255"/>
    <w:rsid w:val="005465A0"/>
    <w:rsid w:val="00546E84"/>
    <w:rsid w:val="005470CD"/>
    <w:rsid w:val="00547D5D"/>
    <w:rsid w:val="00550414"/>
    <w:rsid w:val="005508EC"/>
    <w:rsid w:val="005519BD"/>
    <w:rsid w:val="0055254F"/>
    <w:rsid w:val="005529AD"/>
    <w:rsid w:val="00553533"/>
    <w:rsid w:val="00553A2D"/>
    <w:rsid w:val="0055454E"/>
    <w:rsid w:val="0055477C"/>
    <w:rsid w:val="00554D00"/>
    <w:rsid w:val="00555102"/>
    <w:rsid w:val="0055592D"/>
    <w:rsid w:val="00556509"/>
    <w:rsid w:val="00556792"/>
    <w:rsid w:val="00556AFC"/>
    <w:rsid w:val="00556BE2"/>
    <w:rsid w:val="00556C44"/>
    <w:rsid w:val="005577CF"/>
    <w:rsid w:val="00557E2F"/>
    <w:rsid w:val="0056003A"/>
    <w:rsid w:val="00560716"/>
    <w:rsid w:val="00562404"/>
    <w:rsid w:val="005627A2"/>
    <w:rsid w:val="005627CA"/>
    <w:rsid w:val="00562B14"/>
    <w:rsid w:val="005632F4"/>
    <w:rsid w:val="00563894"/>
    <w:rsid w:val="00563DA2"/>
    <w:rsid w:val="00564294"/>
    <w:rsid w:val="00564957"/>
    <w:rsid w:val="0056509C"/>
    <w:rsid w:val="00565C87"/>
    <w:rsid w:val="005665EB"/>
    <w:rsid w:val="00567AE6"/>
    <w:rsid w:val="00571207"/>
    <w:rsid w:val="00571437"/>
    <w:rsid w:val="00571C10"/>
    <w:rsid w:val="005723C3"/>
    <w:rsid w:val="005723E5"/>
    <w:rsid w:val="0057310F"/>
    <w:rsid w:val="00573457"/>
    <w:rsid w:val="0057434A"/>
    <w:rsid w:val="0057529D"/>
    <w:rsid w:val="00575B51"/>
    <w:rsid w:val="00575F9F"/>
    <w:rsid w:val="005765C4"/>
    <w:rsid w:val="00576EDA"/>
    <w:rsid w:val="00576FAB"/>
    <w:rsid w:val="00577449"/>
    <w:rsid w:val="00577826"/>
    <w:rsid w:val="0057786B"/>
    <w:rsid w:val="00577E2D"/>
    <w:rsid w:val="0058069D"/>
    <w:rsid w:val="00580E00"/>
    <w:rsid w:val="00581127"/>
    <w:rsid w:val="00581B99"/>
    <w:rsid w:val="00581BF1"/>
    <w:rsid w:val="00581CE9"/>
    <w:rsid w:val="005828FE"/>
    <w:rsid w:val="00582A04"/>
    <w:rsid w:val="005840DD"/>
    <w:rsid w:val="00584B91"/>
    <w:rsid w:val="0058551F"/>
    <w:rsid w:val="005858E1"/>
    <w:rsid w:val="005861D2"/>
    <w:rsid w:val="005866D6"/>
    <w:rsid w:val="00587321"/>
    <w:rsid w:val="0058747D"/>
    <w:rsid w:val="00587A95"/>
    <w:rsid w:val="00587F34"/>
    <w:rsid w:val="00590566"/>
    <w:rsid w:val="00590590"/>
    <w:rsid w:val="00590BA9"/>
    <w:rsid w:val="00591042"/>
    <w:rsid w:val="005911B1"/>
    <w:rsid w:val="005919BD"/>
    <w:rsid w:val="00592520"/>
    <w:rsid w:val="005931AA"/>
    <w:rsid w:val="0059380F"/>
    <w:rsid w:val="00593F9B"/>
    <w:rsid w:val="005944D0"/>
    <w:rsid w:val="00594883"/>
    <w:rsid w:val="00594CCA"/>
    <w:rsid w:val="005955EE"/>
    <w:rsid w:val="005968F1"/>
    <w:rsid w:val="00596D95"/>
    <w:rsid w:val="0059772D"/>
    <w:rsid w:val="005A0567"/>
    <w:rsid w:val="005A1F67"/>
    <w:rsid w:val="005A209A"/>
    <w:rsid w:val="005A23D6"/>
    <w:rsid w:val="005A376A"/>
    <w:rsid w:val="005A380F"/>
    <w:rsid w:val="005A3E9A"/>
    <w:rsid w:val="005A53E3"/>
    <w:rsid w:val="005A5EC9"/>
    <w:rsid w:val="005A7311"/>
    <w:rsid w:val="005A7616"/>
    <w:rsid w:val="005A77A3"/>
    <w:rsid w:val="005A7978"/>
    <w:rsid w:val="005A7FF2"/>
    <w:rsid w:val="005B01B9"/>
    <w:rsid w:val="005B0831"/>
    <w:rsid w:val="005B0A9D"/>
    <w:rsid w:val="005B113E"/>
    <w:rsid w:val="005B1F6A"/>
    <w:rsid w:val="005B2845"/>
    <w:rsid w:val="005B286C"/>
    <w:rsid w:val="005B38B8"/>
    <w:rsid w:val="005B3F8C"/>
    <w:rsid w:val="005B49CA"/>
    <w:rsid w:val="005B49CC"/>
    <w:rsid w:val="005B5FAA"/>
    <w:rsid w:val="005B6CAB"/>
    <w:rsid w:val="005B6E19"/>
    <w:rsid w:val="005B79AA"/>
    <w:rsid w:val="005C0185"/>
    <w:rsid w:val="005C06AB"/>
    <w:rsid w:val="005C0986"/>
    <w:rsid w:val="005C246D"/>
    <w:rsid w:val="005C2485"/>
    <w:rsid w:val="005C2BEA"/>
    <w:rsid w:val="005C3A8C"/>
    <w:rsid w:val="005C3ED8"/>
    <w:rsid w:val="005C43B6"/>
    <w:rsid w:val="005C4AEF"/>
    <w:rsid w:val="005C5784"/>
    <w:rsid w:val="005C5AB5"/>
    <w:rsid w:val="005C7388"/>
    <w:rsid w:val="005C7FEA"/>
    <w:rsid w:val="005D137E"/>
    <w:rsid w:val="005D1CBE"/>
    <w:rsid w:val="005D2552"/>
    <w:rsid w:val="005D33F0"/>
    <w:rsid w:val="005D3498"/>
    <w:rsid w:val="005D36F7"/>
    <w:rsid w:val="005D4099"/>
    <w:rsid w:val="005D4AF2"/>
    <w:rsid w:val="005D67DE"/>
    <w:rsid w:val="005D7896"/>
    <w:rsid w:val="005E0508"/>
    <w:rsid w:val="005E11BA"/>
    <w:rsid w:val="005E25F5"/>
    <w:rsid w:val="005E26F7"/>
    <w:rsid w:val="005E4F99"/>
    <w:rsid w:val="005E505A"/>
    <w:rsid w:val="005E507E"/>
    <w:rsid w:val="005E695E"/>
    <w:rsid w:val="005E6D26"/>
    <w:rsid w:val="005E72EE"/>
    <w:rsid w:val="005F010E"/>
    <w:rsid w:val="005F03DD"/>
    <w:rsid w:val="005F07CC"/>
    <w:rsid w:val="005F11D7"/>
    <w:rsid w:val="005F25F2"/>
    <w:rsid w:val="005F2CD6"/>
    <w:rsid w:val="005F2E6C"/>
    <w:rsid w:val="005F36A3"/>
    <w:rsid w:val="005F3A19"/>
    <w:rsid w:val="005F3EE9"/>
    <w:rsid w:val="005F401E"/>
    <w:rsid w:val="005F480F"/>
    <w:rsid w:val="005F57E2"/>
    <w:rsid w:val="005F5CC6"/>
    <w:rsid w:val="005F6FAD"/>
    <w:rsid w:val="005F7887"/>
    <w:rsid w:val="006001BD"/>
    <w:rsid w:val="006004FD"/>
    <w:rsid w:val="00600DAF"/>
    <w:rsid w:val="0060153B"/>
    <w:rsid w:val="006015A1"/>
    <w:rsid w:val="00601998"/>
    <w:rsid w:val="00601FBE"/>
    <w:rsid w:val="00602183"/>
    <w:rsid w:val="00602925"/>
    <w:rsid w:val="0060344D"/>
    <w:rsid w:val="00603644"/>
    <w:rsid w:val="006039F5"/>
    <w:rsid w:val="0060475D"/>
    <w:rsid w:val="00604822"/>
    <w:rsid w:val="00605DEB"/>
    <w:rsid w:val="00606F18"/>
    <w:rsid w:val="006070A8"/>
    <w:rsid w:val="0060723A"/>
    <w:rsid w:val="006072BC"/>
    <w:rsid w:val="00610124"/>
    <w:rsid w:val="006104A4"/>
    <w:rsid w:val="00610509"/>
    <w:rsid w:val="00610A79"/>
    <w:rsid w:val="00610C00"/>
    <w:rsid w:val="00610EFF"/>
    <w:rsid w:val="006113CF"/>
    <w:rsid w:val="00612968"/>
    <w:rsid w:val="00613032"/>
    <w:rsid w:val="00614646"/>
    <w:rsid w:val="006152F3"/>
    <w:rsid w:val="006155F1"/>
    <w:rsid w:val="00616215"/>
    <w:rsid w:val="006163F2"/>
    <w:rsid w:val="006165D0"/>
    <w:rsid w:val="00617AE5"/>
    <w:rsid w:val="00617FBB"/>
    <w:rsid w:val="006201DC"/>
    <w:rsid w:val="00621344"/>
    <w:rsid w:val="00622CFC"/>
    <w:rsid w:val="00623037"/>
    <w:rsid w:val="0062365D"/>
    <w:rsid w:val="006243F8"/>
    <w:rsid w:val="0062492F"/>
    <w:rsid w:val="00624951"/>
    <w:rsid w:val="00624A6A"/>
    <w:rsid w:val="006256EB"/>
    <w:rsid w:val="0062615F"/>
    <w:rsid w:val="006264DF"/>
    <w:rsid w:val="00626B2B"/>
    <w:rsid w:val="00626BA4"/>
    <w:rsid w:val="006274CB"/>
    <w:rsid w:val="00630509"/>
    <w:rsid w:val="0063058A"/>
    <w:rsid w:val="00632674"/>
    <w:rsid w:val="00633B49"/>
    <w:rsid w:val="00634DEC"/>
    <w:rsid w:val="006356BF"/>
    <w:rsid w:val="006360F3"/>
    <w:rsid w:val="006371B0"/>
    <w:rsid w:val="006374FA"/>
    <w:rsid w:val="00637DBC"/>
    <w:rsid w:val="00640736"/>
    <w:rsid w:val="006411B4"/>
    <w:rsid w:val="00642345"/>
    <w:rsid w:val="00642FF0"/>
    <w:rsid w:val="00643348"/>
    <w:rsid w:val="0064490F"/>
    <w:rsid w:val="00644C76"/>
    <w:rsid w:val="00644CBE"/>
    <w:rsid w:val="0064512E"/>
    <w:rsid w:val="00645331"/>
    <w:rsid w:val="00645A73"/>
    <w:rsid w:val="0064723D"/>
    <w:rsid w:val="00647E4C"/>
    <w:rsid w:val="00650328"/>
    <w:rsid w:val="00650862"/>
    <w:rsid w:val="00650D3F"/>
    <w:rsid w:val="006515A2"/>
    <w:rsid w:val="0065206C"/>
    <w:rsid w:val="00652142"/>
    <w:rsid w:val="0065245D"/>
    <w:rsid w:val="0065337D"/>
    <w:rsid w:val="00653743"/>
    <w:rsid w:val="00653E4E"/>
    <w:rsid w:val="006555E7"/>
    <w:rsid w:val="00655D63"/>
    <w:rsid w:val="00655E31"/>
    <w:rsid w:val="00656254"/>
    <w:rsid w:val="006569A5"/>
    <w:rsid w:val="00657674"/>
    <w:rsid w:val="006579F4"/>
    <w:rsid w:val="00657BC1"/>
    <w:rsid w:val="00660716"/>
    <w:rsid w:val="00661508"/>
    <w:rsid w:val="006616E6"/>
    <w:rsid w:val="00662747"/>
    <w:rsid w:val="00662E3A"/>
    <w:rsid w:val="00662F31"/>
    <w:rsid w:val="0066387F"/>
    <w:rsid w:val="00663C86"/>
    <w:rsid w:val="006643FE"/>
    <w:rsid w:val="00664651"/>
    <w:rsid w:val="0066500D"/>
    <w:rsid w:val="00665445"/>
    <w:rsid w:val="00665694"/>
    <w:rsid w:val="00666235"/>
    <w:rsid w:val="0066697F"/>
    <w:rsid w:val="00666D4A"/>
    <w:rsid w:val="006678C1"/>
    <w:rsid w:val="00670213"/>
    <w:rsid w:val="00673F04"/>
    <w:rsid w:val="00673F5D"/>
    <w:rsid w:val="00673FF0"/>
    <w:rsid w:val="006743B5"/>
    <w:rsid w:val="00674528"/>
    <w:rsid w:val="00674FA3"/>
    <w:rsid w:val="006751AD"/>
    <w:rsid w:val="00675287"/>
    <w:rsid w:val="006756E1"/>
    <w:rsid w:val="00675722"/>
    <w:rsid w:val="00676481"/>
    <w:rsid w:val="006773F7"/>
    <w:rsid w:val="00677E55"/>
    <w:rsid w:val="0068012C"/>
    <w:rsid w:val="00680604"/>
    <w:rsid w:val="00680EBF"/>
    <w:rsid w:val="00680F0D"/>
    <w:rsid w:val="00681391"/>
    <w:rsid w:val="00681572"/>
    <w:rsid w:val="00681AC5"/>
    <w:rsid w:val="00681B9C"/>
    <w:rsid w:val="00681D03"/>
    <w:rsid w:val="006824AB"/>
    <w:rsid w:val="006831AC"/>
    <w:rsid w:val="00683ADB"/>
    <w:rsid w:val="00684661"/>
    <w:rsid w:val="00684AC6"/>
    <w:rsid w:val="00684E11"/>
    <w:rsid w:val="00685288"/>
    <w:rsid w:val="00686791"/>
    <w:rsid w:val="00687201"/>
    <w:rsid w:val="006876A8"/>
    <w:rsid w:val="00687795"/>
    <w:rsid w:val="00687BA3"/>
    <w:rsid w:val="00687C88"/>
    <w:rsid w:val="00690170"/>
    <w:rsid w:val="00690F85"/>
    <w:rsid w:val="0069128D"/>
    <w:rsid w:val="00691B3D"/>
    <w:rsid w:val="00692160"/>
    <w:rsid w:val="00692394"/>
    <w:rsid w:val="006929F1"/>
    <w:rsid w:val="00693603"/>
    <w:rsid w:val="00693D9D"/>
    <w:rsid w:val="0069458B"/>
    <w:rsid w:val="00694F9F"/>
    <w:rsid w:val="006954A9"/>
    <w:rsid w:val="00695E1F"/>
    <w:rsid w:val="006961B6"/>
    <w:rsid w:val="00696B34"/>
    <w:rsid w:val="00697690"/>
    <w:rsid w:val="006A0128"/>
    <w:rsid w:val="006A07FE"/>
    <w:rsid w:val="006A0BFC"/>
    <w:rsid w:val="006A12A2"/>
    <w:rsid w:val="006A1BD3"/>
    <w:rsid w:val="006A2158"/>
    <w:rsid w:val="006A22FD"/>
    <w:rsid w:val="006A250C"/>
    <w:rsid w:val="006A264A"/>
    <w:rsid w:val="006A2D05"/>
    <w:rsid w:val="006A34C4"/>
    <w:rsid w:val="006A5FE8"/>
    <w:rsid w:val="006A60A2"/>
    <w:rsid w:val="006A670A"/>
    <w:rsid w:val="006A6714"/>
    <w:rsid w:val="006A7240"/>
    <w:rsid w:val="006A7B92"/>
    <w:rsid w:val="006B08E3"/>
    <w:rsid w:val="006B09BC"/>
    <w:rsid w:val="006B0A94"/>
    <w:rsid w:val="006B0B8C"/>
    <w:rsid w:val="006B1FA0"/>
    <w:rsid w:val="006B2A8F"/>
    <w:rsid w:val="006B3087"/>
    <w:rsid w:val="006B41E9"/>
    <w:rsid w:val="006B5601"/>
    <w:rsid w:val="006B599F"/>
    <w:rsid w:val="006B5F68"/>
    <w:rsid w:val="006B6ED9"/>
    <w:rsid w:val="006B6F01"/>
    <w:rsid w:val="006B7681"/>
    <w:rsid w:val="006C1477"/>
    <w:rsid w:val="006C2A53"/>
    <w:rsid w:val="006C325C"/>
    <w:rsid w:val="006C4023"/>
    <w:rsid w:val="006C4075"/>
    <w:rsid w:val="006C49E1"/>
    <w:rsid w:val="006C64CE"/>
    <w:rsid w:val="006C66F0"/>
    <w:rsid w:val="006C6C63"/>
    <w:rsid w:val="006C6DAC"/>
    <w:rsid w:val="006D02F3"/>
    <w:rsid w:val="006D0920"/>
    <w:rsid w:val="006D1ADB"/>
    <w:rsid w:val="006D359C"/>
    <w:rsid w:val="006D3F55"/>
    <w:rsid w:val="006D4840"/>
    <w:rsid w:val="006D4926"/>
    <w:rsid w:val="006D5BC1"/>
    <w:rsid w:val="006D5FB6"/>
    <w:rsid w:val="006D6157"/>
    <w:rsid w:val="006D64D4"/>
    <w:rsid w:val="006D672D"/>
    <w:rsid w:val="006D7C8E"/>
    <w:rsid w:val="006E0645"/>
    <w:rsid w:val="006E1242"/>
    <w:rsid w:val="006E30FC"/>
    <w:rsid w:val="006E3272"/>
    <w:rsid w:val="006E3ECD"/>
    <w:rsid w:val="006E3F81"/>
    <w:rsid w:val="006E4211"/>
    <w:rsid w:val="006E435E"/>
    <w:rsid w:val="006E45AD"/>
    <w:rsid w:val="006E4A38"/>
    <w:rsid w:val="006E679B"/>
    <w:rsid w:val="006E6806"/>
    <w:rsid w:val="006E719D"/>
    <w:rsid w:val="006E77DD"/>
    <w:rsid w:val="006F056D"/>
    <w:rsid w:val="006F069F"/>
    <w:rsid w:val="006F08A7"/>
    <w:rsid w:val="006F09D8"/>
    <w:rsid w:val="006F0F0F"/>
    <w:rsid w:val="006F1058"/>
    <w:rsid w:val="006F1575"/>
    <w:rsid w:val="006F2233"/>
    <w:rsid w:val="006F2678"/>
    <w:rsid w:val="006F28C7"/>
    <w:rsid w:val="006F4196"/>
    <w:rsid w:val="006F498C"/>
    <w:rsid w:val="006F5C90"/>
    <w:rsid w:val="006F5EAE"/>
    <w:rsid w:val="006F60BE"/>
    <w:rsid w:val="006F6D6E"/>
    <w:rsid w:val="006F7337"/>
    <w:rsid w:val="006F7663"/>
    <w:rsid w:val="006F79AA"/>
    <w:rsid w:val="00700C70"/>
    <w:rsid w:val="0070112F"/>
    <w:rsid w:val="00701B53"/>
    <w:rsid w:val="00702CE8"/>
    <w:rsid w:val="00702F61"/>
    <w:rsid w:val="0070335F"/>
    <w:rsid w:val="00703699"/>
    <w:rsid w:val="0070449E"/>
    <w:rsid w:val="0070488C"/>
    <w:rsid w:val="0070495C"/>
    <w:rsid w:val="0070537A"/>
    <w:rsid w:val="007064B4"/>
    <w:rsid w:val="00706637"/>
    <w:rsid w:val="00706A08"/>
    <w:rsid w:val="00706BD4"/>
    <w:rsid w:val="00706CA9"/>
    <w:rsid w:val="007079BE"/>
    <w:rsid w:val="007101D4"/>
    <w:rsid w:val="007104DD"/>
    <w:rsid w:val="0071112F"/>
    <w:rsid w:val="007125E5"/>
    <w:rsid w:val="0071442D"/>
    <w:rsid w:val="00714698"/>
    <w:rsid w:val="00714806"/>
    <w:rsid w:val="007149F3"/>
    <w:rsid w:val="00714C05"/>
    <w:rsid w:val="007153F9"/>
    <w:rsid w:val="00715AF7"/>
    <w:rsid w:val="00715FA8"/>
    <w:rsid w:val="0071617B"/>
    <w:rsid w:val="00716A9A"/>
    <w:rsid w:val="00717734"/>
    <w:rsid w:val="00717C87"/>
    <w:rsid w:val="00717FE2"/>
    <w:rsid w:val="0072130F"/>
    <w:rsid w:val="00721A5B"/>
    <w:rsid w:val="00721AA1"/>
    <w:rsid w:val="00722346"/>
    <w:rsid w:val="007229A1"/>
    <w:rsid w:val="007239EB"/>
    <w:rsid w:val="007244FC"/>
    <w:rsid w:val="007256A6"/>
    <w:rsid w:val="0072597C"/>
    <w:rsid w:val="00725995"/>
    <w:rsid w:val="0072678F"/>
    <w:rsid w:val="007270A3"/>
    <w:rsid w:val="00727107"/>
    <w:rsid w:val="00727AAD"/>
    <w:rsid w:val="00727BA6"/>
    <w:rsid w:val="00730010"/>
    <w:rsid w:val="007302BD"/>
    <w:rsid w:val="007305CE"/>
    <w:rsid w:val="00730BD2"/>
    <w:rsid w:val="007324CA"/>
    <w:rsid w:val="00732BEF"/>
    <w:rsid w:val="007338FE"/>
    <w:rsid w:val="00734603"/>
    <w:rsid w:val="0073473C"/>
    <w:rsid w:val="007349FE"/>
    <w:rsid w:val="00734E77"/>
    <w:rsid w:val="00736F8E"/>
    <w:rsid w:val="007371F2"/>
    <w:rsid w:val="00737B5A"/>
    <w:rsid w:val="00737BC9"/>
    <w:rsid w:val="00740442"/>
    <w:rsid w:val="0074097F"/>
    <w:rsid w:val="00741C89"/>
    <w:rsid w:val="00742469"/>
    <w:rsid w:val="007428D5"/>
    <w:rsid w:val="007432C8"/>
    <w:rsid w:val="00743F0E"/>
    <w:rsid w:val="00744A7D"/>
    <w:rsid w:val="00744E97"/>
    <w:rsid w:val="0074554B"/>
    <w:rsid w:val="00745BB3"/>
    <w:rsid w:val="00746D6D"/>
    <w:rsid w:val="00746D76"/>
    <w:rsid w:val="007501BD"/>
    <w:rsid w:val="007503C6"/>
    <w:rsid w:val="00751E8C"/>
    <w:rsid w:val="00752577"/>
    <w:rsid w:val="00752845"/>
    <w:rsid w:val="00752DF6"/>
    <w:rsid w:val="0075324F"/>
    <w:rsid w:val="0075331B"/>
    <w:rsid w:val="007538E3"/>
    <w:rsid w:val="00753A74"/>
    <w:rsid w:val="007546DE"/>
    <w:rsid w:val="0075583A"/>
    <w:rsid w:val="0075604F"/>
    <w:rsid w:val="007567B8"/>
    <w:rsid w:val="00762EAF"/>
    <w:rsid w:val="00763D24"/>
    <w:rsid w:val="0076428B"/>
    <w:rsid w:val="0076464B"/>
    <w:rsid w:val="00766006"/>
    <w:rsid w:val="00766112"/>
    <w:rsid w:val="0076682D"/>
    <w:rsid w:val="00767095"/>
    <w:rsid w:val="007677C2"/>
    <w:rsid w:val="0077051F"/>
    <w:rsid w:val="00770716"/>
    <w:rsid w:val="007709B9"/>
    <w:rsid w:val="00771425"/>
    <w:rsid w:val="00771A69"/>
    <w:rsid w:val="00771F9A"/>
    <w:rsid w:val="00773727"/>
    <w:rsid w:val="007738BE"/>
    <w:rsid w:val="00775004"/>
    <w:rsid w:val="00776E55"/>
    <w:rsid w:val="007771CB"/>
    <w:rsid w:val="0077739D"/>
    <w:rsid w:val="0077768D"/>
    <w:rsid w:val="00777A96"/>
    <w:rsid w:val="00777D73"/>
    <w:rsid w:val="00781C97"/>
    <w:rsid w:val="007820AC"/>
    <w:rsid w:val="00782781"/>
    <w:rsid w:val="00782AD1"/>
    <w:rsid w:val="007843F8"/>
    <w:rsid w:val="007858DA"/>
    <w:rsid w:val="00785C7E"/>
    <w:rsid w:val="00786413"/>
    <w:rsid w:val="00786A25"/>
    <w:rsid w:val="00786FBE"/>
    <w:rsid w:val="007909D4"/>
    <w:rsid w:val="00790EF6"/>
    <w:rsid w:val="007915CB"/>
    <w:rsid w:val="00791B2A"/>
    <w:rsid w:val="00792278"/>
    <w:rsid w:val="00793238"/>
    <w:rsid w:val="00793320"/>
    <w:rsid w:val="007935FC"/>
    <w:rsid w:val="00793CA8"/>
    <w:rsid w:val="007941AE"/>
    <w:rsid w:val="007949BB"/>
    <w:rsid w:val="00794D63"/>
    <w:rsid w:val="0079582A"/>
    <w:rsid w:val="00796DD5"/>
    <w:rsid w:val="00797764"/>
    <w:rsid w:val="00797EAB"/>
    <w:rsid w:val="007A0034"/>
    <w:rsid w:val="007A0C9F"/>
    <w:rsid w:val="007A0E39"/>
    <w:rsid w:val="007A1A01"/>
    <w:rsid w:val="007A1FBA"/>
    <w:rsid w:val="007A2C46"/>
    <w:rsid w:val="007A36A6"/>
    <w:rsid w:val="007A4966"/>
    <w:rsid w:val="007A4BD7"/>
    <w:rsid w:val="007A4D3C"/>
    <w:rsid w:val="007A5316"/>
    <w:rsid w:val="007A54D1"/>
    <w:rsid w:val="007A5BD6"/>
    <w:rsid w:val="007A5E3E"/>
    <w:rsid w:val="007A6499"/>
    <w:rsid w:val="007A68C2"/>
    <w:rsid w:val="007A69CD"/>
    <w:rsid w:val="007A7100"/>
    <w:rsid w:val="007A7DD4"/>
    <w:rsid w:val="007A7EA3"/>
    <w:rsid w:val="007B02F3"/>
    <w:rsid w:val="007B04F8"/>
    <w:rsid w:val="007B0DF7"/>
    <w:rsid w:val="007B0F43"/>
    <w:rsid w:val="007B1783"/>
    <w:rsid w:val="007B2B37"/>
    <w:rsid w:val="007B2B6C"/>
    <w:rsid w:val="007B3391"/>
    <w:rsid w:val="007B4A33"/>
    <w:rsid w:val="007B4EB5"/>
    <w:rsid w:val="007B56BD"/>
    <w:rsid w:val="007B5E85"/>
    <w:rsid w:val="007B73D1"/>
    <w:rsid w:val="007C0AE9"/>
    <w:rsid w:val="007C1915"/>
    <w:rsid w:val="007C22CB"/>
    <w:rsid w:val="007C433E"/>
    <w:rsid w:val="007C43E7"/>
    <w:rsid w:val="007C4A98"/>
    <w:rsid w:val="007C4FEC"/>
    <w:rsid w:val="007C511C"/>
    <w:rsid w:val="007C5491"/>
    <w:rsid w:val="007C68C3"/>
    <w:rsid w:val="007C6997"/>
    <w:rsid w:val="007C7232"/>
    <w:rsid w:val="007D03D0"/>
    <w:rsid w:val="007D13EF"/>
    <w:rsid w:val="007D1CC5"/>
    <w:rsid w:val="007D2B9D"/>
    <w:rsid w:val="007D2C75"/>
    <w:rsid w:val="007D3334"/>
    <w:rsid w:val="007D369A"/>
    <w:rsid w:val="007D3FF2"/>
    <w:rsid w:val="007D4D01"/>
    <w:rsid w:val="007D4DC2"/>
    <w:rsid w:val="007D5759"/>
    <w:rsid w:val="007D6D44"/>
    <w:rsid w:val="007D71B5"/>
    <w:rsid w:val="007D773D"/>
    <w:rsid w:val="007E04EE"/>
    <w:rsid w:val="007E0B6C"/>
    <w:rsid w:val="007E0FF1"/>
    <w:rsid w:val="007E1946"/>
    <w:rsid w:val="007E1AB5"/>
    <w:rsid w:val="007E221D"/>
    <w:rsid w:val="007E2429"/>
    <w:rsid w:val="007E3AC3"/>
    <w:rsid w:val="007E5303"/>
    <w:rsid w:val="007E65E5"/>
    <w:rsid w:val="007E676B"/>
    <w:rsid w:val="007E6AA3"/>
    <w:rsid w:val="007E72EB"/>
    <w:rsid w:val="007E7AA5"/>
    <w:rsid w:val="007E7C16"/>
    <w:rsid w:val="007F173E"/>
    <w:rsid w:val="007F1E36"/>
    <w:rsid w:val="007F289A"/>
    <w:rsid w:val="007F2AB3"/>
    <w:rsid w:val="007F2D3C"/>
    <w:rsid w:val="007F3607"/>
    <w:rsid w:val="007F371D"/>
    <w:rsid w:val="007F3C0A"/>
    <w:rsid w:val="007F4E86"/>
    <w:rsid w:val="007F4F53"/>
    <w:rsid w:val="007F51CA"/>
    <w:rsid w:val="007F57CF"/>
    <w:rsid w:val="007F5B33"/>
    <w:rsid w:val="007F5E9A"/>
    <w:rsid w:val="007F60CF"/>
    <w:rsid w:val="007F7138"/>
    <w:rsid w:val="007F72FD"/>
    <w:rsid w:val="007F7CEA"/>
    <w:rsid w:val="008000C5"/>
    <w:rsid w:val="00800E53"/>
    <w:rsid w:val="00801513"/>
    <w:rsid w:val="008027F5"/>
    <w:rsid w:val="008030B0"/>
    <w:rsid w:val="00803412"/>
    <w:rsid w:val="008037E7"/>
    <w:rsid w:val="008038C2"/>
    <w:rsid w:val="00803DBF"/>
    <w:rsid w:val="00803E57"/>
    <w:rsid w:val="008045C9"/>
    <w:rsid w:val="0080492C"/>
    <w:rsid w:val="00804AD5"/>
    <w:rsid w:val="0080509C"/>
    <w:rsid w:val="00806595"/>
    <w:rsid w:val="00806E41"/>
    <w:rsid w:val="00806F57"/>
    <w:rsid w:val="008077FF"/>
    <w:rsid w:val="008079F4"/>
    <w:rsid w:val="00810B25"/>
    <w:rsid w:val="008116D5"/>
    <w:rsid w:val="00811AD0"/>
    <w:rsid w:val="00811DC7"/>
    <w:rsid w:val="008122C5"/>
    <w:rsid w:val="00812437"/>
    <w:rsid w:val="00812CF1"/>
    <w:rsid w:val="00812DB3"/>
    <w:rsid w:val="00813BC0"/>
    <w:rsid w:val="0081458E"/>
    <w:rsid w:val="00814E10"/>
    <w:rsid w:val="008150C7"/>
    <w:rsid w:val="0081543B"/>
    <w:rsid w:val="008154A4"/>
    <w:rsid w:val="0081577F"/>
    <w:rsid w:val="0081608D"/>
    <w:rsid w:val="008161B4"/>
    <w:rsid w:val="00817686"/>
    <w:rsid w:val="00817710"/>
    <w:rsid w:val="00817CD0"/>
    <w:rsid w:val="00820EFD"/>
    <w:rsid w:val="00822A7B"/>
    <w:rsid w:val="008230DD"/>
    <w:rsid w:val="00823E31"/>
    <w:rsid w:val="00824209"/>
    <w:rsid w:val="00824EFC"/>
    <w:rsid w:val="0082560E"/>
    <w:rsid w:val="00825B35"/>
    <w:rsid w:val="00825CCC"/>
    <w:rsid w:val="008265CB"/>
    <w:rsid w:val="008269CF"/>
    <w:rsid w:val="0082706E"/>
    <w:rsid w:val="00827F58"/>
    <w:rsid w:val="008312AA"/>
    <w:rsid w:val="008314D2"/>
    <w:rsid w:val="0083198D"/>
    <w:rsid w:val="00832255"/>
    <w:rsid w:val="00832C75"/>
    <w:rsid w:val="0083369D"/>
    <w:rsid w:val="00833810"/>
    <w:rsid w:val="00833E80"/>
    <w:rsid w:val="0083684A"/>
    <w:rsid w:val="0083693C"/>
    <w:rsid w:val="00836EAC"/>
    <w:rsid w:val="0083746C"/>
    <w:rsid w:val="00837A77"/>
    <w:rsid w:val="00841185"/>
    <w:rsid w:val="008437D5"/>
    <w:rsid w:val="00843A09"/>
    <w:rsid w:val="00844396"/>
    <w:rsid w:val="00844CC1"/>
    <w:rsid w:val="00845678"/>
    <w:rsid w:val="00845D84"/>
    <w:rsid w:val="0084761E"/>
    <w:rsid w:val="00847ABB"/>
    <w:rsid w:val="00847B7A"/>
    <w:rsid w:val="0085091C"/>
    <w:rsid w:val="0085149A"/>
    <w:rsid w:val="00851CEA"/>
    <w:rsid w:val="00852754"/>
    <w:rsid w:val="00852E91"/>
    <w:rsid w:val="00852F2F"/>
    <w:rsid w:val="0085318A"/>
    <w:rsid w:val="00854C93"/>
    <w:rsid w:val="008550D8"/>
    <w:rsid w:val="00856878"/>
    <w:rsid w:val="00856952"/>
    <w:rsid w:val="008573B7"/>
    <w:rsid w:val="008579BC"/>
    <w:rsid w:val="00857C2C"/>
    <w:rsid w:val="00857C97"/>
    <w:rsid w:val="00860610"/>
    <w:rsid w:val="00860A59"/>
    <w:rsid w:val="00861636"/>
    <w:rsid w:val="00862318"/>
    <w:rsid w:val="008623C1"/>
    <w:rsid w:val="00863464"/>
    <w:rsid w:val="00863724"/>
    <w:rsid w:val="00865443"/>
    <w:rsid w:val="008659F9"/>
    <w:rsid w:val="0086666B"/>
    <w:rsid w:val="00867C34"/>
    <w:rsid w:val="008706E4"/>
    <w:rsid w:val="00870B02"/>
    <w:rsid w:val="00870DC9"/>
    <w:rsid w:val="0087139F"/>
    <w:rsid w:val="00871E2F"/>
    <w:rsid w:val="00872023"/>
    <w:rsid w:val="008723D1"/>
    <w:rsid w:val="00872B13"/>
    <w:rsid w:val="00873884"/>
    <w:rsid w:val="00873AFA"/>
    <w:rsid w:val="00873C66"/>
    <w:rsid w:val="008744D8"/>
    <w:rsid w:val="008746AD"/>
    <w:rsid w:val="0087486B"/>
    <w:rsid w:val="00875191"/>
    <w:rsid w:val="008766A1"/>
    <w:rsid w:val="00877F22"/>
    <w:rsid w:val="008803FC"/>
    <w:rsid w:val="00880E5B"/>
    <w:rsid w:val="0088100F"/>
    <w:rsid w:val="00881B05"/>
    <w:rsid w:val="00882F0F"/>
    <w:rsid w:val="00884291"/>
    <w:rsid w:val="008854C0"/>
    <w:rsid w:val="0088796F"/>
    <w:rsid w:val="00887ACF"/>
    <w:rsid w:val="00891111"/>
    <w:rsid w:val="0089343B"/>
    <w:rsid w:val="008936A0"/>
    <w:rsid w:val="00893761"/>
    <w:rsid w:val="00893CB3"/>
    <w:rsid w:val="0089447E"/>
    <w:rsid w:val="00896431"/>
    <w:rsid w:val="008969C9"/>
    <w:rsid w:val="0089712E"/>
    <w:rsid w:val="00897DB6"/>
    <w:rsid w:val="008A06A8"/>
    <w:rsid w:val="008A1B9F"/>
    <w:rsid w:val="008A1C47"/>
    <w:rsid w:val="008A2715"/>
    <w:rsid w:val="008A3647"/>
    <w:rsid w:val="008A44ED"/>
    <w:rsid w:val="008A4C83"/>
    <w:rsid w:val="008A4E12"/>
    <w:rsid w:val="008A4F33"/>
    <w:rsid w:val="008A5D4F"/>
    <w:rsid w:val="008A69B3"/>
    <w:rsid w:val="008B0531"/>
    <w:rsid w:val="008B14CF"/>
    <w:rsid w:val="008B199C"/>
    <w:rsid w:val="008B3201"/>
    <w:rsid w:val="008B448D"/>
    <w:rsid w:val="008B44BF"/>
    <w:rsid w:val="008B6F28"/>
    <w:rsid w:val="008B7486"/>
    <w:rsid w:val="008B78FD"/>
    <w:rsid w:val="008C009B"/>
    <w:rsid w:val="008C1057"/>
    <w:rsid w:val="008C1609"/>
    <w:rsid w:val="008C1654"/>
    <w:rsid w:val="008C2AC7"/>
    <w:rsid w:val="008C2DD7"/>
    <w:rsid w:val="008C3A2D"/>
    <w:rsid w:val="008C5C99"/>
    <w:rsid w:val="008C5CD1"/>
    <w:rsid w:val="008C5DCB"/>
    <w:rsid w:val="008C5E59"/>
    <w:rsid w:val="008C63B4"/>
    <w:rsid w:val="008C6CCB"/>
    <w:rsid w:val="008C71EA"/>
    <w:rsid w:val="008D0F52"/>
    <w:rsid w:val="008D17EC"/>
    <w:rsid w:val="008D1DC5"/>
    <w:rsid w:val="008D225F"/>
    <w:rsid w:val="008D27DD"/>
    <w:rsid w:val="008D2871"/>
    <w:rsid w:val="008D29EA"/>
    <w:rsid w:val="008D3CAC"/>
    <w:rsid w:val="008D548D"/>
    <w:rsid w:val="008D5769"/>
    <w:rsid w:val="008D5974"/>
    <w:rsid w:val="008D5AA4"/>
    <w:rsid w:val="008D5DDA"/>
    <w:rsid w:val="008D5E9F"/>
    <w:rsid w:val="008D6005"/>
    <w:rsid w:val="008D6081"/>
    <w:rsid w:val="008D6CDF"/>
    <w:rsid w:val="008D730D"/>
    <w:rsid w:val="008D7567"/>
    <w:rsid w:val="008D7C62"/>
    <w:rsid w:val="008E0D50"/>
    <w:rsid w:val="008E1312"/>
    <w:rsid w:val="008E1E00"/>
    <w:rsid w:val="008E20C0"/>
    <w:rsid w:val="008E2354"/>
    <w:rsid w:val="008E238D"/>
    <w:rsid w:val="008E2391"/>
    <w:rsid w:val="008E3090"/>
    <w:rsid w:val="008E319D"/>
    <w:rsid w:val="008E31A8"/>
    <w:rsid w:val="008E3890"/>
    <w:rsid w:val="008E3FDD"/>
    <w:rsid w:val="008E441C"/>
    <w:rsid w:val="008E4473"/>
    <w:rsid w:val="008E54A0"/>
    <w:rsid w:val="008E55A3"/>
    <w:rsid w:val="008E5E73"/>
    <w:rsid w:val="008E7135"/>
    <w:rsid w:val="008E71DE"/>
    <w:rsid w:val="008E7686"/>
    <w:rsid w:val="008E7B4B"/>
    <w:rsid w:val="008F073B"/>
    <w:rsid w:val="008F30D5"/>
    <w:rsid w:val="008F362E"/>
    <w:rsid w:val="008F37DD"/>
    <w:rsid w:val="008F3825"/>
    <w:rsid w:val="008F38EE"/>
    <w:rsid w:val="008F392A"/>
    <w:rsid w:val="008F3A55"/>
    <w:rsid w:val="008F47AD"/>
    <w:rsid w:val="008F4CF0"/>
    <w:rsid w:val="008F4DC3"/>
    <w:rsid w:val="008F50FB"/>
    <w:rsid w:val="008F58CA"/>
    <w:rsid w:val="008F638C"/>
    <w:rsid w:val="008F7B15"/>
    <w:rsid w:val="00900107"/>
    <w:rsid w:val="00900984"/>
    <w:rsid w:val="00900E8E"/>
    <w:rsid w:val="009024E4"/>
    <w:rsid w:val="00902E6B"/>
    <w:rsid w:val="009039EF"/>
    <w:rsid w:val="00903B31"/>
    <w:rsid w:val="00903C70"/>
    <w:rsid w:val="009048B5"/>
    <w:rsid w:val="00904A77"/>
    <w:rsid w:val="00904A95"/>
    <w:rsid w:val="0090526F"/>
    <w:rsid w:val="009053C6"/>
    <w:rsid w:val="00905D93"/>
    <w:rsid w:val="009063AC"/>
    <w:rsid w:val="00906BBA"/>
    <w:rsid w:val="00907D54"/>
    <w:rsid w:val="00910EEF"/>
    <w:rsid w:val="00911174"/>
    <w:rsid w:val="009112FB"/>
    <w:rsid w:val="0091173D"/>
    <w:rsid w:val="00911A62"/>
    <w:rsid w:val="0091302F"/>
    <w:rsid w:val="009136B3"/>
    <w:rsid w:val="00913BB4"/>
    <w:rsid w:val="00914A6F"/>
    <w:rsid w:val="00915F91"/>
    <w:rsid w:val="00916987"/>
    <w:rsid w:val="00916DA1"/>
    <w:rsid w:val="009178FB"/>
    <w:rsid w:val="009205EF"/>
    <w:rsid w:val="0092110C"/>
    <w:rsid w:val="00921A82"/>
    <w:rsid w:val="009227AF"/>
    <w:rsid w:val="00922C41"/>
    <w:rsid w:val="00923797"/>
    <w:rsid w:val="00923855"/>
    <w:rsid w:val="00923B91"/>
    <w:rsid w:val="00925668"/>
    <w:rsid w:val="00925849"/>
    <w:rsid w:val="0092585D"/>
    <w:rsid w:val="00925908"/>
    <w:rsid w:val="009267EF"/>
    <w:rsid w:val="00926B5C"/>
    <w:rsid w:val="00926E3C"/>
    <w:rsid w:val="0092768F"/>
    <w:rsid w:val="00927BFA"/>
    <w:rsid w:val="00927D48"/>
    <w:rsid w:val="00931B7C"/>
    <w:rsid w:val="00931FAC"/>
    <w:rsid w:val="00932711"/>
    <w:rsid w:val="009345B8"/>
    <w:rsid w:val="00934679"/>
    <w:rsid w:val="00936ED2"/>
    <w:rsid w:val="00937850"/>
    <w:rsid w:val="0093793A"/>
    <w:rsid w:val="0094036B"/>
    <w:rsid w:val="0094036D"/>
    <w:rsid w:val="00940898"/>
    <w:rsid w:val="00941336"/>
    <w:rsid w:val="00942056"/>
    <w:rsid w:val="00942A3C"/>
    <w:rsid w:val="009431DE"/>
    <w:rsid w:val="00943AFE"/>
    <w:rsid w:val="00944396"/>
    <w:rsid w:val="009450A9"/>
    <w:rsid w:val="009466AF"/>
    <w:rsid w:val="00947128"/>
    <w:rsid w:val="009478EF"/>
    <w:rsid w:val="00950A43"/>
    <w:rsid w:val="00951728"/>
    <w:rsid w:val="00951737"/>
    <w:rsid w:val="00952423"/>
    <w:rsid w:val="00952711"/>
    <w:rsid w:val="00953DDE"/>
    <w:rsid w:val="009545B3"/>
    <w:rsid w:val="0095674A"/>
    <w:rsid w:val="00957F0F"/>
    <w:rsid w:val="00960720"/>
    <w:rsid w:val="00961233"/>
    <w:rsid w:val="00961770"/>
    <w:rsid w:val="00962318"/>
    <w:rsid w:val="00962C99"/>
    <w:rsid w:val="00963077"/>
    <w:rsid w:val="009653B1"/>
    <w:rsid w:val="009654E2"/>
    <w:rsid w:val="009656FF"/>
    <w:rsid w:val="009657F5"/>
    <w:rsid w:val="0096582C"/>
    <w:rsid w:val="00965862"/>
    <w:rsid w:val="009666DF"/>
    <w:rsid w:val="00966A60"/>
    <w:rsid w:val="00966C87"/>
    <w:rsid w:val="00967C1F"/>
    <w:rsid w:val="00970367"/>
    <w:rsid w:val="00970E99"/>
    <w:rsid w:val="00971330"/>
    <w:rsid w:val="009713DA"/>
    <w:rsid w:val="00971421"/>
    <w:rsid w:val="00971E0B"/>
    <w:rsid w:val="0097255E"/>
    <w:rsid w:val="009729EA"/>
    <w:rsid w:val="00972FA1"/>
    <w:rsid w:val="00973543"/>
    <w:rsid w:val="00974213"/>
    <w:rsid w:val="00974787"/>
    <w:rsid w:val="00974B56"/>
    <w:rsid w:val="00975C31"/>
    <w:rsid w:val="00975E8A"/>
    <w:rsid w:val="009764CF"/>
    <w:rsid w:val="00976C8D"/>
    <w:rsid w:val="009775B7"/>
    <w:rsid w:val="00977F7B"/>
    <w:rsid w:val="00980256"/>
    <w:rsid w:val="009803A9"/>
    <w:rsid w:val="00980D7D"/>
    <w:rsid w:val="00981D82"/>
    <w:rsid w:val="00981F60"/>
    <w:rsid w:val="0098243F"/>
    <w:rsid w:val="009829B0"/>
    <w:rsid w:val="00982F52"/>
    <w:rsid w:val="0098332C"/>
    <w:rsid w:val="00984040"/>
    <w:rsid w:val="009845E0"/>
    <w:rsid w:val="009855B0"/>
    <w:rsid w:val="0098576E"/>
    <w:rsid w:val="00985DD2"/>
    <w:rsid w:val="009865F1"/>
    <w:rsid w:val="009867EA"/>
    <w:rsid w:val="009868D6"/>
    <w:rsid w:val="00986C56"/>
    <w:rsid w:val="00987262"/>
    <w:rsid w:val="00987291"/>
    <w:rsid w:val="009874A4"/>
    <w:rsid w:val="00990365"/>
    <w:rsid w:val="00991376"/>
    <w:rsid w:val="00992385"/>
    <w:rsid w:val="00993180"/>
    <w:rsid w:val="009937EE"/>
    <w:rsid w:val="009953FB"/>
    <w:rsid w:val="00995D14"/>
    <w:rsid w:val="00995E5B"/>
    <w:rsid w:val="00995EC7"/>
    <w:rsid w:val="00995F11"/>
    <w:rsid w:val="009963D7"/>
    <w:rsid w:val="009969F2"/>
    <w:rsid w:val="00996DBB"/>
    <w:rsid w:val="00996DE5"/>
    <w:rsid w:val="00996E91"/>
    <w:rsid w:val="00996F92"/>
    <w:rsid w:val="009974AC"/>
    <w:rsid w:val="00997CDE"/>
    <w:rsid w:val="00997F90"/>
    <w:rsid w:val="009A1986"/>
    <w:rsid w:val="009A22AF"/>
    <w:rsid w:val="009A290D"/>
    <w:rsid w:val="009A3CE5"/>
    <w:rsid w:val="009A45CD"/>
    <w:rsid w:val="009A4719"/>
    <w:rsid w:val="009A4FDC"/>
    <w:rsid w:val="009A53AA"/>
    <w:rsid w:val="009A53F4"/>
    <w:rsid w:val="009A55CA"/>
    <w:rsid w:val="009A5EF5"/>
    <w:rsid w:val="009A6B2A"/>
    <w:rsid w:val="009A6B4D"/>
    <w:rsid w:val="009A6BB7"/>
    <w:rsid w:val="009A7039"/>
    <w:rsid w:val="009B00EF"/>
    <w:rsid w:val="009B0D6C"/>
    <w:rsid w:val="009B2155"/>
    <w:rsid w:val="009B369B"/>
    <w:rsid w:val="009B3789"/>
    <w:rsid w:val="009B3F23"/>
    <w:rsid w:val="009B4036"/>
    <w:rsid w:val="009B582B"/>
    <w:rsid w:val="009B610F"/>
    <w:rsid w:val="009B621F"/>
    <w:rsid w:val="009B6512"/>
    <w:rsid w:val="009B6FE9"/>
    <w:rsid w:val="009B7687"/>
    <w:rsid w:val="009B79DC"/>
    <w:rsid w:val="009B7AE5"/>
    <w:rsid w:val="009C12F0"/>
    <w:rsid w:val="009C167F"/>
    <w:rsid w:val="009C1BF5"/>
    <w:rsid w:val="009C2367"/>
    <w:rsid w:val="009C3A41"/>
    <w:rsid w:val="009C3B09"/>
    <w:rsid w:val="009C3CD2"/>
    <w:rsid w:val="009C4005"/>
    <w:rsid w:val="009C4008"/>
    <w:rsid w:val="009C457D"/>
    <w:rsid w:val="009C4663"/>
    <w:rsid w:val="009C4F9A"/>
    <w:rsid w:val="009C5168"/>
    <w:rsid w:val="009C5663"/>
    <w:rsid w:val="009C6886"/>
    <w:rsid w:val="009C6E00"/>
    <w:rsid w:val="009C7432"/>
    <w:rsid w:val="009C7FDD"/>
    <w:rsid w:val="009D06C3"/>
    <w:rsid w:val="009D12AF"/>
    <w:rsid w:val="009D14DD"/>
    <w:rsid w:val="009D1AB6"/>
    <w:rsid w:val="009D2CA7"/>
    <w:rsid w:val="009D3247"/>
    <w:rsid w:val="009D3D1B"/>
    <w:rsid w:val="009D4F9D"/>
    <w:rsid w:val="009D555E"/>
    <w:rsid w:val="009D5BE3"/>
    <w:rsid w:val="009D618C"/>
    <w:rsid w:val="009D6A64"/>
    <w:rsid w:val="009D7434"/>
    <w:rsid w:val="009D74AB"/>
    <w:rsid w:val="009D7885"/>
    <w:rsid w:val="009D7A14"/>
    <w:rsid w:val="009E0238"/>
    <w:rsid w:val="009E033D"/>
    <w:rsid w:val="009E0671"/>
    <w:rsid w:val="009E085E"/>
    <w:rsid w:val="009E1387"/>
    <w:rsid w:val="009E23ED"/>
    <w:rsid w:val="009E41BA"/>
    <w:rsid w:val="009E6A95"/>
    <w:rsid w:val="009E764B"/>
    <w:rsid w:val="009E7BAD"/>
    <w:rsid w:val="009E7C63"/>
    <w:rsid w:val="009F0388"/>
    <w:rsid w:val="009F0A7D"/>
    <w:rsid w:val="009F0C05"/>
    <w:rsid w:val="009F135B"/>
    <w:rsid w:val="009F39DD"/>
    <w:rsid w:val="009F3EEA"/>
    <w:rsid w:val="009F4864"/>
    <w:rsid w:val="009F55D6"/>
    <w:rsid w:val="009F5800"/>
    <w:rsid w:val="009F6415"/>
    <w:rsid w:val="009F6571"/>
    <w:rsid w:val="009F6DA5"/>
    <w:rsid w:val="009F79A0"/>
    <w:rsid w:val="00A0073F"/>
    <w:rsid w:val="00A01407"/>
    <w:rsid w:val="00A01772"/>
    <w:rsid w:val="00A02607"/>
    <w:rsid w:val="00A0353F"/>
    <w:rsid w:val="00A04944"/>
    <w:rsid w:val="00A054AF"/>
    <w:rsid w:val="00A05F11"/>
    <w:rsid w:val="00A060A3"/>
    <w:rsid w:val="00A0685E"/>
    <w:rsid w:val="00A0734B"/>
    <w:rsid w:val="00A07BC4"/>
    <w:rsid w:val="00A106C7"/>
    <w:rsid w:val="00A10E6F"/>
    <w:rsid w:val="00A116F1"/>
    <w:rsid w:val="00A13634"/>
    <w:rsid w:val="00A13883"/>
    <w:rsid w:val="00A151F0"/>
    <w:rsid w:val="00A1546F"/>
    <w:rsid w:val="00A15BC9"/>
    <w:rsid w:val="00A15F5B"/>
    <w:rsid w:val="00A1600D"/>
    <w:rsid w:val="00A160C8"/>
    <w:rsid w:val="00A16329"/>
    <w:rsid w:val="00A16DA3"/>
    <w:rsid w:val="00A17334"/>
    <w:rsid w:val="00A206CF"/>
    <w:rsid w:val="00A219FC"/>
    <w:rsid w:val="00A235A8"/>
    <w:rsid w:val="00A2364B"/>
    <w:rsid w:val="00A237F0"/>
    <w:rsid w:val="00A25202"/>
    <w:rsid w:val="00A252B9"/>
    <w:rsid w:val="00A258C6"/>
    <w:rsid w:val="00A26758"/>
    <w:rsid w:val="00A27F5A"/>
    <w:rsid w:val="00A30102"/>
    <w:rsid w:val="00A303BC"/>
    <w:rsid w:val="00A309A4"/>
    <w:rsid w:val="00A312DF"/>
    <w:rsid w:val="00A31595"/>
    <w:rsid w:val="00A31784"/>
    <w:rsid w:val="00A32A3D"/>
    <w:rsid w:val="00A32A96"/>
    <w:rsid w:val="00A32E40"/>
    <w:rsid w:val="00A332D7"/>
    <w:rsid w:val="00A3445E"/>
    <w:rsid w:val="00A3449A"/>
    <w:rsid w:val="00A34988"/>
    <w:rsid w:val="00A36540"/>
    <w:rsid w:val="00A36AE1"/>
    <w:rsid w:val="00A400A5"/>
    <w:rsid w:val="00A40CAB"/>
    <w:rsid w:val="00A4113F"/>
    <w:rsid w:val="00A414F9"/>
    <w:rsid w:val="00A42824"/>
    <w:rsid w:val="00A43475"/>
    <w:rsid w:val="00A43760"/>
    <w:rsid w:val="00A437F9"/>
    <w:rsid w:val="00A444FB"/>
    <w:rsid w:val="00A44F70"/>
    <w:rsid w:val="00A45C3D"/>
    <w:rsid w:val="00A46035"/>
    <w:rsid w:val="00A47326"/>
    <w:rsid w:val="00A47646"/>
    <w:rsid w:val="00A50EB2"/>
    <w:rsid w:val="00A51663"/>
    <w:rsid w:val="00A51D8A"/>
    <w:rsid w:val="00A52166"/>
    <w:rsid w:val="00A5476D"/>
    <w:rsid w:val="00A54DA8"/>
    <w:rsid w:val="00A561E0"/>
    <w:rsid w:val="00A57D89"/>
    <w:rsid w:val="00A616CD"/>
    <w:rsid w:val="00A61E9F"/>
    <w:rsid w:val="00A62D20"/>
    <w:rsid w:val="00A638C4"/>
    <w:rsid w:val="00A64343"/>
    <w:rsid w:val="00A64BCE"/>
    <w:rsid w:val="00A64E04"/>
    <w:rsid w:val="00A65156"/>
    <w:rsid w:val="00A65294"/>
    <w:rsid w:val="00A65CD7"/>
    <w:rsid w:val="00A67661"/>
    <w:rsid w:val="00A71471"/>
    <w:rsid w:val="00A71B72"/>
    <w:rsid w:val="00A73092"/>
    <w:rsid w:val="00A750A8"/>
    <w:rsid w:val="00A75A1B"/>
    <w:rsid w:val="00A75E26"/>
    <w:rsid w:val="00A760AE"/>
    <w:rsid w:val="00A76A05"/>
    <w:rsid w:val="00A77F6B"/>
    <w:rsid w:val="00A804E0"/>
    <w:rsid w:val="00A808CB"/>
    <w:rsid w:val="00A81D38"/>
    <w:rsid w:val="00A81E78"/>
    <w:rsid w:val="00A821DA"/>
    <w:rsid w:val="00A82473"/>
    <w:rsid w:val="00A82C9B"/>
    <w:rsid w:val="00A838A5"/>
    <w:rsid w:val="00A83937"/>
    <w:rsid w:val="00A83D00"/>
    <w:rsid w:val="00A84C0D"/>
    <w:rsid w:val="00A85568"/>
    <w:rsid w:val="00A85B76"/>
    <w:rsid w:val="00A86489"/>
    <w:rsid w:val="00A86713"/>
    <w:rsid w:val="00A8731D"/>
    <w:rsid w:val="00A87350"/>
    <w:rsid w:val="00A87DDB"/>
    <w:rsid w:val="00A87FBA"/>
    <w:rsid w:val="00A90224"/>
    <w:rsid w:val="00A9040C"/>
    <w:rsid w:val="00A904D0"/>
    <w:rsid w:val="00A90BB6"/>
    <w:rsid w:val="00A91B70"/>
    <w:rsid w:val="00A91E02"/>
    <w:rsid w:val="00A92434"/>
    <w:rsid w:val="00A92F25"/>
    <w:rsid w:val="00A9304B"/>
    <w:rsid w:val="00A94331"/>
    <w:rsid w:val="00A94D10"/>
    <w:rsid w:val="00A95C7B"/>
    <w:rsid w:val="00A97507"/>
    <w:rsid w:val="00A977E1"/>
    <w:rsid w:val="00A97ED2"/>
    <w:rsid w:val="00AA021F"/>
    <w:rsid w:val="00AA070E"/>
    <w:rsid w:val="00AA12C1"/>
    <w:rsid w:val="00AA1B13"/>
    <w:rsid w:val="00AA201E"/>
    <w:rsid w:val="00AA2141"/>
    <w:rsid w:val="00AA24FA"/>
    <w:rsid w:val="00AA2E73"/>
    <w:rsid w:val="00AA2ECE"/>
    <w:rsid w:val="00AA571D"/>
    <w:rsid w:val="00AA613A"/>
    <w:rsid w:val="00AA69D6"/>
    <w:rsid w:val="00AA789F"/>
    <w:rsid w:val="00AB025A"/>
    <w:rsid w:val="00AB0AA0"/>
    <w:rsid w:val="00AB0AE7"/>
    <w:rsid w:val="00AB50B3"/>
    <w:rsid w:val="00AB60D2"/>
    <w:rsid w:val="00AB64D1"/>
    <w:rsid w:val="00AB6D1E"/>
    <w:rsid w:val="00AC05B4"/>
    <w:rsid w:val="00AC1D54"/>
    <w:rsid w:val="00AC22C5"/>
    <w:rsid w:val="00AC25E9"/>
    <w:rsid w:val="00AC291F"/>
    <w:rsid w:val="00AC3099"/>
    <w:rsid w:val="00AC3925"/>
    <w:rsid w:val="00AC3C3F"/>
    <w:rsid w:val="00AC46B0"/>
    <w:rsid w:val="00AC53A4"/>
    <w:rsid w:val="00AC58C4"/>
    <w:rsid w:val="00AC69C9"/>
    <w:rsid w:val="00AC6F8D"/>
    <w:rsid w:val="00AC700B"/>
    <w:rsid w:val="00AC711F"/>
    <w:rsid w:val="00AC7766"/>
    <w:rsid w:val="00AD01F3"/>
    <w:rsid w:val="00AD0274"/>
    <w:rsid w:val="00AD06C1"/>
    <w:rsid w:val="00AD09A8"/>
    <w:rsid w:val="00AD0FA9"/>
    <w:rsid w:val="00AD15C1"/>
    <w:rsid w:val="00AD17FF"/>
    <w:rsid w:val="00AD2ADA"/>
    <w:rsid w:val="00AD2C2F"/>
    <w:rsid w:val="00AD38EE"/>
    <w:rsid w:val="00AD41DF"/>
    <w:rsid w:val="00AD5D12"/>
    <w:rsid w:val="00AD5D8F"/>
    <w:rsid w:val="00AD6622"/>
    <w:rsid w:val="00AD66DB"/>
    <w:rsid w:val="00AD680B"/>
    <w:rsid w:val="00AD6CD9"/>
    <w:rsid w:val="00AD6DAB"/>
    <w:rsid w:val="00AD6FED"/>
    <w:rsid w:val="00AD77C8"/>
    <w:rsid w:val="00AD78E1"/>
    <w:rsid w:val="00AE06E1"/>
    <w:rsid w:val="00AE0B03"/>
    <w:rsid w:val="00AE273A"/>
    <w:rsid w:val="00AE2971"/>
    <w:rsid w:val="00AE3057"/>
    <w:rsid w:val="00AE544D"/>
    <w:rsid w:val="00AE59EE"/>
    <w:rsid w:val="00AE6220"/>
    <w:rsid w:val="00AE6ED7"/>
    <w:rsid w:val="00AE6FD8"/>
    <w:rsid w:val="00AE7296"/>
    <w:rsid w:val="00AE730D"/>
    <w:rsid w:val="00AF04A3"/>
    <w:rsid w:val="00AF1934"/>
    <w:rsid w:val="00AF1F06"/>
    <w:rsid w:val="00AF2BC8"/>
    <w:rsid w:val="00AF3804"/>
    <w:rsid w:val="00AF43FA"/>
    <w:rsid w:val="00AF456C"/>
    <w:rsid w:val="00AF514C"/>
    <w:rsid w:val="00AF52AD"/>
    <w:rsid w:val="00AF56CD"/>
    <w:rsid w:val="00AF5AE9"/>
    <w:rsid w:val="00AF66A7"/>
    <w:rsid w:val="00AF6795"/>
    <w:rsid w:val="00AF6B70"/>
    <w:rsid w:val="00AF7246"/>
    <w:rsid w:val="00AF726B"/>
    <w:rsid w:val="00AF7C48"/>
    <w:rsid w:val="00AF7DED"/>
    <w:rsid w:val="00B00568"/>
    <w:rsid w:val="00B0106C"/>
    <w:rsid w:val="00B01274"/>
    <w:rsid w:val="00B042E1"/>
    <w:rsid w:val="00B044AA"/>
    <w:rsid w:val="00B0543E"/>
    <w:rsid w:val="00B05FF3"/>
    <w:rsid w:val="00B06C9B"/>
    <w:rsid w:val="00B06D41"/>
    <w:rsid w:val="00B06E8B"/>
    <w:rsid w:val="00B07359"/>
    <w:rsid w:val="00B10D68"/>
    <w:rsid w:val="00B110F3"/>
    <w:rsid w:val="00B11B7E"/>
    <w:rsid w:val="00B1324F"/>
    <w:rsid w:val="00B132FD"/>
    <w:rsid w:val="00B13931"/>
    <w:rsid w:val="00B1398A"/>
    <w:rsid w:val="00B13CC4"/>
    <w:rsid w:val="00B13E43"/>
    <w:rsid w:val="00B1454D"/>
    <w:rsid w:val="00B14914"/>
    <w:rsid w:val="00B14943"/>
    <w:rsid w:val="00B1537B"/>
    <w:rsid w:val="00B15EB5"/>
    <w:rsid w:val="00B1674A"/>
    <w:rsid w:val="00B20D2C"/>
    <w:rsid w:val="00B210F9"/>
    <w:rsid w:val="00B212DA"/>
    <w:rsid w:val="00B2180D"/>
    <w:rsid w:val="00B21A97"/>
    <w:rsid w:val="00B2213C"/>
    <w:rsid w:val="00B22831"/>
    <w:rsid w:val="00B229E6"/>
    <w:rsid w:val="00B2308C"/>
    <w:rsid w:val="00B24052"/>
    <w:rsid w:val="00B24EF7"/>
    <w:rsid w:val="00B25245"/>
    <w:rsid w:val="00B27AF9"/>
    <w:rsid w:val="00B27C66"/>
    <w:rsid w:val="00B317F2"/>
    <w:rsid w:val="00B323BF"/>
    <w:rsid w:val="00B3265D"/>
    <w:rsid w:val="00B32924"/>
    <w:rsid w:val="00B32B92"/>
    <w:rsid w:val="00B33488"/>
    <w:rsid w:val="00B33BB4"/>
    <w:rsid w:val="00B34E8D"/>
    <w:rsid w:val="00B36623"/>
    <w:rsid w:val="00B3727B"/>
    <w:rsid w:val="00B377A8"/>
    <w:rsid w:val="00B4050E"/>
    <w:rsid w:val="00B40978"/>
    <w:rsid w:val="00B412F0"/>
    <w:rsid w:val="00B416C1"/>
    <w:rsid w:val="00B4223E"/>
    <w:rsid w:val="00B42DF3"/>
    <w:rsid w:val="00B445C2"/>
    <w:rsid w:val="00B45808"/>
    <w:rsid w:val="00B46204"/>
    <w:rsid w:val="00B4677F"/>
    <w:rsid w:val="00B46D1E"/>
    <w:rsid w:val="00B47C8B"/>
    <w:rsid w:val="00B47D44"/>
    <w:rsid w:val="00B50BC4"/>
    <w:rsid w:val="00B50E86"/>
    <w:rsid w:val="00B527EE"/>
    <w:rsid w:val="00B52DD4"/>
    <w:rsid w:val="00B535A6"/>
    <w:rsid w:val="00B543B5"/>
    <w:rsid w:val="00B5472D"/>
    <w:rsid w:val="00B558C0"/>
    <w:rsid w:val="00B566E5"/>
    <w:rsid w:val="00B568C7"/>
    <w:rsid w:val="00B5703F"/>
    <w:rsid w:val="00B5798E"/>
    <w:rsid w:val="00B57B42"/>
    <w:rsid w:val="00B61178"/>
    <w:rsid w:val="00B6163C"/>
    <w:rsid w:val="00B6228C"/>
    <w:rsid w:val="00B62A3F"/>
    <w:rsid w:val="00B62D5C"/>
    <w:rsid w:val="00B630D0"/>
    <w:rsid w:val="00B63785"/>
    <w:rsid w:val="00B63E1D"/>
    <w:rsid w:val="00B64D19"/>
    <w:rsid w:val="00B65888"/>
    <w:rsid w:val="00B6589A"/>
    <w:rsid w:val="00B671B2"/>
    <w:rsid w:val="00B70349"/>
    <w:rsid w:val="00B708A4"/>
    <w:rsid w:val="00B70A20"/>
    <w:rsid w:val="00B71367"/>
    <w:rsid w:val="00B7148E"/>
    <w:rsid w:val="00B73D22"/>
    <w:rsid w:val="00B73EE9"/>
    <w:rsid w:val="00B748B8"/>
    <w:rsid w:val="00B74EA9"/>
    <w:rsid w:val="00B74EDD"/>
    <w:rsid w:val="00B75900"/>
    <w:rsid w:val="00B75B18"/>
    <w:rsid w:val="00B75E50"/>
    <w:rsid w:val="00B75E9A"/>
    <w:rsid w:val="00B770AA"/>
    <w:rsid w:val="00B77B9E"/>
    <w:rsid w:val="00B805A5"/>
    <w:rsid w:val="00B80F04"/>
    <w:rsid w:val="00B82CB2"/>
    <w:rsid w:val="00B82CD5"/>
    <w:rsid w:val="00B83A9F"/>
    <w:rsid w:val="00B83EDE"/>
    <w:rsid w:val="00B844E2"/>
    <w:rsid w:val="00B84F75"/>
    <w:rsid w:val="00B856F2"/>
    <w:rsid w:val="00B857EA"/>
    <w:rsid w:val="00B85F82"/>
    <w:rsid w:val="00B86427"/>
    <w:rsid w:val="00B8644F"/>
    <w:rsid w:val="00B867CD"/>
    <w:rsid w:val="00B86AB6"/>
    <w:rsid w:val="00B871DC"/>
    <w:rsid w:val="00B87D21"/>
    <w:rsid w:val="00B87F92"/>
    <w:rsid w:val="00B906FB"/>
    <w:rsid w:val="00B90FAF"/>
    <w:rsid w:val="00B9107E"/>
    <w:rsid w:val="00B9142F"/>
    <w:rsid w:val="00B91A9B"/>
    <w:rsid w:val="00B93284"/>
    <w:rsid w:val="00B9341E"/>
    <w:rsid w:val="00B9398E"/>
    <w:rsid w:val="00B93CBE"/>
    <w:rsid w:val="00B93DA3"/>
    <w:rsid w:val="00B94627"/>
    <w:rsid w:val="00B94CA1"/>
    <w:rsid w:val="00B956D1"/>
    <w:rsid w:val="00B95899"/>
    <w:rsid w:val="00B965B3"/>
    <w:rsid w:val="00B97534"/>
    <w:rsid w:val="00B97D83"/>
    <w:rsid w:val="00BA0562"/>
    <w:rsid w:val="00BA07F7"/>
    <w:rsid w:val="00BA08A4"/>
    <w:rsid w:val="00BA0A62"/>
    <w:rsid w:val="00BA29E6"/>
    <w:rsid w:val="00BA2A2B"/>
    <w:rsid w:val="00BA2BF4"/>
    <w:rsid w:val="00BA2F78"/>
    <w:rsid w:val="00BA4351"/>
    <w:rsid w:val="00BA44CF"/>
    <w:rsid w:val="00BA4A41"/>
    <w:rsid w:val="00BA5552"/>
    <w:rsid w:val="00BA5E30"/>
    <w:rsid w:val="00BA61B4"/>
    <w:rsid w:val="00BA6654"/>
    <w:rsid w:val="00BA6B10"/>
    <w:rsid w:val="00BA700E"/>
    <w:rsid w:val="00BA715E"/>
    <w:rsid w:val="00BA726A"/>
    <w:rsid w:val="00BA7AF7"/>
    <w:rsid w:val="00BB0F4B"/>
    <w:rsid w:val="00BB19F3"/>
    <w:rsid w:val="00BB1EB1"/>
    <w:rsid w:val="00BB25B7"/>
    <w:rsid w:val="00BB2672"/>
    <w:rsid w:val="00BB2B37"/>
    <w:rsid w:val="00BB2C01"/>
    <w:rsid w:val="00BB2EA7"/>
    <w:rsid w:val="00BB43D3"/>
    <w:rsid w:val="00BB54D1"/>
    <w:rsid w:val="00BB61D6"/>
    <w:rsid w:val="00BB6702"/>
    <w:rsid w:val="00BB6F71"/>
    <w:rsid w:val="00BB75B3"/>
    <w:rsid w:val="00BC1B00"/>
    <w:rsid w:val="00BC23BF"/>
    <w:rsid w:val="00BC28E3"/>
    <w:rsid w:val="00BC2EFF"/>
    <w:rsid w:val="00BC2FCF"/>
    <w:rsid w:val="00BC3311"/>
    <w:rsid w:val="00BC33ED"/>
    <w:rsid w:val="00BC3E50"/>
    <w:rsid w:val="00BC48B7"/>
    <w:rsid w:val="00BC4FBD"/>
    <w:rsid w:val="00BC5D7E"/>
    <w:rsid w:val="00BC5E2E"/>
    <w:rsid w:val="00BC62AC"/>
    <w:rsid w:val="00BC6816"/>
    <w:rsid w:val="00BC717F"/>
    <w:rsid w:val="00BC7A05"/>
    <w:rsid w:val="00BD044B"/>
    <w:rsid w:val="00BD1021"/>
    <w:rsid w:val="00BD1914"/>
    <w:rsid w:val="00BD2501"/>
    <w:rsid w:val="00BD2688"/>
    <w:rsid w:val="00BD2874"/>
    <w:rsid w:val="00BD3D55"/>
    <w:rsid w:val="00BD4082"/>
    <w:rsid w:val="00BD42D1"/>
    <w:rsid w:val="00BD476C"/>
    <w:rsid w:val="00BD512C"/>
    <w:rsid w:val="00BD5D57"/>
    <w:rsid w:val="00BD5E51"/>
    <w:rsid w:val="00BD663A"/>
    <w:rsid w:val="00BD6845"/>
    <w:rsid w:val="00BD6C89"/>
    <w:rsid w:val="00BD6E10"/>
    <w:rsid w:val="00BD6F1F"/>
    <w:rsid w:val="00BD700D"/>
    <w:rsid w:val="00BD724F"/>
    <w:rsid w:val="00BE05C2"/>
    <w:rsid w:val="00BE0B1A"/>
    <w:rsid w:val="00BE121A"/>
    <w:rsid w:val="00BE1304"/>
    <w:rsid w:val="00BE1A83"/>
    <w:rsid w:val="00BE471A"/>
    <w:rsid w:val="00BE473C"/>
    <w:rsid w:val="00BE4928"/>
    <w:rsid w:val="00BE4ACE"/>
    <w:rsid w:val="00BE4F01"/>
    <w:rsid w:val="00BE5F58"/>
    <w:rsid w:val="00BE71CF"/>
    <w:rsid w:val="00BF0147"/>
    <w:rsid w:val="00BF0792"/>
    <w:rsid w:val="00BF0CCB"/>
    <w:rsid w:val="00BF213A"/>
    <w:rsid w:val="00BF2A20"/>
    <w:rsid w:val="00BF2A84"/>
    <w:rsid w:val="00BF2ADD"/>
    <w:rsid w:val="00BF3B28"/>
    <w:rsid w:val="00BF4247"/>
    <w:rsid w:val="00BF561F"/>
    <w:rsid w:val="00BF5B14"/>
    <w:rsid w:val="00BF66BA"/>
    <w:rsid w:val="00BF732F"/>
    <w:rsid w:val="00BF74E2"/>
    <w:rsid w:val="00BF7B7C"/>
    <w:rsid w:val="00C00735"/>
    <w:rsid w:val="00C00B1D"/>
    <w:rsid w:val="00C00BE7"/>
    <w:rsid w:val="00C00F57"/>
    <w:rsid w:val="00C00F89"/>
    <w:rsid w:val="00C02B0F"/>
    <w:rsid w:val="00C03069"/>
    <w:rsid w:val="00C03617"/>
    <w:rsid w:val="00C036CB"/>
    <w:rsid w:val="00C04074"/>
    <w:rsid w:val="00C046B3"/>
    <w:rsid w:val="00C05E5E"/>
    <w:rsid w:val="00C06573"/>
    <w:rsid w:val="00C06609"/>
    <w:rsid w:val="00C07397"/>
    <w:rsid w:val="00C073E6"/>
    <w:rsid w:val="00C103D8"/>
    <w:rsid w:val="00C11406"/>
    <w:rsid w:val="00C119EC"/>
    <w:rsid w:val="00C12324"/>
    <w:rsid w:val="00C13233"/>
    <w:rsid w:val="00C133D3"/>
    <w:rsid w:val="00C14FE4"/>
    <w:rsid w:val="00C15207"/>
    <w:rsid w:val="00C15831"/>
    <w:rsid w:val="00C16738"/>
    <w:rsid w:val="00C16CA4"/>
    <w:rsid w:val="00C16FB4"/>
    <w:rsid w:val="00C17827"/>
    <w:rsid w:val="00C17F92"/>
    <w:rsid w:val="00C2105D"/>
    <w:rsid w:val="00C21FDE"/>
    <w:rsid w:val="00C2230F"/>
    <w:rsid w:val="00C22902"/>
    <w:rsid w:val="00C22B1D"/>
    <w:rsid w:val="00C2320C"/>
    <w:rsid w:val="00C234BC"/>
    <w:rsid w:val="00C23D58"/>
    <w:rsid w:val="00C241ED"/>
    <w:rsid w:val="00C25126"/>
    <w:rsid w:val="00C2585F"/>
    <w:rsid w:val="00C259EF"/>
    <w:rsid w:val="00C25D72"/>
    <w:rsid w:val="00C26326"/>
    <w:rsid w:val="00C268DB"/>
    <w:rsid w:val="00C305C1"/>
    <w:rsid w:val="00C30C22"/>
    <w:rsid w:val="00C31082"/>
    <w:rsid w:val="00C312C6"/>
    <w:rsid w:val="00C320FE"/>
    <w:rsid w:val="00C33DFB"/>
    <w:rsid w:val="00C347D6"/>
    <w:rsid w:val="00C34D7A"/>
    <w:rsid w:val="00C35378"/>
    <w:rsid w:val="00C353E8"/>
    <w:rsid w:val="00C359A0"/>
    <w:rsid w:val="00C35B05"/>
    <w:rsid w:val="00C35E14"/>
    <w:rsid w:val="00C36FA4"/>
    <w:rsid w:val="00C37975"/>
    <w:rsid w:val="00C37F9B"/>
    <w:rsid w:val="00C42047"/>
    <w:rsid w:val="00C42FAF"/>
    <w:rsid w:val="00C4367D"/>
    <w:rsid w:val="00C45208"/>
    <w:rsid w:val="00C452DD"/>
    <w:rsid w:val="00C455B7"/>
    <w:rsid w:val="00C458C2"/>
    <w:rsid w:val="00C45FE9"/>
    <w:rsid w:val="00C46ACB"/>
    <w:rsid w:val="00C47EDA"/>
    <w:rsid w:val="00C50193"/>
    <w:rsid w:val="00C506CD"/>
    <w:rsid w:val="00C50BA4"/>
    <w:rsid w:val="00C50C9B"/>
    <w:rsid w:val="00C5122C"/>
    <w:rsid w:val="00C52C9D"/>
    <w:rsid w:val="00C53344"/>
    <w:rsid w:val="00C53CBC"/>
    <w:rsid w:val="00C54273"/>
    <w:rsid w:val="00C546CC"/>
    <w:rsid w:val="00C55723"/>
    <w:rsid w:val="00C55986"/>
    <w:rsid w:val="00C55D1F"/>
    <w:rsid w:val="00C55EA8"/>
    <w:rsid w:val="00C56468"/>
    <w:rsid w:val="00C56699"/>
    <w:rsid w:val="00C572FC"/>
    <w:rsid w:val="00C5773A"/>
    <w:rsid w:val="00C57DFE"/>
    <w:rsid w:val="00C619F2"/>
    <w:rsid w:val="00C62BF4"/>
    <w:rsid w:val="00C64243"/>
    <w:rsid w:val="00C6426E"/>
    <w:rsid w:val="00C65548"/>
    <w:rsid w:val="00C65A6D"/>
    <w:rsid w:val="00C66A7C"/>
    <w:rsid w:val="00C672EA"/>
    <w:rsid w:val="00C6763E"/>
    <w:rsid w:val="00C67811"/>
    <w:rsid w:val="00C679DB"/>
    <w:rsid w:val="00C7084E"/>
    <w:rsid w:val="00C709EA"/>
    <w:rsid w:val="00C71290"/>
    <w:rsid w:val="00C71513"/>
    <w:rsid w:val="00C7217F"/>
    <w:rsid w:val="00C72CFA"/>
    <w:rsid w:val="00C734BE"/>
    <w:rsid w:val="00C745D6"/>
    <w:rsid w:val="00C74624"/>
    <w:rsid w:val="00C746A0"/>
    <w:rsid w:val="00C74B51"/>
    <w:rsid w:val="00C7617A"/>
    <w:rsid w:val="00C76286"/>
    <w:rsid w:val="00C76F7E"/>
    <w:rsid w:val="00C7708E"/>
    <w:rsid w:val="00C80D35"/>
    <w:rsid w:val="00C81B35"/>
    <w:rsid w:val="00C81D7F"/>
    <w:rsid w:val="00C81EC3"/>
    <w:rsid w:val="00C81F97"/>
    <w:rsid w:val="00C82756"/>
    <w:rsid w:val="00C837F2"/>
    <w:rsid w:val="00C83B8F"/>
    <w:rsid w:val="00C848A8"/>
    <w:rsid w:val="00C84B07"/>
    <w:rsid w:val="00C85051"/>
    <w:rsid w:val="00C854E4"/>
    <w:rsid w:val="00C86E51"/>
    <w:rsid w:val="00C87887"/>
    <w:rsid w:val="00C9005D"/>
    <w:rsid w:val="00C900D5"/>
    <w:rsid w:val="00C91DD4"/>
    <w:rsid w:val="00C94276"/>
    <w:rsid w:val="00C94435"/>
    <w:rsid w:val="00C94553"/>
    <w:rsid w:val="00C945BF"/>
    <w:rsid w:val="00C95472"/>
    <w:rsid w:val="00C965F5"/>
    <w:rsid w:val="00C96C52"/>
    <w:rsid w:val="00C97011"/>
    <w:rsid w:val="00C976E4"/>
    <w:rsid w:val="00C97FD5"/>
    <w:rsid w:val="00CA0919"/>
    <w:rsid w:val="00CA11F7"/>
    <w:rsid w:val="00CA16C0"/>
    <w:rsid w:val="00CA216C"/>
    <w:rsid w:val="00CA26E4"/>
    <w:rsid w:val="00CA28BB"/>
    <w:rsid w:val="00CA2C06"/>
    <w:rsid w:val="00CA2FD9"/>
    <w:rsid w:val="00CA3092"/>
    <w:rsid w:val="00CA34FD"/>
    <w:rsid w:val="00CA3A38"/>
    <w:rsid w:val="00CA4516"/>
    <w:rsid w:val="00CA453D"/>
    <w:rsid w:val="00CA46DB"/>
    <w:rsid w:val="00CA4B88"/>
    <w:rsid w:val="00CA53D1"/>
    <w:rsid w:val="00CA63BF"/>
    <w:rsid w:val="00CA70F9"/>
    <w:rsid w:val="00CA79E9"/>
    <w:rsid w:val="00CA7D88"/>
    <w:rsid w:val="00CB16FA"/>
    <w:rsid w:val="00CB1980"/>
    <w:rsid w:val="00CB2196"/>
    <w:rsid w:val="00CB2C74"/>
    <w:rsid w:val="00CB3BE6"/>
    <w:rsid w:val="00CB3BF7"/>
    <w:rsid w:val="00CB3E97"/>
    <w:rsid w:val="00CB4B07"/>
    <w:rsid w:val="00CB5E80"/>
    <w:rsid w:val="00CB6123"/>
    <w:rsid w:val="00CB640C"/>
    <w:rsid w:val="00CB689E"/>
    <w:rsid w:val="00CB7B38"/>
    <w:rsid w:val="00CB7EFD"/>
    <w:rsid w:val="00CC04D2"/>
    <w:rsid w:val="00CC05EB"/>
    <w:rsid w:val="00CC07E6"/>
    <w:rsid w:val="00CC0AEA"/>
    <w:rsid w:val="00CC1E97"/>
    <w:rsid w:val="00CC2415"/>
    <w:rsid w:val="00CC2461"/>
    <w:rsid w:val="00CC29AB"/>
    <w:rsid w:val="00CC2A5A"/>
    <w:rsid w:val="00CC2B0D"/>
    <w:rsid w:val="00CC317E"/>
    <w:rsid w:val="00CC32AC"/>
    <w:rsid w:val="00CC3743"/>
    <w:rsid w:val="00CC37C0"/>
    <w:rsid w:val="00CC3F4A"/>
    <w:rsid w:val="00CC4030"/>
    <w:rsid w:val="00CC452C"/>
    <w:rsid w:val="00CC4970"/>
    <w:rsid w:val="00CC4E39"/>
    <w:rsid w:val="00CC56CE"/>
    <w:rsid w:val="00CC5BA3"/>
    <w:rsid w:val="00CC5E6B"/>
    <w:rsid w:val="00CC74B4"/>
    <w:rsid w:val="00CC7992"/>
    <w:rsid w:val="00CD00E1"/>
    <w:rsid w:val="00CD054F"/>
    <w:rsid w:val="00CD08BC"/>
    <w:rsid w:val="00CD10E2"/>
    <w:rsid w:val="00CD251E"/>
    <w:rsid w:val="00CD26E5"/>
    <w:rsid w:val="00CD2F98"/>
    <w:rsid w:val="00CD403B"/>
    <w:rsid w:val="00CD4DE6"/>
    <w:rsid w:val="00CD4FB2"/>
    <w:rsid w:val="00CD5443"/>
    <w:rsid w:val="00CD6146"/>
    <w:rsid w:val="00CD6563"/>
    <w:rsid w:val="00CD6A9B"/>
    <w:rsid w:val="00CD7245"/>
    <w:rsid w:val="00CD7E20"/>
    <w:rsid w:val="00CE0102"/>
    <w:rsid w:val="00CE07D2"/>
    <w:rsid w:val="00CE0843"/>
    <w:rsid w:val="00CE0E44"/>
    <w:rsid w:val="00CE12CD"/>
    <w:rsid w:val="00CE1645"/>
    <w:rsid w:val="00CE1D4D"/>
    <w:rsid w:val="00CE221A"/>
    <w:rsid w:val="00CE3683"/>
    <w:rsid w:val="00CE3F8C"/>
    <w:rsid w:val="00CE4B37"/>
    <w:rsid w:val="00CE5189"/>
    <w:rsid w:val="00CE5B33"/>
    <w:rsid w:val="00CE63B7"/>
    <w:rsid w:val="00CE6547"/>
    <w:rsid w:val="00CF054A"/>
    <w:rsid w:val="00CF087B"/>
    <w:rsid w:val="00CF1FFD"/>
    <w:rsid w:val="00CF28F4"/>
    <w:rsid w:val="00CF2CCD"/>
    <w:rsid w:val="00CF4573"/>
    <w:rsid w:val="00CF4F3C"/>
    <w:rsid w:val="00CF6C6E"/>
    <w:rsid w:val="00D013FF"/>
    <w:rsid w:val="00D018A3"/>
    <w:rsid w:val="00D01CBE"/>
    <w:rsid w:val="00D01D15"/>
    <w:rsid w:val="00D0221C"/>
    <w:rsid w:val="00D0308C"/>
    <w:rsid w:val="00D035BA"/>
    <w:rsid w:val="00D037FE"/>
    <w:rsid w:val="00D0454B"/>
    <w:rsid w:val="00D04776"/>
    <w:rsid w:val="00D05037"/>
    <w:rsid w:val="00D05758"/>
    <w:rsid w:val="00D0650C"/>
    <w:rsid w:val="00D07209"/>
    <w:rsid w:val="00D07EAB"/>
    <w:rsid w:val="00D10580"/>
    <w:rsid w:val="00D1111D"/>
    <w:rsid w:val="00D11939"/>
    <w:rsid w:val="00D12B2B"/>
    <w:rsid w:val="00D14887"/>
    <w:rsid w:val="00D1513F"/>
    <w:rsid w:val="00D15446"/>
    <w:rsid w:val="00D155D3"/>
    <w:rsid w:val="00D1598E"/>
    <w:rsid w:val="00D15BCA"/>
    <w:rsid w:val="00D17109"/>
    <w:rsid w:val="00D179B4"/>
    <w:rsid w:val="00D17B6C"/>
    <w:rsid w:val="00D17DEC"/>
    <w:rsid w:val="00D207AE"/>
    <w:rsid w:val="00D21092"/>
    <w:rsid w:val="00D21825"/>
    <w:rsid w:val="00D21AFB"/>
    <w:rsid w:val="00D22264"/>
    <w:rsid w:val="00D228CB"/>
    <w:rsid w:val="00D22AB8"/>
    <w:rsid w:val="00D22C04"/>
    <w:rsid w:val="00D2305D"/>
    <w:rsid w:val="00D235EB"/>
    <w:rsid w:val="00D23FF7"/>
    <w:rsid w:val="00D25AE4"/>
    <w:rsid w:val="00D27633"/>
    <w:rsid w:val="00D27D8C"/>
    <w:rsid w:val="00D30205"/>
    <w:rsid w:val="00D311AB"/>
    <w:rsid w:val="00D31832"/>
    <w:rsid w:val="00D32482"/>
    <w:rsid w:val="00D3253B"/>
    <w:rsid w:val="00D3262D"/>
    <w:rsid w:val="00D33842"/>
    <w:rsid w:val="00D3401C"/>
    <w:rsid w:val="00D34376"/>
    <w:rsid w:val="00D3448D"/>
    <w:rsid w:val="00D349DE"/>
    <w:rsid w:val="00D34E37"/>
    <w:rsid w:val="00D34F48"/>
    <w:rsid w:val="00D3619B"/>
    <w:rsid w:val="00D37599"/>
    <w:rsid w:val="00D37957"/>
    <w:rsid w:val="00D37A2C"/>
    <w:rsid w:val="00D4077E"/>
    <w:rsid w:val="00D408FE"/>
    <w:rsid w:val="00D41385"/>
    <w:rsid w:val="00D413C9"/>
    <w:rsid w:val="00D41833"/>
    <w:rsid w:val="00D41D08"/>
    <w:rsid w:val="00D428BD"/>
    <w:rsid w:val="00D448F8"/>
    <w:rsid w:val="00D44AA1"/>
    <w:rsid w:val="00D44E15"/>
    <w:rsid w:val="00D46AC9"/>
    <w:rsid w:val="00D50D73"/>
    <w:rsid w:val="00D52500"/>
    <w:rsid w:val="00D52A91"/>
    <w:rsid w:val="00D52C7C"/>
    <w:rsid w:val="00D52F0B"/>
    <w:rsid w:val="00D5330B"/>
    <w:rsid w:val="00D53713"/>
    <w:rsid w:val="00D5414D"/>
    <w:rsid w:val="00D544A6"/>
    <w:rsid w:val="00D55187"/>
    <w:rsid w:val="00D560BB"/>
    <w:rsid w:val="00D5699B"/>
    <w:rsid w:val="00D56F94"/>
    <w:rsid w:val="00D6027F"/>
    <w:rsid w:val="00D60598"/>
    <w:rsid w:val="00D609BE"/>
    <w:rsid w:val="00D613BD"/>
    <w:rsid w:val="00D61EBA"/>
    <w:rsid w:val="00D61FCF"/>
    <w:rsid w:val="00D6216A"/>
    <w:rsid w:val="00D6253A"/>
    <w:rsid w:val="00D6347B"/>
    <w:rsid w:val="00D63C70"/>
    <w:rsid w:val="00D64D15"/>
    <w:rsid w:val="00D64EE4"/>
    <w:rsid w:val="00D65456"/>
    <w:rsid w:val="00D65697"/>
    <w:rsid w:val="00D65C64"/>
    <w:rsid w:val="00D6618F"/>
    <w:rsid w:val="00D66C5F"/>
    <w:rsid w:val="00D67B14"/>
    <w:rsid w:val="00D67F0B"/>
    <w:rsid w:val="00D67FF6"/>
    <w:rsid w:val="00D7052A"/>
    <w:rsid w:val="00D7067C"/>
    <w:rsid w:val="00D708E2"/>
    <w:rsid w:val="00D70D04"/>
    <w:rsid w:val="00D7185E"/>
    <w:rsid w:val="00D7271E"/>
    <w:rsid w:val="00D728E5"/>
    <w:rsid w:val="00D7311E"/>
    <w:rsid w:val="00D737D8"/>
    <w:rsid w:val="00D77C2B"/>
    <w:rsid w:val="00D81029"/>
    <w:rsid w:val="00D81BCA"/>
    <w:rsid w:val="00D8253F"/>
    <w:rsid w:val="00D82A50"/>
    <w:rsid w:val="00D8394A"/>
    <w:rsid w:val="00D839BC"/>
    <w:rsid w:val="00D83AE2"/>
    <w:rsid w:val="00D84020"/>
    <w:rsid w:val="00D8593C"/>
    <w:rsid w:val="00D859FC"/>
    <w:rsid w:val="00D85A28"/>
    <w:rsid w:val="00D85AF6"/>
    <w:rsid w:val="00D85EA3"/>
    <w:rsid w:val="00D85FF0"/>
    <w:rsid w:val="00D867ED"/>
    <w:rsid w:val="00D86D38"/>
    <w:rsid w:val="00D87081"/>
    <w:rsid w:val="00D87E93"/>
    <w:rsid w:val="00D90C2D"/>
    <w:rsid w:val="00D915C2"/>
    <w:rsid w:val="00D920BD"/>
    <w:rsid w:val="00D92203"/>
    <w:rsid w:val="00D92A0D"/>
    <w:rsid w:val="00D94077"/>
    <w:rsid w:val="00D9469F"/>
    <w:rsid w:val="00D95817"/>
    <w:rsid w:val="00D969DD"/>
    <w:rsid w:val="00D97DFF"/>
    <w:rsid w:val="00DA1BB5"/>
    <w:rsid w:val="00DA21AD"/>
    <w:rsid w:val="00DA29AB"/>
    <w:rsid w:val="00DA2B07"/>
    <w:rsid w:val="00DA316F"/>
    <w:rsid w:val="00DA3AAA"/>
    <w:rsid w:val="00DA4481"/>
    <w:rsid w:val="00DA4950"/>
    <w:rsid w:val="00DA4BA9"/>
    <w:rsid w:val="00DA5891"/>
    <w:rsid w:val="00DA761F"/>
    <w:rsid w:val="00DA7A08"/>
    <w:rsid w:val="00DB023B"/>
    <w:rsid w:val="00DB115D"/>
    <w:rsid w:val="00DB18CA"/>
    <w:rsid w:val="00DB192F"/>
    <w:rsid w:val="00DB28C7"/>
    <w:rsid w:val="00DB2B64"/>
    <w:rsid w:val="00DB3CE4"/>
    <w:rsid w:val="00DB41B6"/>
    <w:rsid w:val="00DB422A"/>
    <w:rsid w:val="00DB526C"/>
    <w:rsid w:val="00DB551C"/>
    <w:rsid w:val="00DB6F28"/>
    <w:rsid w:val="00DB6FBD"/>
    <w:rsid w:val="00DB722D"/>
    <w:rsid w:val="00DB7560"/>
    <w:rsid w:val="00DC0E9F"/>
    <w:rsid w:val="00DC18C9"/>
    <w:rsid w:val="00DC1D44"/>
    <w:rsid w:val="00DC33A6"/>
    <w:rsid w:val="00DC342B"/>
    <w:rsid w:val="00DC367A"/>
    <w:rsid w:val="00DC3C1C"/>
    <w:rsid w:val="00DC40C1"/>
    <w:rsid w:val="00DC4611"/>
    <w:rsid w:val="00DC4F9B"/>
    <w:rsid w:val="00DC502A"/>
    <w:rsid w:val="00DC5384"/>
    <w:rsid w:val="00DC67A8"/>
    <w:rsid w:val="00DC7171"/>
    <w:rsid w:val="00DD045F"/>
    <w:rsid w:val="00DD09BE"/>
    <w:rsid w:val="00DD113C"/>
    <w:rsid w:val="00DD1521"/>
    <w:rsid w:val="00DD2C58"/>
    <w:rsid w:val="00DD41DD"/>
    <w:rsid w:val="00DD4225"/>
    <w:rsid w:val="00DD424B"/>
    <w:rsid w:val="00DD43C1"/>
    <w:rsid w:val="00DD4A0D"/>
    <w:rsid w:val="00DD4DFE"/>
    <w:rsid w:val="00DD5B22"/>
    <w:rsid w:val="00DD5B7D"/>
    <w:rsid w:val="00DD6D9B"/>
    <w:rsid w:val="00DE0121"/>
    <w:rsid w:val="00DE0658"/>
    <w:rsid w:val="00DE0F0D"/>
    <w:rsid w:val="00DE0FCA"/>
    <w:rsid w:val="00DE15F7"/>
    <w:rsid w:val="00DE28AE"/>
    <w:rsid w:val="00DE47C1"/>
    <w:rsid w:val="00DE4BDA"/>
    <w:rsid w:val="00DE4DE7"/>
    <w:rsid w:val="00DE5929"/>
    <w:rsid w:val="00DE5A60"/>
    <w:rsid w:val="00DE607E"/>
    <w:rsid w:val="00DE6FBF"/>
    <w:rsid w:val="00DF073A"/>
    <w:rsid w:val="00DF0E3E"/>
    <w:rsid w:val="00DF1AB6"/>
    <w:rsid w:val="00DF1E5E"/>
    <w:rsid w:val="00DF412B"/>
    <w:rsid w:val="00DF441F"/>
    <w:rsid w:val="00DF5013"/>
    <w:rsid w:val="00DF5304"/>
    <w:rsid w:val="00DF5D34"/>
    <w:rsid w:val="00DF60C1"/>
    <w:rsid w:val="00DF6689"/>
    <w:rsid w:val="00DF69E6"/>
    <w:rsid w:val="00DF7163"/>
    <w:rsid w:val="00DF75FD"/>
    <w:rsid w:val="00DF7CEA"/>
    <w:rsid w:val="00E00E25"/>
    <w:rsid w:val="00E01373"/>
    <w:rsid w:val="00E019A1"/>
    <w:rsid w:val="00E025F4"/>
    <w:rsid w:val="00E027DE"/>
    <w:rsid w:val="00E04CEE"/>
    <w:rsid w:val="00E04FCA"/>
    <w:rsid w:val="00E05E19"/>
    <w:rsid w:val="00E06B0A"/>
    <w:rsid w:val="00E1204E"/>
    <w:rsid w:val="00E12131"/>
    <w:rsid w:val="00E121C9"/>
    <w:rsid w:val="00E12476"/>
    <w:rsid w:val="00E1345D"/>
    <w:rsid w:val="00E15452"/>
    <w:rsid w:val="00E1569B"/>
    <w:rsid w:val="00E15A5C"/>
    <w:rsid w:val="00E15B36"/>
    <w:rsid w:val="00E15B54"/>
    <w:rsid w:val="00E163D2"/>
    <w:rsid w:val="00E1652D"/>
    <w:rsid w:val="00E1672A"/>
    <w:rsid w:val="00E16DA0"/>
    <w:rsid w:val="00E16F73"/>
    <w:rsid w:val="00E17697"/>
    <w:rsid w:val="00E17981"/>
    <w:rsid w:val="00E17A76"/>
    <w:rsid w:val="00E2163E"/>
    <w:rsid w:val="00E22569"/>
    <w:rsid w:val="00E23A86"/>
    <w:rsid w:val="00E2512C"/>
    <w:rsid w:val="00E252C8"/>
    <w:rsid w:val="00E25640"/>
    <w:rsid w:val="00E25CB6"/>
    <w:rsid w:val="00E2655B"/>
    <w:rsid w:val="00E26A72"/>
    <w:rsid w:val="00E273A3"/>
    <w:rsid w:val="00E275B1"/>
    <w:rsid w:val="00E30D4E"/>
    <w:rsid w:val="00E31180"/>
    <w:rsid w:val="00E31477"/>
    <w:rsid w:val="00E315B3"/>
    <w:rsid w:val="00E31A56"/>
    <w:rsid w:val="00E3392B"/>
    <w:rsid w:val="00E34119"/>
    <w:rsid w:val="00E34187"/>
    <w:rsid w:val="00E34FB3"/>
    <w:rsid w:val="00E3620F"/>
    <w:rsid w:val="00E37B8D"/>
    <w:rsid w:val="00E37F7D"/>
    <w:rsid w:val="00E40B87"/>
    <w:rsid w:val="00E40C6B"/>
    <w:rsid w:val="00E41AF7"/>
    <w:rsid w:val="00E41AFB"/>
    <w:rsid w:val="00E42284"/>
    <w:rsid w:val="00E427ED"/>
    <w:rsid w:val="00E44C53"/>
    <w:rsid w:val="00E44F55"/>
    <w:rsid w:val="00E45C55"/>
    <w:rsid w:val="00E4668E"/>
    <w:rsid w:val="00E467A9"/>
    <w:rsid w:val="00E479C9"/>
    <w:rsid w:val="00E508F8"/>
    <w:rsid w:val="00E51BC1"/>
    <w:rsid w:val="00E528BA"/>
    <w:rsid w:val="00E52FA6"/>
    <w:rsid w:val="00E535CE"/>
    <w:rsid w:val="00E53863"/>
    <w:rsid w:val="00E539F0"/>
    <w:rsid w:val="00E53B95"/>
    <w:rsid w:val="00E5503A"/>
    <w:rsid w:val="00E56E8E"/>
    <w:rsid w:val="00E576DF"/>
    <w:rsid w:val="00E60D5D"/>
    <w:rsid w:val="00E60E04"/>
    <w:rsid w:val="00E614D4"/>
    <w:rsid w:val="00E623C2"/>
    <w:rsid w:val="00E62B00"/>
    <w:rsid w:val="00E643C3"/>
    <w:rsid w:val="00E64A38"/>
    <w:rsid w:val="00E6651D"/>
    <w:rsid w:val="00E672AC"/>
    <w:rsid w:val="00E675DF"/>
    <w:rsid w:val="00E67801"/>
    <w:rsid w:val="00E702F9"/>
    <w:rsid w:val="00E70516"/>
    <w:rsid w:val="00E71187"/>
    <w:rsid w:val="00E71302"/>
    <w:rsid w:val="00E71E56"/>
    <w:rsid w:val="00E71F33"/>
    <w:rsid w:val="00E7262A"/>
    <w:rsid w:val="00E73562"/>
    <w:rsid w:val="00E737E4"/>
    <w:rsid w:val="00E74240"/>
    <w:rsid w:val="00E74325"/>
    <w:rsid w:val="00E74FBF"/>
    <w:rsid w:val="00E75455"/>
    <w:rsid w:val="00E7574C"/>
    <w:rsid w:val="00E75D8D"/>
    <w:rsid w:val="00E7707D"/>
    <w:rsid w:val="00E84547"/>
    <w:rsid w:val="00E85462"/>
    <w:rsid w:val="00E85469"/>
    <w:rsid w:val="00E85C18"/>
    <w:rsid w:val="00E86221"/>
    <w:rsid w:val="00E8643C"/>
    <w:rsid w:val="00E873ED"/>
    <w:rsid w:val="00E87D71"/>
    <w:rsid w:val="00E90E73"/>
    <w:rsid w:val="00E91206"/>
    <w:rsid w:val="00E91237"/>
    <w:rsid w:val="00E91D4E"/>
    <w:rsid w:val="00E931DE"/>
    <w:rsid w:val="00E93FCB"/>
    <w:rsid w:val="00E94ABD"/>
    <w:rsid w:val="00E94AED"/>
    <w:rsid w:val="00E95B2E"/>
    <w:rsid w:val="00E95D0B"/>
    <w:rsid w:val="00E96357"/>
    <w:rsid w:val="00E966B2"/>
    <w:rsid w:val="00E9714F"/>
    <w:rsid w:val="00E97DF9"/>
    <w:rsid w:val="00EA04D6"/>
    <w:rsid w:val="00EA09C5"/>
    <w:rsid w:val="00EA0E20"/>
    <w:rsid w:val="00EA1522"/>
    <w:rsid w:val="00EA16EF"/>
    <w:rsid w:val="00EA1957"/>
    <w:rsid w:val="00EA2E29"/>
    <w:rsid w:val="00EA367C"/>
    <w:rsid w:val="00EA3C91"/>
    <w:rsid w:val="00EA516B"/>
    <w:rsid w:val="00EA5536"/>
    <w:rsid w:val="00EA686E"/>
    <w:rsid w:val="00EA6D3D"/>
    <w:rsid w:val="00EA74FF"/>
    <w:rsid w:val="00EA7E10"/>
    <w:rsid w:val="00EB000A"/>
    <w:rsid w:val="00EB1D1C"/>
    <w:rsid w:val="00EB2FDC"/>
    <w:rsid w:val="00EB3613"/>
    <w:rsid w:val="00EB3950"/>
    <w:rsid w:val="00EB4636"/>
    <w:rsid w:val="00EB4F65"/>
    <w:rsid w:val="00EB5517"/>
    <w:rsid w:val="00EB5FAB"/>
    <w:rsid w:val="00EB63C7"/>
    <w:rsid w:val="00EB6553"/>
    <w:rsid w:val="00EB71EF"/>
    <w:rsid w:val="00EB767B"/>
    <w:rsid w:val="00EC0825"/>
    <w:rsid w:val="00EC0CE2"/>
    <w:rsid w:val="00EC0EB3"/>
    <w:rsid w:val="00EC10EB"/>
    <w:rsid w:val="00EC1C59"/>
    <w:rsid w:val="00EC1E95"/>
    <w:rsid w:val="00EC2173"/>
    <w:rsid w:val="00EC25A4"/>
    <w:rsid w:val="00EC2998"/>
    <w:rsid w:val="00EC2E7D"/>
    <w:rsid w:val="00EC44E1"/>
    <w:rsid w:val="00EC4852"/>
    <w:rsid w:val="00EC4F1E"/>
    <w:rsid w:val="00EC504E"/>
    <w:rsid w:val="00EC5ECB"/>
    <w:rsid w:val="00EC7AC5"/>
    <w:rsid w:val="00EC7C00"/>
    <w:rsid w:val="00EC7D0C"/>
    <w:rsid w:val="00ED08B4"/>
    <w:rsid w:val="00ED0A41"/>
    <w:rsid w:val="00ED0C28"/>
    <w:rsid w:val="00ED1681"/>
    <w:rsid w:val="00ED1B3D"/>
    <w:rsid w:val="00ED247D"/>
    <w:rsid w:val="00ED2B34"/>
    <w:rsid w:val="00ED337B"/>
    <w:rsid w:val="00ED4B22"/>
    <w:rsid w:val="00ED5919"/>
    <w:rsid w:val="00ED6276"/>
    <w:rsid w:val="00EE11B1"/>
    <w:rsid w:val="00EE1666"/>
    <w:rsid w:val="00EE1BA4"/>
    <w:rsid w:val="00EE1C50"/>
    <w:rsid w:val="00EE1CE2"/>
    <w:rsid w:val="00EE2DF8"/>
    <w:rsid w:val="00EE37DA"/>
    <w:rsid w:val="00EE5AE1"/>
    <w:rsid w:val="00EE5EF3"/>
    <w:rsid w:val="00EE6E1F"/>
    <w:rsid w:val="00EE706B"/>
    <w:rsid w:val="00EE75F0"/>
    <w:rsid w:val="00EE7834"/>
    <w:rsid w:val="00EE7FEF"/>
    <w:rsid w:val="00EF0A3F"/>
    <w:rsid w:val="00EF0FB8"/>
    <w:rsid w:val="00EF20CF"/>
    <w:rsid w:val="00EF2764"/>
    <w:rsid w:val="00EF31F0"/>
    <w:rsid w:val="00EF3634"/>
    <w:rsid w:val="00EF450A"/>
    <w:rsid w:val="00EF5936"/>
    <w:rsid w:val="00EF61A5"/>
    <w:rsid w:val="00EF7B80"/>
    <w:rsid w:val="00F00781"/>
    <w:rsid w:val="00F010B4"/>
    <w:rsid w:val="00F01337"/>
    <w:rsid w:val="00F013A2"/>
    <w:rsid w:val="00F01527"/>
    <w:rsid w:val="00F02198"/>
    <w:rsid w:val="00F02773"/>
    <w:rsid w:val="00F0364F"/>
    <w:rsid w:val="00F036A1"/>
    <w:rsid w:val="00F03A66"/>
    <w:rsid w:val="00F03BD8"/>
    <w:rsid w:val="00F04C93"/>
    <w:rsid w:val="00F05304"/>
    <w:rsid w:val="00F0615B"/>
    <w:rsid w:val="00F061A4"/>
    <w:rsid w:val="00F069F5"/>
    <w:rsid w:val="00F07A80"/>
    <w:rsid w:val="00F07F93"/>
    <w:rsid w:val="00F10FDC"/>
    <w:rsid w:val="00F11140"/>
    <w:rsid w:val="00F111AF"/>
    <w:rsid w:val="00F111C2"/>
    <w:rsid w:val="00F11810"/>
    <w:rsid w:val="00F12F77"/>
    <w:rsid w:val="00F13016"/>
    <w:rsid w:val="00F1380F"/>
    <w:rsid w:val="00F13E0D"/>
    <w:rsid w:val="00F1481E"/>
    <w:rsid w:val="00F1608F"/>
    <w:rsid w:val="00F1654C"/>
    <w:rsid w:val="00F17071"/>
    <w:rsid w:val="00F20A44"/>
    <w:rsid w:val="00F20EB9"/>
    <w:rsid w:val="00F244D0"/>
    <w:rsid w:val="00F25A60"/>
    <w:rsid w:val="00F25F7C"/>
    <w:rsid w:val="00F26847"/>
    <w:rsid w:val="00F26A28"/>
    <w:rsid w:val="00F3042A"/>
    <w:rsid w:val="00F320FA"/>
    <w:rsid w:val="00F32B0A"/>
    <w:rsid w:val="00F33C2F"/>
    <w:rsid w:val="00F34050"/>
    <w:rsid w:val="00F343A2"/>
    <w:rsid w:val="00F34A49"/>
    <w:rsid w:val="00F35923"/>
    <w:rsid w:val="00F35F98"/>
    <w:rsid w:val="00F36372"/>
    <w:rsid w:val="00F36422"/>
    <w:rsid w:val="00F36496"/>
    <w:rsid w:val="00F36C98"/>
    <w:rsid w:val="00F3789B"/>
    <w:rsid w:val="00F37C13"/>
    <w:rsid w:val="00F37E8B"/>
    <w:rsid w:val="00F37EA1"/>
    <w:rsid w:val="00F40335"/>
    <w:rsid w:val="00F40D1A"/>
    <w:rsid w:val="00F41B6B"/>
    <w:rsid w:val="00F426B5"/>
    <w:rsid w:val="00F42DB0"/>
    <w:rsid w:val="00F438D7"/>
    <w:rsid w:val="00F43D4C"/>
    <w:rsid w:val="00F44061"/>
    <w:rsid w:val="00F44919"/>
    <w:rsid w:val="00F44E48"/>
    <w:rsid w:val="00F45A32"/>
    <w:rsid w:val="00F475A8"/>
    <w:rsid w:val="00F47C71"/>
    <w:rsid w:val="00F5060D"/>
    <w:rsid w:val="00F506DE"/>
    <w:rsid w:val="00F513C5"/>
    <w:rsid w:val="00F51BC8"/>
    <w:rsid w:val="00F51C63"/>
    <w:rsid w:val="00F52266"/>
    <w:rsid w:val="00F527CF"/>
    <w:rsid w:val="00F52840"/>
    <w:rsid w:val="00F53014"/>
    <w:rsid w:val="00F53209"/>
    <w:rsid w:val="00F55D45"/>
    <w:rsid w:val="00F56490"/>
    <w:rsid w:val="00F57C48"/>
    <w:rsid w:val="00F6001F"/>
    <w:rsid w:val="00F60461"/>
    <w:rsid w:val="00F60728"/>
    <w:rsid w:val="00F6083E"/>
    <w:rsid w:val="00F61048"/>
    <w:rsid w:val="00F62726"/>
    <w:rsid w:val="00F63602"/>
    <w:rsid w:val="00F63A99"/>
    <w:rsid w:val="00F63D45"/>
    <w:rsid w:val="00F63FFD"/>
    <w:rsid w:val="00F64B1B"/>
    <w:rsid w:val="00F65CA2"/>
    <w:rsid w:val="00F675DF"/>
    <w:rsid w:val="00F6790C"/>
    <w:rsid w:val="00F67AC8"/>
    <w:rsid w:val="00F70281"/>
    <w:rsid w:val="00F702A6"/>
    <w:rsid w:val="00F70504"/>
    <w:rsid w:val="00F70F04"/>
    <w:rsid w:val="00F715A4"/>
    <w:rsid w:val="00F715EB"/>
    <w:rsid w:val="00F726F0"/>
    <w:rsid w:val="00F738DD"/>
    <w:rsid w:val="00F73B82"/>
    <w:rsid w:val="00F750FA"/>
    <w:rsid w:val="00F751EF"/>
    <w:rsid w:val="00F75FC8"/>
    <w:rsid w:val="00F76B48"/>
    <w:rsid w:val="00F77990"/>
    <w:rsid w:val="00F77A16"/>
    <w:rsid w:val="00F77C2A"/>
    <w:rsid w:val="00F77DBE"/>
    <w:rsid w:val="00F800DD"/>
    <w:rsid w:val="00F8019C"/>
    <w:rsid w:val="00F80435"/>
    <w:rsid w:val="00F807C8"/>
    <w:rsid w:val="00F81717"/>
    <w:rsid w:val="00F82C73"/>
    <w:rsid w:val="00F84C54"/>
    <w:rsid w:val="00F85C78"/>
    <w:rsid w:val="00F86A37"/>
    <w:rsid w:val="00F87A70"/>
    <w:rsid w:val="00F87EA9"/>
    <w:rsid w:val="00F9086C"/>
    <w:rsid w:val="00F90E61"/>
    <w:rsid w:val="00F9138E"/>
    <w:rsid w:val="00F91A2E"/>
    <w:rsid w:val="00F9281B"/>
    <w:rsid w:val="00F92D0B"/>
    <w:rsid w:val="00F92E45"/>
    <w:rsid w:val="00F93B48"/>
    <w:rsid w:val="00F943D4"/>
    <w:rsid w:val="00F95485"/>
    <w:rsid w:val="00F95A4D"/>
    <w:rsid w:val="00F965E6"/>
    <w:rsid w:val="00F96C83"/>
    <w:rsid w:val="00F96F8B"/>
    <w:rsid w:val="00FA0996"/>
    <w:rsid w:val="00FA0FD4"/>
    <w:rsid w:val="00FA161B"/>
    <w:rsid w:val="00FA21D0"/>
    <w:rsid w:val="00FA34DD"/>
    <w:rsid w:val="00FA3506"/>
    <w:rsid w:val="00FA351C"/>
    <w:rsid w:val="00FA3DCB"/>
    <w:rsid w:val="00FA3F5A"/>
    <w:rsid w:val="00FA5625"/>
    <w:rsid w:val="00FA5CE8"/>
    <w:rsid w:val="00FA73A5"/>
    <w:rsid w:val="00FA79C3"/>
    <w:rsid w:val="00FB0A07"/>
    <w:rsid w:val="00FB0B0C"/>
    <w:rsid w:val="00FB0C25"/>
    <w:rsid w:val="00FB0E73"/>
    <w:rsid w:val="00FB2A37"/>
    <w:rsid w:val="00FB2AAE"/>
    <w:rsid w:val="00FB399C"/>
    <w:rsid w:val="00FB4352"/>
    <w:rsid w:val="00FB4421"/>
    <w:rsid w:val="00FB585F"/>
    <w:rsid w:val="00FB6AA1"/>
    <w:rsid w:val="00FB6BEB"/>
    <w:rsid w:val="00FB7813"/>
    <w:rsid w:val="00FB7A90"/>
    <w:rsid w:val="00FC049A"/>
    <w:rsid w:val="00FC060B"/>
    <w:rsid w:val="00FC0739"/>
    <w:rsid w:val="00FC141F"/>
    <w:rsid w:val="00FC1537"/>
    <w:rsid w:val="00FC1707"/>
    <w:rsid w:val="00FC1710"/>
    <w:rsid w:val="00FC35A3"/>
    <w:rsid w:val="00FC41D9"/>
    <w:rsid w:val="00FC47A3"/>
    <w:rsid w:val="00FC4B23"/>
    <w:rsid w:val="00FD071A"/>
    <w:rsid w:val="00FD13EB"/>
    <w:rsid w:val="00FD2395"/>
    <w:rsid w:val="00FD2624"/>
    <w:rsid w:val="00FD28EC"/>
    <w:rsid w:val="00FD2CD2"/>
    <w:rsid w:val="00FD33A7"/>
    <w:rsid w:val="00FD381D"/>
    <w:rsid w:val="00FD45CA"/>
    <w:rsid w:val="00FD4E94"/>
    <w:rsid w:val="00FD55B0"/>
    <w:rsid w:val="00FD62DA"/>
    <w:rsid w:val="00FD6A88"/>
    <w:rsid w:val="00FD72ED"/>
    <w:rsid w:val="00FD755E"/>
    <w:rsid w:val="00FD78AC"/>
    <w:rsid w:val="00FD7ACC"/>
    <w:rsid w:val="00FD7D61"/>
    <w:rsid w:val="00FE0D90"/>
    <w:rsid w:val="00FE1663"/>
    <w:rsid w:val="00FE2F0B"/>
    <w:rsid w:val="00FE307A"/>
    <w:rsid w:val="00FE3A74"/>
    <w:rsid w:val="00FE3C3E"/>
    <w:rsid w:val="00FE4352"/>
    <w:rsid w:val="00FE4626"/>
    <w:rsid w:val="00FE4CD2"/>
    <w:rsid w:val="00FE541C"/>
    <w:rsid w:val="00FE5E6E"/>
    <w:rsid w:val="00FE5F5C"/>
    <w:rsid w:val="00FE5F9A"/>
    <w:rsid w:val="00FE75CE"/>
    <w:rsid w:val="00FE7B7F"/>
    <w:rsid w:val="00FE7F7C"/>
    <w:rsid w:val="00FF113E"/>
    <w:rsid w:val="00FF1D1B"/>
    <w:rsid w:val="00FF2395"/>
    <w:rsid w:val="00FF2B5C"/>
    <w:rsid w:val="00FF33EB"/>
    <w:rsid w:val="00FF39D9"/>
    <w:rsid w:val="00FF3F8F"/>
    <w:rsid w:val="00FF443E"/>
    <w:rsid w:val="00FF4618"/>
    <w:rsid w:val="00FF474C"/>
    <w:rsid w:val="00FF56DE"/>
    <w:rsid w:val="00FF5CAB"/>
    <w:rsid w:val="00FF7B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0D4EF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528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5E505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6E4A38"/>
    <w:pPr>
      <w:keepNext/>
      <w:keepLines/>
      <w:spacing w:before="200" w:line="259" w:lineRule="auto"/>
      <w:outlineLvl w:val="2"/>
    </w:pPr>
    <w:rPr>
      <w:rFonts w:asciiTheme="majorHAnsi" w:eastAsiaTheme="majorEastAsia" w:hAnsiTheme="majorHAnsi" w:cstheme="majorBidi"/>
      <w:b/>
      <w:bCs/>
      <w:color w:val="4F81BD" w:themeColor="accent1"/>
      <w:sz w:val="22"/>
      <w:szCs w:val="22"/>
      <w:lang w:eastAsia="en-US"/>
    </w:rPr>
  </w:style>
  <w:style w:type="paragraph" w:styleId="Heading4">
    <w:name w:val="heading 4"/>
    <w:basedOn w:val="Normal"/>
    <w:next w:val="Normal"/>
    <w:link w:val="Heading4Char"/>
    <w:uiPriority w:val="9"/>
    <w:semiHidden/>
    <w:unhideWhenUsed/>
    <w:qFormat/>
    <w:rsid w:val="003E681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6F71"/>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BB6F71"/>
    <w:rPr>
      <w:rFonts w:ascii="Tahoma" w:hAnsi="Tahoma" w:cs="Tahoma"/>
      <w:sz w:val="16"/>
      <w:szCs w:val="16"/>
    </w:rPr>
  </w:style>
  <w:style w:type="paragraph" w:styleId="Header">
    <w:name w:val="header"/>
    <w:basedOn w:val="Normal"/>
    <w:link w:val="HeaderChar"/>
    <w:uiPriority w:val="99"/>
    <w:unhideWhenUsed/>
    <w:rsid w:val="0003403A"/>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03403A"/>
  </w:style>
  <w:style w:type="paragraph" w:styleId="Footer">
    <w:name w:val="footer"/>
    <w:basedOn w:val="Normal"/>
    <w:link w:val="FooterChar"/>
    <w:uiPriority w:val="99"/>
    <w:unhideWhenUsed/>
    <w:rsid w:val="0003403A"/>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03403A"/>
  </w:style>
  <w:style w:type="character" w:styleId="PlaceholderText">
    <w:name w:val="Placeholder Text"/>
    <w:basedOn w:val="DefaultParagraphFont"/>
    <w:uiPriority w:val="99"/>
    <w:semiHidden/>
    <w:rsid w:val="007371F2"/>
    <w:rPr>
      <w:color w:val="808080"/>
    </w:rPr>
  </w:style>
  <w:style w:type="paragraph" w:customStyle="1" w:styleId="Main">
    <w:name w:val="Main"/>
    <w:basedOn w:val="Normal"/>
    <w:link w:val="MainChar"/>
    <w:qFormat/>
    <w:rsid w:val="00A83D00"/>
    <w:rPr>
      <w:rFonts w:ascii="Garamond" w:eastAsiaTheme="minorHAnsi" w:hAnsi="Garamond"/>
      <w:sz w:val="22"/>
      <w:szCs w:val="22"/>
      <w:lang w:eastAsia="en-US"/>
    </w:rPr>
  </w:style>
  <w:style w:type="character" w:customStyle="1" w:styleId="MainChar">
    <w:name w:val="Main Char"/>
    <w:basedOn w:val="DefaultParagraphFont"/>
    <w:link w:val="Main"/>
    <w:rsid w:val="00A83D00"/>
    <w:rPr>
      <w:rFonts w:ascii="Garamond" w:hAnsi="Garamond" w:cs="Times New Roman"/>
    </w:rPr>
  </w:style>
  <w:style w:type="character" w:styleId="Hyperlink">
    <w:name w:val="Hyperlink"/>
    <w:basedOn w:val="DefaultParagraphFont"/>
    <w:uiPriority w:val="99"/>
    <w:unhideWhenUsed/>
    <w:rsid w:val="00737BC9"/>
    <w:rPr>
      <w:color w:val="0000FF" w:themeColor="hyperlink"/>
      <w:u w:val="single"/>
    </w:rPr>
  </w:style>
  <w:style w:type="paragraph" w:styleId="FootnoteText">
    <w:name w:val="footnote text"/>
    <w:basedOn w:val="Normal"/>
    <w:link w:val="FootnoteTextChar"/>
    <w:uiPriority w:val="99"/>
    <w:rsid w:val="00DA7A08"/>
    <w:rPr>
      <w:rFonts w:ascii="Garamond" w:hAnsi="Garamond" w:cs="Times"/>
      <w:sz w:val="22"/>
      <w:szCs w:val="20"/>
      <w:lang w:eastAsia="en-US"/>
    </w:rPr>
  </w:style>
  <w:style w:type="character" w:customStyle="1" w:styleId="FootnoteTextChar">
    <w:name w:val="Footnote Text Char"/>
    <w:basedOn w:val="DefaultParagraphFont"/>
    <w:link w:val="FootnoteText"/>
    <w:uiPriority w:val="99"/>
    <w:rsid w:val="00DA7A08"/>
    <w:rPr>
      <w:rFonts w:ascii="Garamond" w:eastAsia="Times New Roman" w:hAnsi="Garamond" w:cs="Times"/>
      <w:szCs w:val="20"/>
    </w:rPr>
  </w:style>
  <w:style w:type="character" w:styleId="FootnoteReference">
    <w:name w:val="footnote reference"/>
    <w:basedOn w:val="DefaultParagraphFont"/>
    <w:uiPriority w:val="99"/>
    <w:rsid w:val="00DA7A08"/>
    <w:rPr>
      <w:dstrike w:val="0"/>
      <w:sz w:val="20"/>
      <w:vertAlign w:val="superscript"/>
    </w:rPr>
  </w:style>
  <w:style w:type="character" w:customStyle="1" w:styleId="Heading3Char">
    <w:name w:val="Heading 3 Char"/>
    <w:basedOn w:val="DefaultParagraphFont"/>
    <w:link w:val="Heading3"/>
    <w:uiPriority w:val="9"/>
    <w:rsid w:val="006E4A38"/>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FE4CD2"/>
    <w:rPr>
      <w:color w:val="800080" w:themeColor="followedHyperlink"/>
      <w:u w:val="single"/>
    </w:rPr>
  </w:style>
  <w:style w:type="paragraph" w:customStyle="1" w:styleId="Default">
    <w:name w:val="Default"/>
    <w:rsid w:val="009D74AB"/>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54118B"/>
    <w:pPr>
      <w:ind w:left="720"/>
      <w:contextualSpacing/>
    </w:pPr>
  </w:style>
  <w:style w:type="character" w:styleId="CommentReference">
    <w:name w:val="annotation reference"/>
    <w:basedOn w:val="DefaultParagraphFont"/>
    <w:uiPriority w:val="99"/>
    <w:semiHidden/>
    <w:unhideWhenUsed/>
    <w:rsid w:val="002356B7"/>
    <w:rPr>
      <w:sz w:val="16"/>
      <w:szCs w:val="16"/>
    </w:rPr>
  </w:style>
  <w:style w:type="paragraph" w:styleId="CommentText">
    <w:name w:val="annotation text"/>
    <w:basedOn w:val="Normal"/>
    <w:link w:val="CommentTextChar"/>
    <w:uiPriority w:val="99"/>
    <w:semiHidden/>
    <w:unhideWhenUsed/>
    <w:rsid w:val="002356B7"/>
    <w:rPr>
      <w:sz w:val="20"/>
      <w:szCs w:val="20"/>
    </w:rPr>
  </w:style>
  <w:style w:type="character" w:customStyle="1" w:styleId="CommentTextChar">
    <w:name w:val="Comment Text Char"/>
    <w:basedOn w:val="DefaultParagraphFont"/>
    <w:link w:val="CommentText"/>
    <w:uiPriority w:val="99"/>
    <w:semiHidden/>
    <w:rsid w:val="002356B7"/>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356B7"/>
    <w:rPr>
      <w:b/>
      <w:bCs/>
    </w:rPr>
  </w:style>
  <w:style w:type="character" w:customStyle="1" w:styleId="CommentSubjectChar">
    <w:name w:val="Comment Subject Char"/>
    <w:basedOn w:val="CommentTextChar"/>
    <w:link w:val="CommentSubject"/>
    <w:uiPriority w:val="99"/>
    <w:semiHidden/>
    <w:rsid w:val="002356B7"/>
    <w:rPr>
      <w:rFonts w:ascii="Times New Roman" w:eastAsia="Times New Roman" w:hAnsi="Times New Roman" w:cs="Times New Roman"/>
      <w:b/>
      <w:bCs/>
      <w:sz w:val="20"/>
      <w:szCs w:val="20"/>
      <w:lang w:eastAsia="en-GB"/>
    </w:rPr>
  </w:style>
  <w:style w:type="paragraph" w:styleId="NormalWeb">
    <w:name w:val="Normal (Web)"/>
    <w:basedOn w:val="Normal"/>
    <w:uiPriority w:val="99"/>
    <w:unhideWhenUsed/>
    <w:rsid w:val="005A7978"/>
    <w:pPr>
      <w:spacing w:before="100" w:beforeAutospacing="1" w:after="100" w:afterAutospacing="1"/>
    </w:pPr>
  </w:style>
  <w:style w:type="character" w:customStyle="1" w:styleId="street">
    <w:name w:val="street"/>
    <w:basedOn w:val="DefaultParagraphFont"/>
    <w:rsid w:val="00EA0E20"/>
  </w:style>
  <w:style w:type="character" w:customStyle="1" w:styleId="building">
    <w:name w:val="building"/>
    <w:basedOn w:val="DefaultParagraphFont"/>
    <w:rsid w:val="00EA0E20"/>
  </w:style>
  <w:style w:type="character" w:customStyle="1" w:styleId="city">
    <w:name w:val="city"/>
    <w:basedOn w:val="DefaultParagraphFont"/>
    <w:rsid w:val="00EA0E20"/>
  </w:style>
  <w:style w:type="character" w:customStyle="1" w:styleId="postalcode">
    <w:name w:val="postalcode"/>
    <w:basedOn w:val="DefaultParagraphFont"/>
    <w:rsid w:val="00EA0E20"/>
  </w:style>
  <w:style w:type="character" w:customStyle="1" w:styleId="country">
    <w:name w:val="country"/>
    <w:basedOn w:val="DefaultParagraphFont"/>
    <w:rsid w:val="00EA0E20"/>
  </w:style>
  <w:style w:type="character" w:customStyle="1" w:styleId="person-positionitem">
    <w:name w:val="person-position__item"/>
    <w:basedOn w:val="DefaultParagraphFont"/>
    <w:rsid w:val="00303157"/>
  </w:style>
  <w:style w:type="character" w:customStyle="1" w:styleId="addressstreet">
    <w:name w:val="address__street"/>
    <w:basedOn w:val="DefaultParagraphFont"/>
    <w:rsid w:val="00303157"/>
  </w:style>
  <w:style w:type="character" w:customStyle="1" w:styleId="addresscity">
    <w:name w:val="address__city"/>
    <w:basedOn w:val="DefaultParagraphFont"/>
    <w:rsid w:val="00303157"/>
  </w:style>
  <w:style w:type="character" w:customStyle="1" w:styleId="Heading1Char">
    <w:name w:val="Heading 1 Char"/>
    <w:basedOn w:val="DefaultParagraphFont"/>
    <w:link w:val="Heading1"/>
    <w:uiPriority w:val="9"/>
    <w:rsid w:val="005E505A"/>
    <w:rPr>
      <w:rFonts w:asciiTheme="majorHAnsi" w:eastAsiaTheme="majorEastAsia" w:hAnsiTheme="majorHAnsi" w:cstheme="majorBidi"/>
      <w:color w:val="365F91" w:themeColor="accent1" w:themeShade="BF"/>
      <w:sz w:val="32"/>
      <w:szCs w:val="32"/>
      <w:lang w:eastAsia="en-GB"/>
    </w:rPr>
  </w:style>
  <w:style w:type="character" w:styleId="LineNumber">
    <w:name w:val="line number"/>
    <w:basedOn w:val="DefaultParagraphFont"/>
    <w:uiPriority w:val="99"/>
    <w:semiHidden/>
    <w:unhideWhenUsed/>
    <w:rsid w:val="00E26A72"/>
  </w:style>
  <w:style w:type="numbering" w:customStyle="1" w:styleId="NoList1">
    <w:name w:val="No List1"/>
    <w:next w:val="NoList"/>
    <w:uiPriority w:val="99"/>
    <w:semiHidden/>
    <w:unhideWhenUsed/>
    <w:rsid w:val="00E74240"/>
  </w:style>
  <w:style w:type="numbering" w:customStyle="1" w:styleId="NoList11">
    <w:name w:val="No List11"/>
    <w:next w:val="NoList"/>
    <w:uiPriority w:val="99"/>
    <w:semiHidden/>
    <w:unhideWhenUsed/>
    <w:rsid w:val="00E74240"/>
  </w:style>
  <w:style w:type="character" w:customStyle="1" w:styleId="UnresolvedMention1">
    <w:name w:val="Unresolved Mention1"/>
    <w:basedOn w:val="DefaultParagraphFont"/>
    <w:uiPriority w:val="99"/>
    <w:semiHidden/>
    <w:unhideWhenUsed/>
    <w:rsid w:val="007D5759"/>
    <w:rPr>
      <w:color w:val="605E5C"/>
      <w:shd w:val="clear" w:color="auto" w:fill="E1DFDD"/>
    </w:rPr>
  </w:style>
  <w:style w:type="character" w:styleId="Emphasis">
    <w:name w:val="Emphasis"/>
    <w:basedOn w:val="DefaultParagraphFont"/>
    <w:uiPriority w:val="20"/>
    <w:qFormat/>
    <w:rsid w:val="0070537A"/>
    <w:rPr>
      <w:i/>
      <w:iCs/>
    </w:rPr>
  </w:style>
  <w:style w:type="character" w:customStyle="1" w:styleId="UnresolvedMention2">
    <w:name w:val="Unresolved Mention2"/>
    <w:basedOn w:val="DefaultParagraphFont"/>
    <w:uiPriority w:val="99"/>
    <w:semiHidden/>
    <w:unhideWhenUsed/>
    <w:rsid w:val="00AF04A3"/>
    <w:rPr>
      <w:color w:val="605E5C"/>
      <w:shd w:val="clear" w:color="auto" w:fill="E1DFDD"/>
    </w:rPr>
  </w:style>
  <w:style w:type="character" w:customStyle="1" w:styleId="Heading4Char">
    <w:name w:val="Heading 4 Char"/>
    <w:basedOn w:val="DefaultParagraphFont"/>
    <w:link w:val="Heading4"/>
    <w:uiPriority w:val="9"/>
    <w:semiHidden/>
    <w:rsid w:val="003E681E"/>
    <w:rPr>
      <w:rFonts w:asciiTheme="majorHAnsi" w:eastAsiaTheme="majorEastAsia" w:hAnsiTheme="majorHAnsi" w:cstheme="majorBidi"/>
      <w:i/>
      <w:iCs/>
      <w:color w:val="365F91" w:themeColor="accent1" w:themeShade="B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38426">
      <w:bodyDiv w:val="1"/>
      <w:marLeft w:val="0"/>
      <w:marRight w:val="0"/>
      <w:marTop w:val="0"/>
      <w:marBottom w:val="0"/>
      <w:divBdr>
        <w:top w:val="none" w:sz="0" w:space="0" w:color="auto"/>
        <w:left w:val="none" w:sz="0" w:space="0" w:color="auto"/>
        <w:bottom w:val="none" w:sz="0" w:space="0" w:color="auto"/>
        <w:right w:val="none" w:sz="0" w:space="0" w:color="auto"/>
      </w:divBdr>
    </w:div>
    <w:div w:id="30426868">
      <w:bodyDiv w:val="1"/>
      <w:marLeft w:val="0"/>
      <w:marRight w:val="0"/>
      <w:marTop w:val="0"/>
      <w:marBottom w:val="0"/>
      <w:divBdr>
        <w:top w:val="none" w:sz="0" w:space="0" w:color="auto"/>
        <w:left w:val="none" w:sz="0" w:space="0" w:color="auto"/>
        <w:bottom w:val="none" w:sz="0" w:space="0" w:color="auto"/>
        <w:right w:val="none" w:sz="0" w:space="0" w:color="auto"/>
      </w:divBdr>
    </w:div>
    <w:div w:id="31731295">
      <w:bodyDiv w:val="1"/>
      <w:marLeft w:val="0"/>
      <w:marRight w:val="0"/>
      <w:marTop w:val="0"/>
      <w:marBottom w:val="0"/>
      <w:divBdr>
        <w:top w:val="none" w:sz="0" w:space="0" w:color="auto"/>
        <w:left w:val="none" w:sz="0" w:space="0" w:color="auto"/>
        <w:bottom w:val="none" w:sz="0" w:space="0" w:color="auto"/>
        <w:right w:val="none" w:sz="0" w:space="0" w:color="auto"/>
      </w:divBdr>
    </w:div>
    <w:div w:id="34357720">
      <w:bodyDiv w:val="1"/>
      <w:marLeft w:val="0"/>
      <w:marRight w:val="0"/>
      <w:marTop w:val="0"/>
      <w:marBottom w:val="0"/>
      <w:divBdr>
        <w:top w:val="none" w:sz="0" w:space="0" w:color="auto"/>
        <w:left w:val="none" w:sz="0" w:space="0" w:color="auto"/>
        <w:bottom w:val="none" w:sz="0" w:space="0" w:color="auto"/>
        <w:right w:val="none" w:sz="0" w:space="0" w:color="auto"/>
      </w:divBdr>
    </w:div>
    <w:div w:id="40596949">
      <w:bodyDiv w:val="1"/>
      <w:marLeft w:val="0"/>
      <w:marRight w:val="0"/>
      <w:marTop w:val="0"/>
      <w:marBottom w:val="0"/>
      <w:divBdr>
        <w:top w:val="none" w:sz="0" w:space="0" w:color="auto"/>
        <w:left w:val="none" w:sz="0" w:space="0" w:color="auto"/>
        <w:bottom w:val="none" w:sz="0" w:space="0" w:color="auto"/>
        <w:right w:val="none" w:sz="0" w:space="0" w:color="auto"/>
      </w:divBdr>
      <w:divsChild>
        <w:div w:id="1912541459">
          <w:marLeft w:val="0"/>
          <w:marRight w:val="0"/>
          <w:marTop w:val="0"/>
          <w:marBottom w:val="0"/>
          <w:divBdr>
            <w:top w:val="none" w:sz="0" w:space="0" w:color="auto"/>
            <w:left w:val="none" w:sz="0" w:space="0" w:color="auto"/>
            <w:bottom w:val="none" w:sz="0" w:space="0" w:color="auto"/>
            <w:right w:val="none" w:sz="0" w:space="0" w:color="auto"/>
          </w:divBdr>
        </w:div>
      </w:divsChild>
    </w:div>
    <w:div w:id="42407242">
      <w:bodyDiv w:val="1"/>
      <w:marLeft w:val="0"/>
      <w:marRight w:val="0"/>
      <w:marTop w:val="0"/>
      <w:marBottom w:val="0"/>
      <w:divBdr>
        <w:top w:val="none" w:sz="0" w:space="0" w:color="auto"/>
        <w:left w:val="none" w:sz="0" w:space="0" w:color="auto"/>
        <w:bottom w:val="none" w:sz="0" w:space="0" w:color="auto"/>
        <w:right w:val="none" w:sz="0" w:space="0" w:color="auto"/>
      </w:divBdr>
    </w:div>
    <w:div w:id="44451985">
      <w:bodyDiv w:val="1"/>
      <w:marLeft w:val="0"/>
      <w:marRight w:val="0"/>
      <w:marTop w:val="0"/>
      <w:marBottom w:val="0"/>
      <w:divBdr>
        <w:top w:val="none" w:sz="0" w:space="0" w:color="auto"/>
        <w:left w:val="none" w:sz="0" w:space="0" w:color="auto"/>
        <w:bottom w:val="none" w:sz="0" w:space="0" w:color="auto"/>
        <w:right w:val="none" w:sz="0" w:space="0" w:color="auto"/>
      </w:divBdr>
    </w:div>
    <w:div w:id="74327412">
      <w:bodyDiv w:val="1"/>
      <w:marLeft w:val="0"/>
      <w:marRight w:val="0"/>
      <w:marTop w:val="0"/>
      <w:marBottom w:val="0"/>
      <w:divBdr>
        <w:top w:val="none" w:sz="0" w:space="0" w:color="auto"/>
        <w:left w:val="none" w:sz="0" w:space="0" w:color="auto"/>
        <w:bottom w:val="none" w:sz="0" w:space="0" w:color="auto"/>
        <w:right w:val="none" w:sz="0" w:space="0" w:color="auto"/>
      </w:divBdr>
    </w:div>
    <w:div w:id="76364403">
      <w:bodyDiv w:val="1"/>
      <w:marLeft w:val="0"/>
      <w:marRight w:val="0"/>
      <w:marTop w:val="0"/>
      <w:marBottom w:val="0"/>
      <w:divBdr>
        <w:top w:val="none" w:sz="0" w:space="0" w:color="auto"/>
        <w:left w:val="none" w:sz="0" w:space="0" w:color="auto"/>
        <w:bottom w:val="none" w:sz="0" w:space="0" w:color="auto"/>
        <w:right w:val="none" w:sz="0" w:space="0" w:color="auto"/>
      </w:divBdr>
    </w:div>
    <w:div w:id="86581152">
      <w:bodyDiv w:val="1"/>
      <w:marLeft w:val="0"/>
      <w:marRight w:val="0"/>
      <w:marTop w:val="0"/>
      <w:marBottom w:val="0"/>
      <w:divBdr>
        <w:top w:val="none" w:sz="0" w:space="0" w:color="auto"/>
        <w:left w:val="none" w:sz="0" w:space="0" w:color="auto"/>
        <w:bottom w:val="none" w:sz="0" w:space="0" w:color="auto"/>
        <w:right w:val="none" w:sz="0" w:space="0" w:color="auto"/>
      </w:divBdr>
    </w:div>
    <w:div w:id="130513612">
      <w:bodyDiv w:val="1"/>
      <w:marLeft w:val="0"/>
      <w:marRight w:val="0"/>
      <w:marTop w:val="0"/>
      <w:marBottom w:val="0"/>
      <w:divBdr>
        <w:top w:val="none" w:sz="0" w:space="0" w:color="auto"/>
        <w:left w:val="none" w:sz="0" w:space="0" w:color="auto"/>
        <w:bottom w:val="none" w:sz="0" w:space="0" w:color="auto"/>
        <w:right w:val="none" w:sz="0" w:space="0" w:color="auto"/>
      </w:divBdr>
    </w:div>
    <w:div w:id="148374919">
      <w:bodyDiv w:val="1"/>
      <w:marLeft w:val="0"/>
      <w:marRight w:val="0"/>
      <w:marTop w:val="0"/>
      <w:marBottom w:val="0"/>
      <w:divBdr>
        <w:top w:val="none" w:sz="0" w:space="0" w:color="auto"/>
        <w:left w:val="none" w:sz="0" w:space="0" w:color="auto"/>
        <w:bottom w:val="none" w:sz="0" w:space="0" w:color="auto"/>
        <w:right w:val="none" w:sz="0" w:space="0" w:color="auto"/>
      </w:divBdr>
      <w:divsChild>
        <w:div w:id="713575550">
          <w:marLeft w:val="0"/>
          <w:marRight w:val="0"/>
          <w:marTop w:val="0"/>
          <w:marBottom w:val="0"/>
          <w:divBdr>
            <w:top w:val="none" w:sz="0" w:space="0" w:color="auto"/>
            <w:left w:val="none" w:sz="0" w:space="0" w:color="auto"/>
            <w:bottom w:val="none" w:sz="0" w:space="0" w:color="auto"/>
            <w:right w:val="none" w:sz="0" w:space="0" w:color="auto"/>
          </w:divBdr>
        </w:div>
        <w:div w:id="678234206">
          <w:marLeft w:val="0"/>
          <w:marRight w:val="0"/>
          <w:marTop w:val="0"/>
          <w:marBottom w:val="0"/>
          <w:divBdr>
            <w:top w:val="none" w:sz="0" w:space="0" w:color="auto"/>
            <w:left w:val="none" w:sz="0" w:space="0" w:color="auto"/>
            <w:bottom w:val="none" w:sz="0" w:space="0" w:color="auto"/>
            <w:right w:val="none" w:sz="0" w:space="0" w:color="auto"/>
          </w:divBdr>
        </w:div>
        <w:div w:id="361832891">
          <w:marLeft w:val="0"/>
          <w:marRight w:val="0"/>
          <w:marTop w:val="0"/>
          <w:marBottom w:val="0"/>
          <w:divBdr>
            <w:top w:val="none" w:sz="0" w:space="0" w:color="auto"/>
            <w:left w:val="none" w:sz="0" w:space="0" w:color="auto"/>
            <w:bottom w:val="none" w:sz="0" w:space="0" w:color="auto"/>
            <w:right w:val="none" w:sz="0" w:space="0" w:color="auto"/>
          </w:divBdr>
        </w:div>
        <w:div w:id="650183826">
          <w:marLeft w:val="0"/>
          <w:marRight w:val="0"/>
          <w:marTop w:val="0"/>
          <w:marBottom w:val="0"/>
          <w:divBdr>
            <w:top w:val="none" w:sz="0" w:space="0" w:color="auto"/>
            <w:left w:val="none" w:sz="0" w:space="0" w:color="auto"/>
            <w:bottom w:val="none" w:sz="0" w:space="0" w:color="auto"/>
            <w:right w:val="none" w:sz="0" w:space="0" w:color="auto"/>
          </w:divBdr>
        </w:div>
        <w:div w:id="1716737909">
          <w:marLeft w:val="0"/>
          <w:marRight w:val="0"/>
          <w:marTop w:val="0"/>
          <w:marBottom w:val="0"/>
          <w:divBdr>
            <w:top w:val="none" w:sz="0" w:space="0" w:color="auto"/>
            <w:left w:val="none" w:sz="0" w:space="0" w:color="auto"/>
            <w:bottom w:val="none" w:sz="0" w:space="0" w:color="auto"/>
            <w:right w:val="none" w:sz="0" w:space="0" w:color="auto"/>
          </w:divBdr>
        </w:div>
        <w:div w:id="1484006793">
          <w:marLeft w:val="0"/>
          <w:marRight w:val="0"/>
          <w:marTop w:val="0"/>
          <w:marBottom w:val="0"/>
          <w:divBdr>
            <w:top w:val="none" w:sz="0" w:space="0" w:color="auto"/>
            <w:left w:val="none" w:sz="0" w:space="0" w:color="auto"/>
            <w:bottom w:val="none" w:sz="0" w:space="0" w:color="auto"/>
            <w:right w:val="none" w:sz="0" w:space="0" w:color="auto"/>
          </w:divBdr>
        </w:div>
      </w:divsChild>
    </w:div>
    <w:div w:id="148837142">
      <w:bodyDiv w:val="1"/>
      <w:marLeft w:val="0"/>
      <w:marRight w:val="0"/>
      <w:marTop w:val="0"/>
      <w:marBottom w:val="0"/>
      <w:divBdr>
        <w:top w:val="none" w:sz="0" w:space="0" w:color="auto"/>
        <w:left w:val="none" w:sz="0" w:space="0" w:color="auto"/>
        <w:bottom w:val="none" w:sz="0" w:space="0" w:color="auto"/>
        <w:right w:val="none" w:sz="0" w:space="0" w:color="auto"/>
      </w:divBdr>
    </w:div>
    <w:div w:id="151793649">
      <w:bodyDiv w:val="1"/>
      <w:marLeft w:val="0"/>
      <w:marRight w:val="0"/>
      <w:marTop w:val="0"/>
      <w:marBottom w:val="0"/>
      <w:divBdr>
        <w:top w:val="none" w:sz="0" w:space="0" w:color="auto"/>
        <w:left w:val="none" w:sz="0" w:space="0" w:color="auto"/>
        <w:bottom w:val="none" w:sz="0" w:space="0" w:color="auto"/>
        <w:right w:val="none" w:sz="0" w:space="0" w:color="auto"/>
      </w:divBdr>
    </w:div>
    <w:div w:id="182674640">
      <w:bodyDiv w:val="1"/>
      <w:marLeft w:val="0"/>
      <w:marRight w:val="0"/>
      <w:marTop w:val="0"/>
      <w:marBottom w:val="0"/>
      <w:divBdr>
        <w:top w:val="none" w:sz="0" w:space="0" w:color="auto"/>
        <w:left w:val="none" w:sz="0" w:space="0" w:color="auto"/>
        <w:bottom w:val="none" w:sz="0" w:space="0" w:color="auto"/>
        <w:right w:val="none" w:sz="0" w:space="0" w:color="auto"/>
      </w:divBdr>
    </w:div>
    <w:div w:id="201484199">
      <w:bodyDiv w:val="1"/>
      <w:marLeft w:val="0"/>
      <w:marRight w:val="0"/>
      <w:marTop w:val="0"/>
      <w:marBottom w:val="0"/>
      <w:divBdr>
        <w:top w:val="none" w:sz="0" w:space="0" w:color="auto"/>
        <w:left w:val="none" w:sz="0" w:space="0" w:color="auto"/>
        <w:bottom w:val="none" w:sz="0" w:space="0" w:color="auto"/>
        <w:right w:val="none" w:sz="0" w:space="0" w:color="auto"/>
      </w:divBdr>
    </w:div>
    <w:div w:id="210700922">
      <w:bodyDiv w:val="1"/>
      <w:marLeft w:val="0"/>
      <w:marRight w:val="0"/>
      <w:marTop w:val="0"/>
      <w:marBottom w:val="0"/>
      <w:divBdr>
        <w:top w:val="none" w:sz="0" w:space="0" w:color="auto"/>
        <w:left w:val="none" w:sz="0" w:space="0" w:color="auto"/>
        <w:bottom w:val="none" w:sz="0" w:space="0" w:color="auto"/>
        <w:right w:val="none" w:sz="0" w:space="0" w:color="auto"/>
      </w:divBdr>
    </w:div>
    <w:div w:id="216666232">
      <w:bodyDiv w:val="1"/>
      <w:marLeft w:val="0"/>
      <w:marRight w:val="0"/>
      <w:marTop w:val="0"/>
      <w:marBottom w:val="0"/>
      <w:divBdr>
        <w:top w:val="none" w:sz="0" w:space="0" w:color="auto"/>
        <w:left w:val="none" w:sz="0" w:space="0" w:color="auto"/>
        <w:bottom w:val="none" w:sz="0" w:space="0" w:color="auto"/>
        <w:right w:val="none" w:sz="0" w:space="0" w:color="auto"/>
      </w:divBdr>
    </w:div>
    <w:div w:id="224218639">
      <w:bodyDiv w:val="1"/>
      <w:marLeft w:val="0"/>
      <w:marRight w:val="0"/>
      <w:marTop w:val="0"/>
      <w:marBottom w:val="0"/>
      <w:divBdr>
        <w:top w:val="none" w:sz="0" w:space="0" w:color="auto"/>
        <w:left w:val="none" w:sz="0" w:space="0" w:color="auto"/>
        <w:bottom w:val="none" w:sz="0" w:space="0" w:color="auto"/>
        <w:right w:val="none" w:sz="0" w:space="0" w:color="auto"/>
      </w:divBdr>
    </w:div>
    <w:div w:id="271867618">
      <w:bodyDiv w:val="1"/>
      <w:marLeft w:val="0"/>
      <w:marRight w:val="0"/>
      <w:marTop w:val="0"/>
      <w:marBottom w:val="0"/>
      <w:divBdr>
        <w:top w:val="none" w:sz="0" w:space="0" w:color="auto"/>
        <w:left w:val="none" w:sz="0" w:space="0" w:color="auto"/>
        <w:bottom w:val="none" w:sz="0" w:space="0" w:color="auto"/>
        <w:right w:val="none" w:sz="0" w:space="0" w:color="auto"/>
      </w:divBdr>
    </w:div>
    <w:div w:id="274942570">
      <w:bodyDiv w:val="1"/>
      <w:marLeft w:val="0"/>
      <w:marRight w:val="0"/>
      <w:marTop w:val="0"/>
      <w:marBottom w:val="0"/>
      <w:divBdr>
        <w:top w:val="none" w:sz="0" w:space="0" w:color="auto"/>
        <w:left w:val="none" w:sz="0" w:space="0" w:color="auto"/>
        <w:bottom w:val="none" w:sz="0" w:space="0" w:color="auto"/>
        <w:right w:val="none" w:sz="0" w:space="0" w:color="auto"/>
      </w:divBdr>
    </w:div>
    <w:div w:id="317926922">
      <w:bodyDiv w:val="1"/>
      <w:marLeft w:val="0"/>
      <w:marRight w:val="0"/>
      <w:marTop w:val="0"/>
      <w:marBottom w:val="0"/>
      <w:divBdr>
        <w:top w:val="none" w:sz="0" w:space="0" w:color="auto"/>
        <w:left w:val="none" w:sz="0" w:space="0" w:color="auto"/>
        <w:bottom w:val="none" w:sz="0" w:space="0" w:color="auto"/>
        <w:right w:val="none" w:sz="0" w:space="0" w:color="auto"/>
      </w:divBdr>
    </w:div>
    <w:div w:id="325862753">
      <w:bodyDiv w:val="1"/>
      <w:marLeft w:val="0"/>
      <w:marRight w:val="0"/>
      <w:marTop w:val="0"/>
      <w:marBottom w:val="0"/>
      <w:divBdr>
        <w:top w:val="none" w:sz="0" w:space="0" w:color="auto"/>
        <w:left w:val="none" w:sz="0" w:space="0" w:color="auto"/>
        <w:bottom w:val="none" w:sz="0" w:space="0" w:color="auto"/>
        <w:right w:val="none" w:sz="0" w:space="0" w:color="auto"/>
      </w:divBdr>
    </w:div>
    <w:div w:id="344594797">
      <w:bodyDiv w:val="1"/>
      <w:marLeft w:val="0"/>
      <w:marRight w:val="0"/>
      <w:marTop w:val="0"/>
      <w:marBottom w:val="0"/>
      <w:divBdr>
        <w:top w:val="none" w:sz="0" w:space="0" w:color="auto"/>
        <w:left w:val="none" w:sz="0" w:space="0" w:color="auto"/>
        <w:bottom w:val="none" w:sz="0" w:space="0" w:color="auto"/>
        <w:right w:val="none" w:sz="0" w:space="0" w:color="auto"/>
      </w:divBdr>
    </w:div>
    <w:div w:id="371081473">
      <w:bodyDiv w:val="1"/>
      <w:marLeft w:val="0"/>
      <w:marRight w:val="0"/>
      <w:marTop w:val="0"/>
      <w:marBottom w:val="0"/>
      <w:divBdr>
        <w:top w:val="none" w:sz="0" w:space="0" w:color="auto"/>
        <w:left w:val="none" w:sz="0" w:space="0" w:color="auto"/>
        <w:bottom w:val="none" w:sz="0" w:space="0" w:color="auto"/>
        <w:right w:val="none" w:sz="0" w:space="0" w:color="auto"/>
      </w:divBdr>
    </w:div>
    <w:div w:id="380792648">
      <w:bodyDiv w:val="1"/>
      <w:marLeft w:val="0"/>
      <w:marRight w:val="0"/>
      <w:marTop w:val="0"/>
      <w:marBottom w:val="0"/>
      <w:divBdr>
        <w:top w:val="none" w:sz="0" w:space="0" w:color="auto"/>
        <w:left w:val="none" w:sz="0" w:space="0" w:color="auto"/>
        <w:bottom w:val="none" w:sz="0" w:space="0" w:color="auto"/>
        <w:right w:val="none" w:sz="0" w:space="0" w:color="auto"/>
      </w:divBdr>
    </w:div>
    <w:div w:id="387388648">
      <w:bodyDiv w:val="1"/>
      <w:marLeft w:val="0"/>
      <w:marRight w:val="0"/>
      <w:marTop w:val="0"/>
      <w:marBottom w:val="0"/>
      <w:divBdr>
        <w:top w:val="none" w:sz="0" w:space="0" w:color="auto"/>
        <w:left w:val="none" w:sz="0" w:space="0" w:color="auto"/>
        <w:bottom w:val="none" w:sz="0" w:space="0" w:color="auto"/>
        <w:right w:val="none" w:sz="0" w:space="0" w:color="auto"/>
      </w:divBdr>
    </w:div>
    <w:div w:id="407699985">
      <w:bodyDiv w:val="1"/>
      <w:marLeft w:val="0"/>
      <w:marRight w:val="0"/>
      <w:marTop w:val="0"/>
      <w:marBottom w:val="0"/>
      <w:divBdr>
        <w:top w:val="none" w:sz="0" w:space="0" w:color="auto"/>
        <w:left w:val="none" w:sz="0" w:space="0" w:color="auto"/>
        <w:bottom w:val="none" w:sz="0" w:space="0" w:color="auto"/>
        <w:right w:val="none" w:sz="0" w:space="0" w:color="auto"/>
      </w:divBdr>
    </w:div>
    <w:div w:id="410540355">
      <w:bodyDiv w:val="1"/>
      <w:marLeft w:val="0"/>
      <w:marRight w:val="0"/>
      <w:marTop w:val="0"/>
      <w:marBottom w:val="0"/>
      <w:divBdr>
        <w:top w:val="none" w:sz="0" w:space="0" w:color="auto"/>
        <w:left w:val="none" w:sz="0" w:space="0" w:color="auto"/>
        <w:bottom w:val="none" w:sz="0" w:space="0" w:color="auto"/>
        <w:right w:val="none" w:sz="0" w:space="0" w:color="auto"/>
      </w:divBdr>
    </w:div>
    <w:div w:id="411317884">
      <w:bodyDiv w:val="1"/>
      <w:marLeft w:val="0"/>
      <w:marRight w:val="0"/>
      <w:marTop w:val="0"/>
      <w:marBottom w:val="0"/>
      <w:divBdr>
        <w:top w:val="none" w:sz="0" w:space="0" w:color="auto"/>
        <w:left w:val="none" w:sz="0" w:space="0" w:color="auto"/>
        <w:bottom w:val="none" w:sz="0" w:space="0" w:color="auto"/>
        <w:right w:val="none" w:sz="0" w:space="0" w:color="auto"/>
      </w:divBdr>
    </w:div>
    <w:div w:id="422845153">
      <w:bodyDiv w:val="1"/>
      <w:marLeft w:val="0"/>
      <w:marRight w:val="0"/>
      <w:marTop w:val="0"/>
      <w:marBottom w:val="0"/>
      <w:divBdr>
        <w:top w:val="none" w:sz="0" w:space="0" w:color="auto"/>
        <w:left w:val="none" w:sz="0" w:space="0" w:color="auto"/>
        <w:bottom w:val="none" w:sz="0" w:space="0" w:color="auto"/>
        <w:right w:val="none" w:sz="0" w:space="0" w:color="auto"/>
      </w:divBdr>
    </w:div>
    <w:div w:id="436024800">
      <w:bodyDiv w:val="1"/>
      <w:marLeft w:val="0"/>
      <w:marRight w:val="0"/>
      <w:marTop w:val="0"/>
      <w:marBottom w:val="0"/>
      <w:divBdr>
        <w:top w:val="none" w:sz="0" w:space="0" w:color="auto"/>
        <w:left w:val="none" w:sz="0" w:space="0" w:color="auto"/>
        <w:bottom w:val="none" w:sz="0" w:space="0" w:color="auto"/>
        <w:right w:val="none" w:sz="0" w:space="0" w:color="auto"/>
      </w:divBdr>
    </w:div>
    <w:div w:id="436633447">
      <w:bodyDiv w:val="1"/>
      <w:marLeft w:val="0"/>
      <w:marRight w:val="0"/>
      <w:marTop w:val="0"/>
      <w:marBottom w:val="0"/>
      <w:divBdr>
        <w:top w:val="none" w:sz="0" w:space="0" w:color="auto"/>
        <w:left w:val="none" w:sz="0" w:space="0" w:color="auto"/>
        <w:bottom w:val="none" w:sz="0" w:space="0" w:color="auto"/>
        <w:right w:val="none" w:sz="0" w:space="0" w:color="auto"/>
      </w:divBdr>
    </w:div>
    <w:div w:id="439568598">
      <w:bodyDiv w:val="1"/>
      <w:marLeft w:val="0"/>
      <w:marRight w:val="0"/>
      <w:marTop w:val="0"/>
      <w:marBottom w:val="0"/>
      <w:divBdr>
        <w:top w:val="none" w:sz="0" w:space="0" w:color="auto"/>
        <w:left w:val="none" w:sz="0" w:space="0" w:color="auto"/>
        <w:bottom w:val="none" w:sz="0" w:space="0" w:color="auto"/>
        <w:right w:val="none" w:sz="0" w:space="0" w:color="auto"/>
      </w:divBdr>
    </w:div>
    <w:div w:id="443039516">
      <w:bodyDiv w:val="1"/>
      <w:marLeft w:val="0"/>
      <w:marRight w:val="0"/>
      <w:marTop w:val="0"/>
      <w:marBottom w:val="0"/>
      <w:divBdr>
        <w:top w:val="none" w:sz="0" w:space="0" w:color="auto"/>
        <w:left w:val="none" w:sz="0" w:space="0" w:color="auto"/>
        <w:bottom w:val="none" w:sz="0" w:space="0" w:color="auto"/>
        <w:right w:val="none" w:sz="0" w:space="0" w:color="auto"/>
      </w:divBdr>
    </w:div>
    <w:div w:id="450445220">
      <w:bodyDiv w:val="1"/>
      <w:marLeft w:val="0"/>
      <w:marRight w:val="0"/>
      <w:marTop w:val="0"/>
      <w:marBottom w:val="0"/>
      <w:divBdr>
        <w:top w:val="none" w:sz="0" w:space="0" w:color="auto"/>
        <w:left w:val="none" w:sz="0" w:space="0" w:color="auto"/>
        <w:bottom w:val="none" w:sz="0" w:space="0" w:color="auto"/>
        <w:right w:val="none" w:sz="0" w:space="0" w:color="auto"/>
      </w:divBdr>
    </w:div>
    <w:div w:id="452679195">
      <w:bodyDiv w:val="1"/>
      <w:marLeft w:val="0"/>
      <w:marRight w:val="0"/>
      <w:marTop w:val="0"/>
      <w:marBottom w:val="0"/>
      <w:divBdr>
        <w:top w:val="none" w:sz="0" w:space="0" w:color="auto"/>
        <w:left w:val="none" w:sz="0" w:space="0" w:color="auto"/>
        <w:bottom w:val="none" w:sz="0" w:space="0" w:color="auto"/>
        <w:right w:val="none" w:sz="0" w:space="0" w:color="auto"/>
      </w:divBdr>
    </w:div>
    <w:div w:id="465053681">
      <w:bodyDiv w:val="1"/>
      <w:marLeft w:val="0"/>
      <w:marRight w:val="0"/>
      <w:marTop w:val="0"/>
      <w:marBottom w:val="0"/>
      <w:divBdr>
        <w:top w:val="none" w:sz="0" w:space="0" w:color="auto"/>
        <w:left w:val="none" w:sz="0" w:space="0" w:color="auto"/>
        <w:bottom w:val="none" w:sz="0" w:space="0" w:color="auto"/>
        <w:right w:val="none" w:sz="0" w:space="0" w:color="auto"/>
      </w:divBdr>
    </w:div>
    <w:div w:id="467868634">
      <w:bodyDiv w:val="1"/>
      <w:marLeft w:val="0"/>
      <w:marRight w:val="0"/>
      <w:marTop w:val="0"/>
      <w:marBottom w:val="0"/>
      <w:divBdr>
        <w:top w:val="none" w:sz="0" w:space="0" w:color="auto"/>
        <w:left w:val="none" w:sz="0" w:space="0" w:color="auto"/>
        <w:bottom w:val="none" w:sz="0" w:space="0" w:color="auto"/>
        <w:right w:val="none" w:sz="0" w:space="0" w:color="auto"/>
      </w:divBdr>
    </w:div>
    <w:div w:id="470290496">
      <w:bodyDiv w:val="1"/>
      <w:marLeft w:val="0"/>
      <w:marRight w:val="0"/>
      <w:marTop w:val="0"/>
      <w:marBottom w:val="0"/>
      <w:divBdr>
        <w:top w:val="none" w:sz="0" w:space="0" w:color="auto"/>
        <w:left w:val="none" w:sz="0" w:space="0" w:color="auto"/>
        <w:bottom w:val="none" w:sz="0" w:space="0" w:color="auto"/>
        <w:right w:val="none" w:sz="0" w:space="0" w:color="auto"/>
      </w:divBdr>
    </w:div>
    <w:div w:id="483277017">
      <w:bodyDiv w:val="1"/>
      <w:marLeft w:val="0"/>
      <w:marRight w:val="0"/>
      <w:marTop w:val="0"/>
      <w:marBottom w:val="0"/>
      <w:divBdr>
        <w:top w:val="none" w:sz="0" w:space="0" w:color="auto"/>
        <w:left w:val="none" w:sz="0" w:space="0" w:color="auto"/>
        <w:bottom w:val="none" w:sz="0" w:space="0" w:color="auto"/>
        <w:right w:val="none" w:sz="0" w:space="0" w:color="auto"/>
      </w:divBdr>
    </w:div>
    <w:div w:id="485437844">
      <w:bodyDiv w:val="1"/>
      <w:marLeft w:val="0"/>
      <w:marRight w:val="0"/>
      <w:marTop w:val="0"/>
      <w:marBottom w:val="0"/>
      <w:divBdr>
        <w:top w:val="none" w:sz="0" w:space="0" w:color="auto"/>
        <w:left w:val="none" w:sz="0" w:space="0" w:color="auto"/>
        <w:bottom w:val="none" w:sz="0" w:space="0" w:color="auto"/>
        <w:right w:val="none" w:sz="0" w:space="0" w:color="auto"/>
      </w:divBdr>
    </w:div>
    <w:div w:id="490101370">
      <w:bodyDiv w:val="1"/>
      <w:marLeft w:val="0"/>
      <w:marRight w:val="0"/>
      <w:marTop w:val="0"/>
      <w:marBottom w:val="0"/>
      <w:divBdr>
        <w:top w:val="none" w:sz="0" w:space="0" w:color="auto"/>
        <w:left w:val="none" w:sz="0" w:space="0" w:color="auto"/>
        <w:bottom w:val="none" w:sz="0" w:space="0" w:color="auto"/>
        <w:right w:val="none" w:sz="0" w:space="0" w:color="auto"/>
      </w:divBdr>
    </w:div>
    <w:div w:id="496963379">
      <w:bodyDiv w:val="1"/>
      <w:marLeft w:val="0"/>
      <w:marRight w:val="0"/>
      <w:marTop w:val="0"/>
      <w:marBottom w:val="0"/>
      <w:divBdr>
        <w:top w:val="none" w:sz="0" w:space="0" w:color="auto"/>
        <w:left w:val="none" w:sz="0" w:space="0" w:color="auto"/>
        <w:bottom w:val="none" w:sz="0" w:space="0" w:color="auto"/>
        <w:right w:val="none" w:sz="0" w:space="0" w:color="auto"/>
      </w:divBdr>
    </w:div>
    <w:div w:id="497234584">
      <w:bodyDiv w:val="1"/>
      <w:marLeft w:val="0"/>
      <w:marRight w:val="0"/>
      <w:marTop w:val="0"/>
      <w:marBottom w:val="0"/>
      <w:divBdr>
        <w:top w:val="none" w:sz="0" w:space="0" w:color="auto"/>
        <w:left w:val="none" w:sz="0" w:space="0" w:color="auto"/>
        <w:bottom w:val="none" w:sz="0" w:space="0" w:color="auto"/>
        <w:right w:val="none" w:sz="0" w:space="0" w:color="auto"/>
      </w:divBdr>
    </w:div>
    <w:div w:id="516776046">
      <w:bodyDiv w:val="1"/>
      <w:marLeft w:val="0"/>
      <w:marRight w:val="0"/>
      <w:marTop w:val="0"/>
      <w:marBottom w:val="0"/>
      <w:divBdr>
        <w:top w:val="none" w:sz="0" w:space="0" w:color="auto"/>
        <w:left w:val="none" w:sz="0" w:space="0" w:color="auto"/>
        <w:bottom w:val="none" w:sz="0" w:space="0" w:color="auto"/>
        <w:right w:val="none" w:sz="0" w:space="0" w:color="auto"/>
      </w:divBdr>
    </w:div>
    <w:div w:id="594172685">
      <w:bodyDiv w:val="1"/>
      <w:marLeft w:val="0"/>
      <w:marRight w:val="0"/>
      <w:marTop w:val="0"/>
      <w:marBottom w:val="0"/>
      <w:divBdr>
        <w:top w:val="none" w:sz="0" w:space="0" w:color="auto"/>
        <w:left w:val="none" w:sz="0" w:space="0" w:color="auto"/>
        <w:bottom w:val="none" w:sz="0" w:space="0" w:color="auto"/>
        <w:right w:val="none" w:sz="0" w:space="0" w:color="auto"/>
      </w:divBdr>
    </w:div>
    <w:div w:id="597521897">
      <w:bodyDiv w:val="1"/>
      <w:marLeft w:val="0"/>
      <w:marRight w:val="0"/>
      <w:marTop w:val="0"/>
      <w:marBottom w:val="0"/>
      <w:divBdr>
        <w:top w:val="none" w:sz="0" w:space="0" w:color="auto"/>
        <w:left w:val="none" w:sz="0" w:space="0" w:color="auto"/>
        <w:bottom w:val="none" w:sz="0" w:space="0" w:color="auto"/>
        <w:right w:val="none" w:sz="0" w:space="0" w:color="auto"/>
      </w:divBdr>
    </w:div>
    <w:div w:id="598635224">
      <w:bodyDiv w:val="1"/>
      <w:marLeft w:val="0"/>
      <w:marRight w:val="0"/>
      <w:marTop w:val="0"/>
      <w:marBottom w:val="0"/>
      <w:divBdr>
        <w:top w:val="none" w:sz="0" w:space="0" w:color="auto"/>
        <w:left w:val="none" w:sz="0" w:space="0" w:color="auto"/>
        <w:bottom w:val="none" w:sz="0" w:space="0" w:color="auto"/>
        <w:right w:val="none" w:sz="0" w:space="0" w:color="auto"/>
      </w:divBdr>
    </w:div>
    <w:div w:id="625813512">
      <w:bodyDiv w:val="1"/>
      <w:marLeft w:val="0"/>
      <w:marRight w:val="0"/>
      <w:marTop w:val="0"/>
      <w:marBottom w:val="0"/>
      <w:divBdr>
        <w:top w:val="none" w:sz="0" w:space="0" w:color="auto"/>
        <w:left w:val="none" w:sz="0" w:space="0" w:color="auto"/>
        <w:bottom w:val="none" w:sz="0" w:space="0" w:color="auto"/>
        <w:right w:val="none" w:sz="0" w:space="0" w:color="auto"/>
      </w:divBdr>
    </w:div>
    <w:div w:id="646471263">
      <w:bodyDiv w:val="1"/>
      <w:marLeft w:val="0"/>
      <w:marRight w:val="0"/>
      <w:marTop w:val="0"/>
      <w:marBottom w:val="0"/>
      <w:divBdr>
        <w:top w:val="none" w:sz="0" w:space="0" w:color="auto"/>
        <w:left w:val="none" w:sz="0" w:space="0" w:color="auto"/>
        <w:bottom w:val="none" w:sz="0" w:space="0" w:color="auto"/>
        <w:right w:val="none" w:sz="0" w:space="0" w:color="auto"/>
      </w:divBdr>
    </w:div>
    <w:div w:id="656301125">
      <w:bodyDiv w:val="1"/>
      <w:marLeft w:val="0"/>
      <w:marRight w:val="0"/>
      <w:marTop w:val="0"/>
      <w:marBottom w:val="0"/>
      <w:divBdr>
        <w:top w:val="none" w:sz="0" w:space="0" w:color="auto"/>
        <w:left w:val="none" w:sz="0" w:space="0" w:color="auto"/>
        <w:bottom w:val="none" w:sz="0" w:space="0" w:color="auto"/>
        <w:right w:val="none" w:sz="0" w:space="0" w:color="auto"/>
      </w:divBdr>
    </w:div>
    <w:div w:id="658656205">
      <w:bodyDiv w:val="1"/>
      <w:marLeft w:val="0"/>
      <w:marRight w:val="0"/>
      <w:marTop w:val="0"/>
      <w:marBottom w:val="0"/>
      <w:divBdr>
        <w:top w:val="none" w:sz="0" w:space="0" w:color="auto"/>
        <w:left w:val="none" w:sz="0" w:space="0" w:color="auto"/>
        <w:bottom w:val="none" w:sz="0" w:space="0" w:color="auto"/>
        <w:right w:val="none" w:sz="0" w:space="0" w:color="auto"/>
      </w:divBdr>
    </w:div>
    <w:div w:id="665981907">
      <w:bodyDiv w:val="1"/>
      <w:marLeft w:val="0"/>
      <w:marRight w:val="0"/>
      <w:marTop w:val="0"/>
      <w:marBottom w:val="0"/>
      <w:divBdr>
        <w:top w:val="none" w:sz="0" w:space="0" w:color="auto"/>
        <w:left w:val="none" w:sz="0" w:space="0" w:color="auto"/>
        <w:bottom w:val="none" w:sz="0" w:space="0" w:color="auto"/>
        <w:right w:val="none" w:sz="0" w:space="0" w:color="auto"/>
      </w:divBdr>
    </w:div>
    <w:div w:id="668606189">
      <w:bodyDiv w:val="1"/>
      <w:marLeft w:val="0"/>
      <w:marRight w:val="0"/>
      <w:marTop w:val="0"/>
      <w:marBottom w:val="0"/>
      <w:divBdr>
        <w:top w:val="none" w:sz="0" w:space="0" w:color="auto"/>
        <w:left w:val="none" w:sz="0" w:space="0" w:color="auto"/>
        <w:bottom w:val="none" w:sz="0" w:space="0" w:color="auto"/>
        <w:right w:val="none" w:sz="0" w:space="0" w:color="auto"/>
      </w:divBdr>
    </w:div>
    <w:div w:id="672806821">
      <w:bodyDiv w:val="1"/>
      <w:marLeft w:val="0"/>
      <w:marRight w:val="0"/>
      <w:marTop w:val="0"/>
      <w:marBottom w:val="0"/>
      <w:divBdr>
        <w:top w:val="none" w:sz="0" w:space="0" w:color="auto"/>
        <w:left w:val="none" w:sz="0" w:space="0" w:color="auto"/>
        <w:bottom w:val="none" w:sz="0" w:space="0" w:color="auto"/>
        <w:right w:val="none" w:sz="0" w:space="0" w:color="auto"/>
      </w:divBdr>
      <w:divsChild>
        <w:div w:id="2034763593">
          <w:marLeft w:val="0"/>
          <w:marRight w:val="0"/>
          <w:marTop w:val="0"/>
          <w:marBottom w:val="0"/>
          <w:divBdr>
            <w:top w:val="none" w:sz="0" w:space="0" w:color="auto"/>
            <w:left w:val="none" w:sz="0" w:space="0" w:color="auto"/>
            <w:bottom w:val="none" w:sz="0" w:space="0" w:color="auto"/>
            <w:right w:val="none" w:sz="0" w:space="0" w:color="auto"/>
          </w:divBdr>
        </w:div>
        <w:div w:id="262343709">
          <w:marLeft w:val="0"/>
          <w:marRight w:val="0"/>
          <w:marTop w:val="0"/>
          <w:marBottom w:val="0"/>
          <w:divBdr>
            <w:top w:val="none" w:sz="0" w:space="0" w:color="auto"/>
            <w:left w:val="none" w:sz="0" w:space="0" w:color="auto"/>
            <w:bottom w:val="none" w:sz="0" w:space="0" w:color="auto"/>
            <w:right w:val="none" w:sz="0" w:space="0" w:color="auto"/>
          </w:divBdr>
        </w:div>
        <w:div w:id="1011222165">
          <w:marLeft w:val="0"/>
          <w:marRight w:val="0"/>
          <w:marTop w:val="0"/>
          <w:marBottom w:val="0"/>
          <w:divBdr>
            <w:top w:val="none" w:sz="0" w:space="0" w:color="auto"/>
            <w:left w:val="none" w:sz="0" w:space="0" w:color="auto"/>
            <w:bottom w:val="none" w:sz="0" w:space="0" w:color="auto"/>
            <w:right w:val="none" w:sz="0" w:space="0" w:color="auto"/>
          </w:divBdr>
        </w:div>
        <w:div w:id="2089615988">
          <w:marLeft w:val="0"/>
          <w:marRight w:val="0"/>
          <w:marTop w:val="0"/>
          <w:marBottom w:val="0"/>
          <w:divBdr>
            <w:top w:val="none" w:sz="0" w:space="0" w:color="auto"/>
            <w:left w:val="none" w:sz="0" w:space="0" w:color="auto"/>
            <w:bottom w:val="none" w:sz="0" w:space="0" w:color="auto"/>
            <w:right w:val="none" w:sz="0" w:space="0" w:color="auto"/>
          </w:divBdr>
        </w:div>
        <w:div w:id="754865725">
          <w:marLeft w:val="0"/>
          <w:marRight w:val="0"/>
          <w:marTop w:val="0"/>
          <w:marBottom w:val="0"/>
          <w:divBdr>
            <w:top w:val="none" w:sz="0" w:space="0" w:color="auto"/>
            <w:left w:val="none" w:sz="0" w:space="0" w:color="auto"/>
            <w:bottom w:val="none" w:sz="0" w:space="0" w:color="auto"/>
            <w:right w:val="none" w:sz="0" w:space="0" w:color="auto"/>
          </w:divBdr>
        </w:div>
        <w:div w:id="2057831">
          <w:marLeft w:val="0"/>
          <w:marRight w:val="0"/>
          <w:marTop w:val="0"/>
          <w:marBottom w:val="0"/>
          <w:divBdr>
            <w:top w:val="none" w:sz="0" w:space="0" w:color="auto"/>
            <w:left w:val="none" w:sz="0" w:space="0" w:color="auto"/>
            <w:bottom w:val="none" w:sz="0" w:space="0" w:color="auto"/>
            <w:right w:val="none" w:sz="0" w:space="0" w:color="auto"/>
          </w:divBdr>
        </w:div>
      </w:divsChild>
    </w:div>
    <w:div w:id="674067412">
      <w:bodyDiv w:val="1"/>
      <w:marLeft w:val="0"/>
      <w:marRight w:val="0"/>
      <w:marTop w:val="0"/>
      <w:marBottom w:val="0"/>
      <w:divBdr>
        <w:top w:val="none" w:sz="0" w:space="0" w:color="auto"/>
        <w:left w:val="none" w:sz="0" w:space="0" w:color="auto"/>
        <w:bottom w:val="none" w:sz="0" w:space="0" w:color="auto"/>
        <w:right w:val="none" w:sz="0" w:space="0" w:color="auto"/>
      </w:divBdr>
    </w:div>
    <w:div w:id="701438738">
      <w:bodyDiv w:val="1"/>
      <w:marLeft w:val="0"/>
      <w:marRight w:val="0"/>
      <w:marTop w:val="0"/>
      <w:marBottom w:val="0"/>
      <w:divBdr>
        <w:top w:val="none" w:sz="0" w:space="0" w:color="auto"/>
        <w:left w:val="none" w:sz="0" w:space="0" w:color="auto"/>
        <w:bottom w:val="none" w:sz="0" w:space="0" w:color="auto"/>
        <w:right w:val="none" w:sz="0" w:space="0" w:color="auto"/>
      </w:divBdr>
    </w:div>
    <w:div w:id="706834908">
      <w:bodyDiv w:val="1"/>
      <w:marLeft w:val="0"/>
      <w:marRight w:val="0"/>
      <w:marTop w:val="0"/>
      <w:marBottom w:val="0"/>
      <w:divBdr>
        <w:top w:val="none" w:sz="0" w:space="0" w:color="auto"/>
        <w:left w:val="none" w:sz="0" w:space="0" w:color="auto"/>
        <w:bottom w:val="none" w:sz="0" w:space="0" w:color="auto"/>
        <w:right w:val="none" w:sz="0" w:space="0" w:color="auto"/>
      </w:divBdr>
    </w:div>
    <w:div w:id="707292223">
      <w:bodyDiv w:val="1"/>
      <w:marLeft w:val="0"/>
      <w:marRight w:val="0"/>
      <w:marTop w:val="0"/>
      <w:marBottom w:val="0"/>
      <w:divBdr>
        <w:top w:val="none" w:sz="0" w:space="0" w:color="auto"/>
        <w:left w:val="none" w:sz="0" w:space="0" w:color="auto"/>
        <w:bottom w:val="none" w:sz="0" w:space="0" w:color="auto"/>
        <w:right w:val="none" w:sz="0" w:space="0" w:color="auto"/>
      </w:divBdr>
    </w:div>
    <w:div w:id="719742558">
      <w:bodyDiv w:val="1"/>
      <w:marLeft w:val="0"/>
      <w:marRight w:val="0"/>
      <w:marTop w:val="0"/>
      <w:marBottom w:val="0"/>
      <w:divBdr>
        <w:top w:val="none" w:sz="0" w:space="0" w:color="auto"/>
        <w:left w:val="none" w:sz="0" w:space="0" w:color="auto"/>
        <w:bottom w:val="none" w:sz="0" w:space="0" w:color="auto"/>
        <w:right w:val="none" w:sz="0" w:space="0" w:color="auto"/>
      </w:divBdr>
    </w:div>
    <w:div w:id="730811933">
      <w:bodyDiv w:val="1"/>
      <w:marLeft w:val="0"/>
      <w:marRight w:val="0"/>
      <w:marTop w:val="0"/>
      <w:marBottom w:val="0"/>
      <w:divBdr>
        <w:top w:val="none" w:sz="0" w:space="0" w:color="auto"/>
        <w:left w:val="none" w:sz="0" w:space="0" w:color="auto"/>
        <w:bottom w:val="none" w:sz="0" w:space="0" w:color="auto"/>
        <w:right w:val="none" w:sz="0" w:space="0" w:color="auto"/>
      </w:divBdr>
    </w:div>
    <w:div w:id="737480322">
      <w:bodyDiv w:val="1"/>
      <w:marLeft w:val="0"/>
      <w:marRight w:val="0"/>
      <w:marTop w:val="0"/>
      <w:marBottom w:val="0"/>
      <w:divBdr>
        <w:top w:val="none" w:sz="0" w:space="0" w:color="auto"/>
        <w:left w:val="none" w:sz="0" w:space="0" w:color="auto"/>
        <w:bottom w:val="none" w:sz="0" w:space="0" w:color="auto"/>
        <w:right w:val="none" w:sz="0" w:space="0" w:color="auto"/>
      </w:divBdr>
    </w:div>
    <w:div w:id="755371160">
      <w:bodyDiv w:val="1"/>
      <w:marLeft w:val="0"/>
      <w:marRight w:val="0"/>
      <w:marTop w:val="0"/>
      <w:marBottom w:val="0"/>
      <w:divBdr>
        <w:top w:val="none" w:sz="0" w:space="0" w:color="auto"/>
        <w:left w:val="none" w:sz="0" w:space="0" w:color="auto"/>
        <w:bottom w:val="none" w:sz="0" w:space="0" w:color="auto"/>
        <w:right w:val="none" w:sz="0" w:space="0" w:color="auto"/>
      </w:divBdr>
    </w:div>
    <w:div w:id="766122372">
      <w:bodyDiv w:val="1"/>
      <w:marLeft w:val="0"/>
      <w:marRight w:val="0"/>
      <w:marTop w:val="0"/>
      <w:marBottom w:val="0"/>
      <w:divBdr>
        <w:top w:val="none" w:sz="0" w:space="0" w:color="auto"/>
        <w:left w:val="none" w:sz="0" w:space="0" w:color="auto"/>
        <w:bottom w:val="none" w:sz="0" w:space="0" w:color="auto"/>
        <w:right w:val="none" w:sz="0" w:space="0" w:color="auto"/>
      </w:divBdr>
    </w:div>
    <w:div w:id="769737391">
      <w:bodyDiv w:val="1"/>
      <w:marLeft w:val="0"/>
      <w:marRight w:val="0"/>
      <w:marTop w:val="0"/>
      <w:marBottom w:val="0"/>
      <w:divBdr>
        <w:top w:val="none" w:sz="0" w:space="0" w:color="auto"/>
        <w:left w:val="none" w:sz="0" w:space="0" w:color="auto"/>
        <w:bottom w:val="none" w:sz="0" w:space="0" w:color="auto"/>
        <w:right w:val="none" w:sz="0" w:space="0" w:color="auto"/>
      </w:divBdr>
    </w:div>
    <w:div w:id="778793830">
      <w:bodyDiv w:val="1"/>
      <w:marLeft w:val="0"/>
      <w:marRight w:val="0"/>
      <w:marTop w:val="0"/>
      <w:marBottom w:val="0"/>
      <w:divBdr>
        <w:top w:val="none" w:sz="0" w:space="0" w:color="auto"/>
        <w:left w:val="none" w:sz="0" w:space="0" w:color="auto"/>
        <w:bottom w:val="none" w:sz="0" w:space="0" w:color="auto"/>
        <w:right w:val="none" w:sz="0" w:space="0" w:color="auto"/>
      </w:divBdr>
    </w:div>
    <w:div w:id="783890405">
      <w:bodyDiv w:val="1"/>
      <w:marLeft w:val="0"/>
      <w:marRight w:val="0"/>
      <w:marTop w:val="0"/>
      <w:marBottom w:val="0"/>
      <w:divBdr>
        <w:top w:val="none" w:sz="0" w:space="0" w:color="auto"/>
        <w:left w:val="none" w:sz="0" w:space="0" w:color="auto"/>
        <w:bottom w:val="none" w:sz="0" w:space="0" w:color="auto"/>
        <w:right w:val="none" w:sz="0" w:space="0" w:color="auto"/>
      </w:divBdr>
    </w:div>
    <w:div w:id="785076740">
      <w:bodyDiv w:val="1"/>
      <w:marLeft w:val="0"/>
      <w:marRight w:val="0"/>
      <w:marTop w:val="0"/>
      <w:marBottom w:val="0"/>
      <w:divBdr>
        <w:top w:val="none" w:sz="0" w:space="0" w:color="auto"/>
        <w:left w:val="none" w:sz="0" w:space="0" w:color="auto"/>
        <w:bottom w:val="none" w:sz="0" w:space="0" w:color="auto"/>
        <w:right w:val="none" w:sz="0" w:space="0" w:color="auto"/>
      </w:divBdr>
    </w:div>
    <w:div w:id="791359736">
      <w:bodyDiv w:val="1"/>
      <w:marLeft w:val="0"/>
      <w:marRight w:val="0"/>
      <w:marTop w:val="0"/>
      <w:marBottom w:val="0"/>
      <w:divBdr>
        <w:top w:val="none" w:sz="0" w:space="0" w:color="auto"/>
        <w:left w:val="none" w:sz="0" w:space="0" w:color="auto"/>
        <w:bottom w:val="none" w:sz="0" w:space="0" w:color="auto"/>
        <w:right w:val="none" w:sz="0" w:space="0" w:color="auto"/>
      </w:divBdr>
    </w:div>
    <w:div w:id="798691934">
      <w:bodyDiv w:val="1"/>
      <w:marLeft w:val="0"/>
      <w:marRight w:val="0"/>
      <w:marTop w:val="0"/>
      <w:marBottom w:val="0"/>
      <w:divBdr>
        <w:top w:val="none" w:sz="0" w:space="0" w:color="auto"/>
        <w:left w:val="none" w:sz="0" w:space="0" w:color="auto"/>
        <w:bottom w:val="none" w:sz="0" w:space="0" w:color="auto"/>
        <w:right w:val="none" w:sz="0" w:space="0" w:color="auto"/>
      </w:divBdr>
    </w:div>
    <w:div w:id="827284211">
      <w:bodyDiv w:val="1"/>
      <w:marLeft w:val="0"/>
      <w:marRight w:val="0"/>
      <w:marTop w:val="0"/>
      <w:marBottom w:val="0"/>
      <w:divBdr>
        <w:top w:val="none" w:sz="0" w:space="0" w:color="auto"/>
        <w:left w:val="none" w:sz="0" w:space="0" w:color="auto"/>
        <w:bottom w:val="none" w:sz="0" w:space="0" w:color="auto"/>
        <w:right w:val="none" w:sz="0" w:space="0" w:color="auto"/>
      </w:divBdr>
    </w:div>
    <w:div w:id="835612553">
      <w:bodyDiv w:val="1"/>
      <w:marLeft w:val="0"/>
      <w:marRight w:val="0"/>
      <w:marTop w:val="0"/>
      <w:marBottom w:val="0"/>
      <w:divBdr>
        <w:top w:val="none" w:sz="0" w:space="0" w:color="auto"/>
        <w:left w:val="none" w:sz="0" w:space="0" w:color="auto"/>
        <w:bottom w:val="none" w:sz="0" w:space="0" w:color="auto"/>
        <w:right w:val="none" w:sz="0" w:space="0" w:color="auto"/>
      </w:divBdr>
    </w:div>
    <w:div w:id="845052968">
      <w:bodyDiv w:val="1"/>
      <w:marLeft w:val="0"/>
      <w:marRight w:val="0"/>
      <w:marTop w:val="0"/>
      <w:marBottom w:val="0"/>
      <w:divBdr>
        <w:top w:val="none" w:sz="0" w:space="0" w:color="auto"/>
        <w:left w:val="none" w:sz="0" w:space="0" w:color="auto"/>
        <w:bottom w:val="none" w:sz="0" w:space="0" w:color="auto"/>
        <w:right w:val="none" w:sz="0" w:space="0" w:color="auto"/>
      </w:divBdr>
    </w:div>
    <w:div w:id="855575738">
      <w:bodyDiv w:val="1"/>
      <w:marLeft w:val="0"/>
      <w:marRight w:val="0"/>
      <w:marTop w:val="0"/>
      <w:marBottom w:val="0"/>
      <w:divBdr>
        <w:top w:val="none" w:sz="0" w:space="0" w:color="auto"/>
        <w:left w:val="none" w:sz="0" w:space="0" w:color="auto"/>
        <w:bottom w:val="none" w:sz="0" w:space="0" w:color="auto"/>
        <w:right w:val="none" w:sz="0" w:space="0" w:color="auto"/>
      </w:divBdr>
    </w:div>
    <w:div w:id="856887362">
      <w:bodyDiv w:val="1"/>
      <w:marLeft w:val="0"/>
      <w:marRight w:val="0"/>
      <w:marTop w:val="0"/>
      <w:marBottom w:val="0"/>
      <w:divBdr>
        <w:top w:val="none" w:sz="0" w:space="0" w:color="auto"/>
        <w:left w:val="none" w:sz="0" w:space="0" w:color="auto"/>
        <w:bottom w:val="none" w:sz="0" w:space="0" w:color="auto"/>
        <w:right w:val="none" w:sz="0" w:space="0" w:color="auto"/>
      </w:divBdr>
    </w:div>
    <w:div w:id="882837019">
      <w:bodyDiv w:val="1"/>
      <w:marLeft w:val="0"/>
      <w:marRight w:val="0"/>
      <w:marTop w:val="0"/>
      <w:marBottom w:val="0"/>
      <w:divBdr>
        <w:top w:val="none" w:sz="0" w:space="0" w:color="auto"/>
        <w:left w:val="none" w:sz="0" w:space="0" w:color="auto"/>
        <w:bottom w:val="none" w:sz="0" w:space="0" w:color="auto"/>
        <w:right w:val="none" w:sz="0" w:space="0" w:color="auto"/>
      </w:divBdr>
    </w:div>
    <w:div w:id="939065949">
      <w:bodyDiv w:val="1"/>
      <w:marLeft w:val="0"/>
      <w:marRight w:val="0"/>
      <w:marTop w:val="0"/>
      <w:marBottom w:val="0"/>
      <w:divBdr>
        <w:top w:val="none" w:sz="0" w:space="0" w:color="auto"/>
        <w:left w:val="none" w:sz="0" w:space="0" w:color="auto"/>
        <w:bottom w:val="none" w:sz="0" w:space="0" w:color="auto"/>
        <w:right w:val="none" w:sz="0" w:space="0" w:color="auto"/>
      </w:divBdr>
    </w:div>
    <w:div w:id="946621533">
      <w:bodyDiv w:val="1"/>
      <w:marLeft w:val="0"/>
      <w:marRight w:val="0"/>
      <w:marTop w:val="0"/>
      <w:marBottom w:val="0"/>
      <w:divBdr>
        <w:top w:val="none" w:sz="0" w:space="0" w:color="auto"/>
        <w:left w:val="none" w:sz="0" w:space="0" w:color="auto"/>
        <w:bottom w:val="none" w:sz="0" w:space="0" w:color="auto"/>
        <w:right w:val="none" w:sz="0" w:space="0" w:color="auto"/>
      </w:divBdr>
    </w:div>
    <w:div w:id="946932214">
      <w:bodyDiv w:val="1"/>
      <w:marLeft w:val="0"/>
      <w:marRight w:val="0"/>
      <w:marTop w:val="0"/>
      <w:marBottom w:val="0"/>
      <w:divBdr>
        <w:top w:val="none" w:sz="0" w:space="0" w:color="auto"/>
        <w:left w:val="none" w:sz="0" w:space="0" w:color="auto"/>
        <w:bottom w:val="none" w:sz="0" w:space="0" w:color="auto"/>
        <w:right w:val="none" w:sz="0" w:space="0" w:color="auto"/>
      </w:divBdr>
    </w:div>
    <w:div w:id="955479335">
      <w:bodyDiv w:val="1"/>
      <w:marLeft w:val="0"/>
      <w:marRight w:val="0"/>
      <w:marTop w:val="0"/>
      <w:marBottom w:val="0"/>
      <w:divBdr>
        <w:top w:val="none" w:sz="0" w:space="0" w:color="auto"/>
        <w:left w:val="none" w:sz="0" w:space="0" w:color="auto"/>
        <w:bottom w:val="none" w:sz="0" w:space="0" w:color="auto"/>
        <w:right w:val="none" w:sz="0" w:space="0" w:color="auto"/>
      </w:divBdr>
    </w:div>
    <w:div w:id="956837389">
      <w:bodyDiv w:val="1"/>
      <w:marLeft w:val="0"/>
      <w:marRight w:val="0"/>
      <w:marTop w:val="0"/>
      <w:marBottom w:val="0"/>
      <w:divBdr>
        <w:top w:val="none" w:sz="0" w:space="0" w:color="auto"/>
        <w:left w:val="none" w:sz="0" w:space="0" w:color="auto"/>
        <w:bottom w:val="none" w:sz="0" w:space="0" w:color="auto"/>
        <w:right w:val="none" w:sz="0" w:space="0" w:color="auto"/>
      </w:divBdr>
    </w:div>
    <w:div w:id="983268716">
      <w:bodyDiv w:val="1"/>
      <w:marLeft w:val="0"/>
      <w:marRight w:val="0"/>
      <w:marTop w:val="0"/>
      <w:marBottom w:val="0"/>
      <w:divBdr>
        <w:top w:val="none" w:sz="0" w:space="0" w:color="auto"/>
        <w:left w:val="none" w:sz="0" w:space="0" w:color="auto"/>
        <w:bottom w:val="none" w:sz="0" w:space="0" w:color="auto"/>
        <w:right w:val="none" w:sz="0" w:space="0" w:color="auto"/>
      </w:divBdr>
    </w:div>
    <w:div w:id="987634322">
      <w:bodyDiv w:val="1"/>
      <w:marLeft w:val="0"/>
      <w:marRight w:val="0"/>
      <w:marTop w:val="0"/>
      <w:marBottom w:val="0"/>
      <w:divBdr>
        <w:top w:val="none" w:sz="0" w:space="0" w:color="auto"/>
        <w:left w:val="none" w:sz="0" w:space="0" w:color="auto"/>
        <w:bottom w:val="none" w:sz="0" w:space="0" w:color="auto"/>
        <w:right w:val="none" w:sz="0" w:space="0" w:color="auto"/>
      </w:divBdr>
    </w:div>
    <w:div w:id="1024596350">
      <w:bodyDiv w:val="1"/>
      <w:marLeft w:val="0"/>
      <w:marRight w:val="0"/>
      <w:marTop w:val="0"/>
      <w:marBottom w:val="0"/>
      <w:divBdr>
        <w:top w:val="none" w:sz="0" w:space="0" w:color="auto"/>
        <w:left w:val="none" w:sz="0" w:space="0" w:color="auto"/>
        <w:bottom w:val="none" w:sz="0" w:space="0" w:color="auto"/>
        <w:right w:val="none" w:sz="0" w:space="0" w:color="auto"/>
      </w:divBdr>
    </w:div>
    <w:div w:id="1038581400">
      <w:bodyDiv w:val="1"/>
      <w:marLeft w:val="0"/>
      <w:marRight w:val="0"/>
      <w:marTop w:val="0"/>
      <w:marBottom w:val="0"/>
      <w:divBdr>
        <w:top w:val="none" w:sz="0" w:space="0" w:color="auto"/>
        <w:left w:val="none" w:sz="0" w:space="0" w:color="auto"/>
        <w:bottom w:val="none" w:sz="0" w:space="0" w:color="auto"/>
        <w:right w:val="none" w:sz="0" w:space="0" w:color="auto"/>
      </w:divBdr>
    </w:div>
    <w:div w:id="1039209534">
      <w:bodyDiv w:val="1"/>
      <w:marLeft w:val="0"/>
      <w:marRight w:val="0"/>
      <w:marTop w:val="0"/>
      <w:marBottom w:val="0"/>
      <w:divBdr>
        <w:top w:val="none" w:sz="0" w:space="0" w:color="auto"/>
        <w:left w:val="none" w:sz="0" w:space="0" w:color="auto"/>
        <w:bottom w:val="none" w:sz="0" w:space="0" w:color="auto"/>
        <w:right w:val="none" w:sz="0" w:space="0" w:color="auto"/>
      </w:divBdr>
    </w:div>
    <w:div w:id="1048992255">
      <w:bodyDiv w:val="1"/>
      <w:marLeft w:val="0"/>
      <w:marRight w:val="0"/>
      <w:marTop w:val="0"/>
      <w:marBottom w:val="0"/>
      <w:divBdr>
        <w:top w:val="none" w:sz="0" w:space="0" w:color="auto"/>
        <w:left w:val="none" w:sz="0" w:space="0" w:color="auto"/>
        <w:bottom w:val="none" w:sz="0" w:space="0" w:color="auto"/>
        <w:right w:val="none" w:sz="0" w:space="0" w:color="auto"/>
      </w:divBdr>
    </w:div>
    <w:div w:id="1059135777">
      <w:bodyDiv w:val="1"/>
      <w:marLeft w:val="0"/>
      <w:marRight w:val="0"/>
      <w:marTop w:val="0"/>
      <w:marBottom w:val="0"/>
      <w:divBdr>
        <w:top w:val="none" w:sz="0" w:space="0" w:color="auto"/>
        <w:left w:val="none" w:sz="0" w:space="0" w:color="auto"/>
        <w:bottom w:val="none" w:sz="0" w:space="0" w:color="auto"/>
        <w:right w:val="none" w:sz="0" w:space="0" w:color="auto"/>
      </w:divBdr>
    </w:div>
    <w:div w:id="1070273982">
      <w:bodyDiv w:val="1"/>
      <w:marLeft w:val="0"/>
      <w:marRight w:val="0"/>
      <w:marTop w:val="0"/>
      <w:marBottom w:val="0"/>
      <w:divBdr>
        <w:top w:val="none" w:sz="0" w:space="0" w:color="auto"/>
        <w:left w:val="none" w:sz="0" w:space="0" w:color="auto"/>
        <w:bottom w:val="none" w:sz="0" w:space="0" w:color="auto"/>
        <w:right w:val="none" w:sz="0" w:space="0" w:color="auto"/>
      </w:divBdr>
    </w:div>
    <w:div w:id="1073817277">
      <w:bodyDiv w:val="1"/>
      <w:marLeft w:val="0"/>
      <w:marRight w:val="0"/>
      <w:marTop w:val="0"/>
      <w:marBottom w:val="0"/>
      <w:divBdr>
        <w:top w:val="none" w:sz="0" w:space="0" w:color="auto"/>
        <w:left w:val="none" w:sz="0" w:space="0" w:color="auto"/>
        <w:bottom w:val="none" w:sz="0" w:space="0" w:color="auto"/>
        <w:right w:val="none" w:sz="0" w:space="0" w:color="auto"/>
      </w:divBdr>
    </w:div>
    <w:div w:id="1081415402">
      <w:bodyDiv w:val="1"/>
      <w:marLeft w:val="0"/>
      <w:marRight w:val="0"/>
      <w:marTop w:val="0"/>
      <w:marBottom w:val="0"/>
      <w:divBdr>
        <w:top w:val="none" w:sz="0" w:space="0" w:color="auto"/>
        <w:left w:val="none" w:sz="0" w:space="0" w:color="auto"/>
        <w:bottom w:val="none" w:sz="0" w:space="0" w:color="auto"/>
        <w:right w:val="none" w:sz="0" w:space="0" w:color="auto"/>
      </w:divBdr>
    </w:div>
    <w:div w:id="1088425756">
      <w:bodyDiv w:val="1"/>
      <w:marLeft w:val="0"/>
      <w:marRight w:val="0"/>
      <w:marTop w:val="0"/>
      <w:marBottom w:val="0"/>
      <w:divBdr>
        <w:top w:val="none" w:sz="0" w:space="0" w:color="auto"/>
        <w:left w:val="none" w:sz="0" w:space="0" w:color="auto"/>
        <w:bottom w:val="none" w:sz="0" w:space="0" w:color="auto"/>
        <w:right w:val="none" w:sz="0" w:space="0" w:color="auto"/>
      </w:divBdr>
    </w:div>
    <w:div w:id="1092312529">
      <w:bodyDiv w:val="1"/>
      <w:marLeft w:val="0"/>
      <w:marRight w:val="0"/>
      <w:marTop w:val="0"/>
      <w:marBottom w:val="0"/>
      <w:divBdr>
        <w:top w:val="none" w:sz="0" w:space="0" w:color="auto"/>
        <w:left w:val="none" w:sz="0" w:space="0" w:color="auto"/>
        <w:bottom w:val="none" w:sz="0" w:space="0" w:color="auto"/>
        <w:right w:val="none" w:sz="0" w:space="0" w:color="auto"/>
      </w:divBdr>
    </w:div>
    <w:div w:id="1093549117">
      <w:bodyDiv w:val="1"/>
      <w:marLeft w:val="0"/>
      <w:marRight w:val="0"/>
      <w:marTop w:val="0"/>
      <w:marBottom w:val="0"/>
      <w:divBdr>
        <w:top w:val="none" w:sz="0" w:space="0" w:color="auto"/>
        <w:left w:val="none" w:sz="0" w:space="0" w:color="auto"/>
        <w:bottom w:val="none" w:sz="0" w:space="0" w:color="auto"/>
        <w:right w:val="none" w:sz="0" w:space="0" w:color="auto"/>
      </w:divBdr>
    </w:div>
    <w:div w:id="1111242709">
      <w:bodyDiv w:val="1"/>
      <w:marLeft w:val="0"/>
      <w:marRight w:val="0"/>
      <w:marTop w:val="0"/>
      <w:marBottom w:val="0"/>
      <w:divBdr>
        <w:top w:val="none" w:sz="0" w:space="0" w:color="auto"/>
        <w:left w:val="none" w:sz="0" w:space="0" w:color="auto"/>
        <w:bottom w:val="none" w:sz="0" w:space="0" w:color="auto"/>
        <w:right w:val="none" w:sz="0" w:space="0" w:color="auto"/>
      </w:divBdr>
    </w:div>
    <w:div w:id="1113863939">
      <w:bodyDiv w:val="1"/>
      <w:marLeft w:val="0"/>
      <w:marRight w:val="0"/>
      <w:marTop w:val="0"/>
      <w:marBottom w:val="0"/>
      <w:divBdr>
        <w:top w:val="none" w:sz="0" w:space="0" w:color="auto"/>
        <w:left w:val="none" w:sz="0" w:space="0" w:color="auto"/>
        <w:bottom w:val="none" w:sz="0" w:space="0" w:color="auto"/>
        <w:right w:val="none" w:sz="0" w:space="0" w:color="auto"/>
      </w:divBdr>
    </w:div>
    <w:div w:id="1147168680">
      <w:bodyDiv w:val="1"/>
      <w:marLeft w:val="0"/>
      <w:marRight w:val="0"/>
      <w:marTop w:val="0"/>
      <w:marBottom w:val="0"/>
      <w:divBdr>
        <w:top w:val="none" w:sz="0" w:space="0" w:color="auto"/>
        <w:left w:val="none" w:sz="0" w:space="0" w:color="auto"/>
        <w:bottom w:val="none" w:sz="0" w:space="0" w:color="auto"/>
        <w:right w:val="none" w:sz="0" w:space="0" w:color="auto"/>
      </w:divBdr>
    </w:div>
    <w:div w:id="1155759856">
      <w:bodyDiv w:val="1"/>
      <w:marLeft w:val="0"/>
      <w:marRight w:val="0"/>
      <w:marTop w:val="0"/>
      <w:marBottom w:val="0"/>
      <w:divBdr>
        <w:top w:val="none" w:sz="0" w:space="0" w:color="auto"/>
        <w:left w:val="none" w:sz="0" w:space="0" w:color="auto"/>
        <w:bottom w:val="none" w:sz="0" w:space="0" w:color="auto"/>
        <w:right w:val="none" w:sz="0" w:space="0" w:color="auto"/>
      </w:divBdr>
    </w:div>
    <w:div w:id="1156144430">
      <w:bodyDiv w:val="1"/>
      <w:marLeft w:val="0"/>
      <w:marRight w:val="0"/>
      <w:marTop w:val="0"/>
      <w:marBottom w:val="0"/>
      <w:divBdr>
        <w:top w:val="none" w:sz="0" w:space="0" w:color="auto"/>
        <w:left w:val="none" w:sz="0" w:space="0" w:color="auto"/>
        <w:bottom w:val="none" w:sz="0" w:space="0" w:color="auto"/>
        <w:right w:val="none" w:sz="0" w:space="0" w:color="auto"/>
      </w:divBdr>
    </w:div>
    <w:div w:id="1171067155">
      <w:bodyDiv w:val="1"/>
      <w:marLeft w:val="0"/>
      <w:marRight w:val="0"/>
      <w:marTop w:val="0"/>
      <w:marBottom w:val="0"/>
      <w:divBdr>
        <w:top w:val="none" w:sz="0" w:space="0" w:color="auto"/>
        <w:left w:val="none" w:sz="0" w:space="0" w:color="auto"/>
        <w:bottom w:val="none" w:sz="0" w:space="0" w:color="auto"/>
        <w:right w:val="none" w:sz="0" w:space="0" w:color="auto"/>
      </w:divBdr>
    </w:div>
    <w:div w:id="1174034278">
      <w:bodyDiv w:val="1"/>
      <w:marLeft w:val="0"/>
      <w:marRight w:val="0"/>
      <w:marTop w:val="0"/>
      <w:marBottom w:val="0"/>
      <w:divBdr>
        <w:top w:val="none" w:sz="0" w:space="0" w:color="auto"/>
        <w:left w:val="none" w:sz="0" w:space="0" w:color="auto"/>
        <w:bottom w:val="none" w:sz="0" w:space="0" w:color="auto"/>
        <w:right w:val="none" w:sz="0" w:space="0" w:color="auto"/>
      </w:divBdr>
    </w:div>
    <w:div w:id="1174149956">
      <w:bodyDiv w:val="1"/>
      <w:marLeft w:val="0"/>
      <w:marRight w:val="0"/>
      <w:marTop w:val="0"/>
      <w:marBottom w:val="0"/>
      <w:divBdr>
        <w:top w:val="none" w:sz="0" w:space="0" w:color="auto"/>
        <w:left w:val="none" w:sz="0" w:space="0" w:color="auto"/>
        <w:bottom w:val="none" w:sz="0" w:space="0" w:color="auto"/>
        <w:right w:val="none" w:sz="0" w:space="0" w:color="auto"/>
      </w:divBdr>
    </w:div>
    <w:div w:id="1174568669">
      <w:bodyDiv w:val="1"/>
      <w:marLeft w:val="0"/>
      <w:marRight w:val="0"/>
      <w:marTop w:val="0"/>
      <w:marBottom w:val="0"/>
      <w:divBdr>
        <w:top w:val="none" w:sz="0" w:space="0" w:color="auto"/>
        <w:left w:val="none" w:sz="0" w:space="0" w:color="auto"/>
        <w:bottom w:val="none" w:sz="0" w:space="0" w:color="auto"/>
        <w:right w:val="none" w:sz="0" w:space="0" w:color="auto"/>
      </w:divBdr>
      <w:divsChild>
        <w:div w:id="1820531289">
          <w:marLeft w:val="0"/>
          <w:marRight w:val="0"/>
          <w:marTop w:val="0"/>
          <w:marBottom w:val="0"/>
          <w:divBdr>
            <w:top w:val="none" w:sz="0" w:space="0" w:color="auto"/>
            <w:left w:val="none" w:sz="0" w:space="0" w:color="auto"/>
            <w:bottom w:val="none" w:sz="0" w:space="0" w:color="auto"/>
            <w:right w:val="none" w:sz="0" w:space="0" w:color="auto"/>
          </w:divBdr>
          <w:divsChild>
            <w:div w:id="279142179">
              <w:marLeft w:val="0"/>
              <w:marRight w:val="0"/>
              <w:marTop w:val="0"/>
              <w:marBottom w:val="0"/>
              <w:divBdr>
                <w:top w:val="none" w:sz="0" w:space="0" w:color="auto"/>
                <w:left w:val="none" w:sz="0" w:space="0" w:color="auto"/>
                <w:bottom w:val="none" w:sz="0" w:space="0" w:color="auto"/>
                <w:right w:val="none" w:sz="0" w:space="0" w:color="auto"/>
              </w:divBdr>
              <w:divsChild>
                <w:div w:id="226232311">
                  <w:marLeft w:val="0"/>
                  <w:marRight w:val="0"/>
                  <w:marTop w:val="0"/>
                  <w:marBottom w:val="0"/>
                  <w:divBdr>
                    <w:top w:val="none" w:sz="0" w:space="0" w:color="auto"/>
                    <w:left w:val="none" w:sz="0" w:space="0" w:color="auto"/>
                    <w:bottom w:val="none" w:sz="0" w:space="0" w:color="auto"/>
                    <w:right w:val="none" w:sz="0" w:space="0" w:color="auto"/>
                  </w:divBdr>
                  <w:divsChild>
                    <w:div w:id="1152522619">
                      <w:marLeft w:val="0"/>
                      <w:marRight w:val="0"/>
                      <w:marTop w:val="0"/>
                      <w:marBottom w:val="0"/>
                      <w:divBdr>
                        <w:top w:val="none" w:sz="0" w:space="0" w:color="auto"/>
                        <w:left w:val="none" w:sz="0" w:space="0" w:color="auto"/>
                        <w:bottom w:val="none" w:sz="0" w:space="0" w:color="auto"/>
                        <w:right w:val="none" w:sz="0" w:space="0" w:color="auto"/>
                      </w:divBdr>
                      <w:divsChild>
                        <w:div w:id="850991548">
                          <w:marLeft w:val="0"/>
                          <w:marRight w:val="0"/>
                          <w:marTop w:val="0"/>
                          <w:marBottom w:val="0"/>
                          <w:divBdr>
                            <w:top w:val="none" w:sz="0" w:space="0" w:color="auto"/>
                            <w:left w:val="none" w:sz="0" w:space="0" w:color="auto"/>
                            <w:bottom w:val="none" w:sz="0" w:space="0" w:color="auto"/>
                            <w:right w:val="none" w:sz="0" w:space="0" w:color="auto"/>
                          </w:divBdr>
                          <w:divsChild>
                            <w:div w:id="71657524">
                              <w:marLeft w:val="0"/>
                              <w:marRight w:val="0"/>
                              <w:marTop w:val="0"/>
                              <w:marBottom w:val="0"/>
                              <w:divBdr>
                                <w:top w:val="none" w:sz="0" w:space="0" w:color="auto"/>
                                <w:left w:val="none" w:sz="0" w:space="0" w:color="auto"/>
                                <w:bottom w:val="none" w:sz="0" w:space="0" w:color="auto"/>
                                <w:right w:val="none" w:sz="0" w:space="0" w:color="auto"/>
                              </w:divBdr>
                              <w:divsChild>
                                <w:div w:id="2063823473">
                                  <w:marLeft w:val="0"/>
                                  <w:marRight w:val="0"/>
                                  <w:marTop w:val="0"/>
                                  <w:marBottom w:val="0"/>
                                  <w:divBdr>
                                    <w:top w:val="none" w:sz="0" w:space="0" w:color="auto"/>
                                    <w:left w:val="none" w:sz="0" w:space="0" w:color="auto"/>
                                    <w:bottom w:val="none" w:sz="0" w:space="0" w:color="auto"/>
                                    <w:right w:val="none" w:sz="0" w:space="0" w:color="auto"/>
                                  </w:divBdr>
                                  <w:divsChild>
                                    <w:div w:id="501048767">
                                      <w:marLeft w:val="0"/>
                                      <w:marRight w:val="0"/>
                                      <w:marTop w:val="0"/>
                                      <w:marBottom w:val="0"/>
                                      <w:divBdr>
                                        <w:top w:val="none" w:sz="0" w:space="0" w:color="auto"/>
                                        <w:left w:val="none" w:sz="0" w:space="0" w:color="auto"/>
                                        <w:bottom w:val="none" w:sz="0" w:space="0" w:color="auto"/>
                                        <w:right w:val="none" w:sz="0" w:space="0" w:color="auto"/>
                                      </w:divBdr>
                                      <w:divsChild>
                                        <w:div w:id="2081516125">
                                          <w:marLeft w:val="0"/>
                                          <w:marRight w:val="0"/>
                                          <w:marTop w:val="0"/>
                                          <w:marBottom w:val="0"/>
                                          <w:divBdr>
                                            <w:top w:val="none" w:sz="0" w:space="0" w:color="auto"/>
                                            <w:left w:val="none" w:sz="0" w:space="0" w:color="auto"/>
                                            <w:bottom w:val="none" w:sz="0" w:space="0" w:color="auto"/>
                                            <w:right w:val="none" w:sz="0" w:space="0" w:color="auto"/>
                                          </w:divBdr>
                                          <w:divsChild>
                                            <w:div w:id="391805563">
                                              <w:marLeft w:val="0"/>
                                              <w:marRight w:val="0"/>
                                              <w:marTop w:val="0"/>
                                              <w:marBottom w:val="0"/>
                                              <w:divBdr>
                                                <w:top w:val="none" w:sz="0" w:space="0" w:color="auto"/>
                                                <w:left w:val="none" w:sz="0" w:space="0" w:color="auto"/>
                                                <w:bottom w:val="none" w:sz="0" w:space="0" w:color="auto"/>
                                                <w:right w:val="none" w:sz="0" w:space="0" w:color="auto"/>
                                              </w:divBdr>
                                              <w:divsChild>
                                                <w:div w:id="1093041622">
                                                  <w:marLeft w:val="0"/>
                                                  <w:marRight w:val="0"/>
                                                  <w:marTop w:val="0"/>
                                                  <w:marBottom w:val="0"/>
                                                  <w:divBdr>
                                                    <w:top w:val="none" w:sz="0" w:space="0" w:color="auto"/>
                                                    <w:left w:val="none" w:sz="0" w:space="0" w:color="auto"/>
                                                    <w:bottom w:val="none" w:sz="0" w:space="0" w:color="auto"/>
                                                    <w:right w:val="none" w:sz="0" w:space="0" w:color="auto"/>
                                                  </w:divBdr>
                                                  <w:divsChild>
                                                    <w:div w:id="1509901585">
                                                      <w:marLeft w:val="0"/>
                                                      <w:marRight w:val="0"/>
                                                      <w:marTop w:val="0"/>
                                                      <w:marBottom w:val="0"/>
                                                      <w:divBdr>
                                                        <w:top w:val="none" w:sz="0" w:space="0" w:color="auto"/>
                                                        <w:left w:val="none" w:sz="0" w:space="0" w:color="auto"/>
                                                        <w:bottom w:val="none" w:sz="0" w:space="0" w:color="auto"/>
                                                        <w:right w:val="none" w:sz="0" w:space="0" w:color="auto"/>
                                                      </w:divBdr>
                                                      <w:divsChild>
                                                        <w:div w:id="917712668">
                                                          <w:marLeft w:val="0"/>
                                                          <w:marRight w:val="0"/>
                                                          <w:marTop w:val="0"/>
                                                          <w:marBottom w:val="0"/>
                                                          <w:divBdr>
                                                            <w:top w:val="none" w:sz="0" w:space="0" w:color="auto"/>
                                                            <w:left w:val="none" w:sz="0" w:space="0" w:color="auto"/>
                                                            <w:bottom w:val="none" w:sz="0" w:space="0" w:color="auto"/>
                                                            <w:right w:val="none" w:sz="0" w:space="0" w:color="auto"/>
                                                          </w:divBdr>
                                                          <w:divsChild>
                                                            <w:div w:id="56368959">
                                                              <w:marLeft w:val="0"/>
                                                              <w:marRight w:val="0"/>
                                                              <w:marTop w:val="0"/>
                                                              <w:marBottom w:val="0"/>
                                                              <w:divBdr>
                                                                <w:top w:val="none" w:sz="0" w:space="0" w:color="auto"/>
                                                                <w:left w:val="none" w:sz="0" w:space="0" w:color="auto"/>
                                                                <w:bottom w:val="none" w:sz="0" w:space="0" w:color="auto"/>
                                                                <w:right w:val="none" w:sz="0" w:space="0" w:color="auto"/>
                                                              </w:divBdr>
                                                              <w:divsChild>
                                                                <w:div w:id="79300041">
                                                                  <w:marLeft w:val="0"/>
                                                                  <w:marRight w:val="0"/>
                                                                  <w:marTop w:val="0"/>
                                                                  <w:marBottom w:val="0"/>
                                                                  <w:divBdr>
                                                                    <w:top w:val="none" w:sz="0" w:space="0" w:color="auto"/>
                                                                    <w:left w:val="none" w:sz="0" w:space="0" w:color="auto"/>
                                                                    <w:bottom w:val="none" w:sz="0" w:space="0" w:color="auto"/>
                                                                    <w:right w:val="none" w:sz="0" w:space="0" w:color="auto"/>
                                                                  </w:divBdr>
                                                                  <w:divsChild>
                                                                    <w:div w:id="305478447">
                                                                      <w:marLeft w:val="0"/>
                                                                      <w:marRight w:val="0"/>
                                                                      <w:marTop w:val="0"/>
                                                                      <w:marBottom w:val="0"/>
                                                                      <w:divBdr>
                                                                        <w:top w:val="none" w:sz="0" w:space="0" w:color="auto"/>
                                                                        <w:left w:val="none" w:sz="0" w:space="0" w:color="auto"/>
                                                                        <w:bottom w:val="none" w:sz="0" w:space="0" w:color="auto"/>
                                                                        <w:right w:val="none" w:sz="0" w:space="0" w:color="auto"/>
                                                                      </w:divBdr>
                                                                      <w:divsChild>
                                                                        <w:div w:id="241109351">
                                                                          <w:marLeft w:val="0"/>
                                                                          <w:marRight w:val="0"/>
                                                                          <w:marTop w:val="0"/>
                                                                          <w:marBottom w:val="0"/>
                                                                          <w:divBdr>
                                                                            <w:top w:val="none" w:sz="0" w:space="0" w:color="auto"/>
                                                                            <w:left w:val="none" w:sz="0" w:space="0" w:color="auto"/>
                                                                            <w:bottom w:val="none" w:sz="0" w:space="0" w:color="auto"/>
                                                                            <w:right w:val="none" w:sz="0" w:space="0" w:color="auto"/>
                                                                          </w:divBdr>
                                                                          <w:divsChild>
                                                                            <w:div w:id="647131921">
                                                                              <w:marLeft w:val="0"/>
                                                                              <w:marRight w:val="0"/>
                                                                              <w:marTop w:val="0"/>
                                                                              <w:marBottom w:val="0"/>
                                                                              <w:divBdr>
                                                                                <w:top w:val="none" w:sz="0" w:space="0" w:color="auto"/>
                                                                                <w:left w:val="none" w:sz="0" w:space="0" w:color="auto"/>
                                                                                <w:bottom w:val="none" w:sz="0" w:space="0" w:color="auto"/>
                                                                                <w:right w:val="none" w:sz="0" w:space="0" w:color="auto"/>
                                                                              </w:divBdr>
                                                                              <w:divsChild>
                                                                                <w:div w:id="1545369556">
                                                                                  <w:marLeft w:val="0"/>
                                                                                  <w:marRight w:val="0"/>
                                                                                  <w:marTop w:val="0"/>
                                                                                  <w:marBottom w:val="0"/>
                                                                                  <w:divBdr>
                                                                                    <w:top w:val="none" w:sz="0" w:space="0" w:color="auto"/>
                                                                                    <w:left w:val="none" w:sz="0" w:space="0" w:color="auto"/>
                                                                                    <w:bottom w:val="none" w:sz="0" w:space="0" w:color="auto"/>
                                                                                    <w:right w:val="none" w:sz="0" w:space="0" w:color="auto"/>
                                                                                  </w:divBdr>
                                                                                  <w:divsChild>
                                                                                    <w:div w:id="631711345">
                                                                                      <w:marLeft w:val="0"/>
                                                                                      <w:marRight w:val="0"/>
                                                                                      <w:marTop w:val="0"/>
                                                                                      <w:marBottom w:val="0"/>
                                                                                      <w:divBdr>
                                                                                        <w:top w:val="none" w:sz="0" w:space="0" w:color="auto"/>
                                                                                        <w:left w:val="none" w:sz="0" w:space="0" w:color="auto"/>
                                                                                        <w:bottom w:val="none" w:sz="0" w:space="0" w:color="auto"/>
                                                                                        <w:right w:val="none" w:sz="0" w:space="0" w:color="auto"/>
                                                                                      </w:divBdr>
                                                                                      <w:divsChild>
                                                                                        <w:div w:id="1098410916">
                                                                                          <w:marLeft w:val="0"/>
                                                                                          <w:marRight w:val="0"/>
                                                                                          <w:marTop w:val="0"/>
                                                                                          <w:marBottom w:val="0"/>
                                                                                          <w:divBdr>
                                                                                            <w:top w:val="none" w:sz="0" w:space="0" w:color="auto"/>
                                                                                            <w:left w:val="none" w:sz="0" w:space="0" w:color="auto"/>
                                                                                            <w:bottom w:val="none" w:sz="0" w:space="0" w:color="auto"/>
                                                                                            <w:right w:val="none" w:sz="0" w:space="0" w:color="auto"/>
                                                                                          </w:divBdr>
                                                                                          <w:divsChild>
                                                                                            <w:div w:id="327174054">
                                                                                              <w:marLeft w:val="0"/>
                                                                                              <w:marRight w:val="120"/>
                                                                                              <w:marTop w:val="0"/>
                                                                                              <w:marBottom w:val="150"/>
                                                                                              <w:divBdr>
                                                                                                <w:top w:val="single" w:sz="2" w:space="0" w:color="EFEFEF"/>
                                                                                                <w:left w:val="single" w:sz="6" w:space="0" w:color="EFEFEF"/>
                                                                                                <w:bottom w:val="single" w:sz="6" w:space="0" w:color="E2E2E2"/>
                                                                                                <w:right w:val="single" w:sz="6" w:space="0" w:color="EFEFEF"/>
                                                                                              </w:divBdr>
                                                                                              <w:divsChild>
                                                                                                <w:div w:id="19017985">
                                                                                                  <w:marLeft w:val="0"/>
                                                                                                  <w:marRight w:val="0"/>
                                                                                                  <w:marTop w:val="0"/>
                                                                                                  <w:marBottom w:val="0"/>
                                                                                                  <w:divBdr>
                                                                                                    <w:top w:val="none" w:sz="0" w:space="0" w:color="auto"/>
                                                                                                    <w:left w:val="none" w:sz="0" w:space="0" w:color="auto"/>
                                                                                                    <w:bottom w:val="none" w:sz="0" w:space="0" w:color="auto"/>
                                                                                                    <w:right w:val="none" w:sz="0" w:space="0" w:color="auto"/>
                                                                                                  </w:divBdr>
                                                                                                  <w:divsChild>
                                                                                                    <w:div w:id="1351879857">
                                                                                                      <w:marLeft w:val="0"/>
                                                                                                      <w:marRight w:val="0"/>
                                                                                                      <w:marTop w:val="0"/>
                                                                                                      <w:marBottom w:val="0"/>
                                                                                                      <w:divBdr>
                                                                                                        <w:top w:val="none" w:sz="0" w:space="0" w:color="auto"/>
                                                                                                        <w:left w:val="none" w:sz="0" w:space="0" w:color="auto"/>
                                                                                                        <w:bottom w:val="none" w:sz="0" w:space="0" w:color="auto"/>
                                                                                                        <w:right w:val="none" w:sz="0" w:space="0" w:color="auto"/>
                                                                                                      </w:divBdr>
                                                                                                      <w:divsChild>
                                                                                                        <w:div w:id="93062884">
                                                                                                          <w:marLeft w:val="0"/>
                                                                                                          <w:marRight w:val="0"/>
                                                                                                          <w:marTop w:val="0"/>
                                                                                                          <w:marBottom w:val="0"/>
                                                                                                          <w:divBdr>
                                                                                                            <w:top w:val="none" w:sz="0" w:space="0" w:color="auto"/>
                                                                                                            <w:left w:val="none" w:sz="0" w:space="0" w:color="auto"/>
                                                                                                            <w:bottom w:val="none" w:sz="0" w:space="0" w:color="auto"/>
                                                                                                            <w:right w:val="none" w:sz="0" w:space="0" w:color="auto"/>
                                                                                                          </w:divBdr>
                                                                                                          <w:divsChild>
                                                                                                            <w:div w:id="1869223571">
                                                                                                              <w:marLeft w:val="0"/>
                                                                                                              <w:marRight w:val="0"/>
                                                                                                              <w:marTop w:val="0"/>
                                                                                                              <w:marBottom w:val="0"/>
                                                                                                              <w:divBdr>
                                                                                                                <w:top w:val="none" w:sz="0" w:space="0" w:color="auto"/>
                                                                                                                <w:left w:val="none" w:sz="0" w:space="0" w:color="auto"/>
                                                                                                                <w:bottom w:val="none" w:sz="0" w:space="0" w:color="auto"/>
                                                                                                                <w:right w:val="none" w:sz="0" w:space="0" w:color="auto"/>
                                                                                                              </w:divBdr>
                                                                                                              <w:divsChild>
                                                                                                                <w:div w:id="906454630">
                                                                                                                  <w:marLeft w:val="-450"/>
                                                                                                                  <w:marRight w:val="0"/>
                                                                                                                  <w:marTop w:val="150"/>
                                                                                                                  <w:marBottom w:val="225"/>
                                                                                                                  <w:divBdr>
                                                                                                                    <w:top w:val="single" w:sz="6" w:space="2" w:color="D8D8D8"/>
                                                                                                                    <w:left w:val="single" w:sz="6" w:space="2" w:color="D8D8D8"/>
                                                                                                                    <w:bottom w:val="single" w:sz="6" w:space="2" w:color="D8D8D8"/>
                                                                                                                    <w:right w:val="single" w:sz="6" w:space="2" w:color="D8D8D8"/>
                                                                                                                  </w:divBdr>
                                                                                                                  <w:divsChild>
                                                                                                                    <w:div w:id="1221746552">
                                                                                                                      <w:marLeft w:val="225"/>
                                                                                                                      <w:marRight w:val="225"/>
                                                                                                                      <w:marTop w:val="75"/>
                                                                                                                      <w:marBottom w:val="75"/>
                                                                                                                      <w:divBdr>
                                                                                                                        <w:top w:val="none" w:sz="0" w:space="0" w:color="auto"/>
                                                                                                                        <w:left w:val="none" w:sz="0" w:space="0" w:color="auto"/>
                                                                                                                        <w:bottom w:val="none" w:sz="0" w:space="0" w:color="auto"/>
                                                                                                                        <w:right w:val="none" w:sz="0" w:space="0" w:color="auto"/>
                                                                                                                      </w:divBdr>
                                                                                                                      <w:divsChild>
                                                                                                                        <w:div w:id="43987583">
                                                                                                                          <w:marLeft w:val="0"/>
                                                                                                                          <w:marRight w:val="0"/>
                                                                                                                          <w:marTop w:val="0"/>
                                                                                                                          <w:marBottom w:val="0"/>
                                                                                                                          <w:divBdr>
                                                                                                                            <w:top w:val="single" w:sz="6" w:space="0" w:color="auto"/>
                                                                                                                            <w:left w:val="single" w:sz="6" w:space="0" w:color="auto"/>
                                                                                                                            <w:bottom w:val="single" w:sz="6" w:space="0" w:color="auto"/>
                                                                                                                            <w:right w:val="single" w:sz="6" w:space="0" w:color="auto"/>
                                                                                                                          </w:divBdr>
                                                                                                                          <w:divsChild>
                                                                                                                            <w:div w:id="1754399757">
                                                                                                                              <w:marLeft w:val="0"/>
                                                                                                                              <w:marRight w:val="0"/>
                                                                                                                              <w:marTop w:val="0"/>
                                                                                                                              <w:marBottom w:val="0"/>
                                                                                                                              <w:divBdr>
                                                                                                                                <w:top w:val="none" w:sz="0" w:space="0" w:color="auto"/>
                                                                                                                                <w:left w:val="none" w:sz="0" w:space="0" w:color="auto"/>
                                                                                                                                <w:bottom w:val="none" w:sz="0" w:space="0" w:color="auto"/>
                                                                                                                                <w:right w:val="none" w:sz="0" w:space="0" w:color="auto"/>
                                                                                                                              </w:divBdr>
                                                                                                                              <w:divsChild>
                                                                                                                                <w:div w:id="364714055">
                                                                                                                                  <w:marLeft w:val="0"/>
                                                                                                                                  <w:marRight w:val="0"/>
                                                                                                                                  <w:marTop w:val="0"/>
                                                                                                                                  <w:marBottom w:val="0"/>
                                                                                                                                  <w:divBdr>
                                                                                                                                    <w:top w:val="none" w:sz="0" w:space="0" w:color="auto"/>
                                                                                                                                    <w:left w:val="none" w:sz="0" w:space="0" w:color="auto"/>
                                                                                                                                    <w:bottom w:val="none" w:sz="0" w:space="0" w:color="auto"/>
                                                                                                                                    <w:right w:val="none" w:sz="0" w:space="0" w:color="auto"/>
                                                                                                                                  </w:divBdr>
                                                                                                                                  <w:divsChild>
                                                                                                                                    <w:div w:id="798953664">
                                                                                                                                      <w:marLeft w:val="0"/>
                                                                                                                                      <w:marRight w:val="0"/>
                                                                                                                                      <w:marTop w:val="0"/>
                                                                                                                                      <w:marBottom w:val="0"/>
                                                                                                                                      <w:divBdr>
                                                                                                                                        <w:top w:val="none" w:sz="0" w:space="0" w:color="auto"/>
                                                                                                                                        <w:left w:val="none" w:sz="0" w:space="0" w:color="auto"/>
                                                                                                                                        <w:bottom w:val="none" w:sz="0" w:space="0" w:color="auto"/>
                                                                                                                                        <w:right w:val="none" w:sz="0" w:space="0" w:color="auto"/>
                                                                                                                                      </w:divBdr>
                                                                                                                                      <w:divsChild>
                                                                                                                                        <w:div w:id="368261205">
                                                                                                                                          <w:marLeft w:val="0"/>
                                                                                                                                          <w:marRight w:val="0"/>
                                                                                                                                          <w:marTop w:val="0"/>
                                                                                                                                          <w:marBottom w:val="0"/>
                                                                                                                                          <w:divBdr>
                                                                                                                                            <w:top w:val="none" w:sz="0" w:space="0" w:color="auto"/>
                                                                                                                                            <w:left w:val="none" w:sz="0" w:space="0" w:color="auto"/>
                                                                                                                                            <w:bottom w:val="none" w:sz="0" w:space="0" w:color="auto"/>
                                                                                                                                            <w:right w:val="none" w:sz="0" w:space="0" w:color="auto"/>
                                                                                                                                          </w:divBdr>
                                                                                                                                          <w:divsChild>
                                                                                                                                            <w:div w:id="2001229634">
                                                                                                                                              <w:marLeft w:val="0"/>
                                                                                                                                              <w:marRight w:val="0"/>
                                                                                                                                              <w:marTop w:val="0"/>
                                                                                                                                              <w:marBottom w:val="0"/>
                                                                                                                                              <w:divBdr>
                                                                                                                                                <w:top w:val="none" w:sz="0" w:space="0" w:color="auto"/>
                                                                                                                                                <w:left w:val="none" w:sz="0" w:space="0" w:color="auto"/>
                                                                                                                                                <w:bottom w:val="none" w:sz="0" w:space="0" w:color="auto"/>
                                                                                                                                                <w:right w:val="none" w:sz="0" w:space="0" w:color="auto"/>
                                                                                                                                              </w:divBdr>
                                                                                                                                              <w:divsChild>
                                                                                                                                                <w:div w:id="44453537">
                                                                                                                                                  <w:marLeft w:val="0"/>
                                                                                                                                                  <w:marRight w:val="0"/>
                                                                                                                                                  <w:marTop w:val="0"/>
                                                                                                                                                  <w:marBottom w:val="0"/>
                                                                                                                                                  <w:divBdr>
                                                                                                                                                    <w:top w:val="none" w:sz="0" w:space="0" w:color="auto"/>
                                                                                                                                                    <w:left w:val="none" w:sz="0" w:space="0" w:color="auto"/>
                                                                                                                                                    <w:bottom w:val="none" w:sz="0" w:space="0" w:color="auto"/>
                                                                                                                                                    <w:right w:val="none" w:sz="0" w:space="0" w:color="auto"/>
                                                                                                                                                  </w:divBdr>
                                                                                                                                                </w:div>
                                                                                                                                                <w:div w:id="80300729">
                                                                                                                                                  <w:marLeft w:val="0"/>
                                                                                                                                                  <w:marRight w:val="0"/>
                                                                                                                                                  <w:marTop w:val="0"/>
                                                                                                                                                  <w:marBottom w:val="0"/>
                                                                                                                                                  <w:divBdr>
                                                                                                                                                    <w:top w:val="none" w:sz="0" w:space="0" w:color="auto"/>
                                                                                                                                                    <w:left w:val="none" w:sz="0" w:space="0" w:color="auto"/>
                                                                                                                                                    <w:bottom w:val="none" w:sz="0" w:space="0" w:color="auto"/>
                                                                                                                                                    <w:right w:val="none" w:sz="0" w:space="0" w:color="auto"/>
                                                                                                                                                  </w:divBdr>
                                                                                                                                                </w:div>
                                                                                                                                                <w:div w:id="1015350908">
                                                                                                                                                  <w:marLeft w:val="0"/>
                                                                                                                                                  <w:marRight w:val="0"/>
                                                                                                                                                  <w:marTop w:val="0"/>
                                                                                                                                                  <w:marBottom w:val="0"/>
                                                                                                                                                  <w:divBdr>
                                                                                                                                                    <w:top w:val="none" w:sz="0" w:space="0" w:color="auto"/>
                                                                                                                                                    <w:left w:val="none" w:sz="0" w:space="0" w:color="auto"/>
                                                                                                                                                    <w:bottom w:val="none" w:sz="0" w:space="0" w:color="auto"/>
                                                                                                                                                    <w:right w:val="none" w:sz="0" w:space="0" w:color="auto"/>
                                                                                                                                                  </w:divBdr>
                                                                                                                                                </w:div>
                                                                                                                                                <w:div w:id="1503082559">
                                                                                                                                                  <w:marLeft w:val="0"/>
                                                                                                                                                  <w:marRight w:val="0"/>
                                                                                                                                                  <w:marTop w:val="0"/>
                                                                                                                                                  <w:marBottom w:val="0"/>
                                                                                                                                                  <w:divBdr>
                                                                                                                                                    <w:top w:val="none" w:sz="0" w:space="0" w:color="auto"/>
                                                                                                                                                    <w:left w:val="none" w:sz="0" w:space="0" w:color="auto"/>
                                                                                                                                                    <w:bottom w:val="none" w:sz="0" w:space="0" w:color="auto"/>
                                                                                                                                                    <w:right w:val="none" w:sz="0" w:space="0" w:color="auto"/>
                                                                                                                                                  </w:divBdr>
                                                                                                                                                </w:div>
                                                                                                                                                <w:div w:id="1445926966">
                                                                                                                                                  <w:marLeft w:val="0"/>
                                                                                                                                                  <w:marRight w:val="0"/>
                                                                                                                                                  <w:marTop w:val="0"/>
                                                                                                                                                  <w:marBottom w:val="0"/>
                                                                                                                                                  <w:divBdr>
                                                                                                                                                    <w:top w:val="none" w:sz="0" w:space="0" w:color="auto"/>
                                                                                                                                                    <w:left w:val="none" w:sz="0" w:space="0" w:color="auto"/>
                                                                                                                                                    <w:bottom w:val="none" w:sz="0" w:space="0" w:color="auto"/>
                                                                                                                                                    <w:right w:val="none" w:sz="0" w:space="0" w:color="auto"/>
                                                                                                                                                  </w:divBdr>
                                                                                                                                                </w:div>
                                                                                                                                                <w:div w:id="1306275086">
                                                                                                                                                  <w:marLeft w:val="0"/>
                                                                                                                                                  <w:marRight w:val="0"/>
                                                                                                                                                  <w:marTop w:val="0"/>
                                                                                                                                                  <w:marBottom w:val="0"/>
                                                                                                                                                  <w:divBdr>
                                                                                                                                                    <w:top w:val="none" w:sz="0" w:space="0" w:color="auto"/>
                                                                                                                                                    <w:left w:val="none" w:sz="0" w:space="0" w:color="auto"/>
                                                                                                                                                    <w:bottom w:val="none" w:sz="0" w:space="0" w:color="auto"/>
                                                                                                                                                    <w:right w:val="none" w:sz="0" w:space="0" w:color="auto"/>
                                                                                                                                                  </w:divBdr>
                                                                                                                                                </w:div>
                                                                                                                                                <w:div w:id="117380393">
                                                                                                                                                  <w:marLeft w:val="0"/>
                                                                                                                                                  <w:marRight w:val="0"/>
                                                                                                                                                  <w:marTop w:val="0"/>
                                                                                                                                                  <w:marBottom w:val="0"/>
                                                                                                                                                  <w:divBdr>
                                                                                                                                                    <w:top w:val="none" w:sz="0" w:space="0" w:color="auto"/>
                                                                                                                                                    <w:left w:val="none" w:sz="0" w:space="0" w:color="auto"/>
                                                                                                                                                    <w:bottom w:val="none" w:sz="0" w:space="0" w:color="auto"/>
                                                                                                                                                    <w:right w:val="none" w:sz="0" w:space="0" w:color="auto"/>
                                                                                                                                                  </w:divBdr>
                                                                                                                                                </w:div>
                                                                                                                                                <w:div w:id="1730303132">
                                                                                                                                                  <w:marLeft w:val="0"/>
                                                                                                                                                  <w:marRight w:val="0"/>
                                                                                                                                                  <w:marTop w:val="0"/>
                                                                                                                                                  <w:marBottom w:val="0"/>
                                                                                                                                                  <w:divBdr>
                                                                                                                                                    <w:top w:val="none" w:sz="0" w:space="0" w:color="auto"/>
                                                                                                                                                    <w:left w:val="none" w:sz="0" w:space="0" w:color="auto"/>
                                                                                                                                                    <w:bottom w:val="none" w:sz="0" w:space="0" w:color="auto"/>
                                                                                                                                                    <w:right w:val="none" w:sz="0" w:space="0" w:color="auto"/>
                                                                                                                                                  </w:divBdr>
                                                                                                                                                </w:div>
                                                                                                                                                <w:div w:id="12242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8152010">
      <w:bodyDiv w:val="1"/>
      <w:marLeft w:val="0"/>
      <w:marRight w:val="0"/>
      <w:marTop w:val="0"/>
      <w:marBottom w:val="0"/>
      <w:divBdr>
        <w:top w:val="none" w:sz="0" w:space="0" w:color="auto"/>
        <w:left w:val="none" w:sz="0" w:space="0" w:color="auto"/>
        <w:bottom w:val="none" w:sz="0" w:space="0" w:color="auto"/>
        <w:right w:val="none" w:sz="0" w:space="0" w:color="auto"/>
      </w:divBdr>
    </w:div>
    <w:div w:id="1178622323">
      <w:bodyDiv w:val="1"/>
      <w:marLeft w:val="0"/>
      <w:marRight w:val="0"/>
      <w:marTop w:val="0"/>
      <w:marBottom w:val="0"/>
      <w:divBdr>
        <w:top w:val="none" w:sz="0" w:space="0" w:color="auto"/>
        <w:left w:val="none" w:sz="0" w:space="0" w:color="auto"/>
        <w:bottom w:val="none" w:sz="0" w:space="0" w:color="auto"/>
        <w:right w:val="none" w:sz="0" w:space="0" w:color="auto"/>
      </w:divBdr>
    </w:div>
    <w:div w:id="1196041911">
      <w:bodyDiv w:val="1"/>
      <w:marLeft w:val="0"/>
      <w:marRight w:val="0"/>
      <w:marTop w:val="0"/>
      <w:marBottom w:val="0"/>
      <w:divBdr>
        <w:top w:val="none" w:sz="0" w:space="0" w:color="auto"/>
        <w:left w:val="none" w:sz="0" w:space="0" w:color="auto"/>
        <w:bottom w:val="none" w:sz="0" w:space="0" w:color="auto"/>
        <w:right w:val="none" w:sz="0" w:space="0" w:color="auto"/>
      </w:divBdr>
    </w:div>
    <w:div w:id="1236210501">
      <w:bodyDiv w:val="1"/>
      <w:marLeft w:val="0"/>
      <w:marRight w:val="0"/>
      <w:marTop w:val="0"/>
      <w:marBottom w:val="0"/>
      <w:divBdr>
        <w:top w:val="none" w:sz="0" w:space="0" w:color="auto"/>
        <w:left w:val="none" w:sz="0" w:space="0" w:color="auto"/>
        <w:bottom w:val="none" w:sz="0" w:space="0" w:color="auto"/>
        <w:right w:val="none" w:sz="0" w:space="0" w:color="auto"/>
      </w:divBdr>
    </w:div>
    <w:div w:id="1244097869">
      <w:bodyDiv w:val="1"/>
      <w:marLeft w:val="0"/>
      <w:marRight w:val="0"/>
      <w:marTop w:val="0"/>
      <w:marBottom w:val="0"/>
      <w:divBdr>
        <w:top w:val="none" w:sz="0" w:space="0" w:color="auto"/>
        <w:left w:val="none" w:sz="0" w:space="0" w:color="auto"/>
        <w:bottom w:val="none" w:sz="0" w:space="0" w:color="auto"/>
        <w:right w:val="none" w:sz="0" w:space="0" w:color="auto"/>
      </w:divBdr>
    </w:div>
    <w:div w:id="1288854171">
      <w:bodyDiv w:val="1"/>
      <w:marLeft w:val="0"/>
      <w:marRight w:val="0"/>
      <w:marTop w:val="0"/>
      <w:marBottom w:val="0"/>
      <w:divBdr>
        <w:top w:val="none" w:sz="0" w:space="0" w:color="auto"/>
        <w:left w:val="none" w:sz="0" w:space="0" w:color="auto"/>
        <w:bottom w:val="none" w:sz="0" w:space="0" w:color="auto"/>
        <w:right w:val="none" w:sz="0" w:space="0" w:color="auto"/>
      </w:divBdr>
    </w:div>
    <w:div w:id="1296259181">
      <w:bodyDiv w:val="1"/>
      <w:marLeft w:val="0"/>
      <w:marRight w:val="0"/>
      <w:marTop w:val="0"/>
      <w:marBottom w:val="0"/>
      <w:divBdr>
        <w:top w:val="none" w:sz="0" w:space="0" w:color="auto"/>
        <w:left w:val="none" w:sz="0" w:space="0" w:color="auto"/>
        <w:bottom w:val="none" w:sz="0" w:space="0" w:color="auto"/>
        <w:right w:val="none" w:sz="0" w:space="0" w:color="auto"/>
      </w:divBdr>
    </w:div>
    <w:div w:id="1297444712">
      <w:bodyDiv w:val="1"/>
      <w:marLeft w:val="0"/>
      <w:marRight w:val="0"/>
      <w:marTop w:val="0"/>
      <w:marBottom w:val="0"/>
      <w:divBdr>
        <w:top w:val="none" w:sz="0" w:space="0" w:color="auto"/>
        <w:left w:val="none" w:sz="0" w:space="0" w:color="auto"/>
        <w:bottom w:val="none" w:sz="0" w:space="0" w:color="auto"/>
        <w:right w:val="none" w:sz="0" w:space="0" w:color="auto"/>
      </w:divBdr>
    </w:div>
    <w:div w:id="1307929533">
      <w:bodyDiv w:val="1"/>
      <w:marLeft w:val="0"/>
      <w:marRight w:val="0"/>
      <w:marTop w:val="0"/>
      <w:marBottom w:val="0"/>
      <w:divBdr>
        <w:top w:val="none" w:sz="0" w:space="0" w:color="auto"/>
        <w:left w:val="none" w:sz="0" w:space="0" w:color="auto"/>
        <w:bottom w:val="none" w:sz="0" w:space="0" w:color="auto"/>
        <w:right w:val="none" w:sz="0" w:space="0" w:color="auto"/>
      </w:divBdr>
    </w:div>
    <w:div w:id="1311597613">
      <w:bodyDiv w:val="1"/>
      <w:marLeft w:val="0"/>
      <w:marRight w:val="0"/>
      <w:marTop w:val="0"/>
      <w:marBottom w:val="0"/>
      <w:divBdr>
        <w:top w:val="none" w:sz="0" w:space="0" w:color="auto"/>
        <w:left w:val="none" w:sz="0" w:space="0" w:color="auto"/>
        <w:bottom w:val="none" w:sz="0" w:space="0" w:color="auto"/>
        <w:right w:val="none" w:sz="0" w:space="0" w:color="auto"/>
      </w:divBdr>
    </w:div>
    <w:div w:id="1366062208">
      <w:bodyDiv w:val="1"/>
      <w:marLeft w:val="0"/>
      <w:marRight w:val="0"/>
      <w:marTop w:val="0"/>
      <w:marBottom w:val="0"/>
      <w:divBdr>
        <w:top w:val="none" w:sz="0" w:space="0" w:color="auto"/>
        <w:left w:val="none" w:sz="0" w:space="0" w:color="auto"/>
        <w:bottom w:val="none" w:sz="0" w:space="0" w:color="auto"/>
        <w:right w:val="none" w:sz="0" w:space="0" w:color="auto"/>
      </w:divBdr>
    </w:div>
    <w:div w:id="1371687821">
      <w:bodyDiv w:val="1"/>
      <w:marLeft w:val="0"/>
      <w:marRight w:val="0"/>
      <w:marTop w:val="0"/>
      <w:marBottom w:val="0"/>
      <w:divBdr>
        <w:top w:val="none" w:sz="0" w:space="0" w:color="auto"/>
        <w:left w:val="none" w:sz="0" w:space="0" w:color="auto"/>
        <w:bottom w:val="none" w:sz="0" w:space="0" w:color="auto"/>
        <w:right w:val="none" w:sz="0" w:space="0" w:color="auto"/>
      </w:divBdr>
    </w:div>
    <w:div w:id="1376999833">
      <w:bodyDiv w:val="1"/>
      <w:marLeft w:val="0"/>
      <w:marRight w:val="0"/>
      <w:marTop w:val="0"/>
      <w:marBottom w:val="0"/>
      <w:divBdr>
        <w:top w:val="none" w:sz="0" w:space="0" w:color="auto"/>
        <w:left w:val="none" w:sz="0" w:space="0" w:color="auto"/>
        <w:bottom w:val="none" w:sz="0" w:space="0" w:color="auto"/>
        <w:right w:val="none" w:sz="0" w:space="0" w:color="auto"/>
      </w:divBdr>
    </w:div>
    <w:div w:id="1412502260">
      <w:bodyDiv w:val="1"/>
      <w:marLeft w:val="0"/>
      <w:marRight w:val="0"/>
      <w:marTop w:val="0"/>
      <w:marBottom w:val="0"/>
      <w:divBdr>
        <w:top w:val="none" w:sz="0" w:space="0" w:color="auto"/>
        <w:left w:val="none" w:sz="0" w:space="0" w:color="auto"/>
        <w:bottom w:val="none" w:sz="0" w:space="0" w:color="auto"/>
        <w:right w:val="none" w:sz="0" w:space="0" w:color="auto"/>
      </w:divBdr>
    </w:div>
    <w:div w:id="1442263879">
      <w:bodyDiv w:val="1"/>
      <w:marLeft w:val="0"/>
      <w:marRight w:val="0"/>
      <w:marTop w:val="0"/>
      <w:marBottom w:val="0"/>
      <w:divBdr>
        <w:top w:val="none" w:sz="0" w:space="0" w:color="auto"/>
        <w:left w:val="none" w:sz="0" w:space="0" w:color="auto"/>
        <w:bottom w:val="none" w:sz="0" w:space="0" w:color="auto"/>
        <w:right w:val="none" w:sz="0" w:space="0" w:color="auto"/>
      </w:divBdr>
    </w:div>
    <w:div w:id="1445927211">
      <w:bodyDiv w:val="1"/>
      <w:marLeft w:val="0"/>
      <w:marRight w:val="0"/>
      <w:marTop w:val="0"/>
      <w:marBottom w:val="0"/>
      <w:divBdr>
        <w:top w:val="none" w:sz="0" w:space="0" w:color="auto"/>
        <w:left w:val="none" w:sz="0" w:space="0" w:color="auto"/>
        <w:bottom w:val="none" w:sz="0" w:space="0" w:color="auto"/>
        <w:right w:val="none" w:sz="0" w:space="0" w:color="auto"/>
      </w:divBdr>
    </w:div>
    <w:div w:id="1448616818">
      <w:bodyDiv w:val="1"/>
      <w:marLeft w:val="0"/>
      <w:marRight w:val="0"/>
      <w:marTop w:val="0"/>
      <w:marBottom w:val="0"/>
      <w:divBdr>
        <w:top w:val="none" w:sz="0" w:space="0" w:color="auto"/>
        <w:left w:val="none" w:sz="0" w:space="0" w:color="auto"/>
        <w:bottom w:val="none" w:sz="0" w:space="0" w:color="auto"/>
        <w:right w:val="none" w:sz="0" w:space="0" w:color="auto"/>
      </w:divBdr>
    </w:div>
    <w:div w:id="1454788201">
      <w:bodyDiv w:val="1"/>
      <w:marLeft w:val="0"/>
      <w:marRight w:val="0"/>
      <w:marTop w:val="0"/>
      <w:marBottom w:val="0"/>
      <w:divBdr>
        <w:top w:val="none" w:sz="0" w:space="0" w:color="auto"/>
        <w:left w:val="none" w:sz="0" w:space="0" w:color="auto"/>
        <w:bottom w:val="none" w:sz="0" w:space="0" w:color="auto"/>
        <w:right w:val="none" w:sz="0" w:space="0" w:color="auto"/>
      </w:divBdr>
    </w:div>
    <w:div w:id="1458256806">
      <w:bodyDiv w:val="1"/>
      <w:marLeft w:val="0"/>
      <w:marRight w:val="0"/>
      <w:marTop w:val="0"/>
      <w:marBottom w:val="0"/>
      <w:divBdr>
        <w:top w:val="none" w:sz="0" w:space="0" w:color="auto"/>
        <w:left w:val="none" w:sz="0" w:space="0" w:color="auto"/>
        <w:bottom w:val="none" w:sz="0" w:space="0" w:color="auto"/>
        <w:right w:val="none" w:sz="0" w:space="0" w:color="auto"/>
      </w:divBdr>
    </w:div>
    <w:div w:id="1465003636">
      <w:bodyDiv w:val="1"/>
      <w:marLeft w:val="0"/>
      <w:marRight w:val="0"/>
      <w:marTop w:val="0"/>
      <w:marBottom w:val="0"/>
      <w:divBdr>
        <w:top w:val="none" w:sz="0" w:space="0" w:color="auto"/>
        <w:left w:val="none" w:sz="0" w:space="0" w:color="auto"/>
        <w:bottom w:val="none" w:sz="0" w:space="0" w:color="auto"/>
        <w:right w:val="none" w:sz="0" w:space="0" w:color="auto"/>
      </w:divBdr>
    </w:div>
    <w:div w:id="1478374857">
      <w:bodyDiv w:val="1"/>
      <w:marLeft w:val="0"/>
      <w:marRight w:val="0"/>
      <w:marTop w:val="0"/>
      <w:marBottom w:val="0"/>
      <w:divBdr>
        <w:top w:val="none" w:sz="0" w:space="0" w:color="auto"/>
        <w:left w:val="none" w:sz="0" w:space="0" w:color="auto"/>
        <w:bottom w:val="none" w:sz="0" w:space="0" w:color="auto"/>
        <w:right w:val="none" w:sz="0" w:space="0" w:color="auto"/>
      </w:divBdr>
    </w:div>
    <w:div w:id="1493788088">
      <w:bodyDiv w:val="1"/>
      <w:marLeft w:val="0"/>
      <w:marRight w:val="0"/>
      <w:marTop w:val="0"/>
      <w:marBottom w:val="0"/>
      <w:divBdr>
        <w:top w:val="none" w:sz="0" w:space="0" w:color="auto"/>
        <w:left w:val="none" w:sz="0" w:space="0" w:color="auto"/>
        <w:bottom w:val="none" w:sz="0" w:space="0" w:color="auto"/>
        <w:right w:val="none" w:sz="0" w:space="0" w:color="auto"/>
      </w:divBdr>
    </w:div>
    <w:div w:id="1494030031">
      <w:bodyDiv w:val="1"/>
      <w:marLeft w:val="0"/>
      <w:marRight w:val="0"/>
      <w:marTop w:val="0"/>
      <w:marBottom w:val="0"/>
      <w:divBdr>
        <w:top w:val="none" w:sz="0" w:space="0" w:color="auto"/>
        <w:left w:val="none" w:sz="0" w:space="0" w:color="auto"/>
        <w:bottom w:val="none" w:sz="0" w:space="0" w:color="auto"/>
        <w:right w:val="none" w:sz="0" w:space="0" w:color="auto"/>
      </w:divBdr>
    </w:div>
    <w:div w:id="1498812270">
      <w:bodyDiv w:val="1"/>
      <w:marLeft w:val="0"/>
      <w:marRight w:val="0"/>
      <w:marTop w:val="0"/>
      <w:marBottom w:val="0"/>
      <w:divBdr>
        <w:top w:val="none" w:sz="0" w:space="0" w:color="auto"/>
        <w:left w:val="none" w:sz="0" w:space="0" w:color="auto"/>
        <w:bottom w:val="none" w:sz="0" w:space="0" w:color="auto"/>
        <w:right w:val="none" w:sz="0" w:space="0" w:color="auto"/>
      </w:divBdr>
    </w:div>
    <w:div w:id="1499537877">
      <w:bodyDiv w:val="1"/>
      <w:marLeft w:val="0"/>
      <w:marRight w:val="0"/>
      <w:marTop w:val="0"/>
      <w:marBottom w:val="0"/>
      <w:divBdr>
        <w:top w:val="none" w:sz="0" w:space="0" w:color="auto"/>
        <w:left w:val="none" w:sz="0" w:space="0" w:color="auto"/>
        <w:bottom w:val="none" w:sz="0" w:space="0" w:color="auto"/>
        <w:right w:val="none" w:sz="0" w:space="0" w:color="auto"/>
      </w:divBdr>
    </w:div>
    <w:div w:id="1517570911">
      <w:bodyDiv w:val="1"/>
      <w:marLeft w:val="0"/>
      <w:marRight w:val="0"/>
      <w:marTop w:val="0"/>
      <w:marBottom w:val="0"/>
      <w:divBdr>
        <w:top w:val="none" w:sz="0" w:space="0" w:color="auto"/>
        <w:left w:val="none" w:sz="0" w:space="0" w:color="auto"/>
        <w:bottom w:val="none" w:sz="0" w:space="0" w:color="auto"/>
        <w:right w:val="none" w:sz="0" w:space="0" w:color="auto"/>
      </w:divBdr>
    </w:div>
    <w:div w:id="1518501706">
      <w:bodyDiv w:val="1"/>
      <w:marLeft w:val="0"/>
      <w:marRight w:val="0"/>
      <w:marTop w:val="0"/>
      <w:marBottom w:val="0"/>
      <w:divBdr>
        <w:top w:val="none" w:sz="0" w:space="0" w:color="auto"/>
        <w:left w:val="none" w:sz="0" w:space="0" w:color="auto"/>
        <w:bottom w:val="none" w:sz="0" w:space="0" w:color="auto"/>
        <w:right w:val="none" w:sz="0" w:space="0" w:color="auto"/>
      </w:divBdr>
    </w:div>
    <w:div w:id="1523350435">
      <w:bodyDiv w:val="1"/>
      <w:marLeft w:val="0"/>
      <w:marRight w:val="0"/>
      <w:marTop w:val="0"/>
      <w:marBottom w:val="0"/>
      <w:divBdr>
        <w:top w:val="none" w:sz="0" w:space="0" w:color="auto"/>
        <w:left w:val="none" w:sz="0" w:space="0" w:color="auto"/>
        <w:bottom w:val="none" w:sz="0" w:space="0" w:color="auto"/>
        <w:right w:val="none" w:sz="0" w:space="0" w:color="auto"/>
      </w:divBdr>
    </w:div>
    <w:div w:id="1526820914">
      <w:bodyDiv w:val="1"/>
      <w:marLeft w:val="0"/>
      <w:marRight w:val="0"/>
      <w:marTop w:val="0"/>
      <w:marBottom w:val="0"/>
      <w:divBdr>
        <w:top w:val="none" w:sz="0" w:space="0" w:color="auto"/>
        <w:left w:val="none" w:sz="0" w:space="0" w:color="auto"/>
        <w:bottom w:val="none" w:sz="0" w:space="0" w:color="auto"/>
        <w:right w:val="none" w:sz="0" w:space="0" w:color="auto"/>
      </w:divBdr>
    </w:div>
    <w:div w:id="1542471000">
      <w:bodyDiv w:val="1"/>
      <w:marLeft w:val="0"/>
      <w:marRight w:val="0"/>
      <w:marTop w:val="0"/>
      <w:marBottom w:val="0"/>
      <w:divBdr>
        <w:top w:val="none" w:sz="0" w:space="0" w:color="auto"/>
        <w:left w:val="none" w:sz="0" w:space="0" w:color="auto"/>
        <w:bottom w:val="none" w:sz="0" w:space="0" w:color="auto"/>
        <w:right w:val="none" w:sz="0" w:space="0" w:color="auto"/>
      </w:divBdr>
    </w:div>
    <w:div w:id="1545288727">
      <w:bodyDiv w:val="1"/>
      <w:marLeft w:val="0"/>
      <w:marRight w:val="0"/>
      <w:marTop w:val="0"/>
      <w:marBottom w:val="0"/>
      <w:divBdr>
        <w:top w:val="none" w:sz="0" w:space="0" w:color="auto"/>
        <w:left w:val="none" w:sz="0" w:space="0" w:color="auto"/>
        <w:bottom w:val="none" w:sz="0" w:space="0" w:color="auto"/>
        <w:right w:val="none" w:sz="0" w:space="0" w:color="auto"/>
      </w:divBdr>
    </w:div>
    <w:div w:id="1551531511">
      <w:bodyDiv w:val="1"/>
      <w:marLeft w:val="0"/>
      <w:marRight w:val="0"/>
      <w:marTop w:val="0"/>
      <w:marBottom w:val="0"/>
      <w:divBdr>
        <w:top w:val="none" w:sz="0" w:space="0" w:color="auto"/>
        <w:left w:val="none" w:sz="0" w:space="0" w:color="auto"/>
        <w:bottom w:val="none" w:sz="0" w:space="0" w:color="auto"/>
        <w:right w:val="none" w:sz="0" w:space="0" w:color="auto"/>
      </w:divBdr>
    </w:div>
    <w:div w:id="1562207952">
      <w:bodyDiv w:val="1"/>
      <w:marLeft w:val="0"/>
      <w:marRight w:val="0"/>
      <w:marTop w:val="0"/>
      <w:marBottom w:val="0"/>
      <w:divBdr>
        <w:top w:val="none" w:sz="0" w:space="0" w:color="auto"/>
        <w:left w:val="none" w:sz="0" w:space="0" w:color="auto"/>
        <w:bottom w:val="none" w:sz="0" w:space="0" w:color="auto"/>
        <w:right w:val="none" w:sz="0" w:space="0" w:color="auto"/>
      </w:divBdr>
    </w:div>
    <w:div w:id="1565796670">
      <w:bodyDiv w:val="1"/>
      <w:marLeft w:val="0"/>
      <w:marRight w:val="0"/>
      <w:marTop w:val="0"/>
      <w:marBottom w:val="0"/>
      <w:divBdr>
        <w:top w:val="none" w:sz="0" w:space="0" w:color="auto"/>
        <w:left w:val="none" w:sz="0" w:space="0" w:color="auto"/>
        <w:bottom w:val="none" w:sz="0" w:space="0" w:color="auto"/>
        <w:right w:val="none" w:sz="0" w:space="0" w:color="auto"/>
      </w:divBdr>
    </w:div>
    <w:div w:id="1577127390">
      <w:bodyDiv w:val="1"/>
      <w:marLeft w:val="0"/>
      <w:marRight w:val="0"/>
      <w:marTop w:val="0"/>
      <w:marBottom w:val="0"/>
      <w:divBdr>
        <w:top w:val="none" w:sz="0" w:space="0" w:color="auto"/>
        <w:left w:val="none" w:sz="0" w:space="0" w:color="auto"/>
        <w:bottom w:val="none" w:sz="0" w:space="0" w:color="auto"/>
        <w:right w:val="none" w:sz="0" w:space="0" w:color="auto"/>
      </w:divBdr>
    </w:div>
    <w:div w:id="1594589152">
      <w:bodyDiv w:val="1"/>
      <w:marLeft w:val="0"/>
      <w:marRight w:val="0"/>
      <w:marTop w:val="0"/>
      <w:marBottom w:val="0"/>
      <w:divBdr>
        <w:top w:val="none" w:sz="0" w:space="0" w:color="auto"/>
        <w:left w:val="none" w:sz="0" w:space="0" w:color="auto"/>
        <w:bottom w:val="none" w:sz="0" w:space="0" w:color="auto"/>
        <w:right w:val="none" w:sz="0" w:space="0" w:color="auto"/>
      </w:divBdr>
    </w:div>
    <w:div w:id="1595673254">
      <w:bodyDiv w:val="1"/>
      <w:marLeft w:val="0"/>
      <w:marRight w:val="0"/>
      <w:marTop w:val="0"/>
      <w:marBottom w:val="0"/>
      <w:divBdr>
        <w:top w:val="none" w:sz="0" w:space="0" w:color="auto"/>
        <w:left w:val="none" w:sz="0" w:space="0" w:color="auto"/>
        <w:bottom w:val="none" w:sz="0" w:space="0" w:color="auto"/>
        <w:right w:val="none" w:sz="0" w:space="0" w:color="auto"/>
      </w:divBdr>
    </w:div>
    <w:div w:id="1623801449">
      <w:bodyDiv w:val="1"/>
      <w:marLeft w:val="0"/>
      <w:marRight w:val="0"/>
      <w:marTop w:val="0"/>
      <w:marBottom w:val="0"/>
      <w:divBdr>
        <w:top w:val="none" w:sz="0" w:space="0" w:color="auto"/>
        <w:left w:val="none" w:sz="0" w:space="0" w:color="auto"/>
        <w:bottom w:val="none" w:sz="0" w:space="0" w:color="auto"/>
        <w:right w:val="none" w:sz="0" w:space="0" w:color="auto"/>
      </w:divBdr>
    </w:div>
    <w:div w:id="1627734239">
      <w:bodyDiv w:val="1"/>
      <w:marLeft w:val="0"/>
      <w:marRight w:val="0"/>
      <w:marTop w:val="0"/>
      <w:marBottom w:val="0"/>
      <w:divBdr>
        <w:top w:val="none" w:sz="0" w:space="0" w:color="auto"/>
        <w:left w:val="none" w:sz="0" w:space="0" w:color="auto"/>
        <w:bottom w:val="none" w:sz="0" w:space="0" w:color="auto"/>
        <w:right w:val="none" w:sz="0" w:space="0" w:color="auto"/>
      </w:divBdr>
    </w:div>
    <w:div w:id="1649629194">
      <w:bodyDiv w:val="1"/>
      <w:marLeft w:val="0"/>
      <w:marRight w:val="0"/>
      <w:marTop w:val="0"/>
      <w:marBottom w:val="0"/>
      <w:divBdr>
        <w:top w:val="none" w:sz="0" w:space="0" w:color="auto"/>
        <w:left w:val="none" w:sz="0" w:space="0" w:color="auto"/>
        <w:bottom w:val="none" w:sz="0" w:space="0" w:color="auto"/>
        <w:right w:val="none" w:sz="0" w:space="0" w:color="auto"/>
      </w:divBdr>
    </w:div>
    <w:div w:id="1657487548">
      <w:bodyDiv w:val="1"/>
      <w:marLeft w:val="0"/>
      <w:marRight w:val="0"/>
      <w:marTop w:val="0"/>
      <w:marBottom w:val="0"/>
      <w:divBdr>
        <w:top w:val="none" w:sz="0" w:space="0" w:color="auto"/>
        <w:left w:val="none" w:sz="0" w:space="0" w:color="auto"/>
        <w:bottom w:val="none" w:sz="0" w:space="0" w:color="auto"/>
        <w:right w:val="none" w:sz="0" w:space="0" w:color="auto"/>
      </w:divBdr>
    </w:div>
    <w:div w:id="1659652926">
      <w:bodyDiv w:val="1"/>
      <w:marLeft w:val="0"/>
      <w:marRight w:val="0"/>
      <w:marTop w:val="0"/>
      <w:marBottom w:val="0"/>
      <w:divBdr>
        <w:top w:val="none" w:sz="0" w:space="0" w:color="auto"/>
        <w:left w:val="none" w:sz="0" w:space="0" w:color="auto"/>
        <w:bottom w:val="none" w:sz="0" w:space="0" w:color="auto"/>
        <w:right w:val="none" w:sz="0" w:space="0" w:color="auto"/>
      </w:divBdr>
    </w:div>
    <w:div w:id="1667825857">
      <w:bodyDiv w:val="1"/>
      <w:marLeft w:val="0"/>
      <w:marRight w:val="0"/>
      <w:marTop w:val="0"/>
      <w:marBottom w:val="0"/>
      <w:divBdr>
        <w:top w:val="none" w:sz="0" w:space="0" w:color="auto"/>
        <w:left w:val="none" w:sz="0" w:space="0" w:color="auto"/>
        <w:bottom w:val="none" w:sz="0" w:space="0" w:color="auto"/>
        <w:right w:val="none" w:sz="0" w:space="0" w:color="auto"/>
      </w:divBdr>
    </w:div>
    <w:div w:id="1672561931">
      <w:bodyDiv w:val="1"/>
      <w:marLeft w:val="0"/>
      <w:marRight w:val="0"/>
      <w:marTop w:val="0"/>
      <w:marBottom w:val="0"/>
      <w:divBdr>
        <w:top w:val="none" w:sz="0" w:space="0" w:color="auto"/>
        <w:left w:val="none" w:sz="0" w:space="0" w:color="auto"/>
        <w:bottom w:val="none" w:sz="0" w:space="0" w:color="auto"/>
        <w:right w:val="none" w:sz="0" w:space="0" w:color="auto"/>
      </w:divBdr>
    </w:div>
    <w:div w:id="1673292166">
      <w:bodyDiv w:val="1"/>
      <w:marLeft w:val="0"/>
      <w:marRight w:val="0"/>
      <w:marTop w:val="0"/>
      <w:marBottom w:val="0"/>
      <w:divBdr>
        <w:top w:val="none" w:sz="0" w:space="0" w:color="auto"/>
        <w:left w:val="none" w:sz="0" w:space="0" w:color="auto"/>
        <w:bottom w:val="none" w:sz="0" w:space="0" w:color="auto"/>
        <w:right w:val="none" w:sz="0" w:space="0" w:color="auto"/>
      </w:divBdr>
    </w:div>
    <w:div w:id="1684824422">
      <w:bodyDiv w:val="1"/>
      <w:marLeft w:val="0"/>
      <w:marRight w:val="0"/>
      <w:marTop w:val="0"/>
      <w:marBottom w:val="0"/>
      <w:divBdr>
        <w:top w:val="none" w:sz="0" w:space="0" w:color="auto"/>
        <w:left w:val="none" w:sz="0" w:space="0" w:color="auto"/>
        <w:bottom w:val="none" w:sz="0" w:space="0" w:color="auto"/>
        <w:right w:val="none" w:sz="0" w:space="0" w:color="auto"/>
      </w:divBdr>
    </w:div>
    <w:div w:id="1691183303">
      <w:bodyDiv w:val="1"/>
      <w:marLeft w:val="0"/>
      <w:marRight w:val="0"/>
      <w:marTop w:val="0"/>
      <w:marBottom w:val="0"/>
      <w:divBdr>
        <w:top w:val="none" w:sz="0" w:space="0" w:color="auto"/>
        <w:left w:val="none" w:sz="0" w:space="0" w:color="auto"/>
        <w:bottom w:val="none" w:sz="0" w:space="0" w:color="auto"/>
        <w:right w:val="none" w:sz="0" w:space="0" w:color="auto"/>
      </w:divBdr>
    </w:div>
    <w:div w:id="1742369587">
      <w:bodyDiv w:val="1"/>
      <w:marLeft w:val="0"/>
      <w:marRight w:val="0"/>
      <w:marTop w:val="0"/>
      <w:marBottom w:val="0"/>
      <w:divBdr>
        <w:top w:val="none" w:sz="0" w:space="0" w:color="auto"/>
        <w:left w:val="none" w:sz="0" w:space="0" w:color="auto"/>
        <w:bottom w:val="none" w:sz="0" w:space="0" w:color="auto"/>
        <w:right w:val="none" w:sz="0" w:space="0" w:color="auto"/>
      </w:divBdr>
    </w:div>
    <w:div w:id="1750806997">
      <w:bodyDiv w:val="1"/>
      <w:marLeft w:val="0"/>
      <w:marRight w:val="0"/>
      <w:marTop w:val="0"/>
      <w:marBottom w:val="0"/>
      <w:divBdr>
        <w:top w:val="none" w:sz="0" w:space="0" w:color="auto"/>
        <w:left w:val="none" w:sz="0" w:space="0" w:color="auto"/>
        <w:bottom w:val="none" w:sz="0" w:space="0" w:color="auto"/>
        <w:right w:val="none" w:sz="0" w:space="0" w:color="auto"/>
      </w:divBdr>
    </w:div>
    <w:div w:id="1756635490">
      <w:bodyDiv w:val="1"/>
      <w:marLeft w:val="0"/>
      <w:marRight w:val="0"/>
      <w:marTop w:val="0"/>
      <w:marBottom w:val="0"/>
      <w:divBdr>
        <w:top w:val="none" w:sz="0" w:space="0" w:color="auto"/>
        <w:left w:val="none" w:sz="0" w:space="0" w:color="auto"/>
        <w:bottom w:val="none" w:sz="0" w:space="0" w:color="auto"/>
        <w:right w:val="none" w:sz="0" w:space="0" w:color="auto"/>
      </w:divBdr>
    </w:div>
    <w:div w:id="1758791501">
      <w:bodyDiv w:val="1"/>
      <w:marLeft w:val="0"/>
      <w:marRight w:val="0"/>
      <w:marTop w:val="0"/>
      <w:marBottom w:val="0"/>
      <w:divBdr>
        <w:top w:val="none" w:sz="0" w:space="0" w:color="auto"/>
        <w:left w:val="none" w:sz="0" w:space="0" w:color="auto"/>
        <w:bottom w:val="none" w:sz="0" w:space="0" w:color="auto"/>
        <w:right w:val="none" w:sz="0" w:space="0" w:color="auto"/>
      </w:divBdr>
    </w:div>
    <w:div w:id="1780564805">
      <w:bodyDiv w:val="1"/>
      <w:marLeft w:val="0"/>
      <w:marRight w:val="0"/>
      <w:marTop w:val="0"/>
      <w:marBottom w:val="0"/>
      <w:divBdr>
        <w:top w:val="none" w:sz="0" w:space="0" w:color="auto"/>
        <w:left w:val="none" w:sz="0" w:space="0" w:color="auto"/>
        <w:bottom w:val="none" w:sz="0" w:space="0" w:color="auto"/>
        <w:right w:val="none" w:sz="0" w:space="0" w:color="auto"/>
      </w:divBdr>
    </w:div>
    <w:div w:id="1781803159">
      <w:bodyDiv w:val="1"/>
      <w:marLeft w:val="0"/>
      <w:marRight w:val="0"/>
      <w:marTop w:val="0"/>
      <w:marBottom w:val="0"/>
      <w:divBdr>
        <w:top w:val="none" w:sz="0" w:space="0" w:color="auto"/>
        <w:left w:val="none" w:sz="0" w:space="0" w:color="auto"/>
        <w:bottom w:val="none" w:sz="0" w:space="0" w:color="auto"/>
        <w:right w:val="none" w:sz="0" w:space="0" w:color="auto"/>
      </w:divBdr>
    </w:div>
    <w:div w:id="1786849416">
      <w:bodyDiv w:val="1"/>
      <w:marLeft w:val="0"/>
      <w:marRight w:val="0"/>
      <w:marTop w:val="0"/>
      <w:marBottom w:val="0"/>
      <w:divBdr>
        <w:top w:val="none" w:sz="0" w:space="0" w:color="auto"/>
        <w:left w:val="none" w:sz="0" w:space="0" w:color="auto"/>
        <w:bottom w:val="none" w:sz="0" w:space="0" w:color="auto"/>
        <w:right w:val="none" w:sz="0" w:space="0" w:color="auto"/>
      </w:divBdr>
    </w:div>
    <w:div w:id="1792047013">
      <w:bodyDiv w:val="1"/>
      <w:marLeft w:val="0"/>
      <w:marRight w:val="0"/>
      <w:marTop w:val="0"/>
      <w:marBottom w:val="0"/>
      <w:divBdr>
        <w:top w:val="none" w:sz="0" w:space="0" w:color="auto"/>
        <w:left w:val="none" w:sz="0" w:space="0" w:color="auto"/>
        <w:bottom w:val="none" w:sz="0" w:space="0" w:color="auto"/>
        <w:right w:val="none" w:sz="0" w:space="0" w:color="auto"/>
      </w:divBdr>
    </w:div>
    <w:div w:id="1799445113">
      <w:bodyDiv w:val="1"/>
      <w:marLeft w:val="0"/>
      <w:marRight w:val="0"/>
      <w:marTop w:val="0"/>
      <w:marBottom w:val="0"/>
      <w:divBdr>
        <w:top w:val="none" w:sz="0" w:space="0" w:color="auto"/>
        <w:left w:val="none" w:sz="0" w:space="0" w:color="auto"/>
        <w:bottom w:val="none" w:sz="0" w:space="0" w:color="auto"/>
        <w:right w:val="none" w:sz="0" w:space="0" w:color="auto"/>
      </w:divBdr>
    </w:div>
    <w:div w:id="1801993707">
      <w:bodyDiv w:val="1"/>
      <w:marLeft w:val="0"/>
      <w:marRight w:val="0"/>
      <w:marTop w:val="0"/>
      <w:marBottom w:val="0"/>
      <w:divBdr>
        <w:top w:val="none" w:sz="0" w:space="0" w:color="auto"/>
        <w:left w:val="none" w:sz="0" w:space="0" w:color="auto"/>
        <w:bottom w:val="none" w:sz="0" w:space="0" w:color="auto"/>
        <w:right w:val="none" w:sz="0" w:space="0" w:color="auto"/>
      </w:divBdr>
    </w:div>
    <w:div w:id="1803841773">
      <w:bodyDiv w:val="1"/>
      <w:marLeft w:val="0"/>
      <w:marRight w:val="0"/>
      <w:marTop w:val="0"/>
      <w:marBottom w:val="0"/>
      <w:divBdr>
        <w:top w:val="none" w:sz="0" w:space="0" w:color="auto"/>
        <w:left w:val="none" w:sz="0" w:space="0" w:color="auto"/>
        <w:bottom w:val="none" w:sz="0" w:space="0" w:color="auto"/>
        <w:right w:val="none" w:sz="0" w:space="0" w:color="auto"/>
      </w:divBdr>
    </w:div>
    <w:div w:id="1847864095">
      <w:bodyDiv w:val="1"/>
      <w:marLeft w:val="0"/>
      <w:marRight w:val="0"/>
      <w:marTop w:val="0"/>
      <w:marBottom w:val="0"/>
      <w:divBdr>
        <w:top w:val="none" w:sz="0" w:space="0" w:color="auto"/>
        <w:left w:val="none" w:sz="0" w:space="0" w:color="auto"/>
        <w:bottom w:val="none" w:sz="0" w:space="0" w:color="auto"/>
        <w:right w:val="none" w:sz="0" w:space="0" w:color="auto"/>
      </w:divBdr>
      <w:divsChild>
        <w:div w:id="485904592">
          <w:marLeft w:val="0"/>
          <w:marRight w:val="0"/>
          <w:marTop w:val="0"/>
          <w:marBottom w:val="0"/>
          <w:divBdr>
            <w:top w:val="none" w:sz="0" w:space="0" w:color="auto"/>
            <w:left w:val="none" w:sz="0" w:space="0" w:color="auto"/>
            <w:bottom w:val="none" w:sz="0" w:space="0" w:color="auto"/>
            <w:right w:val="none" w:sz="0" w:space="0" w:color="auto"/>
          </w:divBdr>
        </w:div>
        <w:div w:id="1542671209">
          <w:marLeft w:val="0"/>
          <w:marRight w:val="0"/>
          <w:marTop w:val="0"/>
          <w:marBottom w:val="0"/>
          <w:divBdr>
            <w:top w:val="none" w:sz="0" w:space="0" w:color="auto"/>
            <w:left w:val="none" w:sz="0" w:space="0" w:color="auto"/>
            <w:bottom w:val="none" w:sz="0" w:space="0" w:color="auto"/>
            <w:right w:val="none" w:sz="0" w:space="0" w:color="auto"/>
          </w:divBdr>
        </w:div>
        <w:div w:id="404574869">
          <w:marLeft w:val="0"/>
          <w:marRight w:val="0"/>
          <w:marTop w:val="0"/>
          <w:marBottom w:val="0"/>
          <w:divBdr>
            <w:top w:val="none" w:sz="0" w:space="0" w:color="auto"/>
            <w:left w:val="none" w:sz="0" w:space="0" w:color="auto"/>
            <w:bottom w:val="none" w:sz="0" w:space="0" w:color="auto"/>
            <w:right w:val="none" w:sz="0" w:space="0" w:color="auto"/>
          </w:divBdr>
        </w:div>
        <w:div w:id="811097474">
          <w:marLeft w:val="0"/>
          <w:marRight w:val="0"/>
          <w:marTop w:val="0"/>
          <w:marBottom w:val="0"/>
          <w:divBdr>
            <w:top w:val="none" w:sz="0" w:space="0" w:color="auto"/>
            <w:left w:val="none" w:sz="0" w:space="0" w:color="auto"/>
            <w:bottom w:val="none" w:sz="0" w:space="0" w:color="auto"/>
            <w:right w:val="none" w:sz="0" w:space="0" w:color="auto"/>
          </w:divBdr>
        </w:div>
      </w:divsChild>
    </w:div>
    <w:div w:id="1854025161">
      <w:bodyDiv w:val="1"/>
      <w:marLeft w:val="0"/>
      <w:marRight w:val="0"/>
      <w:marTop w:val="0"/>
      <w:marBottom w:val="0"/>
      <w:divBdr>
        <w:top w:val="none" w:sz="0" w:space="0" w:color="auto"/>
        <w:left w:val="none" w:sz="0" w:space="0" w:color="auto"/>
        <w:bottom w:val="none" w:sz="0" w:space="0" w:color="auto"/>
        <w:right w:val="none" w:sz="0" w:space="0" w:color="auto"/>
      </w:divBdr>
    </w:div>
    <w:div w:id="1861313200">
      <w:bodyDiv w:val="1"/>
      <w:marLeft w:val="0"/>
      <w:marRight w:val="0"/>
      <w:marTop w:val="0"/>
      <w:marBottom w:val="0"/>
      <w:divBdr>
        <w:top w:val="none" w:sz="0" w:space="0" w:color="auto"/>
        <w:left w:val="none" w:sz="0" w:space="0" w:color="auto"/>
        <w:bottom w:val="none" w:sz="0" w:space="0" w:color="auto"/>
        <w:right w:val="none" w:sz="0" w:space="0" w:color="auto"/>
      </w:divBdr>
    </w:div>
    <w:div w:id="1875851646">
      <w:bodyDiv w:val="1"/>
      <w:marLeft w:val="0"/>
      <w:marRight w:val="0"/>
      <w:marTop w:val="0"/>
      <w:marBottom w:val="0"/>
      <w:divBdr>
        <w:top w:val="none" w:sz="0" w:space="0" w:color="auto"/>
        <w:left w:val="none" w:sz="0" w:space="0" w:color="auto"/>
        <w:bottom w:val="none" w:sz="0" w:space="0" w:color="auto"/>
        <w:right w:val="none" w:sz="0" w:space="0" w:color="auto"/>
      </w:divBdr>
    </w:div>
    <w:div w:id="1885166957">
      <w:bodyDiv w:val="1"/>
      <w:marLeft w:val="0"/>
      <w:marRight w:val="0"/>
      <w:marTop w:val="0"/>
      <w:marBottom w:val="0"/>
      <w:divBdr>
        <w:top w:val="none" w:sz="0" w:space="0" w:color="auto"/>
        <w:left w:val="none" w:sz="0" w:space="0" w:color="auto"/>
        <w:bottom w:val="none" w:sz="0" w:space="0" w:color="auto"/>
        <w:right w:val="none" w:sz="0" w:space="0" w:color="auto"/>
      </w:divBdr>
    </w:div>
    <w:div w:id="1896770701">
      <w:bodyDiv w:val="1"/>
      <w:marLeft w:val="0"/>
      <w:marRight w:val="0"/>
      <w:marTop w:val="0"/>
      <w:marBottom w:val="0"/>
      <w:divBdr>
        <w:top w:val="none" w:sz="0" w:space="0" w:color="auto"/>
        <w:left w:val="none" w:sz="0" w:space="0" w:color="auto"/>
        <w:bottom w:val="none" w:sz="0" w:space="0" w:color="auto"/>
        <w:right w:val="none" w:sz="0" w:space="0" w:color="auto"/>
      </w:divBdr>
    </w:div>
    <w:div w:id="1908608113">
      <w:bodyDiv w:val="1"/>
      <w:marLeft w:val="0"/>
      <w:marRight w:val="0"/>
      <w:marTop w:val="0"/>
      <w:marBottom w:val="0"/>
      <w:divBdr>
        <w:top w:val="none" w:sz="0" w:space="0" w:color="auto"/>
        <w:left w:val="none" w:sz="0" w:space="0" w:color="auto"/>
        <w:bottom w:val="none" w:sz="0" w:space="0" w:color="auto"/>
        <w:right w:val="none" w:sz="0" w:space="0" w:color="auto"/>
      </w:divBdr>
    </w:div>
    <w:div w:id="1928267885">
      <w:bodyDiv w:val="1"/>
      <w:marLeft w:val="0"/>
      <w:marRight w:val="0"/>
      <w:marTop w:val="0"/>
      <w:marBottom w:val="0"/>
      <w:divBdr>
        <w:top w:val="none" w:sz="0" w:space="0" w:color="auto"/>
        <w:left w:val="none" w:sz="0" w:space="0" w:color="auto"/>
        <w:bottom w:val="none" w:sz="0" w:space="0" w:color="auto"/>
        <w:right w:val="none" w:sz="0" w:space="0" w:color="auto"/>
      </w:divBdr>
    </w:div>
    <w:div w:id="1928953238">
      <w:bodyDiv w:val="1"/>
      <w:marLeft w:val="0"/>
      <w:marRight w:val="0"/>
      <w:marTop w:val="0"/>
      <w:marBottom w:val="0"/>
      <w:divBdr>
        <w:top w:val="none" w:sz="0" w:space="0" w:color="auto"/>
        <w:left w:val="none" w:sz="0" w:space="0" w:color="auto"/>
        <w:bottom w:val="none" w:sz="0" w:space="0" w:color="auto"/>
        <w:right w:val="none" w:sz="0" w:space="0" w:color="auto"/>
      </w:divBdr>
    </w:div>
    <w:div w:id="1965965363">
      <w:bodyDiv w:val="1"/>
      <w:marLeft w:val="0"/>
      <w:marRight w:val="0"/>
      <w:marTop w:val="0"/>
      <w:marBottom w:val="0"/>
      <w:divBdr>
        <w:top w:val="none" w:sz="0" w:space="0" w:color="auto"/>
        <w:left w:val="none" w:sz="0" w:space="0" w:color="auto"/>
        <w:bottom w:val="none" w:sz="0" w:space="0" w:color="auto"/>
        <w:right w:val="none" w:sz="0" w:space="0" w:color="auto"/>
      </w:divBdr>
    </w:div>
    <w:div w:id="1981878524">
      <w:bodyDiv w:val="1"/>
      <w:marLeft w:val="0"/>
      <w:marRight w:val="0"/>
      <w:marTop w:val="0"/>
      <w:marBottom w:val="0"/>
      <w:divBdr>
        <w:top w:val="none" w:sz="0" w:space="0" w:color="auto"/>
        <w:left w:val="none" w:sz="0" w:space="0" w:color="auto"/>
        <w:bottom w:val="none" w:sz="0" w:space="0" w:color="auto"/>
        <w:right w:val="none" w:sz="0" w:space="0" w:color="auto"/>
      </w:divBdr>
    </w:div>
    <w:div w:id="1999336096">
      <w:bodyDiv w:val="1"/>
      <w:marLeft w:val="0"/>
      <w:marRight w:val="0"/>
      <w:marTop w:val="0"/>
      <w:marBottom w:val="0"/>
      <w:divBdr>
        <w:top w:val="none" w:sz="0" w:space="0" w:color="auto"/>
        <w:left w:val="none" w:sz="0" w:space="0" w:color="auto"/>
        <w:bottom w:val="none" w:sz="0" w:space="0" w:color="auto"/>
        <w:right w:val="none" w:sz="0" w:space="0" w:color="auto"/>
      </w:divBdr>
    </w:div>
    <w:div w:id="2002074566">
      <w:bodyDiv w:val="1"/>
      <w:marLeft w:val="0"/>
      <w:marRight w:val="0"/>
      <w:marTop w:val="0"/>
      <w:marBottom w:val="0"/>
      <w:divBdr>
        <w:top w:val="none" w:sz="0" w:space="0" w:color="auto"/>
        <w:left w:val="none" w:sz="0" w:space="0" w:color="auto"/>
        <w:bottom w:val="none" w:sz="0" w:space="0" w:color="auto"/>
        <w:right w:val="none" w:sz="0" w:space="0" w:color="auto"/>
      </w:divBdr>
    </w:div>
    <w:div w:id="2014918603">
      <w:bodyDiv w:val="1"/>
      <w:marLeft w:val="0"/>
      <w:marRight w:val="0"/>
      <w:marTop w:val="0"/>
      <w:marBottom w:val="0"/>
      <w:divBdr>
        <w:top w:val="none" w:sz="0" w:space="0" w:color="auto"/>
        <w:left w:val="none" w:sz="0" w:space="0" w:color="auto"/>
        <w:bottom w:val="none" w:sz="0" w:space="0" w:color="auto"/>
        <w:right w:val="none" w:sz="0" w:space="0" w:color="auto"/>
      </w:divBdr>
    </w:div>
    <w:div w:id="2024504287">
      <w:bodyDiv w:val="1"/>
      <w:marLeft w:val="0"/>
      <w:marRight w:val="0"/>
      <w:marTop w:val="0"/>
      <w:marBottom w:val="0"/>
      <w:divBdr>
        <w:top w:val="none" w:sz="0" w:space="0" w:color="auto"/>
        <w:left w:val="none" w:sz="0" w:space="0" w:color="auto"/>
        <w:bottom w:val="none" w:sz="0" w:space="0" w:color="auto"/>
        <w:right w:val="none" w:sz="0" w:space="0" w:color="auto"/>
      </w:divBdr>
    </w:div>
    <w:div w:id="2039038513">
      <w:bodyDiv w:val="1"/>
      <w:marLeft w:val="0"/>
      <w:marRight w:val="0"/>
      <w:marTop w:val="0"/>
      <w:marBottom w:val="0"/>
      <w:divBdr>
        <w:top w:val="none" w:sz="0" w:space="0" w:color="auto"/>
        <w:left w:val="none" w:sz="0" w:space="0" w:color="auto"/>
        <w:bottom w:val="none" w:sz="0" w:space="0" w:color="auto"/>
        <w:right w:val="none" w:sz="0" w:space="0" w:color="auto"/>
      </w:divBdr>
    </w:div>
    <w:div w:id="2064517694">
      <w:bodyDiv w:val="1"/>
      <w:marLeft w:val="0"/>
      <w:marRight w:val="0"/>
      <w:marTop w:val="0"/>
      <w:marBottom w:val="0"/>
      <w:divBdr>
        <w:top w:val="none" w:sz="0" w:space="0" w:color="auto"/>
        <w:left w:val="none" w:sz="0" w:space="0" w:color="auto"/>
        <w:bottom w:val="none" w:sz="0" w:space="0" w:color="auto"/>
        <w:right w:val="none" w:sz="0" w:space="0" w:color="auto"/>
      </w:divBdr>
    </w:div>
    <w:div w:id="2077312996">
      <w:bodyDiv w:val="1"/>
      <w:marLeft w:val="0"/>
      <w:marRight w:val="0"/>
      <w:marTop w:val="0"/>
      <w:marBottom w:val="0"/>
      <w:divBdr>
        <w:top w:val="none" w:sz="0" w:space="0" w:color="auto"/>
        <w:left w:val="none" w:sz="0" w:space="0" w:color="auto"/>
        <w:bottom w:val="none" w:sz="0" w:space="0" w:color="auto"/>
        <w:right w:val="none" w:sz="0" w:space="0" w:color="auto"/>
      </w:divBdr>
    </w:div>
    <w:div w:id="2084641607">
      <w:bodyDiv w:val="1"/>
      <w:marLeft w:val="0"/>
      <w:marRight w:val="0"/>
      <w:marTop w:val="0"/>
      <w:marBottom w:val="0"/>
      <w:divBdr>
        <w:top w:val="none" w:sz="0" w:space="0" w:color="auto"/>
        <w:left w:val="none" w:sz="0" w:space="0" w:color="auto"/>
        <w:bottom w:val="none" w:sz="0" w:space="0" w:color="auto"/>
        <w:right w:val="none" w:sz="0" w:space="0" w:color="auto"/>
      </w:divBdr>
    </w:div>
    <w:div w:id="2085447559">
      <w:bodyDiv w:val="1"/>
      <w:marLeft w:val="0"/>
      <w:marRight w:val="0"/>
      <w:marTop w:val="0"/>
      <w:marBottom w:val="0"/>
      <w:divBdr>
        <w:top w:val="none" w:sz="0" w:space="0" w:color="auto"/>
        <w:left w:val="none" w:sz="0" w:space="0" w:color="auto"/>
        <w:bottom w:val="none" w:sz="0" w:space="0" w:color="auto"/>
        <w:right w:val="none" w:sz="0" w:space="0" w:color="auto"/>
      </w:divBdr>
    </w:div>
    <w:div w:id="2089644906">
      <w:bodyDiv w:val="1"/>
      <w:marLeft w:val="0"/>
      <w:marRight w:val="0"/>
      <w:marTop w:val="0"/>
      <w:marBottom w:val="0"/>
      <w:divBdr>
        <w:top w:val="none" w:sz="0" w:space="0" w:color="auto"/>
        <w:left w:val="none" w:sz="0" w:space="0" w:color="auto"/>
        <w:bottom w:val="none" w:sz="0" w:space="0" w:color="auto"/>
        <w:right w:val="none" w:sz="0" w:space="0" w:color="auto"/>
      </w:divBdr>
    </w:div>
    <w:div w:id="2089879659">
      <w:bodyDiv w:val="1"/>
      <w:marLeft w:val="0"/>
      <w:marRight w:val="0"/>
      <w:marTop w:val="0"/>
      <w:marBottom w:val="0"/>
      <w:divBdr>
        <w:top w:val="none" w:sz="0" w:space="0" w:color="auto"/>
        <w:left w:val="none" w:sz="0" w:space="0" w:color="auto"/>
        <w:bottom w:val="none" w:sz="0" w:space="0" w:color="auto"/>
        <w:right w:val="none" w:sz="0" w:space="0" w:color="auto"/>
      </w:divBdr>
    </w:div>
    <w:div w:id="2140105586">
      <w:bodyDiv w:val="1"/>
      <w:marLeft w:val="0"/>
      <w:marRight w:val="0"/>
      <w:marTop w:val="0"/>
      <w:marBottom w:val="0"/>
      <w:divBdr>
        <w:top w:val="none" w:sz="0" w:space="0" w:color="auto"/>
        <w:left w:val="none" w:sz="0" w:space="0" w:color="auto"/>
        <w:bottom w:val="none" w:sz="0" w:space="0" w:color="auto"/>
        <w:right w:val="none" w:sz="0" w:space="0" w:color="auto"/>
      </w:divBdr>
    </w:div>
    <w:div w:id="214146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etworks.nhs.uk/nhs-networks/health-investment-network/news/2012-13-programme-budgeting-data-is-now-available" TargetMode="External"/><Relationship Id="rId18" Type="http://schemas.openxmlformats.org/officeDocument/2006/relationships/hyperlink" Target="http://webarchive.nationalarchives.gov.uk/+/www.dh.gov.uk/en/Managingyourorganisation/Financeandplanning/Allocations/DH_091850" TargetMode="External"/><Relationship Id="rId26" Type="http://schemas.openxmlformats.org/officeDocument/2006/relationships/hyperlink" Target="https://doi.org/10.1016/j.jval.2019.04.1926" TargetMode="External"/><Relationship Id="rId21" Type="http://schemas.openxmlformats.org/officeDocument/2006/relationships/hyperlink" Target="https://www.networks.nhs.uk/nhs-networks/health-investment-network/news/2012-13-programme-budgeting-data-is-now-available" TargetMode="External"/><Relationship Id="rId34" Type="http://schemas.openxmlformats.org/officeDocument/2006/relationships/hyperlink" Target="https://onlinelibrary.wiley.com/doi/abs/10.1002/hec.3085" TargetMode="External"/><Relationship Id="rId7" Type="http://schemas.openxmlformats.org/officeDocument/2006/relationships/endnotes" Target="endnotes.xml"/><Relationship Id="rId12" Type="http://schemas.openxmlformats.org/officeDocument/2006/relationships/hyperlink" Target="mailto:sdm1@york.ac.uk" TargetMode="External"/><Relationship Id="rId17" Type="http://schemas.openxmlformats.org/officeDocument/2006/relationships/hyperlink" Target="mailto:clinical.indicators@nhs.net" TargetMode="External"/><Relationship Id="rId25" Type="http://schemas.openxmlformats.org/officeDocument/2006/relationships/hyperlink" Target="https://doi.org/10.1007/s10198-019-01039-0" TargetMode="External"/><Relationship Id="rId33" Type="http://schemas.openxmlformats.org/officeDocument/2006/relationships/hyperlink" Target="https://doi.org/10.1016/j.jval.2016.02.020" TargetMode="External"/><Relationship Id="rId2" Type="http://schemas.openxmlformats.org/officeDocument/2006/relationships/numbering" Target="numbering.xml"/><Relationship Id="rId16" Type="http://schemas.openxmlformats.org/officeDocument/2006/relationships/hyperlink" Target="https://digital.nhs.uk/data-and-information/publications/statistical/compendium-mortality/current/years-of-life-lost" TargetMode="External"/><Relationship Id="rId20" Type="http://schemas.openxmlformats.org/officeDocument/2006/relationships/hyperlink" Target="https://www.gov.uk/government/statistics/english-indices-of-deprivation-2010" TargetMode="External"/><Relationship Id="rId29" Type="http://schemas.openxmlformats.org/officeDocument/2006/relationships/hyperlink" Target="https://www.who.int/bulletin/volumes/86/11/07-04952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ancesco.longo@york.ac.uk" TargetMode="External"/><Relationship Id="rId24" Type="http://schemas.openxmlformats.org/officeDocument/2006/relationships/hyperlink" Target="https://onlinelibrary.wiley.com/doi/abs/10.1002/hec.3633" TargetMode="External"/><Relationship Id="rId32" Type="http://schemas.openxmlformats.org/officeDocument/2006/relationships/hyperlink" Target="https://kar.kent.ac.uk/46138/1/sources-of-information.pd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omisweb.co.uk/home/census2001.asp" TargetMode="External"/><Relationship Id="rId23" Type="http://schemas.openxmlformats.org/officeDocument/2006/relationships/hyperlink" Target="https://doi.org/10.1002/hec.3831" TargetMode="External"/><Relationship Id="rId28" Type="http://schemas.openxmlformats.org/officeDocument/2006/relationships/hyperlink" Target="https://www.jstor.org/stable/25062211" TargetMode="External"/><Relationship Id="rId36" Type="http://schemas.openxmlformats.org/officeDocument/2006/relationships/fontTable" Target="fontTable.xml"/><Relationship Id="rId10" Type="http://schemas.openxmlformats.org/officeDocument/2006/relationships/hyperlink" Target="mailto:karl.claxton@york.ac.uk" TargetMode="External"/><Relationship Id="rId19" Type="http://schemas.openxmlformats.org/officeDocument/2006/relationships/hyperlink" Target="https://www.gov.uk/government/publications/exposition-book-2011-2012" TargetMode="External"/><Relationship Id="rId31" Type="http://schemas.openxmlformats.org/officeDocument/2006/relationships/hyperlink" Target="https://doi.org/10.1177%2F0272989X20916450" TargetMode="External"/><Relationship Id="rId4" Type="http://schemas.openxmlformats.org/officeDocument/2006/relationships/settings" Target="settings.xml"/><Relationship Id="rId9" Type="http://schemas.openxmlformats.org/officeDocument/2006/relationships/hyperlink" Target="mailto:james.lomas@york.ac.uk" TargetMode="External"/><Relationship Id="rId14" Type="http://schemas.openxmlformats.org/officeDocument/2006/relationships/hyperlink" Target="https://www.ons.gov.uk/peoplepopulationandcommunity/populationandmigration/populationestimates/datasets/2011censuskeystatisticsforlocalauthoritiesinenglandandwales" TargetMode="External"/><Relationship Id="rId22" Type="http://schemas.openxmlformats.org/officeDocument/2006/relationships/hyperlink" Target="https://digital.nhs.uk/data-and-information/publications/statistical/compendium-mortality/current/years-of-life-lost" TargetMode="External"/><Relationship Id="rId27" Type="http://schemas.openxmlformats.org/officeDocument/2006/relationships/hyperlink" Target="https://onlinelibrary.wiley.com/doi/abs/10.1002/hec.3650" TargetMode="External"/><Relationship Id="rId30" Type="http://schemas.openxmlformats.org/officeDocument/2006/relationships/hyperlink" Target="http://ideas.repec.org/c/boc/bocode/s425401.html" TargetMode="External"/><Relationship Id="rId35" Type="http://schemas.openxmlformats.org/officeDocument/2006/relationships/hyperlink" Target="https://onlinelibrary.wiley.com/doi/abs/10.1002/hec.3130" TargetMode="External"/><Relationship Id="rId8" Type="http://schemas.openxmlformats.org/officeDocument/2006/relationships/hyperlink" Target="mailto:sdm1@york.ac.uk"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E15F5-51AE-4A1A-B742-275254707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10657</Words>
  <Characters>60748</Characters>
  <Application>Microsoft Office Word</Application>
  <DocSecurity>0</DocSecurity>
  <Lines>506</Lines>
  <Paragraphs>142</Paragraphs>
  <ScaleCrop>false</ScaleCrop>
  <LinksUpToDate>false</LinksUpToDate>
  <CharactersWithSpaces>71263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2021-05-20T17:49:00Z</dcterms:created>
  <dcterms:modified xsi:type="dcterms:W3CDTF">2021-05-20T17:49:00Z</dcterms:modified>
</cp:coreProperties>
</file>