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2BCBA" w14:textId="1228537F" w:rsidR="00E04BB5" w:rsidRPr="002B1625" w:rsidRDefault="00E04BB5" w:rsidP="00E04BB5">
      <w:pPr>
        <w:spacing w:line="240" w:lineRule="auto"/>
        <w:contextualSpacing/>
        <w:jc w:val="center"/>
        <w:rPr>
          <w:rFonts w:cs="Arial"/>
          <w:b/>
          <w:sz w:val="30"/>
          <w:szCs w:val="30"/>
          <w:lang w:val="en-GB"/>
        </w:rPr>
      </w:pPr>
      <w:r w:rsidRPr="002B1625">
        <w:rPr>
          <w:rFonts w:cs="Arial"/>
          <w:b/>
          <w:sz w:val="30"/>
          <w:szCs w:val="30"/>
          <w:lang w:val="en-GB"/>
        </w:rPr>
        <w:t>A Place for Everything and Everything in its Place:</w:t>
      </w:r>
    </w:p>
    <w:p w14:paraId="75DF263A" w14:textId="7ABEE1FF" w:rsidR="00E04BB5" w:rsidRPr="002B1625" w:rsidRDefault="00E04BB5" w:rsidP="00E04BB5">
      <w:pPr>
        <w:tabs>
          <w:tab w:val="center" w:pos="4819"/>
          <w:tab w:val="left" w:pos="7613"/>
        </w:tabs>
        <w:spacing w:line="240" w:lineRule="auto"/>
        <w:contextualSpacing/>
        <w:rPr>
          <w:rFonts w:cs="Arial"/>
          <w:b/>
          <w:sz w:val="30"/>
          <w:szCs w:val="30"/>
          <w:lang w:val="en-GB"/>
        </w:rPr>
      </w:pPr>
      <w:r w:rsidRPr="002B1625">
        <w:rPr>
          <w:rFonts w:cs="Arial"/>
          <w:b/>
          <w:sz w:val="30"/>
          <w:szCs w:val="30"/>
          <w:lang w:val="en-GB"/>
        </w:rPr>
        <w:tab/>
        <w:t>New York’s Role in the Art Market</w:t>
      </w:r>
      <w:r w:rsidRPr="002B1625">
        <w:rPr>
          <w:rStyle w:val="Rimandonotaapidipagina"/>
          <w:rFonts w:cs="Arial"/>
          <w:b/>
          <w:sz w:val="30"/>
          <w:szCs w:val="30"/>
          <w:lang w:val="en-GB"/>
        </w:rPr>
        <w:footnoteReference w:customMarkFollows="1" w:id="1"/>
        <w:t>§</w:t>
      </w:r>
    </w:p>
    <w:p w14:paraId="0CCA6640" w14:textId="77777777" w:rsidR="00E04BB5" w:rsidRPr="002B1625" w:rsidRDefault="00E04BB5" w:rsidP="00E04BB5">
      <w:pPr>
        <w:tabs>
          <w:tab w:val="center" w:pos="4819"/>
          <w:tab w:val="left" w:pos="7613"/>
        </w:tabs>
        <w:spacing w:line="240" w:lineRule="auto"/>
        <w:contextualSpacing/>
        <w:rPr>
          <w:rFonts w:cs="Arial"/>
          <w:b/>
          <w:sz w:val="30"/>
          <w:szCs w:val="30"/>
          <w:lang w:val="en-GB"/>
        </w:rPr>
      </w:pPr>
    </w:p>
    <w:p w14:paraId="4BC15D5F" w14:textId="77777777" w:rsidR="00E04BB5" w:rsidRPr="009E4633" w:rsidRDefault="00E04BB5" w:rsidP="00E04BB5">
      <w:pPr>
        <w:spacing w:line="240" w:lineRule="auto"/>
        <w:contextualSpacing/>
        <w:jc w:val="center"/>
        <w:rPr>
          <w:rFonts w:cs="Arial"/>
          <w:sz w:val="24"/>
          <w:szCs w:val="24"/>
          <w:lang w:val="en-GB"/>
        </w:rPr>
      </w:pPr>
      <w:r w:rsidRPr="009E4633">
        <w:rPr>
          <w:rFonts w:cs="Arial"/>
          <w:sz w:val="24"/>
          <w:szCs w:val="24"/>
          <w:lang w:val="en-GB"/>
        </w:rPr>
        <w:t>Andrew M. Jones</w:t>
      </w:r>
      <w:r w:rsidRPr="009E4633">
        <w:rPr>
          <w:rStyle w:val="Rimandonotaapidipagina"/>
          <w:rFonts w:cs="Arial"/>
          <w:sz w:val="24"/>
          <w:szCs w:val="24"/>
          <w:lang w:val="en-GB"/>
        </w:rPr>
        <w:footnoteReference w:customMarkFollows="1" w:id="2"/>
        <w:t>+</w:t>
      </w:r>
      <w:r w:rsidRPr="009E4633">
        <w:rPr>
          <w:rFonts w:cs="Arial"/>
          <w:sz w:val="24"/>
          <w:szCs w:val="24"/>
          <w:lang w:val="en-GB"/>
        </w:rPr>
        <w:t xml:space="preserve">, </w:t>
      </w:r>
      <w:proofErr w:type="spellStart"/>
      <w:r w:rsidRPr="009E4633">
        <w:rPr>
          <w:rFonts w:cs="Arial"/>
          <w:sz w:val="24"/>
          <w:szCs w:val="24"/>
          <w:lang w:val="en-GB"/>
        </w:rPr>
        <w:t>Marilena</w:t>
      </w:r>
      <w:proofErr w:type="spellEnd"/>
      <w:r w:rsidRPr="009E4633">
        <w:rPr>
          <w:rFonts w:cs="Arial"/>
          <w:sz w:val="24"/>
          <w:szCs w:val="24"/>
          <w:lang w:val="en-GB"/>
        </w:rPr>
        <w:t xml:space="preserve"> </w:t>
      </w:r>
      <w:proofErr w:type="spellStart"/>
      <w:r w:rsidRPr="009E4633">
        <w:rPr>
          <w:rFonts w:cs="Arial"/>
          <w:sz w:val="24"/>
          <w:szCs w:val="24"/>
          <w:lang w:val="en-GB"/>
        </w:rPr>
        <w:t>Vecco</w:t>
      </w:r>
      <w:proofErr w:type="spellEnd"/>
      <w:r w:rsidRPr="002B1625">
        <w:rPr>
          <w:rStyle w:val="Rimandonotaapidipagina"/>
          <w:rFonts w:cs="Arial"/>
          <w:sz w:val="24"/>
          <w:szCs w:val="24"/>
          <w:lang w:val="en-GB"/>
        </w:rPr>
        <w:footnoteReference w:id="3"/>
      </w:r>
      <w:r w:rsidRPr="009E4633">
        <w:rPr>
          <w:rFonts w:cs="Arial"/>
          <w:sz w:val="24"/>
          <w:szCs w:val="24"/>
          <w:lang w:val="en-GB"/>
        </w:rPr>
        <w:t xml:space="preserve"> and Roberto </w:t>
      </w:r>
      <w:proofErr w:type="spellStart"/>
      <w:r w:rsidRPr="009E4633">
        <w:rPr>
          <w:rFonts w:cs="Arial"/>
          <w:sz w:val="24"/>
          <w:szCs w:val="24"/>
          <w:lang w:val="en-GB"/>
        </w:rPr>
        <w:t>Zanola</w:t>
      </w:r>
      <w:proofErr w:type="spellEnd"/>
      <w:r w:rsidRPr="009E4633">
        <w:rPr>
          <w:rStyle w:val="Rimandonotaapidipagina"/>
          <w:rFonts w:cs="Arial"/>
          <w:sz w:val="24"/>
          <w:szCs w:val="24"/>
          <w:lang w:val="en-GB"/>
        </w:rPr>
        <w:footnoteReference w:customMarkFollows="1" w:id="4"/>
        <w:t>°</w:t>
      </w:r>
    </w:p>
    <w:p w14:paraId="5427E139" w14:textId="77777777" w:rsidR="00E04BB5" w:rsidRPr="009E4633" w:rsidRDefault="00E04BB5" w:rsidP="00E04BB5">
      <w:pPr>
        <w:spacing w:line="240" w:lineRule="auto"/>
        <w:contextualSpacing/>
        <w:jc w:val="center"/>
        <w:rPr>
          <w:rFonts w:cs="Arial"/>
          <w:sz w:val="24"/>
          <w:szCs w:val="24"/>
          <w:lang w:val="en-GB"/>
        </w:rPr>
      </w:pPr>
    </w:p>
    <w:p w14:paraId="18F82E23" w14:textId="77777777" w:rsidR="00E04BB5" w:rsidRPr="009E4633" w:rsidRDefault="00E04BB5" w:rsidP="00E04BB5">
      <w:pPr>
        <w:spacing w:line="240" w:lineRule="auto"/>
        <w:contextualSpacing/>
        <w:jc w:val="center"/>
        <w:rPr>
          <w:rFonts w:cs="Arial"/>
          <w:sz w:val="24"/>
          <w:szCs w:val="24"/>
          <w:lang w:val="en-GB"/>
        </w:rPr>
      </w:pPr>
    </w:p>
    <w:p w14:paraId="040EB3CF" w14:textId="77777777" w:rsidR="00E04BB5" w:rsidRPr="009E4633" w:rsidRDefault="00E04BB5" w:rsidP="00E04BB5">
      <w:pPr>
        <w:spacing w:line="240" w:lineRule="auto"/>
        <w:contextualSpacing/>
        <w:jc w:val="center"/>
        <w:rPr>
          <w:rFonts w:cs="Arial"/>
          <w:sz w:val="24"/>
          <w:szCs w:val="24"/>
          <w:lang w:val="en-GB"/>
        </w:rPr>
      </w:pPr>
    </w:p>
    <w:p w14:paraId="4314BD6D" w14:textId="77777777" w:rsidR="00E04BB5" w:rsidRPr="009E4633" w:rsidRDefault="00E04BB5" w:rsidP="00E04BB5">
      <w:pPr>
        <w:spacing w:line="240" w:lineRule="auto"/>
        <w:contextualSpacing/>
        <w:jc w:val="center"/>
        <w:rPr>
          <w:rFonts w:cs="Arial"/>
          <w:sz w:val="24"/>
          <w:szCs w:val="24"/>
          <w:lang w:val="en-GB"/>
        </w:rPr>
      </w:pPr>
    </w:p>
    <w:p w14:paraId="0DB3E567" w14:textId="77777777" w:rsidR="00E04BB5" w:rsidRPr="009E4633" w:rsidRDefault="00E04BB5" w:rsidP="00E04BB5">
      <w:pPr>
        <w:spacing w:line="240" w:lineRule="auto"/>
        <w:contextualSpacing/>
        <w:jc w:val="center"/>
        <w:rPr>
          <w:rFonts w:cs="Arial"/>
          <w:sz w:val="24"/>
          <w:szCs w:val="24"/>
          <w:lang w:val="en-GB"/>
        </w:rPr>
      </w:pPr>
    </w:p>
    <w:p w14:paraId="49745BFC" w14:textId="77777777" w:rsidR="00E04BB5" w:rsidRPr="009E4633" w:rsidRDefault="00E04BB5" w:rsidP="00E04BB5">
      <w:pPr>
        <w:spacing w:line="240" w:lineRule="auto"/>
        <w:contextualSpacing/>
        <w:jc w:val="center"/>
        <w:rPr>
          <w:rFonts w:cs="Arial"/>
          <w:sz w:val="24"/>
          <w:szCs w:val="24"/>
          <w:lang w:val="en-GB"/>
        </w:rPr>
      </w:pPr>
    </w:p>
    <w:p w14:paraId="0FF9BBE6" w14:textId="77777777" w:rsidR="00E04BB5" w:rsidRPr="009E4633" w:rsidRDefault="00E04BB5" w:rsidP="00E04BB5">
      <w:pPr>
        <w:spacing w:line="240" w:lineRule="auto"/>
        <w:contextualSpacing/>
        <w:jc w:val="center"/>
        <w:rPr>
          <w:rFonts w:cs="Arial"/>
          <w:sz w:val="24"/>
          <w:szCs w:val="24"/>
          <w:lang w:val="en-GB"/>
        </w:rPr>
      </w:pPr>
    </w:p>
    <w:p w14:paraId="7AAA28DD" w14:textId="77777777" w:rsidR="00E04BB5" w:rsidRPr="009E4633" w:rsidRDefault="00E04BB5" w:rsidP="00E04BB5">
      <w:pPr>
        <w:spacing w:line="240" w:lineRule="auto"/>
        <w:contextualSpacing/>
        <w:rPr>
          <w:rFonts w:cs="Arial"/>
          <w:sz w:val="24"/>
          <w:szCs w:val="24"/>
          <w:lang w:val="en-GB"/>
        </w:rPr>
      </w:pPr>
    </w:p>
    <w:p w14:paraId="6CEE9CF8" w14:textId="28A2DF85" w:rsidR="00E04BB5" w:rsidRPr="002B1625" w:rsidRDefault="00E04BB5" w:rsidP="00E04BB5">
      <w:pPr>
        <w:spacing w:line="240" w:lineRule="auto"/>
        <w:contextualSpacing/>
        <w:jc w:val="center"/>
        <w:rPr>
          <w:rFonts w:cs="Arial"/>
          <w:sz w:val="24"/>
          <w:szCs w:val="24"/>
          <w:lang w:val="en-GB"/>
        </w:rPr>
      </w:pPr>
      <w:r w:rsidRPr="002B1625">
        <w:rPr>
          <w:rFonts w:cs="Arial"/>
          <w:sz w:val="24"/>
          <w:szCs w:val="24"/>
          <w:lang w:val="en-GB"/>
        </w:rPr>
        <w:t>ABSTRACT</w:t>
      </w:r>
    </w:p>
    <w:p w14:paraId="0B65A8A8" w14:textId="77777777" w:rsidR="00E04BB5" w:rsidRPr="002B1625" w:rsidRDefault="00E04BB5" w:rsidP="00E04BB5">
      <w:pPr>
        <w:spacing w:line="240" w:lineRule="auto"/>
        <w:contextualSpacing/>
        <w:jc w:val="center"/>
        <w:rPr>
          <w:rFonts w:cs="Arial"/>
          <w:sz w:val="24"/>
          <w:szCs w:val="24"/>
          <w:lang w:val="en-GB"/>
        </w:rPr>
      </w:pPr>
    </w:p>
    <w:p w14:paraId="703B71B0" w14:textId="443C58F9" w:rsidR="000217B0" w:rsidRDefault="000217B0" w:rsidP="000217B0">
      <w:pPr>
        <w:jc w:val="both"/>
        <w:rPr>
          <w:rFonts w:cs="Arial"/>
          <w:sz w:val="24"/>
          <w:szCs w:val="24"/>
          <w:lang w:val="en-GB"/>
        </w:rPr>
      </w:pPr>
      <w:r>
        <w:rPr>
          <w:rFonts w:cs="Arial"/>
          <w:sz w:val="24"/>
          <w:szCs w:val="24"/>
          <w:lang w:val="en-GB"/>
        </w:rPr>
        <w:t xml:space="preserve">A crucial point in any sale is the choice of the market where to sell. </w:t>
      </w:r>
      <w:r w:rsidR="001E05A8">
        <w:rPr>
          <w:rFonts w:cs="Arial"/>
          <w:sz w:val="24"/>
          <w:szCs w:val="24"/>
          <w:lang w:val="en-GB"/>
        </w:rPr>
        <w:t>T</w:t>
      </w:r>
      <w:r>
        <w:rPr>
          <w:rFonts w:cs="Arial"/>
          <w:sz w:val="24"/>
          <w:szCs w:val="24"/>
          <w:lang w:val="en-GB"/>
        </w:rPr>
        <w:t xml:space="preserve">his issue is much more important in the case of the artworks, where there is </w:t>
      </w:r>
      <w:r w:rsidRPr="00190069">
        <w:rPr>
          <w:rFonts w:cs="Arial"/>
          <w:sz w:val="24"/>
          <w:szCs w:val="24"/>
          <w:lang w:val="en-GB"/>
        </w:rPr>
        <w:t xml:space="preserve">evidence that arbitrage does not necessarily equalise prices of comparable </w:t>
      </w:r>
      <w:r>
        <w:rPr>
          <w:rFonts w:cs="Arial"/>
          <w:sz w:val="24"/>
          <w:szCs w:val="24"/>
          <w:lang w:val="en-GB"/>
        </w:rPr>
        <w:t xml:space="preserve">items </w:t>
      </w:r>
      <w:r w:rsidRPr="00190069">
        <w:rPr>
          <w:rFonts w:cs="Arial"/>
          <w:sz w:val="24"/>
          <w:szCs w:val="24"/>
          <w:lang w:val="en-GB"/>
        </w:rPr>
        <w:t xml:space="preserve">across different cities of sale. </w:t>
      </w:r>
      <w:r>
        <w:rPr>
          <w:rFonts w:cs="Arial"/>
          <w:sz w:val="24"/>
          <w:szCs w:val="24"/>
          <w:lang w:val="en-GB"/>
        </w:rPr>
        <w:t xml:space="preserve">Are these price differences due to the specific characteristics of items sold in different places or do they capture </w:t>
      </w:r>
      <w:r w:rsidRPr="00190069">
        <w:rPr>
          <w:rFonts w:cs="Arial"/>
          <w:sz w:val="24"/>
          <w:szCs w:val="24"/>
          <w:lang w:val="en-GB"/>
        </w:rPr>
        <w:t xml:space="preserve">the </w:t>
      </w:r>
      <w:r w:rsidRPr="00190069">
        <w:rPr>
          <w:rFonts w:cs="Garamond"/>
          <w:sz w:val="24"/>
          <w:szCs w:val="24"/>
          <w:lang w:val="en-GB"/>
        </w:rPr>
        <w:t xml:space="preserve">idiosyncratic nature of </w:t>
      </w:r>
      <w:r>
        <w:rPr>
          <w:rFonts w:cs="Garamond"/>
          <w:sz w:val="24"/>
          <w:szCs w:val="24"/>
          <w:lang w:val="en-GB"/>
        </w:rPr>
        <w:t xml:space="preserve">the </w:t>
      </w:r>
      <w:r w:rsidRPr="00190069">
        <w:rPr>
          <w:rFonts w:cs="Garamond"/>
          <w:sz w:val="24"/>
          <w:szCs w:val="24"/>
          <w:lang w:val="en-GB"/>
        </w:rPr>
        <w:t>market</w:t>
      </w:r>
      <w:r>
        <w:rPr>
          <w:rFonts w:cs="Garamond"/>
          <w:sz w:val="24"/>
          <w:szCs w:val="24"/>
          <w:lang w:val="en-GB"/>
        </w:rPr>
        <w:t xml:space="preserve">s? In order to answer to this question, </w:t>
      </w:r>
      <w:r>
        <w:rPr>
          <w:rFonts w:eastAsia="Calibri" w:cs="Times New Roman"/>
          <w:sz w:val="24"/>
          <w:szCs w:val="24"/>
          <w:lang w:val="en-GB"/>
        </w:rPr>
        <w:t xml:space="preserve">we apply </w:t>
      </w:r>
      <w:r w:rsidRPr="00190069">
        <w:rPr>
          <w:rFonts w:cs="Arial"/>
          <w:sz w:val="24"/>
          <w:szCs w:val="24"/>
          <w:lang w:val="en-GB"/>
        </w:rPr>
        <w:t xml:space="preserve">the unconditional </w:t>
      </w:r>
      <w:proofErr w:type="spellStart"/>
      <w:r w:rsidRPr="00190069">
        <w:rPr>
          <w:rFonts w:cs="Arial"/>
          <w:sz w:val="24"/>
          <w:szCs w:val="24"/>
          <w:lang w:val="en-GB"/>
        </w:rPr>
        <w:t>Recentered</w:t>
      </w:r>
      <w:proofErr w:type="spellEnd"/>
      <w:r w:rsidRPr="00190069">
        <w:rPr>
          <w:rFonts w:cs="Arial"/>
          <w:sz w:val="24"/>
          <w:szCs w:val="24"/>
          <w:lang w:val="en-GB"/>
        </w:rPr>
        <w:t xml:space="preserve"> Influence Function (RIF) regression method</w:t>
      </w:r>
      <w:r>
        <w:rPr>
          <w:rFonts w:cs="Garamond"/>
          <w:sz w:val="24"/>
          <w:szCs w:val="24"/>
          <w:lang w:val="en-GB"/>
        </w:rPr>
        <w:t xml:space="preserve"> to </w:t>
      </w:r>
      <w:r w:rsidRPr="00190069">
        <w:rPr>
          <w:rFonts w:cs="Arial"/>
          <w:sz w:val="24"/>
          <w:szCs w:val="24"/>
          <w:lang w:val="en-GB"/>
        </w:rPr>
        <w:t xml:space="preserve">a sample of </w:t>
      </w:r>
      <w:r>
        <w:rPr>
          <w:rFonts w:cs="Arial"/>
          <w:sz w:val="24"/>
          <w:szCs w:val="24"/>
          <w:lang w:val="en-GB"/>
        </w:rPr>
        <w:t xml:space="preserve">Picasso </w:t>
      </w:r>
      <w:r w:rsidRPr="00190069">
        <w:rPr>
          <w:rFonts w:cs="Arial"/>
          <w:sz w:val="24"/>
          <w:szCs w:val="24"/>
          <w:lang w:val="en-GB"/>
        </w:rPr>
        <w:t xml:space="preserve">paintings sold worldwide </w:t>
      </w:r>
      <w:r>
        <w:rPr>
          <w:rFonts w:eastAsia="Calibri" w:cs="Times New Roman"/>
          <w:sz w:val="24"/>
          <w:szCs w:val="24"/>
          <w:lang w:val="en-GB"/>
        </w:rPr>
        <w:t>during the period 2000</w:t>
      </w:r>
      <w:r w:rsidRPr="00190069">
        <w:rPr>
          <w:rFonts w:eastAsia="Calibri" w:cs="Times New Roman"/>
          <w:sz w:val="24"/>
          <w:szCs w:val="24"/>
          <w:lang w:val="en-GB"/>
        </w:rPr>
        <w:t>-201</w:t>
      </w:r>
      <w:r>
        <w:rPr>
          <w:rFonts w:eastAsia="Calibri" w:cs="Times New Roman"/>
          <w:sz w:val="24"/>
          <w:szCs w:val="24"/>
          <w:lang w:val="en-GB"/>
        </w:rPr>
        <w:t xml:space="preserve">9. Specifically, </w:t>
      </w:r>
      <w:r>
        <w:rPr>
          <w:rFonts w:cs="Garamond"/>
          <w:sz w:val="24"/>
          <w:szCs w:val="24"/>
          <w:lang w:val="en-GB"/>
        </w:rPr>
        <w:t xml:space="preserve"> we </w:t>
      </w:r>
      <w:r>
        <w:rPr>
          <w:rFonts w:eastAsia="Calibri" w:cs="Times New Roman"/>
          <w:sz w:val="24"/>
          <w:szCs w:val="24"/>
          <w:lang w:val="en-GB"/>
        </w:rPr>
        <w:t xml:space="preserve"> compare </w:t>
      </w:r>
      <w:r>
        <w:rPr>
          <w:rFonts w:cs="Arial"/>
          <w:sz w:val="24"/>
          <w:szCs w:val="24"/>
          <w:lang w:val="en-GB"/>
        </w:rPr>
        <w:t xml:space="preserve">percentile </w:t>
      </w:r>
      <w:r w:rsidRPr="00190069">
        <w:rPr>
          <w:rFonts w:cs="Arial"/>
          <w:sz w:val="24"/>
          <w:szCs w:val="24"/>
          <w:lang w:val="en-GB"/>
        </w:rPr>
        <w:t>price differ</w:t>
      </w:r>
      <w:r>
        <w:rPr>
          <w:rFonts w:cs="Arial"/>
          <w:sz w:val="24"/>
          <w:szCs w:val="24"/>
          <w:lang w:val="en-GB"/>
        </w:rPr>
        <w:t xml:space="preserve">ences between </w:t>
      </w:r>
      <w:r>
        <w:rPr>
          <w:rFonts w:cs="Garamond"/>
          <w:sz w:val="24"/>
          <w:szCs w:val="24"/>
          <w:lang w:val="en-GB"/>
        </w:rPr>
        <w:t>New York City, which is known for its</w:t>
      </w:r>
      <w:r>
        <w:rPr>
          <w:sz w:val="24"/>
          <w:szCs w:val="24"/>
          <w:lang w:val="en-GB"/>
        </w:rPr>
        <w:t xml:space="preserve"> status as a world art city</w:t>
      </w:r>
      <w:r w:rsidDel="006F4D5C">
        <w:rPr>
          <w:rFonts w:cs="Arial"/>
          <w:sz w:val="24"/>
          <w:szCs w:val="24"/>
          <w:lang w:val="en-GB"/>
        </w:rPr>
        <w:t xml:space="preserve"> </w:t>
      </w:r>
      <w:r>
        <w:rPr>
          <w:rFonts w:cs="Arial"/>
          <w:sz w:val="24"/>
          <w:szCs w:val="24"/>
          <w:lang w:val="en-GB"/>
        </w:rPr>
        <w:t xml:space="preserve">and the Rest of World. </w:t>
      </w:r>
      <w:r>
        <w:rPr>
          <w:rFonts w:eastAsia="Calibri" w:cs="Times New Roman"/>
          <w:sz w:val="24"/>
          <w:szCs w:val="24"/>
          <w:lang w:val="en-GB" w:eastAsia="en-GB"/>
        </w:rPr>
        <w:t>Overall, r</w:t>
      </w:r>
      <w:r w:rsidRPr="00190069">
        <w:rPr>
          <w:rFonts w:eastAsia="Calibri" w:cs="Times New Roman"/>
          <w:sz w:val="24"/>
          <w:szCs w:val="24"/>
          <w:lang w:val="en-GB" w:eastAsia="en-GB"/>
        </w:rPr>
        <w:t xml:space="preserve">esults illustrate </w:t>
      </w:r>
      <w:r w:rsidRPr="00AE3A50">
        <w:rPr>
          <w:rFonts w:cs="Arial"/>
          <w:sz w:val="24"/>
          <w:szCs w:val="24"/>
          <w:lang w:val="en-GB" w:eastAsia="en-GB"/>
        </w:rPr>
        <w:t xml:space="preserve">that the </w:t>
      </w:r>
      <w:r>
        <w:rPr>
          <w:rFonts w:cs="Arial"/>
          <w:sz w:val="24"/>
          <w:szCs w:val="24"/>
          <w:lang w:val="en-GB" w:eastAsia="en-GB"/>
        </w:rPr>
        <w:t xml:space="preserve">law of one price </w:t>
      </w:r>
      <w:r w:rsidRPr="00AE3A50">
        <w:rPr>
          <w:rFonts w:cs="Arial"/>
          <w:sz w:val="24"/>
          <w:szCs w:val="24"/>
          <w:lang w:val="en-GB" w:eastAsia="en-GB"/>
        </w:rPr>
        <w:t xml:space="preserve">fails with Picasso’s ‘blue chips’, </w:t>
      </w:r>
      <w:r>
        <w:rPr>
          <w:rFonts w:cs="Arial"/>
          <w:sz w:val="24"/>
          <w:szCs w:val="24"/>
          <w:lang w:val="en-GB" w:eastAsia="en-GB"/>
        </w:rPr>
        <w:t>his most</w:t>
      </w:r>
      <w:r w:rsidRPr="00AE3A50">
        <w:rPr>
          <w:rFonts w:cs="Arial"/>
          <w:sz w:val="24"/>
          <w:szCs w:val="24"/>
          <w:lang w:val="en-GB" w:eastAsia="en-GB"/>
        </w:rPr>
        <w:t xml:space="preserve"> expensive </w:t>
      </w:r>
      <w:r>
        <w:rPr>
          <w:rFonts w:cs="Arial"/>
          <w:sz w:val="24"/>
          <w:szCs w:val="24"/>
          <w:lang w:val="en-GB" w:eastAsia="en-GB"/>
        </w:rPr>
        <w:t>art</w:t>
      </w:r>
      <w:r w:rsidRPr="00AE3A50">
        <w:rPr>
          <w:rFonts w:cs="Arial"/>
          <w:sz w:val="24"/>
          <w:szCs w:val="24"/>
          <w:lang w:val="en-GB" w:eastAsia="en-GB"/>
        </w:rPr>
        <w:t>works</w:t>
      </w:r>
      <w:r>
        <w:rPr>
          <w:rFonts w:cs="Arial"/>
          <w:sz w:val="24"/>
          <w:szCs w:val="24"/>
          <w:lang w:val="en-GB" w:eastAsia="en-GB"/>
        </w:rPr>
        <w:t>. However, after the 2008-09 financial crisis the art market became more efficient and the idiosyncratic nature of New York’s art market faded.</w:t>
      </w:r>
    </w:p>
    <w:p w14:paraId="017405FC" w14:textId="77777777" w:rsidR="00E04BB5" w:rsidRPr="002B1625" w:rsidRDefault="00E04BB5" w:rsidP="00E04BB5">
      <w:pPr>
        <w:rPr>
          <w:rFonts w:cs="Arial"/>
          <w:sz w:val="24"/>
          <w:szCs w:val="24"/>
          <w:lang w:val="en-GB"/>
        </w:rPr>
      </w:pPr>
    </w:p>
    <w:p w14:paraId="77170D46" w14:textId="77777777" w:rsidR="00E04BB5" w:rsidRPr="002B1625" w:rsidRDefault="00E04BB5" w:rsidP="00E04BB5">
      <w:pPr>
        <w:rPr>
          <w:rFonts w:cs="Arial"/>
          <w:b/>
          <w:sz w:val="24"/>
          <w:szCs w:val="24"/>
          <w:lang w:val="en-GB"/>
        </w:rPr>
      </w:pPr>
    </w:p>
    <w:p w14:paraId="4A652A7E" w14:textId="77777777" w:rsidR="00E04BB5" w:rsidRPr="002B1625" w:rsidRDefault="00E04BB5" w:rsidP="00E04BB5">
      <w:pPr>
        <w:rPr>
          <w:rFonts w:cs="Arial"/>
          <w:sz w:val="24"/>
          <w:szCs w:val="24"/>
          <w:lang w:val="en-GB"/>
        </w:rPr>
      </w:pPr>
      <w:r w:rsidRPr="002B1625">
        <w:rPr>
          <w:rFonts w:cs="Arial"/>
          <w:b/>
          <w:sz w:val="24"/>
          <w:szCs w:val="24"/>
          <w:lang w:val="en-GB"/>
        </w:rPr>
        <w:t>JEL Codes</w:t>
      </w:r>
      <w:r w:rsidRPr="002B1625">
        <w:rPr>
          <w:rFonts w:cs="Arial"/>
          <w:sz w:val="24"/>
          <w:szCs w:val="24"/>
          <w:lang w:val="en-GB"/>
        </w:rPr>
        <w:t xml:space="preserve">: C1, D44, Z1 </w:t>
      </w:r>
    </w:p>
    <w:p w14:paraId="261C0B8D" w14:textId="33466DF8" w:rsidR="00E04BB5" w:rsidRPr="002B1625" w:rsidRDefault="00E04BB5" w:rsidP="00E04BB5">
      <w:pPr>
        <w:rPr>
          <w:rFonts w:cs="Arial"/>
          <w:sz w:val="24"/>
          <w:szCs w:val="24"/>
          <w:lang w:val="en-GB"/>
        </w:rPr>
      </w:pPr>
      <w:r w:rsidRPr="002B1625">
        <w:rPr>
          <w:rFonts w:cs="Arial"/>
          <w:b/>
          <w:sz w:val="24"/>
          <w:szCs w:val="24"/>
          <w:lang w:val="en-GB"/>
        </w:rPr>
        <w:t>Keywords</w:t>
      </w:r>
      <w:r w:rsidRPr="002B1625">
        <w:rPr>
          <w:rFonts w:cs="Arial"/>
          <w:sz w:val="24"/>
          <w:szCs w:val="24"/>
          <w:lang w:val="en-GB"/>
        </w:rPr>
        <w:t xml:space="preserve">: </w:t>
      </w:r>
      <w:r w:rsidR="00E85FF5" w:rsidRPr="002B1625">
        <w:rPr>
          <w:rFonts w:cs="Arial"/>
          <w:sz w:val="24"/>
          <w:szCs w:val="24"/>
          <w:lang w:val="en-GB"/>
        </w:rPr>
        <w:t xml:space="preserve">New York; arbitrage; </w:t>
      </w:r>
      <w:r w:rsidRPr="002B1625">
        <w:rPr>
          <w:rFonts w:cs="Arial"/>
          <w:sz w:val="24"/>
          <w:szCs w:val="24"/>
          <w:lang w:val="en-GB"/>
        </w:rPr>
        <w:t xml:space="preserve">non-standard investments; RIF </w:t>
      </w:r>
      <w:r w:rsidR="004272AE" w:rsidRPr="002B1625">
        <w:rPr>
          <w:rFonts w:cs="Arial"/>
          <w:sz w:val="24"/>
          <w:szCs w:val="24"/>
          <w:lang w:val="en-GB"/>
        </w:rPr>
        <w:t>percentile</w:t>
      </w:r>
      <w:r w:rsidRPr="002B1625">
        <w:rPr>
          <w:rFonts w:cs="Arial"/>
          <w:sz w:val="24"/>
          <w:szCs w:val="24"/>
          <w:lang w:val="en-GB"/>
        </w:rPr>
        <w:t xml:space="preserve"> </w:t>
      </w:r>
      <w:r w:rsidR="00E85FF5" w:rsidRPr="002B1625">
        <w:rPr>
          <w:rFonts w:cs="Arial"/>
          <w:sz w:val="24"/>
          <w:szCs w:val="24"/>
          <w:lang w:val="en-GB"/>
        </w:rPr>
        <w:t>decomposition</w:t>
      </w:r>
      <w:r w:rsidRPr="002B1625">
        <w:rPr>
          <w:rFonts w:cs="Arial"/>
          <w:sz w:val="24"/>
          <w:szCs w:val="24"/>
          <w:lang w:val="en-GB"/>
        </w:rPr>
        <w:t>; Picasso; auction</w:t>
      </w:r>
      <w:r w:rsidR="00E85FF5" w:rsidRPr="002B1625">
        <w:rPr>
          <w:rFonts w:cs="Arial"/>
          <w:sz w:val="24"/>
          <w:szCs w:val="24"/>
          <w:lang w:val="en-GB"/>
        </w:rPr>
        <w:t>.</w:t>
      </w:r>
      <w:r w:rsidRPr="002B1625">
        <w:rPr>
          <w:rFonts w:cs="Arial"/>
          <w:sz w:val="24"/>
          <w:szCs w:val="24"/>
          <w:lang w:val="en-GB"/>
        </w:rPr>
        <w:br w:type="page"/>
      </w:r>
    </w:p>
    <w:p w14:paraId="1CF3E9A8" w14:textId="5C44F5DB" w:rsidR="00E04BB5" w:rsidRPr="002B1625" w:rsidRDefault="00E04BB5" w:rsidP="00E04BB5">
      <w:pPr>
        <w:pStyle w:val="Paragrafoelenco"/>
        <w:spacing w:after="0" w:line="240" w:lineRule="auto"/>
        <w:ind w:left="340"/>
        <w:jc w:val="right"/>
        <w:rPr>
          <w:rFonts w:ascii="Calibri" w:hAnsi="Calibri" w:cs="Arial"/>
          <w:i/>
          <w:sz w:val="20"/>
          <w:lang w:val="en-GB"/>
        </w:rPr>
      </w:pPr>
      <w:r w:rsidRPr="002B1625">
        <w:rPr>
          <w:rFonts w:ascii="Calibri" w:hAnsi="Calibri" w:cs="Arial"/>
          <w:i/>
          <w:sz w:val="20"/>
          <w:lang w:val="en-GB"/>
        </w:rPr>
        <w:lastRenderedPageBreak/>
        <w:t>“</w:t>
      </w:r>
      <w:hyperlink r:id="rId9" w:history="1">
        <w:r w:rsidRPr="002B1625">
          <w:rPr>
            <w:rFonts w:ascii="Calibri" w:hAnsi="Calibri" w:cs="Arial"/>
            <w:i/>
            <w:sz w:val="20"/>
            <w:lang w:val="en-GB"/>
          </w:rPr>
          <w:t xml:space="preserve">New York is what Paris was in the twenties ... the centre of the art world. And we want to be in the </w:t>
        </w:r>
        <w:r w:rsidR="002B1625" w:rsidRPr="002B1625">
          <w:rPr>
            <w:rFonts w:ascii="Calibri" w:hAnsi="Calibri" w:cs="Arial"/>
            <w:i/>
            <w:sz w:val="20"/>
            <w:lang w:val="en-GB"/>
          </w:rPr>
          <w:t>centre</w:t>
        </w:r>
        <w:r w:rsidRPr="002B1625">
          <w:rPr>
            <w:rFonts w:ascii="Calibri" w:hAnsi="Calibri" w:cs="Arial"/>
            <w:i/>
            <w:sz w:val="20"/>
            <w:lang w:val="en-GB"/>
          </w:rPr>
          <w:t>. It's the greatest place on earth... I've got a lot of friends here and I even brought my own cash.</w:t>
        </w:r>
      </w:hyperlink>
      <w:r w:rsidRPr="002B1625">
        <w:rPr>
          <w:rFonts w:ascii="Calibri" w:hAnsi="Calibri" w:cs="Arial"/>
          <w:i/>
          <w:sz w:val="20"/>
          <w:lang w:val="en-GB"/>
        </w:rPr>
        <w:t>”</w:t>
      </w:r>
      <w:r w:rsidRPr="002B1625">
        <w:rPr>
          <w:rFonts w:ascii="Calibri" w:hAnsi="Calibri" w:cs="Arial"/>
          <w:i/>
          <w:sz w:val="20"/>
          <w:lang w:val="en-GB"/>
        </w:rPr>
        <w:br/>
      </w:r>
      <w:hyperlink r:id="rId10" w:history="1">
        <w:r w:rsidRPr="002B1625">
          <w:rPr>
            <w:rFonts w:ascii="Calibri" w:hAnsi="Calibri" w:cs="Arial"/>
            <w:sz w:val="20"/>
            <w:lang w:val="en-GB"/>
          </w:rPr>
          <w:t>John Lennon</w:t>
        </w:r>
      </w:hyperlink>
    </w:p>
    <w:p w14:paraId="545785CE" w14:textId="77777777" w:rsidR="00E04BB5" w:rsidRPr="002B1625" w:rsidRDefault="00E04BB5" w:rsidP="00E04BB5">
      <w:pPr>
        <w:pStyle w:val="Paragrafoelenco"/>
        <w:ind w:left="340"/>
        <w:jc w:val="right"/>
        <w:rPr>
          <w:rFonts w:cs="Arial"/>
          <w:i/>
          <w:lang w:val="en-GB"/>
        </w:rPr>
      </w:pPr>
      <w:r w:rsidRPr="002B1625">
        <w:rPr>
          <w:rFonts w:cs="Arial"/>
          <w:i/>
          <w:lang w:val="en-GB"/>
        </w:rPr>
        <w:br/>
      </w:r>
    </w:p>
    <w:p w14:paraId="3CB51D62" w14:textId="77777777" w:rsidR="00E04BB5" w:rsidRPr="00D44903" w:rsidRDefault="00E04BB5" w:rsidP="00E04BB5">
      <w:pPr>
        <w:pStyle w:val="Paragrafoelenco"/>
        <w:ind w:left="340"/>
        <w:jc w:val="both"/>
        <w:rPr>
          <w:rFonts w:cs="Arial"/>
          <w:b/>
          <w:sz w:val="24"/>
          <w:szCs w:val="24"/>
          <w:lang w:val="en-GB"/>
        </w:rPr>
      </w:pPr>
    </w:p>
    <w:p w14:paraId="0F6C1716" w14:textId="77777777" w:rsidR="00AE1998" w:rsidRDefault="00AE1998" w:rsidP="00AE1998">
      <w:pPr>
        <w:pStyle w:val="Paragrafoelenco"/>
        <w:numPr>
          <w:ilvl w:val="0"/>
          <w:numId w:val="22"/>
        </w:numPr>
        <w:ind w:left="340"/>
        <w:jc w:val="both"/>
        <w:rPr>
          <w:rFonts w:cs="Arial"/>
          <w:b/>
          <w:sz w:val="24"/>
          <w:szCs w:val="24"/>
          <w:lang w:val="en-GB"/>
        </w:rPr>
      </w:pPr>
      <w:r>
        <w:rPr>
          <w:rFonts w:cs="Arial"/>
          <w:b/>
          <w:sz w:val="24"/>
          <w:szCs w:val="24"/>
          <w:lang w:val="en-GB"/>
        </w:rPr>
        <w:t>INTRODUCTION</w:t>
      </w:r>
    </w:p>
    <w:p w14:paraId="40BE6422" w14:textId="77777777" w:rsidR="00AE1998" w:rsidRDefault="00AE1998" w:rsidP="00AE1998">
      <w:pPr>
        <w:autoSpaceDE w:val="0"/>
        <w:autoSpaceDN w:val="0"/>
        <w:adjustRightInd w:val="0"/>
        <w:spacing w:after="0" w:line="360" w:lineRule="auto"/>
        <w:jc w:val="both"/>
        <w:rPr>
          <w:rFonts w:ascii="Calibri" w:hAnsi="Calibri" w:cs="Arial"/>
          <w:sz w:val="24"/>
          <w:szCs w:val="24"/>
          <w:lang w:val="en-GB"/>
        </w:rPr>
      </w:pPr>
      <w:r>
        <w:rPr>
          <w:rFonts w:ascii="Calibri" w:hAnsi="Calibri" w:cs="Arial"/>
          <w:sz w:val="24"/>
          <w:szCs w:val="24"/>
          <w:lang w:val="en-GB"/>
        </w:rPr>
        <w:t xml:space="preserve">The Law of One Price (LOP) implies that the price of a single identical (or near-perfect substitute) commodity is the same at any given time and location if transaction costs are null or regulatory barriers are absent. If the LOP holds, there should be no profitable arbitrage, while persistent differences in price levels may constitute arbitrage opportunities. </w:t>
      </w:r>
    </w:p>
    <w:p w14:paraId="63144E95" w14:textId="77777777" w:rsidR="00AE1998" w:rsidRDefault="00AE1998" w:rsidP="00AE1998">
      <w:pPr>
        <w:autoSpaceDE w:val="0"/>
        <w:autoSpaceDN w:val="0"/>
        <w:adjustRightInd w:val="0"/>
        <w:spacing w:after="0" w:line="360" w:lineRule="auto"/>
        <w:jc w:val="both"/>
        <w:rPr>
          <w:sz w:val="24"/>
          <w:szCs w:val="24"/>
          <w:lang w:val="en-GB"/>
        </w:rPr>
      </w:pPr>
      <w:r>
        <w:rPr>
          <w:rFonts w:cs="Arial"/>
          <w:sz w:val="24"/>
          <w:szCs w:val="24"/>
          <w:lang w:val="en-GB"/>
        </w:rPr>
        <w:t xml:space="preserve">In general, arbitrage is commonplace in financial markets due to a lack of transportation costs. </w:t>
      </w:r>
      <w:r>
        <w:rPr>
          <w:sz w:val="24"/>
          <w:szCs w:val="24"/>
          <w:lang w:val="en-GB"/>
        </w:rPr>
        <w:t xml:space="preserve">Efficient markets rarely exhibit short disruptions of the LOP, while inefficient markets are characterised by a number of infractions, whose detection is particularly challenging in non-standard investment markets (fine wines, antiques, vintage cars, etc.). In fact, arbitrage is easier in standard financial markets since there are no transportation costs and transactions occur almost instantaneously (Lamont and </w:t>
      </w:r>
      <w:proofErr w:type="spellStart"/>
      <w:r>
        <w:rPr>
          <w:sz w:val="24"/>
          <w:szCs w:val="24"/>
          <w:lang w:val="en-GB"/>
        </w:rPr>
        <w:t>Thaler</w:t>
      </w:r>
      <w:proofErr w:type="spellEnd"/>
      <w:r>
        <w:rPr>
          <w:sz w:val="24"/>
          <w:szCs w:val="24"/>
          <w:lang w:val="en-GB"/>
        </w:rPr>
        <w:t>, 2003). By contrast, non-standard financial assets sold worldwide are uncommon and usually have different characteristics (Worthington and Higgs, 2004). This ‘singularity’ is exacerbated in the case of items sold at art auctions, which are characterised by multidimensionality, uncertainty, and incommensurability (</w:t>
      </w:r>
      <w:proofErr w:type="spellStart"/>
      <w:r>
        <w:rPr>
          <w:sz w:val="24"/>
          <w:szCs w:val="24"/>
          <w:lang w:val="en-GB"/>
        </w:rPr>
        <w:t>Karpik</w:t>
      </w:r>
      <w:proofErr w:type="spellEnd"/>
      <w:r>
        <w:rPr>
          <w:sz w:val="24"/>
          <w:szCs w:val="24"/>
          <w:lang w:val="en-GB"/>
        </w:rPr>
        <w:t>, 2010).</w:t>
      </w:r>
    </w:p>
    <w:p w14:paraId="1D1788FE" w14:textId="77777777" w:rsidR="00AE1998" w:rsidRDefault="00AE1998" w:rsidP="00AE1998">
      <w:pPr>
        <w:spacing w:line="360" w:lineRule="auto"/>
        <w:jc w:val="both"/>
        <w:rPr>
          <w:rFonts w:cstheme="minorHAnsi"/>
          <w:sz w:val="24"/>
          <w:szCs w:val="24"/>
          <w:lang w:val="en-GB"/>
        </w:rPr>
      </w:pPr>
      <w:r>
        <w:rPr>
          <w:rFonts w:cs="Times New Roman"/>
          <w:sz w:val="24"/>
          <w:szCs w:val="24"/>
          <w:lang w:val="en-GB"/>
        </w:rPr>
        <w:t xml:space="preserve">The literature investigating the LOP in the art (auction) market is limited, and mainly based on repeat sales indexes. </w:t>
      </w:r>
      <w:proofErr w:type="spellStart"/>
      <w:r>
        <w:rPr>
          <w:rFonts w:cstheme="minorHAnsi"/>
          <w:color w:val="242729"/>
          <w:sz w:val="24"/>
          <w:szCs w:val="24"/>
          <w:lang w:val="en-GB"/>
        </w:rPr>
        <w:t>Pesando</w:t>
      </w:r>
      <w:proofErr w:type="spellEnd"/>
      <w:r>
        <w:rPr>
          <w:rFonts w:cstheme="minorHAnsi"/>
          <w:color w:val="242729"/>
          <w:sz w:val="24"/>
          <w:szCs w:val="24"/>
          <w:lang w:val="en-GB"/>
        </w:rPr>
        <w:t xml:space="preserve"> (1993) analysed </w:t>
      </w:r>
      <w:r>
        <w:rPr>
          <w:rFonts w:cs="Times New Roman"/>
          <w:sz w:val="24"/>
          <w:szCs w:val="24"/>
          <w:lang w:val="en-GB"/>
        </w:rPr>
        <w:t xml:space="preserve">the LOP in the art market and used repeat sales of prints sold at Christie’s and Sotheby’s in both the US and UK. He found systematic price differences between both auction houses and markets. </w:t>
      </w:r>
      <w:proofErr w:type="spellStart"/>
      <w:r>
        <w:rPr>
          <w:rFonts w:cs="Times New Roman"/>
          <w:sz w:val="24"/>
          <w:szCs w:val="24"/>
          <w:lang w:val="en-GB"/>
        </w:rPr>
        <w:t>Czujack’s</w:t>
      </w:r>
      <w:proofErr w:type="spellEnd"/>
      <w:r>
        <w:rPr>
          <w:rFonts w:cs="Times New Roman"/>
          <w:sz w:val="24"/>
          <w:szCs w:val="24"/>
          <w:lang w:val="en-GB"/>
        </w:rPr>
        <w:t xml:space="preserve"> (1997) findings were comparable and showed that Picasso’s paintings were sold at higher prices in New York than</w:t>
      </w:r>
      <w:r>
        <w:rPr>
          <w:rFonts w:cs="Times New Roman"/>
          <w:color w:val="000000" w:themeColor="text1"/>
          <w:sz w:val="24"/>
          <w:szCs w:val="24"/>
          <w:lang w:val="en-GB"/>
        </w:rPr>
        <w:t xml:space="preserve"> in London. </w:t>
      </w:r>
      <w:r>
        <w:rPr>
          <w:rFonts w:cstheme="minorHAnsi"/>
          <w:color w:val="000000" w:themeColor="text1"/>
          <w:sz w:val="24"/>
          <w:szCs w:val="24"/>
          <w:lang w:val="en-GB"/>
        </w:rPr>
        <w:t xml:space="preserve">Mei and Moses (2002) </w:t>
      </w:r>
      <w:r>
        <w:rPr>
          <w:rFonts w:cstheme="minorHAnsi"/>
          <w:color w:val="000000"/>
          <w:sz w:val="24"/>
          <w:szCs w:val="24"/>
          <w:lang w:val="en-GB"/>
        </w:rPr>
        <w:t xml:space="preserve">revealed the existence of undetected arbitrage opportunities across different auction houses. Later, </w:t>
      </w:r>
      <w:proofErr w:type="spellStart"/>
      <w:r>
        <w:rPr>
          <w:rFonts w:cstheme="minorHAnsi"/>
          <w:sz w:val="24"/>
          <w:szCs w:val="24"/>
          <w:lang w:val="en-GB"/>
        </w:rPr>
        <w:t>Pesando</w:t>
      </w:r>
      <w:proofErr w:type="spellEnd"/>
      <w:r>
        <w:rPr>
          <w:rFonts w:cstheme="minorHAnsi"/>
          <w:sz w:val="24"/>
          <w:szCs w:val="24"/>
          <w:lang w:val="en-GB"/>
        </w:rPr>
        <w:t xml:space="preserve">, and Shum (2007) revisited the results of </w:t>
      </w:r>
      <w:proofErr w:type="spellStart"/>
      <w:r>
        <w:rPr>
          <w:rFonts w:cstheme="minorHAnsi"/>
          <w:sz w:val="24"/>
          <w:szCs w:val="24"/>
          <w:lang w:val="en-GB"/>
        </w:rPr>
        <w:t>Pesando</w:t>
      </w:r>
      <w:proofErr w:type="spellEnd"/>
      <w:r>
        <w:rPr>
          <w:rFonts w:cstheme="minorHAnsi"/>
          <w:sz w:val="24"/>
          <w:szCs w:val="24"/>
          <w:lang w:val="en-GB"/>
        </w:rPr>
        <w:t xml:space="preserve"> (1993) and used the sales of alternative copies of the same print sold worldwide at Christie’s and Sotheby’s between 1977-2004. They found that prices were 9 percent less on average at Christie’s than at Sotheby’s during the period 1977-1992. By contrast, prices were 12 percent higher on average at Christie’s than Sotheby’s during the period 1993-2004. Additionally, prices were higher in New York than in all of Europe across the entire period. Liu (2015) used the sale history of Andy Warhol’s </w:t>
      </w:r>
      <w:r>
        <w:rPr>
          <w:rFonts w:cstheme="minorHAnsi"/>
          <w:i/>
          <w:iCs/>
          <w:sz w:val="24"/>
          <w:szCs w:val="24"/>
          <w:lang w:val="en-GB"/>
        </w:rPr>
        <w:t>Flowers</w:t>
      </w:r>
      <w:r>
        <w:rPr>
          <w:rFonts w:cstheme="minorHAnsi"/>
          <w:sz w:val="24"/>
          <w:szCs w:val="24"/>
          <w:lang w:val="en-GB"/>
        </w:rPr>
        <w:t xml:space="preserve"> print series to highlight the role of what she called “auction experience” in </w:t>
      </w:r>
      <w:r>
        <w:rPr>
          <w:rFonts w:cstheme="minorHAnsi"/>
          <w:sz w:val="24"/>
          <w:szCs w:val="24"/>
          <w:lang w:val="en-GB"/>
        </w:rPr>
        <w:lastRenderedPageBreak/>
        <w:t xml:space="preserve">determining a clear violation of the LOP. However, location was not taken into account in these studies. Recently, </w:t>
      </w:r>
      <w:proofErr w:type="spellStart"/>
      <w:r>
        <w:rPr>
          <w:rFonts w:cstheme="minorHAnsi"/>
          <w:sz w:val="24"/>
          <w:szCs w:val="24"/>
          <w:lang w:val="en-GB"/>
        </w:rPr>
        <w:t>Etro</w:t>
      </w:r>
      <w:proofErr w:type="spellEnd"/>
      <w:r>
        <w:rPr>
          <w:rFonts w:cstheme="minorHAnsi"/>
          <w:sz w:val="24"/>
          <w:szCs w:val="24"/>
          <w:lang w:val="en-GB"/>
        </w:rPr>
        <w:t xml:space="preserve"> and </w:t>
      </w:r>
      <w:proofErr w:type="spellStart"/>
      <w:r>
        <w:rPr>
          <w:rFonts w:cstheme="minorHAnsi"/>
          <w:sz w:val="24"/>
          <w:szCs w:val="24"/>
          <w:lang w:val="en-GB"/>
        </w:rPr>
        <w:t>Stepanova</w:t>
      </w:r>
      <w:proofErr w:type="spellEnd"/>
      <w:r>
        <w:rPr>
          <w:rFonts w:cstheme="minorHAnsi"/>
          <w:sz w:val="24"/>
          <w:szCs w:val="24"/>
          <w:lang w:val="en-GB"/>
        </w:rPr>
        <w:t xml:space="preserve"> (2021) jointly analysed transaction costs and new information on the value of artworks, avoiding the possibility of spurious relations. They concluded that there were no significant differences in returns for either auction houses or sales location, suggesting that the efficiency hypothesis cannot be rejected.</w:t>
      </w:r>
    </w:p>
    <w:p w14:paraId="2AEF2A1A" w14:textId="77777777" w:rsidR="00AE1998" w:rsidRDefault="00AE1998" w:rsidP="00AE1998">
      <w:pPr>
        <w:spacing w:line="360" w:lineRule="auto"/>
        <w:jc w:val="both"/>
        <w:rPr>
          <w:sz w:val="24"/>
          <w:szCs w:val="24"/>
          <w:lang w:val="en-GB"/>
        </w:rPr>
      </w:pPr>
      <w:r>
        <w:rPr>
          <w:rFonts w:cstheme="minorHAnsi"/>
          <w:sz w:val="24"/>
          <w:szCs w:val="24"/>
          <w:lang w:val="en-GB"/>
        </w:rPr>
        <w:t>In contrast to these contributions, which use repeat sales (RS) to test the existence of LOP, our paper us</w:t>
      </w:r>
      <w:r>
        <w:rPr>
          <w:sz w:val="24"/>
          <w:szCs w:val="24"/>
          <w:lang w:val="en-GB"/>
        </w:rPr>
        <w:t xml:space="preserve">es single sale observations to investigate the existence of the LOP. </w:t>
      </w:r>
      <w:r>
        <w:rPr>
          <w:rFonts w:cs="Times New Roman"/>
          <w:sz w:val="24"/>
          <w:szCs w:val="24"/>
          <w:lang w:val="en-GB"/>
        </w:rPr>
        <w:t xml:space="preserve">This allows us to overcome some of the limits of the RS approach. In fact, RS </w:t>
      </w:r>
      <w:r>
        <w:rPr>
          <w:sz w:val="24"/>
          <w:szCs w:val="24"/>
          <w:lang w:val="en-GB"/>
        </w:rPr>
        <w:t>reduces datasets to a small number of observations since high value art objects are traded infrequently (</w:t>
      </w:r>
      <w:proofErr w:type="spellStart"/>
      <w:r>
        <w:rPr>
          <w:sz w:val="24"/>
          <w:szCs w:val="24"/>
          <w:lang w:val="en-GB"/>
        </w:rPr>
        <w:t>Goetzmann</w:t>
      </w:r>
      <w:proofErr w:type="spellEnd"/>
      <w:r>
        <w:rPr>
          <w:sz w:val="24"/>
          <w:szCs w:val="24"/>
          <w:lang w:val="en-GB"/>
        </w:rPr>
        <w:t xml:space="preserve"> and Spiegel, 1997). In addition, most RS studies might be biased due to disproportionately representation of famous artists, or geographical sale provenances, etc. (</w:t>
      </w:r>
      <w:proofErr w:type="spellStart"/>
      <w:r>
        <w:rPr>
          <w:sz w:val="24"/>
          <w:szCs w:val="24"/>
          <w:lang w:val="en-GB"/>
        </w:rPr>
        <w:t>Guerzoni</w:t>
      </w:r>
      <w:proofErr w:type="spellEnd"/>
      <w:r>
        <w:rPr>
          <w:sz w:val="24"/>
          <w:szCs w:val="24"/>
          <w:lang w:val="en-GB"/>
        </w:rPr>
        <w:t>, 1995). Finally, resales can be difficult to identify, potentially creating inappropriate links between two sales (</w:t>
      </w:r>
      <w:proofErr w:type="spellStart"/>
      <w:r>
        <w:rPr>
          <w:sz w:val="24"/>
          <w:szCs w:val="24"/>
          <w:lang w:val="en-GB"/>
        </w:rPr>
        <w:t>Graddy</w:t>
      </w:r>
      <w:proofErr w:type="spellEnd"/>
      <w:r>
        <w:rPr>
          <w:sz w:val="24"/>
          <w:szCs w:val="24"/>
          <w:lang w:val="en-GB"/>
        </w:rPr>
        <w:t xml:space="preserve"> et al., 2012). </w:t>
      </w:r>
    </w:p>
    <w:p w14:paraId="342EF945" w14:textId="77777777" w:rsidR="00AE1998" w:rsidRDefault="00AE1998" w:rsidP="00AE1998">
      <w:pPr>
        <w:spacing w:line="360" w:lineRule="auto"/>
        <w:jc w:val="both"/>
        <w:rPr>
          <w:rFonts w:cs="Times New Roman"/>
          <w:sz w:val="24"/>
          <w:szCs w:val="24"/>
          <w:lang w:val="en-GB"/>
        </w:rPr>
      </w:pPr>
      <w:r>
        <w:rPr>
          <w:rFonts w:eastAsia="Calibri" w:cs="Times New Roman"/>
          <w:sz w:val="24"/>
          <w:szCs w:val="24"/>
          <w:lang w:val="en-GB" w:eastAsia="en-GB"/>
        </w:rPr>
        <w:t xml:space="preserve">This study </w:t>
      </w:r>
      <w:r>
        <w:rPr>
          <w:rFonts w:cs="Arial"/>
          <w:sz w:val="24"/>
          <w:szCs w:val="24"/>
          <w:lang w:val="en-GB"/>
        </w:rPr>
        <w:t xml:space="preserve">investigates the existence of the LOP in the arts specifically </w:t>
      </w:r>
      <w:r>
        <w:rPr>
          <w:rFonts w:cs="Garamond"/>
          <w:sz w:val="24"/>
          <w:szCs w:val="24"/>
          <w:lang w:val="en-GB"/>
        </w:rPr>
        <w:t>focusing on New York (NY),</w:t>
      </w:r>
      <w:r>
        <w:rPr>
          <w:rStyle w:val="Rimandonotaapidipagina"/>
          <w:rFonts w:cs="Garamond"/>
          <w:sz w:val="24"/>
          <w:szCs w:val="24"/>
          <w:lang w:val="en-GB"/>
        </w:rPr>
        <w:footnoteReference w:id="5"/>
      </w:r>
      <w:r>
        <w:rPr>
          <w:rFonts w:cs="Garamond"/>
          <w:sz w:val="24"/>
          <w:szCs w:val="24"/>
          <w:lang w:val="en-GB"/>
        </w:rPr>
        <w:t xml:space="preserve"> which is known for its</w:t>
      </w:r>
      <w:r>
        <w:rPr>
          <w:sz w:val="24"/>
          <w:szCs w:val="24"/>
          <w:lang w:val="en-GB"/>
        </w:rPr>
        <w:t xml:space="preserve"> status as a world art city. We analyse </w:t>
      </w:r>
      <w:r>
        <w:rPr>
          <w:rFonts w:cs="Arial"/>
          <w:sz w:val="24"/>
          <w:szCs w:val="24"/>
          <w:lang w:val="en-GB"/>
        </w:rPr>
        <w:t>price differences between NY and the Rest of the World (</w:t>
      </w:r>
      <w:proofErr w:type="spellStart"/>
      <w:r>
        <w:rPr>
          <w:rFonts w:cs="Arial"/>
          <w:sz w:val="24"/>
          <w:szCs w:val="24"/>
          <w:lang w:val="en-GB"/>
        </w:rPr>
        <w:t>RoW</w:t>
      </w:r>
      <w:proofErr w:type="spellEnd"/>
      <w:r>
        <w:rPr>
          <w:rFonts w:cs="Arial"/>
          <w:sz w:val="24"/>
          <w:szCs w:val="24"/>
          <w:lang w:val="en-GB"/>
        </w:rPr>
        <w:t>), decomposing</w:t>
      </w:r>
      <w:r>
        <w:rPr>
          <w:sz w:val="24"/>
          <w:szCs w:val="24"/>
          <w:lang w:val="en-GB"/>
        </w:rPr>
        <w:t xml:space="preserve"> them into differences which</w:t>
      </w:r>
      <w:r>
        <w:rPr>
          <w:color w:val="FF0000"/>
          <w:sz w:val="24"/>
          <w:szCs w:val="24"/>
          <w:lang w:val="en-GB"/>
        </w:rPr>
        <w:t xml:space="preserve"> </w:t>
      </w:r>
      <w:r>
        <w:rPr>
          <w:sz w:val="24"/>
          <w:szCs w:val="24"/>
          <w:lang w:val="en-GB"/>
        </w:rPr>
        <w:t xml:space="preserve">are due to different distribution of characteristics of artworks sold at NY or in the </w:t>
      </w:r>
      <w:proofErr w:type="spellStart"/>
      <w:r>
        <w:rPr>
          <w:sz w:val="24"/>
          <w:szCs w:val="24"/>
          <w:lang w:val="en-GB"/>
        </w:rPr>
        <w:t>RoW</w:t>
      </w:r>
      <w:proofErr w:type="spellEnd"/>
      <w:r>
        <w:rPr>
          <w:sz w:val="24"/>
          <w:szCs w:val="24"/>
          <w:lang w:val="en-GB"/>
        </w:rPr>
        <w:t xml:space="preserve"> or to the differences in the effects these characteristics exert on prices across markets.</w:t>
      </w:r>
      <w:r>
        <w:rPr>
          <w:i/>
          <w:sz w:val="24"/>
          <w:szCs w:val="24"/>
          <w:lang w:val="en-GB"/>
        </w:rPr>
        <w:t xml:space="preserve"> </w:t>
      </w:r>
      <w:r>
        <w:rPr>
          <w:rFonts w:cs="Arial"/>
          <w:sz w:val="24"/>
          <w:szCs w:val="24"/>
          <w:lang w:val="en-GB"/>
        </w:rPr>
        <w:t xml:space="preserve">Based on a sample of Picasso paintings sold worldwide at auction in the period 2000-2019, we apply the unconditional </w:t>
      </w:r>
      <w:proofErr w:type="spellStart"/>
      <w:r>
        <w:rPr>
          <w:rFonts w:cs="Arial"/>
          <w:sz w:val="24"/>
          <w:szCs w:val="24"/>
          <w:lang w:val="en-GB"/>
        </w:rPr>
        <w:t>Recentered</w:t>
      </w:r>
      <w:proofErr w:type="spellEnd"/>
      <w:r>
        <w:rPr>
          <w:rFonts w:cs="Arial"/>
          <w:sz w:val="24"/>
          <w:szCs w:val="24"/>
          <w:lang w:val="en-GB"/>
        </w:rPr>
        <w:t xml:space="preserve"> Influence Function (RIF) regression method (</w:t>
      </w:r>
      <w:proofErr w:type="spellStart"/>
      <w:r>
        <w:rPr>
          <w:rFonts w:cs="Arial"/>
          <w:sz w:val="24"/>
          <w:szCs w:val="24"/>
          <w:lang w:val="en-GB"/>
        </w:rPr>
        <w:t>Firpo</w:t>
      </w:r>
      <w:proofErr w:type="spellEnd"/>
      <w:r>
        <w:rPr>
          <w:rFonts w:cs="Arial"/>
          <w:sz w:val="24"/>
          <w:szCs w:val="24"/>
          <w:lang w:val="en-GB"/>
        </w:rPr>
        <w:t xml:space="preserve"> et al., 2009) to decompose the differences across percentiles in the distribution of returns between NY, and the </w:t>
      </w:r>
      <w:proofErr w:type="spellStart"/>
      <w:r>
        <w:rPr>
          <w:rFonts w:cs="Arial"/>
          <w:sz w:val="24"/>
          <w:szCs w:val="24"/>
          <w:lang w:val="en-GB"/>
        </w:rPr>
        <w:t>RoW</w:t>
      </w:r>
      <w:proofErr w:type="spellEnd"/>
      <w:r>
        <w:rPr>
          <w:rFonts w:cs="Arial"/>
          <w:sz w:val="24"/>
          <w:szCs w:val="24"/>
          <w:lang w:val="en-GB"/>
        </w:rPr>
        <w:t xml:space="preserve">. The </w:t>
      </w:r>
      <w:r>
        <w:rPr>
          <w:rFonts w:cs="Arial"/>
          <w:sz w:val="24"/>
          <w:szCs w:val="24"/>
          <w:lang w:val="en-GB" w:eastAsia="en-GB"/>
        </w:rPr>
        <w:t xml:space="preserve">main findings suggest that overall, the LOP fails with Picasso’s ‘blue chip’ artworks, while it holds with </w:t>
      </w:r>
      <w:r>
        <w:rPr>
          <w:sz w:val="24"/>
          <w:szCs w:val="24"/>
          <w:lang w:val="en-GB"/>
        </w:rPr>
        <w:t xml:space="preserve">Picasso’s lower price paintings. </w:t>
      </w:r>
      <w:r>
        <w:rPr>
          <w:rFonts w:cs="Arial"/>
          <w:sz w:val="24"/>
          <w:szCs w:val="24"/>
          <w:lang w:val="en-GB" w:eastAsia="en-GB"/>
        </w:rPr>
        <w:t>However, after the 2008-2009 financial crisis, we show that the art market became more efficient and the idiosyncratic nature of NY disappeared.</w:t>
      </w:r>
      <w:r>
        <w:rPr>
          <w:sz w:val="24"/>
          <w:szCs w:val="24"/>
          <w:lang w:val="en-GB"/>
        </w:rPr>
        <w:t xml:space="preserve"> The choice to use NY is due to its importance for trading art worldwide </w:t>
      </w:r>
      <w:r>
        <w:rPr>
          <w:rFonts w:cs="Times New Roman"/>
          <w:sz w:val="24"/>
          <w:szCs w:val="24"/>
          <w:lang w:val="en-GB"/>
        </w:rPr>
        <w:t>(Deloitte, 2019).</w:t>
      </w:r>
    </w:p>
    <w:p w14:paraId="091D8D08" w14:textId="77777777" w:rsidR="00AE1998" w:rsidRDefault="00AE1998" w:rsidP="00AE1998">
      <w:pPr>
        <w:spacing w:line="360" w:lineRule="auto"/>
        <w:jc w:val="both"/>
        <w:rPr>
          <w:sz w:val="24"/>
          <w:szCs w:val="24"/>
          <w:lang w:val="en-GB"/>
        </w:rPr>
      </w:pPr>
      <w:r>
        <w:rPr>
          <w:sz w:val="24"/>
          <w:szCs w:val="24"/>
          <w:lang w:val="en-GB"/>
        </w:rPr>
        <w:t xml:space="preserve">The main contributions of the paper to the existing literature are twofold. Firstly, different from previous studies, the use of the hedonic sample rather than RS to address the LOP enlarges allows us to keep as much available information as possible to carry out the analysis. Secondly, despite the role of NY in the art markets being well known (Power, 2008), we suggest a unique way to use </w:t>
      </w:r>
      <w:r>
        <w:rPr>
          <w:sz w:val="24"/>
          <w:szCs w:val="24"/>
          <w:lang w:val="en-GB"/>
        </w:rPr>
        <w:lastRenderedPageBreak/>
        <w:t>the RIF-decomposition results to highlight the idiosyncratic nature of it in the art markets. This approach could be applied to analyse other non-standard investment markets.</w:t>
      </w:r>
    </w:p>
    <w:p w14:paraId="4DB831E4" w14:textId="77777777" w:rsidR="00AE1998" w:rsidRDefault="00AE1998" w:rsidP="00AE1998">
      <w:pPr>
        <w:spacing w:line="360" w:lineRule="auto"/>
        <w:jc w:val="both"/>
        <w:rPr>
          <w:rFonts w:cs="Arial"/>
          <w:sz w:val="24"/>
          <w:szCs w:val="24"/>
          <w:lang w:val="en-GB"/>
        </w:rPr>
      </w:pPr>
      <w:r>
        <w:rPr>
          <w:sz w:val="24"/>
          <w:szCs w:val="24"/>
          <w:lang w:val="en-GB"/>
        </w:rPr>
        <w:t xml:space="preserve">The remainder of this paper is organised as follows. Section 2 surveys the specific role of NY in the arts. Section 3 </w:t>
      </w:r>
      <w:r>
        <w:rPr>
          <w:rFonts w:cs="Arial"/>
          <w:sz w:val="24"/>
          <w:szCs w:val="24"/>
          <w:lang w:val="en-GB"/>
        </w:rPr>
        <w:t>briefly</w:t>
      </w:r>
      <w:r>
        <w:rPr>
          <w:sz w:val="24"/>
          <w:szCs w:val="24"/>
          <w:lang w:val="en-GB"/>
        </w:rPr>
        <w:t xml:space="preserve"> illustrates </w:t>
      </w:r>
      <w:r>
        <w:rPr>
          <w:rFonts w:cs="Arial"/>
          <w:sz w:val="24"/>
          <w:szCs w:val="24"/>
          <w:lang w:val="en-GB"/>
        </w:rPr>
        <w:t>the unconditional RIF-decomposition method, while Section 4 describes the sample and the variables selected for this study. Section 5 shows the empirical findings. Section 6 discusses the results and concludes by providing the main implications.</w:t>
      </w:r>
    </w:p>
    <w:p w14:paraId="2E5EC455" w14:textId="77777777" w:rsidR="00AE1998" w:rsidRDefault="00AE1998" w:rsidP="00AE1998">
      <w:pPr>
        <w:spacing w:line="360" w:lineRule="auto"/>
        <w:jc w:val="both"/>
        <w:rPr>
          <w:rFonts w:cs="Arial"/>
          <w:sz w:val="24"/>
          <w:szCs w:val="24"/>
          <w:lang w:val="en-GB"/>
        </w:rPr>
      </w:pPr>
    </w:p>
    <w:p w14:paraId="049EB5D1" w14:textId="77777777" w:rsidR="00AE1998" w:rsidRDefault="00AE1998" w:rsidP="00AE1998">
      <w:pPr>
        <w:pStyle w:val="Paragrafoelenco"/>
        <w:numPr>
          <w:ilvl w:val="0"/>
          <w:numId w:val="22"/>
        </w:numPr>
        <w:spacing w:after="240" w:line="360" w:lineRule="auto"/>
        <w:jc w:val="both"/>
        <w:rPr>
          <w:rFonts w:cs="Arial"/>
          <w:b/>
          <w:sz w:val="24"/>
          <w:szCs w:val="24"/>
          <w:lang w:val="en-GB"/>
        </w:rPr>
      </w:pPr>
      <w:r>
        <w:rPr>
          <w:rFonts w:cs="Arial"/>
          <w:b/>
          <w:sz w:val="24"/>
          <w:szCs w:val="24"/>
          <w:lang w:val="en-GB"/>
        </w:rPr>
        <w:t>NEW YORK AND THE ARTS</w:t>
      </w:r>
    </w:p>
    <w:p w14:paraId="57B1CA99" w14:textId="77777777" w:rsidR="00AE1998" w:rsidRDefault="00AE1998" w:rsidP="00AE1998">
      <w:pPr>
        <w:autoSpaceDE w:val="0"/>
        <w:autoSpaceDN w:val="0"/>
        <w:adjustRightInd w:val="0"/>
        <w:spacing w:after="0" w:line="360" w:lineRule="auto"/>
        <w:jc w:val="both"/>
        <w:rPr>
          <w:sz w:val="24"/>
          <w:szCs w:val="24"/>
          <w:lang w:val="en-GB"/>
        </w:rPr>
      </w:pPr>
      <w:r>
        <w:rPr>
          <w:sz w:val="24"/>
          <w:szCs w:val="24"/>
          <w:lang w:val="en-GB"/>
        </w:rPr>
        <w:t>The business of art has long been characterised by geographic agglomeration in key centres of cultural activities, also favoured by worldwide transport connectivity (Hall, 2000; Scott, 2000). They are key nodes in communication and transport networks, easy to be reached from other countries. Moreover, market forces and media controversy contributed to establish internationally worldwide recognised art cities (</w:t>
      </w:r>
      <w:proofErr w:type="spellStart"/>
      <w:r>
        <w:rPr>
          <w:sz w:val="24"/>
          <w:szCs w:val="24"/>
          <w:lang w:val="en-GB"/>
        </w:rPr>
        <w:t>Ekelund</w:t>
      </w:r>
      <w:proofErr w:type="spellEnd"/>
      <w:r>
        <w:rPr>
          <w:sz w:val="24"/>
          <w:szCs w:val="24"/>
          <w:lang w:val="en-GB"/>
        </w:rPr>
        <w:t xml:space="preserve">, 2017). Territorial factors such as </w:t>
      </w:r>
      <w:r>
        <w:rPr>
          <w:sz w:val="24"/>
          <w:szCs w:val="24"/>
          <w:shd w:val="clear" w:color="auto" w:fill="FFFFFF" w:themeFill="background1"/>
          <w:lang w:val="en-GB"/>
        </w:rPr>
        <w:t>the economic power, political system, cultural policy, presence in art history, or the infrastructure of its arts institutions and art market may all affect a nation’s position and therefore a city’s position in the hierarchy of powerful art cities (Janssen et al., 2008).</w:t>
      </w:r>
      <w:r>
        <w:rPr>
          <w:sz w:val="24"/>
          <w:szCs w:val="24"/>
          <w:lang w:val="en-GB"/>
        </w:rPr>
        <w:t xml:space="preserve"> </w:t>
      </w:r>
    </w:p>
    <w:p w14:paraId="5AB627D9" w14:textId="77777777" w:rsidR="00AE1998" w:rsidRDefault="00AE1998" w:rsidP="00AE1998">
      <w:pPr>
        <w:autoSpaceDE w:val="0"/>
        <w:autoSpaceDN w:val="0"/>
        <w:adjustRightInd w:val="0"/>
        <w:spacing w:after="0" w:line="360" w:lineRule="auto"/>
        <w:jc w:val="both"/>
        <w:rPr>
          <w:sz w:val="24"/>
          <w:szCs w:val="24"/>
          <w:lang w:val="en-GB"/>
        </w:rPr>
      </w:pPr>
      <w:r>
        <w:rPr>
          <w:sz w:val="24"/>
          <w:szCs w:val="24"/>
          <w:lang w:val="en-GB"/>
        </w:rPr>
        <w:t>NY status as a world art city can be traced back to the 19</w:t>
      </w:r>
      <w:r>
        <w:rPr>
          <w:sz w:val="24"/>
          <w:szCs w:val="24"/>
          <w:vertAlign w:val="superscript"/>
          <w:lang w:val="en-GB"/>
        </w:rPr>
        <w:t>th</w:t>
      </w:r>
      <w:r>
        <w:rPr>
          <w:sz w:val="24"/>
          <w:szCs w:val="24"/>
          <w:lang w:val="en-GB"/>
        </w:rPr>
        <w:t xml:space="preserve"> century, when the narrative of the artistic innovation slowly moved from Paris to NY (</w:t>
      </w:r>
      <w:proofErr w:type="spellStart"/>
      <w:r>
        <w:rPr>
          <w:sz w:val="24"/>
          <w:szCs w:val="24"/>
          <w:lang w:val="en-GB"/>
        </w:rPr>
        <w:t>Ott</w:t>
      </w:r>
      <w:proofErr w:type="spellEnd"/>
      <w:r>
        <w:rPr>
          <w:sz w:val="24"/>
          <w:szCs w:val="24"/>
          <w:lang w:val="en-GB"/>
        </w:rPr>
        <w:t>, 2008). During and after the Second World War NY capitalised on Europe’s turmoil of contemporary art’s debates (</w:t>
      </w:r>
      <w:proofErr w:type="spellStart"/>
      <w:r>
        <w:rPr>
          <w:sz w:val="24"/>
          <w:szCs w:val="24"/>
          <w:lang w:val="en-GB"/>
        </w:rPr>
        <w:t>Guilbaut</w:t>
      </w:r>
      <w:proofErr w:type="spellEnd"/>
      <w:r>
        <w:rPr>
          <w:sz w:val="24"/>
          <w:szCs w:val="24"/>
          <w:lang w:val="en-GB"/>
        </w:rPr>
        <w:t>, 1983), and replaced Paris as cluster of creativity – ‘a cluster premium’ (</w:t>
      </w:r>
      <w:proofErr w:type="spellStart"/>
      <w:r>
        <w:rPr>
          <w:sz w:val="24"/>
          <w:szCs w:val="24"/>
          <w:lang w:val="en-GB"/>
        </w:rPr>
        <w:t>Hellmanzik</w:t>
      </w:r>
      <w:proofErr w:type="spellEnd"/>
      <w:r>
        <w:rPr>
          <w:sz w:val="24"/>
          <w:szCs w:val="24"/>
          <w:lang w:val="en-GB"/>
        </w:rPr>
        <w:t xml:space="preserve">, 2010). This is confirmed by the rise of new art movements such as Abstract Expressionism or Pop Art on one side, and, on the other one, new infrastructures, facilities and networks (of dealers, critics, galleries and artists) were developed to promote an international avant-garde movement. </w:t>
      </w:r>
    </w:p>
    <w:p w14:paraId="192388A0" w14:textId="77777777" w:rsidR="00AE1998" w:rsidRDefault="00AE1998" w:rsidP="00AE1998">
      <w:pPr>
        <w:autoSpaceDE w:val="0"/>
        <w:autoSpaceDN w:val="0"/>
        <w:adjustRightInd w:val="0"/>
        <w:spacing w:after="0" w:line="360" w:lineRule="auto"/>
        <w:jc w:val="both"/>
        <w:rPr>
          <w:sz w:val="24"/>
          <w:szCs w:val="24"/>
          <w:lang w:val="en-GB"/>
        </w:rPr>
      </w:pPr>
      <w:r>
        <w:rPr>
          <w:sz w:val="24"/>
          <w:szCs w:val="24"/>
          <w:lang w:val="en-GB"/>
        </w:rPr>
        <w:t xml:space="preserve">Referring to </w:t>
      </w:r>
      <w:proofErr w:type="spellStart"/>
      <w:r>
        <w:rPr>
          <w:sz w:val="24"/>
          <w:szCs w:val="24"/>
          <w:lang w:val="en-GB"/>
        </w:rPr>
        <w:t>Galenson’s</w:t>
      </w:r>
      <w:proofErr w:type="spellEnd"/>
      <w:r>
        <w:rPr>
          <w:sz w:val="24"/>
          <w:szCs w:val="24"/>
          <w:lang w:val="en-GB"/>
        </w:rPr>
        <w:t xml:space="preserve"> studies (2000, 2001), </w:t>
      </w:r>
      <w:hyperlink r:id="rId11" w:anchor="_bookmark9" w:history="1">
        <w:r w:rsidRPr="00AE1998">
          <w:rPr>
            <w:rStyle w:val="Collegamentoipertestuale"/>
            <w:color w:val="auto"/>
            <w:lang w:val="en-GB"/>
          </w:rPr>
          <w:t xml:space="preserve">Ginsburgh and Weyers (2006) </w:t>
        </w:r>
      </w:hyperlink>
      <w:r>
        <w:rPr>
          <w:sz w:val="24"/>
          <w:szCs w:val="24"/>
          <w:lang w:val="en-GB"/>
        </w:rPr>
        <w:t>discussed the changes of the art market in NY went through after the Second World War as new, different market conditions occurred as well as a new creative atmosphere, which was boosted by the arrival of many European artists and gallerists. An “epistemic community” flourished, bonded through affinity, necessity, and historical coincidence, which played a relevant role in the process of knowledge creation and diffusion of radical innovation in the arts (</w:t>
      </w:r>
      <w:proofErr w:type="spellStart"/>
      <w:r>
        <w:rPr>
          <w:sz w:val="24"/>
          <w:szCs w:val="24"/>
          <w:lang w:val="en-GB"/>
        </w:rPr>
        <w:t>Cohendet</w:t>
      </w:r>
      <w:proofErr w:type="spellEnd"/>
      <w:r>
        <w:rPr>
          <w:sz w:val="24"/>
          <w:szCs w:val="24"/>
          <w:lang w:val="en-GB"/>
        </w:rPr>
        <w:t xml:space="preserve"> et al. 2014). In fact, </w:t>
      </w:r>
      <w:r>
        <w:rPr>
          <w:sz w:val="24"/>
          <w:szCs w:val="24"/>
          <w:lang w:val="en-GB"/>
        </w:rPr>
        <w:lastRenderedPageBreak/>
        <w:t>epistemic communities - embedded in a specific context, a city or a region - are relevant as they contribute to benefit the local milieu by making the city’s influence and attractiveness stronger, by developing new cultural organizations and institutions, by creating jobs and skills, by developing the cultural scene from different perspective (</w:t>
      </w:r>
      <w:proofErr w:type="spellStart"/>
      <w:r>
        <w:rPr>
          <w:sz w:val="24"/>
          <w:szCs w:val="24"/>
          <w:lang w:val="en-GB"/>
        </w:rPr>
        <w:t>Cohendet</w:t>
      </w:r>
      <w:proofErr w:type="spellEnd"/>
      <w:r>
        <w:rPr>
          <w:sz w:val="24"/>
          <w:szCs w:val="24"/>
          <w:lang w:val="en-GB"/>
        </w:rPr>
        <w:t xml:space="preserve"> et al., 2014).</w:t>
      </w:r>
    </w:p>
    <w:p w14:paraId="033D1EF9" w14:textId="77777777" w:rsidR="00AE1998" w:rsidRDefault="00AE1998" w:rsidP="00AE1998">
      <w:pPr>
        <w:autoSpaceDE w:val="0"/>
        <w:autoSpaceDN w:val="0"/>
        <w:adjustRightInd w:val="0"/>
        <w:spacing w:after="0" w:line="360" w:lineRule="auto"/>
        <w:jc w:val="both"/>
        <w:rPr>
          <w:sz w:val="24"/>
          <w:szCs w:val="24"/>
          <w:lang w:val="en-GB"/>
        </w:rPr>
      </w:pPr>
      <w:r>
        <w:rPr>
          <w:sz w:val="24"/>
          <w:szCs w:val="24"/>
          <w:lang w:val="en-GB"/>
        </w:rPr>
        <w:t>Over time, NY formed a solid art industry chain model, incorporating the concepts of the value chain, organizational chain, supply-demand chain and spatial chain. NY became a global creative hub (</w:t>
      </w:r>
      <w:proofErr w:type="spellStart"/>
      <w:r>
        <w:rPr>
          <w:sz w:val="24"/>
          <w:szCs w:val="24"/>
          <w:lang w:val="en-GB"/>
        </w:rPr>
        <w:t>Currid</w:t>
      </w:r>
      <w:proofErr w:type="spellEnd"/>
      <w:r>
        <w:rPr>
          <w:sz w:val="24"/>
          <w:szCs w:val="24"/>
          <w:lang w:val="en-GB"/>
        </w:rPr>
        <w:t>, 2006) and got the status as one of the world’s key “global nodes” for art exchange, home to world-famous museums (the Metropolitan Museum of Art, the Museum of Modern Art, the Guggenheim Museum), dealers and galleries, art auction houses, art trading centres, well-established networks of critics, and art studies. The economic conditions contribute to solidifying NY position as an artistic and cultural hub (</w:t>
      </w:r>
      <w:proofErr w:type="spellStart"/>
      <w:r>
        <w:rPr>
          <w:sz w:val="24"/>
          <w:szCs w:val="24"/>
          <w:lang w:val="en-GB"/>
        </w:rPr>
        <w:t>Currid</w:t>
      </w:r>
      <w:proofErr w:type="spellEnd"/>
      <w:r>
        <w:rPr>
          <w:sz w:val="24"/>
          <w:szCs w:val="24"/>
          <w:lang w:val="en-GB"/>
        </w:rPr>
        <w:t xml:space="preserve">, 2006; </w:t>
      </w:r>
      <w:proofErr w:type="spellStart"/>
      <w:r>
        <w:rPr>
          <w:sz w:val="24"/>
          <w:szCs w:val="24"/>
          <w:lang w:val="en-GB"/>
        </w:rPr>
        <w:t>Ekelund</w:t>
      </w:r>
      <w:proofErr w:type="spellEnd"/>
      <w:r>
        <w:rPr>
          <w:sz w:val="24"/>
          <w:szCs w:val="24"/>
          <w:lang w:val="en-GB"/>
        </w:rPr>
        <w:t xml:space="preserve">, 2017). </w:t>
      </w:r>
    </w:p>
    <w:p w14:paraId="5AD9D673" w14:textId="77777777" w:rsidR="00AE1998" w:rsidRDefault="00AE1998" w:rsidP="00AE1998">
      <w:pPr>
        <w:autoSpaceDE w:val="0"/>
        <w:autoSpaceDN w:val="0"/>
        <w:adjustRightInd w:val="0"/>
        <w:spacing w:after="0" w:line="360" w:lineRule="auto"/>
        <w:jc w:val="both"/>
        <w:rPr>
          <w:sz w:val="24"/>
          <w:szCs w:val="24"/>
          <w:lang w:val="en-GB"/>
        </w:rPr>
      </w:pPr>
      <w:r>
        <w:rPr>
          <w:sz w:val="24"/>
          <w:szCs w:val="24"/>
          <w:lang w:val="en-GB"/>
        </w:rPr>
        <w:t xml:space="preserve">The connection between economic power and cultural capital in world cities is well-known (King, 1990; </w:t>
      </w:r>
      <w:proofErr w:type="spellStart"/>
      <w:r>
        <w:rPr>
          <w:sz w:val="24"/>
          <w:szCs w:val="24"/>
          <w:lang w:val="en-GB"/>
        </w:rPr>
        <w:t>Sassen</w:t>
      </w:r>
      <w:proofErr w:type="spellEnd"/>
      <w:r>
        <w:rPr>
          <w:sz w:val="24"/>
          <w:szCs w:val="24"/>
          <w:lang w:val="en-GB"/>
        </w:rPr>
        <w:t xml:space="preserve">, 1991; Flew, 2010). There is a clear positive correlation between cities being the centres of financial activities and cultural and creative industries. Recently, </w:t>
      </w:r>
      <w:proofErr w:type="spellStart"/>
      <w:r>
        <w:rPr>
          <w:sz w:val="24"/>
          <w:szCs w:val="24"/>
          <w:lang w:val="en-GB"/>
        </w:rPr>
        <w:t>Freke</w:t>
      </w:r>
      <w:proofErr w:type="spellEnd"/>
      <w:r>
        <w:rPr>
          <w:sz w:val="24"/>
          <w:szCs w:val="24"/>
          <w:lang w:val="en-GB"/>
        </w:rPr>
        <w:t xml:space="preserve"> and </w:t>
      </w:r>
      <w:proofErr w:type="spellStart"/>
      <w:r>
        <w:rPr>
          <w:sz w:val="24"/>
          <w:szCs w:val="24"/>
          <w:lang w:val="en-GB"/>
        </w:rPr>
        <w:t>Derudder</w:t>
      </w:r>
      <w:proofErr w:type="spellEnd"/>
      <w:r>
        <w:rPr>
          <w:sz w:val="24"/>
          <w:szCs w:val="24"/>
          <w:lang w:val="en-GB"/>
        </w:rPr>
        <w:t xml:space="preserve"> (2017) analysed the geographical intersections between global cities of finance and global cities of art. To this end, a ‘global arts centre’ and a “global financial centre” indices were developed. As expected, NY displayed a prominent and leading position in the rank correlation between the two indexes.</w:t>
      </w:r>
    </w:p>
    <w:p w14:paraId="7204E91F" w14:textId="77777777" w:rsidR="00AE1998" w:rsidRDefault="00AE1998" w:rsidP="00AE1998">
      <w:pPr>
        <w:autoSpaceDE w:val="0"/>
        <w:autoSpaceDN w:val="0"/>
        <w:adjustRightInd w:val="0"/>
        <w:spacing w:after="0" w:line="360" w:lineRule="auto"/>
        <w:jc w:val="both"/>
        <w:rPr>
          <w:sz w:val="24"/>
          <w:szCs w:val="24"/>
          <w:lang w:val="en-GB"/>
        </w:rPr>
      </w:pPr>
      <w:r>
        <w:rPr>
          <w:sz w:val="24"/>
          <w:szCs w:val="24"/>
          <w:lang w:val="en-GB"/>
        </w:rPr>
        <w:t>Hence, the status of NY as dominant global city because of both its high concentration of finance and management services (</w:t>
      </w:r>
      <w:proofErr w:type="spellStart"/>
      <w:r>
        <w:rPr>
          <w:sz w:val="24"/>
          <w:szCs w:val="24"/>
          <w:lang w:val="en-GB"/>
        </w:rPr>
        <w:t>Sassen</w:t>
      </w:r>
      <w:proofErr w:type="spellEnd"/>
      <w:r>
        <w:rPr>
          <w:sz w:val="24"/>
          <w:szCs w:val="24"/>
          <w:lang w:val="en-GB"/>
        </w:rPr>
        <w:t xml:space="preserve">, 1991) and the importance of the arts in the economic development of the city (Scott, 2000; </w:t>
      </w:r>
      <w:proofErr w:type="spellStart"/>
      <w:r>
        <w:rPr>
          <w:sz w:val="24"/>
          <w:szCs w:val="24"/>
          <w:lang w:val="en-GB"/>
        </w:rPr>
        <w:t>Markusen</w:t>
      </w:r>
      <w:proofErr w:type="spellEnd"/>
      <w:r>
        <w:rPr>
          <w:sz w:val="24"/>
          <w:szCs w:val="24"/>
          <w:lang w:val="en-GB"/>
        </w:rPr>
        <w:t xml:space="preserve"> et al., 2004), make NY a unique city to focus on to investigate whether any idiosyncratic effect on the art market emerges. </w:t>
      </w:r>
    </w:p>
    <w:p w14:paraId="417037F5" w14:textId="77777777" w:rsidR="00AE1998" w:rsidRDefault="00AE1998" w:rsidP="00AE1998">
      <w:pPr>
        <w:spacing w:line="360" w:lineRule="auto"/>
        <w:jc w:val="both"/>
        <w:rPr>
          <w:rFonts w:cs="Arial"/>
          <w:sz w:val="24"/>
          <w:szCs w:val="24"/>
          <w:lang w:val="en-GB"/>
        </w:rPr>
      </w:pPr>
    </w:p>
    <w:p w14:paraId="091F88D9" w14:textId="77777777" w:rsidR="00AE1998" w:rsidRDefault="00AE1998" w:rsidP="00AE1998">
      <w:pPr>
        <w:pStyle w:val="Paragrafoelenco"/>
        <w:numPr>
          <w:ilvl w:val="0"/>
          <w:numId w:val="22"/>
        </w:numPr>
        <w:spacing w:after="240" w:line="360" w:lineRule="auto"/>
        <w:ind w:left="397"/>
        <w:jc w:val="both"/>
        <w:rPr>
          <w:rFonts w:cs="Arial"/>
          <w:b/>
          <w:sz w:val="24"/>
          <w:szCs w:val="24"/>
          <w:lang w:val="en-GB"/>
        </w:rPr>
      </w:pPr>
      <w:r>
        <w:rPr>
          <w:rFonts w:cs="Arial"/>
          <w:b/>
          <w:sz w:val="24"/>
          <w:szCs w:val="24"/>
          <w:lang w:val="en-GB"/>
        </w:rPr>
        <w:t>METHODOLOGICAL FRAMEWORK</w:t>
      </w:r>
    </w:p>
    <w:p w14:paraId="19D1B451" w14:textId="77777777" w:rsidR="00AE1998" w:rsidRDefault="00AE1998" w:rsidP="00AE1998">
      <w:pPr>
        <w:autoSpaceDE w:val="0"/>
        <w:autoSpaceDN w:val="0"/>
        <w:adjustRightInd w:val="0"/>
        <w:spacing w:after="0" w:line="360" w:lineRule="auto"/>
        <w:jc w:val="both"/>
        <w:rPr>
          <w:rFonts w:cs="Arial"/>
          <w:sz w:val="24"/>
          <w:szCs w:val="24"/>
          <w:lang w:val="en-GB"/>
        </w:rPr>
      </w:pPr>
      <w:r>
        <w:rPr>
          <w:sz w:val="24"/>
          <w:szCs w:val="24"/>
          <w:lang w:val="en-GB"/>
        </w:rPr>
        <w:t xml:space="preserve">In what follows we attempt to capture the idiosyncratic effect of NY on the art market by comparing </w:t>
      </w:r>
      <w:r>
        <w:rPr>
          <w:rFonts w:cs="Arial"/>
          <w:sz w:val="24"/>
          <w:szCs w:val="24"/>
          <w:lang w:val="en-GB"/>
        </w:rPr>
        <w:t xml:space="preserve">percentile price differences in Picasso paintings sold worldwide </w:t>
      </w:r>
      <w:r>
        <w:rPr>
          <w:rFonts w:eastAsia="Calibri" w:cs="Times New Roman"/>
          <w:sz w:val="24"/>
          <w:szCs w:val="24"/>
          <w:lang w:val="en-GB"/>
        </w:rPr>
        <w:t>during the period 2000-2019</w:t>
      </w:r>
      <w:r>
        <w:rPr>
          <w:rFonts w:cs="Garamond"/>
          <w:sz w:val="24"/>
          <w:szCs w:val="24"/>
          <w:lang w:val="en-GB"/>
        </w:rPr>
        <w:t xml:space="preserve"> </w:t>
      </w:r>
      <w:r>
        <w:rPr>
          <w:rFonts w:cs="Arial"/>
          <w:sz w:val="24"/>
          <w:szCs w:val="24"/>
          <w:lang w:val="en-GB"/>
        </w:rPr>
        <w:t xml:space="preserve">between  NY and the </w:t>
      </w:r>
      <w:proofErr w:type="spellStart"/>
      <w:r>
        <w:rPr>
          <w:rFonts w:cs="Arial"/>
          <w:sz w:val="24"/>
          <w:szCs w:val="24"/>
          <w:lang w:val="en-GB"/>
        </w:rPr>
        <w:t>RoW</w:t>
      </w:r>
      <w:proofErr w:type="spellEnd"/>
      <w:r>
        <w:rPr>
          <w:rFonts w:cs="Arial"/>
          <w:sz w:val="24"/>
          <w:szCs w:val="24"/>
          <w:lang w:val="en-GB"/>
        </w:rPr>
        <w:t xml:space="preserve">. The idea here is to decompose price differences and consider the unexplained component of the decomposition as a proxy for the idiosyncratic nature of the markets after adjusting for differences in observable characteristics. To the extent that such a </w:t>
      </w:r>
      <w:r>
        <w:rPr>
          <w:rFonts w:cs="Arial"/>
          <w:sz w:val="24"/>
          <w:szCs w:val="24"/>
          <w:lang w:val="en-GB"/>
        </w:rPr>
        <w:lastRenderedPageBreak/>
        <w:t>component is statistically significant, the idiosyncratic effect of NY emerges and, consequently, the LOP is assumed to be violated.</w:t>
      </w:r>
    </w:p>
    <w:p w14:paraId="1CFF45D8" w14:textId="77777777" w:rsidR="00AE1998" w:rsidRDefault="00AE1998" w:rsidP="00AE1998">
      <w:pPr>
        <w:autoSpaceDE w:val="0"/>
        <w:autoSpaceDN w:val="0"/>
        <w:adjustRightInd w:val="0"/>
        <w:spacing w:after="0" w:line="360" w:lineRule="auto"/>
        <w:jc w:val="both"/>
        <w:rPr>
          <w:rFonts w:cs="Arial"/>
          <w:sz w:val="24"/>
          <w:szCs w:val="24"/>
          <w:lang w:val="en-GB"/>
        </w:rPr>
      </w:pPr>
      <w:r>
        <w:rPr>
          <w:rFonts w:ascii="Calibri" w:hAnsi="Calibri" w:cs="Calibri"/>
          <w:sz w:val="24"/>
          <w:szCs w:val="24"/>
          <w:lang w:val="en-GB"/>
        </w:rPr>
        <w:t>The Oaxaca (1973) and Blinder (1973) decomposition is the standard approach to decomposition analysis.</w:t>
      </w:r>
      <w:r>
        <w:rPr>
          <w:rFonts w:ascii="Calibri" w:hAnsi="Calibri" w:cs="Calibri"/>
          <w:color w:val="000000"/>
          <w:sz w:val="24"/>
          <w:szCs w:val="24"/>
          <w:lang w:val="en-GB"/>
        </w:rPr>
        <w:t xml:space="preserve"> </w:t>
      </w:r>
      <w:r>
        <w:rPr>
          <w:rFonts w:ascii="Calibri" w:hAnsi="Calibri" w:cs="Calibri"/>
          <w:color w:val="000000" w:themeColor="text1"/>
          <w:sz w:val="24"/>
          <w:szCs w:val="24"/>
          <w:lang w:val="en-GB"/>
        </w:rPr>
        <w:t xml:space="preserve">Although it is relatively easy and intuitive, the Oaxaca and Blinder decomposition (OB) has some limits. Specifically, </w:t>
      </w:r>
      <w:r>
        <w:rPr>
          <w:rFonts w:cstheme="minorHAnsi"/>
          <w:color w:val="000000" w:themeColor="text1"/>
          <w:sz w:val="24"/>
          <w:szCs w:val="24"/>
          <w:lang w:val="en-GB"/>
        </w:rPr>
        <w:t>the contribution of each covariate to the dependent variable structure effect is sensitive to the choice of the base group (</w:t>
      </w:r>
      <w:proofErr w:type="spellStart"/>
      <w:r>
        <w:rPr>
          <w:rFonts w:cstheme="minorHAnsi"/>
          <w:color w:val="000000" w:themeColor="text1"/>
          <w:sz w:val="24"/>
          <w:szCs w:val="24"/>
          <w:lang w:val="en-GB"/>
        </w:rPr>
        <w:t>Gardeazabal</w:t>
      </w:r>
      <w:proofErr w:type="spellEnd"/>
      <w:r>
        <w:rPr>
          <w:rFonts w:cstheme="minorHAnsi"/>
          <w:color w:val="000000" w:themeColor="text1"/>
          <w:sz w:val="24"/>
          <w:szCs w:val="24"/>
          <w:lang w:val="en-GB"/>
        </w:rPr>
        <w:t xml:space="preserve"> and </w:t>
      </w:r>
      <w:proofErr w:type="spellStart"/>
      <w:r>
        <w:rPr>
          <w:rFonts w:cstheme="minorHAnsi"/>
          <w:color w:val="000000" w:themeColor="text1"/>
          <w:sz w:val="24"/>
          <w:szCs w:val="24"/>
          <w:lang w:val="en-GB"/>
        </w:rPr>
        <w:t>Ugidos</w:t>
      </w:r>
      <w:proofErr w:type="spellEnd"/>
      <w:r>
        <w:rPr>
          <w:rFonts w:cstheme="minorHAnsi"/>
          <w:color w:val="000000" w:themeColor="text1"/>
          <w:sz w:val="24"/>
          <w:szCs w:val="24"/>
          <w:lang w:val="en-GB"/>
        </w:rPr>
        <w:t xml:space="preserve">, 2004). In additional, </w:t>
      </w:r>
      <w:r>
        <w:rPr>
          <w:rFonts w:cstheme="minorHAnsi"/>
          <w:color w:val="000000"/>
          <w:sz w:val="24"/>
          <w:szCs w:val="24"/>
          <w:lang w:val="en-GB"/>
        </w:rPr>
        <w:t>the OB estimates are consistent only if the conditional expectation is linear (</w:t>
      </w:r>
      <w:proofErr w:type="spellStart"/>
      <w:r>
        <w:rPr>
          <w:rFonts w:cstheme="minorHAnsi"/>
          <w:color w:val="000000"/>
          <w:sz w:val="24"/>
          <w:szCs w:val="24"/>
          <w:lang w:val="en-GB"/>
        </w:rPr>
        <w:t>Barsky</w:t>
      </w:r>
      <w:proofErr w:type="spellEnd"/>
      <w:r>
        <w:rPr>
          <w:rFonts w:cstheme="minorHAnsi"/>
          <w:color w:val="000000"/>
          <w:sz w:val="24"/>
          <w:szCs w:val="24"/>
          <w:lang w:val="en-GB"/>
        </w:rPr>
        <w:t xml:space="preserve"> et al., 2002). Hence, due to the existence of a</w:t>
      </w:r>
      <w:r>
        <w:rPr>
          <w:sz w:val="24"/>
          <w:szCs w:val="24"/>
          <w:lang w:val="en-GB"/>
        </w:rPr>
        <w:t xml:space="preserve"> segmentation in the art market with respect to the market value of the artworks (</w:t>
      </w:r>
      <w:proofErr w:type="spellStart"/>
      <w:r>
        <w:rPr>
          <w:sz w:val="24"/>
          <w:szCs w:val="24"/>
          <w:lang w:val="en-GB"/>
        </w:rPr>
        <w:t>Scorcu</w:t>
      </w:r>
      <w:proofErr w:type="spellEnd"/>
      <w:r>
        <w:rPr>
          <w:sz w:val="24"/>
          <w:szCs w:val="24"/>
          <w:lang w:val="en-GB"/>
        </w:rPr>
        <w:t xml:space="preserve"> and </w:t>
      </w:r>
      <w:proofErr w:type="spellStart"/>
      <w:r>
        <w:rPr>
          <w:sz w:val="24"/>
          <w:szCs w:val="24"/>
          <w:lang w:val="en-GB"/>
        </w:rPr>
        <w:t>Zanola</w:t>
      </w:r>
      <w:proofErr w:type="spellEnd"/>
      <w:r>
        <w:rPr>
          <w:sz w:val="24"/>
          <w:szCs w:val="24"/>
          <w:lang w:val="en-GB"/>
        </w:rPr>
        <w:t>, 2011), in what follows</w:t>
      </w:r>
      <w:r>
        <w:rPr>
          <w:rFonts w:cstheme="minorHAnsi"/>
          <w:color w:val="000000"/>
          <w:sz w:val="24"/>
          <w:szCs w:val="24"/>
          <w:lang w:val="en-GB"/>
        </w:rPr>
        <w:t xml:space="preserve"> we adopt the RIF-regression decomposition method, which provides a linear approximation of highly non-linear functional (</w:t>
      </w:r>
      <w:proofErr w:type="spellStart"/>
      <w:r>
        <w:rPr>
          <w:rFonts w:cstheme="minorHAnsi"/>
          <w:color w:val="000000"/>
          <w:sz w:val="24"/>
          <w:szCs w:val="24"/>
          <w:lang w:val="en-GB"/>
        </w:rPr>
        <w:t>Firpo</w:t>
      </w:r>
      <w:proofErr w:type="spellEnd"/>
      <w:r>
        <w:rPr>
          <w:rFonts w:cstheme="minorHAnsi"/>
          <w:color w:val="000000"/>
          <w:sz w:val="24"/>
          <w:szCs w:val="24"/>
          <w:lang w:val="en-GB"/>
        </w:rPr>
        <w:t xml:space="preserve"> et al., 2018).</w:t>
      </w:r>
      <w:r>
        <w:rPr>
          <w:rFonts w:cs="Arial"/>
          <w:sz w:val="24"/>
          <w:szCs w:val="24"/>
          <w:lang w:val="en-GB"/>
        </w:rPr>
        <w:t xml:space="preserve"> </w:t>
      </w:r>
    </w:p>
    <w:p w14:paraId="08272EB6" w14:textId="77777777" w:rsidR="00AE1998" w:rsidRDefault="00AE1998" w:rsidP="00AE1998">
      <w:pPr>
        <w:autoSpaceDE w:val="0"/>
        <w:autoSpaceDN w:val="0"/>
        <w:adjustRightInd w:val="0"/>
        <w:spacing w:after="0" w:line="360" w:lineRule="auto"/>
        <w:jc w:val="both"/>
        <w:rPr>
          <w:rFonts w:cstheme="minorHAnsi"/>
          <w:color w:val="000000"/>
          <w:sz w:val="24"/>
          <w:szCs w:val="24"/>
          <w:lang w:val="en-GB"/>
        </w:rPr>
      </w:pPr>
      <w:r>
        <w:rPr>
          <w:rFonts w:eastAsia="Calibri" w:cs="Times New Roman"/>
          <w:sz w:val="24"/>
          <w:szCs w:val="24"/>
          <w:lang w:val="en-GB" w:eastAsia="en-GB"/>
        </w:rPr>
        <w:t xml:space="preserve">The </w:t>
      </w:r>
      <w:r>
        <w:rPr>
          <w:rFonts w:cs="Cambria"/>
          <w:sz w:val="24"/>
          <w:szCs w:val="24"/>
          <w:lang w:val="en-GB"/>
        </w:rPr>
        <w:t>RIF decomposition method has been used to explain the gender wage gap</w:t>
      </w:r>
      <w:r>
        <w:rPr>
          <w:rFonts w:cs="TTdcr10"/>
          <w:sz w:val="24"/>
          <w:szCs w:val="24"/>
          <w:lang w:val="en-GB"/>
        </w:rPr>
        <w:t xml:space="preserve"> (Fortin et al., 2010). Although a number of papers have then extended this analyse beyond the traditional labour economics framework, such as the case for health</w:t>
      </w:r>
      <w:r>
        <w:rPr>
          <w:rFonts w:cs="Garamond"/>
          <w:sz w:val="24"/>
          <w:szCs w:val="24"/>
          <w:lang w:val="en-GB"/>
        </w:rPr>
        <w:t xml:space="preserve"> (Borah and </w:t>
      </w:r>
      <w:proofErr w:type="spellStart"/>
      <w:r>
        <w:rPr>
          <w:rFonts w:cs="Garamond"/>
          <w:sz w:val="24"/>
          <w:szCs w:val="24"/>
          <w:lang w:val="en-GB"/>
        </w:rPr>
        <w:t>Basu</w:t>
      </w:r>
      <w:proofErr w:type="spellEnd"/>
      <w:r>
        <w:rPr>
          <w:rFonts w:cs="Garamond"/>
          <w:sz w:val="24"/>
          <w:szCs w:val="24"/>
          <w:lang w:val="en-GB"/>
        </w:rPr>
        <w:t xml:space="preserve">, 2013; </w:t>
      </w:r>
      <w:proofErr w:type="spellStart"/>
      <w:r>
        <w:rPr>
          <w:rFonts w:cs="TTdcr10"/>
          <w:sz w:val="24"/>
          <w:szCs w:val="24"/>
          <w:lang w:val="en-GB"/>
        </w:rPr>
        <w:t>Heckley</w:t>
      </w:r>
      <w:proofErr w:type="spellEnd"/>
      <w:r>
        <w:rPr>
          <w:rFonts w:cs="TTdcr10"/>
          <w:sz w:val="24"/>
          <w:szCs w:val="24"/>
          <w:lang w:val="en-GB"/>
        </w:rPr>
        <w:t xml:space="preserve"> et al., 2016</w:t>
      </w:r>
      <w:r>
        <w:rPr>
          <w:rFonts w:cs="Garamond"/>
          <w:sz w:val="24"/>
          <w:szCs w:val="24"/>
          <w:lang w:val="en-GB"/>
        </w:rPr>
        <w:t xml:space="preserve">), </w:t>
      </w:r>
      <w:r>
        <w:rPr>
          <w:rFonts w:cs="TTdcr10"/>
          <w:sz w:val="24"/>
          <w:szCs w:val="24"/>
          <w:lang w:val="en-GB"/>
        </w:rPr>
        <w:t>happiness inequality (</w:t>
      </w:r>
      <w:proofErr w:type="spellStart"/>
      <w:r>
        <w:rPr>
          <w:rFonts w:cs="TTdcr10"/>
          <w:sz w:val="24"/>
          <w:szCs w:val="24"/>
          <w:lang w:val="en-GB"/>
        </w:rPr>
        <w:t>Becchetti</w:t>
      </w:r>
      <w:proofErr w:type="spellEnd"/>
      <w:r>
        <w:rPr>
          <w:rFonts w:cs="TTdcr10"/>
          <w:sz w:val="24"/>
          <w:szCs w:val="24"/>
          <w:lang w:val="en-GB"/>
        </w:rPr>
        <w:t xml:space="preserve"> et al., 2014), </w:t>
      </w:r>
      <w:r>
        <w:rPr>
          <w:rFonts w:cs="Garamond"/>
          <w:sz w:val="24"/>
          <w:szCs w:val="24"/>
          <w:lang w:val="en-GB"/>
        </w:rPr>
        <w:t>cultural labour markets (</w:t>
      </w:r>
      <w:proofErr w:type="spellStart"/>
      <w:r>
        <w:rPr>
          <w:rFonts w:cs="Garamond"/>
          <w:sz w:val="24"/>
          <w:szCs w:val="24"/>
          <w:lang w:val="en-GB"/>
        </w:rPr>
        <w:t>Heo</w:t>
      </w:r>
      <w:proofErr w:type="spellEnd"/>
      <w:r>
        <w:rPr>
          <w:rFonts w:cs="Garamond"/>
          <w:sz w:val="24"/>
          <w:szCs w:val="24"/>
          <w:lang w:val="en-GB"/>
        </w:rPr>
        <w:t xml:space="preserve"> and Yoon, 2018), income inequality (</w:t>
      </w:r>
      <w:proofErr w:type="spellStart"/>
      <w:r>
        <w:rPr>
          <w:sz w:val="24"/>
          <w:szCs w:val="24"/>
          <w:lang w:val="en-GB"/>
        </w:rPr>
        <w:t>Essama-Nssah</w:t>
      </w:r>
      <w:proofErr w:type="spellEnd"/>
      <w:r>
        <w:rPr>
          <w:sz w:val="24"/>
          <w:szCs w:val="24"/>
          <w:lang w:val="en-GB"/>
        </w:rPr>
        <w:t xml:space="preserve"> and Lambert, 2016), </w:t>
      </w:r>
      <w:r>
        <w:rPr>
          <w:rFonts w:cs="Garamond"/>
          <w:sz w:val="24"/>
          <w:szCs w:val="24"/>
          <w:lang w:val="en-GB"/>
        </w:rPr>
        <w:t>the RIF decomposition approach has never been used, to our knowledge, to analyse investment art markets.</w:t>
      </w:r>
    </w:p>
    <w:p w14:paraId="6237BB48" w14:textId="77777777" w:rsidR="00AE1998" w:rsidRDefault="00AE1998" w:rsidP="00AE1998">
      <w:pPr>
        <w:autoSpaceDE w:val="0"/>
        <w:autoSpaceDN w:val="0"/>
        <w:adjustRightInd w:val="0"/>
        <w:spacing w:after="0" w:line="360" w:lineRule="auto"/>
        <w:jc w:val="both"/>
        <w:rPr>
          <w:rFonts w:cs="Arial"/>
          <w:sz w:val="24"/>
          <w:szCs w:val="24"/>
          <w:lang w:val="en-GB"/>
        </w:rPr>
      </w:pPr>
      <w:r>
        <w:rPr>
          <w:rFonts w:cs="Arial"/>
          <w:sz w:val="24"/>
          <w:szCs w:val="24"/>
          <w:lang w:val="en-GB"/>
        </w:rPr>
        <w:t xml:space="preserve">Let </w:t>
      </w:r>
      <w:r>
        <w:rPr>
          <w:rFonts w:cs="Arial"/>
          <w:i/>
          <w:sz w:val="24"/>
          <w:szCs w:val="24"/>
          <w:lang w:val="en-GB"/>
        </w:rPr>
        <w:t>Y</w:t>
      </w:r>
      <w:r>
        <w:rPr>
          <w:rFonts w:cs="Arial"/>
          <w:sz w:val="24"/>
          <w:szCs w:val="24"/>
          <w:lang w:val="en-GB"/>
        </w:rPr>
        <w:t xml:space="preserve"> be a random variable with cumulative distribution function </w:t>
      </w:r>
      <m:oMath>
        <m:sSub>
          <m:sSubPr>
            <m:ctrlPr>
              <w:rPr>
                <w:rFonts w:ascii="Cambria Math" w:hAnsi="Cambria Math" w:cs="Arial"/>
                <w:i/>
                <w:sz w:val="24"/>
                <w:szCs w:val="24"/>
                <w:lang w:val="en-GB"/>
              </w:rPr>
            </m:ctrlPr>
          </m:sSubPr>
          <m:e>
            <m:r>
              <w:rPr>
                <w:rFonts w:ascii="Cambria Math" w:hAnsi="Cambria Math" w:cs="Arial"/>
                <w:sz w:val="24"/>
                <w:szCs w:val="24"/>
                <w:lang w:val="en-GB"/>
              </w:rPr>
              <m:t>F</m:t>
            </m:r>
          </m:e>
          <m:sub>
            <m:r>
              <w:rPr>
                <w:rFonts w:ascii="Cambria Math" w:hAnsi="Cambria Math" w:cs="Arial"/>
                <w:sz w:val="24"/>
                <w:szCs w:val="24"/>
                <w:lang w:val="en-GB"/>
              </w:rPr>
              <m:t>Y</m:t>
            </m:r>
          </m:sub>
        </m:sSub>
        <m:d>
          <m:dPr>
            <m:ctrlPr>
              <w:rPr>
                <w:rFonts w:ascii="Cambria Math" w:hAnsi="Cambria Math" w:cs="Arial"/>
                <w:i/>
                <w:sz w:val="24"/>
                <w:szCs w:val="24"/>
                <w:lang w:val="en-GB"/>
              </w:rPr>
            </m:ctrlPr>
          </m:dPr>
          <m:e>
            <m:r>
              <w:rPr>
                <w:rFonts w:ascii="Cambria Math" w:hAnsi="Cambria Math" w:cs="Arial"/>
                <w:sz w:val="24"/>
                <w:szCs w:val="24"/>
                <w:lang w:val="en-GB"/>
              </w:rPr>
              <m:t>y</m:t>
            </m:r>
          </m:e>
        </m:d>
        <m:r>
          <w:rPr>
            <w:rFonts w:ascii="Cambria Math" w:cs="Arial"/>
            <w:sz w:val="24"/>
            <w:szCs w:val="24"/>
            <w:lang w:val="en-GB"/>
          </w:rPr>
          <m:t xml:space="preserve"> </m:t>
        </m:r>
      </m:oMath>
      <w:r>
        <w:rPr>
          <w:rFonts w:cs="Arial"/>
          <w:sz w:val="24"/>
          <w:szCs w:val="24"/>
          <w:lang w:val="en-GB"/>
        </w:rPr>
        <w:t xml:space="preserve">and let </w:t>
      </w:r>
      <m:oMath>
        <m:r>
          <w:rPr>
            <w:rFonts w:ascii="Cambria Math" w:hAnsi="Cambria Math" w:cs="Arial"/>
            <w:sz w:val="24"/>
            <w:szCs w:val="24"/>
            <w:lang w:val="en-GB"/>
          </w:rPr>
          <m:t>v</m:t>
        </m:r>
        <m:d>
          <m:dPr>
            <m:ctrlPr>
              <w:rPr>
                <w:rFonts w:ascii="Cambria Math" w:hAnsi="Cambria Math" w:cs="Arial"/>
                <w:i/>
                <w:sz w:val="24"/>
                <w:szCs w:val="24"/>
                <w:lang w:val="en-GB"/>
              </w:rPr>
            </m:ctrlPr>
          </m:dPr>
          <m:e>
            <m:sSub>
              <m:sSubPr>
                <m:ctrlPr>
                  <w:rPr>
                    <w:rFonts w:ascii="Cambria Math" w:hAnsi="Cambria Math" w:cs="Arial"/>
                    <w:i/>
                    <w:sz w:val="24"/>
                    <w:szCs w:val="24"/>
                    <w:lang w:val="en-GB"/>
                  </w:rPr>
                </m:ctrlPr>
              </m:sSubPr>
              <m:e>
                <m:r>
                  <m:rPr>
                    <m:sty m:val="p"/>
                  </m:rPr>
                  <w:rPr>
                    <w:rFonts w:ascii="Cambria Math" w:hAnsi="Cambria Math" w:cs="Arial"/>
                    <w:sz w:val="24"/>
                    <w:szCs w:val="24"/>
                    <w:lang w:val="en-GB"/>
                  </w:rPr>
                  <m:t>F</m:t>
                </m:r>
              </m:e>
              <m:sub>
                <m:r>
                  <m:rPr>
                    <m:sty m:val="p"/>
                  </m:rPr>
                  <w:rPr>
                    <w:rFonts w:ascii="Cambria Math" w:hAnsi="Cambria Math" w:cs="Arial"/>
                    <w:sz w:val="24"/>
                    <w:szCs w:val="24"/>
                    <w:lang w:val="en-GB"/>
                  </w:rPr>
                  <m:t>Y</m:t>
                </m:r>
              </m:sub>
            </m:sSub>
          </m:e>
        </m:d>
      </m:oMath>
      <w:r>
        <w:rPr>
          <w:rFonts w:cs="Arial"/>
          <w:i/>
          <w:sz w:val="24"/>
          <w:szCs w:val="24"/>
          <w:lang w:val="en-GB"/>
        </w:rPr>
        <w:t xml:space="preserve"> </w:t>
      </w:r>
      <w:r>
        <w:rPr>
          <w:rFonts w:cs="Arial"/>
          <w:sz w:val="24"/>
          <w:szCs w:val="24"/>
          <w:lang w:val="en-GB"/>
        </w:rPr>
        <w:t xml:space="preserve">be any functional form, assumed to be linear for simplicity. Closely following Fortin et al. (2011), the influence function (IF) of </w:t>
      </w:r>
      <w:r>
        <w:rPr>
          <w:rFonts w:cs="Arial"/>
          <w:i/>
          <w:sz w:val="24"/>
          <w:szCs w:val="24"/>
          <w:lang w:val="en-GB"/>
        </w:rPr>
        <w:t xml:space="preserve">v </w:t>
      </w:r>
      <w:r>
        <w:rPr>
          <w:rFonts w:cs="Arial"/>
          <w:sz w:val="24"/>
          <w:szCs w:val="24"/>
          <w:lang w:val="en-GB"/>
        </w:rPr>
        <w:t xml:space="preserve">at </w:t>
      </w:r>
      <w:r>
        <w:rPr>
          <w:rFonts w:cs="Arial"/>
          <w:i/>
          <w:sz w:val="24"/>
          <w:szCs w:val="24"/>
          <w:lang w:val="en-GB"/>
        </w:rPr>
        <w:t>F</w:t>
      </w:r>
      <w:r>
        <w:rPr>
          <w:rFonts w:cs="Arial"/>
          <w:i/>
          <w:sz w:val="24"/>
          <w:szCs w:val="24"/>
          <w:vertAlign w:val="subscript"/>
          <w:lang w:val="en-GB"/>
        </w:rPr>
        <w:t>Y</w:t>
      </w:r>
      <w:r>
        <w:rPr>
          <w:rFonts w:cs="Arial"/>
          <w:sz w:val="24"/>
          <w:szCs w:val="24"/>
          <w:lang w:val="en-GB"/>
        </w:rPr>
        <w:t xml:space="preserve"> - which describes the influence of an infinitesimal change in the distribution of a sample on a real-valued functional distribution - can be expressed as: </w:t>
      </w:r>
    </w:p>
    <w:p w14:paraId="0F1897B8"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w:p>
    <w:p w14:paraId="3D812A29"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m:oMathPara>
        <m:oMath>
          <m:r>
            <w:rPr>
              <w:rFonts w:ascii="Cambria Math" w:hAnsi="Cambria Math" w:cs="Arial"/>
              <w:sz w:val="24"/>
              <w:szCs w:val="24"/>
              <w:lang w:val="en-GB"/>
            </w:rPr>
            <m:t>IF</m:t>
          </m:r>
          <m:d>
            <m:dPr>
              <m:ctrlPr>
                <w:rPr>
                  <w:rFonts w:ascii="Cambria Math" w:hAnsi="Cambria Math" w:cs="Arial"/>
                  <w:i/>
                  <w:sz w:val="24"/>
                  <w:szCs w:val="24"/>
                  <w:lang w:val="en-GB"/>
                </w:rPr>
              </m:ctrlPr>
            </m:dPr>
            <m:e>
              <m:r>
                <w:rPr>
                  <w:rFonts w:ascii="Cambria Math" w:hAnsi="Cambria Math" w:cs="Arial"/>
                  <w:sz w:val="24"/>
                  <w:szCs w:val="24"/>
                  <w:lang w:val="en-GB"/>
                </w:rPr>
                <m:t>y</m:t>
              </m:r>
              <m:r>
                <w:rPr>
                  <w:rFonts w:ascii="Cambria Math" w:cs="Arial"/>
                  <w:sz w:val="24"/>
                  <w:szCs w:val="24"/>
                  <w:lang w:val="en-GB"/>
                </w:rPr>
                <m:t>,</m:t>
              </m:r>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r>
            <w:rPr>
              <w:rFonts w:ascii="Cambria Math" w:cs="Arial"/>
              <w:sz w:val="24"/>
              <w:szCs w:val="24"/>
              <w:lang w:val="en-GB"/>
            </w:rPr>
            <m:t>=</m:t>
          </m:r>
          <m:f>
            <m:fPr>
              <m:ctrlPr>
                <w:rPr>
                  <w:rFonts w:ascii="Cambria Math" w:hAnsi="Cambria Math" w:cs="Arial"/>
                  <w:i/>
                  <w:sz w:val="24"/>
                  <w:szCs w:val="24"/>
                  <w:lang w:val="en-GB"/>
                </w:rPr>
              </m:ctrlPr>
            </m:fPr>
            <m:num>
              <m:r>
                <w:rPr>
                  <w:rFonts w:ascii="Cambria Math" w:cs="Arial"/>
                  <w:i/>
                  <w:sz w:val="24"/>
                  <w:szCs w:val="24"/>
                  <w:lang w:val="en-GB"/>
                </w:rPr>
                <w:sym w:font="Symbol" w:char="F074"/>
              </m:r>
              <m:r>
                <w:rPr>
                  <w:rFonts w:ascii="Cambria Math" w:cs="Arial"/>
                  <w:sz w:val="24"/>
                  <w:szCs w:val="24"/>
                  <w:lang w:val="en-GB"/>
                </w:rPr>
                <m:t>-</m:t>
              </m:r>
              <m:r>
                <w:rPr>
                  <w:rFonts w:ascii="Cambria Math" w:hAnsi="Cambria Math" w:cs="Arial"/>
                  <w:sz w:val="24"/>
                  <w:szCs w:val="24"/>
                  <w:lang w:val="en-GB"/>
                </w:rPr>
                <m:t>I</m:t>
              </m:r>
              <m:d>
                <m:dPr>
                  <m:ctrlPr>
                    <w:rPr>
                      <w:rFonts w:ascii="Cambria Math" w:hAnsi="Cambria Math" w:cs="Arial"/>
                      <w:i/>
                      <w:sz w:val="24"/>
                      <w:szCs w:val="24"/>
                      <w:lang w:val="en-GB"/>
                    </w:rPr>
                  </m:ctrlPr>
                </m:dPr>
                <m:e>
                  <m:r>
                    <w:rPr>
                      <w:rFonts w:ascii="Cambria Math" w:hAnsi="Cambria Math" w:cs="Arial"/>
                      <w:sz w:val="24"/>
                      <w:szCs w:val="24"/>
                      <w:lang w:val="en-GB"/>
                    </w:rPr>
                    <m:t>y≤</m:t>
                  </m:r>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num>
            <m:den>
              <m:sSub>
                <m:sSubPr>
                  <m:ctrlPr>
                    <w:rPr>
                      <w:rFonts w:ascii="Cambria Math" w:hAnsi="Cambria Math" w:cs="Arial"/>
                      <w:i/>
                      <w:sz w:val="24"/>
                      <w:szCs w:val="24"/>
                      <w:lang w:val="en-GB"/>
                    </w:rPr>
                  </m:ctrlPr>
                </m:sSubPr>
                <m:e>
                  <m:r>
                    <w:rPr>
                      <w:rFonts w:ascii="Cambria Math" w:cs="Arial"/>
                      <w:sz w:val="24"/>
                      <w:szCs w:val="24"/>
                      <w:lang w:val="en-GB"/>
                    </w:rPr>
                    <m:t>f</m:t>
                  </m:r>
                </m:e>
                <m:sub>
                  <m:r>
                    <w:rPr>
                      <w:rFonts w:ascii="Cambria Math" w:cs="Arial"/>
                      <w:sz w:val="24"/>
                      <w:szCs w:val="24"/>
                      <w:lang w:val="en-GB"/>
                    </w:rPr>
                    <m:t>Y</m:t>
                  </m:r>
                </m:sub>
              </m:sSub>
              <m:d>
                <m:dPr>
                  <m:ctrlPr>
                    <w:rPr>
                      <w:rFonts w:ascii="Cambria Math" w:hAnsi="Cambria Math" w:cs="Arial"/>
                      <w:i/>
                      <w:sz w:val="24"/>
                      <w:szCs w:val="24"/>
                      <w:lang w:val="en-GB"/>
                    </w:rPr>
                  </m:ctrlPr>
                </m:dPr>
                <m:e>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den>
          </m:f>
        </m:oMath>
      </m:oMathPara>
    </w:p>
    <w:p w14:paraId="1F3B4934"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w:r>
        <w:rPr>
          <w:rFonts w:cs="Arial"/>
          <w:sz w:val="24"/>
          <w:szCs w:val="24"/>
          <w:lang w:val="en-GB"/>
        </w:rPr>
        <w:tab/>
      </w:r>
      <w:r>
        <w:rPr>
          <w:rFonts w:cs="Arial"/>
          <w:sz w:val="24"/>
          <w:szCs w:val="24"/>
          <w:lang w:val="en-GB"/>
        </w:rPr>
        <w:tab/>
        <w:t>(1)</w:t>
      </w:r>
    </w:p>
    <w:p w14:paraId="40740F5B"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w:p>
    <w:p w14:paraId="3F7DEA21"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w:r>
        <w:rPr>
          <w:rFonts w:cs="Arial"/>
          <w:sz w:val="24"/>
          <w:szCs w:val="24"/>
          <w:lang w:val="en-GB"/>
        </w:rPr>
        <w:t xml:space="preserve">where </w:t>
      </w:r>
      <m:oMath>
        <m:sSub>
          <m:sSubPr>
            <m:ctrlPr>
              <w:rPr>
                <w:rFonts w:ascii="Cambria Math" w:hAnsi="Cambria Math" w:cs="Arial"/>
                <w:i/>
                <w:sz w:val="24"/>
                <w:szCs w:val="24"/>
                <w:lang w:val="en-GB"/>
              </w:rPr>
            </m:ctrlPr>
          </m:sSubPr>
          <m:e>
            <m:r>
              <w:rPr>
                <w:rFonts w:ascii="Cambria Math" w:hAnsi="Cambria Math" w:cs="Arial"/>
                <w:sz w:val="24"/>
                <w:szCs w:val="24"/>
                <w:lang w:val="en-GB"/>
              </w:rPr>
              <m:t>q</m:t>
            </m:r>
          </m:e>
          <m:sub>
            <m:r>
              <w:rPr>
                <w:rFonts w:ascii="Cambria Math" w:hAnsi="Cambria Math" w:cs="Arial"/>
                <w:i/>
                <w:sz w:val="24"/>
                <w:szCs w:val="24"/>
                <w:lang w:val="en-GB"/>
              </w:rPr>
              <w:sym w:font="Symbol" w:char="F074"/>
            </m:r>
          </m:sub>
        </m:sSub>
      </m:oMath>
      <w:r>
        <w:rPr>
          <w:rFonts w:cs="Arial"/>
          <w:sz w:val="24"/>
          <w:szCs w:val="24"/>
          <w:lang w:val="en-GB"/>
        </w:rPr>
        <w:t xml:space="preserve"> is the</w:t>
      </w:r>
      <m:oMath>
        <m:r>
          <w:rPr>
            <w:rFonts w:ascii="Cambria Math" w:hAnsi="Cambria Math" w:cs="Arial"/>
            <w:sz w:val="24"/>
            <w:szCs w:val="24"/>
            <w:lang w:val="en-GB"/>
          </w:rPr>
          <m:t xml:space="preserve"> </m:t>
        </m:r>
        <m:sSup>
          <m:sSupPr>
            <m:ctrlPr>
              <w:rPr>
                <w:rFonts w:ascii="Cambria Math" w:hAnsi="Cambria Math" w:cs="Arial"/>
                <w:i/>
                <w:sz w:val="24"/>
                <w:szCs w:val="24"/>
                <w:lang w:val="en-GB"/>
              </w:rPr>
            </m:ctrlPr>
          </m:sSupPr>
          <m:e>
            <m:r>
              <w:rPr>
                <w:rFonts w:ascii="Cambria Math" w:hAnsi="Cambria Math" w:cs="Arial"/>
                <w:i/>
                <w:sz w:val="24"/>
                <w:szCs w:val="24"/>
                <w:lang w:val="en-GB"/>
              </w:rPr>
              <w:sym w:font="Symbol" w:char="F074"/>
            </m:r>
          </m:e>
          <m:sup>
            <m:r>
              <w:rPr>
                <w:rFonts w:ascii="Cambria Math" w:hAnsi="Cambria Math" w:cs="Arial"/>
                <w:sz w:val="24"/>
                <w:szCs w:val="24"/>
                <w:lang w:val="en-GB"/>
              </w:rPr>
              <m:t>th</m:t>
            </m:r>
          </m:sup>
        </m:sSup>
      </m:oMath>
      <w:r>
        <w:rPr>
          <w:rFonts w:cs="Arial"/>
          <w:sz w:val="24"/>
          <w:szCs w:val="24"/>
          <w:lang w:val="en-GB"/>
        </w:rPr>
        <w:t xml:space="preserve"> percentile; </w:t>
      </w:r>
      <m:oMath>
        <m:sSub>
          <m:sSubPr>
            <m:ctrlPr>
              <w:rPr>
                <w:rFonts w:ascii="Cambria Math" w:hAnsi="Cambria Math" w:cs="Arial"/>
                <w:i/>
                <w:sz w:val="24"/>
                <w:szCs w:val="24"/>
                <w:lang w:val="en-GB"/>
              </w:rPr>
            </m:ctrlPr>
          </m:sSubPr>
          <m:e>
            <m:r>
              <w:rPr>
                <w:rFonts w:ascii="Cambria Math" w:cs="Arial"/>
                <w:sz w:val="24"/>
                <w:szCs w:val="24"/>
                <w:lang w:val="en-GB"/>
              </w:rPr>
              <m:t>f</m:t>
            </m:r>
          </m:e>
          <m:sub>
            <m:r>
              <w:rPr>
                <w:rFonts w:ascii="Cambria Math" w:cs="Arial"/>
                <w:sz w:val="24"/>
                <w:szCs w:val="24"/>
                <w:lang w:val="en-GB"/>
              </w:rPr>
              <m:t>Y</m:t>
            </m:r>
          </m:sub>
        </m:sSub>
      </m:oMath>
      <w:r>
        <w:rPr>
          <w:rFonts w:cs="Arial"/>
          <w:sz w:val="24"/>
          <w:szCs w:val="24"/>
          <w:lang w:val="en-GB"/>
        </w:rPr>
        <w:t xml:space="preserve"> is the marginal density function of Y; and I is a characteristic function. The RIF function for the percentile of interest </w:t>
      </w:r>
      <m:oMath>
        <m:sSub>
          <m:sSubPr>
            <m:ctrlPr>
              <w:rPr>
                <w:rFonts w:ascii="Cambria Math" w:hAnsi="Cambria Math" w:cs="Arial"/>
                <w:i/>
                <w:sz w:val="24"/>
                <w:szCs w:val="24"/>
                <w:lang w:val="en-GB"/>
              </w:rPr>
            </m:ctrlPr>
          </m:sSubPr>
          <m:e>
            <m:r>
              <w:rPr>
                <w:rFonts w:ascii="Cambria Math" w:hAnsi="Cambria Math" w:cs="Arial"/>
                <w:sz w:val="24"/>
                <w:szCs w:val="24"/>
                <w:lang w:val="en-GB"/>
              </w:rPr>
              <m:t>q</m:t>
            </m:r>
          </m:e>
          <m:sub>
            <m:r>
              <w:rPr>
                <w:rFonts w:ascii="Cambria Math" w:hAnsi="Cambria Math" w:cs="Arial"/>
                <w:i/>
                <w:sz w:val="24"/>
                <w:szCs w:val="24"/>
                <w:lang w:val="en-GB"/>
              </w:rPr>
              <w:sym w:font="Symbol" w:char="F074"/>
            </m:r>
          </m:sub>
        </m:sSub>
      </m:oMath>
      <w:r>
        <w:rPr>
          <w:rFonts w:cs="Arial"/>
          <w:sz w:val="24"/>
          <w:szCs w:val="24"/>
          <w:lang w:val="en-GB"/>
        </w:rPr>
        <w:t xml:space="preserve"> is: </w:t>
      </w:r>
    </w:p>
    <w:p w14:paraId="5C8BC62F"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w:p>
    <w:p w14:paraId="793EDCE0"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m:oMathPara>
        <m:oMath>
          <m:r>
            <w:rPr>
              <w:rFonts w:ascii="Cambria Math" w:hAnsi="Cambria Math" w:cs="Arial"/>
              <w:sz w:val="24"/>
              <w:szCs w:val="24"/>
              <w:lang w:val="en-GB"/>
            </w:rPr>
            <m:t>RIF</m:t>
          </m:r>
          <m:d>
            <m:dPr>
              <m:ctrlPr>
                <w:rPr>
                  <w:rFonts w:ascii="Cambria Math" w:hAnsi="Cambria Math" w:cs="Arial"/>
                  <w:i/>
                  <w:sz w:val="24"/>
                  <w:szCs w:val="24"/>
                  <w:lang w:val="en-GB"/>
                </w:rPr>
              </m:ctrlPr>
            </m:dPr>
            <m:e>
              <m:r>
                <w:rPr>
                  <w:rFonts w:ascii="Cambria Math" w:hAnsi="Cambria Math" w:cs="Arial"/>
                  <w:sz w:val="24"/>
                  <w:szCs w:val="24"/>
                  <w:lang w:val="en-GB"/>
                </w:rPr>
                <m:t>y</m:t>
              </m:r>
              <m:r>
                <w:rPr>
                  <w:rFonts w:ascii="Cambria Math" w:cs="Arial"/>
                  <w:sz w:val="24"/>
                  <w:szCs w:val="24"/>
                  <w:lang w:val="en-GB"/>
                </w:rPr>
                <m:t>,</m:t>
              </m:r>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r>
            <w:rPr>
              <w:rFonts w:ascii="Cambria Math" w:cs="Arial"/>
              <w:sz w:val="24"/>
              <w:szCs w:val="24"/>
              <w:lang w:val="en-GB"/>
            </w:rPr>
            <m:t>=</m:t>
          </m:r>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r>
            <w:rPr>
              <w:rFonts w:ascii="Cambria Math" w:cs="Arial"/>
              <w:sz w:val="24"/>
              <w:szCs w:val="24"/>
              <w:lang w:val="en-GB"/>
            </w:rPr>
            <m:t>+</m:t>
          </m:r>
          <m:r>
            <w:rPr>
              <w:rFonts w:ascii="Cambria Math" w:hAnsi="Cambria Math" w:cs="Arial"/>
              <w:sz w:val="24"/>
              <w:szCs w:val="24"/>
              <w:lang w:val="en-GB"/>
            </w:rPr>
            <m:t>IF</m:t>
          </m:r>
          <m:d>
            <m:dPr>
              <m:ctrlPr>
                <w:rPr>
                  <w:rFonts w:ascii="Cambria Math" w:hAnsi="Cambria Math" w:cs="Arial"/>
                  <w:i/>
                  <w:sz w:val="24"/>
                  <w:szCs w:val="24"/>
                  <w:lang w:val="en-GB"/>
                </w:rPr>
              </m:ctrlPr>
            </m:dPr>
            <m:e>
              <m:r>
                <w:rPr>
                  <w:rFonts w:ascii="Cambria Math" w:hAnsi="Cambria Math" w:cs="Arial"/>
                  <w:sz w:val="24"/>
                  <w:szCs w:val="24"/>
                  <w:lang w:val="en-GB"/>
                </w:rPr>
                <m:t>y</m:t>
              </m:r>
              <m:r>
                <w:rPr>
                  <w:rFonts w:ascii="Cambria Math" w:cs="Arial"/>
                  <w:sz w:val="24"/>
                  <w:szCs w:val="24"/>
                  <w:lang w:val="en-GB"/>
                </w:rPr>
                <m:t>,</m:t>
              </m:r>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oMath>
      </m:oMathPara>
    </w:p>
    <w:p w14:paraId="7BAC7B7A"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m:oMathPara>
        <m:oMath>
          <m:r>
            <w:rPr>
              <w:rFonts w:ascii="Cambria Math" w:hAnsi="Cambria Math" w:cs="Arial"/>
              <w:sz w:val="24"/>
              <w:szCs w:val="24"/>
              <w:lang w:val="en-GB"/>
            </w:rPr>
            <m:t>=</m:t>
          </m:r>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r>
            <w:rPr>
              <w:rFonts w:ascii="Cambria Math" w:cs="Arial"/>
              <w:sz w:val="24"/>
              <w:szCs w:val="24"/>
              <w:lang w:val="en-GB"/>
            </w:rPr>
            <m:t>+</m:t>
          </m:r>
          <m:f>
            <m:fPr>
              <m:ctrlPr>
                <w:rPr>
                  <w:rFonts w:ascii="Cambria Math" w:hAnsi="Cambria Math" w:cs="Arial"/>
                  <w:i/>
                  <w:sz w:val="24"/>
                  <w:szCs w:val="24"/>
                  <w:lang w:val="en-GB"/>
                </w:rPr>
              </m:ctrlPr>
            </m:fPr>
            <m:num>
              <m:r>
                <w:rPr>
                  <w:rFonts w:ascii="Cambria Math" w:hAnsi="Cambria Math" w:cs="Arial"/>
                  <w:sz w:val="24"/>
                  <w:szCs w:val="24"/>
                  <w:lang w:val="en-GB"/>
                </w:rPr>
                <m:t>I</m:t>
              </m:r>
              <m:d>
                <m:dPr>
                  <m:ctrlPr>
                    <w:rPr>
                      <w:rFonts w:ascii="Cambria Math" w:hAnsi="Cambria Math" w:cs="Arial"/>
                      <w:i/>
                      <w:sz w:val="24"/>
                      <w:szCs w:val="24"/>
                      <w:lang w:val="en-GB"/>
                    </w:rPr>
                  </m:ctrlPr>
                </m:dPr>
                <m:e>
                  <m:r>
                    <w:rPr>
                      <w:rFonts w:ascii="Cambria Math" w:hAnsi="Cambria Math" w:cs="Arial"/>
                      <w:sz w:val="24"/>
                      <w:szCs w:val="24"/>
                      <w:lang w:val="en-GB"/>
                    </w:rPr>
                    <m:t>y&gt;</m:t>
                  </m:r>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num>
            <m:den>
              <m:sSub>
                <m:sSubPr>
                  <m:ctrlPr>
                    <w:rPr>
                      <w:rFonts w:ascii="Cambria Math" w:hAnsi="Cambria Math" w:cs="Arial"/>
                      <w:i/>
                      <w:sz w:val="24"/>
                      <w:szCs w:val="24"/>
                      <w:lang w:val="en-GB"/>
                    </w:rPr>
                  </m:ctrlPr>
                </m:sSubPr>
                <m:e>
                  <m:r>
                    <w:rPr>
                      <w:rFonts w:ascii="Cambria Math" w:cs="Arial"/>
                      <w:sz w:val="24"/>
                      <w:szCs w:val="24"/>
                      <w:lang w:val="en-GB"/>
                    </w:rPr>
                    <m:t>f</m:t>
                  </m:r>
                </m:e>
                <m:sub>
                  <m:r>
                    <w:rPr>
                      <w:rFonts w:ascii="Cambria Math" w:cs="Arial"/>
                      <w:sz w:val="24"/>
                      <w:szCs w:val="24"/>
                      <w:lang w:val="en-GB"/>
                    </w:rPr>
                    <m:t>Y</m:t>
                  </m:r>
                </m:sub>
              </m:sSub>
              <m:d>
                <m:dPr>
                  <m:ctrlPr>
                    <w:rPr>
                      <w:rFonts w:ascii="Cambria Math" w:hAnsi="Cambria Math" w:cs="Arial"/>
                      <w:i/>
                      <w:sz w:val="24"/>
                      <w:szCs w:val="24"/>
                      <w:lang w:val="en-GB"/>
                    </w:rPr>
                  </m:ctrlPr>
                </m:dPr>
                <m:e>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den>
          </m:f>
          <m:r>
            <w:rPr>
              <w:rFonts w:ascii="Cambria Math" w:hAnsi="Cambria Math" w:cs="Arial"/>
              <w:sz w:val="24"/>
              <w:szCs w:val="24"/>
              <w:lang w:val="en-GB"/>
            </w:rPr>
            <m:t>-</m:t>
          </m:r>
          <m:f>
            <m:fPr>
              <m:ctrlPr>
                <w:rPr>
                  <w:rFonts w:ascii="Cambria Math" w:hAnsi="Cambria Math" w:cs="Arial"/>
                  <w:i/>
                  <w:sz w:val="24"/>
                  <w:szCs w:val="24"/>
                  <w:lang w:val="en-GB"/>
                </w:rPr>
              </m:ctrlPr>
            </m:fPr>
            <m:num>
              <m:r>
                <w:rPr>
                  <w:rFonts w:ascii="Cambria Math" w:hAnsi="Cambria Math" w:cs="Arial"/>
                  <w:sz w:val="24"/>
                  <w:szCs w:val="24"/>
                  <w:lang w:val="en-GB"/>
                </w:rPr>
                <m:t>1-</m:t>
              </m:r>
              <m:r>
                <w:rPr>
                  <w:rFonts w:ascii="Cambria Math" w:hAnsi="Cambria Math" w:cs="Arial"/>
                  <w:i/>
                  <w:sz w:val="24"/>
                  <w:szCs w:val="24"/>
                  <w:lang w:val="en-GB"/>
                </w:rPr>
                <w:sym w:font="Symbol" w:char="F074"/>
              </m:r>
            </m:num>
            <m:den>
              <m:sSub>
                <m:sSubPr>
                  <m:ctrlPr>
                    <w:rPr>
                      <w:rFonts w:ascii="Cambria Math" w:hAnsi="Cambria Math" w:cs="Arial"/>
                      <w:i/>
                      <w:sz w:val="24"/>
                      <w:szCs w:val="24"/>
                      <w:lang w:val="en-GB"/>
                    </w:rPr>
                  </m:ctrlPr>
                </m:sSubPr>
                <m:e>
                  <m:r>
                    <w:rPr>
                      <w:rFonts w:ascii="Cambria Math" w:cs="Arial"/>
                      <w:sz w:val="24"/>
                      <w:szCs w:val="24"/>
                      <w:lang w:val="en-GB"/>
                    </w:rPr>
                    <m:t>f</m:t>
                  </m:r>
                </m:e>
                <m:sub>
                  <m:r>
                    <w:rPr>
                      <w:rFonts w:ascii="Cambria Math" w:cs="Arial"/>
                      <w:sz w:val="24"/>
                      <w:szCs w:val="24"/>
                      <w:lang w:val="en-GB"/>
                    </w:rPr>
                    <m:t>Y</m:t>
                  </m:r>
                </m:sub>
              </m:sSub>
              <m:d>
                <m:dPr>
                  <m:ctrlPr>
                    <w:rPr>
                      <w:rFonts w:ascii="Cambria Math" w:hAnsi="Cambria Math" w:cs="Arial"/>
                      <w:i/>
                      <w:sz w:val="24"/>
                      <w:szCs w:val="24"/>
                      <w:lang w:val="en-GB"/>
                    </w:rPr>
                  </m:ctrlPr>
                </m:dPr>
                <m:e>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den>
          </m:f>
        </m:oMath>
      </m:oMathPara>
    </w:p>
    <w:p w14:paraId="2309EC23"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m:oMathPara>
        <m:oMath>
          <m:r>
            <w:rPr>
              <w:rFonts w:ascii="Cambria Math" w:hAnsi="Cambria Math" w:cs="Arial"/>
              <w:sz w:val="24"/>
              <w:szCs w:val="24"/>
              <w:lang w:val="en-GB"/>
            </w:rPr>
            <w:lastRenderedPageBreak/>
            <m:t xml:space="preserve">= </m:t>
          </m:r>
          <m:sSub>
            <m:sSubPr>
              <m:ctrlPr>
                <w:rPr>
                  <w:rFonts w:ascii="Cambria Math" w:hAnsi="Cambria Math" w:cs="Arial"/>
                  <w:i/>
                  <w:sz w:val="24"/>
                  <w:szCs w:val="24"/>
                  <w:lang w:val="en-GB"/>
                </w:rPr>
              </m:ctrlPr>
            </m:sSubPr>
            <m:e>
              <m:r>
                <w:rPr>
                  <w:rFonts w:ascii="Cambria Math" w:hAnsi="Cambria Math" w:cs="Arial"/>
                  <w:sz w:val="24"/>
                  <w:szCs w:val="24"/>
                  <w:lang w:val="en-GB"/>
                </w:rPr>
                <m:t>a</m:t>
              </m:r>
            </m:e>
            <m:sub>
              <m:r>
                <w:rPr>
                  <w:rFonts w:ascii="Cambria Math" w:hAnsi="Cambria Math" w:cs="Arial"/>
                  <w:i/>
                  <w:sz w:val="24"/>
                  <w:szCs w:val="24"/>
                  <w:lang w:val="en-GB"/>
                </w:rPr>
                <w:sym w:font="Symbol" w:char="F074"/>
              </m:r>
            </m:sub>
          </m:sSub>
          <m:r>
            <w:rPr>
              <w:rFonts w:ascii="Cambria Math" w:hAnsi="Cambria Math" w:cs="Arial"/>
              <w:sz w:val="24"/>
              <w:szCs w:val="24"/>
              <w:lang w:val="en-GB"/>
            </w:rPr>
            <m:t>I</m:t>
          </m:r>
          <m:d>
            <m:dPr>
              <m:ctrlPr>
                <w:rPr>
                  <w:rFonts w:ascii="Cambria Math" w:hAnsi="Cambria Math" w:cs="Arial"/>
                  <w:i/>
                  <w:sz w:val="24"/>
                  <w:szCs w:val="24"/>
                  <w:lang w:val="en-GB"/>
                </w:rPr>
              </m:ctrlPr>
            </m:dPr>
            <m:e>
              <m:r>
                <w:rPr>
                  <w:rFonts w:ascii="Cambria Math" w:hAnsi="Cambria Math" w:cs="Arial"/>
                  <w:sz w:val="24"/>
                  <w:szCs w:val="24"/>
                  <w:lang w:val="en-GB"/>
                </w:rPr>
                <m:t>y&gt;</m:t>
              </m:r>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r>
            <w:rPr>
              <w:rFonts w:ascii="Cambria Math" w:hAnsi="Cambria Math" w:cs="Arial"/>
              <w:sz w:val="24"/>
              <w:szCs w:val="24"/>
              <w:lang w:val="en-GB"/>
            </w:rPr>
            <m:t>+</m:t>
          </m:r>
          <m:sSub>
            <m:sSubPr>
              <m:ctrlPr>
                <w:rPr>
                  <w:rFonts w:ascii="Cambria Math" w:hAnsi="Cambria Math" w:cs="Arial"/>
                  <w:i/>
                  <w:sz w:val="24"/>
                  <w:szCs w:val="24"/>
                  <w:lang w:val="en-GB"/>
                </w:rPr>
              </m:ctrlPr>
            </m:sSubPr>
            <m:e>
              <m:r>
                <w:rPr>
                  <w:rFonts w:ascii="Cambria Math" w:hAnsi="Cambria Math" w:cs="Arial"/>
                  <w:sz w:val="24"/>
                  <w:szCs w:val="24"/>
                  <w:lang w:val="en-GB"/>
                </w:rPr>
                <m:t>b</m:t>
              </m:r>
            </m:e>
            <m:sub>
              <m:r>
                <w:rPr>
                  <w:rFonts w:ascii="Cambria Math" w:hAnsi="Cambria Math" w:cs="Arial"/>
                  <w:i/>
                  <w:sz w:val="24"/>
                  <w:szCs w:val="24"/>
                  <w:lang w:val="en-GB"/>
                </w:rPr>
                <w:sym w:font="Symbol" w:char="F074"/>
              </m:r>
            </m:sub>
          </m:sSub>
          <m:r>
            <w:rPr>
              <w:rFonts w:ascii="Cambria Math" w:hAnsi="Cambria Math" w:cs="Arial"/>
              <w:sz w:val="24"/>
              <w:szCs w:val="24"/>
              <w:lang w:val="en-GB"/>
            </w:rPr>
            <m:t xml:space="preserve"> </m:t>
          </m:r>
        </m:oMath>
      </m:oMathPara>
    </w:p>
    <w:p w14:paraId="4EB4B515"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w:r>
        <w:rPr>
          <w:rFonts w:cs="Arial"/>
          <w:sz w:val="24"/>
          <w:szCs w:val="24"/>
          <w:lang w:val="en-GB"/>
        </w:rPr>
        <w:tab/>
      </w:r>
      <w:r>
        <w:rPr>
          <w:rFonts w:cs="Arial"/>
          <w:sz w:val="24"/>
          <w:szCs w:val="24"/>
          <w:lang w:val="en-GB"/>
        </w:rPr>
        <w:tab/>
        <w:t>(2)</w:t>
      </w:r>
    </w:p>
    <w:p w14:paraId="0593D394"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w:p>
    <w:p w14:paraId="13288C4A" w14:textId="77777777" w:rsidR="00AE1998" w:rsidRDefault="00AE1998" w:rsidP="00AE1998">
      <w:pPr>
        <w:tabs>
          <w:tab w:val="left" w:pos="8647"/>
        </w:tabs>
        <w:autoSpaceDE w:val="0"/>
        <w:autoSpaceDN w:val="0"/>
        <w:adjustRightInd w:val="0"/>
        <w:spacing w:after="0" w:line="360" w:lineRule="auto"/>
        <w:jc w:val="both"/>
        <w:rPr>
          <w:rFonts w:cs="Arial"/>
          <w:sz w:val="24"/>
          <w:szCs w:val="24"/>
          <w:lang w:val="en-GB"/>
        </w:rPr>
      </w:pPr>
      <w:r>
        <w:rPr>
          <w:rFonts w:cs="Arial"/>
          <w:sz w:val="24"/>
          <w:szCs w:val="24"/>
          <w:lang w:val="en-GB"/>
        </w:rPr>
        <w:t xml:space="preserve">where </w:t>
      </w:r>
      <m:oMath>
        <m:sSub>
          <m:sSubPr>
            <m:ctrlPr>
              <w:rPr>
                <w:rFonts w:ascii="Cambria Math" w:hAnsi="Cambria Math" w:cs="Arial"/>
                <w:i/>
                <w:sz w:val="24"/>
                <w:szCs w:val="24"/>
                <w:lang w:val="en-GB"/>
              </w:rPr>
            </m:ctrlPr>
          </m:sSubPr>
          <m:e>
            <m:r>
              <w:rPr>
                <w:rFonts w:ascii="Cambria Math" w:hAnsi="Cambria Math" w:cs="Arial"/>
                <w:sz w:val="24"/>
                <w:szCs w:val="24"/>
                <w:lang w:val="en-GB"/>
              </w:rPr>
              <m:t>a</m:t>
            </m:r>
          </m:e>
          <m:sub>
            <m:r>
              <w:rPr>
                <w:rFonts w:ascii="Cambria Math" w:hAnsi="Cambria Math" w:cs="Arial"/>
                <w:i/>
                <w:sz w:val="24"/>
                <w:szCs w:val="24"/>
                <w:lang w:val="en-GB"/>
              </w:rPr>
              <w:sym w:font="Symbol" w:char="F074"/>
            </m:r>
          </m:sub>
        </m:sSub>
        <m:r>
          <w:rPr>
            <w:rFonts w:ascii="Cambria Math" w:hAnsi="Cambria Math" w:cs="Arial"/>
            <w:sz w:val="24"/>
            <w:szCs w:val="24"/>
            <w:lang w:val="en-GB"/>
          </w:rPr>
          <m:t>=1/</m:t>
        </m:r>
        <m:sSub>
          <m:sSubPr>
            <m:ctrlPr>
              <w:rPr>
                <w:rFonts w:ascii="Cambria Math" w:hAnsi="Cambria Math" w:cs="Arial"/>
                <w:i/>
                <w:sz w:val="24"/>
                <w:szCs w:val="24"/>
                <w:lang w:val="en-GB"/>
              </w:rPr>
            </m:ctrlPr>
          </m:sSubPr>
          <m:e>
            <m:r>
              <w:rPr>
                <w:rFonts w:ascii="Cambria Math" w:cs="Arial"/>
                <w:sz w:val="24"/>
                <w:szCs w:val="24"/>
                <w:lang w:val="en-GB"/>
              </w:rPr>
              <m:t>f</m:t>
            </m:r>
          </m:e>
          <m:sub>
            <m:r>
              <w:rPr>
                <w:rFonts w:ascii="Cambria Math" w:cs="Arial"/>
                <w:sz w:val="24"/>
                <w:szCs w:val="24"/>
                <w:lang w:val="en-GB"/>
              </w:rPr>
              <m:t>Y</m:t>
            </m:r>
          </m:sub>
        </m:sSub>
        <m:d>
          <m:dPr>
            <m:ctrlPr>
              <w:rPr>
                <w:rFonts w:ascii="Cambria Math" w:hAnsi="Cambria Math" w:cs="Arial"/>
                <w:i/>
                <w:sz w:val="24"/>
                <w:szCs w:val="24"/>
                <w:lang w:val="en-GB"/>
              </w:rPr>
            </m:ctrlPr>
          </m:dPr>
          <m:e>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oMath>
      <w:r>
        <w:rPr>
          <w:rFonts w:cs="Arial"/>
          <w:sz w:val="24"/>
          <w:szCs w:val="24"/>
          <w:lang w:val="en-GB"/>
        </w:rPr>
        <w:t xml:space="preserve"> and </w:t>
      </w:r>
      <m:oMath>
        <m:sSub>
          <m:sSubPr>
            <m:ctrlPr>
              <w:rPr>
                <w:rFonts w:ascii="Cambria Math" w:hAnsi="Cambria Math" w:cs="Arial"/>
                <w:i/>
                <w:sz w:val="24"/>
                <w:szCs w:val="24"/>
                <w:lang w:val="en-GB"/>
              </w:rPr>
            </m:ctrlPr>
          </m:sSubPr>
          <m:e>
            <m:r>
              <w:rPr>
                <w:rFonts w:ascii="Cambria Math" w:hAnsi="Cambria Math" w:cs="Arial"/>
                <w:sz w:val="24"/>
                <w:szCs w:val="24"/>
                <w:lang w:val="en-GB"/>
              </w:rPr>
              <m:t>b</m:t>
            </m:r>
          </m:e>
          <m:sub>
            <m:r>
              <w:rPr>
                <w:rFonts w:ascii="Cambria Math" w:hAnsi="Cambria Math" w:cs="Arial"/>
                <w:i/>
                <w:sz w:val="24"/>
                <w:szCs w:val="24"/>
                <w:lang w:val="en-GB"/>
              </w:rPr>
              <w:sym w:font="Symbol" w:char="F074"/>
            </m:r>
          </m:sub>
        </m:sSub>
        <m:r>
          <w:rPr>
            <w:rFonts w:ascii="Cambria Math" w:hAnsi="Cambria Math" w:cs="Arial"/>
            <w:sz w:val="24"/>
            <w:szCs w:val="24"/>
            <w:lang w:val="en-GB"/>
          </w:rPr>
          <m:t>=</m:t>
        </m:r>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r>
          <w:rPr>
            <w:rFonts w:ascii="Cambria Math" w:hAnsi="Cambria Math" w:cs="Arial"/>
            <w:sz w:val="24"/>
            <w:szCs w:val="24"/>
            <w:lang w:val="en-GB"/>
          </w:rPr>
          <m:t>-</m:t>
        </m:r>
        <m:d>
          <m:dPr>
            <m:ctrlPr>
              <w:rPr>
                <w:rFonts w:ascii="Cambria Math" w:hAnsi="Cambria Math" w:cs="Arial"/>
                <w:i/>
                <w:sz w:val="24"/>
                <w:szCs w:val="24"/>
                <w:lang w:val="en-GB"/>
              </w:rPr>
            </m:ctrlPr>
          </m:dPr>
          <m:e>
            <m:r>
              <w:rPr>
                <w:rFonts w:ascii="Cambria Math" w:hAnsi="Cambria Math" w:cs="Arial"/>
                <w:sz w:val="24"/>
                <w:szCs w:val="24"/>
                <w:lang w:val="en-GB"/>
              </w:rPr>
              <m:t>1-</m:t>
            </m:r>
            <m:r>
              <w:rPr>
                <w:rFonts w:ascii="Cambria Math" w:hAnsi="Cambria Math" w:cs="Arial"/>
                <w:i/>
                <w:sz w:val="24"/>
                <w:szCs w:val="24"/>
                <w:lang w:val="en-GB"/>
              </w:rPr>
              <w:sym w:font="Symbol" w:char="F074"/>
            </m:r>
          </m:e>
        </m:d>
        <m:sSub>
          <m:sSubPr>
            <m:ctrlPr>
              <w:rPr>
                <w:rFonts w:ascii="Cambria Math" w:hAnsi="Cambria Math" w:cs="Arial"/>
                <w:i/>
                <w:sz w:val="24"/>
                <w:szCs w:val="24"/>
                <w:lang w:val="en-GB"/>
              </w:rPr>
            </m:ctrlPr>
          </m:sSubPr>
          <m:e>
            <m:r>
              <w:rPr>
                <w:rFonts w:ascii="Cambria Math" w:cs="Arial"/>
                <w:sz w:val="24"/>
                <w:szCs w:val="24"/>
                <w:lang w:val="en-GB"/>
              </w:rPr>
              <m:t>a</m:t>
            </m:r>
          </m:e>
          <m:sub>
            <m:r>
              <w:rPr>
                <w:rFonts w:ascii="Cambria Math" w:cs="Arial"/>
                <w:i/>
                <w:sz w:val="24"/>
                <w:szCs w:val="24"/>
                <w:lang w:val="en-GB"/>
              </w:rPr>
              <w:sym w:font="Symbol" w:char="F074"/>
            </m:r>
          </m:sub>
        </m:sSub>
      </m:oMath>
      <w:r>
        <w:rPr>
          <w:rFonts w:cs="Arial"/>
          <w:sz w:val="24"/>
          <w:szCs w:val="24"/>
          <w:lang w:val="en-GB"/>
        </w:rPr>
        <w:t xml:space="preserve">. The RIF-regression model consists in regressing the RIF, given in equation (2), on the set of covariates X. Since the conditional expectation of the RIF, </w:t>
      </w:r>
      <m:oMath>
        <m:r>
          <w:rPr>
            <w:rFonts w:ascii="Cambria Math" w:hAnsi="Cambria Math" w:cs="Arial"/>
            <w:sz w:val="24"/>
            <w:szCs w:val="24"/>
            <w:lang w:val="en-GB"/>
          </w:rPr>
          <m:t>E</m:t>
        </m:r>
        <m:d>
          <m:dPr>
            <m:ctrlPr>
              <w:rPr>
                <w:rFonts w:ascii="Cambria Math" w:hAnsi="Cambria Math" w:cs="Arial"/>
                <w:i/>
                <w:sz w:val="24"/>
                <w:szCs w:val="24"/>
                <w:lang w:val="en-GB"/>
              </w:rPr>
            </m:ctrlPr>
          </m:dPr>
          <m:e>
            <m:r>
              <w:rPr>
                <w:rFonts w:ascii="Cambria Math" w:hAnsi="Cambria Math" w:cs="Arial"/>
                <w:sz w:val="24"/>
                <w:szCs w:val="24"/>
                <w:lang w:val="en-GB"/>
              </w:rPr>
              <m:t>RIF</m:t>
            </m:r>
            <m:d>
              <m:dPr>
                <m:ctrlPr>
                  <w:rPr>
                    <w:rFonts w:ascii="Cambria Math" w:hAnsi="Cambria Math" w:cs="Arial"/>
                    <w:i/>
                    <w:sz w:val="24"/>
                    <w:szCs w:val="24"/>
                    <w:lang w:val="en-GB"/>
                  </w:rPr>
                </m:ctrlPr>
              </m:dPr>
              <m:e>
                <m:r>
                  <w:rPr>
                    <w:rFonts w:ascii="Cambria Math" w:hAnsi="Cambria Math" w:cs="Arial"/>
                    <w:sz w:val="24"/>
                    <w:szCs w:val="24"/>
                    <w:lang w:val="en-GB"/>
                  </w:rPr>
                  <m:t>Y,</m:t>
                </m:r>
                <m:sSub>
                  <m:sSubPr>
                    <m:ctrlPr>
                      <w:rPr>
                        <w:rFonts w:ascii="Cambria Math" w:hAnsi="Cambria Math" w:cs="Arial"/>
                        <w:i/>
                        <w:sz w:val="24"/>
                        <w:szCs w:val="24"/>
                        <w:lang w:val="en-GB"/>
                      </w:rPr>
                    </m:ctrlPr>
                  </m:sSubPr>
                  <m:e>
                    <m:r>
                      <w:rPr>
                        <w:rFonts w:ascii="Cambria Math" w:hAnsi="Cambria Math" w:cs="Arial"/>
                        <w:sz w:val="24"/>
                        <w:szCs w:val="24"/>
                        <w:lang w:val="en-GB"/>
                      </w:rPr>
                      <m:t>q</m:t>
                    </m:r>
                  </m:e>
                  <m:sub>
                    <m:r>
                      <w:rPr>
                        <w:rFonts w:ascii="Cambria Math" w:hAnsi="Cambria Math" w:cs="Arial"/>
                        <w:i/>
                        <w:sz w:val="24"/>
                        <w:szCs w:val="24"/>
                        <w:lang w:val="en-GB"/>
                      </w:rPr>
                      <w:sym w:font="Symbol" w:char="F074"/>
                    </m:r>
                  </m:sub>
                </m:sSub>
              </m:e>
            </m:d>
            <m:r>
              <w:rPr>
                <w:rFonts w:ascii="Cambria Math" w:hAnsi="Cambria Math" w:cs="Arial"/>
                <w:sz w:val="24"/>
                <w:szCs w:val="24"/>
                <w:lang w:val="en-GB"/>
              </w:rPr>
              <m:t>|X=x</m:t>
            </m:r>
          </m:e>
        </m:d>
      </m:oMath>
      <w:r>
        <w:rPr>
          <w:rFonts w:cs="Arial"/>
          <w:sz w:val="24"/>
          <w:szCs w:val="24"/>
          <w:lang w:val="en-GB"/>
        </w:rPr>
        <w:t xml:space="preserve">, is linear in </w:t>
      </w:r>
      <m:oMath>
        <m:r>
          <w:rPr>
            <w:rFonts w:ascii="Cambria Math" w:hAnsi="Cambria Math" w:cs="Arial"/>
            <w:sz w:val="24"/>
            <w:szCs w:val="24"/>
            <w:lang w:val="en-GB"/>
          </w:rPr>
          <m:t>Pr</m:t>
        </m:r>
        <m:d>
          <m:dPr>
            <m:ctrlPr>
              <w:rPr>
                <w:rFonts w:ascii="Cambria Math" w:hAnsi="Cambria Math" w:cs="Arial"/>
                <w:i/>
                <w:sz w:val="24"/>
                <w:szCs w:val="24"/>
                <w:lang w:val="en-GB"/>
              </w:rPr>
            </m:ctrlPr>
          </m:dPr>
          <m:e>
            <m:r>
              <w:rPr>
                <w:rFonts w:ascii="Cambria Math" w:hAnsi="Cambria Math" w:cs="Arial"/>
                <w:sz w:val="24"/>
                <w:szCs w:val="24"/>
                <w:lang w:val="en-GB"/>
              </w:rPr>
              <m:t>I</m:t>
            </m:r>
            <m:d>
              <m:dPr>
                <m:ctrlPr>
                  <w:rPr>
                    <w:rFonts w:ascii="Cambria Math" w:hAnsi="Cambria Math" w:cs="Arial"/>
                    <w:i/>
                    <w:sz w:val="24"/>
                    <w:szCs w:val="24"/>
                    <w:lang w:val="en-GB"/>
                  </w:rPr>
                </m:ctrlPr>
              </m:dPr>
              <m:e>
                <m:r>
                  <w:rPr>
                    <w:rFonts w:ascii="Cambria Math" w:hAnsi="Cambria Math" w:cs="Arial"/>
                    <w:sz w:val="24"/>
                    <w:szCs w:val="24"/>
                    <w:lang w:val="en-GB"/>
                  </w:rPr>
                  <m:t>y&gt;</m:t>
                </m:r>
                <m:sSub>
                  <m:sSubPr>
                    <m:ctrlPr>
                      <w:rPr>
                        <w:rFonts w:ascii="Cambria Math" w:hAnsi="Cambria Math" w:cs="Arial"/>
                        <w:i/>
                        <w:sz w:val="24"/>
                        <w:szCs w:val="24"/>
                        <w:lang w:val="en-GB"/>
                      </w:rPr>
                    </m:ctrlPr>
                  </m:sSubPr>
                  <m:e>
                    <m:r>
                      <w:rPr>
                        <w:rFonts w:ascii="Cambria Math" w:cs="Arial"/>
                        <w:sz w:val="24"/>
                        <w:szCs w:val="24"/>
                        <w:lang w:val="en-GB"/>
                      </w:rPr>
                      <m:t>q</m:t>
                    </m:r>
                  </m:e>
                  <m:sub>
                    <m:r>
                      <w:rPr>
                        <w:rFonts w:ascii="Cambria Math" w:cs="Arial"/>
                        <w:i/>
                        <w:sz w:val="24"/>
                        <w:szCs w:val="24"/>
                        <w:lang w:val="en-GB"/>
                      </w:rPr>
                      <w:sym w:font="Symbol" w:char="F074"/>
                    </m:r>
                  </m:sub>
                </m:sSub>
              </m:e>
            </m:d>
            <m:r>
              <w:rPr>
                <w:rFonts w:ascii="Cambria Math" w:hAnsi="Cambria Math" w:cs="Arial"/>
                <w:sz w:val="24"/>
                <w:szCs w:val="24"/>
                <w:lang w:val="en-GB"/>
              </w:rPr>
              <m:t>|X=x</m:t>
            </m:r>
          </m:e>
        </m:d>
      </m:oMath>
      <w:r>
        <w:rPr>
          <w:rFonts w:cs="Arial"/>
          <w:sz w:val="24"/>
          <w:szCs w:val="24"/>
          <w:lang w:val="en-GB"/>
        </w:rPr>
        <w:t xml:space="preserve">, the average marginal effect of covariates, </w:t>
      </w:r>
      <m:oMath>
        <m:acc>
          <m:accPr>
            <m:ctrlPr>
              <w:rPr>
                <w:rFonts w:ascii="Cambria Math" w:hAnsi="Cambria Math" w:cs="Arial"/>
                <w:i/>
                <w:sz w:val="24"/>
                <w:szCs w:val="24"/>
                <w:lang w:val="en-GB"/>
              </w:rPr>
            </m:ctrlPr>
          </m:accPr>
          <m:e>
            <m:sSub>
              <m:sSubPr>
                <m:ctrlPr>
                  <w:rPr>
                    <w:rFonts w:ascii="Cambria Math" w:hAnsi="Cambria Math" w:cs="Arial"/>
                    <w:i/>
                    <w:sz w:val="24"/>
                    <w:szCs w:val="24"/>
                    <w:lang w:val="en-GB"/>
                  </w:rPr>
                </m:ctrlPr>
              </m:sSubPr>
              <m:e>
                <m:r>
                  <w:rPr>
                    <w:rFonts w:ascii="Cambria Math" w:hAnsi="Cambria Math" w:cs="Arial"/>
                    <w:i/>
                    <w:sz w:val="24"/>
                    <w:szCs w:val="24"/>
                    <w:lang w:val="en-GB"/>
                  </w:rPr>
                  <w:sym w:font="Symbol" w:char="F062"/>
                </m:r>
              </m:e>
              <m:sub>
                <m:r>
                  <w:rPr>
                    <w:rFonts w:ascii="Cambria Math" w:hAnsi="Cambria Math" w:cs="Arial"/>
                    <w:i/>
                    <w:sz w:val="24"/>
                    <w:szCs w:val="24"/>
                    <w:lang w:val="en-GB"/>
                  </w:rPr>
                  <w:sym w:font="Symbol" w:char="F074"/>
                </m:r>
              </m:sub>
            </m:sSub>
          </m:e>
        </m:acc>
      </m:oMath>
      <w:r>
        <w:rPr>
          <w:rFonts w:cs="Arial"/>
          <w:sz w:val="24"/>
          <w:szCs w:val="24"/>
          <w:lang w:val="en-GB"/>
        </w:rPr>
        <w:t>, can be consistently estimated using OLS regression in a linear probability model.</w:t>
      </w:r>
    </w:p>
    <w:p w14:paraId="159ABD37" w14:textId="77777777" w:rsidR="00AE1998" w:rsidRDefault="00AE1998" w:rsidP="00AE1998">
      <w:pPr>
        <w:autoSpaceDE w:val="0"/>
        <w:autoSpaceDN w:val="0"/>
        <w:adjustRightInd w:val="0"/>
        <w:spacing w:after="0" w:line="360" w:lineRule="auto"/>
        <w:jc w:val="both"/>
        <w:rPr>
          <w:rFonts w:cs="Arial"/>
          <w:sz w:val="24"/>
          <w:szCs w:val="24"/>
          <w:lang w:val="en-GB"/>
        </w:rPr>
      </w:pPr>
      <w:r>
        <w:rPr>
          <w:rFonts w:cs="Arial"/>
          <w:sz w:val="24"/>
          <w:szCs w:val="24"/>
          <w:lang w:val="en-GB"/>
        </w:rPr>
        <w:t xml:space="preserve">To decompose the differences in prices between NY and the </w:t>
      </w:r>
      <w:proofErr w:type="spellStart"/>
      <w:r>
        <w:rPr>
          <w:rFonts w:cs="Arial"/>
          <w:sz w:val="24"/>
          <w:szCs w:val="24"/>
          <w:lang w:val="en-GB"/>
        </w:rPr>
        <w:t>RoW</w:t>
      </w:r>
      <w:proofErr w:type="spellEnd"/>
      <w:r>
        <w:rPr>
          <w:rFonts w:cs="Arial"/>
          <w:sz w:val="24"/>
          <w:szCs w:val="24"/>
          <w:lang w:val="en-GB"/>
        </w:rPr>
        <w:t xml:space="preserve">, we calculate the total difference in prices across percentiles between markets as follows: </w:t>
      </w:r>
    </w:p>
    <w:p w14:paraId="6C59A1A6" w14:textId="77777777" w:rsidR="00AE1998" w:rsidRDefault="00AE1998" w:rsidP="00AE1998">
      <w:pPr>
        <w:autoSpaceDE w:val="0"/>
        <w:autoSpaceDN w:val="0"/>
        <w:adjustRightInd w:val="0"/>
        <w:spacing w:after="0" w:line="360" w:lineRule="auto"/>
        <w:jc w:val="both"/>
        <w:rPr>
          <w:rFonts w:cs="Arial"/>
          <w:sz w:val="24"/>
          <w:szCs w:val="24"/>
          <w:lang w:val="en-GB"/>
        </w:rPr>
      </w:pPr>
    </w:p>
    <w:p w14:paraId="459B3FC3" w14:textId="77777777" w:rsidR="00AE1998" w:rsidRDefault="00AE1998" w:rsidP="00AE1998">
      <w:pPr>
        <w:autoSpaceDE w:val="0"/>
        <w:autoSpaceDN w:val="0"/>
        <w:adjustRightInd w:val="0"/>
        <w:spacing w:after="0" w:line="360" w:lineRule="auto"/>
        <w:jc w:val="both"/>
        <w:rPr>
          <w:rFonts w:cs="Arial"/>
          <w:caps/>
          <w:sz w:val="24"/>
          <w:szCs w:val="24"/>
          <w:lang w:val="en-GB"/>
        </w:rPr>
      </w:pPr>
      <m:oMathPara>
        <m:oMath>
          <m:limLow>
            <m:limLowPr>
              <m:ctrlPr>
                <w:rPr>
                  <w:rFonts w:ascii="Cambria Math" w:hAnsi="Cambria Math" w:cs="Arial"/>
                  <w:i/>
                  <w:caps/>
                  <w:sz w:val="24"/>
                  <w:szCs w:val="24"/>
                  <w:lang w:val="en-GB"/>
                </w:rPr>
              </m:ctrlPr>
            </m:limLowPr>
            <m:e>
              <m:groupChr>
                <m:groupChrPr>
                  <m:ctrlPr>
                    <w:rPr>
                      <w:rFonts w:ascii="Cambria Math" w:hAnsi="Cambria Math" w:cs="Arial"/>
                      <w:i/>
                      <w:caps/>
                      <w:sz w:val="24"/>
                      <w:szCs w:val="24"/>
                      <w:lang w:val="en-GB"/>
                    </w:rPr>
                  </m:ctrlPr>
                </m:groupChrPr>
                <m:e>
                  <m:r>
                    <w:rPr>
                      <w:rFonts w:ascii="Cambria Math" w:hAnsi="Cambria Math" w:cs="Arial"/>
                      <w:caps/>
                      <w:sz w:val="24"/>
                      <w:szCs w:val="24"/>
                      <w:lang w:val="en-GB"/>
                    </w:rPr>
                    <m:t>E</m:t>
                  </m:r>
                  <m:d>
                    <m:dPr>
                      <m:ctrlPr>
                        <w:rPr>
                          <w:rFonts w:ascii="Cambria Math" w:hAnsi="Cambria Math" w:cs="Arial"/>
                          <w:i/>
                          <w:sz w:val="24"/>
                          <w:szCs w:val="24"/>
                          <w:lang w:val="en-GB"/>
                        </w:rPr>
                      </m:ctrlPr>
                    </m:dPr>
                    <m:e>
                      <m:r>
                        <w:rPr>
                          <w:rFonts w:ascii="Cambria Math" w:hAnsi="Cambria Math" w:cs="Arial"/>
                          <w:sz w:val="24"/>
                          <w:szCs w:val="24"/>
                          <w:lang w:val="en-GB"/>
                        </w:rPr>
                        <m:t>RIF</m:t>
                      </m:r>
                      <m:d>
                        <m:dPr>
                          <m:ctrlPr>
                            <w:rPr>
                              <w:rFonts w:ascii="Cambria Math" w:hAnsi="Cambria Math" w:cs="Arial"/>
                              <w:i/>
                              <w:sz w:val="24"/>
                              <w:szCs w:val="24"/>
                              <w:lang w:val="en-GB"/>
                            </w:rPr>
                          </m:ctrlPr>
                        </m:dPr>
                        <m:e>
                          <m:sSub>
                            <m:sSubPr>
                              <m:ctrlPr>
                                <w:rPr>
                                  <w:rFonts w:ascii="Cambria Math" w:hAnsi="Cambria Math" w:cs="Arial"/>
                                  <w:i/>
                                  <w:sz w:val="24"/>
                                  <w:szCs w:val="24"/>
                                  <w:lang w:val="en-GB"/>
                                </w:rPr>
                              </m:ctrlPr>
                            </m:sSubPr>
                            <m:e>
                              <m:r>
                                <w:rPr>
                                  <w:rFonts w:ascii="Cambria Math" w:hAnsi="Cambria Math" w:cs="Arial"/>
                                  <w:sz w:val="24"/>
                                  <w:szCs w:val="24"/>
                                  <w:lang w:val="en-GB"/>
                                </w:rPr>
                                <m:t>Y</m:t>
                              </m:r>
                            </m:e>
                            <m:sub>
                              <m:r>
                                <w:rPr>
                                  <w:rFonts w:ascii="Cambria Math" w:hAnsi="Cambria Math" w:cs="Arial"/>
                                  <w:sz w:val="24"/>
                                  <w:szCs w:val="24"/>
                                  <w:lang w:val="en-GB"/>
                                </w:rPr>
                                <m:t>NY,</m:t>
                              </m:r>
                              <m:sSub>
                                <m:sSubPr>
                                  <m:ctrlPr>
                                    <w:rPr>
                                      <w:rFonts w:ascii="Cambria Math" w:hAnsi="Cambria Math" w:cs="Arial"/>
                                      <w:i/>
                                      <w:sz w:val="24"/>
                                      <w:szCs w:val="24"/>
                                      <w:lang w:val="en-GB"/>
                                    </w:rPr>
                                  </m:ctrlPr>
                                </m:sSubPr>
                                <m:e>
                                  <m:r>
                                    <w:rPr>
                                      <w:rFonts w:ascii="Cambria Math" w:hAnsi="Cambria Math" w:cs="Arial"/>
                                      <w:sz w:val="24"/>
                                      <w:szCs w:val="24"/>
                                      <w:lang w:val="en-GB"/>
                                    </w:rPr>
                                    <m:t>q</m:t>
                                  </m:r>
                                </m:e>
                                <m:sub>
                                  <m:r>
                                    <w:rPr>
                                      <w:rFonts w:ascii="Cambria Math" w:hAnsi="Cambria Math" w:cs="Arial"/>
                                      <w:i/>
                                      <w:sz w:val="24"/>
                                      <w:szCs w:val="24"/>
                                      <w:lang w:val="en-GB"/>
                                    </w:rPr>
                                    <w:sym w:font="Symbol" w:char="F074"/>
                                  </m:r>
                                </m:sub>
                              </m:sSub>
                            </m:sub>
                          </m:sSub>
                          <m:r>
                            <w:rPr>
                              <w:rFonts w:ascii="Cambria Math" w:hAnsi="Cambria Math" w:cs="Arial"/>
                              <w:sz w:val="24"/>
                              <w:szCs w:val="24"/>
                              <w:lang w:val="en-GB"/>
                            </w:rPr>
                            <m:t>|</m:t>
                          </m:r>
                          <m:sSub>
                            <m:sSubPr>
                              <m:ctrlPr>
                                <w:rPr>
                                  <w:rFonts w:ascii="Cambria Math" w:hAnsi="Cambria Math" w:cs="Arial"/>
                                  <w:i/>
                                  <w:sz w:val="24"/>
                                  <w:szCs w:val="24"/>
                                  <w:lang w:val="en-GB"/>
                                </w:rPr>
                              </m:ctrlPr>
                            </m:sSubPr>
                            <m:e>
                              <m:r>
                                <w:rPr>
                                  <w:rFonts w:ascii="Cambria Math" w:hAnsi="Cambria Math" w:cs="Arial"/>
                                  <w:sz w:val="24"/>
                                  <w:szCs w:val="24"/>
                                  <w:lang w:val="en-GB"/>
                                </w:rPr>
                                <m:t>X</m:t>
                              </m:r>
                            </m:e>
                            <m:sub>
                              <m:r>
                                <w:rPr>
                                  <w:rFonts w:ascii="Cambria Math" w:hAnsi="Cambria Math" w:cs="Arial"/>
                                  <w:sz w:val="24"/>
                                  <w:szCs w:val="24"/>
                                  <w:lang w:val="en-GB"/>
                                </w:rPr>
                                <m:t>NY</m:t>
                              </m:r>
                            </m:sub>
                          </m:sSub>
                        </m:e>
                      </m:d>
                    </m:e>
                  </m:d>
                  <m:r>
                    <w:rPr>
                      <w:rFonts w:ascii="Cambria Math" w:hAnsi="Cambria Math" w:cs="Arial"/>
                      <w:sz w:val="24"/>
                      <w:szCs w:val="24"/>
                      <w:lang w:val="en-GB"/>
                    </w:rPr>
                    <m:t>-</m:t>
                  </m:r>
                  <m:r>
                    <w:rPr>
                      <w:rFonts w:ascii="Cambria Math" w:hAnsi="Cambria Math" w:cs="Arial"/>
                      <w:caps/>
                      <w:sz w:val="24"/>
                      <w:szCs w:val="24"/>
                      <w:lang w:val="en-GB"/>
                    </w:rPr>
                    <m:t>E</m:t>
                  </m:r>
                  <m:d>
                    <m:dPr>
                      <m:ctrlPr>
                        <w:rPr>
                          <w:rFonts w:ascii="Cambria Math" w:hAnsi="Cambria Math" w:cs="Arial"/>
                          <w:i/>
                          <w:sz w:val="24"/>
                          <w:szCs w:val="24"/>
                          <w:lang w:val="en-GB"/>
                        </w:rPr>
                      </m:ctrlPr>
                    </m:dPr>
                    <m:e>
                      <m:r>
                        <w:rPr>
                          <w:rFonts w:ascii="Cambria Math" w:hAnsi="Cambria Math" w:cs="Arial"/>
                          <w:sz w:val="24"/>
                          <w:szCs w:val="24"/>
                          <w:lang w:val="en-GB"/>
                        </w:rPr>
                        <m:t>RIF</m:t>
                      </m:r>
                      <m:d>
                        <m:dPr>
                          <m:ctrlPr>
                            <w:rPr>
                              <w:rFonts w:ascii="Cambria Math" w:hAnsi="Cambria Math" w:cs="Arial"/>
                              <w:i/>
                              <w:sz w:val="24"/>
                              <w:szCs w:val="24"/>
                              <w:lang w:val="en-GB"/>
                            </w:rPr>
                          </m:ctrlPr>
                        </m:dPr>
                        <m:e>
                          <m:sSub>
                            <m:sSubPr>
                              <m:ctrlPr>
                                <w:rPr>
                                  <w:rFonts w:ascii="Cambria Math" w:hAnsi="Cambria Math" w:cs="Arial"/>
                                  <w:i/>
                                  <w:sz w:val="24"/>
                                  <w:szCs w:val="24"/>
                                  <w:lang w:val="en-GB"/>
                                </w:rPr>
                              </m:ctrlPr>
                            </m:sSubPr>
                            <m:e>
                              <m:r>
                                <w:rPr>
                                  <w:rFonts w:ascii="Cambria Math" w:hAnsi="Cambria Math" w:cs="Arial"/>
                                  <w:sz w:val="24"/>
                                  <w:szCs w:val="24"/>
                                  <w:lang w:val="en-GB"/>
                                </w:rPr>
                                <m:t>Y</m:t>
                              </m:r>
                            </m:e>
                            <m:sub>
                              <m:r>
                                <w:rPr>
                                  <w:rFonts w:ascii="Cambria Math" w:hAnsi="Cambria Math" w:cs="Arial"/>
                                  <w:sz w:val="24"/>
                                  <w:szCs w:val="24"/>
                                  <w:lang w:val="en-GB"/>
                                </w:rPr>
                                <m:t>RoW,</m:t>
                              </m:r>
                              <m:sSub>
                                <m:sSubPr>
                                  <m:ctrlPr>
                                    <w:rPr>
                                      <w:rFonts w:ascii="Cambria Math" w:hAnsi="Cambria Math" w:cs="Arial"/>
                                      <w:i/>
                                      <w:sz w:val="24"/>
                                      <w:szCs w:val="24"/>
                                      <w:lang w:val="en-GB"/>
                                    </w:rPr>
                                  </m:ctrlPr>
                                </m:sSubPr>
                                <m:e>
                                  <m:r>
                                    <w:rPr>
                                      <w:rFonts w:ascii="Cambria Math" w:hAnsi="Cambria Math" w:cs="Arial"/>
                                      <w:sz w:val="24"/>
                                      <w:szCs w:val="24"/>
                                      <w:lang w:val="en-GB"/>
                                    </w:rPr>
                                    <m:t>q</m:t>
                                  </m:r>
                                </m:e>
                                <m:sub>
                                  <m:r>
                                    <w:rPr>
                                      <w:rFonts w:ascii="Cambria Math" w:hAnsi="Cambria Math" w:cs="Arial"/>
                                      <w:i/>
                                      <w:sz w:val="24"/>
                                      <w:szCs w:val="24"/>
                                      <w:lang w:val="en-GB"/>
                                    </w:rPr>
                                    <w:sym w:font="Symbol" w:char="F074"/>
                                  </m:r>
                                </m:sub>
                              </m:sSub>
                            </m:sub>
                          </m:sSub>
                          <m:r>
                            <w:rPr>
                              <w:rFonts w:ascii="Cambria Math" w:hAnsi="Cambria Math" w:cs="Arial"/>
                              <w:sz w:val="24"/>
                              <w:szCs w:val="24"/>
                              <w:lang w:val="en-GB"/>
                            </w:rPr>
                            <m:t>|</m:t>
                          </m:r>
                          <m:sSub>
                            <m:sSubPr>
                              <m:ctrlPr>
                                <w:rPr>
                                  <w:rFonts w:ascii="Cambria Math" w:hAnsi="Cambria Math" w:cs="Arial"/>
                                  <w:i/>
                                  <w:sz w:val="24"/>
                                  <w:szCs w:val="24"/>
                                  <w:lang w:val="en-GB"/>
                                </w:rPr>
                              </m:ctrlPr>
                            </m:sSubPr>
                            <m:e>
                              <m:r>
                                <w:rPr>
                                  <w:rFonts w:ascii="Cambria Math" w:hAnsi="Cambria Math" w:cs="Arial"/>
                                  <w:sz w:val="24"/>
                                  <w:szCs w:val="24"/>
                                  <w:lang w:val="en-GB"/>
                                </w:rPr>
                                <m:t>X</m:t>
                              </m:r>
                            </m:e>
                            <m:sub>
                              <m:r>
                                <w:rPr>
                                  <w:rFonts w:ascii="Cambria Math" w:hAnsi="Cambria Math" w:cs="Arial"/>
                                  <w:sz w:val="24"/>
                                  <w:szCs w:val="24"/>
                                  <w:lang w:val="en-GB"/>
                                </w:rPr>
                                <m:t>RoW</m:t>
                              </m:r>
                            </m:sub>
                          </m:sSub>
                        </m:e>
                      </m:d>
                    </m:e>
                  </m:d>
                </m:e>
              </m:groupChr>
            </m:e>
            <m:lim>
              <m:sSub>
                <m:sSubPr>
                  <m:ctrlPr>
                    <w:rPr>
                      <w:rFonts w:ascii="Cambria Math" w:hAnsi="Cambria Math" w:cs="Arial"/>
                      <w:i/>
                      <w:caps/>
                      <w:sz w:val="24"/>
                      <w:szCs w:val="24"/>
                      <w:lang w:val="en-GB"/>
                    </w:rPr>
                  </m:ctrlPr>
                </m:sSubPr>
                <m:e>
                  <m:r>
                    <w:rPr>
                      <w:rFonts w:ascii="Cambria Math" w:hAnsi="Cambria Math" w:cs="Arial"/>
                      <w:i/>
                      <w:caps/>
                      <w:sz w:val="24"/>
                      <w:szCs w:val="24"/>
                      <w:lang w:val="en-GB"/>
                    </w:rPr>
                    <w:sym w:font="Symbol" w:char="F044"/>
                  </m:r>
                </m:e>
                <m:sub>
                  <m:r>
                    <w:rPr>
                      <w:rFonts w:ascii="Cambria Math" w:hAnsi="Cambria Math" w:cs="Arial"/>
                      <w:i/>
                      <w:caps/>
                      <w:sz w:val="24"/>
                      <w:szCs w:val="24"/>
                      <w:lang w:val="en-GB"/>
                    </w:rPr>
                    <w:sym w:font="Symbol" w:char="F074"/>
                  </m:r>
                  <m:r>
                    <w:rPr>
                      <w:rFonts w:ascii="Cambria Math" w:hAnsi="Cambria Math" w:cs="Arial"/>
                      <w:caps/>
                      <w:sz w:val="24"/>
                      <w:szCs w:val="24"/>
                      <w:lang w:val="en-GB"/>
                    </w:rPr>
                    <m:t>,O</m:t>
                  </m:r>
                </m:sub>
              </m:sSub>
            </m:lim>
          </m:limLow>
          <m:r>
            <w:rPr>
              <w:rFonts w:ascii="Cambria Math" w:hAnsi="Cambria Math" w:cs="Arial"/>
              <w:caps/>
              <w:sz w:val="24"/>
              <w:szCs w:val="24"/>
              <w:lang w:val="en-GB"/>
            </w:rPr>
            <m:t>=</m:t>
          </m:r>
          <m:limLow>
            <m:limLowPr>
              <m:ctrlPr>
                <w:rPr>
                  <w:rFonts w:ascii="Cambria Math" w:hAnsi="Cambria Math" w:cs="Arial"/>
                  <w:i/>
                  <w:caps/>
                  <w:sz w:val="24"/>
                  <w:szCs w:val="24"/>
                  <w:lang w:val="en-GB"/>
                </w:rPr>
              </m:ctrlPr>
            </m:limLowPr>
            <m:e>
              <m:groupChr>
                <m:groupChrPr>
                  <m:ctrlPr>
                    <w:rPr>
                      <w:rFonts w:ascii="Cambria Math" w:hAnsi="Cambria Math" w:cs="Arial"/>
                      <w:i/>
                      <w:caps/>
                      <w:sz w:val="24"/>
                      <w:szCs w:val="24"/>
                      <w:lang w:val="en-GB"/>
                    </w:rPr>
                  </m:ctrlPr>
                </m:groupChrPr>
                <m:e>
                  <m:d>
                    <m:dPr>
                      <m:ctrlPr>
                        <w:rPr>
                          <w:rFonts w:ascii="Cambria Math" w:hAnsi="Cambria Math" w:cs="Arial"/>
                          <w:i/>
                          <w:caps/>
                          <w:sz w:val="24"/>
                          <w:szCs w:val="24"/>
                          <w:lang w:val="en-GB"/>
                        </w:rPr>
                      </m:ctrlPr>
                    </m:dPr>
                    <m:e>
                      <m:sSub>
                        <m:sSubPr>
                          <m:ctrlPr>
                            <w:rPr>
                              <w:rFonts w:ascii="Cambria Math" w:hAnsi="Cambria Math" w:cs="Arial"/>
                              <w:i/>
                              <w:caps/>
                              <w:sz w:val="24"/>
                              <w:szCs w:val="24"/>
                              <w:lang w:val="en-GB"/>
                            </w:rPr>
                          </m:ctrlPr>
                        </m:sSubPr>
                        <m:e>
                          <m:acc>
                            <m:accPr>
                              <m:chr m:val="̅"/>
                              <m:ctrlPr>
                                <w:rPr>
                                  <w:rFonts w:ascii="Cambria Math" w:hAnsi="Cambria Math" w:cs="Arial"/>
                                  <w:i/>
                                  <w:caps/>
                                  <w:sz w:val="24"/>
                                  <w:szCs w:val="24"/>
                                  <w:lang w:val="en-GB"/>
                                </w:rPr>
                              </m:ctrlPr>
                            </m:accPr>
                            <m:e>
                              <m:r>
                                <w:rPr>
                                  <w:rFonts w:ascii="Cambria Math" w:hAnsi="Cambria Math" w:cs="Arial"/>
                                  <w:caps/>
                                  <w:sz w:val="24"/>
                                  <w:szCs w:val="24"/>
                                  <w:lang w:val="en-GB"/>
                                </w:rPr>
                                <m:t>X</m:t>
                              </m:r>
                            </m:e>
                          </m:acc>
                        </m:e>
                        <m:sub>
                          <m:r>
                            <w:rPr>
                              <w:rFonts w:ascii="Cambria Math" w:hAnsi="Cambria Math" w:cs="Arial"/>
                              <w:caps/>
                              <w:sz w:val="24"/>
                              <w:szCs w:val="24"/>
                              <w:lang w:val="en-GB"/>
                            </w:rPr>
                            <m:t>NY</m:t>
                          </m:r>
                        </m:sub>
                      </m:sSub>
                      <m:r>
                        <w:rPr>
                          <w:rFonts w:ascii="Cambria Math" w:hAnsi="Cambria Math" w:cs="Arial"/>
                          <w:caps/>
                          <w:sz w:val="24"/>
                          <w:szCs w:val="24"/>
                          <w:lang w:val="en-GB"/>
                        </w:rPr>
                        <m:t>-</m:t>
                      </m:r>
                      <m:sSub>
                        <m:sSubPr>
                          <m:ctrlPr>
                            <w:rPr>
                              <w:rFonts w:ascii="Cambria Math" w:hAnsi="Cambria Math" w:cs="Arial"/>
                              <w:i/>
                              <w:caps/>
                              <w:sz w:val="24"/>
                              <w:szCs w:val="24"/>
                              <w:lang w:val="en-GB"/>
                            </w:rPr>
                          </m:ctrlPr>
                        </m:sSubPr>
                        <m:e>
                          <m:acc>
                            <m:accPr>
                              <m:chr m:val="̅"/>
                              <m:ctrlPr>
                                <w:rPr>
                                  <w:rFonts w:ascii="Cambria Math" w:hAnsi="Cambria Math" w:cs="Arial"/>
                                  <w:i/>
                                  <w:caps/>
                                  <w:sz w:val="24"/>
                                  <w:szCs w:val="24"/>
                                  <w:lang w:val="en-GB"/>
                                </w:rPr>
                              </m:ctrlPr>
                            </m:accPr>
                            <m:e>
                              <m:r>
                                <w:rPr>
                                  <w:rFonts w:ascii="Cambria Math" w:hAnsi="Cambria Math" w:cs="Arial"/>
                                  <w:caps/>
                                  <w:sz w:val="24"/>
                                  <w:szCs w:val="24"/>
                                  <w:lang w:val="en-GB"/>
                                </w:rPr>
                                <m:t>X</m:t>
                              </m:r>
                            </m:e>
                          </m:acc>
                        </m:e>
                        <m:sub>
                          <m:r>
                            <w:rPr>
                              <w:rFonts w:ascii="Cambria Math" w:hAnsi="Cambria Math" w:cs="Arial"/>
                              <w:caps/>
                              <w:sz w:val="24"/>
                              <w:szCs w:val="24"/>
                              <w:lang w:val="en-GB"/>
                            </w:rPr>
                            <m:t>RoW</m:t>
                          </m:r>
                        </m:sub>
                      </m:sSub>
                    </m:e>
                  </m:d>
                  <m:sSub>
                    <m:sSubPr>
                      <m:ctrlPr>
                        <w:rPr>
                          <w:rFonts w:ascii="Cambria Math" w:hAnsi="Cambria Math" w:cs="Arial"/>
                          <w:i/>
                          <w:caps/>
                          <w:sz w:val="24"/>
                          <w:szCs w:val="24"/>
                          <w:lang w:val="en-GB"/>
                        </w:rPr>
                      </m:ctrlPr>
                    </m:sSubPr>
                    <m:e>
                      <m:r>
                        <w:rPr>
                          <w:rFonts w:ascii="Cambria Math" w:hAnsi="Cambria Math" w:cs="Arial"/>
                          <w:i/>
                          <w:caps/>
                          <w:sz w:val="24"/>
                          <w:szCs w:val="24"/>
                          <w:lang w:val="en-GB"/>
                        </w:rPr>
                        <w:sym w:font="Symbol" w:char="F062"/>
                      </m:r>
                    </m:e>
                    <m:sub>
                      <m:r>
                        <w:rPr>
                          <w:rFonts w:ascii="Cambria Math" w:hAnsi="Cambria Math" w:cs="Arial"/>
                          <w:i/>
                          <w:caps/>
                          <w:sz w:val="24"/>
                          <w:szCs w:val="24"/>
                          <w:lang w:val="en-GB"/>
                        </w:rPr>
                        <w:sym w:font="Symbol" w:char="F074"/>
                      </m:r>
                      <m:r>
                        <w:rPr>
                          <w:rFonts w:ascii="Cambria Math" w:hAnsi="Cambria Math" w:cs="Arial"/>
                          <w:caps/>
                          <w:sz w:val="24"/>
                          <w:szCs w:val="24"/>
                          <w:lang w:val="en-GB"/>
                        </w:rPr>
                        <m:t>.NY</m:t>
                      </m:r>
                    </m:sub>
                  </m:sSub>
                </m:e>
              </m:groupChr>
            </m:e>
            <m:lim>
              <m:sSub>
                <m:sSubPr>
                  <m:ctrlPr>
                    <w:rPr>
                      <w:rFonts w:ascii="Cambria Math" w:hAnsi="Cambria Math" w:cs="Arial"/>
                      <w:i/>
                      <w:caps/>
                      <w:sz w:val="24"/>
                      <w:szCs w:val="24"/>
                      <w:lang w:val="en-GB"/>
                    </w:rPr>
                  </m:ctrlPr>
                </m:sSubPr>
                <m:e>
                  <m:r>
                    <w:rPr>
                      <w:rFonts w:ascii="Cambria Math" w:hAnsi="Cambria Math" w:cs="Arial"/>
                      <w:i/>
                      <w:caps/>
                      <w:sz w:val="24"/>
                      <w:szCs w:val="24"/>
                      <w:lang w:val="en-GB"/>
                    </w:rPr>
                    <w:sym w:font="Symbol" w:char="F044"/>
                  </m:r>
                </m:e>
                <m:sub>
                  <m:r>
                    <w:rPr>
                      <w:rFonts w:ascii="Cambria Math" w:hAnsi="Cambria Math" w:cs="Arial"/>
                      <w:i/>
                      <w:caps/>
                      <w:sz w:val="24"/>
                      <w:szCs w:val="24"/>
                      <w:lang w:val="en-GB"/>
                    </w:rPr>
                    <w:sym w:font="Symbol" w:char="F074"/>
                  </m:r>
                  <m:r>
                    <w:rPr>
                      <w:rFonts w:ascii="Cambria Math" w:hAnsi="Cambria Math" w:cs="Arial"/>
                      <w:caps/>
                      <w:sz w:val="24"/>
                      <w:szCs w:val="24"/>
                      <w:lang w:val="en-GB"/>
                    </w:rPr>
                    <m:t>,X</m:t>
                  </m:r>
                </m:sub>
              </m:sSub>
            </m:lim>
          </m:limLow>
          <m:r>
            <w:rPr>
              <w:rFonts w:ascii="Cambria Math" w:hAnsi="Cambria Math" w:cs="Arial"/>
              <w:caps/>
              <w:sz w:val="24"/>
              <w:szCs w:val="24"/>
              <w:lang w:val="en-GB"/>
            </w:rPr>
            <m:t>+</m:t>
          </m:r>
          <m:limLow>
            <m:limLowPr>
              <m:ctrlPr>
                <w:rPr>
                  <w:rFonts w:ascii="Cambria Math" w:hAnsi="Cambria Math" w:cs="Arial"/>
                  <w:i/>
                  <w:caps/>
                  <w:sz w:val="24"/>
                  <w:szCs w:val="24"/>
                  <w:lang w:val="en-GB"/>
                </w:rPr>
              </m:ctrlPr>
            </m:limLowPr>
            <m:e>
              <m:groupChr>
                <m:groupChrPr>
                  <m:ctrlPr>
                    <w:rPr>
                      <w:rFonts w:ascii="Cambria Math" w:hAnsi="Cambria Math" w:cs="Arial"/>
                      <w:i/>
                      <w:caps/>
                      <w:sz w:val="24"/>
                      <w:szCs w:val="24"/>
                      <w:lang w:val="en-GB"/>
                    </w:rPr>
                  </m:ctrlPr>
                </m:groupChrPr>
                <m:e>
                  <m:d>
                    <m:dPr>
                      <m:ctrlPr>
                        <w:rPr>
                          <w:rFonts w:ascii="Cambria Math" w:hAnsi="Cambria Math" w:cs="Arial"/>
                          <w:i/>
                          <w:caps/>
                          <w:sz w:val="24"/>
                          <w:szCs w:val="24"/>
                          <w:lang w:val="en-GB"/>
                        </w:rPr>
                      </m:ctrlPr>
                    </m:dPr>
                    <m:e>
                      <m:sSub>
                        <m:sSubPr>
                          <m:ctrlPr>
                            <w:rPr>
                              <w:rFonts w:ascii="Cambria Math" w:hAnsi="Cambria Math" w:cs="Arial"/>
                              <w:i/>
                              <w:caps/>
                              <w:sz w:val="24"/>
                              <w:szCs w:val="24"/>
                              <w:lang w:val="en-GB"/>
                            </w:rPr>
                          </m:ctrlPr>
                        </m:sSubPr>
                        <m:e>
                          <m:r>
                            <w:rPr>
                              <w:rFonts w:ascii="Cambria Math" w:hAnsi="Cambria Math" w:cs="Arial"/>
                              <w:i/>
                              <w:caps/>
                              <w:sz w:val="24"/>
                              <w:szCs w:val="24"/>
                              <w:lang w:val="en-GB"/>
                            </w:rPr>
                            <w:sym w:font="Symbol" w:char="F062"/>
                          </m:r>
                        </m:e>
                        <m:sub>
                          <m:r>
                            <w:rPr>
                              <w:rFonts w:ascii="Cambria Math" w:hAnsi="Cambria Math" w:cs="Arial"/>
                              <w:i/>
                              <w:caps/>
                              <w:sz w:val="24"/>
                              <w:szCs w:val="24"/>
                              <w:lang w:val="en-GB"/>
                            </w:rPr>
                            <w:sym w:font="Symbol" w:char="F074"/>
                          </m:r>
                          <m:r>
                            <w:rPr>
                              <w:rFonts w:ascii="Cambria Math" w:hAnsi="Cambria Math" w:cs="Arial"/>
                              <w:caps/>
                              <w:sz w:val="24"/>
                              <w:szCs w:val="24"/>
                              <w:lang w:val="en-GB"/>
                            </w:rPr>
                            <m:t>.NY</m:t>
                          </m:r>
                        </m:sub>
                      </m:sSub>
                      <m:r>
                        <w:rPr>
                          <w:rFonts w:ascii="Cambria Math" w:hAnsi="Cambria Math" w:cs="Arial"/>
                          <w:caps/>
                          <w:sz w:val="24"/>
                          <w:szCs w:val="24"/>
                          <w:lang w:val="en-GB"/>
                        </w:rPr>
                        <m:t>-</m:t>
                      </m:r>
                      <m:sSub>
                        <m:sSubPr>
                          <m:ctrlPr>
                            <w:rPr>
                              <w:rFonts w:ascii="Cambria Math" w:hAnsi="Cambria Math" w:cs="Arial"/>
                              <w:i/>
                              <w:caps/>
                              <w:sz w:val="24"/>
                              <w:szCs w:val="24"/>
                              <w:lang w:val="en-GB"/>
                            </w:rPr>
                          </m:ctrlPr>
                        </m:sSubPr>
                        <m:e>
                          <m:r>
                            <w:rPr>
                              <w:rFonts w:ascii="Cambria Math" w:hAnsi="Cambria Math" w:cs="Arial"/>
                              <w:i/>
                              <w:caps/>
                              <w:sz w:val="24"/>
                              <w:szCs w:val="24"/>
                              <w:lang w:val="en-GB"/>
                            </w:rPr>
                            <w:sym w:font="Symbol" w:char="F062"/>
                          </m:r>
                        </m:e>
                        <m:sub>
                          <m:r>
                            <w:rPr>
                              <w:rFonts w:ascii="Cambria Math" w:hAnsi="Cambria Math" w:cs="Arial"/>
                              <w:i/>
                              <w:caps/>
                              <w:sz w:val="24"/>
                              <w:szCs w:val="24"/>
                              <w:lang w:val="en-GB"/>
                            </w:rPr>
                            <w:sym w:font="Symbol" w:char="F074"/>
                          </m:r>
                          <m:r>
                            <w:rPr>
                              <w:rFonts w:ascii="Cambria Math" w:hAnsi="Cambria Math" w:cs="Arial"/>
                              <w:caps/>
                              <w:sz w:val="24"/>
                              <w:szCs w:val="24"/>
                              <w:lang w:val="en-GB"/>
                            </w:rPr>
                            <m:t>.RoW</m:t>
                          </m:r>
                        </m:sub>
                      </m:sSub>
                    </m:e>
                  </m:d>
                  <m:sSub>
                    <m:sSubPr>
                      <m:ctrlPr>
                        <w:rPr>
                          <w:rFonts w:ascii="Cambria Math" w:hAnsi="Cambria Math" w:cs="Arial"/>
                          <w:i/>
                          <w:caps/>
                          <w:sz w:val="24"/>
                          <w:szCs w:val="24"/>
                          <w:lang w:val="en-GB"/>
                        </w:rPr>
                      </m:ctrlPr>
                    </m:sSubPr>
                    <m:e>
                      <m:acc>
                        <m:accPr>
                          <m:chr m:val="̅"/>
                          <m:ctrlPr>
                            <w:rPr>
                              <w:rFonts w:ascii="Cambria Math" w:hAnsi="Cambria Math" w:cs="Arial"/>
                              <w:i/>
                              <w:caps/>
                              <w:sz w:val="24"/>
                              <w:szCs w:val="24"/>
                              <w:lang w:val="en-GB"/>
                            </w:rPr>
                          </m:ctrlPr>
                        </m:accPr>
                        <m:e>
                          <m:r>
                            <w:rPr>
                              <w:rFonts w:ascii="Cambria Math" w:hAnsi="Cambria Math" w:cs="Arial"/>
                              <w:caps/>
                              <w:sz w:val="24"/>
                              <w:szCs w:val="24"/>
                              <w:lang w:val="en-GB"/>
                            </w:rPr>
                            <m:t>X</m:t>
                          </m:r>
                        </m:e>
                      </m:acc>
                    </m:e>
                    <m:sub>
                      <m:r>
                        <w:rPr>
                          <w:rFonts w:ascii="Cambria Math" w:hAnsi="Cambria Math" w:cs="Arial"/>
                          <w:caps/>
                          <w:sz w:val="24"/>
                          <w:szCs w:val="24"/>
                          <w:lang w:val="en-GB"/>
                        </w:rPr>
                        <m:t>RoW</m:t>
                      </m:r>
                    </m:sub>
                  </m:sSub>
                </m:e>
              </m:groupChr>
            </m:e>
            <m:lim>
              <m:sSub>
                <m:sSubPr>
                  <m:ctrlPr>
                    <w:rPr>
                      <w:rFonts w:ascii="Cambria Math" w:hAnsi="Cambria Math" w:cs="Arial"/>
                      <w:i/>
                      <w:caps/>
                      <w:sz w:val="24"/>
                      <w:szCs w:val="24"/>
                      <w:lang w:val="en-GB"/>
                    </w:rPr>
                  </m:ctrlPr>
                </m:sSubPr>
                <m:e>
                  <m:r>
                    <w:rPr>
                      <w:rFonts w:ascii="Cambria Math" w:hAnsi="Cambria Math" w:cs="Arial"/>
                      <w:i/>
                      <w:caps/>
                      <w:sz w:val="24"/>
                      <w:szCs w:val="24"/>
                      <w:lang w:val="en-GB"/>
                    </w:rPr>
                    <w:sym w:font="Symbol" w:char="F044"/>
                  </m:r>
                </m:e>
                <m:sub>
                  <m:r>
                    <w:rPr>
                      <w:rFonts w:ascii="Cambria Math" w:hAnsi="Cambria Math" w:cs="Arial"/>
                      <w:i/>
                      <w:caps/>
                      <w:sz w:val="24"/>
                      <w:szCs w:val="24"/>
                      <w:lang w:val="en-GB"/>
                    </w:rPr>
                    <w:sym w:font="Symbol" w:char="F074"/>
                  </m:r>
                  <m:r>
                    <w:rPr>
                      <w:rFonts w:ascii="Cambria Math" w:hAnsi="Cambria Math" w:cs="Arial"/>
                      <w:caps/>
                      <w:sz w:val="24"/>
                      <w:szCs w:val="24"/>
                      <w:lang w:val="en-GB"/>
                    </w:rPr>
                    <m:t>,</m:t>
                  </m:r>
                  <m:r>
                    <w:rPr>
                      <w:rFonts w:ascii="Cambria Math" w:hAnsi="Cambria Math" w:cs="Arial"/>
                      <w:i/>
                      <w:caps/>
                      <w:sz w:val="24"/>
                      <w:szCs w:val="24"/>
                      <w:lang w:val="en-GB"/>
                    </w:rPr>
                    <w:sym w:font="Symbol" w:char="F062"/>
                  </m:r>
                </m:sub>
              </m:sSub>
            </m:lim>
          </m:limLow>
        </m:oMath>
      </m:oMathPara>
    </w:p>
    <w:p w14:paraId="6FE9E963" w14:textId="77777777" w:rsidR="00AE1998" w:rsidRDefault="00AE1998" w:rsidP="00AE1998">
      <w:pPr>
        <w:autoSpaceDE w:val="0"/>
        <w:autoSpaceDN w:val="0"/>
        <w:adjustRightInd w:val="0"/>
        <w:spacing w:after="0" w:line="360" w:lineRule="auto"/>
        <w:jc w:val="right"/>
        <w:rPr>
          <w:rFonts w:cs="Arial"/>
          <w:caps/>
          <w:sz w:val="24"/>
          <w:szCs w:val="24"/>
          <w:lang w:val="en-GB"/>
        </w:rPr>
      </w:pPr>
      <w:r>
        <w:rPr>
          <w:rFonts w:cs="Arial"/>
          <w:caps/>
          <w:sz w:val="24"/>
          <w:szCs w:val="24"/>
          <w:lang w:val="en-GB"/>
        </w:rPr>
        <w:t>(3)</w:t>
      </w:r>
    </w:p>
    <w:p w14:paraId="7BAB7B17" w14:textId="77777777" w:rsidR="00AE1998" w:rsidRDefault="00AE1998" w:rsidP="00AE1998">
      <w:pPr>
        <w:autoSpaceDE w:val="0"/>
        <w:autoSpaceDN w:val="0"/>
        <w:adjustRightInd w:val="0"/>
        <w:spacing w:after="0" w:line="360" w:lineRule="auto"/>
        <w:jc w:val="both"/>
        <w:rPr>
          <w:rFonts w:cs="Arial"/>
          <w:caps/>
          <w:sz w:val="24"/>
          <w:szCs w:val="24"/>
          <w:lang w:val="en-GB"/>
        </w:rPr>
      </w:pPr>
    </w:p>
    <w:p w14:paraId="7C9E1292" w14:textId="77777777" w:rsidR="00AE1998" w:rsidRDefault="00AE1998" w:rsidP="00AE1998">
      <w:pPr>
        <w:spacing w:after="240" w:line="360" w:lineRule="auto"/>
        <w:jc w:val="both"/>
        <w:rPr>
          <w:rFonts w:cs="Arial"/>
          <w:sz w:val="24"/>
          <w:szCs w:val="24"/>
          <w:lang w:val="en-GB"/>
        </w:rPr>
      </w:pPr>
      <w:r>
        <w:rPr>
          <w:rFonts w:cs="Arial"/>
          <w:sz w:val="24"/>
          <w:szCs w:val="24"/>
          <w:lang w:val="en-GB"/>
        </w:rPr>
        <w:t xml:space="preserve">By replacing </w:t>
      </w:r>
      <m:oMath>
        <m:sSub>
          <m:sSubPr>
            <m:ctrlPr>
              <w:rPr>
                <w:rFonts w:ascii="Cambria Math" w:hAnsi="Cambria Math" w:cs="Arial"/>
                <w:i/>
                <w:caps/>
                <w:sz w:val="24"/>
                <w:szCs w:val="24"/>
                <w:lang w:val="en-GB"/>
              </w:rPr>
            </m:ctrlPr>
          </m:sSubPr>
          <m:e>
            <m:r>
              <w:rPr>
                <w:rFonts w:ascii="Cambria Math" w:hAnsi="Cambria Math" w:cs="Arial"/>
                <w:i/>
                <w:caps/>
                <w:sz w:val="24"/>
                <w:szCs w:val="24"/>
                <w:lang w:val="en-GB"/>
              </w:rPr>
              <w:sym w:font="Symbol" w:char="F062"/>
            </m:r>
          </m:e>
          <m:sub>
            <m:r>
              <w:rPr>
                <w:rFonts w:ascii="Cambria Math" w:hAnsi="Cambria Math" w:cs="Arial"/>
                <w:i/>
                <w:caps/>
                <w:sz w:val="24"/>
                <w:szCs w:val="24"/>
                <w:lang w:val="en-GB"/>
              </w:rPr>
              <w:sym w:font="Symbol" w:char="F074"/>
            </m:r>
            <m:r>
              <w:rPr>
                <w:rFonts w:ascii="Cambria Math" w:hAnsi="Cambria Math" w:cs="Arial"/>
                <w:caps/>
                <w:sz w:val="24"/>
                <w:szCs w:val="24"/>
                <w:lang w:val="en-GB"/>
              </w:rPr>
              <m:t>.m</m:t>
            </m:r>
          </m:sub>
        </m:sSub>
      </m:oMath>
      <w:r>
        <w:rPr>
          <w:rFonts w:cs="Arial"/>
          <w:caps/>
          <w:sz w:val="24"/>
          <w:szCs w:val="24"/>
          <w:lang w:val="en-GB"/>
        </w:rPr>
        <w:t xml:space="preserve"> </w:t>
      </w:r>
      <w:r>
        <w:rPr>
          <w:rFonts w:cs="Arial"/>
          <w:sz w:val="24"/>
          <w:szCs w:val="24"/>
          <w:lang w:val="en-GB"/>
        </w:rPr>
        <w:t xml:space="preserve">in (3) by its estimate </w:t>
      </w:r>
      <m:oMath>
        <m:sSub>
          <m:sSubPr>
            <m:ctrlPr>
              <w:rPr>
                <w:rFonts w:ascii="Cambria Math" w:hAnsi="Cambria Math" w:cs="Arial"/>
                <w:i/>
                <w:caps/>
                <w:sz w:val="24"/>
                <w:szCs w:val="24"/>
                <w:lang w:val="en-GB"/>
              </w:rPr>
            </m:ctrlPr>
          </m:sSubPr>
          <m:e>
            <m:acc>
              <m:accPr>
                <m:ctrlPr>
                  <w:rPr>
                    <w:rFonts w:ascii="Cambria Math" w:hAnsi="Cambria Math" w:cs="Arial"/>
                    <w:i/>
                    <w:caps/>
                    <w:sz w:val="24"/>
                    <w:szCs w:val="24"/>
                    <w:lang w:val="en-GB"/>
                  </w:rPr>
                </m:ctrlPr>
              </m:accPr>
              <m:e>
                <m:r>
                  <w:rPr>
                    <w:rFonts w:ascii="Cambria Math" w:hAnsi="Cambria Math" w:cs="Arial"/>
                    <w:i/>
                    <w:caps/>
                    <w:sz w:val="24"/>
                    <w:szCs w:val="24"/>
                    <w:lang w:val="en-GB"/>
                  </w:rPr>
                  <w:sym w:font="Symbol" w:char="F062"/>
                </m:r>
              </m:e>
            </m:acc>
          </m:e>
          <m:sub>
            <m:r>
              <w:rPr>
                <w:rFonts w:ascii="Cambria Math" w:hAnsi="Cambria Math" w:cs="Arial"/>
                <w:i/>
                <w:caps/>
                <w:sz w:val="24"/>
                <w:szCs w:val="24"/>
                <w:lang w:val="en-GB"/>
              </w:rPr>
              <w:sym w:font="Symbol" w:char="F074"/>
            </m:r>
            <m:r>
              <w:rPr>
                <w:rFonts w:ascii="Cambria Math" w:hAnsi="Cambria Math" w:cs="Arial"/>
                <w:caps/>
                <w:sz w:val="24"/>
                <w:szCs w:val="24"/>
                <w:lang w:val="en-GB"/>
              </w:rPr>
              <m:t>.m</m:t>
            </m:r>
          </m:sub>
        </m:sSub>
      </m:oMath>
      <w:r>
        <w:rPr>
          <w:rFonts w:cs="Arial"/>
          <w:sz w:val="24"/>
          <w:szCs w:val="24"/>
          <w:lang w:val="en-GB"/>
        </w:rPr>
        <w:t xml:space="preserve">, both components can be evaluated as follows: </w:t>
      </w:r>
    </w:p>
    <w:p w14:paraId="573B568F" w14:textId="77777777" w:rsidR="00AE1998" w:rsidRDefault="00AE1998" w:rsidP="00AE1998">
      <w:pPr>
        <w:spacing w:after="240" w:line="360" w:lineRule="auto"/>
        <w:jc w:val="both"/>
        <w:rPr>
          <w:rFonts w:cs="Arial"/>
          <w:caps/>
          <w:sz w:val="24"/>
          <w:szCs w:val="24"/>
          <w:lang w:val="en-GB"/>
        </w:rPr>
      </w:pPr>
      <m:oMathPara>
        <m:oMath>
          <m:r>
            <w:rPr>
              <w:rFonts w:ascii="Cambria Math" w:hAnsi="Cambria Math" w:cs="Arial"/>
              <w:caps/>
              <w:sz w:val="24"/>
              <w:szCs w:val="24"/>
              <w:lang w:val="en-GB"/>
            </w:rPr>
            <m:t>E</m:t>
          </m:r>
          <m:d>
            <m:dPr>
              <m:ctrlPr>
                <w:rPr>
                  <w:rFonts w:ascii="Cambria Math" w:hAnsi="Cambria Math" w:cs="Arial"/>
                  <w:i/>
                  <w:caps/>
                  <w:sz w:val="24"/>
                  <w:szCs w:val="24"/>
                  <w:lang w:val="en-GB"/>
                </w:rPr>
              </m:ctrlPr>
            </m:dPr>
            <m:e>
              <m:sSub>
                <m:sSubPr>
                  <m:ctrlPr>
                    <w:rPr>
                      <w:rFonts w:ascii="Cambria Math" w:hAnsi="Cambria Math" w:cs="Arial"/>
                      <w:i/>
                      <w:caps/>
                      <w:sz w:val="24"/>
                      <w:szCs w:val="24"/>
                      <w:lang w:val="en-GB"/>
                    </w:rPr>
                  </m:ctrlPr>
                </m:sSubPr>
                <m:e>
                  <m:acc>
                    <m:accPr>
                      <m:ctrlPr>
                        <w:rPr>
                          <w:rFonts w:ascii="Cambria Math" w:hAnsi="Cambria Math" w:cs="Arial"/>
                          <w:i/>
                          <w:caps/>
                          <w:sz w:val="24"/>
                          <w:szCs w:val="24"/>
                          <w:lang w:val="en-GB"/>
                        </w:rPr>
                      </m:ctrlPr>
                    </m:accPr>
                    <m:e>
                      <m:r>
                        <w:rPr>
                          <w:rFonts w:ascii="Cambria Math" w:hAnsi="Cambria Math" w:cs="Arial"/>
                          <w:i/>
                          <w:caps/>
                          <w:sz w:val="24"/>
                          <w:szCs w:val="24"/>
                          <w:lang w:val="en-GB"/>
                        </w:rPr>
                        <w:sym w:font="Symbol" w:char="F044"/>
                      </m:r>
                    </m:e>
                  </m:acc>
                </m:e>
                <m:sub>
                  <m:r>
                    <w:rPr>
                      <w:rFonts w:ascii="Cambria Math" w:hAnsi="Cambria Math" w:cs="Arial"/>
                      <w:i/>
                      <w:caps/>
                      <w:sz w:val="24"/>
                      <w:szCs w:val="24"/>
                      <w:lang w:val="en-GB"/>
                    </w:rPr>
                    <w:sym w:font="Symbol" w:char="F074"/>
                  </m:r>
                  <m:r>
                    <w:rPr>
                      <w:rFonts w:ascii="Cambria Math" w:hAnsi="Cambria Math" w:cs="Arial"/>
                      <w:caps/>
                      <w:sz w:val="24"/>
                      <w:szCs w:val="24"/>
                      <w:lang w:val="en-GB"/>
                    </w:rPr>
                    <m:t>,X</m:t>
                  </m:r>
                </m:sub>
              </m:sSub>
            </m:e>
          </m:d>
          <m:r>
            <w:rPr>
              <w:rFonts w:ascii="Cambria Math" w:hAnsi="Cambria Math" w:cs="Arial"/>
              <w:caps/>
              <w:sz w:val="24"/>
              <w:szCs w:val="24"/>
              <w:lang w:val="en-GB"/>
            </w:rPr>
            <m:t>=</m:t>
          </m:r>
          <m:d>
            <m:dPr>
              <m:ctrlPr>
                <w:rPr>
                  <w:rFonts w:ascii="Cambria Math" w:hAnsi="Cambria Math" w:cs="Arial"/>
                  <w:i/>
                  <w:caps/>
                  <w:sz w:val="24"/>
                  <w:szCs w:val="24"/>
                  <w:lang w:val="en-GB"/>
                </w:rPr>
              </m:ctrlPr>
            </m:dPr>
            <m:e>
              <m:sSub>
                <m:sSubPr>
                  <m:ctrlPr>
                    <w:rPr>
                      <w:rFonts w:ascii="Cambria Math" w:hAnsi="Cambria Math" w:cs="Arial"/>
                      <w:i/>
                      <w:caps/>
                      <w:sz w:val="24"/>
                      <w:szCs w:val="24"/>
                      <w:lang w:val="en-GB"/>
                    </w:rPr>
                  </m:ctrlPr>
                </m:sSubPr>
                <m:e>
                  <m:acc>
                    <m:accPr>
                      <m:chr m:val="̅"/>
                      <m:ctrlPr>
                        <w:rPr>
                          <w:rFonts w:ascii="Cambria Math" w:hAnsi="Cambria Math" w:cs="Arial"/>
                          <w:i/>
                          <w:caps/>
                          <w:sz w:val="24"/>
                          <w:szCs w:val="24"/>
                          <w:lang w:val="en-GB"/>
                        </w:rPr>
                      </m:ctrlPr>
                    </m:accPr>
                    <m:e>
                      <m:r>
                        <w:rPr>
                          <w:rFonts w:ascii="Cambria Math" w:hAnsi="Cambria Math" w:cs="Arial"/>
                          <w:caps/>
                          <w:sz w:val="24"/>
                          <w:szCs w:val="24"/>
                          <w:lang w:val="en-GB"/>
                        </w:rPr>
                        <m:t>X</m:t>
                      </m:r>
                    </m:e>
                  </m:acc>
                </m:e>
                <m:sub>
                  <m:r>
                    <w:rPr>
                      <w:rFonts w:ascii="Cambria Math" w:hAnsi="Cambria Math" w:cs="Arial"/>
                      <w:caps/>
                      <w:sz w:val="24"/>
                      <w:szCs w:val="24"/>
                      <w:lang w:val="en-GB"/>
                    </w:rPr>
                    <m:t>NY</m:t>
                  </m:r>
                </m:sub>
              </m:sSub>
              <m:r>
                <w:rPr>
                  <w:rFonts w:ascii="Cambria Math" w:hAnsi="Cambria Math" w:cs="Arial"/>
                  <w:caps/>
                  <w:sz w:val="24"/>
                  <w:szCs w:val="24"/>
                  <w:lang w:val="en-GB"/>
                </w:rPr>
                <m:t>-</m:t>
              </m:r>
              <m:sSub>
                <m:sSubPr>
                  <m:ctrlPr>
                    <w:rPr>
                      <w:rFonts w:ascii="Cambria Math" w:hAnsi="Cambria Math" w:cs="Arial"/>
                      <w:i/>
                      <w:caps/>
                      <w:sz w:val="24"/>
                      <w:szCs w:val="24"/>
                      <w:lang w:val="en-GB"/>
                    </w:rPr>
                  </m:ctrlPr>
                </m:sSubPr>
                <m:e>
                  <m:acc>
                    <m:accPr>
                      <m:chr m:val="̅"/>
                      <m:ctrlPr>
                        <w:rPr>
                          <w:rFonts w:ascii="Cambria Math" w:hAnsi="Cambria Math" w:cs="Arial"/>
                          <w:i/>
                          <w:caps/>
                          <w:sz w:val="24"/>
                          <w:szCs w:val="24"/>
                          <w:lang w:val="en-GB"/>
                        </w:rPr>
                      </m:ctrlPr>
                    </m:accPr>
                    <m:e>
                      <m:r>
                        <w:rPr>
                          <w:rFonts w:ascii="Cambria Math" w:hAnsi="Cambria Math" w:cs="Arial"/>
                          <w:caps/>
                          <w:sz w:val="24"/>
                          <w:szCs w:val="24"/>
                          <w:lang w:val="en-GB"/>
                        </w:rPr>
                        <m:t>X</m:t>
                      </m:r>
                    </m:e>
                  </m:acc>
                </m:e>
                <m:sub>
                  <m:r>
                    <w:rPr>
                      <w:rFonts w:ascii="Cambria Math" w:hAnsi="Cambria Math" w:cs="Arial"/>
                      <w:caps/>
                      <w:sz w:val="24"/>
                      <w:szCs w:val="24"/>
                      <w:lang w:val="en-GB"/>
                    </w:rPr>
                    <m:t>RoW</m:t>
                  </m:r>
                </m:sub>
              </m:sSub>
            </m:e>
          </m:d>
          <m:sSub>
            <m:sSubPr>
              <m:ctrlPr>
                <w:rPr>
                  <w:rFonts w:ascii="Cambria Math" w:hAnsi="Cambria Math" w:cs="Arial"/>
                  <w:i/>
                  <w:caps/>
                  <w:sz w:val="24"/>
                  <w:szCs w:val="24"/>
                  <w:lang w:val="en-GB"/>
                </w:rPr>
              </m:ctrlPr>
            </m:sSubPr>
            <m:e>
              <m:acc>
                <m:accPr>
                  <m:ctrlPr>
                    <w:rPr>
                      <w:rFonts w:ascii="Cambria Math" w:hAnsi="Cambria Math" w:cs="Arial"/>
                      <w:i/>
                      <w:caps/>
                      <w:sz w:val="24"/>
                      <w:szCs w:val="24"/>
                      <w:lang w:val="en-GB"/>
                    </w:rPr>
                  </m:ctrlPr>
                </m:accPr>
                <m:e>
                  <m:r>
                    <w:rPr>
                      <w:rFonts w:ascii="Cambria Math" w:hAnsi="Cambria Math" w:cs="Arial"/>
                      <w:i/>
                      <w:caps/>
                      <w:sz w:val="24"/>
                      <w:szCs w:val="24"/>
                      <w:lang w:val="en-GB"/>
                    </w:rPr>
                    <w:sym w:font="Symbol" w:char="F062"/>
                  </m:r>
                </m:e>
              </m:acc>
            </m:e>
            <m:sub>
              <m:r>
                <w:rPr>
                  <w:rFonts w:ascii="Cambria Math" w:hAnsi="Cambria Math" w:cs="Arial"/>
                  <w:i/>
                  <w:caps/>
                  <w:sz w:val="24"/>
                  <w:szCs w:val="24"/>
                  <w:lang w:val="en-GB"/>
                </w:rPr>
                <w:sym w:font="Symbol" w:char="F074"/>
              </m:r>
              <m:r>
                <w:rPr>
                  <w:rFonts w:ascii="Cambria Math" w:hAnsi="Cambria Math" w:cs="Arial"/>
                  <w:caps/>
                  <w:sz w:val="24"/>
                  <w:szCs w:val="24"/>
                  <w:lang w:val="en-GB"/>
                </w:rPr>
                <m:t>.NY</m:t>
              </m:r>
            </m:sub>
          </m:sSub>
        </m:oMath>
      </m:oMathPara>
    </w:p>
    <w:p w14:paraId="1A749EF7" w14:textId="77777777" w:rsidR="00AE1998" w:rsidRDefault="00AE1998" w:rsidP="00AE1998">
      <w:pPr>
        <w:spacing w:after="240" w:line="360" w:lineRule="auto"/>
        <w:jc w:val="both"/>
        <w:rPr>
          <w:rFonts w:cs="Arial"/>
          <w:caps/>
          <w:sz w:val="24"/>
          <w:szCs w:val="24"/>
          <w:lang w:val="en-GB"/>
        </w:rPr>
      </w:pPr>
      <m:oMathPara>
        <m:oMath>
          <m:r>
            <w:rPr>
              <w:rFonts w:ascii="Cambria Math" w:hAnsi="Cambria Math" w:cs="Arial"/>
              <w:caps/>
              <w:sz w:val="24"/>
              <w:szCs w:val="24"/>
              <w:lang w:val="en-GB"/>
            </w:rPr>
            <m:t>E</m:t>
          </m:r>
          <m:d>
            <m:dPr>
              <m:ctrlPr>
                <w:rPr>
                  <w:rFonts w:ascii="Cambria Math" w:hAnsi="Cambria Math" w:cs="Arial"/>
                  <w:i/>
                  <w:caps/>
                  <w:sz w:val="24"/>
                  <w:szCs w:val="24"/>
                  <w:lang w:val="en-GB"/>
                </w:rPr>
              </m:ctrlPr>
            </m:dPr>
            <m:e>
              <m:sSub>
                <m:sSubPr>
                  <m:ctrlPr>
                    <w:rPr>
                      <w:rFonts w:ascii="Cambria Math" w:hAnsi="Cambria Math" w:cs="Arial"/>
                      <w:i/>
                      <w:caps/>
                      <w:sz w:val="24"/>
                      <w:szCs w:val="24"/>
                      <w:lang w:val="en-GB"/>
                    </w:rPr>
                  </m:ctrlPr>
                </m:sSubPr>
                <m:e>
                  <m:acc>
                    <m:accPr>
                      <m:ctrlPr>
                        <w:rPr>
                          <w:rFonts w:ascii="Cambria Math" w:hAnsi="Cambria Math" w:cs="Arial"/>
                          <w:i/>
                          <w:caps/>
                          <w:sz w:val="24"/>
                          <w:szCs w:val="24"/>
                          <w:lang w:val="en-GB"/>
                        </w:rPr>
                      </m:ctrlPr>
                    </m:accPr>
                    <m:e>
                      <m:r>
                        <w:rPr>
                          <w:rFonts w:ascii="Cambria Math" w:hAnsi="Cambria Math" w:cs="Arial"/>
                          <w:i/>
                          <w:caps/>
                          <w:sz w:val="24"/>
                          <w:szCs w:val="24"/>
                          <w:lang w:val="en-GB"/>
                        </w:rPr>
                        <w:sym w:font="Symbol" w:char="F044"/>
                      </m:r>
                    </m:e>
                  </m:acc>
                </m:e>
                <m:sub>
                  <m:r>
                    <w:rPr>
                      <w:rFonts w:ascii="Cambria Math" w:hAnsi="Cambria Math" w:cs="Arial"/>
                      <w:i/>
                      <w:caps/>
                      <w:sz w:val="24"/>
                      <w:szCs w:val="24"/>
                      <w:lang w:val="en-GB"/>
                    </w:rPr>
                    <w:sym w:font="Symbol" w:char="F074"/>
                  </m:r>
                  <m:r>
                    <w:rPr>
                      <w:rFonts w:ascii="Cambria Math" w:hAnsi="Cambria Math" w:cs="Arial"/>
                      <w:caps/>
                      <w:sz w:val="24"/>
                      <w:szCs w:val="24"/>
                      <w:lang w:val="en-GB"/>
                    </w:rPr>
                    <m:t>,</m:t>
                  </m:r>
                  <m:r>
                    <w:rPr>
                      <w:rFonts w:ascii="Cambria Math" w:hAnsi="Cambria Math" w:cs="Arial"/>
                      <w:i/>
                      <w:caps/>
                      <w:sz w:val="24"/>
                      <w:szCs w:val="24"/>
                      <w:lang w:val="en-GB"/>
                    </w:rPr>
                    <w:sym w:font="Symbol" w:char="F062"/>
                  </m:r>
                </m:sub>
              </m:sSub>
            </m:e>
          </m:d>
          <m:r>
            <w:rPr>
              <w:rFonts w:ascii="Cambria Math" w:hAnsi="Cambria Math" w:cs="Arial"/>
              <w:caps/>
              <w:sz w:val="24"/>
              <w:szCs w:val="24"/>
              <w:lang w:val="en-GB"/>
            </w:rPr>
            <m:t>=</m:t>
          </m:r>
          <m:d>
            <m:dPr>
              <m:ctrlPr>
                <w:rPr>
                  <w:rFonts w:ascii="Cambria Math" w:hAnsi="Cambria Math" w:cs="Arial"/>
                  <w:i/>
                  <w:caps/>
                  <w:sz w:val="24"/>
                  <w:szCs w:val="24"/>
                  <w:lang w:val="en-GB"/>
                </w:rPr>
              </m:ctrlPr>
            </m:dPr>
            <m:e>
              <m:sSub>
                <m:sSubPr>
                  <m:ctrlPr>
                    <w:rPr>
                      <w:rFonts w:ascii="Cambria Math" w:hAnsi="Cambria Math" w:cs="Arial"/>
                      <w:i/>
                      <w:caps/>
                      <w:sz w:val="24"/>
                      <w:szCs w:val="24"/>
                      <w:lang w:val="en-GB"/>
                    </w:rPr>
                  </m:ctrlPr>
                </m:sSubPr>
                <m:e>
                  <m:acc>
                    <m:accPr>
                      <m:ctrlPr>
                        <w:rPr>
                          <w:rFonts w:ascii="Cambria Math" w:hAnsi="Cambria Math" w:cs="Arial"/>
                          <w:i/>
                          <w:caps/>
                          <w:sz w:val="24"/>
                          <w:szCs w:val="24"/>
                          <w:lang w:val="en-GB"/>
                        </w:rPr>
                      </m:ctrlPr>
                    </m:accPr>
                    <m:e>
                      <m:r>
                        <w:rPr>
                          <w:rFonts w:ascii="Cambria Math" w:hAnsi="Cambria Math" w:cs="Arial"/>
                          <w:i/>
                          <w:caps/>
                          <w:sz w:val="24"/>
                          <w:szCs w:val="24"/>
                          <w:lang w:val="en-GB"/>
                        </w:rPr>
                        <w:sym w:font="Symbol" w:char="F062"/>
                      </m:r>
                    </m:e>
                  </m:acc>
                </m:e>
                <m:sub>
                  <m:r>
                    <w:rPr>
                      <w:rFonts w:ascii="Cambria Math" w:hAnsi="Cambria Math" w:cs="Arial"/>
                      <w:i/>
                      <w:caps/>
                      <w:sz w:val="24"/>
                      <w:szCs w:val="24"/>
                      <w:lang w:val="en-GB"/>
                    </w:rPr>
                    <w:sym w:font="Symbol" w:char="F074"/>
                  </m:r>
                  <m:r>
                    <w:rPr>
                      <w:rFonts w:ascii="Cambria Math" w:hAnsi="Cambria Math" w:cs="Arial"/>
                      <w:caps/>
                      <w:sz w:val="24"/>
                      <w:szCs w:val="24"/>
                      <w:lang w:val="en-GB"/>
                    </w:rPr>
                    <m:t>.NY</m:t>
                  </m:r>
                </m:sub>
              </m:sSub>
              <m:r>
                <w:rPr>
                  <w:rFonts w:ascii="Cambria Math" w:hAnsi="Cambria Math" w:cs="Arial"/>
                  <w:caps/>
                  <w:sz w:val="24"/>
                  <w:szCs w:val="24"/>
                  <w:lang w:val="en-GB"/>
                </w:rPr>
                <m:t>-</m:t>
              </m:r>
              <m:sSub>
                <m:sSubPr>
                  <m:ctrlPr>
                    <w:rPr>
                      <w:rFonts w:ascii="Cambria Math" w:hAnsi="Cambria Math" w:cs="Arial"/>
                      <w:i/>
                      <w:caps/>
                      <w:sz w:val="24"/>
                      <w:szCs w:val="24"/>
                      <w:lang w:val="en-GB"/>
                    </w:rPr>
                  </m:ctrlPr>
                </m:sSubPr>
                <m:e>
                  <m:acc>
                    <m:accPr>
                      <m:ctrlPr>
                        <w:rPr>
                          <w:rFonts w:ascii="Cambria Math" w:hAnsi="Cambria Math" w:cs="Arial"/>
                          <w:i/>
                          <w:caps/>
                          <w:sz w:val="24"/>
                          <w:szCs w:val="24"/>
                          <w:lang w:val="en-GB"/>
                        </w:rPr>
                      </m:ctrlPr>
                    </m:accPr>
                    <m:e>
                      <m:r>
                        <w:rPr>
                          <w:rFonts w:ascii="Cambria Math" w:hAnsi="Cambria Math" w:cs="Arial"/>
                          <w:i/>
                          <w:caps/>
                          <w:sz w:val="24"/>
                          <w:szCs w:val="24"/>
                          <w:lang w:val="en-GB"/>
                        </w:rPr>
                        <w:sym w:font="Symbol" w:char="F062"/>
                      </m:r>
                    </m:e>
                  </m:acc>
                </m:e>
                <m:sub>
                  <m:r>
                    <w:rPr>
                      <w:rFonts w:ascii="Cambria Math" w:hAnsi="Cambria Math" w:cs="Arial"/>
                      <w:i/>
                      <w:caps/>
                      <w:sz w:val="24"/>
                      <w:szCs w:val="24"/>
                      <w:lang w:val="en-GB"/>
                    </w:rPr>
                    <w:sym w:font="Symbol" w:char="F074"/>
                  </m:r>
                  <m:r>
                    <w:rPr>
                      <w:rFonts w:ascii="Cambria Math" w:hAnsi="Cambria Math" w:cs="Arial"/>
                      <w:caps/>
                      <w:sz w:val="24"/>
                      <w:szCs w:val="24"/>
                      <w:lang w:val="en-GB"/>
                    </w:rPr>
                    <m:t>.RoW</m:t>
                  </m:r>
                </m:sub>
              </m:sSub>
            </m:e>
          </m:d>
          <m:sSub>
            <m:sSubPr>
              <m:ctrlPr>
                <w:rPr>
                  <w:rFonts w:ascii="Cambria Math" w:hAnsi="Cambria Math" w:cs="Arial"/>
                  <w:i/>
                  <w:caps/>
                  <w:sz w:val="24"/>
                  <w:szCs w:val="24"/>
                  <w:lang w:val="en-GB"/>
                </w:rPr>
              </m:ctrlPr>
            </m:sSubPr>
            <m:e>
              <m:acc>
                <m:accPr>
                  <m:chr m:val="̅"/>
                  <m:ctrlPr>
                    <w:rPr>
                      <w:rFonts w:ascii="Cambria Math" w:hAnsi="Cambria Math" w:cs="Arial"/>
                      <w:i/>
                      <w:caps/>
                      <w:sz w:val="24"/>
                      <w:szCs w:val="24"/>
                      <w:lang w:val="en-GB"/>
                    </w:rPr>
                  </m:ctrlPr>
                </m:accPr>
                <m:e>
                  <m:r>
                    <w:rPr>
                      <w:rFonts w:ascii="Cambria Math" w:hAnsi="Cambria Math" w:cs="Arial"/>
                      <w:caps/>
                      <w:sz w:val="24"/>
                      <w:szCs w:val="24"/>
                      <w:lang w:val="en-GB"/>
                    </w:rPr>
                    <m:t>X</m:t>
                  </m:r>
                </m:e>
              </m:acc>
            </m:e>
            <m:sub>
              <m:r>
                <w:rPr>
                  <w:rFonts w:ascii="Cambria Math" w:hAnsi="Cambria Math" w:cs="Arial"/>
                  <w:caps/>
                  <w:sz w:val="24"/>
                  <w:szCs w:val="24"/>
                  <w:lang w:val="en-GB"/>
                </w:rPr>
                <m:t>RoW</m:t>
              </m:r>
            </m:sub>
          </m:sSub>
        </m:oMath>
      </m:oMathPara>
    </w:p>
    <w:p w14:paraId="07033C9B" w14:textId="77777777" w:rsidR="00AE1998" w:rsidRDefault="00AE1998" w:rsidP="00AE1998">
      <w:pPr>
        <w:tabs>
          <w:tab w:val="center" w:pos="4819"/>
          <w:tab w:val="right" w:pos="9638"/>
        </w:tabs>
        <w:spacing w:after="240" w:line="360" w:lineRule="auto"/>
        <w:rPr>
          <w:rFonts w:cs="Arial"/>
          <w:caps/>
          <w:sz w:val="24"/>
          <w:szCs w:val="24"/>
          <w:lang w:val="en-GB"/>
        </w:rPr>
      </w:pPr>
      <w:r>
        <w:rPr>
          <w:rFonts w:cs="Arial"/>
          <w:caps/>
          <w:sz w:val="24"/>
          <w:szCs w:val="24"/>
          <w:lang w:val="en-GB"/>
        </w:rPr>
        <w:tab/>
      </w:r>
      <w:r>
        <w:rPr>
          <w:rFonts w:cs="Arial"/>
          <w:caps/>
          <w:sz w:val="24"/>
          <w:szCs w:val="24"/>
          <w:lang w:val="en-GB"/>
        </w:rPr>
        <w:tab/>
        <w:t>(4)</w:t>
      </w:r>
    </w:p>
    <w:p w14:paraId="2238B5BE" w14:textId="77777777" w:rsidR="00AE1998" w:rsidRDefault="00AE1998" w:rsidP="00AE1998">
      <w:pPr>
        <w:spacing w:after="240" w:line="360" w:lineRule="auto"/>
        <w:jc w:val="both"/>
        <w:rPr>
          <w:rFonts w:cs="Arial"/>
          <w:sz w:val="24"/>
          <w:szCs w:val="24"/>
          <w:lang w:val="en-GB"/>
        </w:rPr>
      </w:pPr>
      <w:r>
        <w:rPr>
          <w:rFonts w:cs="Arial"/>
          <w:sz w:val="24"/>
          <w:szCs w:val="24"/>
          <w:lang w:val="en-GB"/>
        </w:rPr>
        <w:t xml:space="preserve">The first component, </w:t>
      </w:r>
      <m:oMath>
        <m:sSub>
          <m:sSubPr>
            <m:ctrlPr>
              <w:rPr>
                <w:rFonts w:ascii="Cambria Math" w:hAnsi="Cambria Math" w:cs="Arial"/>
                <w:i/>
                <w:caps/>
                <w:sz w:val="24"/>
                <w:szCs w:val="24"/>
                <w:lang w:val="en-GB"/>
              </w:rPr>
            </m:ctrlPr>
          </m:sSubPr>
          <m:e>
            <m:r>
              <w:rPr>
                <w:rFonts w:ascii="Cambria Math" w:hAnsi="Cambria Math" w:cs="Arial"/>
                <w:i/>
                <w:caps/>
                <w:sz w:val="24"/>
                <w:szCs w:val="24"/>
                <w:lang w:val="en-GB"/>
              </w:rPr>
              <w:sym w:font="Symbol" w:char="F044"/>
            </m:r>
          </m:e>
          <m:sub>
            <m:r>
              <w:rPr>
                <w:rFonts w:ascii="Cambria Math" w:hAnsi="Cambria Math" w:cs="Arial"/>
                <w:i/>
                <w:caps/>
                <w:sz w:val="24"/>
                <w:szCs w:val="24"/>
                <w:lang w:val="en-GB"/>
              </w:rPr>
              <w:sym w:font="Symbol" w:char="F074"/>
            </m:r>
            <m:r>
              <w:rPr>
                <w:rFonts w:ascii="Cambria Math" w:hAnsi="Cambria Math" w:cs="Arial"/>
                <w:caps/>
                <w:sz w:val="24"/>
                <w:szCs w:val="24"/>
                <w:lang w:val="en-GB"/>
              </w:rPr>
              <m:t>,X</m:t>
            </m:r>
          </m:sub>
        </m:sSub>
      </m:oMath>
      <w:r>
        <w:rPr>
          <w:rFonts w:cs="Arial"/>
          <w:caps/>
          <w:sz w:val="24"/>
          <w:szCs w:val="24"/>
          <w:lang w:val="en-GB"/>
        </w:rPr>
        <w:t xml:space="preserve">, </w:t>
      </w:r>
      <w:r>
        <w:rPr>
          <w:rFonts w:cs="Arial"/>
          <w:sz w:val="24"/>
          <w:szCs w:val="24"/>
          <w:lang w:val="en-GB"/>
        </w:rPr>
        <w:t xml:space="preserve">is the explained component of the market difference, which is explained by differences in observed characteristics at the mean, weighted by coefficients attributable to New York, </w:t>
      </w:r>
      <m:oMath>
        <m:sSub>
          <m:sSubPr>
            <m:ctrlPr>
              <w:rPr>
                <w:rFonts w:ascii="Cambria Math" w:hAnsi="Cambria Math" w:cs="Arial"/>
                <w:i/>
                <w:caps/>
                <w:sz w:val="24"/>
                <w:szCs w:val="24"/>
                <w:lang w:val="en-GB"/>
              </w:rPr>
            </m:ctrlPr>
          </m:sSubPr>
          <m:e>
            <m:acc>
              <m:accPr>
                <m:ctrlPr>
                  <w:rPr>
                    <w:rFonts w:ascii="Cambria Math" w:hAnsi="Cambria Math" w:cs="Arial"/>
                    <w:i/>
                    <w:caps/>
                    <w:sz w:val="24"/>
                    <w:szCs w:val="24"/>
                    <w:lang w:val="en-GB"/>
                  </w:rPr>
                </m:ctrlPr>
              </m:accPr>
              <m:e>
                <m:r>
                  <w:rPr>
                    <w:rFonts w:ascii="Cambria Math" w:hAnsi="Cambria Math" w:cs="Arial"/>
                    <w:i/>
                    <w:caps/>
                    <w:sz w:val="24"/>
                    <w:szCs w:val="24"/>
                    <w:lang w:val="en-GB"/>
                  </w:rPr>
                  <w:sym w:font="Symbol" w:char="F062"/>
                </m:r>
              </m:e>
            </m:acc>
          </m:e>
          <m:sub>
            <m:r>
              <w:rPr>
                <w:rFonts w:ascii="Cambria Math" w:hAnsi="Cambria Math" w:cs="Arial"/>
                <w:i/>
                <w:caps/>
                <w:sz w:val="24"/>
                <w:szCs w:val="24"/>
                <w:lang w:val="en-GB"/>
              </w:rPr>
              <w:sym w:font="Symbol" w:char="F074"/>
            </m:r>
            <m:r>
              <w:rPr>
                <w:rFonts w:ascii="Cambria Math" w:hAnsi="Cambria Math" w:cs="Arial"/>
                <w:caps/>
                <w:sz w:val="24"/>
                <w:szCs w:val="24"/>
                <w:lang w:val="en-GB"/>
              </w:rPr>
              <m:t>.NY</m:t>
            </m:r>
          </m:sub>
        </m:sSub>
      </m:oMath>
      <w:r>
        <w:rPr>
          <w:rFonts w:cs="Arial"/>
          <w:caps/>
          <w:sz w:val="24"/>
          <w:szCs w:val="24"/>
          <w:lang w:val="en-GB"/>
        </w:rPr>
        <w:t>.</w:t>
      </w:r>
      <w:r>
        <w:rPr>
          <w:rFonts w:cs="Arial"/>
          <w:sz w:val="24"/>
          <w:szCs w:val="24"/>
          <w:lang w:val="en-GB"/>
        </w:rPr>
        <w:t xml:space="preserve"> The second term, </w:t>
      </w:r>
      <m:oMath>
        <m:sSub>
          <m:sSubPr>
            <m:ctrlPr>
              <w:rPr>
                <w:rFonts w:ascii="Cambria Math" w:hAnsi="Cambria Math" w:cs="Arial"/>
                <w:i/>
                <w:caps/>
                <w:sz w:val="24"/>
                <w:szCs w:val="24"/>
                <w:lang w:val="en-GB"/>
              </w:rPr>
            </m:ctrlPr>
          </m:sSubPr>
          <m:e>
            <m:r>
              <w:rPr>
                <w:rFonts w:ascii="Cambria Math" w:hAnsi="Cambria Math" w:cs="Arial"/>
                <w:i/>
                <w:caps/>
                <w:sz w:val="24"/>
                <w:szCs w:val="24"/>
                <w:lang w:val="en-GB"/>
              </w:rPr>
              <w:sym w:font="Symbol" w:char="F044"/>
            </m:r>
          </m:e>
          <m:sub>
            <m:r>
              <w:rPr>
                <w:rFonts w:ascii="Cambria Math" w:hAnsi="Cambria Math" w:cs="Arial"/>
                <w:i/>
                <w:caps/>
                <w:sz w:val="24"/>
                <w:szCs w:val="24"/>
                <w:lang w:val="en-GB"/>
              </w:rPr>
              <w:sym w:font="Symbol" w:char="F074"/>
            </m:r>
            <m:r>
              <w:rPr>
                <w:rFonts w:ascii="Cambria Math" w:hAnsi="Cambria Math" w:cs="Arial"/>
                <w:caps/>
                <w:sz w:val="24"/>
                <w:szCs w:val="24"/>
                <w:lang w:val="en-GB"/>
              </w:rPr>
              <m:t>,X</m:t>
            </m:r>
          </m:sub>
        </m:sSub>
      </m:oMath>
      <w:r>
        <w:rPr>
          <w:rFonts w:cs="Arial"/>
          <w:caps/>
          <w:sz w:val="24"/>
          <w:szCs w:val="24"/>
          <w:lang w:val="en-GB"/>
        </w:rPr>
        <w:t xml:space="preserve">, </w:t>
      </w:r>
      <w:r>
        <w:rPr>
          <w:rFonts w:cs="Arial"/>
          <w:sz w:val="24"/>
          <w:szCs w:val="24"/>
          <w:lang w:val="en-GB"/>
        </w:rPr>
        <w:t xml:space="preserve">is the unexplained component, which is the difference in the returns to observable characteristics of NY and </w:t>
      </w:r>
      <w:proofErr w:type="spellStart"/>
      <w:r>
        <w:rPr>
          <w:rFonts w:cs="Arial"/>
          <w:sz w:val="24"/>
          <w:szCs w:val="24"/>
          <w:lang w:val="en-GB"/>
        </w:rPr>
        <w:t>RoW</w:t>
      </w:r>
      <w:proofErr w:type="spellEnd"/>
      <w:r>
        <w:rPr>
          <w:rFonts w:cs="Arial"/>
          <w:sz w:val="24"/>
          <w:szCs w:val="24"/>
          <w:lang w:val="en-GB"/>
        </w:rPr>
        <w:t xml:space="preserve">, evaluated at the mean set of the </w:t>
      </w:r>
      <w:proofErr w:type="spellStart"/>
      <w:r>
        <w:rPr>
          <w:rFonts w:cs="Arial"/>
          <w:sz w:val="24"/>
          <w:szCs w:val="24"/>
          <w:lang w:val="en-GB"/>
        </w:rPr>
        <w:t>RoW’s</w:t>
      </w:r>
      <w:proofErr w:type="spellEnd"/>
      <w:r>
        <w:rPr>
          <w:rFonts w:cs="Arial"/>
          <w:sz w:val="24"/>
          <w:szCs w:val="24"/>
          <w:lang w:val="en-GB"/>
        </w:rPr>
        <w:t xml:space="preserve"> characteristics. This latter component is used here as a proxy to confirm (or reject) LOP in the art markets. If the unexplained component is not statistically significant, this implies that, after adjusting for differences in observable characteristics, prices do not differ between NY and the </w:t>
      </w:r>
      <w:proofErr w:type="spellStart"/>
      <w:r>
        <w:rPr>
          <w:rFonts w:cs="Arial"/>
          <w:sz w:val="24"/>
          <w:szCs w:val="24"/>
          <w:lang w:val="en-GB"/>
        </w:rPr>
        <w:t>RoW</w:t>
      </w:r>
      <w:proofErr w:type="spellEnd"/>
      <w:r>
        <w:rPr>
          <w:rFonts w:cs="Arial"/>
          <w:sz w:val="24"/>
          <w:szCs w:val="24"/>
          <w:lang w:val="en-GB"/>
        </w:rPr>
        <w:t>, confirming the existence of the LOP.</w:t>
      </w:r>
    </w:p>
    <w:p w14:paraId="74A0ECAC" w14:textId="77777777" w:rsidR="00AE1998" w:rsidRDefault="00AE1998" w:rsidP="00AE1998">
      <w:pPr>
        <w:spacing w:after="240" w:line="360" w:lineRule="auto"/>
        <w:jc w:val="both"/>
        <w:rPr>
          <w:rFonts w:cs="Arial"/>
          <w:sz w:val="24"/>
          <w:szCs w:val="24"/>
          <w:lang w:val="en-GB"/>
        </w:rPr>
      </w:pPr>
    </w:p>
    <w:p w14:paraId="5CA47A98" w14:textId="77777777" w:rsidR="00AE1998" w:rsidRDefault="00AE1998" w:rsidP="00AE1998">
      <w:pPr>
        <w:pStyle w:val="Paragrafoelenco"/>
        <w:numPr>
          <w:ilvl w:val="0"/>
          <w:numId w:val="22"/>
        </w:numPr>
        <w:spacing w:after="240" w:line="360" w:lineRule="auto"/>
        <w:ind w:left="397"/>
        <w:jc w:val="both"/>
        <w:rPr>
          <w:rFonts w:cs="Arial"/>
          <w:b/>
          <w:sz w:val="24"/>
          <w:szCs w:val="24"/>
          <w:lang w:val="en-GB" w:eastAsia="en-GB"/>
        </w:rPr>
      </w:pPr>
      <w:r>
        <w:rPr>
          <w:rFonts w:cs="Arial"/>
          <w:b/>
          <w:sz w:val="24"/>
          <w:szCs w:val="24"/>
          <w:lang w:val="en-GB" w:eastAsia="en-GB"/>
        </w:rPr>
        <w:lastRenderedPageBreak/>
        <w:t>DATA</w:t>
      </w:r>
    </w:p>
    <w:p w14:paraId="2CFFF9A7" w14:textId="77777777" w:rsidR="00AE1998" w:rsidRDefault="00AE1998" w:rsidP="00AE1998">
      <w:pPr>
        <w:autoSpaceDE w:val="0"/>
        <w:autoSpaceDN w:val="0"/>
        <w:adjustRightInd w:val="0"/>
        <w:spacing w:after="0" w:line="360" w:lineRule="auto"/>
        <w:jc w:val="both"/>
        <w:rPr>
          <w:sz w:val="24"/>
          <w:szCs w:val="24"/>
          <w:lang w:val="en-GB" w:eastAsia="en-GB"/>
        </w:rPr>
      </w:pPr>
      <w:r>
        <w:rPr>
          <w:rFonts w:eastAsia="Calibri" w:cs="Times New Roman"/>
          <w:sz w:val="24"/>
          <w:szCs w:val="24"/>
          <w:lang w:val="en-GB" w:eastAsia="en-GB"/>
        </w:rPr>
        <w:t>In this study,</w:t>
      </w:r>
      <w:r>
        <w:rPr>
          <w:rFonts w:cs="Arial"/>
          <w:sz w:val="24"/>
          <w:szCs w:val="24"/>
          <w:lang w:val="en-GB"/>
        </w:rPr>
        <w:t xml:space="preserve"> we use a sample of Picasso paintings sold worldwide as registered on</w:t>
      </w:r>
      <w:r>
        <w:rPr>
          <w:rFonts w:eastAsia="Calibri" w:cs="Times New Roman"/>
          <w:sz w:val="24"/>
          <w:szCs w:val="24"/>
          <w:lang w:val="en-GB"/>
        </w:rPr>
        <w:t xml:space="preserve"> </w:t>
      </w:r>
      <w:proofErr w:type="spellStart"/>
      <w:r>
        <w:rPr>
          <w:rFonts w:eastAsia="Calibri" w:cs="Times New Roman"/>
          <w:sz w:val="24"/>
          <w:szCs w:val="24"/>
          <w:lang w:val="en-GB"/>
        </w:rPr>
        <w:t>Artprice</w:t>
      </w:r>
      <w:proofErr w:type="spellEnd"/>
      <w:r>
        <w:rPr>
          <w:rFonts w:eastAsia="Calibri" w:cs="Times New Roman"/>
          <w:sz w:val="24"/>
          <w:szCs w:val="24"/>
          <w:lang w:val="en-GB"/>
        </w:rPr>
        <w:t xml:space="preserve">, a large online auction sales database. </w:t>
      </w:r>
      <w:r>
        <w:rPr>
          <w:rFonts w:eastAsia="Calibri" w:cs="Times New Roman"/>
          <w:sz w:val="24"/>
          <w:szCs w:val="24"/>
          <w:lang w:val="en-GB" w:eastAsia="en-GB"/>
        </w:rPr>
        <w:t>The sample consist</w:t>
      </w:r>
      <w:r>
        <w:rPr>
          <w:rFonts w:eastAsia="Calibri" w:cs="Times New Roman"/>
          <w:sz w:val="24"/>
          <w:szCs w:val="24"/>
          <w:lang w:val="en-GB"/>
        </w:rPr>
        <w:t>s of 938 Picasso paintings sold worldwide at auction during the period 2000-2019.</w:t>
      </w:r>
      <w:r>
        <w:rPr>
          <w:sz w:val="24"/>
          <w:szCs w:val="24"/>
          <w:lang w:val="en-GB" w:eastAsia="en-GB"/>
        </w:rPr>
        <w:t xml:space="preserve"> </w:t>
      </w:r>
      <w:r>
        <w:rPr>
          <w:rFonts w:eastAsia="Calibri" w:cs="Times New Roman"/>
          <w:sz w:val="24"/>
          <w:szCs w:val="24"/>
          <w:lang w:val="en-GB"/>
        </w:rPr>
        <w:t xml:space="preserve">Prices, </w:t>
      </w:r>
      <w:r>
        <w:rPr>
          <w:rFonts w:eastAsia="Calibri" w:cs="Times New Roman"/>
          <w:i/>
          <w:sz w:val="24"/>
          <w:szCs w:val="24"/>
          <w:lang w:val="en-GB"/>
        </w:rPr>
        <w:t>price,</w:t>
      </w:r>
      <w:r>
        <w:rPr>
          <w:rFonts w:eastAsia="Calibri" w:cs="Times New Roman"/>
          <w:sz w:val="24"/>
          <w:szCs w:val="24"/>
          <w:lang w:val="en-GB"/>
        </w:rPr>
        <w:t xml:space="preserve"> are gross of the buyers’ and sellers’ transaction fees paid to auction houses and are expressed in US dollars, deflated using the US CPI (2000 = 100).  </w:t>
      </w:r>
    </w:p>
    <w:p w14:paraId="73194CBD" w14:textId="77777777" w:rsidR="00AE1998" w:rsidRDefault="00AE1998" w:rsidP="00AE1998">
      <w:pPr>
        <w:autoSpaceDE w:val="0"/>
        <w:autoSpaceDN w:val="0"/>
        <w:adjustRightInd w:val="0"/>
        <w:spacing w:after="0" w:line="360" w:lineRule="auto"/>
        <w:jc w:val="both"/>
        <w:rPr>
          <w:rFonts w:eastAsia="Calibri" w:cs="Times New Roman"/>
          <w:sz w:val="24"/>
          <w:szCs w:val="24"/>
          <w:lang w:val="en-GB"/>
        </w:rPr>
      </w:pPr>
      <w:r>
        <w:rPr>
          <w:rFonts w:eastAsia="Calibri" w:cs="Times New Roman"/>
          <w:sz w:val="24"/>
          <w:szCs w:val="24"/>
          <w:lang w:val="en-GB"/>
        </w:rPr>
        <w:t xml:space="preserve">Covariates include area of the painting, </w:t>
      </w:r>
      <w:r>
        <w:rPr>
          <w:rFonts w:eastAsia="Calibri" w:cs="Times New Roman"/>
          <w:i/>
          <w:sz w:val="24"/>
          <w:szCs w:val="24"/>
          <w:lang w:val="en-GB"/>
        </w:rPr>
        <w:t xml:space="preserve">size; </w:t>
      </w:r>
      <w:r>
        <w:rPr>
          <w:rFonts w:eastAsia="Calibri" w:cs="Times New Roman"/>
          <w:sz w:val="24"/>
          <w:szCs w:val="24"/>
          <w:lang w:val="en-GB"/>
        </w:rPr>
        <w:t xml:space="preserve">and a set of dummy variables, reflecting media: </w:t>
      </w:r>
      <w:r>
        <w:rPr>
          <w:rFonts w:eastAsia="Calibri" w:cs="Times New Roman"/>
          <w:i/>
          <w:sz w:val="24"/>
          <w:szCs w:val="24"/>
          <w:lang w:val="en-GB"/>
        </w:rPr>
        <w:t>canvas</w:t>
      </w:r>
      <w:r>
        <w:rPr>
          <w:rFonts w:eastAsia="Calibri" w:cs="Times New Roman"/>
          <w:sz w:val="24"/>
          <w:szCs w:val="24"/>
          <w:lang w:val="en-GB"/>
        </w:rPr>
        <w:t xml:space="preserve">, oil on canvas; </w:t>
      </w:r>
      <w:r>
        <w:rPr>
          <w:rFonts w:eastAsia="Calibri" w:cs="Times New Roman"/>
          <w:i/>
          <w:sz w:val="24"/>
          <w:szCs w:val="24"/>
          <w:lang w:val="en-GB"/>
        </w:rPr>
        <w:t>mixed</w:t>
      </w:r>
      <w:r>
        <w:rPr>
          <w:rFonts w:eastAsia="Calibri" w:cs="Times New Roman"/>
          <w:sz w:val="24"/>
          <w:szCs w:val="24"/>
          <w:lang w:val="en-GB"/>
        </w:rPr>
        <w:t xml:space="preserve">, mixed media techniques; and </w:t>
      </w:r>
      <w:proofErr w:type="spellStart"/>
      <w:r>
        <w:rPr>
          <w:rFonts w:eastAsia="Calibri" w:cs="Times New Roman"/>
          <w:i/>
          <w:sz w:val="24"/>
          <w:szCs w:val="24"/>
          <w:lang w:val="en-GB"/>
        </w:rPr>
        <w:t>other_tech</w:t>
      </w:r>
      <w:proofErr w:type="spellEnd"/>
      <w:r>
        <w:rPr>
          <w:rFonts w:eastAsia="Calibri" w:cs="Times New Roman"/>
          <w:sz w:val="24"/>
          <w:szCs w:val="24"/>
          <w:lang w:val="en-GB"/>
        </w:rPr>
        <w:t xml:space="preserve"> all other media (omitted variable). Sale characteristics refer to auction houses and markets. We introduce a set of dummy variables for auction houses: </w:t>
      </w:r>
      <w:proofErr w:type="spellStart"/>
      <w:r>
        <w:rPr>
          <w:rFonts w:eastAsia="Calibri" w:cs="Times New Roman"/>
          <w:i/>
          <w:sz w:val="24"/>
          <w:szCs w:val="24"/>
          <w:lang w:val="en-GB"/>
        </w:rPr>
        <w:t>soth</w:t>
      </w:r>
      <w:proofErr w:type="spellEnd"/>
      <w:r>
        <w:rPr>
          <w:rFonts w:eastAsia="Calibri" w:cs="Times New Roman"/>
          <w:sz w:val="24"/>
          <w:szCs w:val="24"/>
          <w:lang w:val="en-GB"/>
        </w:rPr>
        <w:t xml:space="preserve">, for Sotheby’s; </w:t>
      </w:r>
      <w:proofErr w:type="spellStart"/>
      <w:r>
        <w:rPr>
          <w:rFonts w:eastAsia="Calibri" w:cs="Times New Roman"/>
          <w:i/>
          <w:sz w:val="24"/>
          <w:szCs w:val="24"/>
          <w:lang w:val="en-GB"/>
        </w:rPr>
        <w:t>chr</w:t>
      </w:r>
      <w:proofErr w:type="spellEnd"/>
      <w:r>
        <w:rPr>
          <w:rFonts w:eastAsia="Calibri" w:cs="Times New Roman"/>
          <w:i/>
          <w:sz w:val="24"/>
          <w:szCs w:val="24"/>
          <w:lang w:val="en-GB"/>
        </w:rPr>
        <w:t>,</w:t>
      </w:r>
      <w:r>
        <w:rPr>
          <w:rFonts w:eastAsia="Calibri" w:cs="Times New Roman"/>
          <w:sz w:val="24"/>
          <w:szCs w:val="24"/>
          <w:lang w:val="en-GB"/>
        </w:rPr>
        <w:t xml:space="preserve"> for Christie’s; and </w:t>
      </w:r>
      <w:proofErr w:type="spellStart"/>
      <w:r>
        <w:rPr>
          <w:rFonts w:eastAsia="Calibri" w:cs="Times New Roman"/>
          <w:i/>
          <w:sz w:val="24"/>
          <w:szCs w:val="24"/>
          <w:lang w:val="en-GB"/>
        </w:rPr>
        <w:t>other_auc</w:t>
      </w:r>
      <w:proofErr w:type="spellEnd"/>
      <w:r>
        <w:rPr>
          <w:rFonts w:eastAsia="Calibri" w:cs="Times New Roman"/>
          <w:sz w:val="24"/>
          <w:szCs w:val="24"/>
          <w:lang w:val="en-GB"/>
        </w:rPr>
        <w:t xml:space="preserve"> for all other auction houses (omitted variable). </w:t>
      </w:r>
      <w:r>
        <w:rPr>
          <w:rFonts w:eastAsia="Calibri" w:cs="Times New Roman"/>
          <w:i/>
          <w:sz w:val="24"/>
          <w:szCs w:val="24"/>
          <w:lang w:val="en-GB"/>
        </w:rPr>
        <w:t xml:space="preserve">NY </w:t>
      </w:r>
      <w:r>
        <w:rPr>
          <w:rFonts w:eastAsia="Calibri" w:cs="Times New Roman"/>
          <w:sz w:val="24"/>
          <w:szCs w:val="24"/>
          <w:lang w:val="en-GB"/>
        </w:rPr>
        <w:t xml:space="preserve">is a dummy which assumes value 1 if the painting is sold at New York, 0 otherwise; </w:t>
      </w:r>
      <w:proofErr w:type="spellStart"/>
      <w:r>
        <w:rPr>
          <w:rFonts w:eastAsia="Calibri" w:cs="Times New Roman"/>
          <w:i/>
          <w:sz w:val="24"/>
          <w:szCs w:val="24"/>
          <w:lang w:val="en-GB"/>
        </w:rPr>
        <w:t>RoW</w:t>
      </w:r>
      <w:proofErr w:type="spellEnd"/>
      <w:r>
        <w:rPr>
          <w:rFonts w:eastAsia="Calibri" w:cs="Times New Roman"/>
          <w:i/>
          <w:sz w:val="24"/>
          <w:szCs w:val="24"/>
          <w:lang w:val="en-GB"/>
        </w:rPr>
        <w:t xml:space="preserve"> </w:t>
      </w:r>
      <w:r>
        <w:rPr>
          <w:rFonts w:eastAsia="Calibri" w:cs="Times New Roman"/>
          <w:sz w:val="24"/>
          <w:szCs w:val="24"/>
          <w:lang w:val="en-GB"/>
        </w:rPr>
        <w:t>is the dummy that captures whether the painting is not sold at New York (omitted variable). We also identify style period characteristics (</w:t>
      </w:r>
      <w:proofErr w:type="spellStart"/>
      <w:r>
        <w:rPr>
          <w:rFonts w:eastAsia="Calibri" w:cs="Times New Roman"/>
          <w:sz w:val="24"/>
          <w:szCs w:val="24"/>
          <w:lang w:val="en-GB"/>
        </w:rPr>
        <w:t>Czujack</w:t>
      </w:r>
      <w:proofErr w:type="spellEnd"/>
      <w:r>
        <w:rPr>
          <w:rFonts w:eastAsia="Calibri" w:cs="Times New Roman"/>
          <w:sz w:val="24"/>
          <w:szCs w:val="24"/>
          <w:lang w:val="en-GB"/>
        </w:rPr>
        <w:t xml:space="preserve">, 1997): Childhood and Youth (1881-1901), </w:t>
      </w:r>
      <w:r>
        <w:rPr>
          <w:rFonts w:eastAsia="Calibri" w:cs="Times New Roman"/>
          <w:i/>
          <w:sz w:val="24"/>
          <w:szCs w:val="24"/>
          <w:lang w:val="en-GB"/>
        </w:rPr>
        <w:t>style1</w:t>
      </w:r>
      <w:r>
        <w:rPr>
          <w:rFonts w:eastAsia="Calibri" w:cs="Times New Roman"/>
          <w:sz w:val="24"/>
          <w:szCs w:val="24"/>
          <w:lang w:val="en-GB"/>
        </w:rPr>
        <w:t xml:space="preserve">; Blue and Rose Period (1902-1906), </w:t>
      </w:r>
      <w:r>
        <w:rPr>
          <w:rFonts w:eastAsia="Calibri" w:cs="Times New Roman"/>
          <w:i/>
          <w:sz w:val="24"/>
          <w:szCs w:val="24"/>
          <w:lang w:val="en-GB"/>
        </w:rPr>
        <w:t>style2</w:t>
      </w:r>
      <w:r>
        <w:rPr>
          <w:rFonts w:eastAsia="Calibri" w:cs="Times New Roman"/>
          <w:sz w:val="24"/>
          <w:szCs w:val="24"/>
          <w:lang w:val="en-GB"/>
        </w:rPr>
        <w:t xml:space="preserve">; Analytical and Synthetic Cubism (1907-1915), </w:t>
      </w:r>
      <w:r>
        <w:rPr>
          <w:rFonts w:eastAsia="Calibri" w:cs="Times New Roman"/>
          <w:i/>
          <w:sz w:val="24"/>
          <w:szCs w:val="24"/>
          <w:lang w:val="en-GB"/>
        </w:rPr>
        <w:t>style3</w:t>
      </w:r>
      <w:r>
        <w:rPr>
          <w:rFonts w:eastAsia="Calibri" w:cs="Times New Roman"/>
          <w:sz w:val="24"/>
          <w:szCs w:val="24"/>
          <w:lang w:val="en-GB"/>
        </w:rPr>
        <w:t xml:space="preserve">; Camera and Classicism (1916-1924), </w:t>
      </w:r>
      <w:r>
        <w:rPr>
          <w:rFonts w:eastAsia="Calibri" w:cs="Times New Roman"/>
          <w:i/>
          <w:sz w:val="24"/>
          <w:szCs w:val="24"/>
          <w:lang w:val="en-GB"/>
        </w:rPr>
        <w:t>style4</w:t>
      </w:r>
      <w:r>
        <w:rPr>
          <w:rFonts w:eastAsia="Calibri" w:cs="Times New Roman"/>
          <w:sz w:val="24"/>
          <w:szCs w:val="24"/>
          <w:lang w:val="en-GB"/>
        </w:rPr>
        <w:t xml:space="preserve">; Juggler of the Form (1925-1936), </w:t>
      </w:r>
      <w:r>
        <w:rPr>
          <w:rFonts w:eastAsia="Calibri" w:cs="Times New Roman"/>
          <w:i/>
          <w:sz w:val="24"/>
          <w:szCs w:val="24"/>
          <w:lang w:val="en-GB"/>
        </w:rPr>
        <w:t>style5</w:t>
      </w:r>
      <w:r>
        <w:rPr>
          <w:rFonts w:eastAsia="Calibri" w:cs="Times New Roman"/>
          <w:sz w:val="24"/>
          <w:szCs w:val="24"/>
          <w:lang w:val="en-GB"/>
        </w:rPr>
        <w:t xml:space="preserve">; Guernica and the ‘Style Picasso’ (1937-1943), </w:t>
      </w:r>
      <w:r>
        <w:rPr>
          <w:rFonts w:eastAsia="Calibri" w:cs="Times New Roman"/>
          <w:i/>
          <w:sz w:val="24"/>
          <w:szCs w:val="24"/>
          <w:lang w:val="en-GB"/>
        </w:rPr>
        <w:t>style6</w:t>
      </w:r>
      <w:r>
        <w:rPr>
          <w:rFonts w:eastAsia="Calibri" w:cs="Times New Roman"/>
          <w:sz w:val="24"/>
          <w:szCs w:val="24"/>
          <w:lang w:val="en-GB"/>
        </w:rPr>
        <w:t xml:space="preserve">; Politics and Art (1944-1953), </w:t>
      </w:r>
      <w:r>
        <w:rPr>
          <w:rFonts w:eastAsia="Calibri" w:cs="Times New Roman"/>
          <w:i/>
          <w:sz w:val="24"/>
          <w:szCs w:val="24"/>
          <w:lang w:val="en-GB"/>
        </w:rPr>
        <w:t>style7</w:t>
      </w:r>
      <w:r>
        <w:rPr>
          <w:rFonts w:eastAsia="Calibri" w:cs="Times New Roman"/>
          <w:sz w:val="24"/>
          <w:szCs w:val="24"/>
          <w:lang w:val="en-GB"/>
        </w:rPr>
        <w:t xml:space="preserve">; and The Old Picasso (1954-1973), </w:t>
      </w:r>
      <w:r>
        <w:rPr>
          <w:rFonts w:eastAsia="Calibri" w:cs="Times New Roman"/>
          <w:i/>
          <w:sz w:val="24"/>
          <w:szCs w:val="24"/>
          <w:lang w:val="en-GB"/>
        </w:rPr>
        <w:t>style8</w:t>
      </w:r>
      <w:r>
        <w:rPr>
          <w:rFonts w:eastAsia="Calibri" w:cs="Times New Roman"/>
          <w:sz w:val="24"/>
          <w:szCs w:val="24"/>
          <w:lang w:val="en-GB"/>
        </w:rPr>
        <w:t xml:space="preserve"> (omitted variable). Finally, a set of time dummy variables, </w:t>
      </w:r>
      <w:proofErr w:type="spellStart"/>
      <w:r>
        <w:rPr>
          <w:rFonts w:eastAsia="Calibri" w:cs="Times New Roman"/>
          <w:i/>
          <w:sz w:val="24"/>
          <w:szCs w:val="24"/>
          <w:lang w:val="en-GB"/>
        </w:rPr>
        <w:t>d</w:t>
      </w:r>
      <w:r>
        <w:rPr>
          <w:rFonts w:eastAsia="Calibri" w:cs="Times New Roman"/>
          <w:i/>
          <w:sz w:val="24"/>
          <w:szCs w:val="24"/>
          <w:vertAlign w:val="subscript"/>
          <w:lang w:val="en-GB"/>
        </w:rPr>
        <w:t>t</w:t>
      </w:r>
      <w:proofErr w:type="spellEnd"/>
      <w:r>
        <w:rPr>
          <w:rFonts w:eastAsia="Calibri" w:cs="Times New Roman"/>
          <w:sz w:val="24"/>
          <w:szCs w:val="24"/>
          <w:lang w:val="en-GB"/>
        </w:rPr>
        <w:t>, are introduced for each year between 2000 and 2019 (2000 baseline variable). Table 1 reports the descriptive statistics for the variables adopted in this study.</w:t>
      </w:r>
    </w:p>
    <w:p w14:paraId="2CA1DD08" w14:textId="77777777" w:rsidR="00AE1998" w:rsidRDefault="00AE1998" w:rsidP="00AE1998">
      <w:pPr>
        <w:autoSpaceDE w:val="0"/>
        <w:autoSpaceDN w:val="0"/>
        <w:adjustRightInd w:val="0"/>
        <w:spacing w:after="0" w:line="360" w:lineRule="auto"/>
        <w:jc w:val="both"/>
        <w:rPr>
          <w:rFonts w:eastAsia="Calibri" w:cs="Times New Roman"/>
          <w:sz w:val="24"/>
          <w:szCs w:val="24"/>
          <w:lang w:val="en-GB"/>
        </w:rPr>
      </w:pPr>
    </w:p>
    <w:p w14:paraId="58A944CF" w14:textId="77777777" w:rsidR="00AE1998" w:rsidRDefault="00AE1998" w:rsidP="00AE1998">
      <w:pPr>
        <w:autoSpaceDE w:val="0"/>
        <w:autoSpaceDN w:val="0"/>
        <w:adjustRightInd w:val="0"/>
        <w:spacing w:after="0" w:line="360" w:lineRule="auto"/>
        <w:jc w:val="center"/>
        <w:rPr>
          <w:rFonts w:eastAsia="Calibri" w:cs="Times New Roman"/>
          <w:sz w:val="24"/>
          <w:szCs w:val="24"/>
          <w:lang w:val="en-GB"/>
        </w:rPr>
      </w:pPr>
      <w:r>
        <w:rPr>
          <w:rFonts w:eastAsia="Calibri" w:cs="Times New Roman"/>
          <w:sz w:val="24"/>
          <w:szCs w:val="24"/>
          <w:lang w:val="en-GB"/>
        </w:rPr>
        <w:t>[TABLE 1 ABOUT HERE]</w:t>
      </w:r>
    </w:p>
    <w:p w14:paraId="70C1AF49" w14:textId="77777777" w:rsidR="00AE1998" w:rsidRDefault="00AE1998" w:rsidP="00AE1998">
      <w:pPr>
        <w:autoSpaceDE w:val="0"/>
        <w:autoSpaceDN w:val="0"/>
        <w:adjustRightInd w:val="0"/>
        <w:spacing w:after="0" w:line="360" w:lineRule="auto"/>
        <w:jc w:val="both"/>
        <w:rPr>
          <w:rFonts w:eastAsia="Calibri" w:cs="Times New Roman"/>
          <w:sz w:val="24"/>
          <w:szCs w:val="24"/>
          <w:lang w:val="en-GB"/>
        </w:rPr>
      </w:pPr>
    </w:p>
    <w:p w14:paraId="516E678C" w14:textId="77777777" w:rsidR="00AE1998" w:rsidRDefault="00AE1998" w:rsidP="00AE1998">
      <w:pPr>
        <w:autoSpaceDE w:val="0"/>
        <w:autoSpaceDN w:val="0"/>
        <w:adjustRightInd w:val="0"/>
        <w:spacing w:after="0" w:line="360" w:lineRule="auto"/>
        <w:jc w:val="both"/>
        <w:rPr>
          <w:rFonts w:ascii="Calibri" w:eastAsia="Calibri" w:hAnsi="Calibri" w:cs="Calibri"/>
          <w:sz w:val="24"/>
          <w:szCs w:val="24"/>
          <w:lang w:val="en-GB" w:eastAsia="en-GB"/>
        </w:rPr>
      </w:pPr>
      <w:r>
        <w:rPr>
          <w:rFonts w:eastAsia="Calibri" w:cs="Times New Roman"/>
          <w:sz w:val="24"/>
          <w:szCs w:val="24"/>
          <w:lang w:val="en-GB" w:eastAsia="en-GB"/>
        </w:rPr>
        <w:t xml:space="preserve">In the full sample, the average price for a Picasso painting </w:t>
      </w:r>
      <w:r>
        <w:rPr>
          <w:rFonts w:ascii="Calibri" w:eastAsia="Calibri" w:hAnsi="Calibri" w:cs="Calibri"/>
          <w:sz w:val="24"/>
          <w:szCs w:val="24"/>
          <w:lang w:val="en-GB" w:eastAsia="en-GB"/>
        </w:rPr>
        <w:t xml:space="preserve">is </w:t>
      </w:r>
      <w:r>
        <w:rPr>
          <w:rFonts w:eastAsia="Calibri" w:cs="Times New Roman"/>
          <w:sz w:val="24"/>
          <w:szCs w:val="24"/>
          <w:lang w:val="en-GB" w:eastAsia="en-GB"/>
        </w:rPr>
        <w:t>$</w:t>
      </w:r>
      <w:r>
        <w:rPr>
          <w:rFonts w:ascii="Calibri" w:eastAsia="Calibri" w:hAnsi="Calibri" w:cs="Calibri"/>
          <w:sz w:val="24"/>
          <w:szCs w:val="24"/>
          <w:lang w:val="en-GB" w:eastAsia="en-GB"/>
        </w:rPr>
        <w:t xml:space="preserve">5,961,644 with a </w:t>
      </w:r>
      <w:r>
        <w:rPr>
          <w:rFonts w:eastAsia="Calibri" w:cs="Times New Roman"/>
          <w:sz w:val="24"/>
          <w:szCs w:val="24"/>
          <w:lang w:val="en-GB" w:eastAsia="en-GB"/>
        </w:rPr>
        <w:t>skewness value of 6.89, reflecting a long right tail of</w:t>
      </w:r>
      <w:r>
        <w:rPr>
          <w:rFonts w:eastAsia="Calibri" w:cs="Times New Roman"/>
          <w:sz w:val="24"/>
          <w:szCs w:val="24"/>
          <w:lang w:val="en-GB"/>
        </w:rPr>
        <w:t xml:space="preserve"> </w:t>
      </w:r>
      <w:r>
        <w:rPr>
          <w:rFonts w:eastAsia="Calibri" w:cs="Times New Roman"/>
          <w:sz w:val="24"/>
          <w:szCs w:val="24"/>
          <w:lang w:val="en-GB" w:eastAsia="en-GB"/>
        </w:rPr>
        <w:t xml:space="preserve">high prices. In addition, the kurtosis is 68.2 and therefore the prices have a leptokurtic (or fat-tailed) distribution. </w:t>
      </w:r>
      <w:r>
        <w:rPr>
          <w:rFonts w:ascii="Calibri" w:eastAsia="Calibri" w:hAnsi="Calibri" w:cs="Calibri"/>
          <w:sz w:val="24"/>
          <w:szCs w:val="24"/>
          <w:lang w:val="en-GB" w:eastAsia="en-GB"/>
        </w:rPr>
        <w:t xml:space="preserve">Splitting the sample into NY and the </w:t>
      </w:r>
      <w:proofErr w:type="spellStart"/>
      <w:r>
        <w:rPr>
          <w:rFonts w:ascii="Calibri" w:eastAsia="Calibri" w:hAnsi="Calibri" w:cs="Calibri"/>
          <w:sz w:val="24"/>
          <w:szCs w:val="24"/>
          <w:lang w:val="en-GB" w:eastAsia="en-GB"/>
        </w:rPr>
        <w:t>RoW</w:t>
      </w:r>
      <w:proofErr w:type="spellEnd"/>
      <w:r>
        <w:rPr>
          <w:rFonts w:ascii="Calibri" w:eastAsia="Calibri" w:hAnsi="Calibri" w:cs="Calibri"/>
          <w:sz w:val="24"/>
          <w:szCs w:val="24"/>
          <w:lang w:val="en-GB" w:eastAsia="en-GB"/>
        </w:rPr>
        <w:t xml:space="preserve"> market, the average price is </w:t>
      </w:r>
      <w:r>
        <w:rPr>
          <w:rFonts w:eastAsia="Calibri" w:cs="Times New Roman"/>
          <w:sz w:val="24"/>
          <w:szCs w:val="24"/>
          <w:lang w:val="en-GB" w:eastAsia="en-GB"/>
        </w:rPr>
        <w:t>$</w:t>
      </w:r>
      <w:r>
        <w:rPr>
          <w:rFonts w:ascii="Calibri" w:eastAsia="Times New Roman" w:hAnsi="Calibri" w:cs="Times New Roman"/>
          <w:color w:val="000000"/>
          <w:sz w:val="24"/>
          <w:szCs w:val="24"/>
          <w:lang w:val="en-GB"/>
        </w:rPr>
        <w:t xml:space="preserve">7,682,751 in the first and </w:t>
      </w:r>
      <w:r>
        <w:rPr>
          <w:rFonts w:eastAsia="Calibri" w:cs="Times New Roman"/>
          <w:sz w:val="24"/>
          <w:szCs w:val="24"/>
          <w:lang w:val="en-GB" w:eastAsia="en-GB"/>
        </w:rPr>
        <w:t>$</w:t>
      </w:r>
      <w:r>
        <w:rPr>
          <w:rFonts w:ascii="Calibri" w:eastAsia="Times New Roman" w:hAnsi="Calibri" w:cs="Times New Roman"/>
          <w:color w:val="000000"/>
          <w:sz w:val="24"/>
          <w:szCs w:val="24"/>
          <w:lang w:val="en-GB"/>
        </w:rPr>
        <w:t>4,139,296 in the second market, with similar values for skewness (6.3 and 6.1, respectively) and kurtosis (55.7 and 51.7, respectively).</w:t>
      </w:r>
    </w:p>
    <w:p w14:paraId="13875295" w14:textId="77777777" w:rsidR="00AE1998" w:rsidRDefault="00AE1998" w:rsidP="00AE1998">
      <w:pPr>
        <w:autoSpaceDE w:val="0"/>
        <w:autoSpaceDN w:val="0"/>
        <w:adjustRightInd w:val="0"/>
        <w:spacing w:after="0" w:line="360" w:lineRule="auto"/>
        <w:jc w:val="both"/>
        <w:rPr>
          <w:rFonts w:eastAsia="Calibri" w:cs="Times New Roman"/>
          <w:sz w:val="24"/>
          <w:szCs w:val="24"/>
          <w:lang w:val="en-GB"/>
        </w:rPr>
      </w:pPr>
    </w:p>
    <w:p w14:paraId="4977E71C" w14:textId="77777777" w:rsidR="00AE1998" w:rsidRDefault="00AE1998" w:rsidP="00AE1998">
      <w:pPr>
        <w:pStyle w:val="Paragrafoelenco"/>
        <w:numPr>
          <w:ilvl w:val="0"/>
          <w:numId w:val="22"/>
        </w:numPr>
        <w:spacing w:after="240" w:line="360" w:lineRule="auto"/>
        <w:ind w:left="357" w:hanging="357"/>
        <w:jc w:val="both"/>
        <w:rPr>
          <w:rFonts w:cs="Arial"/>
          <w:b/>
          <w:sz w:val="24"/>
          <w:szCs w:val="24"/>
          <w:lang w:val="en-GB" w:eastAsia="en-GB"/>
        </w:rPr>
      </w:pPr>
      <w:r>
        <w:rPr>
          <w:rFonts w:cs="Arial"/>
          <w:b/>
          <w:sz w:val="24"/>
          <w:szCs w:val="24"/>
          <w:lang w:val="en-GB" w:eastAsia="en-GB"/>
        </w:rPr>
        <w:t>RESULTS</w:t>
      </w:r>
    </w:p>
    <w:p w14:paraId="17E9F3DE" w14:textId="77777777" w:rsidR="00AE1998" w:rsidRDefault="00AE1998" w:rsidP="00AE1998">
      <w:pPr>
        <w:pStyle w:val="Paragrafoelenco"/>
        <w:numPr>
          <w:ilvl w:val="1"/>
          <w:numId w:val="22"/>
        </w:numPr>
        <w:autoSpaceDE w:val="0"/>
        <w:autoSpaceDN w:val="0"/>
        <w:adjustRightInd w:val="0"/>
        <w:spacing w:after="0" w:line="360" w:lineRule="auto"/>
        <w:jc w:val="both"/>
        <w:rPr>
          <w:rFonts w:cs="Arial"/>
          <w:i/>
          <w:sz w:val="24"/>
          <w:szCs w:val="24"/>
          <w:lang w:val="en-GB"/>
        </w:rPr>
      </w:pPr>
      <w:r>
        <w:rPr>
          <w:rFonts w:cs="Arial"/>
          <w:i/>
          <w:sz w:val="24"/>
          <w:szCs w:val="24"/>
          <w:lang w:val="en-GB"/>
        </w:rPr>
        <w:t>Full sample</w:t>
      </w:r>
    </w:p>
    <w:p w14:paraId="053D4533" w14:textId="77777777" w:rsidR="00AE1998" w:rsidRDefault="00AE1998" w:rsidP="00AE1998">
      <w:pPr>
        <w:autoSpaceDE w:val="0"/>
        <w:autoSpaceDN w:val="0"/>
        <w:adjustRightInd w:val="0"/>
        <w:spacing w:after="0" w:line="360" w:lineRule="auto"/>
        <w:jc w:val="both"/>
        <w:rPr>
          <w:rFonts w:eastAsia="Calibri" w:cs="Times New Roman"/>
          <w:sz w:val="24"/>
          <w:szCs w:val="24"/>
          <w:lang w:val="en-GB"/>
        </w:rPr>
      </w:pPr>
      <w:r>
        <w:rPr>
          <w:rFonts w:cs="Arial"/>
          <w:sz w:val="24"/>
          <w:szCs w:val="24"/>
          <w:lang w:val="en-GB"/>
        </w:rPr>
        <w:lastRenderedPageBreak/>
        <w:t>Table 2 reports the RIF regression estimates at the 25</w:t>
      </w:r>
      <w:r>
        <w:rPr>
          <w:rFonts w:cs="Arial"/>
          <w:sz w:val="24"/>
          <w:szCs w:val="24"/>
          <w:vertAlign w:val="superscript"/>
          <w:lang w:val="en-GB"/>
        </w:rPr>
        <w:t>th</w:t>
      </w:r>
      <w:r>
        <w:rPr>
          <w:rFonts w:cs="Arial"/>
          <w:sz w:val="24"/>
          <w:szCs w:val="24"/>
          <w:lang w:val="en-GB"/>
        </w:rPr>
        <w:t>, 50</w:t>
      </w:r>
      <w:r>
        <w:rPr>
          <w:rFonts w:cs="Arial"/>
          <w:sz w:val="24"/>
          <w:szCs w:val="24"/>
          <w:vertAlign w:val="superscript"/>
          <w:lang w:val="en-GB"/>
        </w:rPr>
        <w:t>th</w:t>
      </w:r>
      <w:r>
        <w:rPr>
          <w:rFonts w:cs="Arial"/>
          <w:sz w:val="24"/>
          <w:szCs w:val="24"/>
          <w:lang w:val="en-GB"/>
        </w:rPr>
        <w:t>, 75</w:t>
      </w:r>
      <w:r>
        <w:rPr>
          <w:rFonts w:cs="Arial"/>
          <w:sz w:val="24"/>
          <w:szCs w:val="24"/>
          <w:vertAlign w:val="superscript"/>
          <w:lang w:val="en-GB"/>
        </w:rPr>
        <w:t>th</w:t>
      </w:r>
      <w:r>
        <w:rPr>
          <w:rFonts w:cs="Arial"/>
          <w:sz w:val="24"/>
          <w:szCs w:val="24"/>
          <w:lang w:val="en-GB"/>
        </w:rPr>
        <w:t>, and 90</w:t>
      </w:r>
      <w:r>
        <w:rPr>
          <w:rFonts w:cs="Arial"/>
          <w:sz w:val="24"/>
          <w:szCs w:val="24"/>
          <w:vertAlign w:val="superscript"/>
          <w:lang w:val="en-GB"/>
        </w:rPr>
        <w:t>th</w:t>
      </w:r>
      <w:r>
        <w:rPr>
          <w:rFonts w:cs="Arial"/>
          <w:sz w:val="24"/>
          <w:szCs w:val="24"/>
          <w:lang w:val="en-GB"/>
        </w:rPr>
        <w:t xml:space="preserve"> percentiles. Each observation is weighted by the sampling weight of the painting to correct for imperfections in the representativeness of the sample. The standard errors around the estimated parameter values are obtained using a bootstrap procedure with 200 replications. Wald tests are conducted to assess significant differences across percentiles.</w:t>
      </w:r>
    </w:p>
    <w:p w14:paraId="1A9455D3" w14:textId="77777777" w:rsidR="00AE1998" w:rsidRDefault="00AE1998" w:rsidP="00AE1998">
      <w:pPr>
        <w:autoSpaceDE w:val="0"/>
        <w:autoSpaceDN w:val="0"/>
        <w:adjustRightInd w:val="0"/>
        <w:spacing w:after="0" w:line="360" w:lineRule="auto"/>
        <w:jc w:val="both"/>
        <w:rPr>
          <w:rFonts w:eastAsia="Calibri" w:cs="Times New Roman"/>
          <w:sz w:val="24"/>
          <w:szCs w:val="24"/>
          <w:lang w:val="en-GB"/>
        </w:rPr>
      </w:pPr>
    </w:p>
    <w:p w14:paraId="47AD3E24" w14:textId="77777777" w:rsidR="00AE1998" w:rsidRDefault="00AE1998" w:rsidP="00AE1998">
      <w:pPr>
        <w:autoSpaceDE w:val="0"/>
        <w:autoSpaceDN w:val="0"/>
        <w:adjustRightInd w:val="0"/>
        <w:spacing w:after="0" w:line="360" w:lineRule="auto"/>
        <w:jc w:val="center"/>
        <w:rPr>
          <w:rFonts w:cs="Arial"/>
          <w:sz w:val="24"/>
          <w:szCs w:val="24"/>
          <w:lang w:val="en-GB"/>
        </w:rPr>
      </w:pPr>
      <w:r>
        <w:rPr>
          <w:rFonts w:cs="Arial"/>
          <w:sz w:val="24"/>
          <w:szCs w:val="24"/>
          <w:lang w:val="en-GB"/>
        </w:rPr>
        <w:t>[TABLE 2 ABOUT HERE]</w:t>
      </w:r>
    </w:p>
    <w:p w14:paraId="5C35D7A6" w14:textId="77777777" w:rsidR="00AE1998" w:rsidRDefault="00AE1998" w:rsidP="00AE1998">
      <w:pPr>
        <w:autoSpaceDE w:val="0"/>
        <w:autoSpaceDN w:val="0"/>
        <w:adjustRightInd w:val="0"/>
        <w:spacing w:after="0" w:line="360" w:lineRule="auto"/>
        <w:jc w:val="both"/>
        <w:rPr>
          <w:rFonts w:cs="Arial"/>
          <w:sz w:val="24"/>
          <w:szCs w:val="24"/>
          <w:lang w:val="en-GB"/>
        </w:rPr>
      </w:pPr>
    </w:p>
    <w:p w14:paraId="189EDCB7" w14:textId="77777777" w:rsidR="00AE1998" w:rsidRDefault="00AE1998" w:rsidP="00AE1998">
      <w:pPr>
        <w:autoSpaceDE w:val="0"/>
        <w:autoSpaceDN w:val="0"/>
        <w:adjustRightInd w:val="0"/>
        <w:spacing w:after="0" w:line="360" w:lineRule="auto"/>
        <w:jc w:val="both"/>
        <w:rPr>
          <w:rFonts w:eastAsia="Calibri" w:cs="Times New Roman"/>
          <w:sz w:val="24"/>
          <w:szCs w:val="24"/>
          <w:lang w:val="en-GB"/>
        </w:rPr>
      </w:pPr>
      <w:r>
        <w:rPr>
          <w:rFonts w:eastAsia="Calibri" w:cs="Times New Roman"/>
          <w:sz w:val="24"/>
          <w:szCs w:val="24"/>
          <w:lang w:val="en-GB"/>
        </w:rPr>
        <w:t>Coefficients are mostly significant and show the expected</w:t>
      </w:r>
      <w:r>
        <w:rPr>
          <w:rFonts w:cs="Arial"/>
          <w:sz w:val="24"/>
          <w:szCs w:val="24"/>
          <w:lang w:val="en-GB"/>
        </w:rPr>
        <w:t xml:space="preserve"> </w:t>
      </w:r>
      <w:r>
        <w:rPr>
          <w:rFonts w:eastAsia="Calibri" w:cs="Times New Roman"/>
          <w:sz w:val="24"/>
          <w:szCs w:val="24"/>
          <w:lang w:val="en-GB"/>
        </w:rPr>
        <w:t>effects. Specifically, higher dimension is associated to higher returns for all percentiles. Analogously, canvases display a positive effect on prices in line with previous studies (</w:t>
      </w:r>
      <w:proofErr w:type="spellStart"/>
      <w:r>
        <w:rPr>
          <w:rFonts w:eastAsia="Calibri" w:cs="Times New Roman"/>
          <w:sz w:val="24"/>
          <w:szCs w:val="24"/>
          <w:lang w:val="en-GB"/>
        </w:rPr>
        <w:t>Czujack</w:t>
      </w:r>
      <w:proofErr w:type="spellEnd"/>
      <w:r>
        <w:rPr>
          <w:rFonts w:eastAsia="Calibri" w:cs="Times New Roman"/>
          <w:sz w:val="24"/>
          <w:szCs w:val="24"/>
          <w:lang w:val="en-GB"/>
        </w:rPr>
        <w:t xml:space="preserve">, 1997; </w:t>
      </w:r>
      <w:proofErr w:type="spellStart"/>
      <w:r>
        <w:rPr>
          <w:rFonts w:eastAsia="Calibri" w:cs="Times New Roman"/>
          <w:sz w:val="24"/>
          <w:szCs w:val="24"/>
          <w:lang w:val="en-GB"/>
        </w:rPr>
        <w:t>Scorcu</w:t>
      </w:r>
      <w:proofErr w:type="spellEnd"/>
      <w:r>
        <w:rPr>
          <w:rFonts w:eastAsia="Calibri" w:cs="Times New Roman"/>
          <w:sz w:val="24"/>
          <w:szCs w:val="24"/>
          <w:lang w:val="en-GB"/>
        </w:rPr>
        <w:t xml:space="preserve"> and </w:t>
      </w:r>
      <w:proofErr w:type="spellStart"/>
      <w:r>
        <w:rPr>
          <w:rFonts w:eastAsia="Calibri" w:cs="Times New Roman"/>
          <w:sz w:val="24"/>
          <w:szCs w:val="24"/>
          <w:lang w:val="en-GB"/>
        </w:rPr>
        <w:t>Zanola</w:t>
      </w:r>
      <w:proofErr w:type="spellEnd"/>
      <w:r>
        <w:rPr>
          <w:rFonts w:eastAsia="Calibri" w:cs="Times New Roman"/>
          <w:sz w:val="24"/>
          <w:szCs w:val="24"/>
          <w:lang w:val="en-GB"/>
        </w:rPr>
        <w:t>, 2011), while mixed media paintings perform systematically lower than the comparison group (</w:t>
      </w:r>
      <w:proofErr w:type="spellStart"/>
      <w:r>
        <w:rPr>
          <w:rFonts w:eastAsia="Calibri" w:cs="Times New Roman"/>
          <w:i/>
          <w:sz w:val="24"/>
          <w:szCs w:val="24"/>
          <w:lang w:val="en-GB"/>
        </w:rPr>
        <w:t>other_tech</w:t>
      </w:r>
      <w:proofErr w:type="spellEnd"/>
      <w:r>
        <w:rPr>
          <w:rFonts w:eastAsia="Calibri" w:cs="Times New Roman"/>
          <w:sz w:val="24"/>
          <w:szCs w:val="24"/>
          <w:lang w:val="en-GB"/>
        </w:rPr>
        <w:t xml:space="preserve">). By contrast, comparisons across percentiles show that the differences among them are highly significant in the case of mixed media: lower percentiles show a negative effect on prices; while higher percentiles display a positive effect on prices. </w:t>
      </w:r>
    </w:p>
    <w:p w14:paraId="2186110E" w14:textId="77777777" w:rsidR="00AE1998" w:rsidRDefault="00AE1998" w:rsidP="00AE1998">
      <w:pPr>
        <w:autoSpaceDE w:val="0"/>
        <w:autoSpaceDN w:val="0"/>
        <w:adjustRightInd w:val="0"/>
        <w:spacing w:after="0" w:line="360" w:lineRule="auto"/>
        <w:jc w:val="both"/>
        <w:rPr>
          <w:rFonts w:eastAsia="Calibri" w:cs="Times New Roman"/>
          <w:sz w:val="24"/>
          <w:szCs w:val="24"/>
          <w:lang w:val="en-GB"/>
        </w:rPr>
      </w:pPr>
      <w:r>
        <w:rPr>
          <w:rFonts w:eastAsia="Calibri" w:cs="Times New Roman"/>
          <w:sz w:val="24"/>
          <w:szCs w:val="24"/>
          <w:lang w:val="en-GB"/>
        </w:rPr>
        <w:t xml:space="preserve">The coefficient associated with a sale in NY is positive for all percentiles of the price distribution, suggesting the existence of a significant market effect. Concerning the main auction houses their effect on price is generally positive, being an exception, the coefficients associated to Sotheby’s at </w:t>
      </w:r>
      <w:r>
        <w:rPr>
          <w:rFonts w:cs="Arial"/>
          <w:sz w:val="24"/>
          <w:szCs w:val="24"/>
          <w:lang w:val="en-GB"/>
        </w:rPr>
        <w:t>75</w:t>
      </w:r>
      <w:r>
        <w:rPr>
          <w:rFonts w:cs="Arial"/>
          <w:sz w:val="24"/>
          <w:szCs w:val="24"/>
          <w:vertAlign w:val="superscript"/>
          <w:lang w:val="en-GB"/>
        </w:rPr>
        <w:t>th</w:t>
      </w:r>
      <w:r>
        <w:rPr>
          <w:rFonts w:cs="Arial"/>
          <w:sz w:val="24"/>
          <w:szCs w:val="24"/>
          <w:lang w:val="en-GB"/>
        </w:rPr>
        <w:t>, and 90</w:t>
      </w:r>
      <w:r>
        <w:rPr>
          <w:rFonts w:cs="Arial"/>
          <w:sz w:val="24"/>
          <w:szCs w:val="24"/>
          <w:vertAlign w:val="superscript"/>
          <w:lang w:val="en-GB"/>
        </w:rPr>
        <w:t>th</w:t>
      </w:r>
      <w:r>
        <w:rPr>
          <w:rFonts w:cs="Arial"/>
          <w:sz w:val="24"/>
          <w:szCs w:val="24"/>
          <w:lang w:val="en-GB"/>
        </w:rPr>
        <w:t xml:space="preserve"> percentiles,</w:t>
      </w:r>
      <w:r>
        <w:rPr>
          <w:rFonts w:eastAsia="Calibri" w:cs="Times New Roman"/>
          <w:sz w:val="24"/>
          <w:szCs w:val="24"/>
          <w:lang w:val="en-GB"/>
        </w:rPr>
        <w:t xml:space="preserve"> which are not statistically significant. Lastly, the style period effect is generally positive (compared to the omitted covariate </w:t>
      </w:r>
      <w:r>
        <w:rPr>
          <w:rFonts w:eastAsia="Calibri" w:cs="Times New Roman"/>
          <w:i/>
          <w:sz w:val="24"/>
          <w:szCs w:val="24"/>
          <w:lang w:val="en-GB"/>
        </w:rPr>
        <w:t>style8</w:t>
      </w:r>
      <w:r>
        <w:rPr>
          <w:rFonts w:eastAsia="Calibri" w:cs="Times New Roman"/>
          <w:sz w:val="24"/>
          <w:szCs w:val="24"/>
          <w:lang w:val="en-GB"/>
        </w:rPr>
        <w:t>) with a few exceptions.</w:t>
      </w:r>
    </w:p>
    <w:p w14:paraId="2F48FEE2" w14:textId="77777777" w:rsidR="00AE1998" w:rsidRDefault="00AE1998" w:rsidP="00AE1998">
      <w:pPr>
        <w:autoSpaceDE w:val="0"/>
        <w:autoSpaceDN w:val="0"/>
        <w:adjustRightInd w:val="0"/>
        <w:spacing w:after="0" w:line="360" w:lineRule="auto"/>
        <w:jc w:val="both"/>
        <w:rPr>
          <w:rFonts w:eastAsia="Calibri" w:cs="Times New Roman"/>
          <w:sz w:val="24"/>
          <w:szCs w:val="24"/>
          <w:lang w:val="en-GB"/>
        </w:rPr>
      </w:pPr>
      <w:r>
        <w:rPr>
          <w:rFonts w:eastAsia="Calibri" w:cs="Times New Roman"/>
          <w:sz w:val="24"/>
          <w:szCs w:val="24"/>
          <w:lang w:val="en-GB"/>
        </w:rPr>
        <w:t xml:space="preserve">In a nutshell, prices are driven by both physical and style characteristics at all percentiles of the price distribution. Analogously, sale characteristics have a positive effect on prices across percentiles, with sales in NY driving higher returns. </w:t>
      </w:r>
      <w:r>
        <w:rPr>
          <w:rFonts w:cs="TimesNewRomanPSMT"/>
          <w:sz w:val="24"/>
          <w:szCs w:val="24"/>
          <w:lang w:val="en-GB"/>
        </w:rPr>
        <w:t xml:space="preserve">Figure 1 plots a kernel density estimate to provide an impression of the difference of (log) prices distributions between NY and the </w:t>
      </w:r>
      <w:proofErr w:type="spellStart"/>
      <w:r>
        <w:rPr>
          <w:rFonts w:cs="TimesNewRomanPSMT"/>
          <w:sz w:val="24"/>
          <w:szCs w:val="24"/>
          <w:lang w:val="en-GB"/>
        </w:rPr>
        <w:t>RoW</w:t>
      </w:r>
      <w:proofErr w:type="spellEnd"/>
      <w:r>
        <w:rPr>
          <w:rFonts w:cs="TimesNewRomanPSMT"/>
          <w:sz w:val="24"/>
          <w:szCs w:val="24"/>
          <w:lang w:val="en-GB"/>
        </w:rPr>
        <w:t>.</w:t>
      </w:r>
      <w:r>
        <w:rPr>
          <w:rFonts w:cs="Arial"/>
          <w:sz w:val="24"/>
          <w:szCs w:val="24"/>
          <w:lang w:val="en-GB"/>
        </w:rPr>
        <w:t xml:space="preserve"> Both </w:t>
      </w:r>
      <w:r>
        <w:rPr>
          <w:rFonts w:eastAsia="Calibri" w:cs="Times New Roman"/>
          <w:sz w:val="24"/>
          <w:szCs w:val="24"/>
          <w:lang w:val="en-GB"/>
        </w:rPr>
        <w:t xml:space="preserve">distributions are skewed to the right, but </w:t>
      </w:r>
      <w:r>
        <w:rPr>
          <w:sz w:val="24"/>
          <w:szCs w:val="24"/>
          <w:lang w:val="en-GB" w:eastAsia="en-GB"/>
        </w:rPr>
        <w:t xml:space="preserve">discrepancies </w:t>
      </w:r>
      <w:r>
        <w:rPr>
          <w:sz w:val="24"/>
          <w:szCs w:val="24"/>
          <w:lang w:val="en-GB"/>
        </w:rPr>
        <w:t xml:space="preserve">between markets occur throughout </w:t>
      </w:r>
      <w:r>
        <w:rPr>
          <w:sz w:val="24"/>
          <w:szCs w:val="24"/>
          <w:lang w:val="en-GB" w:eastAsia="en-GB"/>
        </w:rPr>
        <w:t>the price distributions</w:t>
      </w:r>
      <w:r>
        <w:rPr>
          <w:sz w:val="24"/>
          <w:szCs w:val="24"/>
          <w:lang w:val="en-GB"/>
        </w:rPr>
        <w:t>.</w:t>
      </w:r>
      <w:r>
        <w:rPr>
          <w:rFonts w:eastAsia="Calibri" w:cs="Times New Roman"/>
          <w:sz w:val="24"/>
          <w:szCs w:val="24"/>
          <w:lang w:val="en-GB"/>
        </w:rPr>
        <w:t xml:space="preserve"> One implication of these findings is that there appears to be a potential gain for sellers from choosing NY to sell their paintings. In fact, while the physical and style characteristics are out of the control of the seller, the choice of the sale market could specifically depend on the sellers’ strategy, providing them some advantages reflected in (potentially) higher prices. </w:t>
      </w:r>
      <w:r>
        <w:rPr>
          <w:sz w:val="24"/>
          <w:szCs w:val="24"/>
          <w:lang w:val="en-GB"/>
        </w:rPr>
        <w:t>But what might explain these differences in price distribution between sale markets?</w:t>
      </w:r>
      <w:r>
        <w:rPr>
          <w:rFonts w:eastAsia="Calibri" w:cs="Times New Roman"/>
          <w:sz w:val="24"/>
          <w:szCs w:val="24"/>
          <w:lang w:val="en-GB"/>
        </w:rPr>
        <w:t xml:space="preserve">  </w:t>
      </w:r>
    </w:p>
    <w:p w14:paraId="1E66F1CE" w14:textId="77777777" w:rsidR="00AE1998" w:rsidRDefault="00AE1998" w:rsidP="00AE1998">
      <w:pPr>
        <w:autoSpaceDE w:val="0"/>
        <w:autoSpaceDN w:val="0"/>
        <w:adjustRightInd w:val="0"/>
        <w:spacing w:after="0" w:line="360" w:lineRule="auto"/>
        <w:jc w:val="both"/>
        <w:rPr>
          <w:rFonts w:cs="TimesNewRomanPSMT"/>
          <w:sz w:val="24"/>
          <w:szCs w:val="24"/>
          <w:lang w:val="en-GB"/>
        </w:rPr>
      </w:pPr>
    </w:p>
    <w:p w14:paraId="6E572D2C" w14:textId="77777777" w:rsidR="00AE1998" w:rsidRDefault="00AE1998" w:rsidP="00AE1998">
      <w:pPr>
        <w:autoSpaceDE w:val="0"/>
        <w:autoSpaceDN w:val="0"/>
        <w:adjustRightInd w:val="0"/>
        <w:spacing w:after="0" w:line="360" w:lineRule="auto"/>
        <w:jc w:val="center"/>
        <w:rPr>
          <w:rFonts w:cs="TimesNewRomanPSMT"/>
          <w:sz w:val="24"/>
          <w:szCs w:val="24"/>
          <w:lang w:val="en-GB"/>
        </w:rPr>
      </w:pPr>
      <w:r>
        <w:rPr>
          <w:rFonts w:cs="TimesNewRomanPSMT"/>
          <w:sz w:val="24"/>
          <w:szCs w:val="24"/>
          <w:lang w:val="en-GB"/>
        </w:rPr>
        <w:lastRenderedPageBreak/>
        <w:t>[FIGURE 1 ABOUT HERE]</w:t>
      </w:r>
    </w:p>
    <w:p w14:paraId="216CD9D0" w14:textId="77777777" w:rsidR="00AE1998" w:rsidRDefault="00AE1998" w:rsidP="00AE1998">
      <w:pPr>
        <w:autoSpaceDE w:val="0"/>
        <w:autoSpaceDN w:val="0"/>
        <w:adjustRightInd w:val="0"/>
        <w:spacing w:after="0" w:line="360" w:lineRule="auto"/>
        <w:jc w:val="both"/>
        <w:rPr>
          <w:rFonts w:cs="TimesNewRomanPSMT"/>
          <w:sz w:val="24"/>
          <w:szCs w:val="24"/>
          <w:lang w:val="en-GB"/>
        </w:rPr>
      </w:pPr>
    </w:p>
    <w:p w14:paraId="67ECB888" w14:textId="77777777" w:rsidR="00AE1998" w:rsidRDefault="00AE1998" w:rsidP="00AE1998">
      <w:pPr>
        <w:autoSpaceDE w:val="0"/>
        <w:autoSpaceDN w:val="0"/>
        <w:adjustRightInd w:val="0"/>
        <w:spacing w:after="0" w:line="360" w:lineRule="auto"/>
        <w:jc w:val="both"/>
        <w:rPr>
          <w:sz w:val="24"/>
          <w:szCs w:val="24"/>
          <w:lang w:val="en-GB"/>
        </w:rPr>
      </w:pPr>
      <w:r>
        <w:rPr>
          <w:rFonts w:eastAsia="Calibri" w:cs="Times New Roman"/>
          <w:sz w:val="24"/>
          <w:szCs w:val="24"/>
          <w:lang w:val="en-GB"/>
        </w:rPr>
        <w:t xml:space="preserve">Given that our aim is to investigate whether paintings differ because of intrinsic </w:t>
      </w:r>
      <w:r>
        <w:rPr>
          <w:rFonts w:cs="Arial"/>
          <w:sz w:val="24"/>
          <w:szCs w:val="24"/>
          <w:lang w:val="en-GB"/>
        </w:rPr>
        <w:t>characteristics (explained component) or because markets appreciate differently the same characteristics (unexplained component)</w:t>
      </w:r>
      <w:r>
        <w:rPr>
          <w:rFonts w:eastAsia="Calibri" w:cs="Times New Roman"/>
          <w:sz w:val="24"/>
          <w:szCs w:val="24"/>
          <w:lang w:val="en-GB"/>
        </w:rPr>
        <w:t xml:space="preserve">, we proceed with the decomposition of the price differences between NY and the </w:t>
      </w:r>
      <w:proofErr w:type="spellStart"/>
      <w:r>
        <w:rPr>
          <w:rFonts w:eastAsia="Calibri" w:cs="Times New Roman"/>
          <w:sz w:val="24"/>
          <w:szCs w:val="24"/>
          <w:lang w:val="en-GB"/>
        </w:rPr>
        <w:t>RoW</w:t>
      </w:r>
      <w:proofErr w:type="spellEnd"/>
      <w:r>
        <w:rPr>
          <w:rFonts w:eastAsia="Calibri" w:cs="Times New Roman"/>
          <w:sz w:val="24"/>
          <w:szCs w:val="24"/>
          <w:lang w:val="en-GB"/>
        </w:rPr>
        <w:t xml:space="preserve">. </w:t>
      </w:r>
      <w:r>
        <w:rPr>
          <w:rFonts w:cs="TimesNewRomanPSMT"/>
          <w:sz w:val="24"/>
          <w:szCs w:val="24"/>
          <w:lang w:val="en-GB"/>
        </w:rPr>
        <w:t>The decomposition is carried out using the estimates provided by RIF regressions to calculate the two components according to Equation (3) and Equation (4), respectively.</w:t>
      </w:r>
      <w:r>
        <w:rPr>
          <w:sz w:val="24"/>
          <w:szCs w:val="24"/>
          <w:lang w:val="en-GB"/>
        </w:rPr>
        <w:t xml:space="preserve"> Table 3 presents the decomposition results. </w:t>
      </w:r>
    </w:p>
    <w:p w14:paraId="7F702D8B" w14:textId="77777777" w:rsidR="00AE1998" w:rsidRDefault="00AE1998" w:rsidP="00AE1998">
      <w:pPr>
        <w:autoSpaceDE w:val="0"/>
        <w:autoSpaceDN w:val="0"/>
        <w:adjustRightInd w:val="0"/>
        <w:spacing w:after="0" w:line="360" w:lineRule="auto"/>
        <w:jc w:val="both"/>
        <w:rPr>
          <w:rFonts w:cs="Arial"/>
          <w:sz w:val="24"/>
          <w:szCs w:val="24"/>
          <w:lang w:val="en-GB"/>
        </w:rPr>
      </w:pPr>
    </w:p>
    <w:p w14:paraId="0D901C2B" w14:textId="77777777" w:rsidR="00AE1998" w:rsidRDefault="00AE1998" w:rsidP="00AE1998">
      <w:pPr>
        <w:autoSpaceDE w:val="0"/>
        <w:autoSpaceDN w:val="0"/>
        <w:adjustRightInd w:val="0"/>
        <w:spacing w:after="0" w:line="360" w:lineRule="auto"/>
        <w:jc w:val="center"/>
        <w:rPr>
          <w:rFonts w:cs="Arial"/>
          <w:sz w:val="24"/>
          <w:szCs w:val="24"/>
          <w:lang w:val="en-GB"/>
        </w:rPr>
      </w:pPr>
      <w:r>
        <w:rPr>
          <w:rFonts w:cs="Arial"/>
          <w:sz w:val="24"/>
          <w:szCs w:val="24"/>
          <w:lang w:val="en-GB"/>
        </w:rPr>
        <w:t>[TABLE 3 ABOUT HERE]</w:t>
      </w:r>
    </w:p>
    <w:p w14:paraId="6C955C09" w14:textId="77777777" w:rsidR="00AE1998" w:rsidRDefault="00AE1998" w:rsidP="00AE1998">
      <w:pPr>
        <w:autoSpaceDE w:val="0"/>
        <w:autoSpaceDN w:val="0"/>
        <w:adjustRightInd w:val="0"/>
        <w:spacing w:after="0" w:line="360" w:lineRule="auto"/>
        <w:jc w:val="center"/>
        <w:rPr>
          <w:rFonts w:cs="Arial"/>
          <w:sz w:val="24"/>
          <w:szCs w:val="24"/>
          <w:lang w:val="en-GB"/>
        </w:rPr>
      </w:pPr>
    </w:p>
    <w:p w14:paraId="38F8AAE0" w14:textId="77777777" w:rsidR="00AE1998" w:rsidRDefault="00AE1998" w:rsidP="00AE1998">
      <w:pPr>
        <w:autoSpaceDE w:val="0"/>
        <w:autoSpaceDN w:val="0"/>
        <w:adjustRightInd w:val="0"/>
        <w:spacing w:after="0" w:line="360" w:lineRule="auto"/>
        <w:jc w:val="both"/>
        <w:rPr>
          <w:rFonts w:cs="TimesNewRomanPSMT"/>
          <w:sz w:val="24"/>
          <w:szCs w:val="24"/>
          <w:lang w:val="en-GB"/>
        </w:rPr>
      </w:pPr>
      <w:r>
        <w:rPr>
          <w:rFonts w:cs="TimesNewRomanPSMT"/>
          <w:sz w:val="24"/>
          <w:szCs w:val="24"/>
          <w:lang w:val="en-GB"/>
        </w:rPr>
        <w:t xml:space="preserve">Decomposition in the price differences between NY and the </w:t>
      </w:r>
      <w:proofErr w:type="spellStart"/>
      <w:r>
        <w:rPr>
          <w:rFonts w:cs="TimesNewRomanPSMT"/>
          <w:sz w:val="24"/>
          <w:szCs w:val="24"/>
          <w:lang w:val="en-GB"/>
        </w:rPr>
        <w:t>RoW</w:t>
      </w:r>
      <w:proofErr w:type="spellEnd"/>
      <w:r>
        <w:rPr>
          <w:rFonts w:cs="TimesNewRomanPSMT"/>
          <w:sz w:val="24"/>
          <w:szCs w:val="24"/>
          <w:lang w:val="en-GB"/>
        </w:rPr>
        <w:t xml:space="preserve"> are displayed in Table 3. </w:t>
      </w:r>
    </w:p>
    <w:p w14:paraId="36C0128A" w14:textId="77777777" w:rsidR="00AE1998" w:rsidRDefault="00AE1998" w:rsidP="00AE1998">
      <w:pPr>
        <w:autoSpaceDE w:val="0"/>
        <w:autoSpaceDN w:val="0"/>
        <w:adjustRightInd w:val="0"/>
        <w:spacing w:after="0" w:line="360" w:lineRule="auto"/>
        <w:jc w:val="both"/>
        <w:rPr>
          <w:rFonts w:cs="TimesNewRomanPSMT"/>
          <w:sz w:val="24"/>
          <w:szCs w:val="24"/>
          <w:lang w:val="en-GB"/>
        </w:rPr>
      </w:pPr>
      <w:r>
        <w:rPr>
          <w:rFonts w:cs="TimesNewRomanPSMT"/>
          <w:sz w:val="24"/>
          <w:szCs w:val="24"/>
          <w:lang w:val="en-GB"/>
        </w:rPr>
        <w:t>Table 3 shows the decomposition results for the period 2000-2019. While both explained and unexplained component are not statistically significant for 25</w:t>
      </w:r>
      <w:r>
        <w:rPr>
          <w:rFonts w:cs="TimesNewRomanPSMT"/>
          <w:sz w:val="24"/>
          <w:szCs w:val="24"/>
          <w:vertAlign w:val="superscript"/>
          <w:lang w:val="en-GB"/>
        </w:rPr>
        <w:t>th</w:t>
      </w:r>
      <w:r>
        <w:rPr>
          <w:rFonts w:cs="TimesNewRomanPSMT"/>
          <w:sz w:val="24"/>
          <w:szCs w:val="24"/>
          <w:lang w:val="en-GB"/>
        </w:rPr>
        <w:t xml:space="preserve"> and 50</w:t>
      </w:r>
      <w:r>
        <w:rPr>
          <w:rFonts w:cs="TimesNewRomanPSMT"/>
          <w:sz w:val="24"/>
          <w:szCs w:val="24"/>
          <w:vertAlign w:val="superscript"/>
          <w:lang w:val="en-GB"/>
        </w:rPr>
        <w:t>th</w:t>
      </w:r>
      <w:r>
        <w:rPr>
          <w:rFonts w:cs="TimesNewRomanPSMT"/>
          <w:sz w:val="24"/>
          <w:szCs w:val="24"/>
          <w:lang w:val="en-GB"/>
        </w:rPr>
        <w:t xml:space="preserve"> percentiles - </w:t>
      </w:r>
      <w:r>
        <w:rPr>
          <w:sz w:val="24"/>
          <w:szCs w:val="24"/>
          <w:lang w:val="en-GB"/>
        </w:rPr>
        <w:t xml:space="preserve">thus suggesting that the market effect is the same between NY and the </w:t>
      </w:r>
      <w:proofErr w:type="spellStart"/>
      <w:r>
        <w:rPr>
          <w:sz w:val="24"/>
          <w:szCs w:val="24"/>
          <w:lang w:val="en-GB"/>
        </w:rPr>
        <w:t>RoW</w:t>
      </w:r>
      <w:proofErr w:type="spellEnd"/>
      <w:r>
        <w:rPr>
          <w:sz w:val="24"/>
          <w:szCs w:val="24"/>
          <w:lang w:val="en-GB"/>
        </w:rPr>
        <w:t xml:space="preserve"> - in the case of the </w:t>
      </w:r>
      <w:r>
        <w:rPr>
          <w:rFonts w:cs="TimesNewRomanPSMT"/>
          <w:sz w:val="24"/>
          <w:szCs w:val="24"/>
          <w:lang w:val="en-GB"/>
        </w:rPr>
        <w:t>75</w:t>
      </w:r>
      <w:r>
        <w:rPr>
          <w:rFonts w:cs="TimesNewRomanPSMT"/>
          <w:sz w:val="24"/>
          <w:szCs w:val="24"/>
          <w:vertAlign w:val="superscript"/>
          <w:lang w:val="en-GB"/>
        </w:rPr>
        <w:t>th</w:t>
      </w:r>
      <w:r>
        <w:rPr>
          <w:rFonts w:cs="TimesNewRomanPSMT"/>
          <w:sz w:val="24"/>
          <w:szCs w:val="24"/>
          <w:lang w:val="en-GB"/>
        </w:rPr>
        <w:t xml:space="preserve"> and 90</w:t>
      </w:r>
      <w:r>
        <w:rPr>
          <w:rFonts w:cs="TimesNewRomanPSMT"/>
          <w:sz w:val="24"/>
          <w:szCs w:val="24"/>
          <w:vertAlign w:val="superscript"/>
          <w:lang w:val="en-GB"/>
        </w:rPr>
        <w:t>th</w:t>
      </w:r>
      <w:r>
        <w:rPr>
          <w:rFonts w:cs="TimesNewRomanPSMT"/>
          <w:sz w:val="24"/>
          <w:szCs w:val="24"/>
          <w:lang w:val="en-GB"/>
        </w:rPr>
        <w:t xml:space="preserve"> percentiles they are both statistically significant. Specifically, the unexpected component is systematically negative and contributes to the overall decrease in price differences. In other words, the more expensive paintings are - what we might call the ‘Picasso blue chips’ - the more likely is to violate the LOP.</w:t>
      </w:r>
    </w:p>
    <w:p w14:paraId="019416B2" w14:textId="77777777" w:rsidR="00AE1998" w:rsidRDefault="00AE1998" w:rsidP="00AE1998">
      <w:pPr>
        <w:autoSpaceDE w:val="0"/>
        <w:autoSpaceDN w:val="0"/>
        <w:adjustRightInd w:val="0"/>
        <w:spacing w:after="0" w:line="360" w:lineRule="auto"/>
        <w:jc w:val="both"/>
        <w:rPr>
          <w:rFonts w:cs="TimesNewRomanPSMT"/>
          <w:sz w:val="24"/>
          <w:szCs w:val="24"/>
          <w:lang w:val="en-GB"/>
        </w:rPr>
      </w:pPr>
    </w:p>
    <w:p w14:paraId="293766FC" w14:textId="77777777" w:rsidR="00AE1998" w:rsidRDefault="00AE1998" w:rsidP="00AE1998">
      <w:pPr>
        <w:pStyle w:val="Paragrafoelenco"/>
        <w:numPr>
          <w:ilvl w:val="1"/>
          <w:numId w:val="22"/>
        </w:numPr>
        <w:autoSpaceDE w:val="0"/>
        <w:autoSpaceDN w:val="0"/>
        <w:adjustRightInd w:val="0"/>
        <w:spacing w:after="0" w:line="360" w:lineRule="auto"/>
        <w:jc w:val="both"/>
        <w:rPr>
          <w:rFonts w:cstheme="minorHAnsi"/>
          <w:i/>
          <w:color w:val="000000" w:themeColor="text1"/>
          <w:sz w:val="24"/>
          <w:szCs w:val="24"/>
          <w:lang w:val="en-GB"/>
        </w:rPr>
      </w:pPr>
      <w:r>
        <w:rPr>
          <w:rFonts w:cstheme="minorHAnsi"/>
          <w:i/>
          <w:color w:val="000000" w:themeColor="text1"/>
          <w:sz w:val="24"/>
          <w:szCs w:val="24"/>
          <w:lang w:val="en-GB"/>
        </w:rPr>
        <w:t>Robustness check</w:t>
      </w:r>
    </w:p>
    <w:p w14:paraId="4D768D7D" w14:textId="77777777" w:rsidR="00AE1998" w:rsidRDefault="00AE1998" w:rsidP="00AE1998">
      <w:pPr>
        <w:pStyle w:val="Testonormale"/>
        <w:tabs>
          <w:tab w:val="left" w:pos="9072"/>
        </w:tabs>
        <w:spacing w:line="360" w:lineRule="auto"/>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rPr>
        <w:t xml:space="preserve">The period under scrutiny is characterised by significant price fluctuations. </w:t>
      </w:r>
      <w:r>
        <w:rPr>
          <w:rFonts w:asciiTheme="minorHAnsi" w:hAnsiTheme="minorHAnsi" w:cstheme="minorHAnsi"/>
          <w:color w:val="000000" w:themeColor="text1"/>
          <w:sz w:val="24"/>
          <w:szCs w:val="24"/>
          <w:shd w:val="clear" w:color="auto" w:fill="FFFFFF"/>
        </w:rPr>
        <w:t xml:space="preserve">After an extraordinary market spree during the late 1980s, the art market collapsed after June 1990, as the Japanese withdrew from buying art and the Gulf War started in the Middle East, and it did not recover until the late 1990s. </w:t>
      </w:r>
      <w:r>
        <w:rPr>
          <w:rFonts w:asciiTheme="minorHAnsi" w:hAnsiTheme="minorHAnsi" w:cstheme="minorHAnsi"/>
          <w:sz w:val="24"/>
          <w:szCs w:val="24"/>
          <w:lang w:eastAsia="en-GB"/>
        </w:rPr>
        <w:t>In 2008-2009, at the time of the worldwide financial crisis, the art market experienced a substantial crash, when prices of contemporary, modern and Impressionist artworks decreased about 30 per cent. The market started to recover from late 2009 to 2011, with ups and downs through 2018-2019</w:t>
      </w:r>
    </w:p>
    <w:p w14:paraId="581EE5BD" w14:textId="77777777" w:rsidR="00AE1998" w:rsidRDefault="00AE1998" w:rsidP="00AE1998">
      <w:pPr>
        <w:pStyle w:val="Testonormale"/>
        <w:tabs>
          <w:tab w:val="left" w:pos="9072"/>
        </w:tabs>
        <w:spacing w:line="36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Following these market fluctuations, we split the period into two decades, respectively 2000-2009 and 2010-2019, to check the robustness of our results. </w:t>
      </w:r>
      <w:r>
        <w:rPr>
          <w:rFonts w:asciiTheme="minorHAnsi" w:hAnsiTheme="minorHAnsi" w:cstheme="minorHAnsi"/>
          <w:sz w:val="24"/>
          <w:szCs w:val="24"/>
        </w:rPr>
        <w:t>Figure 2A and Figure 2B show the kernel density estimates for the two sub-samples, separately. Both figures seem to confirm</w:t>
      </w:r>
      <w:r>
        <w:rPr>
          <w:rFonts w:asciiTheme="minorHAnsi" w:hAnsiTheme="minorHAnsi" w:cstheme="minorHAnsi"/>
          <w:sz w:val="24"/>
          <w:szCs w:val="24"/>
          <w:lang w:eastAsia="en-GB"/>
        </w:rPr>
        <w:t xml:space="preserve"> that </w:t>
      </w:r>
      <w:r>
        <w:rPr>
          <w:rFonts w:asciiTheme="minorHAnsi" w:hAnsiTheme="minorHAnsi" w:cstheme="minorHAnsi"/>
          <w:sz w:val="24"/>
          <w:szCs w:val="24"/>
          <w:lang w:eastAsia="en-GB"/>
        </w:rPr>
        <w:lastRenderedPageBreak/>
        <w:t xml:space="preserve">discrepancies </w:t>
      </w:r>
      <w:r>
        <w:rPr>
          <w:rFonts w:asciiTheme="minorHAnsi" w:hAnsiTheme="minorHAnsi" w:cstheme="minorHAnsi"/>
          <w:sz w:val="24"/>
          <w:szCs w:val="24"/>
        </w:rPr>
        <w:t xml:space="preserve">between the two markets occur throughout </w:t>
      </w:r>
      <w:r>
        <w:rPr>
          <w:rFonts w:asciiTheme="minorHAnsi" w:hAnsiTheme="minorHAnsi" w:cstheme="minorHAnsi"/>
          <w:sz w:val="24"/>
          <w:szCs w:val="24"/>
          <w:lang w:eastAsia="en-GB"/>
        </w:rPr>
        <w:t>the price distributions</w:t>
      </w:r>
      <w:r>
        <w:rPr>
          <w:rFonts w:asciiTheme="minorHAnsi" w:hAnsiTheme="minorHAnsi" w:cstheme="minorHAnsi"/>
          <w:sz w:val="24"/>
          <w:szCs w:val="24"/>
        </w:rPr>
        <w:t>, giving support to the idea of exploring the determinants of these differences across both markets and periods.</w:t>
      </w:r>
    </w:p>
    <w:p w14:paraId="3460666B" w14:textId="77777777" w:rsidR="00AE1998" w:rsidRDefault="00AE1998" w:rsidP="00AE1998">
      <w:pPr>
        <w:autoSpaceDE w:val="0"/>
        <w:autoSpaceDN w:val="0"/>
        <w:adjustRightInd w:val="0"/>
        <w:spacing w:after="0" w:line="360" w:lineRule="auto"/>
        <w:jc w:val="both"/>
        <w:rPr>
          <w:sz w:val="24"/>
          <w:szCs w:val="24"/>
          <w:lang w:val="en-GB"/>
        </w:rPr>
      </w:pPr>
    </w:p>
    <w:p w14:paraId="7145D9C8" w14:textId="77777777" w:rsidR="00AE1998" w:rsidRDefault="00AE1998" w:rsidP="00AE1998">
      <w:pPr>
        <w:autoSpaceDE w:val="0"/>
        <w:autoSpaceDN w:val="0"/>
        <w:adjustRightInd w:val="0"/>
        <w:spacing w:after="0" w:line="360" w:lineRule="auto"/>
        <w:jc w:val="center"/>
        <w:rPr>
          <w:sz w:val="24"/>
          <w:szCs w:val="24"/>
          <w:lang w:val="en-GB"/>
        </w:rPr>
      </w:pPr>
      <w:r>
        <w:rPr>
          <w:sz w:val="24"/>
          <w:szCs w:val="24"/>
          <w:lang w:val="en-GB"/>
        </w:rPr>
        <w:t>[FIGURE 2A ABOUT HERE]</w:t>
      </w:r>
    </w:p>
    <w:p w14:paraId="1FC0AF5D" w14:textId="77777777" w:rsidR="00AE1998" w:rsidRDefault="00AE1998" w:rsidP="00AE1998">
      <w:pPr>
        <w:autoSpaceDE w:val="0"/>
        <w:autoSpaceDN w:val="0"/>
        <w:adjustRightInd w:val="0"/>
        <w:spacing w:after="0" w:line="360" w:lineRule="auto"/>
        <w:jc w:val="center"/>
        <w:rPr>
          <w:sz w:val="24"/>
          <w:szCs w:val="24"/>
          <w:lang w:val="en-GB"/>
        </w:rPr>
      </w:pPr>
      <w:r>
        <w:rPr>
          <w:sz w:val="24"/>
          <w:szCs w:val="24"/>
          <w:lang w:val="en-GB"/>
        </w:rPr>
        <w:t>[FIGURE 2B ABOUT HERE]</w:t>
      </w:r>
    </w:p>
    <w:p w14:paraId="3E14573B" w14:textId="77777777" w:rsidR="00AE1998" w:rsidRDefault="00AE1998" w:rsidP="00AE1998">
      <w:pPr>
        <w:autoSpaceDE w:val="0"/>
        <w:autoSpaceDN w:val="0"/>
        <w:adjustRightInd w:val="0"/>
        <w:spacing w:after="0" w:line="360" w:lineRule="auto"/>
        <w:jc w:val="both"/>
        <w:rPr>
          <w:rFonts w:cs="TimesNewRomanPSMT"/>
          <w:sz w:val="24"/>
          <w:szCs w:val="24"/>
          <w:lang w:val="en-GB"/>
        </w:rPr>
      </w:pPr>
    </w:p>
    <w:p w14:paraId="2D63411C" w14:textId="77777777" w:rsidR="00AE1998" w:rsidRDefault="00AE1998" w:rsidP="00AE1998">
      <w:pPr>
        <w:autoSpaceDE w:val="0"/>
        <w:autoSpaceDN w:val="0"/>
        <w:adjustRightInd w:val="0"/>
        <w:spacing w:after="0" w:line="360" w:lineRule="auto"/>
        <w:jc w:val="both"/>
        <w:rPr>
          <w:sz w:val="24"/>
          <w:szCs w:val="24"/>
          <w:lang w:val="en-GB"/>
        </w:rPr>
      </w:pPr>
      <w:r>
        <w:rPr>
          <w:rFonts w:cs="TimesNewRomanPSMT"/>
          <w:sz w:val="24"/>
          <w:szCs w:val="24"/>
          <w:lang w:val="en-GB"/>
        </w:rPr>
        <w:t xml:space="preserve">We then proceed to the RIF-decomposition for the two periods. Table 4 displays </w:t>
      </w:r>
      <w:r>
        <w:rPr>
          <w:sz w:val="24"/>
          <w:szCs w:val="24"/>
          <w:lang w:val="en-GB"/>
        </w:rPr>
        <w:t xml:space="preserve">the overall results for the 2000-2009 and the 2010-2019 period, respectively. In the first period, the negative contribution of the unexplained effect on price differences between NY and the </w:t>
      </w:r>
      <w:proofErr w:type="spellStart"/>
      <w:r>
        <w:rPr>
          <w:sz w:val="24"/>
          <w:szCs w:val="24"/>
          <w:lang w:val="en-GB"/>
        </w:rPr>
        <w:t>RoW</w:t>
      </w:r>
      <w:proofErr w:type="spellEnd"/>
      <w:r>
        <w:rPr>
          <w:sz w:val="24"/>
          <w:szCs w:val="24"/>
          <w:lang w:val="en-GB"/>
        </w:rPr>
        <w:t xml:space="preserve"> is statistically significant for all percentiles. To the extent that such an effect captures the idiosyncratic nature of markets on (log) prices, this result confirms that the LOP is violated across percentiles, irrespective of the value of the paintings. A quite different result emerges for the 2010-2019 period. In this case, the unexplained effect is not always statistically significant across percentiles, suggesting that the price differences existing between NY and the </w:t>
      </w:r>
      <w:proofErr w:type="spellStart"/>
      <w:r>
        <w:rPr>
          <w:sz w:val="24"/>
          <w:szCs w:val="24"/>
          <w:lang w:val="en-GB"/>
        </w:rPr>
        <w:t>RoW</w:t>
      </w:r>
      <w:proofErr w:type="spellEnd"/>
      <w:r>
        <w:rPr>
          <w:sz w:val="24"/>
          <w:szCs w:val="24"/>
          <w:lang w:val="en-GB"/>
        </w:rPr>
        <w:t xml:space="preserve"> are only due to the intrinsic characteristics of the sold paintings. These results better qualify conclusions of the previous sub-section. During the boom period (2000-2009) the LOP failed and the idiosyncratic nature of NY emerged for all paintings sold at auction. Afterwards (2010-2019) markets became more efficient and the LOP held.</w:t>
      </w:r>
    </w:p>
    <w:p w14:paraId="53C59E5F" w14:textId="77777777" w:rsidR="00AE1998" w:rsidRDefault="00AE1998" w:rsidP="00AE1998">
      <w:pPr>
        <w:autoSpaceDE w:val="0"/>
        <w:autoSpaceDN w:val="0"/>
        <w:adjustRightInd w:val="0"/>
        <w:spacing w:after="0" w:line="360" w:lineRule="auto"/>
        <w:jc w:val="both"/>
        <w:rPr>
          <w:sz w:val="24"/>
          <w:szCs w:val="24"/>
          <w:lang w:val="en-GB"/>
        </w:rPr>
      </w:pPr>
    </w:p>
    <w:p w14:paraId="5F597C20" w14:textId="77777777" w:rsidR="00AE1998" w:rsidRDefault="00AE1998" w:rsidP="00AE1998">
      <w:pPr>
        <w:autoSpaceDE w:val="0"/>
        <w:autoSpaceDN w:val="0"/>
        <w:adjustRightInd w:val="0"/>
        <w:spacing w:after="0" w:line="360" w:lineRule="auto"/>
        <w:jc w:val="center"/>
        <w:rPr>
          <w:sz w:val="24"/>
          <w:szCs w:val="24"/>
          <w:lang w:val="en-GB"/>
        </w:rPr>
      </w:pPr>
      <w:r>
        <w:rPr>
          <w:sz w:val="24"/>
          <w:szCs w:val="24"/>
          <w:lang w:val="en-GB"/>
        </w:rPr>
        <w:t>[TABLE 4 ABOUT HERE]</w:t>
      </w:r>
    </w:p>
    <w:p w14:paraId="06FBBAC2" w14:textId="77777777" w:rsidR="00AE1998" w:rsidRDefault="00AE1998" w:rsidP="00AE1998">
      <w:pPr>
        <w:autoSpaceDE w:val="0"/>
        <w:autoSpaceDN w:val="0"/>
        <w:adjustRightInd w:val="0"/>
        <w:spacing w:after="0" w:line="360" w:lineRule="auto"/>
        <w:jc w:val="both"/>
        <w:rPr>
          <w:rFonts w:cs="Arial"/>
          <w:b/>
          <w:sz w:val="24"/>
          <w:szCs w:val="24"/>
          <w:lang w:val="en-GB" w:eastAsia="en-GB"/>
        </w:rPr>
      </w:pPr>
    </w:p>
    <w:p w14:paraId="023863DF" w14:textId="77777777" w:rsidR="00AE1998" w:rsidRDefault="00AE1998" w:rsidP="00AE1998">
      <w:pPr>
        <w:pStyle w:val="Paragrafoelenco"/>
        <w:numPr>
          <w:ilvl w:val="0"/>
          <w:numId w:val="22"/>
        </w:numPr>
        <w:autoSpaceDE w:val="0"/>
        <w:autoSpaceDN w:val="0"/>
        <w:adjustRightInd w:val="0"/>
        <w:spacing w:after="0" w:line="360" w:lineRule="auto"/>
        <w:jc w:val="both"/>
        <w:rPr>
          <w:rFonts w:cs="Cambria"/>
          <w:b/>
          <w:sz w:val="24"/>
          <w:szCs w:val="24"/>
          <w:lang w:val="en-GB"/>
        </w:rPr>
      </w:pPr>
      <w:r>
        <w:rPr>
          <w:rFonts w:cs="Cambria"/>
          <w:b/>
          <w:sz w:val="24"/>
          <w:szCs w:val="24"/>
          <w:lang w:val="en-GB"/>
        </w:rPr>
        <w:t>DISCUSSION</w:t>
      </w:r>
    </w:p>
    <w:p w14:paraId="485C08C0" w14:textId="77777777" w:rsidR="00AE1998" w:rsidRDefault="00AE1998" w:rsidP="00AE1998">
      <w:pPr>
        <w:autoSpaceDE w:val="0"/>
        <w:autoSpaceDN w:val="0"/>
        <w:adjustRightInd w:val="0"/>
        <w:spacing w:after="0" w:line="360" w:lineRule="auto"/>
        <w:jc w:val="both"/>
        <w:rPr>
          <w:rFonts w:cs="Arial"/>
          <w:sz w:val="24"/>
          <w:szCs w:val="24"/>
          <w:lang w:val="en-GB"/>
        </w:rPr>
      </w:pPr>
      <w:r>
        <w:rPr>
          <w:rFonts w:eastAsia="Calibri" w:cs="Times New Roman"/>
          <w:sz w:val="24"/>
          <w:szCs w:val="24"/>
          <w:lang w:val="en-GB" w:eastAsia="en-GB"/>
        </w:rPr>
        <w:t xml:space="preserve">In this paper, we apply the </w:t>
      </w:r>
      <w:r>
        <w:rPr>
          <w:rFonts w:cs="Cambria"/>
          <w:sz w:val="24"/>
          <w:szCs w:val="24"/>
          <w:lang w:val="en-GB"/>
        </w:rPr>
        <w:t xml:space="preserve">RIF decomposition methodology to investigate whether any </w:t>
      </w:r>
      <w:r>
        <w:rPr>
          <w:rFonts w:cs="Arial"/>
          <w:sz w:val="24"/>
          <w:szCs w:val="24"/>
          <w:lang w:val="en-GB"/>
        </w:rPr>
        <w:t xml:space="preserve">idiosyncratic difference in prices exists between NY and the </w:t>
      </w:r>
      <w:proofErr w:type="spellStart"/>
      <w:r>
        <w:rPr>
          <w:rFonts w:cs="Arial"/>
          <w:sz w:val="24"/>
          <w:szCs w:val="24"/>
          <w:lang w:val="en-GB"/>
        </w:rPr>
        <w:t>RoW</w:t>
      </w:r>
      <w:proofErr w:type="spellEnd"/>
      <w:r>
        <w:rPr>
          <w:rFonts w:cs="Arial"/>
          <w:sz w:val="24"/>
          <w:szCs w:val="24"/>
          <w:lang w:val="en-GB"/>
        </w:rPr>
        <w:t xml:space="preserve">. To this end, we used the unexplained component of the decomposition as a proxy for the LOP, after adjusting for differences in observable characteristics. </w:t>
      </w:r>
      <w:r>
        <w:rPr>
          <w:rFonts w:cs="Garamond"/>
          <w:sz w:val="24"/>
          <w:szCs w:val="24"/>
          <w:lang w:val="en-GB"/>
        </w:rPr>
        <w:t xml:space="preserve">Although we acknowledge that </w:t>
      </w:r>
      <w:r>
        <w:rPr>
          <w:sz w:val="24"/>
          <w:szCs w:val="24"/>
          <w:lang w:val="en-GB"/>
        </w:rPr>
        <w:t>some unmeasured characteristics could also explain the observed price differences</w:t>
      </w:r>
      <w:r>
        <w:rPr>
          <w:rFonts w:cs="Garamond"/>
          <w:sz w:val="24"/>
          <w:szCs w:val="24"/>
          <w:lang w:val="en-GB"/>
        </w:rPr>
        <w:t xml:space="preserve">, we assume that if the unexplained component of the decomposition is </w:t>
      </w:r>
      <w:r>
        <w:rPr>
          <w:rFonts w:cs="Arial"/>
          <w:sz w:val="24"/>
          <w:szCs w:val="24"/>
          <w:lang w:val="en-GB"/>
        </w:rPr>
        <w:t>statistically significant, the LOP is violated.</w:t>
      </w:r>
    </w:p>
    <w:p w14:paraId="0DC88413" w14:textId="77777777" w:rsidR="00AE1998" w:rsidRDefault="00AE1998" w:rsidP="00AE1998">
      <w:pPr>
        <w:autoSpaceDE w:val="0"/>
        <w:autoSpaceDN w:val="0"/>
        <w:adjustRightInd w:val="0"/>
        <w:spacing w:after="0" w:line="360" w:lineRule="auto"/>
        <w:jc w:val="both"/>
        <w:rPr>
          <w:rFonts w:cs="Arial"/>
          <w:sz w:val="24"/>
          <w:szCs w:val="24"/>
          <w:lang w:val="en-GB" w:eastAsia="en-GB"/>
        </w:rPr>
      </w:pPr>
      <w:r>
        <w:rPr>
          <w:rFonts w:eastAsia="Calibri" w:cs="Times New Roman"/>
          <w:sz w:val="24"/>
          <w:szCs w:val="24"/>
          <w:lang w:val="en-GB" w:eastAsia="en-GB"/>
        </w:rPr>
        <w:t xml:space="preserve">Our results illustrate the potential of the RIF decomposition approach in capturing the absence of arbitrage between NY and the </w:t>
      </w:r>
      <w:proofErr w:type="spellStart"/>
      <w:r>
        <w:rPr>
          <w:rFonts w:eastAsia="Calibri" w:cs="Times New Roman"/>
          <w:sz w:val="24"/>
          <w:szCs w:val="24"/>
          <w:lang w:val="en-GB" w:eastAsia="en-GB"/>
        </w:rPr>
        <w:t>RoW</w:t>
      </w:r>
      <w:proofErr w:type="spellEnd"/>
      <w:r>
        <w:rPr>
          <w:rFonts w:eastAsia="Calibri" w:cs="Times New Roman"/>
          <w:sz w:val="24"/>
          <w:szCs w:val="24"/>
          <w:lang w:val="en-GB" w:eastAsia="en-GB"/>
        </w:rPr>
        <w:t xml:space="preserve">. Overall, the results suggest that there is not a statistically significant difference between NY and the </w:t>
      </w:r>
      <w:proofErr w:type="spellStart"/>
      <w:r>
        <w:rPr>
          <w:rFonts w:eastAsia="Calibri" w:cs="Times New Roman"/>
          <w:sz w:val="24"/>
          <w:szCs w:val="24"/>
          <w:lang w:val="en-GB" w:eastAsia="en-GB"/>
        </w:rPr>
        <w:t>RoW</w:t>
      </w:r>
      <w:proofErr w:type="spellEnd"/>
      <w:r>
        <w:rPr>
          <w:rFonts w:eastAsia="Calibri" w:cs="Times New Roman"/>
          <w:sz w:val="24"/>
          <w:szCs w:val="24"/>
          <w:lang w:val="en-GB" w:eastAsia="en-GB"/>
        </w:rPr>
        <w:t xml:space="preserve">, even if, after decomposing price differences, a </w:t>
      </w:r>
      <w:r>
        <w:rPr>
          <w:rFonts w:eastAsia="Calibri" w:cs="Times New Roman"/>
          <w:sz w:val="24"/>
          <w:szCs w:val="24"/>
          <w:lang w:val="en-GB" w:eastAsia="en-GB"/>
        </w:rPr>
        <w:lastRenderedPageBreak/>
        <w:t xml:space="preserve">much clearer picture emerges. While </w:t>
      </w:r>
      <w:r>
        <w:rPr>
          <w:rFonts w:cs="Arial"/>
          <w:sz w:val="24"/>
          <w:szCs w:val="24"/>
          <w:lang w:val="en-GB" w:eastAsia="en-GB"/>
        </w:rPr>
        <w:t xml:space="preserve">with </w:t>
      </w:r>
      <w:r>
        <w:rPr>
          <w:sz w:val="24"/>
          <w:szCs w:val="24"/>
          <w:lang w:val="en-GB"/>
        </w:rPr>
        <w:t>Picasso’s lower price paintings</w:t>
      </w:r>
      <w:r>
        <w:rPr>
          <w:rFonts w:eastAsia="Calibri" w:cs="Times New Roman"/>
          <w:sz w:val="24"/>
          <w:szCs w:val="24"/>
          <w:lang w:val="en-GB" w:eastAsia="en-GB"/>
        </w:rPr>
        <w:t xml:space="preserve"> the unexplained components are not statistically significant,</w:t>
      </w:r>
      <w:r>
        <w:rPr>
          <w:rFonts w:cs="Arial"/>
          <w:sz w:val="24"/>
          <w:szCs w:val="24"/>
          <w:lang w:val="en-GB"/>
        </w:rPr>
        <w:t xml:space="preserve"> </w:t>
      </w:r>
      <w:r>
        <w:rPr>
          <w:rFonts w:cs="Arial"/>
          <w:sz w:val="24"/>
          <w:szCs w:val="24"/>
          <w:lang w:val="en-GB" w:eastAsia="en-GB"/>
        </w:rPr>
        <w:t xml:space="preserve">the LOP fails with Picasso’s ‘blue chips’, represented by more expensive artworks. </w:t>
      </w:r>
    </w:p>
    <w:p w14:paraId="607F7A9B" w14:textId="77777777" w:rsidR="00AE1998" w:rsidRDefault="00AE1998" w:rsidP="00AE1998">
      <w:pPr>
        <w:autoSpaceDE w:val="0"/>
        <w:autoSpaceDN w:val="0"/>
        <w:adjustRightInd w:val="0"/>
        <w:spacing w:after="0" w:line="360" w:lineRule="auto"/>
        <w:jc w:val="both"/>
        <w:rPr>
          <w:sz w:val="24"/>
          <w:szCs w:val="24"/>
          <w:lang w:val="en-GB"/>
        </w:rPr>
      </w:pPr>
      <w:r>
        <w:rPr>
          <w:rFonts w:eastAsia="Calibri" w:cs="Times New Roman"/>
          <w:sz w:val="24"/>
          <w:szCs w:val="24"/>
          <w:lang w:val="en-GB" w:eastAsia="en-GB"/>
        </w:rPr>
        <w:t xml:space="preserve">Splitting </w:t>
      </w:r>
      <w:r>
        <w:rPr>
          <w:rFonts w:cstheme="minorHAnsi"/>
          <w:color w:val="000000" w:themeColor="text1"/>
          <w:sz w:val="24"/>
          <w:szCs w:val="24"/>
          <w:lang w:val="en-GB"/>
        </w:rPr>
        <w:t xml:space="preserve">the period into two decades, 2000-2009 and 2010-2019, respectively, allows clearer conclusions. In the first period, the </w:t>
      </w:r>
      <w:r>
        <w:rPr>
          <w:rFonts w:cs="Cambria"/>
          <w:sz w:val="24"/>
          <w:szCs w:val="24"/>
          <w:lang w:val="en-GB"/>
        </w:rPr>
        <w:t xml:space="preserve">price differences are determined by both the explained and the unexplained component for all percentiles, suggesting the absence of the LOP. However, </w:t>
      </w:r>
      <w:r>
        <w:rPr>
          <w:sz w:val="24"/>
          <w:szCs w:val="24"/>
          <w:lang w:val="en-GB"/>
        </w:rPr>
        <w:t xml:space="preserve">in the second period, </w:t>
      </w:r>
      <w:r>
        <w:rPr>
          <w:rFonts w:cs="Cambria"/>
          <w:sz w:val="24"/>
          <w:szCs w:val="24"/>
          <w:lang w:val="en-GB"/>
        </w:rPr>
        <w:t>the RIF decomposition shows that</w:t>
      </w:r>
      <w:r>
        <w:rPr>
          <w:sz w:val="24"/>
          <w:szCs w:val="24"/>
          <w:lang w:val="en-GB"/>
        </w:rPr>
        <w:t xml:space="preserve"> the unexpected components are no longer statistically significant across percentiles, suggesting that the LOP is not violated. On the contrary, paintings sold in NY - with the only exception of the first quartile- are always higher than the </w:t>
      </w:r>
      <w:proofErr w:type="spellStart"/>
      <w:r>
        <w:rPr>
          <w:sz w:val="24"/>
          <w:szCs w:val="24"/>
          <w:lang w:val="en-GB"/>
        </w:rPr>
        <w:t>RoW</w:t>
      </w:r>
      <w:proofErr w:type="spellEnd"/>
      <w:r>
        <w:rPr>
          <w:sz w:val="24"/>
          <w:szCs w:val="24"/>
          <w:lang w:val="en-GB"/>
        </w:rPr>
        <w:t xml:space="preserve"> due to their different intrinsic characteristics. In other words, after the 2008-2009 financial market collapse, the art market became more efficient and paintings to sell in NY were only selected according their characteristics to achieve higher returns. To this end, the link between economic power and cultural capital ensured that NY was able to meet the demand for higher quality paintings. </w:t>
      </w:r>
    </w:p>
    <w:p w14:paraId="158F84DF" w14:textId="77777777" w:rsidR="00AE1998" w:rsidRDefault="00AE1998" w:rsidP="00AE1998">
      <w:pPr>
        <w:tabs>
          <w:tab w:val="left" w:pos="2122"/>
        </w:tabs>
        <w:autoSpaceDE w:val="0"/>
        <w:autoSpaceDN w:val="0"/>
        <w:adjustRightInd w:val="0"/>
        <w:spacing w:after="0" w:line="360" w:lineRule="auto"/>
        <w:jc w:val="both"/>
        <w:rPr>
          <w:rFonts w:eastAsia="Calibri"/>
          <w:sz w:val="24"/>
          <w:szCs w:val="24"/>
          <w:lang w:val="en-GB" w:eastAsia="en-GB"/>
        </w:rPr>
      </w:pPr>
      <w:r>
        <w:rPr>
          <w:sz w:val="24"/>
          <w:szCs w:val="24"/>
          <w:lang w:val="en-GB"/>
        </w:rPr>
        <w:t xml:space="preserve">Additionally, two mechanisms can contribute to </w:t>
      </w:r>
      <w:r>
        <w:rPr>
          <w:rFonts w:cs="Arial"/>
          <w:sz w:val="24"/>
          <w:szCs w:val="24"/>
          <w:lang w:val="en-GB" w:eastAsia="en-GB"/>
        </w:rPr>
        <w:t>explain the idiosyncratic nature of NY.</w:t>
      </w:r>
      <w:r>
        <w:rPr>
          <w:sz w:val="24"/>
          <w:szCs w:val="24"/>
          <w:lang w:val="en-GB"/>
        </w:rPr>
        <w:t xml:space="preserve"> The former is represented by the </w:t>
      </w:r>
      <w:r>
        <w:rPr>
          <w:i/>
          <w:iCs/>
          <w:sz w:val="24"/>
          <w:szCs w:val="24"/>
          <w:lang w:val="en-GB"/>
        </w:rPr>
        <w:t>droit de suite</w:t>
      </w:r>
      <w:r>
        <w:rPr>
          <w:sz w:val="24"/>
          <w:szCs w:val="24"/>
          <w:lang w:val="en-GB"/>
        </w:rPr>
        <w:t>, the artist resale right (</w:t>
      </w:r>
      <w:proofErr w:type="spellStart"/>
      <w:r>
        <w:rPr>
          <w:color w:val="1F1F1F"/>
          <w:sz w:val="24"/>
          <w:szCs w:val="24"/>
          <w:lang w:val="en-GB"/>
        </w:rPr>
        <w:t>Benhamou</w:t>
      </w:r>
      <w:proofErr w:type="spellEnd"/>
      <w:r>
        <w:rPr>
          <w:color w:val="1F1F1F"/>
          <w:sz w:val="24"/>
          <w:szCs w:val="24"/>
          <w:lang w:val="en-GB"/>
        </w:rPr>
        <w:t xml:space="preserve"> and </w:t>
      </w:r>
      <w:r>
        <w:rPr>
          <w:smallCaps/>
          <w:color w:val="1F1F1F"/>
          <w:sz w:val="24"/>
          <w:szCs w:val="24"/>
          <w:lang w:val="en-GB"/>
        </w:rPr>
        <w:t>D</w:t>
      </w:r>
      <w:r>
        <w:rPr>
          <w:color w:val="1F1F1F"/>
          <w:sz w:val="24"/>
          <w:szCs w:val="24"/>
          <w:lang w:val="en-GB"/>
        </w:rPr>
        <w:t xml:space="preserve">e </w:t>
      </w:r>
      <w:proofErr w:type="spellStart"/>
      <w:r>
        <w:rPr>
          <w:color w:val="1F1F1F"/>
          <w:sz w:val="24"/>
          <w:szCs w:val="24"/>
          <w:lang w:val="en-GB"/>
        </w:rPr>
        <w:t>Vriese</w:t>
      </w:r>
      <w:proofErr w:type="spellEnd"/>
      <w:r>
        <w:rPr>
          <w:color w:val="1F1F1F"/>
          <w:sz w:val="24"/>
          <w:szCs w:val="24"/>
          <w:lang w:val="en-GB"/>
        </w:rPr>
        <w:t>,</w:t>
      </w:r>
      <w:r>
        <w:rPr>
          <w:sz w:val="24"/>
          <w:szCs w:val="24"/>
          <w:lang w:val="en-GB"/>
        </w:rPr>
        <w:t xml:space="preserve"> 2008). Originally introduced as a way to protect the interests of artists, the droit de suite has become a controversial subject. In many countries and worldwide jurisdictions, living (and, in some cases, recently deceased) artists are entitled to a percentage of the sum paid for an original artwork on the secondary market, usually when the object is above a certain value. The Resale Rights Directive, implemented across the European Union in 2006, requires that artists receive a 4% share of works sold under €50,000. The percentage decreases as the sale price increases above that threshold. In the United States, the use tax (VAT in the context of imports) and sales taxes vary from state to state (Deloitte, 2019). As Picasso’s estate still qualifies for the </w:t>
      </w:r>
      <w:r>
        <w:rPr>
          <w:i/>
          <w:iCs/>
          <w:sz w:val="24"/>
          <w:szCs w:val="24"/>
          <w:lang w:val="en-GB"/>
        </w:rPr>
        <w:t>droit de suite</w:t>
      </w:r>
      <w:r>
        <w:rPr>
          <w:sz w:val="24"/>
          <w:szCs w:val="24"/>
          <w:lang w:val="en-GB"/>
        </w:rPr>
        <w:t xml:space="preserve"> in Europe reselling a Picasso in NY provides a financial incentive for the buyer and the seller</w:t>
      </w:r>
      <w:r>
        <w:rPr>
          <w:rStyle w:val="Rimandonotaapidipagina"/>
          <w:sz w:val="24"/>
          <w:szCs w:val="24"/>
          <w:lang w:val="en-GB"/>
        </w:rPr>
        <w:footnoteReference w:id="6"/>
      </w:r>
      <w:r>
        <w:rPr>
          <w:sz w:val="24"/>
          <w:szCs w:val="24"/>
          <w:lang w:val="en-GB"/>
        </w:rPr>
        <w:t xml:space="preserve"> as the American’s first sale doctrine prevails and artists or their estates do not have the right to profit from secondary sales</w:t>
      </w:r>
      <w:r>
        <w:rPr>
          <w:rFonts w:eastAsia="Calibri"/>
          <w:sz w:val="24"/>
          <w:szCs w:val="24"/>
          <w:lang w:val="en-GB" w:eastAsia="en-GB"/>
        </w:rPr>
        <w:t>.</w:t>
      </w:r>
    </w:p>
    <w:p w14:paraId="3DE91C74" w14:textId="77777777" w:rsidR="00AE1998" w:rsidRDefault="00AE1998" w:rsidP="00AE1998">
      <w:pPr>
        <w:tabs>
          <w:tab w:val="left" w:pos="2122"/>
        </w:tabs>
        <w:autoSpaceDE w:val="0"/>
        <w:autoSpaceDN w:val="0"/>
        <w:adjustRightInd w:val="0"/>
        <w:spacing w:after="0" w:line="360" w:lineRule="auto"/>
        <w:jc w:val="both"/>
        <w:rPr>
          <w:sz w:val="24"/>
          <w:szCs w:val="24"/>
          <w:lang w:val="en-GB"/>
        </w:rPr>
      </w:pPr>
      <w:r>
        <w:rPr>
          <w:sz w:val="24"/>
          <w:szCs w:val="24"/>
          <w:lang w:val="en-GB"/>
        </w:rPr>
        <w:lastRenderedPageBreak/>
        <w:t>The second mechanism is illustrated by the fiscal and tax advantages that NY provides. For example, in Europe art auction transactions are taxable at varying rates from 8 percent in Switzerland to 23 percent in Italy. In steep contrast, the sales tax rate for NY is 8.875 percent. in additional, the 2017 Tax Cuts and Jobs Act created an additional tax benefit that is especially advantageous for taxpaying collectors. Investors receive varying levels of special tax treatment if they invest their capital gains into qualified Opportunity Zone Funds (OZFs) designed to spur economic activity in economically distressed communities. The longer investors keep their investments in OZFs, the greater the tax benefits they receive. The cornerstone of the OZ program is the OZF, a new type of investment vehicle. Taxpayers who sell appreciated assets such as fine art, real estate, or stocks, can receive three special tax benefits if they roll their gains into an OZF within 180 days.</w:t>
      </w:r>
    </w:p>
    <w:p w14:paraId="32F565E2" w14:textId="77777777" w:rsidR="00AE1998" w:rsidRDefault="00AE1998" w:rsidP="00AE1998">
      <w:pPr>
        <w:spacing w:line="360" w:lineRule="auto"/>
        <w:jc w:val="both"/>
        <w:rPr>
          <w:sz w:val="24"/>
          <w:szCs w:val="24"/>
          <w:lang w:val="en-GB"/>
        </w:rPr>
      </w:pPr>
      <w:r>
        <w:rPr>
          <w:sz w:val="24"/>
          <w:szCs w:val="24"/>
          <w:lang w:val="en-GB"/>
        </w:rPr>
        <w:t xml:space="preserve">Like any analysis based on statistical residuals, additional unmeasured characteristics could also help explain the observed price differences. This article also has some limitations due to the specific sample. To validate NY’s role, we need to extend the investigation to other artists and their estates, who also qualify for the droit de suite. This analysis could be applied to other collectibles such as jewellery </w:t>
      </w:r>
      <w:r>
        <w:rPr>
          <w:rFonts w:cstheme="minorHAnsi"/>
          <w:sz w:val="24"/>
          <w:szCs w:val="24"/>
          <w:lang w:val="en-GB"/>
        </w:rPr>
        <w:t xml:space="preserve">and </w:t>
      </w:r>
      <w:r>
        <w:rPr>
          <w:rFonts w:cstheme="minorHAnsi"/>
          <w:bCs/>
          <w:color w:val="000000" w:themeColor="text1"/>
          <w:sz w:val="24"/>
          <w:szCs w:val="24"/>
          <w:shd w:val="clear" w:color="auto" w:fill="FFFFFF"/>
          <w:lang w:val="en-GB"/>
        </w:rPr>
        <w:t>high-end</w:t>
      </w:r>
      <w:r>
        <w:rPr>
          <w:rFonts w:ascii="Arial" w:hAnsi="Arial"/>
          <w:b/>
          <w:bCs/>
          <w:color w:val="000000" w:themeColor="text1"/>
          <w:sz w:val="21"/>
          <w:szCs w:val="21"/>
          <w:shd w:val="clear" w:color="auto" w:fill="FFFFFF"/>
          <w:lang w:val="en-GB"/>
        </w:rPr>
        <w:t xml:space="preserve"> </w:t>
      </w:r>
      <w:r>
        <w:rPr>
          <w:sz w:val="24"/>
          <w:szCs w:val="24"/>
          <w:lang w:val="en-GB"/>
        </w:rPr>
        <w:t>sports memorabilia, which gain more importance in the decision-making process of investment diversification. Nevertheless, our results raise some interesting questions regarding the strength of methods to eventually isolate a ‘market premium’ in non-standard investment transactions, suggesting investors select markets that aim to gain higher returns from their (non-standard) investments. In order to maximise the use of the existing information, differently from previous studies, we employed the hedonic sample rather than repeat sales to investigate the LOP, which definitively enlarges the number of processed information. Moreover, we propose a novel way to use the RIF-decomposition results to demonstrate the existence of the art market’s idiosyncratic nature. This approach could be applied to study other non-standard investment markets.</w:t>
      </w:r>
    </w:p>
    <w:p w14:paraId="0B525D7B" w14:textId="77777777" w:rsidR="00AE1998" w:rsidRDefault="00AE1998" w:rsidP="00AE1998">
      <w:pPr>
        <w:autoSpaceDE w:val="0"/>
        <w:autoSpaceDN w:val="0"/>
        <w:adjustRightInd w:val="0"/>
        <w:spacing w:after="0" w:line="360" w:lineRule="auto"/>
        <w:jc w:val="both"/>
        <w:rPr>
          <w:sz w:val="24"/>
          <w:szCs w:val="24"/>
          <w:lang w:val="en-GB"/>
        </w:rPr>
      </w:pPr>
    </w:p>
    <w:p w14:paraId="71D8EB02" w14:textId="77777777" w:rsidR="00AE1998" w:rsidRDefault="00AE1998" w:rsidP="00AE1998">
      <w:pPr>
        <w:autoSpaceDE w:val="0"/>
        <w:autoSpaceDN w:val="0"/>
        <w:adjustRightInd w:val="0"/>
        <w:spacing w:after="0" w:line="360" w:lineRule="auto"/>
        <w:jc w:val="both"/>
        <w:rPr>
          <w:sz w:val="24"/>
          <w:szCs w:val="24"/>
          <w:lang w:val="en-GB"/>
        </w:rPr>
      </w:pPr>
    </w:p>
    <w:p w14:paraId="29BC95D4" w14:textId="77777777" w:rsidR="00AE1998" w:rsidRDefault="00AE1998" w:rsidP="00AE1998">
      <w:pPr>
        <w:rPr>
          <w:sz w:val="24"/>
          <w:szCs w:val="24"/>
          <w:lang w:val="en-GB"/>
        </w:rPr>
      </w:pPr>
      <w:r>
        <w:rPr>
          <w:sz w:val="24"/>
          <w:szCs w:val="24"/>
          <w:lang w:val="en-GB"/>
        </w:rPr>
        <w:br w:type="page"/>
      </w:r>
    </w:p>
    <w:p w14:paraId="42CCA149" w14:textId="77777777" w:rsidR="00AE1998" w:rsidRDefault="00AE1998" w:rsidP="00AE1998">
      <w:pPr>
        <w:autoSpaceDE w:val="0"/>
        <w:autoSpaceDN w:val="0"/>
        <w:adjustRightInd w:val="0"/>
        <w:spacing w:after="0" w:line="360" w:lineRule="auto"/>
        <w:jc w:val="both"/>
        <w:rPr>
          <w:rFonts w:ascii="Arial" w:hAnsi="Arial" w:cs="Arial"/>
          <w:lang w:val="en-GB" w:eastAsia="en-GB"/>
        </w:rPr>
      </w:pPr>
      <w:r>
        <w:rPr>
          <w:rFonts w:ascii="Arial" w:hAnsi="Arial" w:cs="Arial"/>
          <w:b/>
          <w:lang w:val="en-GB" w:eastAsia="en-GB"/>
        </w:rPr>
        <w:lastRenderedPageBreak/>
        <w:t>REFERENCES</w:t>
      </w:r>
    </w:p>
    <w:p w14:paraId="3F543AFF" w14:textId="77777777" w:rsidR="00AE1998" w:rsidRDefault="00AE1998" w:rsidP="00AE1998">
      <w:pPr>
        <w:autoSpaceDE w:val="0"/>
        <w:autoSpaceDN w:val="0"/>
        <w:adjustRightInd w:val="0"/>
        <w:spacing w:after="160" w:line="240" w:lineRule="auto"/>
        <w:jc w:val="both"/>
        <w:rPr>
          <w:sz w:val="24"/>
          <w:szCs w:val="24"/>
          <w:lang w:val="en-GB"/>
        </w:rPr>
      </w:pPr>
      <w:proofErr w:type="spellStart"/>
      <w:r>
        <w:rPr>
          <w:rFonts w:cstheme="minorHAnsi"/>
          <w:color w:val="000000"/>
          <w:sz w:val="24"/>
          <w:szCs w:val="24"/>
          <w:lang w:val="en-GB"/>
        </w:rPr>
        <w:t>Barsky</w:t>
      </w:r>
      <w:proofErr w:type="spellEnd"/>
      <w:r>
        <w:rPr>
          <w:rFonts w:cstheme="minorHAnsi"/>
          <w:color w:val="000000"/>
          <w:sz w:val="24"/>
          <w:szCs w:val="24"/>
          <w:lang w:val="en-GB"/>
        </w:rPr>
        <w:t xml:space="preserve">, R., Bound, J., Charles, K.K., and Lupton, J.P. (2002) Accounting for the Black-White Wealth Gap: A Nonparametric Approach. </w:t>
      </w:r>
      <w:r>
        <w:rPr>
          <w:rFonts w:cstheme="minorHAnsi"/>
          <w:i/>
          <w:color w:val="000000"/>
          <w:sz w:val="24"/>
          <w:szCs w:val="24"/>
          <w:lang w:val="en-GB"/>
        </w:rPr>
        <w:t>Journal of the American Statistical Association,</w:t>
      </w:r>
      <w:r>
        <w:rPr>
          <w:rFonts w:cstheme="minorHAnsi"/>
          <w:color w:val="000000"/>
          <w:sz w:val="24"/>
          <w:szCs w:val="24"/>
          <w:lang w:val="en-GB"/>
        </w:rPr>
        <w:t xml:space="preserve"> 97: 663-73.</w:t>
      </w:r>
    </w:p>
    <w:p w14:paraId="1D681B6F" w14:textId="77777777" w:rsidR="00AE1998" w:rsidRDefault="00AE1998" w:rsidP="00AE1998">
      <w:pPr>
        <w:autoSpaceDE w:val="0"/>
        <w:autoSpaceDN w:val="0"/>
        <w:adjustRightInd w:val="0"/>
        <w:spacing w:after="160" w:line="240" w:lineRule="auto"/>
        <w:jc w:val="both"/>
        <w:rPr>
          <w:rFonts w:cstheme="minorHAnsi"/>
          <w:sz w:val="24"/>
          <w:szCs w:val="24"/>
          <w:lang w:val="en-GB"/>
        </w:rPr>
      </w:pPr>
      <w:proofErr w:type="spellStart"/>
      <w:r>
        <w:rPr>
          <w:sz w:val="24"/>
          <w:szCs w:val="24"/>
          <w:lang w:val="en-GB"/>
        </w:rPr>
        <w:t>Becchetti</w:t>
      </w:r>
      <w:proofErr w:type="spellEnd"/>
      <w:r>
        <w:rPr>
          <w:sz w:val="24"/>
          <w:szCs w:val="24"/>
          <w:lang w:val="en-GB"/>
        </w:rPr>
        <w:t xml:space="preserve">, </w:t>
      </w:r>
      <w:r>
        <w:rPr>
          <w:rFonts w:cstheme="minorHAnsi"/>
          <w:sz w:val="24"/>
          <w:szCs w:val="24"/>
          <w:lang w:val="en-GB"/>
        </w:rPr>
        <w:t xml:space="preserve">L., </w:t>
      </w:r>
      <w:proofErr w:type="spellStart"/>
      <w:r>
        <w:rPr>
          <w:rFonts w:cstheme="minorHAnsi"/>
          <w:sz w:val="24"/>
          <w:szCs w:val="24"/>
          <w:lang w:val="en-GB"/>
        </w:rPr>
        <w:t>Massari</w:t>
      </w:r>
      <w:proofErr w:type="spellEnd"/>
      <w:r>
        <w:rPr>
          <w:rFonts w:cstheme="minorHAnsi"/>
          <w:sz w:val="24"/>
          <w:szCs w:val="24"/>
          <w:lang w:val="en-GB"/>
        </w:rPr>
        <w:t xml:space="preserve">, R., and </w:t>
      </w:r>
      <w:proofErr w:type="spellStart"/>
      <w:r>
        <w:rPr>
          <w:rFonts w:cstheme="minorHAnsi"/>
          <w:sz w:val="24"/>
          <w:szCs w:val="24"/>
          <w:lang w:val="en-GB"/>
        </w:rPr>
        <w:t>Naticchioni</w:t>
      </w:r>
      <w:proofErr w:type="spellEnd"/>
      <w:r>
        <w:rPr>
          <w:rFonts w:cstheme="minorHAnsi"/>
          <w:sz w:val="24"/>
          <w:szCs w:val="24"/>
          <w:lang w:val="en-GB"/>
        </w:rPr>
        <w:t xml:space="preserve">, P. (2014) The drivers of happiness inequality: Suggestions for promoting social cohesion. </w:t>
      </w:r>
      <w:hyperlink r:id="rId12" w:history="1">
        <w:r w:rsidRPr="00AE1998">
          <w:rPr>
            <w:rStyle w:val="Collegamentoipertestuale"/>
            <w:i/>
            <w:iCs/>
            <w:color w:val="004010"/>
            <w:shd w:val="clear" w:color="auto" w:fill="FFFFFF"/>
            <w:lang w:val="en-GB"/>
          </w:rPr>
          <w:t>Oxford Economic Papers</w:t>
        </w:r>
      </w:hyperlink>
      <w:r>
        <w:rPr>
          <w:rFonts w:cstheme="minorHAnsi"/>
          <w:color w:val="000000"/>
          <w:sz w:val="24"/>
          <w:szCs w:val="24"/>
          <w:shd w:val="clear" w:color="auto" w:fill="FFFFFF"/>
          <w:lang w:val="en-GB"/>
        </w:rPr>
        <w:t>, 66(2): 419-442</w:t>
      </w:r>
      <w:r>
        <w:rPr>
          <w:rFonts w:cstheme="minorHAnsi"/>
          <w:sz w:val="24"/>
          <w:szCs w:val="24"/>
          <w:lang w:val="en-GB"/>
        </w:rPr>
        <w:t xml:space="preserve">. </w:t>
      </w:r>
    </w:p>
    <w:p w14:paraId="3DF14026" w14:textId="77777777" w:rsidR="00AE1998" w:rsidRDefault="00AE1998" w:rsidP="00AE1998">
      <w:pPr>
        <w:autoSpaceDE w:val="0"/>
        <w:autoSpaceDN w:val="0"/>
        <w:adjustRightInd w:val="0"/>
        <w:spacing w:after="160" w:line="240" w:lineRule="auto"/>
        <w:jc w:val="both"/>
        <w:rPr>
          <w:rFonts w:cstheme="minorHAnsi"/>
          <w:color w:val="1F1F1F"/>
          <w:sz w:val="24"/>
          <w:szCs w:val="24"/>
          <w:lang w:val="en-GB"/>
        </w:rPr>
      </w:pPr>
      <w:proofErr w:type="spellStart"/>
      <w:r>
        <w:rPr>
          <w:rFonts w:cstheme="minorHAnsi"/>
          <w:color w:val="1F1F1F"/>
          <w:sz w:val="24"/>
          <w:szCs w:val="24"/>
          <w:lang w:val="en-GB"/>
        </w:rPr>
        <w:t>Benhamou</w:t>
      </w:r>
      <w:proofErr w:type="spellEnd"/>
      <w:r>
        <w:rPr>
          <w:rFonts w:cstheme="minorHAnsi"/>
          <w:smallCaps/>
          <w:color w:val="1F1F1F"/>
          <w:sz w:val="24"/>
          <w:szCs w:val="24"/>
          <w:lang w:val="en-GB"/>
        </w:rPr>
        <w:t>,</w:t>
      </w:r>
      <w:r>
        <w:rPr>
          <w:rFonts w:cstheme="minorHAnsi"/>
          <w:color w:val="1F1F1F"/>
          <w:sz w:val="24"/>
          <w:szCs w:val="24"/>
          <w:lang w:val="en-GB"/>
        </w:rPr>
        <w:t xml:space="preserve"> F. and </w:t>
      </w:r>
      <w:r>
        <w:rPr>
          <w:rFonts w:cstheme="minorHAnsi"/>
          <w:smallCaps/>
          <w:color w:val="1F1F1F"/>
          <w:sz w:val="24"/>
          <w:szCs w:val="24"/>
          <w:lang w:val="en-GB"/>
        </w:rPr>
        <w:t>D</w:t>
      </w:r>
      <w:r>
        <w:rPr>
          <w:rFonts w:cstheme="minorHAnsi"/>
          <w:color w:val="1F1F1F"/>
          <w:sz w:val="24"/>
          <w:szCs w:val="24"/>
          <w:lang w:val="en-GB"/>
        </w:rPr>
        <w:t xml:space="preserve">e </w:t>
      </w:r>
      <w:proofErr w:type="spellStart"/>
      <w:r>
        <w:rPr>
          <w:rFonts w:cstheme="minorHAnsi"/>
          <w:color w:val="1F1F1F"/>
          <w:sz w:val="24"/>
          <w:szCs w:val="24"/>
          <w:lang w:val="en-GB"/>
        </w:rPr>
        <w:t>Vrièse</w:t>
      </w:r>
      <w:proofErr w:type="spellEnd"/>
      <w:r>
        <w:rPr>
          <w:color w:val="1F1F1F"/>
          <w:sz w:val="24"/>
          <w:szCs w:val="24"/>
          <w:lang w:val="en-GB"/>
        </w:rPr>
        <w:t>, M. (2008) </w:t>
      </w:r>
      <w:proofErr w:type="spellStart"/>
      <w:r>
        <w:rPr>
          <w:color w:val="000000"/>
          <w:sz w:val="24"/>
          <w:szCs w:val="24"/>
          <w:shd w:val="clear" w:color="auto" w:fill="FFFFFF"/>
          <w:lang w:val="en-GB"/>
        </w:rPr>
        <w:t>Une</w:t>
      </w:r>
      <w:proofErr w:type="spellEnd"/>
      <w:r>
        <w:rPr>
          <w:color w:val="000000"/>
          <w:sz w:val="24"/>
          <w:szCs w:val="24"/>
          <w:shd w:val="clear" w:color="auto" w:fill="FFFFFF"/>
          <w:lang w:val="en-GB"/>
        </w:rPr>
        <w:t xml:space="preserve"> analyse </w:t>
      </w:r>
      <w:proofErr w:type="spellStart"/>
      <w:r>
        <w:rPr>
          <w:color w:val="000000"/>
          <w:sz w:val="24"/>
          <w:szCs w:val="24"/>
          <w:shd w:val="clear" w:color="auto" w:fill="FFFFFF"/>
          <w:lang w:val="en-GB"/>
        </w:rPr>
        <w:t>économique</w:t>
      </w:r>
      <w:proofErr w:type="spellEnd"/>
      <w:r>
        <w:rPr>
          <w:color w:val="000000"/>
          <w:sz w:val="24"/>
          <w:szCs w:val="24"/>
          <w:shd w:val="clear" w:color="auto" w:fill="FFFFFF"/>
          <w:lang w:val="en-GB"/>
        </w:rPr>
        <w:t xml:space="preserve"> des </w:t>
      </w:r>
      <w:proofErr w:type="spellStart"/>
      <w:r>
        <w:rPr>
          <w:color w:val="000000"/>
          <w:sz w:val="24"/>
          <w:szCs w:val="24"/>
          <w:shd w:val="clear" w:color="auto" w:fill="FFFFFF"/>
          <w:lang w:val="en-GB"/>
        </w:rPr>
        <w:t>réglementations</w:t>
      </w:r>
      <w:proofErr w:type="spellEnd"/>
      <w:r>
        <w:rPr>
          <w:color w:val="000000"/>
          <w:sz w:val="24"/>
          <w:szCs w:val="24"/>
          <w:shd w:val="clear" w:color="auto" w:fill="FFFFFF"/>
          <w:lang w:val="en-GB"/>
        </w:rPr>
        <w:t xml:space="preserve"> sur le </w:t>
      </w:r>
      <w:proofErr w:type="spellStart"/>
      <w:r>
        <w:rPr>
          <w:color w:val="000000"/>
          <w:sz w:val="24"/>
          <w:szCs w:val="24"/>
          <w:shd w:val="clear" w:color="auto" w:fill="FFFFFF"/>
          <w:lang w:val="en-GB"/>
        </w:rPr>
        <w:t>marché</w:t>
      </w:r>
      <w:proofErr w:type="spellEnd"/>
      <w:r>
        <w:rPr>
          <w:color w:val="000000"/>
          <w:sz w:val="24"/>
          <w:szCs w:val="24"/>
          <w:shd w:val="clear" w:color="auto" w:fill="FFFFFF"/>
          <w:lang w:val="en-GB"/>
        </w:rPr>
        <w:t xml:space="preserve"> de </w:t>
      </w:r>
      <w:proofErr w:type="spellStart"/>
      <w:r>
        <w:rPr>
          <w:color w:val="000000"/>
          <w:sz w:val="24"/>
          <w:szCs w:val="24"/>
          <w:shd w:val="clear" w:color="auto" w:fill="FFFFFF"/>
          <w:lang w:val="en-GB"/>
        </w:rPr>
        <w:t>l'art</w:t>
      </w:r>
      <w:proofErr w:type="spellEnd"/>
      <w:r>
        <w:rPr>
          <w:color w:val="000000"/>
          <w:sz w:val="24"/>
          <w:szCs w:val="24"/>
          <w:shd w:val="clear" w:color="auto" w:fill="FFFFFF"/>
          <w:lang w:val="en-GB"/>
        </w:rPr>
        <w:t xml:space="preserve">. </w:t>
      </w:r>
      <w:proofErr w:type="spellStart"/>
      <w:r>
        <w:rPr>
          <w:color w:val="000000"/>
          <w:sz w:val="24"/>
          <w:szCs w:val="24"/>
          <w:shd w:val="clear" w:color="auto" w:fill="FFFFFF"/>
          <w:lang w:val="en-GB"/>
        </w:rPr>
        <w:t>L'effet</w:t>
      </w:r>
      <w:proofErr w:type="spellEnd"/>
      <w:r>
        <w:rPr>
          <w:color w:val="000000"/>
          <w:sz w:val="24"/>
          <w:szCs w:val="24"/>
          <w:shd w:val="clear" w:color="auto" w:fill="FFFFFF"/>
          <w:lang w:val="en-GB"/>
        </w:rPr>
        <w:t xml:space="preserve"> du Droit de Suite sur les prix et la localisation des </w:t>
      </w:r>
      <w:proofErr w:type="spellStart"/>
      <w:r>
        <w:rPr>
          <w:color w:val="000000"/>
          <w:sz w:val="24"/>
          <w:szCs w:val="24"/>
          <w:shd w:val="clear" w:color="auto" w:fill="FFFFFF"/>
          <w:lang w:val="en-GB"/>
        </w:rPr>
        <w:t>ventes</w:t>
      </w:r>
      <w:proofErr w:type="spellEnd"/>
      <w:r>
        <w:rPr>
          <w:color w:val="1F1F1F"/>
          <w:sz w:val="24"/>
          <w:szCs w:val="24"/>
          <w:lang w:val="en-GB"/>
        </w:rPr>
        <w:t>. </w:t>
      </w:r>
      <w:proofErr w:type="spellStart"/>
      <w:r>
        <w:rPr>
          <w:i/>
          <w:iCs/>
          <w:color w:val="1F1F1F"/>
          <w:sz w:val="24"/>
          <w:szCs w:val="24"/>
          <w:lang w:val="en-GB"/>
        </w:rPr>
        <w:t>Économie</w:t>
      </w:r>
      <w:proofErr w:type="spellEnd"/>
      <w:r>
        <w:rPr>
          <w:i/>
          <w:iCs/>
          <w:color w:val="1F1F1F"/>
          <w:sz w:val="24"/>
          <w:szCs w:val="24"/>
          <w:lang w:val="en-GB"/>
        </w:rPr>
        <w:t xml:space="preserve"> </w:t>
      </w:r>
      <w:proofErr w:type="spellStart"/>
      <w:r>
        <w:rPr>
          <w:rFonts w:cstheme="minorHAnsi"/>
          <w:i/>
          <w:iCs/>
          <w:color w:val="1F1F1F"/>
          <w:sz w:val="24"/>
          <w:szCs w:val="24"/>
          <w:lang w:val="en-GB"/>
        </w:rPr>
        <w:t>appliquée</w:t>
      </w:r>
      <w:proofErr w:type="spellEnd"/>
      <w:r>
        <w:rPr>
          <w:rFonts w:cstheme="minorHAnsi"/>
          <w:color w:val="1F1F1F"/>
          <w:sz w:val="24"/>
          <w:szCs w:val="24"/>
          <w:lang w:val="en-GB"/>
        </w:rPr>
        <w:t>, LXI(2): 67-94.</w:t>
      </w:r>
    </w:p>
    <w:p w14:paraId="6B36CEF0" w14:textId="77777777" w:rsidR="00AE1998" w:rsidRDefault="00AE1998" w:rsidP="00AE1998">
      <w:pPr>
        <w:autoSpaceDE w:val="0"/>
        <w:autoSpaceDN w:val="0"/>
        <w:adjustRightInd w:val="0"/>
        <w:spacing w:after="160" w:line="240" w:lineRule="auto"/>
        <w:jc w:val="both"/>
        <w:rPr>
          <w:rFonts w:cstheme="minorHAnsi"/>
          <w:color w:val="131413"/>
          <w:sz w:val="24"/>
          <w:szCs w:val="24"/>
          <w:lang w:val="en-GB"/>
        </w:rPr>
      </w:pPr>
      <w:r>
        <w:rPr>
          <w:rFonts w:cstheme="minorHAnsi"/>
          <w:color w:val="131413"/>
          <w:sz w:val="24"/>
          <w:szCs w:val="24"/>
          <w:lang w:val="en-GB"/>
        </w:rPr>
        <w:t xml:space="preserve">Blinder, A. (1973) Wage discrimination: reduced form and structural estimates. </w:t>
      </w:r>
      <w:r>
        <w:rPr>
          <w:rFonts w:cstheme="minorHAnsi"/>
          <w:i/>
          <w:color w:val="131413"/>
          <w:sz w:val="24"/>
          <w:szCs w:val="24"/>
          <w:lang w:val="en-GB"/>
        </w:rPr>
        <w:t>Journal of Human Resources,</w:t>
      </w:r>
      <w:r>
        <w:rPr>
          <w:rFonts w:cstheme="minorHAnsi"/>
          <w:color w:val="131413"/>
          <w:sz w:val="24"/>
          <w:szCs w:val="24"/>
          <w:lang w:val="en-GB"/>
        </w:rPr>
        <w:t xml:space="preserve"> 8(4): 436-455.</w:t>
      </w:r>
    </w:p>
    <w:p w14:paraId="30ADC4ED" w14:textId="77777777" w:rsidR="00AE1998" w:rsidRDefault="00AE1998" w:rsidP="00AE1998">
      <w:pPr>
        <w:autoSpaceDE w:val="0"/>
        <w:autoSpaceDN w:val="0"/>
        <w:adjustRightInd w:val="0"/>
        <w:spacing w:after="160" w:line="240" w:lineRule="auto"/>
        <w:jc w:val="both"/>
        <w:rPr>
          <w:rFonts w:cstheme="minorHAnsi"/>
          <w:sz w:val="24"/>
          <w:szCs w:val="24"/>
          <w:lang w:val="en-GB" w:eastAsia="en-GB"/>
        </w:rPr>
      </w:pPr>
      <w:r>
        <w:rPr>
          <w:rFonts w:cstheme="minorHAnsi"/>
          <w:sz w:val="24"/>
          <w:szCs w:val="24"/>
          <w:lang w:val="en-GB" w:eastAsia="en-GB"/>
        </w:rPr>
        <w:t xml:space="preserve">Borah, B.J., and </w:t>
      </w:r>
      <w:proofErr w:type="spellStart"/>
      <w:r>
        <w:rPr>
          <w:rFonts w:cstheme="minorHAnsi"/>
          <w:sz w:val="24"/>
          <w:szCs w:val="24"/>
          <w:lang w:val="en-GB" w:eastAsia="en-GB"/>
        </w:rPr>
        <w:t>Basu</w:t>
      </w:r>
      <w:proofErr w:type="spellEnd"/>
      <w:r>
        <w:rPr>
          <w:rFonts w:cstheme="minorHAnsi"/>
          <w:sz w:val="24"/>
          <w:szCs w:val="24"/>
          <w:lang w:val="en-GB" w:eastAsia="en-GB"/>
        </w:rPr>
        <w:t>, A. (</w:t>
      </w:r>
      <w:r>
        <w:rPr>
          <w:rFonts w:cs="Arial"/>
          <w:sz w:val="24"/>
          <w:szCs w:val="24"/>
          <w:lang w:val="en-GB" w:eastAsia="en-GB"/>
        </w:rPr>
        <w:t>2013) Highlighting differences between conditional and unconditional percentile regression approaches through application to assess medication adherence</w:t>
      </w:r>
      <w:r>
        <w:rPr>
          <w:rFonts w:cs="Arial"/>
          <w:i/>
          <w:sz w:val="24"/>
          <w:szCs w:val="24"/>
          <w:lang w:val="en-GB" w:eastAsia="en-GB"/>
        </w:rPr>
        <w:t xml:space="preserve">. Health </w:t>
      </w:r>
      <w:r>
        <w:rPr>
          <w:rFonts w:cstheme="minorHAnsi"/>
          <w:i/>
          <w:sz w:val="24"/>
          <w:szCs w:val="24"/>
          <w:lang w:val="en-GB" w:eastAsia="en-GB"/>
        </w:rPr>
        <w:t xml:space="preserve">Economics, </w:t>
      </w:r>
      <w:r>
        <w:rPr>
          <w:rFonts w:cstheme="minorHAnsi"/>
          <w:sz w:val="24"/>
          <w:szCs w:val="24"/>
          <w:lang w:val="en-GB" w:eastAsia="en-GB"/>
        </w:rPr>
        <w:t>22(9): 1052-1070.</w:t>
      </w:r>
    </w:p>
    <w:p w14:paraId="156875C4" w14:textId="77777777" w:rsidR="00AE1998" w:rsidRDefault="00AE1998" w:rsidP="00AE1998">
      <w:pPr>
        <w:spacing w:after="160" w:line="240" w:lineRule="auto"/>
        <w:jc w:val="both"/>
        <w:rPr>
          <w:rFonts w:cstheme="minorHAnsi"/>
          <w:sz w:val="24"/>
          <w:szCs w:val="24"/>
          <w:lang w:val="en-GB"/>
        </w:rPr>
      </w:pPr>
      <w:proofErr w:type="spellStart"/>
      <w:r>
        <w:rPr>
          <w:rFonts w:cstheme="minorHAnsi"/>
          <w:color w:val="1C1D1E"/>
          <w:sz w:val="24"/>
          <w:szCs w:val="24"/>
          <w:shd w:val="clear" w:color="auto" w:fill="FFFFFF"/>
          <w:lang w:val="en-GB"/>
        </w:rPr>
        <w:t>Caset</w:t>
      </w:r>
      <w:proofErr w:type="spellEnd"/>
      <w:r>
        <w:rPr>
          <w:rFonts w:cstheme="minorHAnsi"/>
          <w:color w:val="1C1D1E"/>
          <w:sz w:val="24"/>
          <w:szCs w:val="24"/>
          <w:shd w:val="clear" w:color="auto" w:fill="FFFFFF"/>
          <w:lang w:val="en-GB"/>
        </w:rPr>
        <w:t xml:space="preserve">, F., and </w:t>
      </w:r>
      <w:proofErr w:type="spellStart"/>
      <w:r>
        <w:rPr>
          <w:rFonts w:cstheme="minorHAnsi"/>
          <w:color w:val="1C1D1E"/>
          <w:sz w:val="24"/>
          <w:szCs w:val="24"/>
          <w:shd w:val="clear" w:color="auto" w:fill="FFFFFF"/>
          <w:lang w:val="en-GB"/>
        </w:rPr>
        <w:t>Derudder</w:t>
      </w:r>
      <w:proofErr w:type="spellEnd"/>
      <w:r>
        <w:rPr>
          <w:rFonts w:cstheme="minorHAnsi"/>
          <w:color w:val="1C1D1E"/>
          <w:sz w:val="24"/>
          <w:szCs w:val="24"/>
          <w:shd w:val="clear" w:color="auto" w:fill="FFFFFF"/>
          <w:lang w:val="en-GB"/>
        </w:rPr>
        <w:t xml:space="preserve">, B. (2017) Measurement and interpretation of ‘global cultural cities’ in a world of cities. </w:t>
      </w:r>
      <w:r>
        <w:rPr>
          <w:rFonts w:cstheme="minorHAnsi"/>
          <w:i/>
          <w:iCs/>
          <w:color w:val="1C1D1E"/>
          <w:sz w:val="24"/>
          <w:szCs w:val="24"/>
          <w:shd w:val="clear" w:color="auto" w:fill="FFFFFF"/>
          <w:lang w:val="en-GB"/>
        </w:rPr>
        <w:t>Area</w:t>
      </w:r>
      <w:r>
        <w:rPr>
          <w:rFonts w:cstheme="minorHAnsi"/>
          <w:color w:val="1C1D1E"/>
          <w:sz w:val="24"/>
          <w:szCs w:val="24"/>
          <w:shd w:val="clear" w:color="auto" w:fill="FFFFFF"/>
          <w:lang w:val="en-GB"/>
        </w:rPr>
        <w:t>, 49: 238-248</w:t>
      </w:r>
      <w:r>
        <w:rPr>
          <w:rFonts w:cstheme="minorHAnsi"/>
          <w:sz w:val="24"/>
          <w:szCs w:val="24"/>
          <w:lang w:val="en-GB"/>
        </w:rPr>
        <w:t>.</w:t>
      </w:r>
    </w:p>
    <w:p w14:paraId="637AA67C" w14:textId="77777777" w:rsidR="00AE1998" w:rsidRDefault="00AE1998" w:rsidP="00AE1998">
      <w:pPr>
        <w:spacing w:after="160" w:line="240" w:lineRule="auto"/>
        <w:jc w:val="both"/>
        <w:rPr>
          <w:rFonts w:cstheme="minorHAnsi"/>
          <w:color w:val="2A2A2A"/>
          <w:sz w:val="24"/>
          <w:szCs w:val="24"/>
          <w:shd w:val="clear" w:color="auto" w:fill="FFFFFF"/>
          <w:lang w:val="en-GB"/>
        </w:rPr>
      </w:pPr>
      <w:proofErr w:type="spellStart"/>
      <w:r>
        <w:rPr>
          <w:rFonts w:cstheme="minorHAnsi"/>
          <w:sz w:val="24"/>
          <w:szCs w:val="24"/>
          <w:lang w:val="en-GB"/>
        </w:rPr>
        <w:t>Cohendet</w:t>
      </w:r>
      <w:proofErr w:type="spellEnd"/>
      <w:r>
        <w:rPr>
          <w:rFonts w:cstheme="minorHAnsi"/>
          <w:sz w:val="24"/>
          <w:szCs w:val="24"/>
          <w:lang w:val="en-GB"/>
        </w:rPr>
        <w:t xml:space="preserve">, P., </w:t>
      </w:r>
      <w:proofErr w:type="spellStart"/>
      <w:r>
        <w:rPr>
          <w:rFonts w:cstheme="minorHAnsi"/>
          <w:sz w:val="24"/>
          <w:szCs w:val="24"/>
          <w:lang w:val="en-GB"/>
        </w:rPr>
        <w:t>Grandadam</w:t>
      </w:r>
      <w:proofErr w:type="spellEnd"/>
      <w:r>
        <w:rPr>
          <w:rFonts w:cstheme="minorHAnsi"/>
          <w:sz w:val="24"/>
          <w:szCs w:val="24"/>
          <w:lang w:val="en-GB"/>
        </w:rPr>
        <w:t xml:space="preserve">, D., Simon, L. and </w:t>
      </w:r>
      <w:proofErr w:type="spellStart"/>
      <w:r>
        <w:rPr>
          <w:rFonts w:cstheme="minorHAnsi"/>
          <w:sz w:val="24"/>
          <w:szCs w:val="24"/>
          <w:lang w:val="en-GB"/>
        </w:rPr>
        <w:t>Capdevila</w:t>
      </w:r>
      <w:proofErr w:type="spellEnd"/>
      <w:r>
        <w:rPr>
          <w:rFonts w:cstheme="minorHAnsi"/>
          <w:sz w:val="24"/>
          <w:szCs w:val="24"/>
          <w:lang w:val="en-GB"/>
        </w:rPr>
        <w:t xml:space="preserve">, I. (2014), Epistemic communities localization and the dynamics of knowledge creation. </w:t>
      </w:r>
      <w:r>
        <w:rPr>
          <w:rFonts w:cstheme="minorHAnsi"/>
          <w:i/>
          <w:iCs/>
          <w:color w:val="2A2A2A"/>
          <w:sz w:val="24"/>
          <w:szCs w:val="24"/>
          <w:bdr w:val="none" w:sz="0" w:space="0" w:color="auto" w:frame="1"/>
          <w:shd w:val="clear" w:color="auto" w:fill="FFFFFF"/>
          <w:lang w:val="en-GB"/>
        </w:rPr>
        <w:t>Journal of Economic Geography</w:t>
      </w:r>
      <w:r>
        <w:rPr>
          <w:rFonts w:cstheme="minorHAnsi"/>
          <w:color w:val="2A2A2A"/>
          <w:sz w:val="24"/>
          <w:szCs w:val="24"/>
          <w:shd w:val="clear" w:color="auto" w:fill="FFFFFF"/>
          <w:lang w:val="en-GB"/>
        </w:rPr>
        <w:t>, 14(5): 929–954,</w:t>
      </w:r>
    </w:p>
    <w:p w14:paraId="7351CB6B" w14:textId="77777777" w:rsidR="00AE1998" w:rsidRDefault="00AE1998" w:rsidP="00AE1998">
      <w:pPr>
        <w:spacing w:after="160" w:line="240" w:lineRule="auto"/>
        <w:jc w:val="both"/>
        <w:rPr>
          <w:rFonts w:cstheme="minorHAnsi"/>
          <w:sz w:val="24"/>
          <w:szCs w:val="24"/>
          <w:lang w:val="en-GB"/>
        </w:rPr>
      </w:pPr>
      <w:proofErr w:type="spellStart"/>
      <w:r>
        <w:rPr>
          <w:rFonts w:cstheme="minorHAnsi"/>
          <w:sz w:val="24"/>
          <w:szCs w:val="24"/>
          <w:lang w:val="en-GB"/>
        </w:rPr>
        <w:t>Currid</w:t>
      </w:r>
      <w:proofErr w:type="spellEnd"/>
      <w:r>
        <w:rPr>
          <w:rFonts w:cstheme="minorHAnsi"/>
          <w:sz w:val="24"/>
          <w:szCs w:val="24"/>
          <w:lang w:val="en-GB"/>
        </w:rPr>
        <w:t xml:space="preserve">, E. (2006). New York as a Global Creative Hub: A Competitive Analysis of Four Theories on World Cities. </w:t>
      </w:r>
      <w:r>
        <w:rPr>
          <w:rFonts w:cstheme="minorHAnsi"/>
          <w:i/>
          <w:iCs/>
          <w:sz w:val="24"/>
          <w:szCs w:val="24"/>
          <w:lang w:val="en-GB"/>
        </w:rPr>
        <w:t>Economic Development Quarterly</w:t>
      </w:r>
      <w:r>
        <w:rPr>
          <w:rFonts w:cstheme="minorHAnsi"/>
          <w:sz w:val="24"/>
          <w:szCs w:val="24"/>
          <w:lang w:val="en-GB"/>
        </w:rPr>
        <w:t xml:space="preserve">, </w:t>
      </w:r>
      <w:r>
        <w:rPr>
          <w:rFonts w:cstheme="minorHAnsi"/>
          <w:i/>
          <w:iCs/>
          <w:sz w:val="24"/>
          <w:szCs w:val="24"/>
          <w:lang w:val="en-GB"/>
        </w:rPr>
        <w:t>20</w:t>
      </w:r>
      <w:r>
        <w:rPr>
          <w:rFonts w:cstheme="minorHAnsi"/>
          <w:sz w:val="24"/>
          <w:szCs w:val="24"/>
          <w:lang w:val="en-GB"/>
        </w:rPr>
        <w:t>(4): 330–350.</w:t>
      </w:r>
    </w:p>
    <w:p w14:paraId="23F5C90D" w14:textId="77777777" w:rsidR="00AE1998" w:rsidRDefault="00AE1998" w:rsidP="00AE1998">
      <w:pPr>
        <w:spacing w:after="160" w:line="240" w:lineRule="auto"/>
        <w:jc w:val="both"/>
        <w:rPr>
          <w:rFonts w:cs="Arial"/>
          <w:sz w:val="24"/>
          <w:szCs w:val="24"/>
          <w:lang w:val="en-GB" w:eastAsia="en-GB"/>
        </w:rPr>
      </w:pPr>
      <w:proofErr w:type="spellStart"/>
      <w:r>
        <w:rPr>
          <w:color w:val="000000" w:themeColor="text1"/>
          <w:sz w:val="24"/>
          <w:szCs w:val="24"/>
          <w:lang w:val="en-GB"/>
        </w:rPr>
        <w:t>Czujack</w:t>
      </w:r>
      <w:proofErr w:type="spellEnd"/>
      <w:r>
        <w:rPr>
          <w:color w:val="000000" w:themeColor="text1"/>
          <w:sz w:val="24"/>
          <w:szCs w:val="24"/>
          <w:lang w:val="en-GB"/>
        </w:rPr>
        <w:t xml:space="preserve">, C. (1997) Picasso Paintings at Auction (1963-1994). </w:t>
      </w:r>
      <w:r>
        <w:rPr>
          <w:i/>
          <w:iCs/>
          <w:color w:val="000000" w:themeColor="text1"/>
          <w:sz w:val="24"/>
          <w:szCs w:val="24"/>
          <w:lang w:val="en-GB"/>
        </w:rPr>
        <w:t>Journal of Cultural Economics,</w:t>
      </w:r>
      <w:r>
        <w:rPr>
          <w:iCs/>
          <w:color w:val="000000" w:themeColor="text1"/>
          <w:sz w:val="24"/>
          <w:szCs w:val="24"/>
          <w:lang w:val="en-GB"/>
        </w:rPr>
        <w:t xml:space="preserve"> 21, </w:t>
      </w:r>
      <w:r>
        <w:rPr>
          <w:color w:val="000000" w:themeColor="text1"/>
          <w:sz w:val="24"/>
          <w:szCs w:val="24"/>
          <w:lang w:val="en-GB"/>
        </w:rPr>
        <w:t>229-247.</w:t>
      </w:r>
    </w:p>
    <w:p w14:paraId="272EB0E5" w14:textId="77777777" w:rsidR="00AE1998" w:rsidRDefault="00AE1998" w:rsidP="00AE1998">
      <w:pPr>
        <w:spacing w:after="160" w:line="240" w:lineRule="auto"/>
        <w:jc w:val="both"/>
        <w:rPr>
          <w:iCs/>
          <w:color w:val="000000" w:themeColor="text1"/>
          <w:sz w:val="24"/>
          <w:szCs w:val="24"/>
          <w:lang w:val="en-GB"/>
        </w:rPr>
      </w:pPr>
      <w:r>
        <w:rPr>
          <w:color w:val="000000" w:themeColor="text1"/>
          <w:sz w:val="24"/>
          <w:szCs w:val="24"/>
          <w:lang w:val="en-GB"/>
        </w:rPr>
        <w:t xml:space="preserve">Deloitte (2019) </w:t>
      </w:r>
      <w:r>
        <w:rPr>
          <w:i/>
          <w:color w:val="000000" w:themeColor="text1"/>
          <w:sz w:val="24"/>
          <w:szCs w:val="24"/>
          <w:lang w:val="en-GB"/>
        </w:rPr>
        <w:t>Art and Finance Report 2019.</w:t>
      </w:r>
      <w:r>
        <w:rPr>
          <w:iCs/>
          <w:color w:val="000000" w:themeColor="text1"/>
          <w:sz w:val="24"/>
          <w:szCs w:val="24"/>
          <w:lang w:val="en-GB"/>
        </w:rPr>
        <w:t xml:space="preserve"> Luxembourg: Deloitte.</w:t>
      </w:r>
    </w:p>
    <w:p w14:paraId="45450B5F" w14:textId="77777777" w:rsidR="00AE1998" w:rsidRDefault="00AE1998" w:rsidP="00AE1998">
      <w:pPr>
        <w:spacing w:after="160" w:line="240" w:lineRule="auto"/>
        <w:jc w:val="both"/>
        <w:rPr>
          <w:iCs/>
          <w:color w:val="000000" w:themeColor="text1"/>
          <w:sz w:val="24"/>
          <w:szCs w:val="24"/>
          <w:lang w:val="en-GB"/>
        </w:rPr>
      </w:pPr>
      <w:proofErr w:type="spellStart"/>
      <w:r>
        <w:rPr>
          <w:iCs/>
          <w:color w:val="000000" w:themeColor="text1"/>
          <w:sz w:val="24"/>
          <w:szCs w:val="24"/>
          <w:lang w:val="en-GB"/>
        </w:rPr>
        <w:t>Ekelund</w:t>
      </w:r>
      <w:proofErr w:type="spellEnd"/>
      <w:r>
        <w:rPr>
          <w:iCs/>
          <w:color w:val="000000" w:themeColor="text1"/>
          <w:sz w:val="24"/>
          <w:szCs w:val="24"/>
          <w:lang w:val="en-GB"/>
        </w:rPr>
        <w:t xml:space="preserve">, </w:t>
      </w:r>
      <w:proofErr w:type="spellStart"/>
      <w:r>
        <w:rPr>
          <w:iCs/>
          <w:color w:val="000000" w:themeColor="text1"/>
          <w:sz w:val="24"/>
          <w:szCs w:val="24"/>
          <w:lang w:val="en-GB"/>
        </w:rPr>
        <w:t>R.B.Jr</w:t>
      </w:r>
      <w:proofErr w:type="spellEnd"/>
      <w:r>
        <w:rPr>
          <w:iCs/>
          <w:color w:val="000000" w:themeColor="text1"/>
          <w:sz w:val="24"/>
          <w:szCs w:val="24"/>
          <w:lang w:val="en-GB"/>
        </w:rPr>
        <w:t xml:space="preserve">., Jackson, J.D., </w:t>
      </w:r>
      <w:proofErr w:type="spellStart"/>
      <w:r>
        <w:rPr>
          <w:iCs/>
          <w:color w:val="000000" w:themeColor="text1"/>
          <w:sz w:val="24"/>
          <w:szCs w:val="24"/>
          <w:lang w:val="en-GB"/>
        </w:rPr>
        <w:t>Tollison</w:t>
      </w:r>
      <w:proofErr w:type="spellEnd"/>
      <w:r>
        <w:rPr>
          <w:iCs/>
          <w:color w:val="000000" w:themeColor="text1"/>
          <w:sz w:val="24"/>
          <w:szCs w:val="24"/>
          <w:lang w:val="en-GB"/>
        </w:rPr>
        <w:t xml:space="preserve">, R.D. (2017), </w:t>
      </w:r>
      <w:r>
        <w:rPr>
          <w:i/>
          <w:iCs/>
          <w:color w:val="000000" w:themeColor="text1"/>
          <w:sz w:val="24"/>
          <w:szCs w:val="24"/>
          <w:lang w:val="en-GB"/>
        </w:rPr>
        <w:t xml:space="preserve">The Economics of American Art: Issues, artists and Market Institutions, </w:t>
      </w:r>
      <w:r>
        <w:rPr>
          <w:iCs/>
          <w:color w:val="000000" w:themeColor="text1"/>
          <w:sz w:val="24"/>
          <w:szCs w:val="24"/>
          <w:lang w:val="en-GB"/>
        </w:rPr>
        <w:t>Oxford Scholarship Online.</w:t>
      </w:r>
    </w:p>
    <w:p w14:paraId="04D20E9C" w14:textId="77777777" w:rsidR="00AE1998" w:rsidRDefault="00AE1998" w:rsidP="00AE1998">
      <w:pPr>
        <w:spacing w:after="160" w:line="240" w:lineRule="auto"/>
        <w:jc w:val="both"/>
        <w:rPr>
          <w:rFonts w:cstheme="minorHAnsi"/>
          <w:color w:val="000000" w:themeColor="text1"/>
          <w:sz w:val="24"/>
          <w:szCs w:val="24"/>
          <w:lang w:val="en-GB"/>
        </w:rPr>
      </w:pPr>
      <w:proofErr w:type="spellStart"/>
      <w:r>
        <w:rPr>
          <w:rFonts w:cstheme="minorHAnsi"/>
          <w:sz w:val="24"/>
          <w:szCs w:val="24"/>
          <w:lang w:val="en-GB"/>
        </w:rPr>
        <w:t>Essama-Nssah</w:t>
      </w:r>
      <w:proofErr w:type="spellEnd"/>
      <w:r>
        <w:rPr>
          <w:rFonts w:cstheme="minorHAnsi"/>
          <w:sz w:val="24"/>
          <w:szCs w:val="24"/>
          <w:lang w:val="en-GB"/>
        </w:rPr>
        <w:t xml:space="preserve">, B., and Lambert, P. (2016) </w:t>
      </w:r>
      <w:r>
        <w:rPr>
          <w:rFonts w:cstheme="minorHAnsi"/>
          <w:bCs/>
          <w:color w:val="333333"/>
          <w:sz w:val="24"/>
          <w:szCs w:val="24"/>
          <w:lang w:val="en-GB"/>
        </w:rPr>
        <w:t xml:space="preserve">Counterfactual Decomposition of Pro-Poorness Using Influence Functions. </w:t>
      </w:r>
      <w:r>
        <w:rPr>
          <w:rFonts w:cstheme="minorHAnsi"/>
          <w:bCs/>
          <w:i/>
          <w:color w:val="333333"/>
          <w:sz w:val="24"/>
          <w:szCs w:val="24"/>
          <w:lang w:val="en-GB"/>
        </w:rPr>
        <w:t xml:space="preserve">Journal of </w:t>
      </w:r>
      <w:r>
        <w:rPr>
          <w:rFonts w:cstheme="minorHAnsi"/>
          <w:bCs/>
          <w:i/>
          <w:color w:val="000000" w:themeColor="text1"/>
          <w:sz w:val="24"/>
          <w:szCs w:val="24"/>
          <w:lang w:val="en-GB"/>
        </w:rPr>
        <w:t>Human Development and Capabilities</w:t>
      </w:r>
      <w:r>
        <w:rPr>
          <w:rFonts w:cstheme="minorHAnsi"/>
          <w:bCs/>
          <w:color w:val="000000" w:themeColor="text1"/>
          <w:sz w:val="24"/>
          <w:szCs w:val="24"/>
          <w:lang w:val="en-GB"/>
        </w:rPr>
        <w:t>, 17(1): 74-92.</w:t>
      </w:r>
    </w:p>
    <w:p w14:paraId="09873B03" w14:textId="77777777" w:rsidR="00AE1998" w:rsidRDefault="00AE1998" w:rsidP="00AE1998">
      <w:pPr>
        <w:spacing w:after="160" w:line="240" w:lineRule="auto"/>
        <w:jc w:val="both"/>
        <w:rPr>
          <w:rFonts w:cstheme="minorHAnsi"/>
          <w:color w:val="000000" w:themeColor="text1"/>
          <w:sz w:val="24"/>
          <w:szCs w:val="24"/>
          <w:lang w:val="en-GB"/>
        </w:rPr>
      </w:pPr>
      <w:proofErr w:type="spellStart"/>
      <w:r>
        <w:rPr>
          <w:rFonts w:cstheme="minorHAnsi"/>
          <w:color w:val="000000" w:themeColor="text1"/>
          <w:sz w:val="24"/>
          <w:szCs w:val="24"/>
          <w:lang w:val="en-GB"/>
        </w:rPr>
        <w:t>Etro</w:t>
      </w:r>
      <w:proofErr w:type="spellEnd"/>
      <w:r>
        <w:rPr>
          <w:rFonts w:cstheme="minorHAnsi"/>
          <w:color w:val="000000" w:themeColor="text1"/>
          <w:sz w:val="24"/>
          <w:szCs w:val="24"/>
          <w:lang w:val="en-GB"/>
        </w:rPr>
        <w:t xml:space="preserve">, F., and </w:t>
      </w:r>
      <w:proofErr w:type="spellStart"/>
      <w:r>
        <w:rPr>
          <w:rFonts w:cstheme="minorHAnsi"/>
          <w:color w:val="000000" w:themeColor="text1"/>
          <w:sz w:val="24"/>
          <w:szCs w:val="24"/>
          <w:lang w:val="en-GB"/>
        </w:rPr>
        <w:t>Stepanova</w:t>
      </w:r>
      <w:proofErr w:type="spellEnd"/>
      <w:r>
        <w:rPr>
          <w:rFonts w:cstheme="minorHAnsi"/>
          <w:color w:val="000000" w:themeColor="text1"/>
          <w:sz w:val="24"/>
          <w:szCs w:val="24"/>
          <w:lang w:val="en-GB"/>
        </w:rPr>
        <w:t xml:space="preserve">, E. (2021) </w:t>
      </w:r>
      <w:r>
        <w:rPr>
          <w:rStyle w:val="title-text"/>
          <w:rFonts w:cstheme="minorHAnsi"/>
          <w:color w:val="000000" w:themeColor="text1"/>
          <w:sz w:val="24"/>
          <w:szCs w:val="24"/>
          <w:lang w:val="en-GB"/>
        </w:rPr>
        <w:t>Art return rates from old master paintings to contemporary art.</w:t>
      </w:r>
      <w:r>
        <w:rPr>
          <w:rFonts w:cstheme="minorHAnsi"/>
          <w:i/>
          <w:color w:val="000000" w:themeColor="text1"/>
          <w:sz w:val="24"/>
          <w:szCs w:val="24"/>
          <w:lang w:val="en-GB"/>
        </w:rPr>
        <w:t xml:space="preserve"> Journal of Economic Behaviour and Organization,</w:t>
      </w:r>
      <w:r>
        <w:rPr>
          <w:rFonts w:cstheme="minorHAnsi"/>
          <w:color w:val="000000" w:themeColor="text1"/>
          <w:sz w:val="24"/>
          <w:szCs w:val="24"/>
          <w:lang w:val="en-GB"/>
        </w:rPr>
        <w:t xml:space="preserve"> 181: 94-116.</w:t>
      </w:r>
    </w:p>
    <w:p w14:paraId="23EF8861" w14:textId="77777777" w:rsidR="00AE1998" w:rsidRDefault="00AE1998" w:rsidP="00AE1998">
      <w:pPr>
        <w:spacing w:after="160" w:line="240" w:lineRule="auto"/>
        <w:jc w:val="both"/>
        <w:rPr>
          <w:rFonts w:cs="Arial"/>
          <w:color w:val="000000" w:themeColor="text1"/>
          <w:sz w:val="28"/>
          <w:szCs w:val="28"/>
          <w:lang w:val="en-GB" w:eastAsia="en-GB"/>
        </w:rPr>
      </w:pPr>
      <w:proofErr w:type="spellStart"/>
      <w:r>
        <w:rPr>
          <w:sz w:val="24"/>
          <w:szCs w:val="24"/>
          <w:lang w:val="en-GB"/>
        </w:rPr>
        <w:t>Farchy</w:t>
      </w:r>
      <w:proofErr w:type="spellEnd"/>
      <w:r>
        <w:rPr>
          <w:sz w:val="24"/>
          <w:szCs w:val="24"/>
          <w:lang w:val="en-GB"/>
        </w:rPr>
        <w:t xml:space="preserve">, J., and </w:t>
      </w:r>
      <w:proofErr w:type="spellStart"/>
      <w:r>
        <w:rPr>
          <w:sz w:val="24"/>
          <w:szCs w:val="24"/>
          <w:lang w:val="en-GB"/>
        </w:rPr>
        <w:t>Petrou</w:t>
      </w:r>
      <w:proofErr w:type="spellEnd"/>
      <w:r>
        <w:rPr>
          <w:sz w:val="24"/>
          <w:szCs w:val="24"/>
          <w:lang w:val="en-GB"/>
        </w:rPr>
        <w:t xml:space="preserve">, J. (2012) Optimizing use of orphan works while respecting intellectual property rights: a law and economics perspective. </w:t>
      </w:r>
      <w:r>
        <w:rPr>
          <w:i/>
          <w:iCs/>
          <w:sz w:val="24"/>
          <w:szCs w:val="24"/>
          <w:lang w:val="en-GB"/>
        </w:rPr>
        <w:t>Queen Mary Journal of Intellectual Property</w:t>
      </w:r>
      <w:r>
        <w:rPr>
          <w:sz w:val="24"/>
          <w:szCs w:val="24"/>
          <w:lang w:val="en-GB"/>
        </w:rPr>
        <w:t>, 2(3): 250-266.</w:t>
      </w:r>
    </w:p>
    <w:p w14:paraId="374FC41C" w14:textId="77777777" w:rsidR="00AE1998" w:rsidRDefault="00AE1998" w:rsidP="00AE1998">
      <w:pPr>
        <w:spacing w:after="160" w:line="240" w:lineRule="auto"/>
        <w:jc w:val="both"/>
        <w:rPr>
          <w:rFonts w:cstheme="minorHAnsi"/>
          <w:sz w:val="24"/>
          <w:szCs w:val="24"/>
          <w:lang w:val="en-GB" w:eastAsia="en-GB"/>
        </w:rPr>
      </w:pPr>
      <w:proofErr w:type="spellStart"/>
      <w:r>
        <w:rPr>
          <w:rFonts w:cs="Arial"/>
          <w:color w:val="000000" w:themeColor="text1"/>
          <w:sz w:val="24"/>
          <w:szCs w:val="24"/>
          <w:lang w:val="en-GB" w:eastAsia="en-GB"/>
        </w:rPr>
        <w:t>Firpo</w:t>
      </w:r>
      <w:proofErr w:type="spellEnd"/>
      <w:r>
        <w:rPr>
          <w:rFonts w:cs="Arial"/>
          <w:color w:val="000000" w:themeColor="text1"/>
          <w:sz w:val="24"/>
          <w:szCs w:val="24"/>
          <w:lang w:val="en-GB" w:eastAsia="en-GB"/>
        </w:rPr>
        <w:t>, S., Fortin, M., and Lemieux, T. (2009) Unconditional quantile regressions</w:t>
      </w:r>
      <w:r>
        <w:rPr>
          <w:rFonts w:cs="Arial"/>
          <w:i/>
          <w:color w:val="000000" w:themeColor="text1"/>
          <w:sz w:val="24"/>
          <w:szCs w:val="24"/>
          <w:lang w:val="en-GB" w:eastAsia="en-GB"/>
        </w:rPr>
        <w:t xml:space="preserve">. </w:t>
      </w:r>
      <w:proofErr w:type="spellStart"/>
      <w:r>
        <w:rPr>
          <w:rFonts w:cs="Arial"/>
          <w:i/>
          <w:color w:val="000000" w:themeColor="text1"/>
          <w:sz w:val="24"/>
          <w:szCs w:val="24"/>
          <w:lang w:val="en-GB" w:eastAsia="en-GB"/>
        </w:rPr>
        <w:t>Econometrica</w:t>
      </w:r>
      <w:proofErr w:type="spellEnd"/>
      <w:r>
        <w:rPr>
          <w:rFonts w:cs="Arial"/>
          <w:color w:val="000000" w:themeColor="text1"/>
          <w:sz w:val="24"/>
          <w:szCs w:val="24"/>
          <w:lang w:val="en-GB" w:eastAsia="en-GB"/>
        </w:rPr>
        <w:t xml:space="preserve">, </w:t>
      </w:r>
      <w:r>
        <w:rPr>
          <w:rFonts w:cs="Arial"/>
          <w:sz w:val="24"/>
          <w:szCs w:val="24"/>
          <w:lang w:val="en-GB" w:eastAsia="en-GB"/>
        </w:rPr>
        <w:t xml:space="preserve">77: </w:t>
      </w:r>
      <w:r>
        <w:rPr>
          <w:rFonts w:cstheme="minorHAnsi"/>
          <w:sz w:val="24"/>
          <w:szCs w:val="24"/>
          <w:lang w:val="en-GB" w:eastAsia="en-GB"/>
        </w:rPr>
        <w:t>953-973.</w:t>
      </w:r>
    </w:p>
    <w:p w14:paraId="0A233BF8" w14:textId="77777777" w:rsidR="00AE1998" w:rsidRDefault="00AE1998" w:rsidP="00AE1998">
      <w:pPr>
        <w:spacing w:after="160" w:line="240" w:lineRule="auto"/>
        <w:jc w:val="both"/>
        <w:rPr>
          <w:rFonts w:cstheme="minorHAnsi"/>
          <w:sz w:val="24"/>
          <w:szCs w:val="24"/>
          <w:lang w:val="en-GB" w:eastAsia="en-GB"/>
        </w:rPr>
      </w:pPr>
      <w:r>
        <w:rPr>
          <w:rFonts w:cstheme="minorHAnsi"/>
          <w:sz w:val="24"/>
          <w:szCs w:val="24"/>
          <w:lang w:val="en-GB"/>
        </w:rPr>
        <w:t xml:space="preserve">Flew, T. (2010). Toward a Cultural Economic Geography of Creative Industries and Urban Development: Introduction to the Special Issue on Creative Industries and Urban Development. </w:t>
      </w:r>
      <w:r>
        <w:rPr>
          <w:rFonts w:cstheme="minorHAnsi"/>
          <w:i/>
          <w:iCs/>
          <w:sz w:val="24"/>
          <w:szCs w:val="24"/>
          <w:lang w:val="en-GB"/>
        </w:rPr>
        <w:t>The Information Society</w:t>
      </w:r>
      <w:r>
        <w:rPr>
          <w:rFonts w:cstheme="minorHAnsi"/>
          <w:sz w:val="24"/>
          <w:szCs w:val="24"/>
          <w:lang w:val="en-GB"/>
        </w:rPr>
        <w:t xml:space="preserve">, </w:t>
      </w:r>
      <w:r>
        <w:rPr>
          <w:rFonts w:cstheme="minorHAnsi"/>
          <w:i/>
          <w:iCs/>
          <w:sz w:val="24"/>
          <w:szCs w:val="24"/>
          <w:lang w:val="en-GB"/>
        </w:rPr>
        <w:t>26</w:t>
      </w:r>
      <w:r>
        <w:rPr>
          <w:rFonts w:cstheme="minorHAnsi"/>
          <w:sz w:val="24"/>
          <w:szCs w:val="24"/>
          <w:lang w:val="en-GB"/>
        </w:rPr>
        <w:t>(2): 85–91.</w:t>
      </w:r>
    </w:p>
    <w:p w14:paraId="04C04BC0" w14:textId="77777777" w:rsidR="00AE1998" w:rsidRDefault="00AE1998" w:rsidP="00AE1998">
      <w:pPr>
        <w:spacing w:after="160" w:line="240" w:lineRule="auto"/>
        <w:jc w:val="both"/>
        <w:rPr>
          <w:rFonts w:cs="Arial"/>
          <w:sz w:val="24"/>
          <w:szCs w:val="24"/>
          <w:lang w:val="en-GB" w:eastAsia="en-GB"/>
        </w:rPr>
      </w:pPr>
      <w:r>
        <w:rPr>
          <w:rFonts w:cs="Arial"/>
          <w:sz w:val="24"/>
          <w:szCs w:val="24"/>
          <w:lang w:val="en-GB" w:eastAsia="en-GB"/>
        </w:rPr>
        <w:lastRenderedPageBreak/>
        <w:t xml:space="preserve">Fortin, M., Lemieux, T., and </w:t>
      </w:r>
      <w:proofErr w:type="spellStart"/>
      <w:r>
        <w:rPr>
          <w:rFonts w:cs="Arial"/>
          <w:sz w:val="24"/>
          <w:szCs w:val="24"/>
          <w:lang w:val="en-GB" w:eastAsia="en-GB"/>
        </w:rPr>
        <w:t>Firpo</w:t>
      </w:r>
      <w:proofErr w:type="spellEnd"/>
      <w:r>
        <w:rPr>
          <w:rFonts w:cs="Arial"/>
          <w:sz w:val="24"/>
          <w:szCs w:val="24"/>
          <w:lang w:val="en-GB" w:eastAsia="en-GB"/>
        </w:rPr>
        <w:t xml:space="preserve">, S. (2011) Decomposition Methods in Economics, in Card, D., </w:t>
      </w:r>
      <w:proofErr w:type="spellStart"/>
      <w:r>
        <w:rPr>
          <w:rFonts w:cs="Arial"/>
          <w:sz w:val="24"/>
          <w:szCs w:val="24"/>
          <w:lang w:val="en-GB" w:eastAsia="en-GB"/>
        </w:rPr>
        <w:t>Ashenfelter</w:t>
      </w:r>
      <w:proofErr w:type="spellEnd"/>
      <w:r>
        <w:rPr>
          <w:rFonts w:cs="Arial"/>
          <w:sz w:val="24"/>
          <w:szCs w:val="24"/>
          <w:lang w:val="en-GB" w:eastAsia="en-GB"/>
        </w:rPr>
        <w:t xml:space="preserve">, O. (eds.) (2011) </w:t>
      </w:r>
      <w:r>
        <w:rPr>
          <w:rFonts w:cs="Arial"/>
          <w:i/>
          <w:sz w:val="24"/>
          <w:szCs w:val="24"/>
          <w:lang w:val="en-GB" w:eastAsia="en-GB"/>
        </w:rPr>
        <w:t xml:space="preserve">Handbook of </w:t>
      </w:r>
      <w:proofErr w:type="spellStart"/>
      <w:r>
        <w:rPr>
          <w:rFonts w:cs="Arial"/>
          <w:i/>
          <w:sz w:val="24"/>
          <w:szCs w:val="24"/>
          <w:lang w:val="en-GB" w:eastAsia="en-GB"/>
        </w:rPr>
        <w:t>Labor</w:t>
      </w:r>
      <w:proofErr w:type="spellEnd"/>
      <w:r>
        <w:rPr>
          <w:rFonts w:cs="Arial"/>
          <w:i/>
          <w:sz w:val="24"/>
          <w:szCs w:val="24"/>
          <w:lang w:val="en-GB" w:eastAsia="en-GB"/>
        </w:rPr>
        <w:t xml:space="preserve"> Economics </w:t>
      </w:r>
      <w:r>
        <w:rPr>
          <w:rFonts w:cs="Arial"/>
          <w:iCs/>
          <w:sz w:val="24"/>
          <w:szCs w:val="24"/>
          <w:lang w:val="en-GB" w:eastAsia="en-GB"/>
        </w:rPr>
        <w:t xml:space="preserve">(pp. </w:t>
      </w:r>
      <w:r>
        <w:rPr>
          <w:rFonts w:cs="Arial"/>
          <w:sz w:val="24"/>
          <w:szCs w:val="24"/>
          <w:lang w:val="en-GB" w:eastAsia="en-GB"/>
        </w:rPr>
        <w:t>1-102). North-Holland.</w:t>
      </w:r>
    </w:p>
    <w:p w14:paraId="6026B022" w14:textId="77777777" w:rsidR="00AE1998" w:rsidRDefault="00AE1998" w:rsidP="00AE1998">
      <w:pPr>
        <w:spacing w:after="160" w:line="240" w:lineRule="auto"/>
        <w:jc w:val="both"/>
        <w:rPr>
          <w:rFonts w:cstheme="minorHAnsi"/>
          <w:bCs/>
          <w:sz w:val="24"/>
          <w:szCs w:val="24"/>
          <w:lang w:val="en-GB"/>
        </w:rPr>
      </w:pPr>
      <w:proofErr w:type="spellStart"/>
      <w:r>
        <w:rPr>
          <w:rFonts w:cstheme="minorHAnsi"/>
          <w:color w:val="000000"/>
          <w:sz w:val="24"/>
          <w:szCs w:val="24"/>
          <w:lang w:val="en-GB"/>
        </w:rPr>
        <w:t>Firpo</w:t>
      </w:r>
      <w:proofErr w:type="spellEnd"/>
      <w:r>
        <w:rPr>
          <w:rFonts w:cstheme="minorHAnsi"/>
          <w:color w:val="000000"/>
          <w:sz w:val="24"/>
          <w:szCs w:val="24"/>
          <w:lang w:val="en-GB"/>
        </w:rPr>
        <w:t xml:space="preserve">, M., Lemieux, T., and </w:t>
      </w:r>
      <w:proofErr w:type="spellStart"/>
      <w:r>
        <w:rPr>
          <w:rFonts w:cstheme="minorHAnsi"/>
          <w:color w:val="000000"/>
          <w:sz w:val="24"/>
          <w:szCs w:val="24"/>
          <w:lang w:val="en-GB"/>
        </w:rPr>
        <w:t>Firpo</w:t>
      </w:r>
      <w:proofErr w:type="spellEnd"/>
      <w:r>
        <w:rPr>
          <w:rFonts w:cstheme="minorHAnsi"/>
          <w:color w:val="000000"/>
          <w:sz w:val="24"/>
          <w:szCs w:val="24"/>
          <w:lang w:val="en-GB"/>
        </w:rPr>
        <w:t xml:space="preserve">, S. (2018) </w:t>
      </w:r>
      <w:r>
        <w:rPr>
          <w:rFonts w:cstheme="minorHAnsi"/>
          <w:bCs/>
          <w:sz w:val="24"/>
          <w:szCs w:val="24"/>
          <w:lang w:val="en-GB"/>
        </w:rPr>
        <w:t xml:space="preserve">Decomposing Wage Distributions Using </w:t>
      </w:r>
      <w:proofErr w:type="spellStart"/>
      <w:r>
        <w:rPr>
          <w:rFonts w:cstheme="minorHAnsi"/>
          <w:bCs/>
          <w:sz w:val="24"/>
          <w:szCs w:val="24"/>
          <w:lang w:val="en-GB"/>
        </w:rPr>
        <w:t>Recentered</w:t>
      </w:r>
      <w:proofErr w:type="spellEnd"/>
      <w:r>
        <w:rPr>
          <w:rFonts w:cstheme="minorHAnsi"/>
          <w:color w:val="000000"/>
          <w:sz w:val="24"/>
          <w:szCs w:val="24"/>
          <w:lang w:val="en-GB"/>
        </w:rPr>
        <w:t xml:space="preserve"> </w:t>
      </w:r>
      <w:r>
        <w:rPr>
          <w:rFonts w:cstheme="minorHAnsi"/>
          <w:bCs/>
          <w:sz w:val="24"/>
          <w:szCs w:val="24"/>
          <w:lang w:val="en-GB"/>
        </w:rPr>
        <w:t xml:space="preserve">Influence Function Regressions. </w:t>
      </w:r>
      <w:r>
        <w:rPr>
          <w:rFonts w:cstheme="minorHAnsi"/>
          <w:bCs/>
          <w:i/>
          <w:sz w:val="24"/>
          <w:szCs w:val="24"/>
          <w:lang w:val="en-GB"/>
        </w:rPr>
        <w:t>Econometrics</w:t>
      </w:r>
      <w:r>
        <w:rPr>
          <w:rFonts w:cstheme="minorHAnsi"/>
          <w:bCs/>
          <w:sz w:val="24"/>
          <w:szCs w:val="24"/>
          <w:lang w:val="en-GB"/>
        </w:rPr>
        <w:t>: 6, 1-40.</w:t>
      </w:r>
    </w:p>
    <w:p w14:paraId="473FE8B6" w14:textId="77777777" w:rsidR="00AE1998" w:rsidRDefault="00AE1998" w:rsidP="00AE1998">
      <w:pPr>
        <w:spacing w:after="160" w:line="240" w:lineRule="auto"/>
        <w:jc w:val="both"/>
        <w:rPr>
          <w:rFonts w:cs="Arial"/>
          <w:sz w:val="24"/>
          <w:szCs w:val="24"/>
          <w:lang w:val="en-GB" w:eastAsia="en-GB"/>
        </w:rPr>
      </w:pPr>
      <w:proofErr w:type="spellStart"/>
      <w:r>
        <w:rPr>
          <w:rFonts w:cs="Arial"/>
          <w:sz w:val="24"/>
          <w:szCs w:val="24"/>
          <w:lang w:val="en-GB" w:eastAsia="en-GB"/>
        </w:rPr>
        <w:t>Freke</w:t>
      </w:r>
      <w:proofErr w:type="spellEnd"/>
      <w:r>
        <w:rPr>
          <w:rFonts w:cs="Arial"/>
          <w:sz w:val="24"/>
          <w:szCs w:val="24"/>
          <w:lang w:val="en-GB" w:eastAsia="en-GB"/>
        </w:rPr>
        <w:t xml:space="preserve">, C. and </w:t>
      </w:r>
      <w:proofErr w:type="spellStart"/>
      <w:r>
        <w:rPr>
          <w:rFonts w:cs="Arial"/>
          <w:sz w:val="24"/>
          <w:szCs w:val="24"/>
          <w:lang w:val="en-GB" w:eastAsia="en-GB"/>
        </w:rPr>
        <w:t>B.Derudder</w:t>
      </w:r>
      <w:proofErr w:type="spellEnd"/>
      <w:r>
        <w:rPr>
          <w:rFonts w:cs="Arial"/>
          <w:sz w:val="24"/>
          <w:szCs w:val="24"/>
          <w:lang w:val="en-GB" w:eastAsia="en-GB"/>
        </w:rPr>
        <w:t xml:space="preserve"> (2017), Measurement and interpretation of ‘global cultural cities’ in a world of cities. </w:t>
      </w:r>
      <w:r>
        <w:rPr>
          <w:rFonts w:cs="Arial"/>
          <w:i/>
          <w:sz w:val="24"/>
          <w:szCs w:val="24"/>
          <w:lang w:val="en-GB" w:eastAsia="en-GB"/>
        </w:rPr>
        <w:t>Area,</w:t>
      </w:r>
      <w:r>
        <w:rPr>
          <w:rFonts w:cs="Arial"/>
          <w:sz w:val="24"/>
          <w:szCs w:val="24"/>
          <w:lang w:val="en-GB" w:eastAsia="en-GB"/>
        </w:rPr>
        <w:t xml:space="preserve"> 49(2): 238-248.</w:t>
      </w:r>
    </w:p>
    <w:p w14:paraId="79CF5838" w14:textId="77777777" w:rsidR="00AE1998" w:rsidRDefault="00AE1998" w:rsidP="00AE1998">
      <w:pPr>
        <w:spacing w:before="1" w:line="268" w:lineRule="auto"/>
        <w:ind w:right="-1"/>
        <w:jc w:val="both"/>
        <w:rPr>
          <w:rFonts w:cstheme="minorHAnsi"/>
          <w:spacing w:val="-37"/>
          <w:w w:val="105"/>
          <w:sz w:val="24"/>
          <w:szCs w:val="24"/>
          <w:lang w:val="en-GB"/>
        </w:rPr>
      </w:pPr>
      <w:proofErr w:type="spellStart"/>
      <w:r>
        <w:rPr>
          <w:rFonts w:cstheme="minorHAnsi"/>
          <w:w w:val="105"/>
          <w:sz w:val="24"/>
          <w:szCs w:val="24"/>
          <w:lang w:val="en-GB"/>
        </w:rPr>
        <w:t>Galenson</w:t>
      </w:r>
      <w:proofErr w:type="spellEnd"/>
      <w:r>
        <w:rPr>
          <w:rFonts w:cstheme="minorHAnsi"/>
          <w:w w:val="105"/>
          <w:sz w:val="24"/>
          <w:szCs w:val="24"/>
          <w:lang w:val="en-GB"/>
        </w:rPr>
        <w:t>,</w:t>
      </w:r>
      <w:r>
        <w:rPr>
          <w:rFonts w:cstheme="minorHAnsi"/>
          <w:spacing w:val="-8"/>
          <w:w w:val="105"/>
          <w:sz w:val="24"/>
          <w:szCs w:val="24"/>
          <w:lang w:val="en-GB"/>
        </w:rPr>
        <w:t xml:space="preserve"> </w:t>
      </w:r>
      <w:r>
        <w:rPr>
          <w:rFonts w:cstheme="minorHAnsi"/>
          <w:w w:val="105"/>
          <w:sz w:val="24"/>
          <w:szCs w:val="24"/>
          <w:lang w:val="en-GB"/>
        </w:rPr>
        <w:t>D.,</w:t>
      </w:r>
      <w:r>
        <w:rPr>
          <w:rFonts w:cstheme="minorHAnsi"/>
          <w:spacing w:val="-7"/>
          <w:w w:val="105"/>
          <w:sz w:val="24"/>
          <w:szCs w:val="24"/>
          <w:lang w:val="en-GB"/>
        </w:rPr>
        <w:t xml:space="preserve"> &amp; </w:t>
      </w:r>
      <w:r>
        <w:rPr>
          <w:rFonts w:cstheme="minorHAnsi"/>
          <w:w w:val="105"/>
          <w:sz w:val="24"/>
          <w:szCs w:val="24"/>
          <w:lang w:val="en-GB"/>
        </w:rPr>
        <w:t>Weinberg,</w:t>
      </w:r>
      <w:r>
        <w:rPr>
          <w:rFonts w:cstheme="minorHAnsi"/>
          <w:spacing w:val="-7"/>
          <w:w w:val="105"/>
          <w:sz w:val="24"/>
          <w:szCs w:val="24"/>
          <w:lang w:val="en-GB"/>
        </w:rPr>
        <w:t xml:space="preserve"> </w:t>
      </w:r>
      <w:r>
        <w:rPr>
          <w:rFonts w:cstheme="minorHAnsi"/>
          <w:w w:val="105"/>
          <w:sz w:val="24"/>
          <w:szCs w:val="24"/>
          <w:lang w:val="en-GB"/>
        </w:rPr>
        <w:t>B.</w:t>
      </w:r>
      <w:r>
        <w:rPr>
          <w:rFonts w:cstheme="minorHAnsi"/>
          <w:spacing w:val="-8"/>
          <w:w w:val="105"/>
          <w:sz w:val="24"/>
          <w:szCs w:val="24"/>
          <w:lang w:val="en-GB"/>
        </w:rPr>
        <w:t xml:space="preserve"> (</w:t>
      </w:r>
      <w:r>
        <w:rPr>
          <w:rFonts w:cstheme="minorHAnsi"/>
          <w:w w:val="105"/>
          <w:sz w:val="24"/>
          <w:szCs w:val="24"/>
          <w:lang w:val="en-GB"/>
        </w:rPr>
        <w:t>2000).</w:t>
      </w:r>
      <w:r>
        <w:rPr>
          <w:rFonts w:cstheme="minorHAnsi"/>
          <w:spacing w:val="-6"/>
          <w:w w:val="105"/>
          <w:sz w:val="24"/>
          <w:szCs w:val="24"/>
          <w:lang w:val="en-GB"/>
        </w:rPr>
        <w:t xml:space="preserve"> </w:t>
      </w:r>
      <w:r>
        <w:rPr>
          <w:rFonts w:cstheme="minorHAnsi"/>
          <w:w w:val="105"/>
          <w:sz w:val="24"/>
          <w:szCs w:val="24"/>
          <w:lang w:val="en-GB"/>
        </w:rPr>
        <w:t>Age</w:t>
      </w:r>
      <w:r>
        <w:rPr>
          <w:rFonts w:cstheme="minorHAnsi"/>
          <w:spacing w:val="-7"/>
          <w:w w:val="105"/>
          <w:sz w:val="24"/>
          <w:szCs w:val="24"/>
          <w:lang w:val="en-GB"/>
        </w:rPr>
        <w:t xml:space="preserve"> </w:t>
      </w:r>
      <w:r>
        <w:rPr>
          <w:rFonts w:cstheme="minorHAnsi"/>
          <w:w w:val="105"/>
          <w:sz w:val="24"/>
          <w:szCs w:val="24"/>
          <w:lang w:val="en-GB"/>
        </w:rPr>
        <w:t>and</w:t>
      </w:r>
      <w:r>
        <w:rPr>
          <w:rFonts w:cstheme="minorHAnsi"/>
          <w:spacing w:val="-7"/>
          <w:w w:val="105"/>
          <w:sz w:val="24"/>
          <w:szCs w:val="24"/>
          <w:lang w:val="en-GB"/>
        </w:rPr>
        <w:t xml:space="preserve"> </w:t>
      </w:r>
      <w:r>
        <w:rPr>
          <w:rFonts w:cstheme="minorHAnsi"/>
          <w:w w:val="105"/>
          <w:sz w:val="24"/>
          <w:szCs w:val="24"/>
          <w:lang w:val="en-GB"/>
        </w:rPr>
        <w:t>the</w:t>
      </w:r>
      <w:r>
        <w:rPr>
          <w:rFonts w:cstheme="minorHAnsi"/>
          <w:spacing w:val="-7"/>
          <w:w w:val="105"/>
          <w:sz w:val="24"/>
          <w:szCs w:val="24"/>
          <w:lang w:val="en-GB"/>
        </w:rPr>
        <w:t xml:space="preserve"> </w:t>
      </w:r>
      <w:r>
        <w:rPr>
          <w:rFonts w:cstheme="minorHAnsi"/>
          <w:w w:val="105"/>
          <w:sz w:val="24"/>
          <w:szCs w:val="24"/>
          <w:lang w:val="en-GB"/>
        </w:rPr>
        <w:t>quality</w:t>
      </w:r>
      <w:r>
        <w:rPr>
          <w:rFonts w:cstheme="minorHAnsi"/>
          <w:spacing w:val="-7"/>
          <w:w w:val="105"/>
          <w:sz w:val="24"/>
          <w:szCs w:val="24"/>
          <w:lang w:val="en-GB"/>
        </w:rPr>
        <w:t xml:space="preserve"> </w:t>
      </w:r>
      <w:r>
        <w:rPr>
          <w:rFonts w:cstheme="minorHAnsi"/>
          <w:w w:val="105"/>
          <w:sz w:val="24"/>
          <w:szCs w:val="24"/>
          <w:lang w:val="en-GB"/>
        </w:rPr>
        <w:t>of</w:t>
      </w:r>
      <w:r>
        <w:rPr>
          <w:rFonts w:cstheme="minorHAnsi"/>
          <w:spacing w:val="-8"/>
          <w:w w:val="105"/>
          <w:sz w:val="24"/>
          <w:szCs w:val="24"/>
          <w:lang w:val="en-GB"/>
        </w:rPr>
        <w:t xml:space="preserve"> </w:t>
      </w:r>
      <w:r>
        <w:rPr>
          <w:rFonts w:cstheme="minorHAnsi"/>
          <w:w w:val="105"/>
          <w:sz w:val="24"/>
          <w:szCs w:val="24"/>
          <w:lang w:val="en-GB"/>
        </w:rPr>
        <w:t>work:</w:t>
      </w:r>
      <w:r>
        <w:rPr>
          <w:rFonts w:cstheme="minorHAnsi"/>
          <w:spacing w:val="-8"/>
          <w:w w:val="105"/>
          <w:sz w:val="24"/>
          <w:szCs w:val="24"/>
          <w:lang w:val="en-GB"/>
        </w:rPr>
        <w:t xml:space="preserve"> </w:t>
      </w:r>
      <w:r>
        <w:rPr>
          <w:rFonts w:cstheme="minorHAnsi"/>
          <w:w w:val="105"/>
          <w:sz w:val="24"/>
          <w:szCs w:val="24"/>
          <w:lang w:val="en-GB"/>
        </w:rPr>
        <w:t>the</w:t>
      </w:r>
      <w:r>
        <w:rPr>
          <w:rFonts w:cstheme="minorHAnsi"/>
          <w:spacing w:val="-7"/>
          <w:w w:val="105"/>
          <w:sz w:val="24"/>
          <w:szCs w:val="24"/>
          <w:lang w:val="en-GB"/>
        </w:rPr>
        <w:t xml:space="preserve"> </w:t>
      </w:r>
      <w:r>
        <w:rPr>
          <w:rFonts w:cstheme="minorHAnsi"/>
          <w:w w:val="105"/>
          <w:sz w:val="24"/>
          <w:szCs w:val="24"/>
          <w:lang w:val="en-GB"/>
        </w:rPr>
        <w:t>case</w:t>
      </w:r>
      <w:r>
        <w:rPr>
          <w:rFonts w:cstheme="minorHAnsi"/>
          <w:spacing w:val="-8"/>
          <w:w w:val="105"/>
          <w:sz w:val="24"/>
          <w:szCs w:val="24"/>
          <w:lang w:val="en-GB"/>
        </w:rPr>
        <w:t xml:space="preserve"> </w:t>
      </w:r>
      <w:r>
        <w:rPr>
          <w:rFonts w:cstheme="minorHAnsi"/>
          <w:w w:val="105"/>
          <w:sz w:val="24"/>
          <w:szCs w:val="24"/>
          <w:lang w:val="en-GB"/>
        </w:rPr>
        <w:t>of</w:t>
      </w:r>
      <w:r>
        <w:rPr>
          <w:rFonts w:cstheme="minorHAnsi"/>
          <w:spacing w:val="-7"/>
          <w:w w:val="105"/>
          <w:sz w:val="24"/>
          <w:szCs w:val="24"/>
          <w:lang w:val="en-GB"/>
        </w:rPr>
        <w:t xml:space="preserve"> </w:t>
      </w:r>
      <w:r>
        <w:rPr>
          <w:rFonts w:cstheme="minorHAnsi"/>
          <w:w w:val="105"/>
          <w:sz w:val="24"/>
          <w:szCs w:val="24"/>
          <w:lang w:val="en-GB"/>
        </w:rPr>
        <w:t>modern</w:t>
      </w:r>
      <w:r>
        <w:rPr>
          <w:rFonts w:cstheme="minorHAnsi"/>
          <w:spacing w:val="-7"/>
          <w:w w:val="105"/>
          <w:sz w:val="24"/>
          <w:szCs w:val="24"/>
          <w:lang w:val="en-GB"/>
        </w:rPr>
        <w:t xml:space="preserve"> </w:t>
      </w:r>
      <w:r>
        <w:rPr>
          <w:rFonts w:cstheme="minorHAnsi"/>
          <w:w w:val="105"/>
          <w:sz w:val="24"/>
          <w:szCs w:val="24"/>
          <w:lang w:val="en-GB"/>
        </w:rPr>
        <w:t>American</w:t>
      </w:r>
      <w:r>
        <w:rPr>
          <w:rFonts w:cstheme="minorHAnsi"/>
          <w:spacing w:val="-7"/>
          <w:w w:val="105"/>
          <w:sz w:val="24"/>
          <w:szCs w:val="24"/>
          <w:lang w:val="en-GB"/>
        </w:rPr>
        <w:t xml:space="preserve"> </w:t>
      </w:r>
      <w:r>
        <w:rPr>
          <w:rFonts w:cstheme="minorHAnsi"/>
          <w:w w:val="105"/>
          <w:sz w:val="24"/>
          <w:szCs w:val="24"/>
          <w:lang w:val="en-GB"/>
        </w:rPr>
        <w:t>painters.</w:t>
      </w:r>
      <w:r>
        <w:rPr>
          <w:rFonts w:cstheme="minorHAnsi"/>
          <w:spacing w:val="-7"/>
          <w:w w:val="105"/>
          <w:sz w:val="24"/>
          <w:szCs w:val="24"/>
          <w:lang w:val="en-GB"/>
        </w:rPr>
        <w:t xml:space="preserve"> </w:t>
      </w:r>
      <w:r>
        <w:rPr>
          <w:rFonts w:cstheme="minorHAnsi"/>
          <w:i/>
          <w:iCs/>
          <w:w w:val="105"/>
          <w:sz w:val="24"/>
          <w:szCs w:val="24"/>
          <w:lang w:val="en-GB"/>
        </w:rPr>
        <w:t>The</w:t>
      </w:r>
      <w:r>
        <w:rPr>
          <w:rFonts w:cstheme="minorHAnsi"/>
          <w:i/>
          <w:iCs/>
          <w:spacing w:val="-8"/>
          <w:w w:val="105"/>
          <w:sz w:val="24"/>
          <w:szCs w:val="24"/>
          <w:lang w:val="en-GB"/>
        </w:rPr>
        <w:t xml:space="preserve"> </w:t>
      </w:r>
      <w:r>
        <w:rPr>
          <w:rFonts w:cstheme="minorHAnsi"/>
          <w:i/>
          <w:iCs/>
          <w:w w:val="105"/>
          <w:sz w:val="24"/>
          <w:szCs w:val="24"/>
          <w:lang w:val="en-GB"/>
        </w:rPr>
        <w:t>Journal</w:t>
      </w:r>
      <w:r>
        <w:rPr>
          <w:rFonts w:cstheme="minorHAnsi"/>
          <w:i/>
          <w:iCs/>
          <w:spacing w:val="-7"/>
          <w:w w:val="105"/>
          <w:sz w:val="24"/>
          <w:szCs w:val="24"/>
          <w:lang w:val="en-GB"/>
        </w:rPr>
        <w:t xml:space="preserve"> </w:t>
      </w:r>
      <w:r>
        <w:rPr>
          <w:rFonts w:cstheme="minorHAnsi"/>
          <w:i/>
          <w:iCs/>
          <w:w w:val="105"/>
          <w:sz w:val="24"/>
          <w:szCs w:val="24"/>
          <w:lang w:val="en-GB"/>
        </w:rPr>
        <w:t>of</w:t>
      </w:r>
      <w:r>
        <w:rPr>
          <w:rFonts w:cstheme="minorHAnsi"/>
          <w:i/>
          <w:iCs/>
          <w:spacing w:val="-7"/>
          <w:w w:val="105"/>
          <w:sz w:val="24"/>
          <w:szCs w:val="24"/>
          <w:lang w:val="en-GB"/>
        </w:rPr>
        <w:t xml:space="preserve"> </w:t>
      </w:r>
      <w:r>
        <w:rPr>
          <w:rFonts w:cstheme="minorHAnsi"/>
          <w:i/>
          <w:iCs/>
          <w:w w:val="105"/>
          <w:sz w:val="24"/>
          <w:szCs w:val="24"/>
          <w:lang w:val="en-GB"/>
        </w:rPr>
        <w:t>Political</w:t>
      </w:r>
      <w:r>
        <w:rPr>
          <w:rFonts w:cstheme="minorHAnsi"/>
          <w:i/>
          <w:iCs/>
          <w:spacing w:val="-8"/>
          <w:w w:val="105"/>
          <w:sz w:val="24"/>
          <w:szCs w:val="24"/>
          <w:lang w:val="en-GB"/>
        </w:rPr>
        <w:t xml:space="preserve"> </w:t>
      </w:r>
      <w:r>
        <w:rPr>
          <w:rFonts w:cstheme="minorHAnsi"/>
          <w:i/>
          <w:iCs/>
          <w:w w:val="105"/>
          <w:sz w:val="24"/>
          <w:szCs w:val="24"/>
          <w:lang w:val="en-GB"/>
        </w:rPr>
        <w:t>Economy</w:t>
      </w:r>
      <w:r>
        <w:rPr>
          <w:rFonts w:cstheme="minorHAnsi"/>
          <w:w w:val="105"/>
          <w:sz w:val="24"/>
          <w:szCs w:val="24"/>
          <w:lang w:val="en-GB"/>
        </w:rPr>
        <w:t>, 108(4):</w:t>
      </w:r>
      <w:r>
        <w:rPr>
          <w:rFonts w:cstheme="minorHAnsi"/>
          <w:spacing w:val="-7"/>
          <w:w w:val="105"/>
          <w:sz w:val="24"/>
          <w:szCs w:val="24"/>
          <w:lang w:val="en-GB"/>
        </w:rPr>
        <w:t xml:space="preserve"> </w:t>
      </w:r>
      <w:r>
        <w:rPr>
          <w:rFonts w:cstheme="minorHAnsi"/>
          <w:w w:val="105"/>
          <w:sz w:val="24"/>
          <w:szCs w:val="24"/>
          <w:lang w:val="en-GB"/>
        </w:rPr>
        <w:t>761-777.</w:t>
      </w:r>
      <w:r>
        <w:rPr>
          <w:rFonts w:cstheme="minorHAnsi"/>
          <w:spacing w:val="-37"/>
          <w:w w:val="105"/>
          <w:sz w:val="24"/>
          <w:szCs w:val="24"/>
          <w:lang w:val="en-GB"/>
        </w:rPr>
        <w:t xml:space="preserve"> </w:t>
      </w:r>
    </w:p>
    <w:p w14:paraId="22784ED6" w14:textId="77777777" w:rsidR="00AE1998" w:rsidRDefault="00AE1998" w:rsidP="00AE1998">
      <w:pPr>
        <w:spacing w:before="1" w:line="268" w:lineRule="auto"/>
        <w:ind w:right="-1"/>
        <w:jc w:val="both"/>
        <w:rPr>
          <w:rFonts w:cstheme="minorHAnsi"/>
          <w:sz w:val="24"/>
          <w:szCs w:val="24"/>
          <w:lang w:val="en-GB"/>
        </w:rPr>
      </w:pPr>
      <w:proofErr w:type="spellStart"/>
      <w:r>
        <w:rPr>
          <w:rFonts w:cstheme="minorHAnsi"/>
          <w:sz w:val="24"/>
          <w:szCs w:val="24"/>
          <w:lang w:val="en-GB"/>
        </w:rPr>
        <w:t>Galenson</w:t>
      </w:r>
      <w:proofErr w:type="spellEnd"/>
      <w:r>
        <w:rPr>
          <w:rFonts w:cstheme="minorHAnsi"/>
          <w:sz w:val="24"/>
          <w:szCs w:val="24"/>
          <w:lang w:val="en-GB"/>
        </w:rPr>
        <w:t>,</w:t>
      </w:r>
      <w:r>
        <w:rPr>
          <w:rFonts w:cstheme="minorHAnsi"/>
          <w:spacing w:val="8"/>
          <w:sz w:val="24"/>
          <w:szCs w:val="24"/>
          <w:lang w:val="en-GB"/>
        </w:rPr>
        <w:t xml:space="preserve"> </w:t>
      </w:r>
      <w:r>
        <w:rPr>
          <w:rFonts w:cstheme="minorHAnsi"/>
          <w:sz w:val="24"/>
          <w:szCs w:val="24"/>
          <w:lang w:val="en-GB"/>
        </w:rPr>
        <w:t>D.,</w:t>
      </w:r>
      <w:r>
        <w:rPr>
          <w:rFonts w:cstheme="minorHAnsi"/>
          <w:spacing w:val="8"/>
          <w:sz w:val="24"/>
          <w:szCs w:val="24"/>
          <w:lang w:val="en-GB"/>
        </w:rPr>
        <w:t xml:space="preserve"> &amp; </w:t>
      </w:r>
      <w:r>
        <w:rPr>
          <w:rFonts w:cstheme="minorHAnsi"/>
          <w:sz w:val="24"/>
          <w:szCs w:val="24"/>
          <w:lang w:val="en-GB"/>
        </w:rPr>
        <w:t>Weinberg,</w:t>
      </w:r>
      <w:r>
        <w:rPr>
          <w:rFonts w:cstheme="minorHAnsi"/>
          <w:spacing w:val="9"/>
          <w:sz w:val="24"/>
          <w:szCs w:val="24"/>
          <w:lang w:val="en-GB"/>
        </w:rPr>
        <w:t xml:space="preserve"> </w:t>
      </w:r>
      <w:r>
        <w:rPr>
          <w:rFonts w:cstheme="minorHAnsi"/>
          <w:sz w:val="24"/>
          <w:szCs w:val="24"/>
          <w:lang w:val="en-GB"/>
        </w:rPr>
        <w:t>B.</w:t>
      </w:r>
      <w:r>
        <w:rPr>
          <w:rFonts w:cstheme="minorHAnsi"/>
          <w:spacing w:val="10"/>
          <w:sz w:val="24"/>
          <w:szCs w:val="24"/>
          <w:lang w:val="en-GB"/>
        </w:rPr>
        <w:t xml:space="preserve"> (</w:t>
      </w:r>
      <w:r>
        <w:rPr>
          <w:rFonts w:cstheme="minorHAnsi"/>
          <w:sz w:val="24"/>
          <w:szCs w:val="24"/>
          <w:lang w:val="en-GB"/>
        </w:rPr>
        <w:t>2001).</w:t>
      </w:r>
      <w:r>
        <w:rPr>
          <w:rFonts w:cstheme="minorHAnsi"/>
          <w:spacing w:val="8"/>
          <w:sz w:val="24"/>
          <w:szCs w:val="24"/>
          <w:lang w:val="en-GB"/>
        </w:rPr>
        <w:t xml:space="preserve"> </w:t>
      </w:r>
      <w:r>
        <w:rPr>
          <w:rFonts w:cstheme="minorHAnsi"/>
          <w:sz w:val="24"/>
          <w:szCs w:val="24"/>
          <w:lang w:val="en-GB"/>
        </w:rPr>
        <w:t>Creating</w:t>
      </w:r>
      <w:r>
        <w:rPr>
          <w:rFonts w:cstheme="minorHAnsi"/>
          <w:spacing w:val="9"/>
          <w:sz w:val="24"/>
          <w:szCs w:val="24"/>
          <w:lang w:val="en-GB"/>
        </w:rPr>
        <w:t xml:space="preserve"> </w:t>
      </w:r>
      <w:r>
        <w:rPr>
          <w:rFonts w:cstheme="minorHAnsi"/>
          <w:sz w:val="24"/>
          <w:szCs w:val="24"/>
          <w:lang w:val="en-GB"/>
        </w:rPr>
        <w:t>modern</w:t>
      </w:r>
      <w:r>
        <w:rPr>
          <w:rFonts w:cstheme="minorHAnsi"/>
          <w:spacing w:val="9"/>
          <w:sz w:val="24"/>
          <w:szCs w:val="24"/>
          <w:lang w:val="en-GB"/>
        </w:rPr>
        <w:t xml:space="preserve"> </w:t>
      </w:r>
      <w:r>
        <w:rPr>
          <w:rFonts w:cstheme="minorHAnsi"/>
          <w:sz w:val="24"/>
          <w:szCs w:val="24"/>
          <w:lang w:val="en-GB"/>
        </w:rPr>
        <w:t>art:</w:t>
      </w:r>
      <w:r>
        <w:rPr>
          <w:rFonts w:cstheme="minorHAnsi"/>
          <w:spacing w:val="10"/>
          <w:sz w:val="24"/>
          <w:szCs w:val="24"/>
          <w:lang w:val="en-GB"/>
        </w:rPr>
        <w:t xml:space="preserve"> </w:t>
      </w:r>
      <w:r>
        <w:rPr>
          <w:rFonts w:cstheme="minorHAnsi"/>
          <w:sz w:val="24"/>
          <w:szCs w:val="24"/>
          <w:lang w:val="en-GB"/>
        </w:rPr>
        <w:t>the</w:t>
      </w:r>
      <w:r>
        <w:rPr>
          <w:rFonts w:cstheme="minorHAnsi"/>
          <w:spacing w:val="9"/>
          <w:sz w:val="24"/>
          <w:szCs w:val="24"/>
          <w:lang w:val="en-GB"/>
        </w:rPr>
        <w:t xml:space="preserve"> </w:t>
      </w:r>
      <w:r>
        <w:rPr>
          <w:rFonts w:cstheme="minorHAnsi"/>
          <w:sz w:val="24"/>
          <w:szCs w:val="24"/>
          <w:lang w:val="en-GB"/>
        </w:rPr>
        <w:t>changing</w:t>
      </w:r>
      <w:r>
        <w:rPr>
          <w:rFonts w:cstheme="minorHAnsi"/>
          <w:spacing w:val="8"/>
          <w:sz w:val="24"/>
          <w:szCs w:val="24"/>
          <w:lang w:val="en-GB"/>
        </w:rPr>
        <w:t xml:space="preserve"> </w:t>
      </w:r>
      <w:r>
        <w:rPr>
          <w:rFonts w:cstheme="minorHAnsi"/>
          <w:sz w:val="24"/>
          <w:szCs w:val="24"/>
          <w:lang w:val="en-GB"/>
        </w:rPr>
        <w:t>careers</w:t>
      </w:r>
      <w:r>
        <w:rPr>
          <w:rFonts w:cstheme="minorHAnsi"/>
          <w:spacing w:val="9"/>
          <w:sz w:val="24"/>
          <w:szCs w:val="24"/>
          <w:lang w:val="en-GB"/>
        </w:rPr>
        <w:t xml:space="preserve"> </w:t>
      </w:r>
      <w:r>
        <w:rPr>
          <w:rFonts w:cstheme="minorHAnsi"/>
          <w:sz w:val="24"/>
          <w:szCs w:val="24"/>
          <w:lang w:val="en-GB"/>
        </w:rPr>
        <w:t>of</w:t>
      </w:r>
      <w:r>
        <w:rPr>
          <w:rFonts w:cstheme="minorHAnsi"/>
          <w:spacing w:val="8"/>
          <w:sz w:val="24"/>
          <w:szCs w:val="24"/>
          <w:lang w:val="en-GB"/>
        </w:rPr>
        <w:t xml:space="preserve"> </w:t>
      </w:r>
      <w:r>
        <w:rPr>
          <w:rFonts w:cstheme="minorHAnsi"/>
          <w:sz w:val="24"/>
          <w:szCs w:val="24"/>
          <w:lang w:val="en-GB"/>
        </w:rPr>
        <w:t>painters</w:t>
      </w:r>
      <w:r>
        <w:rPr>
          <w:rFonts w:cstheme="minorHAnsi"/>
          <w:spacing w:val="10"/>
          <w:sz w:val="24"/>
          <w:szCs w:val="24"/>
          <w:lang w:val="en-GB"/>
        </w:rPr>
        <w:t xml:space="preserve"> </w:t>
      </w:r>
      <w:r>
        <w:rPr>
          <w:rFonts w:cstheme="minorHAnsi"/>
          <w:sz w:val="24"/>
          <w:szCs w:val="24"/>
          <w:lang w:val="en-GB"/>
        </w:rPr>
        <w:t>in</w:t>
      </w:r>
      <w:r>
        <w:rPr>
          <w:rFonts w:cstheme="minorHAnsi"/>
          <w:spacing w:val="8"/>
          <w:sz w:val="24"/>
          <w:szCs w:val="24"/>
          <w:lang w:val="en-GB"/>
        </w:rPr>
        <w:t xml:space="preserve"> </w:t>
      </w:r>
      <w:r>
        <w:rPr>
          <w:rFonts w:cstheme="minorHAnsi"/>
          <w:sz w:val="24"/>
          <w:szCs w:val="24"/>
          <w:lang w:val="en-GB"/>
        </w:rPr>
        <w:t>France</w:t>
      </w:r>
      <w:r>
        <w:rPr>
          <w:rFonts w:cstheme="minorHAnsi"/>
          <w:spacing w:val="9"/>
          <w:sz w:val="24"/>
          <w:szCs w:val="24"/>
          <w:lang w:val="en-GB"/>
        </w:rPr>
        <w:t xml:space="preserve"> </w:t>
      </w:r>
      <w:r>
        <w:rPr>
          <w:rFonts w:cstheme="minorHAnsi"/>
          <w:sz w:val="24"/>
          <w:szCs w:val="24"/>
          <w:lang w:val="en-GB"/>
        </w:rPr>
        <w:t>from</w:t>
      </w:r>
      <w:r>
        <w:rPr>
          <w:rFonts w:cstheme="minorHAnsi"/>
          <w:spacing w:val="10"/>
          <w:sz w:val="24"/>
          <w:szCs w:val="24"/>
          <w:lang w:val="en-GB"/>
        </w:rPr>
        <w:t xml:space="preserve"> </w:t>
      </w:r>
      <w:r>
        <w:rPr>
          <w:rFonts w:cstheme="minorHAnsi"/>
          <w:sz w:val="24"/>
          <w:szCs w:val="24"/>
          <w:lang w:val="en-GB"/>
        </w:rPr>
        <w:t>impressionism</w:t>
      </w:r>
      <w:r>
        <w:rPr>
          <w:rFonts w:cstheme="minorHAnsi"/>
          <w:spacing w:val="8"/>
          <w:sz w:val="24"/>
          <w:szCs w:val="24"/>
          <w:lang w:val="en-GB"/>
        </w:rPr>
        <w:t xml:space="preserve"> </w:t>
      </w:r>
      <w:r>
        <w:rPr>
          <w:rFonts w:cstheme="minorHAnsi"/>
          <w:sz w:val="24"/>
          <w:szCs w:val="24"/>
          <w:lang w:val="en-GB"/>
        </w:rPr>
        <w:t>to</w:t>
      </w:r>
      <w:r>
        <w:rPr>
          <w:rFonts w:cstheme="minorHAnsi"/>
          <w:spacing w:val="10"/>
          <w:sz w:val="24"/>
          <w:szCs w:val="24"/>
          <w:lang w:val="en-GB"/>
        </w:rPr>
        <w:t xml:space="preserve"> </w:t>
      </w:r>
      <w:r>
        <w:rPr>
          <w:rFonts w:cstheme="minorHAnsi"/>
          <w:sz w:val="24"/>
          <w:szCs w:val="24"/>
          <w:lang w:val="en-GB"/>
        </w:rPr>
        <w:t>cubism.</w:t>
      </w:r>
      <w:r>
        <w:rPr>
          <w:rFonts w:cstheme="minorHAnsi"/>
          <w:spacing w:val="8"/>
          <w:sz w:val="24"/>
          <w:szCs w:val="24"/>
          <w:lang w:val="en-GB"/>
        </w:rPr>
        <w:t xml:space="preserve"> </w:t>
      </w:r>
      <w:r>
        <w:rPr>
          <w:rFonts w:cstheme="minorHAnsi"/>
          <w:i/>
          <w:iCs/>
          <w:sz w:val="24"/>
          <w:szCs w:val="24"/>
          <w:lang w:val="en-GB"/>
        </w:rPr>
        <w:t>The</w:t>
      </w:r>
      <w:r>
        <w:rPr>
          <w:rFonts w:cstheme="minorHAnsi"/>
          <w:i/>
          <w:iCs/>
          <w:spacing w:val="9"/>
          <w:sz w:val="24"/>
          <w:szCs w:val="24"/>
          <w:lang w:val="en-GB"/>
        </w:rPr>
        <w:t xml:space="preserve"> </w:t>
      </w:r>
      <w:r>
        <w:rPr>
          <w:rFonts w:cstheme="minorHAnsi"/>
          <w:i/>
          <w:iCs/>
          <w:sz w:val="24"/>
          <w:szCs w:val="24"/>
          <w:lang w:val="en-GB"/>
        </w:rPr>
        <w:t>American</w:t>
      </w:r>
      <w:r>
        <w:rPr>
          <w:rFonts w:cstheme="minorHAnsi"/>
          <w:i/>
          <w:iCs/>
          <w:spacing w:val="10"/>
          <w:sz w:val="24"/>
          <w:szCs w:val="24"/>
          <w:lang w:val="en-GB"/>
        </w:rPr>
        <w:t xml:space="preserve"> </w:t>
      </w:r>
      <w:r>
        <w:rPr>
          <w:rFonts w:cstheme="minorHAnsi"/>
          <w:i/>
          <w:iCs/>
          <w:sz w:val="24"/>
          <w:szCs w:val="24"/>
          <w:lang w:val="en-GB"/>
        </w:rPr>
        <w:t xml:space="preserve">Economic </w:t>
      </w:r>
      <w:r>
        <w:rPr>
          <w:rFonts w:cstheme="minorHAnsi"/>
          <w:i/>
          <w:iCs/>
          <w:w w:val="105"/>
          <w:sz w:val="24"/>
          <w:szCs w:val="24"/>
          <w:lang w:val="en-GB"/>
        </w:rPr>
        <w:t>Review</w:t>
      </w:r>
      <w:r>
        <w:rPr>
          <w:rFonts w:cstheme="minorHAnsi"/>
          <w:w w:val="105"/>
          <w:sz w:val="24"/>
          <w:szCs w:val="24"/>
          <w:lang w:val="en-GB"/>
        </w:rPr>
        <w:t>, 91(4):</w:t>
      </w:r>
      <w:r>
        <w:rPr>
          <w:rFonts w:cstheme="minorHAnsi"/>
          <w:spacing w:val="11"/>
          <w:w w:val="105"/>
          <w:sz w:val="24"/>
          <w:szCs w:val="24"/>
          <w:lang w:val="en-GB"/>
        </w:rPr>
        <w:t xml:space="preserve"> </w:t>
      </w:r>
      <w:r>
        <w:rPr>
          <w:rFonts w:cstheme="minorHAnsi"/>
          <w:w w:val="105"/>
          <w:sz w:val="24"/>
          <w:szCs w:val="24"/>
          <w:lang w:val="en-GB"/>
        </w:rPr>
        <w:t>1063-1071.</w:t>
      </w:r>
    </w:p>
    <w:p w14:paraId="7C753032" w14:textId="77777777" w:rsidR="00AE1998" w:rsidRDefault="00AE1998" w:rsidP="00AE1998">
      <w:pPr>
        <w:spacing w:after="160" w:line="240" w:lineRule="auto"/>
        <w:jc w:val="both"/>
        <w:rPr>
          <w:rFonts w:cstheme="minorHAnsi"/>
          <w:color w:val="000000"/>
          <w:sz w:val="24"/>
          <w:szCs w:val="24"/>
          <w:lang w:val="en-GB"/>
        </w:rPr>
      </w:pPr>
      <w:proofErr w:type="spellStart"/>
      <w:r>
        <w:rPr>
          <w:rFonts w:cstheme="minorHAnsi"/>
          <w:color w:val="000000" w:themeColor="text1"/>
          <w:sz w:val="24"/>
          <w:szCs w:val="24"/>
          <w:lang w:val="en-GB"/>
        </w:rPr>
        <w:t>Gardeazabal</w:t>
      </w:r>
      <w:proofErr w:type="spellEnd"/>
      <w:r>
        <w:rPr>
          <w:rFonts w:cstheme="minorHAnsi"/>
          <w:color w:val="000000" w:themeColor="text1"/>
          <w:sz w:val="24"/>
          <w:szCs w:val="24"/>
          <w:lang w:val="en-GB"/>
        </w:rPr>
        <w:t xml:space="preserve">, J., and </w:t>
      </w:r>
      <w:proofErr w:type="spellStart"/>
      <w:r>
        <w:rPr>
          <w:rFonts w:cstheme="minorHAnsi"/>
          <w:color w:val="000000" w:themeColor="text1"/>
          <w:sz w:val="24"/>
          <w:szCs w:val="24"/>
          <w:lang w:val="en-GB"/>
        </w:rPr>
        <w:t>Ugidos</w:t>
      </w:r>
      <w:proofErr w:type="spellEnd"/>
      <w:r>
        <w:rPr>
          <w:rFonts w:cstheme="minorHAnsi"/>
          <w:color w:val="000000" w:themeColor="text1"/>
          <w:sz w:val="24"/>
          <w:szCs w:val="24"/>
          <w:lang w:val="en-GB"/>
        </w:rPr>
        <w:t>, A. (2004)</w:t>
      </w:r>
      <w:r>
        <w:rPr>
          <w:rFonts w:cstheme="minorHAnsi"/>
          <w:color w:val="000000"/>
          <w:sz w:val="24"/>
          <w:szCs w:val="24"/>
          <w:lang w:val="en-GB"/>
        </w:rPr>
        <w:t xml:space="preserve"> More on the Identification in Detailed Wage Decompositions. </w:t>
      </w:r>
      <w:r>
        <w:rPr>
          <w:rFonts w:cstheme="minorHAnsi"/>
          <w:i/>
          <w:color w:val="000000"/>
          <w:sz w:val="24"/>
          <w:szCs w:val="24"/>
          <w:lang w:val="en-GB"/>
        </w:rPr>
        <w:t>Review of Economics and Statistics,</w:t>
      </w:r>
      <w:r>
        <w:rPr>
          <w:rFonts w:cstheme="minorHAnsi"/>
          <w:color w:val="000000"/>
          <w:sz w:val="24"/>
          <w:szCs w:val="24"/>
          <w:lang w:val="en-GB"/>
        </w:rPr>
        <w:t xml:space="preserve"> 86: 1034-57. </w:t>
      </w:r>
    </w:p>
    <w:p w14:paraId="36C6E0CE" w14:textId="77777777" w:rsidR="00AE1998" w:rsidRDefault="00AE1998" w:rsidP="00AE1998">
      <w:pPr>
        <w:spacing w:before="18"/>
        <w:ind w:right="-1"/>
        <w:jc w:val="both"/>
        <w:rPr>
          <w:rFonts w:cstheme="minorHAnsi"/>
          <w:sz w:val="24"/>
          <w:szCs w:val="24"/>
          <w:lang w:val="en-GB"/>
        </w:rPr>
      </w:pPr>
      <w:proofErr w:type="spellStart"/>
      <w:r>
        <w:rPr>
          <w:rFonts w:cstheme="minorHAnsi"/>
          <w:sz w:val="24"/>
          <w:szCs w:val="24"/>
          <w:lang w:val="en-GB"/>
        </w:rPr>
        <w:t>Ginsburgh</w:t>
      </w:r>
      <w:proofErr w:type="spellEnd"/>
      <w:r>
        <w:rPr>
          <w:rFonts w:cstheme="minorHAnsi"/>
          <w:sz w:val="24"/>
          <w:szCs w:val="24"/>
          <w:lang w:val="en-GB"/>
        </w:rPr>
        <w:t>,</w:t>
      </w:r>
      <w:r>
        <w:rPr>
          <w:rFonts w:cstheme="minorHAnsi"/>
          <w:spacing w:val="13"/>
          <w:sz w:val="24"/>
          <w:szCs w:val="24"/>
          <w:lang w:val="en-GB"/>
        </w:rPr>
        <w:t xml:space="preserve"> </w:t>
      </w:r>
      <w:r>
        <w:rPr>
          <w:rFonts w:cstheme="minorHAnsi"/>
          <w:sz w:val="24"/>
          <w:szCs w:val="24"/>
          <w:lang w:val="en-GB"/>
        </w:rPr>
        <w:t>V., &amp;</w:t>
      </w:r>
      <w:r>
        <w:rPr>
          <w:rFonts w:cstheme="minorHAnsi"/>
          <w:spacing w:val="15"/>
          <w:sz w:val="24"/>
          <w:szCs w:val="24"/>
          <w:lang w:val="en-GB"/>
        </w:rPr>
        <w:t xml:space="preserve"> </w:t>
      </w:r>
      <w:r>
        <w:rPr>
          <w:rFonts w:cstheme="minorHAnsi"/>
          <w:sz w:val="24"/>
          <w:szCs w:val="24"/>
          <w:lang w:val="en-GB"/>
        </w:rPr>
        <w:t>Weyers,</w:t>
      </w:r>
      <w:r>
        <w:rPr>
          <w:rFonts w:cstheme="minorHAnsi"/>
          <w:spacing w:val="14"/>
          <w:sz w:val="24"/>
          <w:szCs w:val="24"/>
          <w:lang w:val="en-GB"/>
        </w:rPr>
        <w:t xml:space="preserve"> </w:t>
      </w:r>
      <w:r>
        <w:rPr>
          <w:rFonts w:cstheme="minorHAnsi"/>
          <w:sz w:val="24"/>
          <w:szCs w:val="24"/>
          <w:lang w:val="en-GB"/>
        </w:rPr>
        <w:t>S.</w:t>
      </w:r>
      <w:r>
        <w:rPr>
          <w:rFonts w:cstheme="minorHAnsi"/>
          <w:spacing w:val="15"/>
          <w:sz w:val="24"/>
          <w:szCs w:val="24"/>
          <w:lang w:val="en-GB"/>
        </w:rPr>
        <w:t xml:space="preserve"> (</w:t>
      </w:r>
      <w:r>
        <w:rPr>
          <w:rFonts w:cstheme="minorHAnsi"/>
          <w:sz w:val="24"/>
          <w:szCs w:val="24"/>
          <w:lang w:val="en-GB"/>
        </w:rPr>
        <w:t>2006).</w:t>
      </w:r>
      <w:r>
        <w:rPr>
          <w:rFonts w:cstheme="minorHAnsi"/>
          <w:spacing w:val="14"/>
          <w:sz w:val="24"/>
          <w:szCs w:val="24"/>
          <w:lang w:val="en-GB"/>
        </w:rPr>
        <w:t xml:space="preserve"> </w:t>
      </w:r>
      <w:r>
        <w:rPr>
          <w:rFonts w:cstheme="minorHAnsi"/>
          <w:sz w:val="24"/>
          <w:szCs w:val="24"/>
          <w:lang w:val="en-GB"/>
        </w:rPr>
        <w:t>Creativity</w:t>
      </w:r>
      <w:r>
        <w:rPr>
          <w:rFonts w:cstheme="minorHAnsi"/>
          <w:spacing w:val="14"/>
          <w:sz w:val="24"/>
          <w:szCs w:val="24"/>
          <w:lang w:val="en-GB"/>
        </w:rPr>
        <w:t xml:space="preserve"> </w:t>
      </w:r>
      <w:r>
        <w:rPr>
          <w:rFonts w:cstheme="minorHAnsi"/>
          <w:sz w:val="24"/>
          <w:szCs w:val="24"/>
          <w:lang w:val="en-GB"/>
        </w:rPr>
        <w:t>and</w:t>
      </w:r>
      <w:r>
        <w:rPr>
          <w:rFonts w:cstheme="minorHAnsi"/>
          <w:spacing w:val="15"/>
          <w:sz w:val="24"/>
          <w:szCs w:val="24"/>
          <w:lang w:val="en-GB"/>
        </w:rPr>
        <w:t xml:space="preserve"> </w:t>
      </w:r>
      <w:r>
        <w:rPr>
          <w:rFonts w:cstheme="minorHAnsi"/>
          <w:sz w:val="24"/>
          <w:szCs w:val="24"/>
          <w:lang w:val="en-GB"/>
        </w:rPr>
        <w:t>life</w:t>
      </w:r>
      <w:r>
        <w:rPr>
          <w:rFonts w:cstheme="minorHAnsi"/>
          <w:spacing w:val="15"/>
          <w:sz w:val="24"/>
          <w:szCs w:val="24"/>
          <w:lang w:val="en-GB"/>
        </w:rPr>
        <w:t xml:space="preserve"> </w:t>
      </w:r>
      <w:r>
        <w:rPr>
          <w:rFonts w:cstheme="minorHAnsi"/>
          <w:sz w:val="24"/>
          <w:szCs w:val="24"/>
          <w:lang w:val="en-GB"/>
        </w:rPr>
        <w:t>cycles</w:t>
      </w:r>
      <w:r>
        <w:rPr>
          <w:rFonts w:cstheme="minorHAnsi"/>
          <w:spacing w:val="14"/>
          <w:sz w:val="24"/>
          <w:szCs w:val="24"/>
          <w:lang w:val="en-GB"/>
        </w:rPr>
        <w:t xml:space="preserve"> </w:t>
      </w:r>
      <w:r>
        <w:rPr>
          <w:rFonts w:cstheme="minorHAnsi"/>
          <w:sz w:val="24"/>
          <w:szCs w:val="24"/>
          <w:lang w:val="en-GB"/>
        </w:rPr>
        <w:t>of</w:t>
      </w:r>
      <w:r>
        <w:rPr>
          <w:rFonts w:cstheme="minorHAnsi"/>
          <w:spacing w:val="14"/>
          <w:sz w:val="24"/>
          <w:szCs w:val="24"/>
          <w:lang w:val="en-GB"/>
        </w:rPr>
        <w:t xml:space="preserve"> </w:t>
      </w:r>
      <w:r>
        <w:rPr>
          <w:rFonts w:cstheme="minorHAnsi"/>
          <w:sz w:val="24"/>
          <w:szCs w:val="24"/>
          <w:lang w:val="en-GB"/>
        </w:rPr>
        <w:t>artists.</w:t>
      </w:r>
      <w:r>
        <w:rPr>
          <w:rFonts w:cstheme="minorHAnsi"/>
          <w:spacing w:val="14"/>
          <w:sz w:val="24"/>
          <w:szCs w:val="24"/>
          <w:lang w:val="en-GB"/>
        </w:rPr>
        <w:t xml:space="preserve"> </w:t>
      </w:r>
      <w:r>
        <w:rPr>
          <w:rFonts w:cstheme="minorHAnsi"/>
          <w:i/>
          <w:iCs/>
          <w:sz w:val="24"/>
          <w:szCs w:val="24"/>
          <w:lang w:val="en-GB"/>
        </w:rPr>
        <w:t>Journal</w:t>
      </w:r>
      <w:r>
        <w:rPr>
          <w:rFonts w:cstheme="minorHAnsi"/>
          <w:i/>
          <w:iCs/>
          <w:spacing w:val="15"/>
          <w:sz w:val="24"/>
          <w:szCs w:val="24"/>
          <w:lang w:val="en-GB"/>
        </w:rPr>
        <w:t xml:space="preserve"> </w:t>
      </w:r>
      <w:r>
        <w:rPr>
          <w:rFonts w:cstheme="minorHAnsi"/>
          <w:i/>
          <w:iCs/>
          <w:sz w:val="24"/>
          <w:szCs w:val="24"/>
          <w:lang w:val="en-GB"/>
        </w:rPr>
        <w:t>of</w:t>
      </w:r>
      <w:r>
        <w:rPr>
          <w:rFonts w:cstheme="minorHAnsi"/>
          <w:i/>
          <w:iCs/>
          <w:spacing w:val="14"/>
          <w:sz w:val="24"/>
          <w:szCs w:val="24"/>
          <w:lang w:val="en-GB"/>
        </w:rPr>
        <w:t xml:space="preserve"> </w:t>
      </w:r>
      <w:r>
        <w:rPr>
          <w:rFonts w:cstheme="minorHAnsi"/>
          <w:i/>
          <w:iCs/>
          <w:sz w:val="24"/>
          <w:szCs w:val="24"/>
          <w:lang w:val="en-GB"/>
        </w:rPr>
        <w:t>Cultural</w:t>
      </w:r>
      <w:r>
        <w:rPr>
          <w:rFonts w:cstheme="minorHAnsi"/>
          <w:i/>
          <w:iCs/>
          <w:spacing w:val="15"/>
          <w:sz w:val="24"/>
          <w:szCs w:val="24"/>
          <w:lang w:val="en-GB"/>
        </w:rPr>
        <w:t xml:space="preserve"> </w:t>
      </w:r>
      <w:r>
        <w:rPr>
          <w:rFonts w:cstheme="minorHAnsi"/>
          <w:i/>
          <w:iCs/>
          <w:sz w:val="24"/>
          <w:szCs w:val="24"/>
          <w:lang w:val="en-GB"/>
        </w:rPr>
        <w:t>Economics,</w:t>
      </w:r>
      <w:r>
        <w:rPr>
          <w:rFonts w:cstheme="minorHAnsi"/>
          <w:spacing w:val="14"/>
          <w:sz w:val="24"/>
          <w:szCs w:val="24"/>
          <w:lang w:val="en-GB"/>
        </w:rPr>
        <w:t xml:space="preserve"> </w:t>
      </w:r>
      <w:r>
        <w:rPr>
          <w:rFonts w:cstheme="minorHAnsi"/>
          <w:sz w:val="24"/>
          <w:szCs w:val="24"/>
          <w:lang w:val="en-GB"/>
        </w:rPr>
        <w:t>30(2):</w:t>
      </w:r>
      <w:r>
        <w:rPr>
          <w:rFonts w:cstheme="minorHAnsi"/>
          <w:spacing w:val="15"/>
          <w:sz w:val="24"/>
          <w:szCs w:val="24"/>
          <w:lang w:val="en-GB"/>
        </w:rPr>
        <w:t xml:space="preserve"> </w:t>
      </w:r>
      <w:r>
        <w:rPr>
          <w:rFonts w:cstheme="minorHAnsi"/>
          <w:sz w:val="24"/>
          <w:szCs w:val="24"/>
          <w:lang w:val="en-GB"/>
        </w:rPr>
        <w:t>91-107.</w:t>
      </w:r>
    </w:p>
    <w:p w14:paraId="06AB1562" w14:textId="77777777" w:rsidR="00AE1998" w:rsidRDefault="00AE1998" w:rsidP="00AE1998">
      <w:pPr>
        <w:spacing w:after="160" w:line="240" w:lineRule="auto"/>
        <w:jc w:val="both"/>
        <w:rPr>
          <w:rFonts w:cstheme="minorHAnsi"/>
          <w:color w:val="333333"/>
          <w:shd w:val="clear" w:color="auto" w:fill="FCFCFC"/>
          <w:lang w:val="en-GB"/>
        </w:rPr>
      </w:pPr>
      <w:proofErr w:type="spellStart"/>
      <w:r>
        <w:rPr>
          <w:rFonts w:cstheme="minorHAnsi"/>
          <w:color w:val="333333"/>
          <w:shd w:val="clear" w:color="auto" w:fill="FCFCFC"/>
          <w:lang w:val="en-GB"/>
        </w:rPr>
        <w:t>Goetzmann</w:t>
      </w:r>
      <w:proofErr w:type="spellEnd"/>
      <w:r>
        <w:rPr>
          <w:rFonts w:cstheme="minorHAnsi"/>
          <w:color w:val="333333"/>
          <w:shd w:val="clear" w:color="auto" w:fill="FCFCFC"/>
          <w:lang w:val="en-GB"/>
        </w:rPr>
        <w:t xml:space="preserve">, W.N., and Spiegel, M. (1997) A Spatial Model of Housing Returns and </w:t>
      </w:r>
      <w:proofErr w:type="spellStart"/>
      <w:r>
        <w:rPr>
          <w:rFonts w:cstheme="minorHAnsi"/>
          <w:color w:val="333333"/>
          <w:shd w:val="clear" w:color="auto" w:fill="FCFCFC"/>
          <w:lang w:val="en-GB"/>
        </w:rPr>
        <w:t>Neighborhood</w:t>
      </w:r>
      <w:proofErr w:type="spellEnd"/>
      <w:r>
        <w:rPr>
          <w:rFonts w:cstheme="minorHAnsi"/>
          <w:color w:val="333333"/>
          <w:shd w:val="clear" w:color="auto" w:fill="FCFCFC"/>
          <w:lang w:val="en-GB"/>
        </w:rPr>
        <w:t xml:space="preserve"> Substitutability. </w:t>
      </w:r>
      <w:r>
        <w:rPr>
          <w:rFonts w:cstheme="minorHAnsi"/>
          <w:i/>
          <w:iCs/>
          <w:color w:val="333333"/>
          <w:shd w:val="clear" w:color="auto" w:fill="FCFCFC"/>
          <w:lang w:val="en-GB"/>
        </w:rPr>
        <w:t>The Journal of Real Estate Finance and Economics,</w:t>
      </w:r>
      <w:r>
        <w:rPr>
          <w:rFonts w:cstheme="minorHAnsi"/>
          <w:color w:val="333333"/>
          <w:shd w:val="clear" w:color="auto" w:fill="FCFCFC"/>
          <w:lang w:val="en-GB"/>
        </w:rPr>
        <w:t> 14:</w:t>
      </w:r>
      <w:r>
        <w:rPr>
          <w:rFonts w:cstheme="minorHAnsi"/>
          <w:b/>
          <w:bCs/>
          <w:color w:val="333333"/>
          <w:shd w:val="clear" w:color="auto" w:fill="FCFCFC"/>
          <w:lang w:val="en-GB"/>
        </w:rPr>
        <w:t> </w:t>
      </w:r>
      <w:r>
        <w:rPr>
          <w:rFonts w:cstheme="minorHAnsi"/>
          <w:color w:val="333333"/>
          <w:shd w:val="clear" w:color="auto" w:fill="FCFCFC"/>
          <w:lang w:val="en-GB"/>
        </w:rPr>
        <w:t xml:space="preserve">11–31. </w:t>
      </w:r>
    </w:p>
    <w:p w14:paraId="6C5FFC35" w14:textId="77777777" w:rsidR="00AE1998" w:rsidRDefault="00AE1998" w:rsidP="00AE1998">
      <w:pPr>
        <w:spacing w:after="160" w:line="240" w:lineRule="auto"/>
        <w:jc w:val="both"/>
        <w:rPr>
          <w:rFonts w:cstheme="minorHAnsi"/>
          <w:color w:val="000000" w:themeColor="text1"/>
          <w:sz w:val="24"/>
          <w:szCs w:val="24"/>
          <w:lang w:val="en-GB" w:eastAsia="en-GB"/>
        </w:rPr>
      </w:pPr>
      <w:proofErr w:type="spellStart"/>
      <w:r>
        <w:rPr>
          <w:rFonts w:cstheme="minorHAnsi"/>
          <w:sz w:val="24"/>
          <w:szCs w:val="24"/>
          <w:lang w:val="en-GB"/>
        </w:rPr>
        <w:t>Graddy</w:t>
      </w:r>
      <w:proofErr w:type="spellEnd"/>
      <w:r>
        <w:rPr>
          <w:rFonts w:cstheme="minorHAnsi"/>
          <w:sz w:val="24"/>
          <w:szCs w:val="24"/>
          <w:lang w:val="en-GB"/>
        </w:rPr>
        <w:t xml:space="preserve">, K., Hamilton, J., and </w:t>
      </w:r>
      <w:proofErr w:type="spellStart"/>
      <w:r>
        <w:rPr>
          <w:rFonts w:cstheme="minorHAnsi"/>
          <w:sz w:val="24"/>
          <w:szCs w:val="24"/>
          <w:lang w:val="en-GB"/>
        </w:rPr>
        <w:t>Pownall</w:t>
      </w:r>
      <w:proofErr w:type="spellEnd"/>
      <w:r>
        <w:rPr>
          <w:rFonts w:cstheme="minorHAnsi"/>
          <w:sz w:val="24"/>
          <w:szCs w:val="24"/>
          <w:lang w:val="en-GB"/>
        </w:rPr>
        <w:t xml:space="preserve">, R. (2012) Repeat-Sales Indexes: Estimation without Assuming </w:t>
      </w:r>
      <w:r>
        <w:rPr>
          <w:rFonts w:cstheme="minorHAnsi"/>
          <w:color w:val="000000" w:themeColor="text1"/>
          <w:sz w:val="24"/>
          <w:szCs w:val="24"/>
          <w:lang w:val="en-GB"/>
        </w:rPr>
        <w:t xml:space="preserve">that Errors in Asset Returns Are Independently Distributed. </w:t>
      </w:r>
      <w:r>
        <w:rPr>
          <w:rFonts w:cstheme="minorHAnsi"/>
          <w:i/>
          <w:color w:val="000000" w:themeColor="text1"/>
          <w:sz w:val="24"/>
          <w:szCs w:val="24"/>
          <w:lang w:val="en-GB"/>
        </w:rPr>
        <w:t>Real Estate Economics,</w:t>
      </w:r>
      <w:r>
        <w:rPr>
          <w:rFonts w:cstheme="minorHAnsi"/>
          <w:color w:val="000000" w:themeColor="text1"/>
          <w:sz w:val="24"/>
          <w:szCs w:val="24"/>
          <w:lang w:val="en-GB"/>
        </w:rPr>
        <w:t xml:space="preserve"> 40(1): 131–166.</w:t>
      </w:r>
    </w:p>
    <w:p w14:paraId="395B7284" w14:textId="77777777" w:rsidR="00AE1998" w:rsidRDefault="00AE1998" w:rsidP="00AE1998">
      <w:pPr>
        <w:spacing w:after="160" w:line="240" w:lineRule="auto"/>
        <w:jc w:val="both"/>
        <w:rPr>
          <w:rFonts w:cstheme="minorHAnsi"/>
          <w:color w:val="000000" w:themeColor="text1"/>
          <w:sz w:val="24"/>
          <w:szCs w:val="24"/>
          <w:lang w:val="en-GB"/>
        </w:rPr>
      </w:pPr>
      <w:proofErr w:type="spellStart"/>
      <w:r>
        <w:rPr>
          <w:rFonts w:cstheme="minorHAnsi"/>
          <w:color w:val="000000" w:themeColor="text1"/>
          <w:sz w:val="24"/>
          <w:szCs w:val="24"/>
          <w:lang w:val="en-GB"/>
        </w:rPr>
        <w:t>Guerzoni</w:t>
      </w:r>
      <w:proofErr w:type="spellEnd"/>
      <w:r>
        <w:rPr>
          <w:rFonts w:cstheme="minorHAnsi"/>
          <w:color w:val="000000" w:themeColor="text1"/>
          <w:sz w:val="24"/>
          <w:szCs w:val="24"/>
          <w:lang w:val="en-GB"/>
        </w:rPr>
        <w:t xml:space="preserve">, G. (1995) </w:t>
      </w:r>
      <w:hyperlink r:id="rId13" w:history="1">
        <w:r w:rsidRPr="00AE1998">
          <w:rPr>
            <w:rStyle w:val="Collegamentoipertestuale"/>
            <w:shd w:val="clear" w:color="auto" w:fill="FFFFFF"/>
            <w:lang w:val="en-GB"/>
          </w:rPr>
          <w:t>Reflections on historical series of art prices: Reitlinger's data revisited</w:t>
        </w:r>
      </w:hyperlink>
      <w:r>
        <w:rPr>
          <w:rFonts w:cstheme="minorHAnsi"/>
          <w:color w:val="000000" w:themeColor="text1"/>
          <w:sz w:val="24"/>
          <w:szCs w:val="24"/>
          <w:lang w:val="en-GB"/>
        </w:rPr>
        <w:t xml:space="preserve">. </w:t>
      </w:r>
      <w:r>
        <w:rPr>
          <w:rFonts w:cstheme="minorHAnsi"/>
          <w:i/>
          <w:color w:val="000000" w:themeColor="text1"/>
          <w:sz w:val="24"/>
          <w:szCs w:val="24"/>
          <w:lang w:val="en-GB"/>
        </w:rPr>
        <w:t>Journal of Cultural Economics,</w:t>
      </w:r>
      <w:r>
        <w:rPr>
          <w:rFonts w:cstheme="minorHAnsi"/>
          <w:color w:val="000000" w:themeColor="text1"/>
          <w:sz w:val="24"/>
          <w:szCs w:val="24"/>
          <w:lang w:val="en-GB"/>
        </w:rPr>
        <w:t xml:space="preserve"> 19(3): 251-260</w:t>
      </w:r>
    </w:p>
    <w:p w14:paraId="04451623" w14:textId="77777777" w:rsidR="00AE1998" w:rsidRDefault="00AE1998" w:rsidP="00AE1998">
      <w:pPr>
        <w:spacing w:after="160" w:line="240" w:lineRule="auto"/>
        <w:jc w:val="both"/>
        <w:rPr>
          <w:rFonts w:cs="GraphicraftOptima-Medium"/>
          <w:sz w:val="24"/>
          <w:szCs w:val="24"/>
          <w:lang w:val="en-GB"/>
        </w:rPr>
      </w:pPr>
      <w:proofErr w:type="spellStart"/>
      <w:r>
        <w:rPr>
          <w:rFonts w:cs="GraphicraftOptima-Bold"/>
          <w:bCs/>
          <w:sz w:val="24"/>
          <w:szCs w:val="24"/>
          <w:lang w:val="en-GB"/>
        </w:rPr>
        <w:t>Guilbaut</w:t>
      </w:r>
      <w:proofErr w:type="spellEnd"/>
      <w:r>
        <w:rPr>
          <w:rFonts w:cs="GraphicraftOptima-Bold"/>
          <w:bCs/>
          <w:sz w:val="24"/>
          <w:szCs w:val="24"/>
          <w:lang w:val="en-GB"/>
        </w:rPr>
        <w:t>, S. (</w:t>
      </w:r>
      <w:r>
        <w:rPr>
          <w:rFonts w:cs="GraphicraftOptima-Medium"/>
          <w:sz w:val="24"/>
          <w:szCs w:val="24"/>
          <w:lang w:val="en-GB"/>
        </w:rPr>
        <w:t xml:space="preserve">1983) </w:t>
      </w:r>
      <w:r>
        <w:rPr>
          <w:rFonts w:cs="GraphicraftOptima-Oblique"/>
          <w:i/>
          <w:iCs/>
          <w:sz w:val="24"/>
          <w:szCs w:val="24"/>
          <w:lang w:val="en-GB"/>
        </w:rPr>
        <w:t xml:space="preserve">How New York stole the idea of modern art.. </w:t>
      </w:r>
      <w:r>
        <w:rPr>
          <w:rFonts w:cs="GraphicraftOptima-Medium"/>
          <w:sz w:val="24"/>
          <w:szCs w:val="24"/>
          <w:lang w:val="en-GB"/>
        </w:rPr>
        <w:t>Chicago and London: The University of Chicago Press Book.</w:t>
      </w:r>
    </w:p>
    <w:p w14:paraId="696EEA92" w14:textId="77777777" w:rsidR="00AE1998" w:rsidRDefault="00AE1998" w:rsidP="00AE1998">
      <w:pPr>
        <w:spacing w:after="160" w:line="240" w:lineRule="auto"/>
        <w:jc w:val="both"/>
        <w:rPr>
          <w:rFonts w:cstheme="minorHAnsi"/>
          <w:sz w:val="24"/>
          <w:szCs w:val="24"/>
          <w:lang w:val="en-GB"/>
        </w:rPr>
      </w:pPr>
      <w:r>
        <w:rPr>
          <w:rFonts w:cs="GraphicraftOptima-Medium"/>
          <w:sz w:val="24"/>
          <w:szCs w:val="24"/>
          <w:lang w:val="en-GB"/>
        </w:rPr>
        <w:t>Hall, P</w:t>
      </w:r>
      <w:r>
        <w:rPr>
          <w:rFonts w:cstheme="minorHAnsi"/>
          <w:sz w:val="24"/>
          <w:szCs w:val="24"/>
          <w:lang w:val="en-GB"/>
        </w:rPr>
        <w:t xml:space="preserve">. (2000), Creative Cities and Economic Development, </w:t>
      </w:r>
      <w:r>
        <w:rPr>
          <w:rFonts w:cstheme="minorHAnsi"/>
          <w:i/>
          <w:sz w:val="24"/>
          <w:szCs w:val="24"/>
          <w:lang w:val="en-GB"/>
        </w:rPr>
        <w:t>Urban Studies,</w:t>
      </w:r>
      <w:r>
        <w:rPr>
          <w:rFonts w:cstheme="minorHAnsi"/>
          <w:sz w:val="24"/>
          <w:szCs w:val="24"/>
          <w:lang w:val="en-GB"/>
        </w:rPr>
        <w:t xml:space="preserve"> 37(4): 639-49.</w:t>
      </w:r>
    </w:p>
    <w:p w14:paraId="5F29C32C" w14:textId="77777777" w:rsidR="00AE1998" w:rsidRDefault="00AE1998" w:rsidP="00AE1998">
      <w:pPr>
        <w:spacing w:after="160" w:line="240" w:lineRule="auto"/>
        <w:jc w:val="both"/>
        <w:rPr>
          <w:rFonts w:cstheme="minorHAnsi"/>
          <w:sz w:val="24"/>
          <w:szCs w:val="24"/>
          <w:lang w:val="en-GB"/>
        </w:rPr>
      </w:pPr>
      <w:proofErr w:type="spellStart"/>
      <w:r>
        <w:rPr>
          <w:rFonts w:cstheme="minorHAnsi"/>
          <w:sz w:val="24"/>
          <w:szCs w:val="24"/>
          <w:lang w:val="en-GB"/>
        </w:rPr>
        <w:t>Hellmanzik</w:t>
      </w:r>
      <w:proofErr w:type="spellEnd"/>
      <w:r>
        <w:rPr>
          <w:rFonts w:cstheme="minorHAnsi"/>
          <w:sz w:val="24"/>
          <w:szCs w:val="24"/>
          <w:lang w:val="en-GB"/>
        </w:rPr>
        <w:t xml:space="preserve">, C. (2010). Location matters: Estimating cluster premiums for prominent modern artists. </w:t>
      </w:r>
      <w:r>
        <w:rPr>
          <w:rFonts w:cstheme="minorHAnsi"/>
          <w:i/>
          <w:iCs/>
          <w:sz w:val="24"/>
          <w:szCs w:val="24"/>
          <w:lang w:val="en-GB"/>
        </w:rPr>
        <w:t>European Economic Review</w:t>
      </w:r>
      <w:r>
        <w:rPr>
          <w:rFonts w:cstheme="minorHAnsi"/>
          <w:sz w:val="24"/>
          <w:szCs w:val="24"/>
          <w:lang w:val="en-GB"/>
        </w:rPr>
        <w:t xml:space="preserve">, </w:t>
      </w:r>
      <w:r>
        <w:rPr>
          <w:rFonts w:cstheme="minorHAnsi"/>
          <w:i/>
          <w:iCs/>
          <w:sz w:val="24"/>
          <w:szCs w:val="24"/>
          <w:lang w:val="en-GB"/>
        </w:rPr>
        <w:t>54</w:t>
      </w:r>
      <w:r>
        <w:rPr>
          <w:rFonts w:cstheme="minorHAnsi"/>
          <w:sz w:val="24"/>
          <w:szCs w:val="24"/>
          <w:lang w:val="en-GB"/>
        </w:rPr>
        <w:t>(2): 199–218.</w:t>
      </w:r>
    </w:p>
    <w:p w14:paraId="60314A8C" w14:textId="77777777" w:rsidR="00AE1998" w:rsidRPr="00AE1998" w:rsidRDefault="00AE1998" w:rsidP="00AE1998">
      <w:pPr>
        <w:spacing w:after="160" w:line="240" w:lineRule="auto"/>
        <w:jc w:val="both"/>
        <w:rPr>
          <w:rStyle w:val="nlmarticle-title"/>
          <w:color w:val="333333"/>
          <w:lang w:val="en-GB"/>
        </w:rPr>
      </w:pPr>
      <w:proofErr w:type="spellStart"/>
      <w:r>
        <w:rPr>
          <w:rFonts w:cs="Arial"/>
          <w:sz w:val="24"/>
          <w:szCs w:val="24"/>
          <w:lang w:val="en-GB"/>
        </w:rPr>
        <w:t>Heo</w:t>
      </w:r>
      <w:proofErr w:type="spellEnd"/>
      <w:r>
        <w:rPr>
          <w:rFonts w:cs="Arial"/>
          <w:sz w:val="24"/>
          <w:szCs w:val="24"/>
          <w:lang w:val="en-GB"/>
        </w:rPr>
        <w:t xml:space="preserve">, S., and Yoon, S. (2018) </w:t>
      </w:r>
      <w:r>
        <w:rPr>
          <w:rStyle w:val="nlmarticle-title"/>
          <w:rFonts w:cs="Arial"/>
          <w:color w:val="333333"/>
          <w:sz w:val="24"/>
          <w:szCs w:val="24"/>
          <w:lang w:val="en-GB"/>
        </w:rPr>
        <w:t>Evidence of a glass ceiling for arts and culture professionals in Korea</w:t>
      </w:r>
      <w:r>
        <w:rPr>
          <w:rFonts w:cs="Arial"/>
          <w:sz w:val="24"/>
          <w:szCs w:val="24"/>
          <w:lang w:val="en-GB"/>
        </w:rPr>
        <w:t xml:space="preserve">. </w:t>
      </w:r>
      <w:r>
        <w:rPr>
          <w:rStyle w:val="nlmarticle-title"/>
          <w:i/>
          <w:iCs/>
          <w:color w:val="333333"/>
          <w:sz w:val="24"/>
          <w:szCs w:val="24"/>
          <w:lang w:val="en-GB"/>
        </w:rPr>
        <w:t>Applied Economics Letters</w:t>
      </w:r>
      <w:r>
        <w:rPr>
          <w:rStyle w:val="nlmarticle-title"/>
          <w:i/>
          <w:color w:val="333333"/>
          <w:sz w:val="24"/>
          <w:szCs w:val="24"/>
          <w:lang w:val="en-GB"/>
        </w:rPr>
        <w:t>,</w:t>
      </w:r>
      <w:r>
        <w:rPr>
          <w:rStyle w:val="nlmarticle-title"/>
          <w:color w:val="333333"/>
          <w:sz w:val="24"/>
          <w:szCs w:val="24"/>
          <w:lang w:val="en-GB"/>
        </w:rPr>
        <w:t xml:space="preserve"> </w:t>
      </w:r>
      <w:r>
        <w:rPr>
          <w:rStyle w:val="nlmarticle-title"/>
          <w:sz w:val="24"/>
          <w:szCs w:val="24"/>
          <w:lang w:val="en-GB"/>
        </w:rPr>
        <w:t xml:space="preserve">25(16): </w:t>
      </w:r>
      <w:r>
        <w:rPr>
          <w:rStyle w:val="nlmarticle-title"/>
          <w:color w:val="333333"/>
          <w:sz w:val="24"/>
          <w:szCs w:val="24"/>
          <w:lang w:val="en-GB"/>
        </w:rPr>
        <w:t>1170-1174.</w:t>
      </w:r>
    </w:p>
    <w:p w14:paraId="5E05B559" w14:textId="77777777" w:rsidR="00AE1998" w:rsidRPr="00AE1998" w:rsidRDefault="00AE1998" w:rsidP="00AE1998">
      <w:pPr>
        <w:spacing w:after="75" w:line="240" w:lineRule="auto"/>
        <w:jc w:val="both"/>
        <w:rPr>
          <w:rFonts w:eastAsia="Times New Roman" w:cstheme="minorHAnsi"/>
          <w:color w:val="000000" w:themeColor="text1"/>
          <w:lang w:val="en-GB" w:eastAsia="fr-FR"/>
        </w:rPr>
      </w:pPr>
      <w:proofErr w:type="spellStart"/>
      <w:r>
        <w:rPr>
          <w:rFonts w:eastAsia="Times New Roman" w:cstheme="minorHAnsi"/>
          <w:color w:val="000000" w:themeColor="text1"/>
          <w:sz w:val="24"/>
          <w:szCs w:val="24"/>
          <w:lang w:val="en-GB" w:eastAsia="fr-FR"/>
        </w:rPr>
        <w:t>Heckley</w:t>
      </w:r>
      <w:proofErr w:type="spellEnd"/>
      <w:r>
        <w:rPr>
          <w:rFonts w:eastAsia="Times New Roman" w:cstheme="minorHAnsi"/>
          <w:color w:val="000000" w:themeColor="text1"/>
          <w:sz w:val="24"/>
          <w:szCs w:val="24"/>
          <w:lang w:val="en-GB" w:eastAsia="fr-FR"/>
        </w:rPr>
        <w:t xml:space="preserve">, G., </w:t>
      </w:r>
      <w:proofErr w:type="spellStart"/>
      <w:r>
        <w:rPr>
          <w:rFonts w:eastAsia="Times New Roman" w:cstheme="minorHAnsi"/>
          <w:color w:val="000000" w:themeColor="text1"/>
          <w:sz w:val="24"/>
          <w:szCs w:val="24"/>
          <w:lang w:val="en-GB" w:eastAsia="fr-FR"/>
        </w:rPr>
        <w:t>Gerdtham</w:t>
      </w:r>
      <w:proofErr w:type="spellEnd"/>
      <w:r>
        <w:rPr>
          <w:rFonts w:eastAsia="Times New Roman" w:cstheme="minorHAnsi"/>
          <w:color w:val="000000" w:themeColor="text1"/>
          <w:sz w:val="24"/>
          <w:szCs w:val="24"/>
          <w:lang w:val="en-GB" w:eastAsia="fr-FR"/>
        </w:rPr>
        <w:t xml:space="preserve">, U.G., and </w:t>
      </w:r>
      <w:proofErr w:type="spellStart"/>
      <w:r>
        <w:rPr>
          <w:rFonts w:eastAsia="Times New Roman" w:cstheme="minorHAnsi"/>
          <w:color w:val="000000" w:themeColor="text1"/>
          <w:sz w:val="24"/>
          <w:szCs w:val="24"/>
          <w:lang w:val="en-GB" w:eastAsia="fr-FR"/>
        </w:rPr>
        <w:t>Kjellsson</w:t>
      </w:r>
      <w:proofErr w:type="spellEnd"/>
      <w:r>
        <w:rPr>
          <w:rFonts w:eastAsia="Times New Roman" w:cstheme="minorHAnsi"/>
          <w:color w:val="000000" w:themeColor="text1"/>
          <w:sz w:val="24"/>
          <w:szCs w:val="24"/>
          <w:lang w:val="en-GB" w:eastAsia="fr-FR"/>
        </w:rPr>
        <w:t xml:space="preserve">, G. (2016) A general method for decomposing the causes of socioeconomic inequality in health. </w:t>
      </w:r>
      <w:r>
        <w:rPr>
          <w:rFonts w:eastAsia="Times New Roman" w:cstheme="minorHAnsi"/>
          <w:i/>
          <w:iCs/>
          <w:color w:val="000000" w:themeColor="text1"/>
          <w:sz w:val="24"/>
          <w:szCs w:val="24"/>
          <w:lang w:val="en-GB" w:eastAsia="fr-FR"/>
        </w:rPr>
        <w:t>Journal of Health Economics</w:t>
      </w:r>
      <w:r>
        <w:rPr>
          <w:rFonts w:eastAsia="Times New Roman" w:cstheme="minorHAnsi"/>
          <w:color w:val="000000" w:themeColor="text1"/>
          <w:sz w:val="24"/>
          <w:szCs w:val="24"/>
          <w:lang w:val="en-GB" w:eastAsia="fr-FR"/>
        </w:rPr>
        <w:t>, 48: 89-106.</w:t>
      </w:r>
    </w:p>
    <w:p w14:paraId="1C0B0508" w14:textId="77777777" w:rsidR="00AE1998" w:rsidRPr="00AE1998" w:rsidRDefault="00AE1998" w:rsidP="00AE1998">
      <w:pPr>
        <w:spacing w:after="160" w:line="240" w:lineRule="auto"/>
        <w:jc w:val="both"/>
        <w:rPr>
          <w:rStyle w:val="a-size-extra-large"/>
          <w:lang w:val="en-GB"/>
        </w:rPr>
      </w:pPr>
      <w:proofErr w:type="spellStart"/>
      <w:r>
        <w:rPr>
          <w:rFonts w:cstheme="minorHAnsi"/>
          <w:color w:val="000000" w:themeColor="text1"/>
          <w:sz w:val="24"/>
          <w:szCs w:val="24"/>
          <w:lang w:val="en-GB"/>
        </w:rPr>
        <w:t>Karpick</w:t>
      </w:r>
      <w:proofErr w:type="spellEnd"/>
      <w:r>
        <w:rPr>
          <w:rFonts w:cstheme="minorHAnsi"/>
          <w:color w:val="000000" w:themeColor="text1"/>
          <w:sz w:val="24"/>
          <w:szCs w:val="24"/>
          <w:lang w:val="en-GB"/>
        </w:rPr>
        <w:t xml:space="preserve">, L. (2010) </w:t>
      </w:r>
      <w:r>
        <w:rPr>
          <w:rStyle w:val="a-size-extra-large"/>
          <w:rFonts w:cstheme="minorHAnsi"/>
          <w:i/>
          <w:color w:val="000000" w:themeColor="text1"/>
          <w:sz w:val="24"/>
          <w:szCs w:val="24"/>
          <w:lang w:val="en-GB"/>
        </w:rPr>
        <w:t>Valuing the Unique: The Economics of Singularities.</w:t>
      </w:r>
      <w:r>
        <w:rPr>
          <w:rStyle w:val="a-size-extra-large"/>
          <w:rFonts w:cstheme="minorHAnsi"/>
          <w:color w:val="000000" w:themeColor="text1"/>
          <w:sz w:val="24"/>
          <w:szCs w:val="24"/>
          <w:lang w:val="en-GB"/>
        </w:rPr>
        <w:t xml:space="preserve"> Princeton NJ, Princeton University Press.</w:t>
      </w:r>
    </w:p>
    <w:p w14:paraId="6DCCB462" w14:textId="77777777" w:rsidR="00AE1998" w:rsidRDefault="00AE1998" w:rsidP="00AE1998">
      <w:pPr>
        <w:spacing w:after="160" w:line="240" w:lineRule="auto"/>
        <w:jc w:val="both"/>
        <w:rPr>
          <w:rStyle w:val="a-size-extra-large"/>
          <w:rFonts w:cstheme="minorHAnsi"/>
          <w:color w:val="000000" w:themeColor="text1"/>
          <w:sz w:val="24"/>
          <w:szCs w:val="24"/>
          <w:lang w:val="en-GB"/>
        </w:rPr>
      </w:pPr>
      <w:r>
        <w:rPr>
          <w:rStyle w:val="a-size-extra-large"/>
          <w:rFonts w:cstheme="minorHAnsi"/>
          <w:color w:val="000000" w:themeColor="text1"/>
          <w:sz w:val="24"/>
          <w:szCs w:val="24"/>
          <w:lang w:val="en-GB"/>
        </w:rPr>
        <w:t xml:space="preserve">King, A.D. (1990), </w:t>
      </w:r>
      <w:r>
        <w:rPr>
          <w:rStyle w:val="a-size-extra-large"/>
          <w:rFonts w:cstheme="minorHAnsi"/>
          <w:i/>
          <w:color w:val="000000" w:themeColor="text1"/>
          <w:sz w:val="24"/>
          <w:szCs w:val="24"/>
          <w:lang w:val="en-GB"/>
        </w:rPr>
        <w:t>Global Cities: Post-Imperialism and the Internationalization of London</w:t>
      </w:r>
      <w:r>
        <w:rPr>
          <w:rStyle w:val="a-size-extra-large"/>
          <w:rFonts w:cstheme="minorHAnsi"/>
          <w:color w:val="000000" w:themeColor="text1"/>
          <w:sz w:val="24"/>
          <w:szCs w:val="24"/>
          <w:lang w:val="en-GB"/>
        </w:rPr>
        <w:t xml:space="preserve">, </w:t>
      </w:r>
      <w:proofErr w:type="spellStart"/>
      <w:r>
        <w:rPr>
          <w:rStyle w:val="a-size-extra-large"/>
          <w:rFonts w:cstheme="minorHAnsi"/>
          <w:color w:val="000000" w:themeColor="text1"/>
          <w:sz w:val="24"/>
          <w:szCs w:val="24"/>
          <w:lang w:val="en-GB"/>
        </w:rPr>
        <w:t>Routhledge</w:t>
      </w:r>
      <w:proofErr w:type="spellEnd"/>
      <w:r>
        <w:rPr>
          <w:rStyle w:val="a-size-extra-large"/>
          <w:rFonts w:cstheme="minorHAnsi"/>
          <w:color w:val="000000" w:themeColor="text1"/>
          <w:sz w:val="24"/>
          <w:szCs w:val="24"/>
          <w:lang w:val="en-GB"/>
        </w:rPr>
        <w:t>, London.</w:t>
      </w:r>
    </w:p>
    <w:p w14:paraId="61310172" w14:textId="77777777" w:rsidR="00AE1998" w:rsidRPr="00AE1998" w:rsidRDefault="00AE1998" w:rsidP="00AE1998">
      <w:pPr>
        <w:spacing w:after="160" w:line="240" w:lineRule="auto"/>
        <w:jc w:val="both"/>
        <w:rPr>
          <w:lang w:val="en-GB" w:eastAsia="en-GB"/>
        </w:rPr>
      </w:pPr>
      <w:r>
        <w:rPr>
          <w:rStyle w:val="a-size-extra-large"/>
          <w:rFonts w:cstheme="minorHAnsi"/>
          <w:color w:val="000000" w:themeColor="text1"/>
          <w:sz w:val="24"/>
          <w:szCs w:val="24"/>
          <w:lang w:val="en-GB"/>
        </w:rPr>
        <w:lastRenderedPageBreak/>
        <w:t xml:space="preserve">Janssen, S., </w:t>
      </w:r>
      <w:hyperlink r:id="rId14" w:history="1">
        <w:r w:rsidRPr="00AE1998">
          <w:rPr>
            <w:rStyle w:val="Collegamentoipertestuale"/>
            <w:bdr w:val="none" w:sz="0" w:space="0" w:color="auto" w:frame="1"/>
            <w:lang w:val="en-GB"/>
          </w:rPr>
          <w:t>Giselinde Kuipers</w:t>
        </w:r>
      </w:hyperlink>
      <w:r>
        <w:rPr>
          <w:rFonts w:cstheme="minorHAnsi"/>
          <w:color w:val="000000" w:themeColor="text1"/>
          <w:sz w:val="24"/>
          <w:szCs w:val="24"/>
          <w:lang w:val="en-GB"/>
        </w:rPr>
        <w:t xml:space="preserve"> </w:t>
      </w:r>
      <w:r>
        <w:rPr>
          <w:rStyle w:val="a-size-extra-large"/>
          <w:rFonts w:cstheme="minorHAnsi"/>
          <w:color w:val="000000" w:themeColor="text1"/>
          <w:sz w:val="24"/>
          <w:szCs w:val="24"/>
          <w:lang w:val="en-GB"/>
        </w:rPr>
        <w:t xml:space="preserve">and </w:t>
      </w:r>
      <w:proofErr w:type="spellStart"/>
      <w:r>
        <w:rPr>
          <w:rStyle w:val="a-size-extra-large"/>
          <w:rFonts w:cstheme="minorHAnsi"/>
          <w:color w:val="000000" w:themeColor="text1"/>
          <w:sz w:val="24"/>
          <w:szCs w:val="24"/>
          <w:lang w:val="en-GB"/>
        </w:rPr>
        <w:t>Verboord</w:t>
      </w:r>
      <w:proofErr w:type="spellEnd"/>
      <w:r>
        <w:rPr>
          <w:rStyle w:val="a-size-extra-large"/>
          <w:rFonts w:cstheme="minorHAnsi"/>
          <w:color w:val="000000" w:themeColor="text1"/>
          <w:sz w:val="24"/>
          <w:szCs w:val="24"/>
          <w:lang w:val="en-GB"/>
        </w:rPr>
        <w:t xml:space="preserve">, M. (2008) </w:t>
      </w:r>
      <w:r>
        <w:rPr>
          <w:rFonts w:cstheme="minorHAnsi"/>
          <w:color w:val="000000" w:themeColor="text1"/>
          <w:sz w:val="24"/>
          <w:szCs w:val="24"/>
          <w:lang w:val="en-GB"/>
        </w:rPr>
        <w:t xml:space="preserve">Cultural Globalization and Arts Journalism: The International Orientation of Arts and Culture Coverage in Dutch, French, German, and U.S. Newspapers, 1955 to 2005. </w:t>
      </w:r>
      <w:r>
        <w:rPr>
          <w:rFonts w:cstheme="minorHAnsi"/>
          <w:i/>
          <w:color w:val="000000" w:themeColor="text1"/>
          <w:sz w:val="24"/>
          <w:szCs w:val="24"/>
          <w:lang w:val="en-GB"/>
        </w:rPr>
        <w:t xml:space="preserve">American </w:t>
      </w:r>
      <w:r>
        <w:rPr>
          <w:rFonts w:cstheme="minorHAnsi"/>
          <w:i/>
          <w:color w:val="111111"/>
          <w:sz w:val="24"/>
          <w:szCs w:val="24"/>
          <w:lang w:val="en-GB"/>
        </w:rPr>
        <w:t>Sociological Review,</w:t>
      </w:r>
      <w:r>
        <w:rPr>
          <w:rFonts w:cstheme="minorHAnsi"/>
          <w:color w:val="111111"/>
          <w:sz w:val="24"/>
          <w:szCs w:val="24"/>
          <w:lang w:val="en-GB"/>
        </w:rPr>
        <w:t xml:space="preserve"> 73(5): 719-740</w:t>
      </w:r>
    </w:p>
    <w:p w14:paraId="30115758" w14:textId="77777777" w:rsidR="00AE1998" w:rsidRDefault="00AE1998" w:rsidP="00AE1998">
      <w:pPr>
        <w:spacing w:after="160" w:line="240" w:lineRule="auto"/>
        <w:jc w:val="both"/>
        <w:rPr>
          <w:rFonts w:cstheme="minorHAnsi"/>
          <w:sz w:val="24"/>
          <w:szCs w:val="24"/>
          <w:lang w:val="en-GB" w:eastAsia="en-GB"/>
        </w:rPr>
      </w:pPr>
      <w:r>
        <w:rPr>
          <w:rFonts w:cstheme="minorHAnsi"/>
          <w:sz w:val="24"/>
          <w:szCs w:val="24"/>
          <w:lang w:val="en-GB" w:eastAsia="en-GB"/>
        </w:rPr>
        <w:t xml:space="preserve">Lamont, O.A., and </w:t>
      </w:r>
      <w:proofErr w:type="spellStart"/>
      <w:r>
        <w:rPr>
          <w:rFonts w:cstheme="minorHAnsi"/>
          <w:sz w:val="24"/>
          <w:szCs w:val="24"/>
          <w:lang w:val="en-GB" w:eastAsia="en-GB"/>
        </w:rPr>
        <w:t>Thaler</w:t>
      </w:r>
      <w:proofErr w:type="spellEnd"/>
      <w:r>
        <w:rPr>
          <w:rFonts w:cstheme="minorHAnsi"/>
          <w:sz w:val="24"/>
          <w:szCs w:val="24"/>
          <w:lang w:val="en-GB" w:eastAsia="en-GB"/>
        </w:rPr>
        <w:t xml:space="preserve">, R.H. (2003) The Law of One Price in Financial Markets. </w:t>
      </w:r>
      <w:r>
        <w:rPr>
          <w:rFonts w:cstheme="minorHAnsi"/>
          <w:i/>
          <w:sz w:val="24"/>
          <w:szCs w:val="24"/>
          <w:lang w:val="en-GB" w:eastAsia="en-GB"/>
        </w:rPr>
        <w:t xml:space="preserve">Journal of Economic Perspectives, </w:t>
      </w:r>
      <w:r>
        <w:rPr>
          <w:rFonts w:cstheme="minorHAnsi"/>
          <w:iCs/>
          <w:sz w:val="24"/>
          <w:szCs w:val="24"/>
          <w:lang w:val="en-GB" w:eastAsia="en-GB"/>
        </w:rPr>
        <w:t>17</w:t>
      </w:r>
      <w:r>
        <w:rPr>
          <w:rFonts w:cstheme="minorHAnsi"/>
          <w:sz w:val="24"/>
          <w:szCs w:val="24"/>
          <w:lang w:val="en-GB" w:eastAsia="en-GB"/>
        </w:rPr>
        <w:t>(4): 191-202.</w:t>
      </w:r>
    </w:p>
    <w:p w14:paraId="24509826" w14:textId="77777777" w:rsidR="00AE1998" w:rsidRDefault="00AE1998" w:rsidP="00AE1998">
      <w:pPr>
        <w:spacing w:after="160" w:line="240" w:lineRule="auto"/>
        <w:jc w:val="both"/>
        <w:rPr>
          <w:rFonts w:cstheme="minorHAnsi"/>
          <w:sz w:val="24"/>
          <w:szCs w:val="24"/>
          <w:lang w:val="en-GB"/>
        </w:rPr>
      </w:pPr>
      <w:r>
        <w:rPr>
          <w:rFonts w:cstheme="minorHAnsi"/>
          <w:sz w:val="24"/>
          <w:szCs w:val="24"/>
          <w:lang w:val="en-GB" w:eastAsia="en-GB"/>
        </w:rPr>
        <w:t xml:space="preserve">Liu, A. (2015) </w:t>
      </w:r>
      <w:r>
        <w:rPr>
          <w:rFonts w:cstheme="minorHAnsi"/>
          <w:sz w:val="24"/>
          <w:szCs w:val="24"/>
          <w:lang w:val="en-GB"/>
        </w:rPr>
        <w:t xml:space="preserve">Art Arbitrage - Violations of the Law of One Price Created by Fine Art Auctions. </w:t>
      </w:r>
      <w:proofErr w:type="spellStart"/>
      <w:r>
        <w:rPr>
          <w:rFonts w:cstheme="minorHAnsi"/>
          <w:i/>
          <w:sz w:val="24"/>
          <w:szCs w:val="24"/>
          <w:lang w:val="en-GB"/>
        </w:rPr>
        <w:t>Undergraduated</w:t>
      </w:r>
      <w:proofErr w:type="spellEnd"/>
      <w:r>
        <w:rPr>
          <w:rFonts w:cstheme="minorHAnsi"/>
          <w:i/>
          <w:sz w:val="24"/>
          <w:szCs w:val="24"/>
          <w:lang w:val="en-GB"/>
        </w:rPr>
        <w:t xml:space="preserve"> Economic Review,</w:t>
      </w:r>
      <w:r>
        <w:rPr>
          <w:rFonts w:cstheme="minorHAnsi"/>
          <w:sz w:val="24"/>
          <w:szCs w:val="24"/>
          <w:lang w:val="en-GB"/>
        </w:rPr>
        <w:t xml:space="preserve"> 12(1): 1-36.</w:t>
      </w:r>
    </w:p>
    <w:p w14:paraId="42E9A0BA" w14:textId="77777777" w:rsidR="00AE1998" w:rsidRDefault="00AE1998" w:rsidP="00AE1998">
      <w:pPr>
        <w:spacing w:after="160" w:line="240" w:lineRule="auto"/>
        <w:jc w:val="both"/>
        <w:rPr>
          <w:rFonts w:cstheme="minorHAnsi"/>
          <w:sz w:val="24"/>
          <w:szCs w:val="24"/>
          <w:lang w:val="en-GB"/>
        </w:rPr>
      </w:pPr>
      <w:proofErr w:type="spellStart"/>
      <w:r>
        <w:rPr>
          <w:rFonts w:cstheme="minorHAnsi"/>
          <w:color w:val="231F20"/>
          <w:sz w:val="24"/>
          <w:szCs w:val="24"/>
          <w:lang w:val="en-GB"/>
        </w:rPr>
        <w:t>Markusen</w:t>
      </w:r>
      <w:proofErr w:type="spellEnd"/>
      <w:r>
        <w:rPr>
          <w:rFonts w:cstheme="minorHAnsi"/>
          <w:color w:val="231F20"/>
          <w:sz w:val="24"/>
          <w:szCs w:val="24"/>
          <w:lang w:val="en-GB"/>
        </w:rPr>
        <w:t>, A.,</w:t>
      </w:r>
      <w:r>
        <w:rPr>
          <w:rFonts w:cstheme="minorHAnsi"/>
          <w:color w:val="231F20"/>
          <w:spacing w:val="1"/>
          <w:sz w:val="24"/>
          <w:szCs w:val="24"/>
          <w:lang w:val="en-GB"/>
        </w:rPr>
        <w:t xml:space="preserve"> </w:t>
      </w:r>
      <w:r>
        <w:rPr>
          <w:rFonts w:cstheme="minorHAnsi"/>
          <w:color w:val="231F20"/>
          <w:sz w:val="24"/>
          <w:szCs w:val="24"/>
          <w:lang w:val="en-GB"/>
        </w:rPr>
        <w:t>Schrock,</w:t>
      </w:r>
      <w:r>
        <w:rPr>
          <w:rFonts w:cstheme="minorHAnsi"/>
          <w:color w:val="231F20"/>
          <w:spacing w:val="1"/>
          <w:sz w:val="24"/>
          <w:szCs w:val="24"/>
          <w:lang w:val="en-GB"/>
        </w:rPr>
        <w:t xml:space="preserve"> </w:t>
      </w:r>
      <w:r>
        <w:rPr>
          <w:rFonts w:cstheme="minorHAnsi"/>
          <w:color w:val="231F20"/>
          <w:sz w:val="24"/>
          <w:szCs w:val="24"/>
          <w:lang w:val="en-GB"/>
        </w:rPr>
        <w:t>G.,</w:t>
      </w:r>
      <w:r>
        <w:rPr>
          <w:rFonts w:cstheme="minorHAnsi"/>
          <w:color w:val="231F20"/>
          <w:spacing w:val="1"/>
          <w:sz w:val="24"/>
          <w:szCs w:val="24"/>
          <w:lang w:val="en-GB"/>
        </w:rPr>
        <w:t xml:space="preserve"> </w:t>
      </w:r>
      <w:r>
        <w:rPr>
          <w:rFonts w:cstheme="minorHAnsi"/>
          <w:color w:val="231F20"/>
          <w:sz w:val="24"/>
          <w:szCs w:val="24"/>
          <w:lang w:val="en-GB"/>
        </w:rPr>
        <w:t>&amp;</w:t>
      </w:r>
      <w:r>
        <w:rPr>
          <w:rFonts w:cstheme="minorHAnsi"/>
          <w:color w:val="231F20"/>
          <w:spacing w:val="1"/>
          <w:sz w:val="24"/>
          <w:szCs w:val="24"/>
          <w:lang w:val="en-GB"/>
        </w:rPr>
        <w:t xml:space="preserve"> </w:t>
      </w:r>
      <w:r>
        <w:rPr>
          <w:rFonts w:cstheme="minorHAnsi"/>
          <w:color w:val="231F20"/>
          <w:sz w:val="24"/>
          <w:szCs w:val="24"/>
          <w:lang w:val="en-GB"/>
        </w:rPr>
        <w:t>Cameron,</w:t>
      </w:r>
      <w:r>
        <w:rPr>
          <w:rFonts w:cstheme="minorHAnsi"/>
          <w:color w:val="231F20"/>
          <w:spacing w:val="1"/>
          <w:sz w:val="24"/>
          <w:szCs w:val="24"/>
          <w:lang w:val="en-GB"/>
        </w:rPr>
        <w:t xml:space="preserve"> </w:t>
      </w:r>
      <w:r>
        <w:rPr>
          <w:rFonts w:cstheme="minorHAnsi"/>
          <w:color w:val="231F20"/>
          <w:sz w:val="24"/>
          <w:szCs w:val="24"/>
          <w:lang w:val="en-GB"/>
        </w:rPr>
        <w:t>M.</w:t>
      </w:r>
      <w:r>
        <w:rPr>
          <w:rFonts w:cstheme="minorHAnsi"/>
          <w:color w:val="231F20"/>
          <w:spacing w:val="1"/>
          <w:sz w:val="24"/>
          <w:szCs w:val="24"/>
          <w:lang w:val="en-GB"/>
        </w:rPr>
        <w:t xml:space="preserve"> </w:t>
      </w:r>
      <w:r>
        <w:rPr>
          <w:rFonts w:cstheme="minorHAnsi"/>
          <w:color w:val="231F20"/>
          <w:sz w:val="24"/>
          <w:szCs w:val="24"/>
          <w:lang w:val="en-GB"/>
        </w:rPr>
        <w:t>(2004).</w:t>
      </w:r>
      <w:r>
        <w:rPr>
          <w:rFonts w:cstheme="minorHAnsi"/>
          <w:color w:val="231F20"/>
          <w:spacing w:val="1"/>
          <w:sz w:val="24"/>
          <w:szCs w:val="24"/>
          <w:lang w:val="en-GB"/>
        </w:rPr>
        <w:t xml:space="preserve"> </w:t>
      </w:r>
      <w:r>
        <w:rPr>
          <w:rFonts w:cstheme="minorHAnsi"/>
          <w:i/>
          <w:color w:val="231F20"/>
          <w:sz w:val="24"/>
          <w:szCs w:val="24"/>
          <w:lang w:val="en-GB"/>
        </w:rPr>
        <w:t>The</w:t>
      </w:r>
      <w:r>
        <w:rPr>
          <w:rFonts w:cstheme="minorHAnsi"/>
          <w:i/>
          <w:color w:val="231F20"/>
          <w:spacing w:val="1"/>
          <w:sz w:val="24"/>
          <w:szCs w:val="24"/>
          <w:lang w:val="en-GB"/>
        </w:rPr>
        <w:t xml:space="preserve"> </w:t>
      </w:r>
      <w:r>
        <w:rPr>
          <w:rFonts w:cstheme="minorHAnsi"/>
          <w:i/>
          <w:color w:val="231F20"/>
          <w:sz w:val="24"/>
          <w:szCs w:val="24"/>
          <w:lang w:val="en-GB"/>
        </w:rPr>
        <w:t>artistic</w:t>
      </w:r>
      <w:r>
        <w:rPr>
          <w:rFonts w:cstheme="minorHAnsi"/>
          <w:i/>
          <w:color w:val="231F20"/>
          <w:spacing w:val="1"/>
          <w:sz w:val="24"/>
          <w:szCs w:val="24"/>
          <w:lang w:val="en-GB"/>
        </w:rPr>
        <w:t xml:space="preserve"> </w:t>
      </w:r>
      <w:r>
        <w:rPr>
          <w:rFonts w:cstheme="minorHAnsi"/>
          <w:i/>
          <w:color w:val="231F20"/>
          <w:sz w:val="24"/>
          <w:szCs w:val="24"/>
          <w:lang w:val="en-GB"/>
        </w:rPr>
        <w:t>dividend</w:t>
      </w:r>
      <w:r>
        <w:rPr>
          <w:rFonts w:cstheme="minorHAnsi"/>
          <w:i/>
          <w:color w:val="231F20"/>
          <w:spacing w:val="1"/>
          <w:sz w:val="24"/>
          <w:szCs w:val="24"/>
          <w:lang w:val="en-GB"/>
        </w:rPr>
        <w:t xml:space="preserve"> </w:t>
      </w:r>
      <w:r>
        <w:rPr>
          <w:rFonts w:cstheme="minorHAnsi"/>
          <w:i/>
          <w:color w:val="231F20"/>
          <w:sz w:val="24"/>
          <w:szCs w:val="24"/>
          <w:lang w:val="en-GB"/>
        </w:rPr>
        <w:t>revisited.</w:t>
      </w:r>
      <w:r>
        <w:rPr>
          <w:rFonts w:cstheme="minorHAnsi"/>
          <w:i/>
          <w:color w:val="231F20"/>
          <w:spacing w:val="1"/>
          <w:sz w:val="24"/>
          <w:szCs w:val="24"/>
          <w:lang w:val="en-GB"/>
        </w:rPr>
        <w:t xml:space="preserve"> </w:t>
      </w:r>
      <w:r>
        <w:rPr>
          <w:rFonts w:cstheme="minorHAnsi"/>
          <w:color w:val="231F20"/>
          <w:sz w:val="24"/>
          <w:szCs w:val="24"/>
          <w:lang w:val="en-GB"/>
        </w:rPr>
        <w:t>Minneapolis:</w:t>
      </w:r>
      <w:r>
        <w:rPr>
          <w:rFonts w:cstheme="minorHAnsi"/>
          <w:color w:val="231F20"/>
          <w:spacing w:val="1"/>
          <w:sz w:val="24"/>
          <w:szCs w:val="24"/>
          <w:lang w:val="en-GB"/>
        </w:rPr>
        <w:t xml:space="preserve"> </w:t>
      </w:r>
      <w:r>
        <w:rPr>
          <w:rFonts w:cstheme="minorHAnsi"/>
          <w:color w:val="231F20"/>
          <w:sz w:val="24"/>
          <w:szCs w:val="24"/>
          <w:lang w:val="en-GB"/>
        </w:rPr>
        <w:t>University</w:t>
      </w:r>
      <w:r>
        <w:rPr>
          <w:rFonts w:cstheme="minorHAnsi"/>
          <w:color w:val="231F20"/>
          <w:spacing w:val="1"/>
          <w:sz w:val="24"/>
          <w:szCs w:val="24"/>
          <w:lang w:val="en-GB"/>
        </w:rPr>
        <w:t xml:space="preserve"> </w:t>
      </w:r>
      <w:r>
        <w:rPr>
          <w:rFonts w:cstheme="minorHAnsi"/>
          <w:color w:val="231F20"/>
          <w:sz w:val="24"/>
          <w:szCs w:val="24"/>
          <w:lang w:val="en-GB"/>
        </w:rPr>
        <w:t>of</w:t>
      </w:r>
      <w:r>
        <w:rPr>
          <w:rFonts w:cstheme="minorHAnsi"/>
          <w:color w:val="231F20"/>
          <w:spacing w:val="1"/>
          <w:sz w:val="24"/>
          <w:szCs w:val="24"/>
          <w:lang w:val="en-GB"/>
        </w:rPr>
        <w:t xml:space="preserve"> </w:t>
      </w:r>
      <w:r>
        <w:rPr>
          <w:rFonts w:cstheme="minorHAnsi"/>
          <w:color w:val="231F20"/>
          <w:sz w:val="24"/>
          <w:szCs w:val="24"/>
          <w:lang w:val="en-GB"/>
        </w:rPr>
        <w:t>Minnesota:</w:t>
      </w:r>
      <w:r>
        <w:rPr>
          <w:rFonts w:cstheme="minorHAnsi"/>
          <w:color w:val="231F20"/>
          <w:spacing w:val="2"/>
          <w:sz w:val="24"/>
          <w:szCs w:val="24"/>
          <w:lang w:val="en-GB"/>
        </w:rPr>
        <w:t xml:space="preserve"> </w:t>
      </w:r>
      <w:r>
        <w:rPr>
          <w:rFonts w:cstheme="minorHAnsi"/>
          <w:color w:val="231F20"/>
          <w:sz w:val="24"/>
          <w:szCs w:val="24"/>
          <w:lang w:val="en-GB"/>
        </w:rPr>
        <w:t>Humphrey</w:t>
      </w:r>
      <w:r>
        <w:rPr>
          <w:rFonts w:cstheme="minorHAnsi"/>
          <w:color w:val="231F20"/>
          <w:spacing w:val="3"/>
          <w:sz w:val="24"/>
          <w:szCs w:val="24"/>
          <w:lang w:val="en-GB"/>
        </w:rPr>
        <w:t xml:space="preserve"> </w:t>
      </w:r>
      <w:r>
        <w:rPr>
          <w:rFonts w:cstheme="minorHAnsi"/>
          <w:color w:val="231F20"/>
          <w:sz w:val="24"/>
          <w:szCs w:val="24"/>
          <w:lang w:val="en-GB"/>
        </w:rPr>
        <w:t>Institute</w:t>
      </w:r>
      <w:r>
        <w:rPr>
          <w:rFonts w:cstheme="minorHAnsi"/>
          <w:color w:val="231F20"/>
          <w:spacing w:val="2"/>
          <w:sz w:val="24"/>
          <w:szCs w:val="24"/>
          <w:lang w:val="en-GB"/>
        </w:rPr>
        <w:t xml:space="preserve"> </w:t>
      </w:r>
      <w:r>
        <w:rPr>
          <w:rFonts w:cstheme="minorHAnsi"/>
          <w:color w:val="231F20"/>
          <w:sz w:val="24"/>
          <w:szCs w:val="24"/>
          <w:lang w:val="en-GB"/>
        </w:rPr>
        <w:t>of</w:t>
      </w:r>
      <w:r>
        <w:rPr>
          <w:rFonts w:cstheme="minorHAnsi"/>
          <w:color w:val="231F20"/>
          <w:spacing w:val="3"/>
          <w:sz w:val="24"/>
          <w:szCs w:val="24"/>
          <w:lang w:val="en-GB"/>
        </w:rPr>
        <w:t xml:space="preserve"> </w:t>
      </w:r>
      <w:r>
        <w:rPr>
          <w:rFonts w:cstheme="minorHAnsi"/>
          <w:color w:val="231F20"/>
          <w:sz w:val="24"/>
          <w:szCs w:val="24"/>
          <w:lang w:val="en-GB"/>
        </w:rPr>
        <w:t>Public</w:t>
      </w:r>
      <w:r>
        <w:rPr>
          <w:rFonts w:cstheme="minorHAnsi"/>
          <w:color w:val="231F20"/>
          <w:spacing w:val="-6"/>
          <w:sz w:val="24"/>
          <w:szCs w:val="24"/>
          <w:lang w:val="en-GB"/>
        </w:rPr>
        <w:t xml:space="preserve"> </w:t>
      </w:r>
      <w:r>
        <w:rPr>
          <w:rFonts w:cstheme="minorHAnsi"/>
          <w:color w:val="231F20"/>
          <w:sz w:val="24"/>
          <w:szCs w:val="24"/>
          <w:lang w:val="en-GB"/>
        </w:rPr>
        <w:t>Affairs.</w:t>
      </w:r>
    </w:p>
    <w:p w14:paraId="17C7DEE2" w14:textId="77777777" w:rsidR="00AE1998" w:rsidRDefault="00AE1998" w:rsidP="00AE1998">
      <w:pPr>
        <w:spacing w:after="160" w:line="240" w:lineRule="auto"/>
        <w:jc w:val="both"/>
        <w:rPr>
          <w:rFonts w:cstheme="minorHAnsi"/>
          <w:sz w:val="24"/>
          <w:szCs w:val="24"/>
          <w:lang w:val="en-GB"/>
        </w:rPr>
      </w:pPr>
      <w:r>
        <w:rPr>
          <w:rFonts w:cstheme="minorHAnsi"/>
          <w:sz w:val="24"/>
          <w:szCs w:val="24"/>
          <w:lang w:val="en-GB"/>
        </w:rPr>
        <w:t xml:space="preserve">Mei, J., and Moses, M. (2002) Art as an Investment and the Underperformance of Masterpieces. </w:t>
      </w:r>
      <w:r>
        <w:rPr>
          <w:rFonts w:cstheme="minorHAnsi"/>
          <w:i/>
          <w:sz w:val="24"/>
          <w:szCs w:val="24"/>
          <w:lang w:val="en-GB"/>
        </w:rPr>
        <w:t>American Economic Review,</w:t>
      </w:r>
      <w:r>
        <w:rPr>
          <w:rFonts w:cstheme="minorHAnsi"/>
          <w:sz w:val="24"/>
          <w:szCs w:val="24"/>
          <w:lang w:val="en-GB"/>
        </w:rPr>
        <w:t xml:space="preserve"> 92(5): 1656-1668.</w:t>
      </w:r>
    </w:p>
    <w:p w14:paraId="69BE3960" w14:textId="77777777" w:rsidR="00AE1998" w:rsidRDefault="00AE1998" w:rsidP="00AE1998">
      <w:pPr>
        <w:spacing w:after="160" w:line="240" w:lineRule="auto"/>
        <w:jc w:val="both"/>
        <w:rPr>
          <w:rFonts w:cstheme="minorHAnsi"/>
          <w:color w:val="131413"/>
          <w:sz w:val="24"/>
          <w:szCs w:val="24"/>
          <w:lang w:val="en-GB"/>
        </w:rPr>
      </w:pPr>
      <w:r>
        <w:rPr>
          <w:rFonts w:cstheme="minorHAnsi"/>
          <w:color w:val="131413"/>
          <w:sz w:val="24"/>
          <w:szCs w:val="24"/>
          <w:lang w:val="en-GB"/>
        </w:rPr>
        <w:t xml:space="preserve">Oaxaca, R.L. (1973) Male-female wage differentials in urban </w:t>
      </w:r>
      <w:proofErr w:type="spellStart"/>
      <w:r>
        <w:rPr>
          <w:rFonts w:cstheme="minorHAnsi"/>
          <w:color w:val="131413"/>
          <w:sz w:val="24"/>
          <w:szCs w:val="24"/>
          <w:lang w:val="en-GB"/>
        </w:rPr>
        <w:t>labor</w:t>
      </w:r>
      <w:proofErr w:type="spellEnd"/>
      <w:r>
        <w:rPr>
          <w:rFonts w:cstheme="minorHAnsi"/>
          <w:color w:val="131413"/>
          <w:sz w:val="24"/>
          <w:szCs w:val="24"/>
          <w:lang w:val="en-GB"/>
        </w:rPr>
        <w:t xml:space="preserve"> markets. </w:t>
      </w:r>
      <w:r>
        <w:rPr>
          <w:rFonts w:cstheme="minorHAnsi"/>
          <w:i/>
          <w:color w:val="131413"/>
          <w:sz w:val="24"/>
          <w:szCs w:val="24"/>
          <w:lang w:val="en-GB"/>
        </w:rPr>
        <w:t>International Economic Review</w:t>
      </w:r>
      <w:r>
        <w:rPr>
          <w:rFonts w:cstheme="minorHAnsi"/>
          <w:color w:val="131413"/>
          <w:sz w:val="24"/>
          <w:szCs w:val="24"/>
          <w:lang w:val="en-GB"/>
        </w:rPr>
        <w:t>, 14(3): 693-709.</w:t>
      </w:r>
    </w:p>
    <w:p w14:paraId="41ABF755" w14:textId="77777777" w:rsidR="00AE1998" w:rsidRDefault="00AE1998" w:rsidP="00AE1998">
      <w:pPr>
        <w:spacing w:after="160" w:line="240" w:lineRule="auto"/>
        <w:jc w:val="both"/>
        <w:rPr>
          <w:rFonts w:cstheme="minorHAnsi"/>
          <w:color w:val="131413"/>
          <w:sz w:val="24"/>
          <w:szCs w:val="24"/>
          <w:lang w:val="en-GB"/>
        </w:rPr>
      </w:pPr>
      <w:r>
        <w:rPr>
          <w:rFonts w:cstheme="minorHAnsi"/>
          <w:color w:val="131413"/>
          <w:sz w:val="24"/>
          <w:szCs w:val="24"/>
          <w:lang w:val="en-GB"/>
        </w:rPr>
        <w:t xml:space="preserve">Oaxaca, R.L., </w:t>
      </w:r>
      <w:proofErr w:type="spellStart"/>
      <w:r>
        <w:rPr>
          <w:rFonts w:cstheme="minorHAnsi"/>
          <w:color w:val="131413"/>
          <w:sz w:val="24"/>
          <w:szCs w:val="24"/>
          <w:lang w:val="en-GB"/>
        </w:rPr>
        <w:t>Ranso</w:t>
      </w:r>
      <w:proofErr w:type="spellEnd"/>
      <w:r>
        <w:rPr>
          <w:rFonts w:cstheme="minorHAnsi"/>
          <w:color w:val="131413"/>
          <w:sz w:val="24"/>
          <w:szCs w:val="24"/>
          <w:lang w:val="en-GB"/>
        </w:rPr>
        <w:t xml:space="preserve">, M.R. (1994) On discrimination and the decomposition of the wage differentials. </w:t>
      </w:r>
      <w:r>
        <w:rPr>
          <w:rFonts w:cstheme="minorHAnsi"/>
          <w:i/>
          <w:color w:val="131413"/>
          <w:sz w:val="24"/>
          <w:szCs w:val="24"/>
          <w:lang w:val="en-GB"/>
        </w:rPr>
        <w:t>Journal of Econometrics.</w:t>
      </w:r>
      <w:r>
        <w:rPr>
          <w:rFonts w:cstheme="minorHAnsi"/>
          <w:color w:val="131413"/>
          <w:sz w:val="24"/>
          <w:szCs w:val="24"/>
          <w:lang w:val="en-GB"/>
        </w:rPr>
        <w:t xml:space="preserve"> 61: 5-21.</w:t>
      </w:r>
    </w:p>
    <w:p w14:paraId="7D3C6173" w14:textId="77777777" w:rsidR="00AE1998" w:rsidRDefault="00AE1998" w:rsidP="00AE1998">
      <w:pPr>
        <w:widowControl w:val="0"/>
        <w:autoSpaceDE w:val="0"/>
        <w:autoSpaceDN w:val="0"/>
        <w:adjustRightInd w:val="0"/>
        <w:spacing w:after="0" w:line="360" w:lineRule="auto"/>
        <w:ind w:left="720" w:hanging="720"/>
        <w:rPr>
          <w:rFonts w:cstheme="minorHAnsi"/>
          <w:sz w:val="24"/>
          <w:szCs w:val="24"/>
          <w:lang w:val="en-GB"/>
        </w:rPr>
      </w:pPr>
      <w:proofErr w:type="spellStart"/>
      <w:r>
        <w:rPr>
          <w:rFonts w:cstheme="minorHAnsi"/>
          <w:sz w:val="24"/>
          <w:szCs w:val="24"/>
          <w:lang w:val="en-GB"/>
        </w:rPr>
        <w:t>Ott</w:t>
      </w:r>
      <w:proofErr w:type="spellEnd"/>
      <w:r>
        <w:rPr>
          <w:rFonts w:cstheme="minorHAnsi"/>
          <w:sz w:val="24"/>
          <w:szCs w:val="24"/>
          <w:lang w:val="en-GB"/>
        </w:rPr>
        <w:t xml:space="preserve">, J. (2008). How New York Stole the Luxury Art Market. </w:t>
      </w:r>
      <w:r>
        <w:rPr>
          <w:rFonts w:cstheme="minorHAnsi"/>
          <w:i/>
          <w:iCs/>
          <w:sz w:val="24"/>
          <w:szCs w:val="24"/>
          <w:lang w:val="en-GB"/>
        </w:rPr>
        <w:t>Winterthur Portfolio</w:t>
      </w:r>
      <w:r>
        <w:rPr>
          <w:rFonts w:cstheme="minorHAnsi"/>
          <w:sz w:val="24"/>
          <w:szCs w:val="24"/>
          <w:lang w:val="en-GB"/>
        </w:rPr>
        <w:t>, 26.</w:t>
      </w:r>
    </w:p>
    <w:p w14:paraId="1073765C" w14:textId="77777777" w:rsidR="00AE1998" w:rsidRDefault="00AE1998" w:rsidP="00AE1998">
      <w:pPr>
        <w:spacing w:after="160" w:line="240" w:lineRule="auto"/>
        <w:jc w:val="both"/>
        <w:rPr>
          <w:rFonts w:cs="Times New Roman"/>
          <w:sz w:val="24"/>
          <w:szCs w:val="24"/>
          <w:lang w:val="en-GB"/>
        </w:rPr>
      </w:pPr>
      <w:proofErr w:type="spellStart"/>
      <w:r>
        <w:rPr>
          <w:rFonts w:cs="Times New Roman"/>
          <w:sz w:val="24"/>
          <w:szCs w:val="24"/>
          <w:lang w:val="en-GB"/>
        </w:rPr>
        <w:t>Pesando</w:t>
      </w:r>
      <w:proofErr w:type="spellEnd"/>
      <w:r>
        <w:rPr>
          <w:rFonts w:cs="Times New Roman"/>
          <w:sz w:val="24"/>
          <w:szCs w:val="24"/>
          <w:lang w:val="en-GB"/>
        </w:rPr>
        <w:t xml:space="preserve">, J.E. (1993) Art as an Investment: The Market for Modern Prints. </w:t>
      </w:r>
      <w:r>
        <w:rPr>
          <w:rFonts w:cs="Times New Roman"/>
          <w:i/>
          <w:iCs/>
          <w:sz w:val="24"/>
          <w:szCs w:val="24"/>
          <w:lang w:val="en-GB"/>
        </w:rPr>
        <w:t xml:space="preserve">American Economic Review, </w:t>
      </w:r>
      <w:r>
        <w:rPr>
          <w:rFonts w:cs="Times New Roman"/>
          <w:sz w:val="24"/>
          <w:szCs w:val="24"/>
          <w:lang w:val="en-GB"/>
        </w:rPr>
        <w:t>83: 1075-1089.</w:t>
      </w:r>
    </w:p>
    <w:p w14:paraId="38906B62" w14:textId="77777777" w:rsidR="00AE1998" w:rsidRDefault="00AE1998" w:rsidP="00AE1998">
      <w:pPr>
        <w:spacing w:after="160" w:line="240" w:lineRule="auto"/>
        <w:jc w:val="both"/>
        <w:rPr>
          <w:color w:val="000000"/>
          <w:sz w:val="24"/>
          <w:szCs w:val="24"/>
          <w:lang w:val="en-GB" w:eastAsia="en-GB"/>
        </w:rPr>
      </w:pPr>
      <w:proofErr w:type="spellStart"/>
      <w:r>
        <w:rPr>
          <w:rFonts w:cs="Arial"/>
          <w:sz w:val="24"/>
          <w:szCs w:val="24"/>
          <w:lang w:val="en-GB" w:eastAsia="en-GB"/>
        </w:rPr>
        <w:t>Pesando</w:t>
      </w:r>
      <w:proofErr w:type="spellEnd"/>
      <w:r>
        <w:rPr>
          <w:rFonts w:cs="Arial"/>
          <w:sz w:val="24"/>
          <w:szCs w:val="24"/>
          <w:lang w:val="en-GB" w:eastAsia="en-GB"/>
        </w:rPr>
        <w:t xml:space="preserve">, J.E., and </w:t>
      </w:r>
      <w:proofErr w:type="spellStart"/>
      <w:r>
        <w:rPr>
          <w:rFonts w:cs="Arial"/>
          <w:sz w:val="24"/>
          <w:szCs w:val="24"/>
          <w:lang w:val="en-GB" w:eastAsia="en-GB"/>
        </w:rPr>
        <w:t>Shumm</w:t>
      </w:r>
      <w:proofErr w:type="spellEnd"/>
      <w:r>
        <w:rPr>
          <w:rFonts w:cs="Arial"/>
          <w:sz w:val="24"/>
          <w:szCs w:val="24"/>
          <w:lang w:val="en-GB" w:eastAsia="en-GB"/>
        </w:rPr>
        <w:t xml:space="preserve">, P. (2007) The law of one price, noise and “international exuberance”: the auction market for Picasso prints. </w:t>
      </w:r>
      <w:r>
        <w:rPr>
          <w:rFonts w:cs="Arial"/>
          <w:i/>
          <w:sz w:val="24"/>
          <w:szCs w:val="24"/>
          <w:lang w:val="en-GB" w:eastAsia="en-GB"/>
        </w:rPr>
        <w:t>Journal of Cultural Economics</w:t>
      </w:r>
      <w:r>
        <w:rPr>
          <w:rFonts w:cs="Arial"/>
          <w:sz w:val="24"/>
          <w:szCs w:val="24"/>
          <w:lang w:val="en-GB" w:eastAsia="en-GB"/>
        </w:rPr>
        <w:t>, 31: 263-277.</w:t>
      </w:r>
      <w:r>
        <w:rPr>
          <w:color w:val="000000"/>
          <w:sz w:val="24"/>
          <w:szCs w:val="24"/>
          <w:lang w:val="en-GB" w:eastAsia="en-GB"/>
        </w:rPr>
        <w:t xml:space="preserve"> </w:t>
      </w:r>
    </w:p>
    <w:p w14:paraId="17745EC7" w14:textId="77777777" w:rsidR="00AE1998" w:rsidRDefault="00AE1998" w:rsidP="00AE1998">
      <w:pPr>
        <w:spacing w:after="160" w:line="240" w:lineRule="auto"/>
        <w:jc w:val="both"/>
        <w:rPr>
          <w:color w:val="000000"/>
          <w:sz w:val="24"/>
          <w:szCs w:val="24"/>
          <w:lang w:val="en-GB" w:eastAsia="en-GB"/>
        </w:rPr>
      </w:pPr>
      <w:r>
        <w:rPr>
          <w:color w:val="000000"/>
          <w:sz w:val="24"/>
          <w:szCs w:val="24"/>
          <w:lang w:val="en-GB" w:eastAsia="en-GB"/>
        </w:rPr>
        <w:t xml:space="preserve">Power, D. (2008) The Warhol Economy: How Fashion, Art, and Music Drive New York. </w:t>
      </w:r>
      <w:r>
        <w:rPr>
          <w:i/>
          <w:color w:val="000000"/>
          <w:sz w:val="24"/>
          <w:szCs w:val="24"/>
          <w:lang w:val="en-GB" w:eastAsia="en-GB"/>
        </w:rPr>
        <w:t>Economic Geography</w:t>
      </w:r>
      <w:r>
        <w:rPr>
          <w:color w:val="000000"/>
          <w:sz w:val="24"/>
          <w:szCs w:val="24"/>
          <w:lang w:val="en-GB" w:eastAsia="en-GB"/>
        </w:rPr>
        <w:t>, 85(1): 101-102.</w:t>
      </w:r>
    </w:p>
    <w:p w14:paraId="6664B967" w14:textId="77777777" w:rsidR="00AE1998" w:rsidRDefault="00AE1998" w:rsidP="00AE1998">
      <w:pPr>
        <w:spacing w:after="160" w:line="240" w:lineRule="auto"/>
        <w:jc w:val="both"/>
        <w:rPr>
          <w:rFonts w:cstheme="minorHAnsi"/>
          <w:color w:val="000000"/>
          <w:sz w:val="24"/>
          <w:szCs w:val="24"/>
          <w:lang w:val="en-GB" w:eastAsia="en-GB"/>
        </w:rPr>
      </w:pPr>
      <w:proofErr w:type="spellStart"/>
      <w:r>
        <w:rPr>
          <w:rFonts w:cstheme="minorHAnsi"/>
          <w:color w:val="231F20"/>
          <w:spacing w:val="-2"/>
          <w:sz w:val="24"/>
          <w:szCs w:val="24"/>
          <w:lang w:val="en-GB"/>
        </w:rPr>
        <w:t>Sassen</w:t>
      </w:r>
      <w:proofErr w:type="spellEnd"/>
      <w:r>
        <w:rPr>
          <w:rFonts w:cstheme="minorHAnsi"/>
          <w:color w:val="231F20"/>
          <w:spacing w:val="-2"/>
          <w:sz w:val="24"/>
          <w:szCs w:val="24"/>
          <w:lang w:val="en-GB"/>
        </w:rPr>
        <w:t>,</w:t>
      </w:r>
      <w:r>
        <w:rPr>
          <w:rFonts w:cstheme="minorHAnsi"/>
          <w:color w:val="231F20"/>
          <w:spacing w:val="3"/>
          <w:sz w:val="24"/>
          <w:szCs w:val="24"/>
          <w:lang w:val="en-GB"/>
        </w:rPr>
        <w:t xml:space="preserve"> </w:t>
      </w:r>
      <w:r>
        <w:rPr>
          <w:rFonts w:cstheme="minorHAnsi"/>
          <w:color w:val="231F20"/>
          <w:spacing w:val="-2"/>
          <w:sz w:val="24"/>
          <w:szCs w:val="24"/>
          <w:lang w:val="en-GB"/>
        </w:rPr>
        <w:t>S.</w:t>
      </w:r>
      <w:r>
        <w:rPr>
          <w:rFonts w:cstheme="minorHAnsi"/>
          <w:color w:val="231F20"/>
          <w:spacing w:val="3"/>
          <w:sz w:val="24"/>
          <w:szCs w:val="24"/>
          <w:lang w:val="en-GB"/>
        </w:rPr>
        <w:t xml:space="preserve"> </w:t>
      </w:r>
      <w:r>
        <w:rPr>
          <w:rFonts w:cstheme="minorHAnsi"/>
          <w:color w:val="231F20"/>
          <w:spacing w:val="-2"/>
          <w:sz w:val="24"/>
          <w:szCs w:val="24"/>
          <w:lang w:val="en-GB"/>
        </w:rPr>
        <w:t>(1991).</w:t>
      </w:r>
      <w:r>
        <w:rPr>
          <w:rFonts w:cstheme="minorHAnsi"/>
          <w:color w:val="231F20"/>
          <w:spacing w:val="4"/>
          <w:sz w:val="24"/>
          <w:szCs w:val="24"/>
          <w:lang w:val="en-GB"/>
        </w:rPr>
        <w:t xml:space="preserve"> </w:t>
      </w:r>
      <w:r>
        <w:rPr>
          <w:rFonts w:cstheme="minorHAnsi"/>
          <w:i/>
          <w:color w:val="231F20"/>
          <w:spacing w:val="-2"/>
          <w:sz w:val="24"/>
          <w:szCs w:val="24"/>
          <w:lang w:val="en-GB"/>
        </w:rPr>
        <w:t>The</w:t>
      </w:r>
      <w:r>
        <w:rPr>
          <w:rFonts w:cstheme="minorHAnsi"/>
          <w:i/>
          <w:color w:val="231F20"/>
          <w:spacing w:val="3"/>
          <w:sz w:val="24"/>
          <w:szCs w:val="24"/>
          <w:lang w:val="en-GB"/>
        </w:rPr>
        <w:t xml:space="preserve"> </w:t>
      </w:r>
      <w:r>
        <w:rPr>
          <w:rFonts w:cstheme="minorHAnsi"/>
          <w:i/>
          <w:color w:val="231F20"/>
          <w:spacing w:val="-2"/>
          <w:sz w:val="24"/>
          <w:szCs w:val="24"/>
          <w:lang w:val="en-GB"/>
        </w:rPr>
        <w:t>global</w:t>
      </w:r>
      <w:r>
        <w:rPr>
          <w:rFonts w:cstheme="minorHAnsi"/>
          <w:i/>
          <w:color w:val="231F20"/>
          <w:spacing w:val="4"/>
          <w:sz w:val="24"/>
          <w:szCs w:val="24"/>
          <w:lang w:val="en-GB"/>
        </w:rPr>
        <w:t xml:space="preserve"> </w:t>
      </w:r>
      <w:r>
        <w:rPr>
          <w:rFonts w:cstheme="minorHAnsi"/>
          <w:i/>
          <w:color w:val="231F20"/>
          <w:spacing w:val="-1"/>
          <w:sz w:val="24"/>
          <w:szCs w:val="24"/>
          <w:lang w:val="en-GB"/>
        </w:rPr>
        <w:t>city:</w:t>
      </w:r>
      <w:r>
        <w:rPr>
          <w:rFonts w:cstheme="minorHAnsi"/>
          <w:i/>
          <w:color w:val="231F20"/>
          <w:spacing w:val="3"/>
          <w:sz w:val="24"/>
          <w:szCs w:val="24"/>
          <w:lang w:val="en-GB"/>
        </w:rPr>
        <w:t xml:space="preserve"> </w:t>
      </w:r>
      <w:r>
        <w:rPr>
          <w:rFonts w:cstheme="minorHAnsi"/>
          <w:i/>
          <w:color w:val="231F20"/>
          <w:spacing w:val="-1"/>
          <w:sz w:val="24"/>
          <w:szCs w:val="24"/>
          <w:lang w:val="en-GB"/>
        </w:rPr>
        <w:t>New</w:t>
      </w:r>
      <w:r>
        <w:rPr>
          <w:rFonts w:cstheme="minorHAnsi"/>
          <w:i/>
          <w:color w:val="231F20"/>
          <w:spacing w:val="-9"/>
          <w:sz w:val="24"/>
          <w:szCs w:val="24"/>
          <w:lang w:val="en-GB"/>
        </w:rPr>
        <w:t xml:space="preserve"> </w:t>
      </w:r>
      <w:r>
        <w:rPr>
          <w:rFonts w:cstheme="minorHAnsi"/>
          <w:i/>
          <w:color w:val="231F20"/>
          <w:spacing w:val="-1"/>
          <w:sz w:val="24"/>
          <w:szCs w:val="24"/>
          <w:lang w:val="en-GB"/>
        </w:rPr>
        <w:t>York,</w:t>
      </w:r>
      <w:r>
        <w:rPr>
          <w:rFonts w:cstheme="minorHAnsi"/>
          <w:i/>
          <w:color w:val="231F20"/>
          <w:spacing w:val="3"/>
          <w:sz w:val="24"/>
          <w:szCs w:val="24"/>
          <w:lang w:val="en-GB"/>
        </w:rPr>
        <w:t xml:space="preserve"> </w:t>
      </w:r>
      <w:r>
        <w:rPr>
          <w:rFonts w:cstheme="minorHAnsi"/>
          <w:i/>
          <w:color w:val="231F20"/>
          <w:spacing w:val="-1"/>
          <w:sz w:val="24"/>
          <w:szCs w:val="24"/>
          <w:lang w:val="en-GB"/>
        </w:rPr>
        <w:t>London,</w:t>
      </w:r>
      <w:r>
        <w:rPr>
          <w:rFonts w:cstheme="minorHAnsi"/>
          <w:i/>
          <w:color w:val="231F20"/>
          <w:spacing w:val="1"/>
          <w:sz w:val="24"/>
          <w:szCs w:val="24"/>
          <w:lang w:val="en-GB"/>
        </w:rPr>
        <w:t xml:space="preserve"> </w:t>
      </w:r>
      <w:r>
        <w:rPr>
          <w:rFonts w:cstheme="minorHAnsi"/>
          <w:i/>
          <w:color w:val="231F20"/>
          <w:spacing w:val="-1"/>
          <w:sz w:val="24"/>
          <w:szCs w:val="24"/>
          <w:lang w:val="en-GB"/>
        </w:rPr>
        <w:t>Tokyo</w:t>
      </w:r>
      <w:r>
        <w:rPr>
          <w:rFonts w:cstheme="minorHAnsi"/>
          <w:color w:val="231F20"/>
          <w:spacing w:val="-1"/>
          <w:sz w:val="24"/>
          <w:szCs w:val="24"/>
          <w:lang w:val="en-GB"/>
        </w:rPr>
        <w:t>.</w:t>
      </w:r>
      <w:r>
        <w:rPr>
          <w:rFonts w:cstheme="minorHAnsi"/>
          <w:color w:val="231F20"/>
          <w:spacing w:val="4"/>
          <w:sz w:val="24"/>
          <w:szCs w:val="24"/>
          <w:lang w:val="en-GB"/>
        </w:rPr>
        <w:t xml:space="preserve"> </w:t>
      </w:r>
      <w:r>
        <w:rPr>
          <w:rFonts w:cstheme="minorHAnsi"/>
          <w:color w:val="231F20"/>
          <w:spacing w:val="-1"/>
          <w:sz w:val="24"/>
          <w:szCs w:val="24"/>
          <w:lang w:val="en-GB"/>
        </w:rPr>
        <w:t>Princeton,</w:t>
      </w:r>
      <w:r>
        <w:rPr>
          <w:rFonts w:cstheme="minorHAnsi"/>
          <w:color w:val="231F20"/>
          <w:spacing w:val="3"/>
          <w:sz w:val="24"/>
          <w:szCs w:val="24"/>
          <w:lang w:val="en-GB"/>
        </w:rPr>
        <w:t xml:space="preserve"> </w:t>
      </w:r>
      <w:r>
        <w:rPr>
          <w:rFonts w:cstheme="minorHAnsi"/>
          <w:color w:val="231F20"/>
          <w:spacing w:val="-1"/>
          <w:sz w:val="24"/>
          <w:szCs w:val="24"/>
          <w:lang w:val="en-GB"/>
        </w:rPr>
        <w:t>NJ:</w:t>
      </w:r>
      <w:r>
        <w:rPr>
          <w:rFonts w:cstheme="minorHAnsi"/>
          <w:color w:val="231F20"/>
          <w:spacing w:val="3"/>
          <w:sz w:val="24"/>
          <w:szCs w:val="24"/>
          <w:lang w:val="en-GB"/>
        </w:rPr>
        <w:t xml:space="preserve"> </w:t>
      </w:r>
      <w:r>
        <w:rPr>
          <w:rFonts w:cstheme="minorHAnsi"/>
          <w:color w:val="231F20"/>
          <w:spacing w:val="-1"/>
          <w:sz w:val="24"/>
          <w:szCs w:val="24"/>
          <w:lang w:val="en-GB"/>
        </w:rPr>
        <w:t>Princeton</w:t>
      </w:r>
      <w:r>
        <w:rPr>
          <w:rFonts w:cstheme="minorHAnsi"/>
          <w:color w:val="231F20"/>
          <w:spacing w:val="3"/>
          <w:sz w:val="24"/>
          <w:szCs w:val="24"/>
          <w:lang w:val="en-GB"/>
        </w:rPr>
        <w:t xml:space="preserve"> </w:t>
      </w:r>
      <w:r>
        <w:rPr>
          <w:rFonts w:cstheme="minorHAnsi"/>
          <w:color w:val="231F20"/>
          <w:spacing w:val="-1"/>
          <w:sz w:val="24"/>
          <w:szCs w:val="24"/>
          <w:lang w:val="en-GB"/>
        </w:rPr>
        <w:t>University</w:t>
      </w:r>
      <w:r>
        <w:rPr>
          <w:rFonts w:cstheme="minorHAnsi"/>
          <w:color w:val="231F20"/>
          <w:spacing w:val="3"/>
          <w:sz w:val="24"/>
          <w:szCs w:val="24"/>
          <w:lang w:val="en-GB"/>
        </w:rPr>
        <w:t xml:space="preserve"> </w:t>
      </w:r>
      <w:r>
        <w:rPr>
          <w:rFonts w:cstheme="minorHAnsi"/>
          <w:color w:val="231F20"/>
          <w:spacing w:val="-1"/>
          <w:sz w:val="24"/>
          <w:szCs w:val="24"/>
          <w:lang w:val="en-GB"/>
        </w:rPr>
        <w:t>Press.</w:t>
      </w:r>
    </w:p>
    <w:p w14:paraId="41299EB4" w14:textId="77777777" w:rsidR="00AE1998" w:rsidRDefault="00AE1998" w:rsidP="00AE1998">
      <w:pPr>
        <w:spacing w:after="160" w:line="240" w:lineRule="auto"/>
        <w:jc w:val="both"/>
        <w:rPr>
          <w:rFonts w:cstheme="minorHAnsi"/>
          <w:sz w:val="24"/>
          <w:szCs w:val="24"/>
          <w:lang w:val="en-GB" w:eastAsia="en-GB"/>
        </w:rPr>
      </w:pPr>
      <w:proofErr w:type="spellStart"/>
      <w:r>
        <w:rPr>
          <w:rFonts w:cstheme="minorHAnsi"/>
          <w:sz w:val="24"/>
          <w:szCs w:val="24"/>
          <w:lang w:val="en-GB"/>
        </w:rPr>
        <w:t>Scorcu</w:t>
      </w:r>
      <w:proofErr w:type="spellEnd"/>
      <w:r>
        <w:rPr>
          <w:rFonts w:cstheme="minorHAnsi"/>
          <w:sz w:val="24"/>
          <w:szCs w:val="24"/>
          <w:lang w:val="en-GB" w:eastAsia="en-GB"/>
        </w:rPr>
        <w:t xml:space="preserve">, A., and </w:t>
      </w:r>
      <w:proofErr w:type="spellStart"/>
      <w:r>
        <w:rPr>
          <w:rFonts w:cstheme="minorHAnsi"/>
          <w:sz w:val="24"/>
          <w:szCs w:val="24"/>
          <w:lang w:val="en-GB" w:eastAsia="en-GB"/>
        </w:rPr>
        <w:t>Zanola</w:t>
      </w:r>
      <w:proofErr w:type="spellEnd"/>
      <w:r>
        <w:rPr>
          <w:rFonts w:cstheme="minorHAnsi"/>
          <w:sz w:val="24"/>
          <w:szCs w:val="24"/>
          <w:lang w:val="en-GB" w:eastAsia="en-GB"/>
        </w:rPr>
        <w:t xml:space="preserve">, R. (2011) The “Right” Price for Art Collectibles: A Percentile Hedonic Regression Investigation of Picasso Paintings. </w:t>
      </w:r>
      <w:r>
        <w:rPr>
          <w:rFonts w:cstheme="minorHAnsi"/>
          <w:i/>
          <w:sz w:val="24"/>
          <w:szCs w:val="24"/>
          <w:lang w:val="en-GB" w:eastAsia="en-GB"/>
        </w:rPr>
        <w:t>Journal of Alternative Investment</w:t>
      </w:r>
      <w:r>
        <w:rPr>
          <w:rFonts w:cstheme="minorHAnsi"/>
          <w:sz w:val="24"/>
          <w:szCs w:val="24"/>
          <w:lang w:val="en-GB" w:eastAsia="en-GB"/>
        </w:rPr>
        <w:t>, 14(2): 89-99.</w:t>
      </w:r>
    </w:p>
    <w:p w14:paraId="74BA23A6" w14:textId="77777777" w:rsidR="00AE1998" w:rsidRDefault="00AE1998" w:rsidP="00AE1998">
      <w:pPr>
        <w:shd w:val="clear" w:color="auto" w:fill="FFFFFF"/>
        <w:spacing w:after="75" w:line="240" w:lineRule="auto"/>
        <w:rPr>
          <w:rFonts w:eastAsia="Times New Roman" w:cstheme="minorHAnsi"/>
          <w:color w:val="111111"/>
          <w:sz w:val="24"/>
          <w:szCs w:val="24"/>
          <w:lang w:val="en-GB"/>
        </w:rPr>
      </w:pPr>
      <w:r>
        <w:rPr>
          <w:rFonts w:cstheme="minorHAnsi"/>
          <w:sz w:val="24"/>
          <w:szCs w:val="24"/>
          <w:lang w:val="en-GB"/>
        </w:rPr>
        <w:t xml:space="preserve">Scott, A.J. (2000), </w:t>
      </w:r>
      <w:r>
        <w:rPr>
          <w:rFonts w:cstheme="minorHAnsi"/>
          <w:i/>
          <w:sz w:val="24"/>
          <w:szCs w:val="24"/>
          <w:lang w:val="en-GB"/>
        </w:rPr>
        <w:t>The Cultural Economy of Cities: Essays on the Geography of Image-Producing Industries,</w:t>
      </w:r>
      <w:r>
        <w:rPr>
          <w:rFonts w:cstheme="minorHAnsi"/>
          <w:sz w:val="24"/>
          <w:szCs w:val="24"/>
          <w:lang w:val="en-GB"/>
        </w:rPr>
        <w:t xml:space="preserve"> Sage, London.</w:t>
      </w:r>
    </w:p>
    <w:p w14:paraId="23F6835A" w14:textId="77777777" w:rsidR="00AE1998" w:rsidRDefault="00AE1998" w:rsidP="00AE1998">
      <w:pPr>
        <w:pStyle w:val="Titolo1"/>
      </w:pPr>
      <w:r>
        <w:rPr>
          <w:i w:val="0"/>
        </w:rPr>
        <w:t xml:space="preserve">Worthington, A., and Higgs, H. (2004) Art as an investment: risk, return and portfolio diversification in major painting markets. </w:t>
      </w:r>
      <w:hyperlink r:id="rId15" w:history="1">
        <w:r>
          <w:rPr>
            <w:rStyle w:val="Collegamentoipertestuale"/>
            <w:rFonts w:eastAsiaTheme="minorEastAsia" w:cs="Arial"/>
            <w:color w:val="auto"/>
            <w:lang w:eastAsia="en-GB"/>
          </w:rPr>
          <w:t>Accounting and Finance</w:t>
        </w:r>
      </w:hyperlink>
      <w:r>
        <w:rPr>
          <w:color w:val="000000"/>
          <w:shd w:val="clear" w:color="auto" w:fill="FFFFFF"/>
        </w:rPr>
        <w:t>, 44(2), 257-271.</w:t>
      </w:r>
    </w:p>
    <w:p w14:paraId="2B2FEA3B" w14:textId="77777777" w:rsidR="00E04BB5" w:rsidRPr="002B1625" w:rsidRDefault="00E04BB5" w:rsidP="00E04BB5">
      <w:pPr>
        <w:rPr>
          <w:b/>
          <w:sz w:val="20"/>
          <w:szCs w:val="20"/>
          <w:lang w:val="en-GB"/>
        </w:rPr>
      </w:pPr>
      <w:bookmarkStart w:id="1" w:name="_GoBack"/>
      <w:bookmarkEnd w:id="1"/>
      <w:r w:rsidRPr="002B1625">
        <w:rPr>
          <w:rFonts w:ascii="Arial" w:hAnsi="Arial" w:cs="Arial"/>
          <w:lang w:val="en-GB" w:eastAsia="en-GB"/>
        </w:rPr>
        <w:br w:type="page"/>
      </w:r>
      <w:r w:rsidRPr="002B1625">
        <w:rPr>
          <w:b/>
          <w:sz w:val="20"/>
          <w:szCs w:val="20"/>
          <w:lang w:val="en-GB"/>
        </w:rPr>
        <w:lastRenderedPageBreak/>
        <w:t xml:space="preserve">TABLE 1. Descriptive statistics </w:t>
      </w:r>
    </w:p>
    <w:tbl>
      <w:tblPr>
        <w:tblW w:w="9941" w:type="dxa"/>
        <w:tblInd w:w="55" w:type="dxa"/>
        <w:tblCellMar>
          <w:left w:w="70" w:type="dxa"/>
          <w:right w:w="70" w:type="dxa"/>
        </w:tblCellMar>
        <w:tblLook w:val="04A0" w:firstRow="1" w:lastRow="0" w:firstColumn="1" w:lastColumn="0" w:noHBand="0" w:noVBand="1"/>
      </w:tblPr>
      <w:tblGrid>
        <w:gridCol w:w="306"/>
        <w:gridCol w:w="1105"/>
        <w:gridCol w:w="186"/>
        <w:gridCol w:w="1495"/>
        <w:gridCol w:w="175"/>
        <w:gridCol w:w="1258"/>
        <w:gridCol w:w="650"/>
        <w:gridCol w:w="950"/>
        <w:gridCol w:w="186"/>
        <w:gridCol w:w="950"/>
        <w:gridCol w:w="186"/>
        <w:gridCol w:w="950"/>
        <w:gridCol w:w="186"/>
        <w:gridCol w:w="951"/>
        <w:gridCol w:w="428"/>
      </w:tblGrid>
      <w:tr w:rsidR="00E04BB5" w:rsidRPr="002B1625" w14:paraId="0C25DFD5" w14:textId="77777777" w:rsidTr="00E04BB5">
        <w:trPr>
          <w:trHeight w:val="300"/>
        </w:trPr>
        <w:tc>
          <w:tcPr>
            <w:tcW w:w="306" w:type="dxa"/>
            <w:tcBorders>
              <w:top w:val="single" w:sz="4" w:space="0" w:color="auto"/>
              <w:left w:val="nil"/>
              <w:bottom w:val="nil"/>
              <w:right w:val="nil"/>
            </w:tcBorders>
            <w:shd w:val="clear" w:color="auto" w:fill="auto"/>
            <w:noWrap/>
            <w:vAlign w:val="bottom"/>
            <w:hideMark/>
          </w:tcPr>
          <w:p w14:paraId="6839A868"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c>
          <w:tcPr>
            <w:tcW w:w="1105" w:type="dxa"/>
            <w:tcBorders>
              <w:top w:val="single" w:sz="4" w:space="0" w:color="auto"/>
              <w:left w:val="nil"/>
              <w:bottom w:val="nil"/>
              <w:right w:val="nil"/>
            </w:tcBorders>
            <w:shd w:val="clear" w:color="auto" w:fill="auto"/>
            <w:noWrap/>
            <w:vAlign w:val="bottom"/>
            <w:hideMark/>
          </w:tcPr>
          <w:p w14:paraId="06FE88DC"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c>
          <w:tcPr>
            <w:tcW w:w="186" w:type="dxa"/>
            <w:tcBorders>
              <w:top w:val="single" w:sz="4" w:space="0" w:color="auto"/>
              <w:left w:val="nil"/>
              <w:bottom w:val="nil"/>
              <w:right w:val="nil"/>
            </w:tcBorders>
            <w:shd w:val="clear" w:color="auto" w:fill="auto"/>
            <w:noWrap/>
            <w:vAlign w:val="bottom"/>
            <w:hideMark/>
          </w:tcPr>
          <w:p w14:paraId="6DD502B0"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c>
          <w:tcPr>
            <w:tcW w:w="2928" w:type="dxa"/>
            <w:gridSpan w:val="3"/>
            <w:tcBorders>
              <w:top w:val="single" w:sz="4" w:space="0" w:color="auto"/>
              <w:left w:val="nil"/>
              <w:bottom w:val="single" w:sz="4" w:space="0" w:color="auto"/>
              <w:right w:val="nil"/>
            </w:tcBorders>
            <w:shd w:val="clear" w:color="auto" w:fill="auto"/>
            <w:noWrap/>
            <w:vAlign w:val="bottom"/>
            <w:hideMark/>
          </w:tcPr>
          <w:p w14:paraId="1FD4FE92" w14:textId="77777777" w:rsidR="00E04BB5" w:rsidRPr="002B1625" w:rsidRDefault="00E04BB5" w:rsidP="00E04BB5">
            <w:pPr>
              <w:spacing w:after="0" w:line="240" w:lineRule="auto"/>
              <w:jc w:val="center"/>
              <w:rPr>
                <w:rFonts w:ascii="Calibri" w:eastAsia="Times New Roman" w:hAnsi="Calibri" w:cs="Times New Roman"/>
                <w:b/>
                <w:bCs/>
                <w:color w:val="000000"/>
                <w:sz w:val="20"/>
                <w:szCs w:val="20"/>
                <w:lang w:val="en-GB"/>
              </w:rPr>
            </w:pPr>
            <w:r w:rsidRPr="002B1625">
              <w:rPr>
                <w:rFonts w:ascii="Calibri" w:eastAsia="Times New Roman" w:hAnsi="Calibri" w:cs="Times New Roman"/>
                <w:b/>
                <w:bCs/>
                <w:color w:val="000000"/>
                <w:sz w:val="20"/>
                <w:szCs w:val="20"/>
                <w:lang w:val="en-GB"/>
              </w:rPr>
              <w:t>Full Sample (N=938)</w:t>
            </w:r>
          </w:p>
        </w:tc>
        <w:tc>
          <w:tcPr>
            <w:tcW w:w="650" w:type="dxa"/>
            <w:tcBorders>
              <w:top w:val="single" w:sz="4" w:space="0" w:color="auto"/>
              <w:left w:val="nil"/>
              <w:bottom w:val="nil"/>
              <w:right w:val="nil"/>
            </w:tcBorders>
            <w:shd w:val="clear" w:color="auto" w:fill="auto"/>
            <w:noWrap/>
            <w:vAlign w:val="bottom"/>
            <w:hideMark/>
          </w:tcPr>
          <w:p w14:paraId="4936D86B" w14:textId="77777777" w:rsidR="00E04BB5" w:rsidRPr="002B1625" w:rsidRDefault="00E04BB5" w:rsidP="00E04BB5">
            <w:pPr>
              <w:spacing w:after="0" w:line="240" w:lineRule="auto"/>
              <w:rPr>
                <w:rFonts w:ascii="Calibri" w:eastAsia="Times New Roman" w:hAnsi="Calibri" w:cs="Times New Roman"/>
                <w:b/>
                <w:bCs/>
                <w:color w:val="000000"/>
                <w:sz w:val="20"/>
                <w:szCs w:val="20"/>
                <w:lang w:val="en-GB"/>
              </w:rPr>
            </w:pPr>
            <w:r w:rsidRPr="002B1625">
              <w:rPr>
                <w:rFonts w:ascii="Calibri" w:eastAsia="Times New Roman" w:hAnsi="Calibri" w:cs="Times New Roman"/>
                <w:b/>
                <w:bCs/>
                <w:color w:val="000000"/>
                <w:sz w:val="20"/>
                <w:szCs w:val="20"/>
                <w:lang w:val="en-GB"/>
              </w:rPr>
              <w:t> </w:t>
            </w:r>
          </w:p>
        </w:tc>
        <w:tc>
          <w:tcPr>
            <w:tcW w:w="2065" w:type="dxa"/>
            <w:gridSpan w:val="3"/>
            <w:tcBorders>
              <w:top w:val="single" w:sz="4" w:space="0" w:color="auto"/>
              <w:left w:val="nil"/>
              <w:bottom w:val="single" w:sz="4" w:space="0" w:color="auto"/>
              <w:right w:val="nil"/>
            </w:tcBorders>
            <w:shd w:val="clear" w:color="auto" w:fill="auto"/>
            <w:noWrap/>
            <w:vAlign w:val="bottom"/>
            <w:hideMark/>
          </w:tcPr>
          <w:p w14:paraId="58194F3F" w14:textId="77777777" w:rsidR="00E04BB5" w:rsidRPr="002B1625" w:rsidRDefault="00E04BB5" w:rsidP="00E04BB5">
            <w:pPr>
              <w:spacing w:after="0" w:line="240" w:lineRule="auto"/>
              <w:jc w:val="center"/>
              <w:rPr>
                <w:rFonts w:ascii="Calibri" w:eastAsia="Times New Roman" w:hAnsi="Calibri" w:cs="Times New Roman"/>
                <w:b/>
                <w:bCs/>
                <w:color w:val="000000"/>
                <w:sz w:val="20"/>
                <w:szCs w:val="20"/>
                <w:lang w:val="en-GB"/>
              </w:rPr>
            </w:pPr>
            <w:r w:rsidRPr="002B1625">
              <w:rPr>
                <w:rFonts w:ascii="Calibri" w:eastAsia="Times New Roman" w:hAnsi="Calibri" w:cs="Times New Roman"/>
                <w:b/>
                <w:bCs/>
                <w:color w:val="000000"/>
                <w:sz w:val="20"/>
                <w:szCs w:val="20"/>
                <w:lang w:val="en-GB"/>
              </w:rPr>
              <w:t>NY (N=496)</w:t>
            </w:r>
          </w:p>
        </w:tc>
        <w:tc>
          <w:tcPr>
            <w:tcW w:w="186" w:type="dxa"/>
            <w:tcBorders>
              <w:top w:val="single" w:sz="4" w:space="0" w:color="auto"/>
              <w:left w:val="nil"/>
              <w:bottom w:val="nil"/>
              <w:right w:val="nil"/>
            </w:tcBorders>
            <w:shd w:val="clear" w:color="auto" w:fill="auto"/>
            <w:noWrap/>
            <w:vAlign w:val="bottom"/>
            <w:hideMark/>
          </w:tcPr>
          <w:p w14:paraId="5E01FD93" w14:textId="77777777" w:rsidR="00E04BB5" w:rsidRPr="002B1625" w:rsidRDefault="00E04BB5" w:rsidP="00E04BB5">
            <w:pPr>
              <w:spacing w:after="0" w:line="240" w:lineRule="auto"/>
              <w:rPr>
                <w:rFonts w:ascii="Calibri" w:eastAsia="Times New Roman" w:hAnsi="Calibri" w:cs="Times New Roman"/>
                <w:b/>
                <w:bCs/>
                <w:color w:val="000000"/>
                <w:sz w:val="20"/>
                <w:szCs w:val="20"/>
                <w:lang w:val="en-GB"/>
              </w:rPr>
            </w:pPr>
            <w:r w:rsidRPr="002B1625">
              <w:rPr>
                <w:rFonts w:ascii="Calibri" w:eastAsia="Times New Roman" w:hAnsi="Calibri" w:cs="Times New Roman"/>
                <w:b/>
                <w:bCs/>
                <w:color w:val="000000"/>
                <w:sz w:val="20"/>
                <w:szCs w:val="20"/>
                <w:lang w:val="en-GB"/>
              </w:rPr>
              <w:t> </w:t>
            </w:r>
          </w:p>
        </w:tc>
        <w:tc>
          <w:tcPr>
            <w:tcW w:w="2087" w:type="dxa"/>
            <w:gridSpan w:val="3"/>
            <w:tcBorders>
              <w:top w:val="single" w:sz="4" w:space="0" w:color="auto"/>
              <w:left w:val="nil"/>
              <w:bottom w:val="single" w:sz="4" w:space="0" w:color="auto"/>
              <w:right w:val="nil"/>
            </w:tcBorders>
            <w:shd w:val="clear" w:color="auto" w:fill="auto"/>
            <w:noWrap/>
            <w:vAlign w:val="bottom"/>
            <w:hideMark/>
          </w:tcPr>
          <w:p w14:paraId="0D69DA81" w14:textId="77777777" w:rsidR="00E04BB5" w:rsidRPr="002B1625" w:rsidRDefault="00E04BB5" w:rsidP="00E04BB5">
            <w:pPr>
              <w:spacing w:after="0" w:line="240" w:lineRule="auto"/>
              <w:jc w:val="center"/>
              <w:rPr>
                <w:rFonts w:ascii="Calibri" w:eastAsia="Times New Roman" w:hAnsi="Calibri" w:cs="Times New Roman"/>
                <w:b/>
                <w:bCs/>
                <w:color w:val="000000"/>
                <w:sz w:val="20"/>
                <w:szCs w:val="20"/>
                <w:lang w:val="en-GB"/>
              </w:rPr>
            </w:pPr>
            <w:proofErr w:type="spellStart"/>
            <w:r w:rsidRPr="002B1625">
              <w:rPr>
                <w:rFonts w:ascii="Calibri" w:eastAsia="Times New Roman" w:hAnsi="Calibri" w:cs="Times New Roman"/>
                <w:b/>
                <w:bCs/>
                <w:color w:val="000000"/>
                <w:sz w:val="20"/>
                <w:szCs w:val="20"/>
                <w:lang w:val="en-GB"/>
              </w:rPr>
              <w:t>RoW</w:t>
            </w:r>
            <w:proofErr w:type="spellEnd"/>
            <w:r w:rsidRPr="002B1625">
              <w:rPr>
                <w:rFonts w:ascii="Calibri" w:eastAsia="Times New Roman" w:hAnsi="Calibri" w:cs="Times New Roman"/>
                <w:b/>
                <w:bCs/>
                <w:color w:val="000000"/>
                <w:sz w:val="20"/>
                <w:szCs w:val="20"/>
                <w:lang w:val="en-GB"/>
              </w:rPr>
              <w:t xml:space="preserve"> (N=442)</w:t>
            </w:r>
          </w:p>
        </w:tc>
        <w:tc>
          <w:tcPr>
            <w:tcW w:w="428" w:type="dxa"/>
            <w:tcBorders>
              <w:top w:val="single" w:sz="4" w:space="0" w:color="auto"/>
              <w:left w:val="nil"/>
              <w:bottom w:val="nil"/>
              <w:right w:val="nil"/>
            </w:tcBorders>
            <w:shd w:val="clear" w:color="auto" w:fill="auto"/>
            <w:noWrap/>
            <w:vAlign w:val="bottom"/>
            <w:hideMark/>
          </w:tcPr>
          <w:p w14:paraId="30F04222"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r>
      <w:tr w:rsidR="00E04BB5" w:rsidRPr="002B1625" w14:paraId="314FF6BE" w14:textId="77777777" w:rsidTr="00E04BB5">
        <w:trPr>
          <w:trHeight w:val="300"/>
        </w:trPr>
        <w:tc>
          <w:tcPr>
            <w:tcW w:w="306" w:type="dxa"/>
            <w:tcBorders>
              <w:top w:val="nil"/>
              <w:left w:val="nil"/>
              <w:bottom w:val="single" w:sz="4" w:space="0" w:color="auto"/>
              <w:right w:val="nil"/>
            </w:tcBorders>
            <w:shd w:val="clear" w:color="auto" w:fill="auto"/>
            <w:noWrap/>
            <w:vAlign w:val="bottom"/>
            <w:hideMark/>
          </w:tcPr>
          <w:p w14:paraId="24089AD0"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c>
          <w:tcPr>
            <w:tcW w:w="1105" w:type="dxa"/>
            <w:tcBorders>
              <w:top w:val="nil"/>
              <w:left w:val="nil"/>
              <w:bottom w:val="single" w:sz="4" w:space="0" w:color="auto"/>
              <w:right w:val="nil"/>
            </w:tcBorders>
            <w:shd w:val="clear" w:color="auto" w:fill="auto"/>
            <w:noWrap/>
            <w:vAlign w:val="bottom"/>
            <w:hideMark/>
          </w:tcPr>
          <w:p w14:paraId="7927EC62"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c>
          <w:tcPr>
            <w:tcW w:w="186" w:type="dxa"/>
            <w:tcBorders>
              <w:top w:val="nil"/>
              <w:left w:val="nil"/>
              <w:bottom w:val="single" w:sz="4" w:space="0" w:color="auto"/>
              <w:right w:val="nil"/>
            </w:tcBorders>
            <w:shd w:val="clear" w:color="auto" w:fill="auto"/>
            <w:noWrap/>
            <w:vAlign w:val="bottom"/>
            <w:hideMark/>
          </w:tcPr>
          <w:p w14:paraId="0BA46F1B"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c>
          <w:tcPr>
            <w:tcW w:w="1495" w:type="dxa"/>
            <w:tcBorders>
              <w:top w:val="nil"/>
              <w:left w:val="nil"/>
              <w:bottom w:val="single" w:sz="4" w:space="0" w:color="auto"/>
              <w:right w:val="nil"/>
            </w:tcBorders>
            <w:shd w:val="clear" w:color="auto" w:fill="auto"/>
            <w:noWrap/>
            <w:vAlign w:val="bottom"/>
            <w:hideMark/>
          </w:tcPr>
          <w:p w14:paraId="3E4709E5"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Mean</w:t>
            </w:r>
          </w:p>
        </w:tc>
        <w:tc>
          <w:tcPr>
            <w:tcW w:w="175" w:type="dxa"/>
            <w:tcBorders>
              <w:top w:val="nil"/>
              <w:left w:val="nil"/>
              <w:bottom w:val="single" w:sz="4" w:space="0" w:color="auto"/>
              <w:right w:val="nil"/>
            </w:tcBorders>
            <w:shd w:val="clear" w:color="auto" w:fill="auto"/>
            <w:noWrap/>
            <w:vAlign w:val="bottom"/>
            <w:hideMark/>
          </w:tcPr>
          <w:p w14:paraId="46535AA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single" w:sz="4" w:space="0" w:color="auto"/>
              <w:right w:val="nil"/>
            </w:tcBorders>
            <w:shd w:val="clear" w:color="auto" w:fill="auto"/>
            <w:noWrap/>
            <w:vAlign w:val="bottom"/>
            <w:hideMark/>
          </w:tcPr>
          <w:p w14:paraId="06CA797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Std. Dev.</w:t>
            </w:r>
          </w:p>
        </w:tc>
        <w:tc>
          <w:tcPr>
            <w:tcW w:w="650" w:type="dxa"/>
            <w:tcBorders>
              <w:top w:val="nil"/>
              <w:left w:val="nil"/>
              <w:bottom w:val="single" w:sz="4" w:space="0" w:color="auto"/>
              <w:right w:val="nil"/>
            </w:tcBorders>
            <w:shd w:val="clear" w:color="auto" w:fill="auto"/>
            <w:noWrap/>
            <w:vAlign w:val="bottom"/>
            <w:hideMark/>
          </w:tcPr>
          <w:p w14:paraId="20A18851"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c>
          <w:tcPr>
            <w:tcW w:w="950" w:type="dxa"/>
            <w:tcBorders>
              <w:top w:val="nil"/>
              <w:left w:val="nil"/>
              <w:bottom w:val="single" w:sz="4" w:space="0" w:color="auto"/>
              <w:right w:val="nil"/>
            </w:tcBorders>
            <w:shd w:val="clear" w:color="auto" w:fill="auto"/>
            <w:noWrap/>
            <w:vAlign w:val="bottom"/>
            <w:hideMark/>
          </w:tcPr>
          <w:p w14:paraId="6FF761F7"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Mean</w:t>
            </w:r>
          </w:p>
        </w:tc>
        <w:tc>
          <w:tcPr>
            <w:tcW w:w="186" w:type="dxa"/>
            <w:tcBorders>
              <w:top w:val="nil"/>
              <w:left w:val="nil"/>
              <w:bottom w:val="single" w:sz="4" w:space="0" w:color="auto"/>
              <w:right w:val="nil"/>
            </w:tcBorders>
            <w:shd w:val="clear" w:color="auto" w:fill="auto"/>
            <w:noWrap/>
            <w:vAlign w:val="bottom"/>
            <w:hideMark/>
          </w:tcPr>
          <w:p w14:paraId="00763912"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c>
          <w:tcPr>
            <w:tcW w:w="929" w:type="dxa"/>
            <w:tcBorders>
              <w:top w:val="nil"/>
              <w:left w:val="nil"/>
              <w:bottom w:val="single" w:sz="4" w:space="0" w:color="auto"/>
              <w:right w:val="nil"/>
            </w:tcBorders>
            <w:shd w:val="clear" w:color="auto" w:fill="auto"/>
            <w:noWrap/>
            <w:vAlign w:val="bottom"/>
            <w:hideMark/>
          </w:tcPr>
          <w:p w14:paraId="52781039"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Std. Dev.</w:t>
            </w:r>
          </w:p>
        </w:tc>
        <w:tc>
          <w:tcPr>
            <w:tcW w:w="186" w:type="dxa"/>
            <w:tcBorders>
              <w:top w:val="nil"/>
              <w:left w:val="nil"/>
              <w:bottom w:val="single" w:sz="4" w:space="0" w:color="auto"/>
              <w:right w:val="nil"/>
            </w:tcBorders>
            <w:shd w:val="clear" w:color="auto" w:fill="auto"/>
            <w:noWrap/>
            <w:vAlign w:val="bottom"/>
            <w:hideMark/>
          </w:tcPr>
          <w:p w14:paraId="63134CBF"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c>
          <w:tcPr>
            <w:tcW w:w="950" w:type="dxa"/>
            <w:tcBorders>
              <w:top w:val="nil"/>
              <w:left w:val="nil"/>
              <w:bottom w:val="single" w:sz="4" w:space="0" w:color="auto"/>
              <w:right w:val="nil"/>
            </w:tcBorders>
            <w:shd w:val="clear" w:color="auto" w:fill="auto"/>
            <w:noWrap/>
            <w:vAlign w:val="bottom"/>
            <w:hideMark/>
          </w:tcPr>
          <w:p w14:paraId="76743238"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Mean</w:t>
            </w:r>
          </w:p>
        </w:tc>
        <w:tc>
          <w:tcPr>
            <w:tcW w:w="186" w:type="dxa"/>
            <w:tcBorders>
              <w:top w:val="nil"/>
              <w:left w:val="nil"/>
              <w:bottom w:val="single" w:sz="4" w:space="0" w:color="auto"/>
              <w:right w:val="nil"/>
            </w:tcBorders>
            <w:shd w:val="clear" w:color="auto" w:fill="auto"/>
            <w:noWrap/>
            <w:vAlign w:val="bottom"/>
            <w:hideMark/>
          </w:tcPr>
          <w:p w14:paraId="62B791B1"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c>
          <w:tcPr>
            <w:tcW w:w="951" w:type="dxa"/>
            <w:tcBorders>
              <w:top w:val="nil"/>
              <w:left w:val="nil"/>
              <w:bottom w:val="single" w:sz="4" w:space="0" w:color="auto"/>
              <w:right w:val="nil"/>
            </w:tcBorders>
            <w:shd w:val="clear" w:color="auto" w:fill="auto"/>
            <w:noWrap/>
            <w:vAlign w:val="bottom"/>
            <w:hideMark/>
          </w:tcPr>
          <w:p w14:paraId="375D1D2D"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Std. Dev.</w:t>
            </w:r>
          </w:p>
        </w:tc>
        <w:tc>
          <w:tcPr>
            <w:tcW w:w="428" w:type="dxa"/>
            <w:tcBorders>
              <w:top w:val="nil"/>
              <w:left w:val="nil"/>
              <w:bottom w:val="single" w:sz="4" w:space="0" w:color="auto"/>
              <w:right w:val="nil"/>
            </w:tcBorders>
            <w:shd w:val="clear" w:color="auto" w:fill="auto"/>
            <w:noWrap/>
            <w:vAlign w:val="bottom"/>
            <w:hideMark/>
          </w:tcPr>
          <w:p w14:paraId="0A351414"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 </w:t>
            </w:r>
          </w:p>
        </w:tc>
      </w:tr>
      <w:tr w:rsidR="00E04BB5" w:rsidRPr="002B1625" w14:paraId="2F97EFEE" w14:textId="77777777" w:rsidTr="00E04BB5">
        <w:trPr>
          <w:trHeight w:val="300"/>
        </w:trPr>
        <w:tc>
          <w:tcPr>
            <w:tcW w:w="306" w:type="dxa"/>
            <w:tcBorders>
              <w:top w:val="nil"/>
              <w:left w:val="nil"/>
              <w:bottom w:val="nil"/>
              <w:right w:val="nil"/>
            </w:tcBorders>
            <w:shd w:val="clear" w:color="auto" w:fill="auto"/>
            <w:noWrap/>
            <w:vAlign w:val="bottom"/>
            <w:hideMark/>
          </w:tcPr>
          <w:p w14:paraId="63B9A8B2"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right w:val="nil"/>
            </w:tcBorders>
            <w:shd w:val="clear" w:color="auto" w:fill="auto"/>
            <w:noWrap/>
            <w:vAlign w:val="bottom"/>
            <w:hideMark/>
          </w:tcPr>
          <w:p w14:paraId="64898E0D"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price</w:t>
            </w:r>
          </w:p>
        </w:tc>
        <w:tc>
          <w:tcPr>
            <w:tcW w:w="186" w:type="dxa"/>
            <w:tcBorders>
              <w:top w:val="nil"/>
              <w:left w:val="nil"/>
              <w:right w:val="nil"/>
            </w:tcBorders>
            <w:shd w:val="clear" w:color="auto" w:fill="auto"/>
            <w:noWrap/>
            <w:vAlign w:val="bottom"/>
            <w:hideMark/>
          </w:tcPr>
          <w:p w14:paraId="0C1B7D51"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right w:val="nil"/>
            </w:tcBorders>
            <w:shd w:val="clear" w:color="auto" w:fill="auto"/>
            <w:noWrap/>
            <w:vAlign w:val="bottom"/>
          </w:tcPr>
          <w:p w14:paraId="15A331D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5,961,644</w:t>
            </w:r>
          </w:p>
        </w:tc>
        <w:tc>
          <w:tcPr>
            <w:tcW w:w="175" w:type="dxa"/>
            <w:tcBorders>
              <w:top w:val="nil"/>
              <w:left w:val="nil"/>
              <w:right w:val="nil"/>
            </w:tcBorders>
            <w:shd w:val="clear" w:color="auto" w:fill="auto"/>
            <w:noWrap/>
            <w:vAlign w:val="bottom"/>
          </w:tcPr>
          <w:p w14:paraId="30BAEAE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right w:val="nil"/>
            </w:tcBorders>
            <w:shd w:val="clear" w:color="auto" w:fill="auto"/>
            <w:noWrap/>
            <w:vAlign w:val="bottom"/>
          </w:tcPr>
          <w:p w14:paraId="0DD280C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1.31e+07</w:t>
            </w:r>
          </w:p>
        </w:tc>
        <w:tc>
          <w:tcPr>
            <w:tcW w:w="650" w:type="dxa"/>
            <w:tcBorders>
              <w:top w:val="nil"/>
              <w:left w:val="nil"/>
              <w:right w:val="nil"/>
            </w:tcBorders>
            <w:shd w:val="clear" w:color="auto" w:fill="auto"/>
            <w:noWrap/>
            <w:vAlign w:val="bottom"/>
          </w:tcPr>
          <w:p w14:paraId="5FA40CF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right w:val="nil"/>
            </w:tcBorders>
            <w:shd w:val="clear" w:color="auto" w:fill="auto"/>
            <w:noWrap/>
            <w:vAlign w:val="bottom"/>
          </w:tcPr>
          <w:p w14:paraId="339341E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7,682,751</w:t>
            </w:r>
          </w:p>
        </w:tc>
        <w:tc>
          <w:tcPr>
            <w:tcW w:w="186" w:type="dxa"/>
            <w:tcBorders>
              <w:top w:val="nil"/>
              <w:left w:val="nil"/>
              <w:right w:val="nil"/>
            </w:tcBorders>
            <w:shd w:val="clear" w:color="auto" w:fill="auto"/>
            <w:noWrap/>
            <w:vAlign w:val="bottom"/>
          </w:tcPr>
          <w:p w14:paraId="33549F7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right w:val="nil"/>
            </w:tcBorders>
            <w:shd w:val="clear" w:color="auto" w:fill="auto"/>
            <w:noWrap/>
            <w:vAlign w:val="bottom"/>
          </w:tcPr>
          <w:p w14:paraId="5075D8C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1.64e+07</w:t>
            </w:r>
          </w:p>
        </w:tc>
        <w:tc>
          <w:tcPr>
            <w:tcW w:w="186" w:type="dxa"/>
            <w:tcBorders>
              <w:top w:val="nil"/>
              <w:left w:val="nil"/>
              <w:right w:val="nil"/>
            </w:tcBorders>
            <w:shd w:val="clear" w:color="auto" w:fill="auto"/>
            <w:noWrap/>
            <w:vAlign w:val="bottom"/>
          </w:tcPr>
          <w:p w14:paraId="5409B6D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right w:val="nil"/>
            </w:tcBorders>
            <w:shd w:val="clear" w:color="auto" w:fill="auto"/>
            <w:noWrap/>
            <w:vAlign w:val="bottom"/>
          </w:tcPr>
          <w:p w14:paraId="13B71AB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4,139,296</w:t>
            </w:r>
          </w:p>
        </w:tc>
        <w:tc>
          <w:tcPr>
            <w:tcW w:w="186" w:type="dxa"/>
            <w:tcBorders>
              <w:top w:val="nil"/>
              <w:left w:val="nil"/>
              <w:right w:val="nil"/>
            </w:tcBorders>
            <w:shd w:val="clear" w:color="auto" w:fill="auto"/>
            <w:noWrap/>
            <w:vAlign w:val="bottom"/>
          </w:tcPr>
          <w:p w14:paraId="7288871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right w:val="nil"/>
            </w:tcBorders>
            <w:shd w:val="clear" w:color="auto" w:fill="auto"/>
            <w:noWrap/>
            <w:vAlign w:val="bottom"/>
          </w:tcPr>
          <w:p w14:paraId="7AB3686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8,091,451</w:t>
            </w:r>
          </w:p>
        </w:tc>
        <w:tc>
          <w:tcPr>
            <w:tcW w:w="428" w:type="dxa"/>
            <w:tcBorders>
              <w:top w:val="nil"/>
              <w:left w:val="nil"/>
              <w:right w:val="nil"/>
            </w:tcBorders>
            <w:shd w:val="clear" w:color="auto" w:fill="auto"/>
            <w:noWrap/>
            <w:vAlign w:val="bottom"/>
            <w:hideMark/>
          </w:tcPr>
          <w:p w14:paraId="4FBA0D2A"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4157BD8F" w14:textId="77777777" w:rsidTr="00E04BB5">
        <w:trPr>
          <w:trHeight w:val="300"/>
        </w:trPr>
        <w:tc>
          <w:tcPr>
            <w:tcW w:w="306" w:type="dxa"/>
            <w:tcBorders>
              <w:top w:val="nil"/>
              <w:left w:val="nil"/>
              <w:bottom w:val="nil"/>
              <w:right w:val="nil"/>
            </w:tcBorders>
            <w:shd w:val="clear" w:color="auto" w:fill="auto"/>
            <w:noWrap/>
            <w:vAlign w:val="bottom"/>
            <w:hideMark/>
          </w:tcPr>
          <w:p w14:paraId="72DC57F9"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left w:val="nil"/>
              <w:bottom w:val="nil"/>
              <w:right w:val="nil"/>
            </w:tcBorders>
            <w:shd w:val="clear" w:color="auto" w:fill="auto"/>
            <w:noWrap/>
            <w:vAlign w:val="bottom"/>
            <w:hideMark/>
          </w:tcPr>
          <w:p w14:paraId="0A27D57C"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size</w:t>
            </w:r>
          </w:p>
        </w:tc>
        <w:tc>
          <w:tcPr>
            <w:tcW w:w="186" w:type="dxa"/>
            <w:tcBorders>
              <w:left w:val="nil"/>
              <w:bottom w:val="nil"/>
              <w:right w:val="nil"/>
            </w:tcBorders>
            <w:shd w:val="clear" w:color="auto" w:fill="auto"/>
            <w:noWrap/>
            <w:vAlign w:val="bottom"/>
            <w:hideMark/>
          </w:tcPr>
          <w:p w14:paraId="3535AA6C"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left w:val="nil"/>
              <w:bottom w:val="nil"/>
              <w:right w:val="nil"/>
            </w:tcBorders>
            <w:shd w:val="clear" w:color="auto" w:fill="auto"/>
            <w:noWrap/>
            <w:vAlign w:val="bottom"/>
          </w:tcPr>
          <w:p w14:paraId="66D7C9C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6,734.55</w:t>
            </w:r>
          </w:p>
        </w:tc>
        <w:tc>
          <w:tcPr>
            <w:tcW w:w="175" w:type="dxa"/>
            <w:tcBorders>
              <w:left w:val="nil"/>
              <w:bottom w:val="nil"/>
              <w:right w:val="nil"/>
            </w:tcBorders>
            <w:shd w:val="clear" w:color="auto" w:fill="auto"/>
            <w:noWrap/>
            <w:vAlign w:val="bottom"/>
          </w:tcPr>
          <w:p w14:paraId="7F658BC5"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left w:val="nil"/>
              <w:bottom w:val="nil"/>
              <w:right w:val="nil"/>
            </w:tcBorders>
            <w:shd w:val="clear" w:color="auto" w:fill="auto"/>
            <w:noWrap/>
            <w:vAlign w:val="bottom"/>
          </w:tcPr>
          <w:p w14:paraId="75AFFDA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10,094.1</w:t>
            </w:r>
          </w:p>
        </w:tc>
        <w:tc>
          <w:tcPr>
            <w:tcW w:w="650" w:type="dxa"/>
            <w:tcBorders>
              <w:left w:val="nil"/>
              <w:bottom w:val="nil"/>
              <w:right w:val="nil"/>
            </w:tcBorders>
            <w:shd w:val="clear" w:color="auto" w:fill="auto"/>
            <w:noWrap/>
            <w:vAlign w:val="bottom"/>
          </w:tcPr>
          <w:p w14:paraId="7BA2B785"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left w:val="nil"/>
              <w:bottom w:val="nil"/>
              <w:right w:val="nil"/>
            </w:tcBorders>
            <w:shd w:val="clear" w:color="auto" w:fill="auto"/>
            <w:noWrap/>
            <w:vAlign w:val="bottom"/>
          </w:tcPr>
          <w:p w14:paraId="2C67710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7,107.98</w:t>
            </w:r>
          </w:p>
        </w:tc>
        <w:tc>
          <w:tcPr>
            <w:tcW w:w="186" w:type="dxa"/>
            <w:tcBorders>
              <w:left w:val="nil"/>
              <w:bottom w:val="nil"/>
              <w:right w:val="nil"/>
            </w:tcBorders>
            <w:shd w:val="clear" w:color="auto" w:fill="auto"/>
            <w:noWrap/>
            <w:vAlign w:val="bottom"/>
          </w:tcPr>
          <w:p w14:paraId="1767582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left w:val="nil"/>
              <w:bottom w:val="nil"/>
              <w:right w:val="nil"/>
            </w:tcBorders>
            <w:shd w:val="clear" w:color="auto" w:fill="auto"/>
            <w:noWrap/>
            <w:vAlign w:val="bottom"/>
          </w:tcPr>
          <w:p w14:paraId="72ACD43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11,237.73</w:t>
            </w:r>
          </w:p>
        </w:tc>
        <w:tc>
          <w:tcPr>
            <w:tcW w:w="186" w:type="dxa"/>
            <w:tcBorders>
              <w:left w:val="nil"/>
              <w:bottom w:val="nil"/>
              <w:right w:val="nil"/>
            </w:tcBorders>
            <w:shd w:val="clear" w:color="auto" w:fill="auto"/>
            <w:noWrap/>
            <w:vAlign w:val="bottom"/>
          </w:tcPr>
          <w:p w14:paraId="6B56F15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left w:val="nil"/>
              <w:bottom w:val="nil"/>
              <w:right w:val="nil"/>
            </w:tcBorders>
            <w:shd w:val="clear" w:color="auto" w:fill="auto"/>
            <w:noWrap/>
            <w:vAlign w:val="bottom"/>
          </w:tcPr>
          <w:p w14:paraId="0176687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6,312.64</w:t>
            </w:r>
          </w:p>
        </w:tc>
        <w:tc>
          <w:tcPr>
            <w:tcW w:w="186" w:type="dxa"/>
            <w:tcBorders>
              <w:left w:val="nil"/>
              <w:bottom w:val="nil"/>
              <w:right w:val="nil"/>
            </w:tcBorders>
            <w:shd w:val="clear" w:color="auto" w:fill="auto"/>
            <w:noWrap/>
            <w:vAlign w:val="bottom"/>
          </w:tcPr>
          <w:p w14:paraId="36922B1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left w:val="nil"/>
              <w:bottom w:val="nil"/>
              <w:right w:val="nil"/>
            </w:tcBorders>
            <w:shd w:val="clear" w:color="auto" w:fill="auto"/>
            <w:noWrap/>
            <w:vAlign w:val="bottom"/>
          </w:tcPr>
          <w:p w14:paraId="208C025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8,614.91</w:t>
            </w:r>
          </w:p>
        </w:tc>
        <w:tc>
          <w:tcPr>
            <w:tcW w:w="428" w:type="dxa"/>
            <w:tcBorders>
              <w:left w:val="nil"/>
              <w:bottom w:val="nil"/>
              <w:right w:val="nil"/>
            </w:tcBorders>
            <w:shd w:val="clear" w:color="auto" w:fill="auto"/>
            <w:noWrap/>
            <w:vAlign w:val="bottom"/>
            <w:hideMark/>
          </w:tcPr>
          <w:p w14:paraId="3642F257"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039202FE" w14:textId="77777777" w:rsidTr="00E04BB5">
        <w:trPr>
          <w:trHeight w:val="300"/>
        </w:trPr>
        <w:tc>
          <w:tcPr>
            <w:tcW w:w="306" w:type="dxa"/>
            <w:tcBorders>
              <w:top w:val="nil"/>
              <w:left w:val="nil"/>
              <w:bottom w:val="nil"/>
              <w:right w:val="nil"/>
            </w:tcBorders>
            <w:shd w:val="clear" w:color="auto" w:fill="auto"/>
            <w:noWrap/>
            <w:vAlign w:val="bottom"/>
            <w:hideMark/>
          </w:tcPr>
          <w:p w14:paraId="5E0FFB80"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26305490"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canvas</w:t>
            </w:r>
          </w:p>
        </w:tc>
        <w:tc>
          <w:tcPr>
            <w:tcW w:w="186" w:type="dxa"/>
            <w:tcBorders>
              <w:top w:val="nil"/>
              <w:left w:val="nil"/>
              <w:bottom w:val="nil"/>
              <w:right w:val="nil"/>
            </w:tcBorders>
            <w:shd w:val="clear" w:color="auto" w:fill="auto"/>
            <w:noWrap/>
            <w:vAlign w:val="bottom"/>
            <w:hideMark/>
          </w:tcPr>
          <w:p w14:paraId="2728E3D8"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66B98C8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.744</w:t>
            </w:r>
          </w:p>
        </w:tc>
        <w:tc>
          <w:tcPr>
            <w:tcW w:w="175" w:type="dxa"/>
            <w:tcBorders>
              <w:top w:val="nil"/>
              <w:left w:val="nil"/>
              <w:bottom w:val="nil"/>
              <w:right w:val="nil"/>
            </w:tcBorders>
            <w:shd w:val="clear" w:color="auto" w:fill="auto"/>
            <w:noWrap/>
            <w:vAlign w:val="bottom"/>
          </w:tcPr>
          <w:p w14:paraId="7751776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0B5D97A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.437</w:t>
            </w:r>
          </w:p>
        </w:tc>
        <w:tc>
          <w:tcPr>
            <w:tcW w:w="650" w:type="dxa"/>
            <w:tcBorders>
              <w:top w:val="nil"/>
              <w:left w:val="nil"/>
              <w:bottom w:val="nil"/>
              <w:right w:val="nil"/>
            </w:tcBorders>
            <w:shd w:val="clear" w:color="auto" w:fill="auto"/>
            <w:noWrap/>
            <w:vAlign w:val="bottom"/>
          </w:tcPr>
          <w:p w14:paraId="208F022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2951BBD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.808</w:t>
            </w:r>
          </w:p>
        </w:tc>
        <w:tc>
          <w:tcPr>
            <w:tcW w:w="186" w:type="dxa"/>
            <w:tcBorders>
              <w:top w:val="nil"/>
              <w:left w:val="nil"/>
              <w:bottom w:val="nil"/>
              <w:right w:val="nil"/>
            </w:tcBorders>
            <w:shd w:val="clear" w:color="auto" w:fill="auto"/>
            <w:noWrap/>
            <w:vAlign w:val="bottom"/>
          </w:tcPr>
          <w:p w14:paraId="3FA06A7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08205F8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.394</w:t>
            </w:r>
          </w:p>
        </w:tc>
        <w:tc>
          <w:tcPr>
            <w:tcW w:w="186" w:type="dxa"/>
            <w:tcBorders>
              <w:top w:val="nil"/>
              <w:left w:val="nil"/>
              <w:bottom w:val="nil"/>
              <w:right w:val="nil"/>
            </w:tcBorders>
            <w:shd w:val="clear" w:color="auto" w:fill="auto"/>
            <w:noWrap/>
            <w:vAlign w:val="bottom"/>
          </w:tcPr>
          <w:p w14:paraId="5CFC5AE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58396DD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.672</w:t>
            </w:r>
          </w:p>
        </w:tc>
        <w:tc>
          <w:tcPr>
            <w:tcW w:w="186" w:type="dxa"/>
            <w:tcBorders>
              <w:top w:val="nil"/>
              <w:left w:val="nil"/>
              <w:bottom w:val="nil"/>
              <w:right w:val="nil"/>
            </w:tcBorders>
            <w:shd w:val="clear" w:color="auto" w:fill="auto"/>
            <w:noWrap/>
            <w:vAlign w:val="bottom"/>
          </w:tcPr>
          <w:p w14:paraId="2E36F9D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0E1A895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.470</w:t>
            </w:r>
          </w:p>
        </w:tc>
        <w:tc>
          <w:tcPr>
            <w:tcW w:w="428" w:type="dxa"/>
            <w:tcBorders>
              <w:top w:val="nil"/>
              <w:left w:val="nil"/>
              <w:bottom w:val="nil"/>
              <w:right w:val="nil"/>
            </w:tcBorders>
            <w:shd w:val="clear" w:color="auto" w:fill="auto"/>
            <w:noWrap/>
            <w:vAlign w:val="bottom"/>
            <w:hideMark/>
          </w:tcPr>
          <w:p w14:paraId="2B12995B"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779C28DD" w14:textId="77777777" w:rsidTr="00E04BB5">
        <w:trPr>
          <w:trHeight w:val="300"/>
        </w:trPr>
        <w:tc>
          <w:tcPr>
            <w:tcW w:w="306" w:type="dxa"/>
            <w:tcBorders>
              <w:top w:val="nil"/>
              <w:left w:val="nil"/>
              <w:bottom w:val="nil"/>
              <w:right w:val="nil"/>
            </w:tcBorders>
            <w:shd w:val="clear" w:color="auto" w:fill="auto"/>
            <w:noWrap/>
            <w:vAlign w:val="bottom"/>
            <w:hideMark/>
          </w:tcPr>
          <w:p w14:paraId="13896FF7"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1A991838"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mixed</w:t>
            </w:r>
          </w:p>
        </w:tc>
        <w:tc>
          <w:tcPr>
            <w:tcW w:w="186" w:type="dxa"/>
            <w:tcBorders>
              <w:top w:val="nil"/>
              <w:left w:val="nil"/>
              <w:bottom w:val="nil"/>
              <w:right w:val="nil"/>
            </w:tcBorders>
            <w:shd w:val="clear" w:color="auto" w:fill="auto"/>
            <w:noWrap/>
            <w:vAlign w:val="bottom"/>
            <w:hideMark/>
          </w:tcPr>
          <w:p w14:paraId="7E42ECBD"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68810B0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.086</w:t>
            </w:r>
          </w:p>
        </w:tc>
        <w:tc>
          <w:tcPr>
            <w:tcW w:w="175" w:type="dxa"/>
            <w:tcBorders>
              <w:top w:val="nil"/>
              <w:left w:val="nil"/>
              <w:bottom w:val="nil"/>
              <w:right w:val="nil"/>
            </w:tcBorders>
            <w:shd w:val="clear" w:color="auto" w:fill="auto"/>
            <w:noWrap/>
            <w:vAlign w:val="bottom"/>
          </w:tcPr>
          <w:p w14:paraId="39916C8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1AFE48F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.281</w:t>
            </w:r>
          </w:p>
        </w:tc>
        <w:tc>
          <w:tcPr>
            <w:tcW w:w="650" w:type="dxa"/>
            <w:tcBorders>
              <w:top w:val="nil"/>
              <w:left w:val="nil"/>
              <w:bottom w:val="nil"/>
              <w:right w:val="nil"/>
            </w:tcBorders>
            <w:shd w:val="clear" w:color="auto" w:fill="auto"/>
            <w:noWrap/>
            <w:vAlign w:val="bottom"/>
          </w:tcPr>
          <w:p w14:paraId="2842339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0EC1744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.050</w:t>
            </w:r>
          </w:p>
        </w:tc>
        <w:tc>
          <w:tcPr>
            <w:tcW w:w="186" w:type="dxa"/>
            <w:tcBorders>
              <w:top w:val="nil"/>
              <w:left w:val="nil"/>
              <w:bottom w:val="nil"/>
              <w:right w:val="nil"/>
            </w:tcBorders>
            <w:shd w:val="clear" w:color="auto" w:fill="auto"/>
            <w:noWrap/>
            <w:vAlign w:val="bottom"/>
          </w:tcPr>
          <w:p w14:paraId="2E97AF6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0C2FC3F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.219</w:t>
            </w:r>
          </w:p>
        </w:tc>
        <w:tc>
          <w:tcPr>
            <w:tcW w:w="186" w:type="dxa"/>
            <w:tcBorders>
              <w:top w:val="nil"/>
              <w:left w:val="nil"/>
              <w:bottom w:val="nil"/>
              <w:right w:val="nil"/>
            </w:tcBorders>
            <w:shd w:val="clear" w:color="auto" w:fill="auto"/>
            <w:noWrap/>
            <w:vAlign w:val="bottom"/>
          </w:tcPr>
          <w:p w14:paraId="1F7D2575"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1F12CDB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.127</w:t>
            </w:r>
          </w:p>
        </w:tc>
        <w:tc>
          <w:tcPr>
            <w:tcW w:w="186" w:type="dxa"/>
            <w:tcBorders>
              <w:top w:val="nil"/>
              <w:left w:val="nil"/>
              <w:bottom w:val="nil"/>
              <w:right w:val="nil"/>
            </w:tcBorders>
            <w:shd w:val="clear" w:color="auto" w:fill="auto"/>
            <w:noWrap/>
            <w:vAlign w:val="bottom"/>
          </w:tcPr>
          <w:p w14:paraId="2F6B125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39AB6F2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.333</w:t>
            </w:r>
          </w:p>
        </w:tc>
        <w:tc>
          <w:tcPr>
            <w:tcW w:w="428" w:type="dxa"/>
            <w:tcBorders>
              <w:top w:val="nil"/>
              <w:left w:val="nil"/>
              <w:bottom w:val="nil"/>
              <w:right w:val="nil"/>
            </w:tcBorders>
            <w:shd w:val="clear" w:color="auto" w:fill="auto"/>
            <w:noWrap/>
            <w:vAlign w:val="bottom"/>
            <w:hideMark/>
          </w:tcPr>
          <w:p w14:paraId="00D49D1E"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6D70BA78" w14:textId="77777777" w:rsidTr="00E04BB5">
        <w:trPr>
          <w:trHeight w:val="300"/>
        </w:trPr>
        <w:tc>
          <w:tcPr>
            <w:tcW w:w="306" w:type="dxa"/>
            <w:tcBorders>
              <w:top w:val="nil"/>
              <w:left w:val="nil"/>
              <w:bottom w:val="nil"/>
              <w:right w:val="nil"/>
            </w:tcBorders>
            <w:shd w:val="clear" w:color="auto" w:fill="auto"/>
            <w:noWrap/>
            <w:vAlign w:val="bottom"/>
            <w:hideMark/>
          </w:tcPr>
          <w:p w14:paraId="3CD8A37E"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5E04EBDE"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proofErr w:type="spellStart"/>
            <w:r w:rsidRPr="002B1625">
              <w:rPr>
                <w:rFonts w:ascii="Calibri" w:eastAsia="Times New Roman" w:hAnsi="Calibri" w:cs="Times New Roman"/>
                <w:i/>
                <w:iCs/>
                <w:color w:val="000000"/>
                <w:sz w:val="20"/>
                <w:szCs w:val="20"/>
                <w:lang w:val="en-GB"/>
              </w:rPr>
              <w:t>othmedia</w:t>
            </w:r>
            <w:proofErr w:type="spellEnd"/>
          </w:p>
        </w:tc>
        <w:tc>
          <w:tcPr>
            <w:tcW w:w="186" w:type="dxa"/>
            <w:tcBorders>
              <w:top w:val="nil"/>
              <w:left w:val="nil"/>
              <w:bottom w:val="nil"/>
              <w:right w:val="nil"/>
            </w:tcBorders>
            <w:shd w:val="clear" w:color="auto" w:fill="auto"/>
            <w:noWrap/>
            <w:vAlign w:val="bottom"/>
            <w:hideMark/>
          </w:tcPr>
          <w:p w14:paraId="7DD98E58"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1E36B8F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.168</w:t>
            </w:r>
          </w:p>
        </w:tc>
        <w:tc>
          <w:tcPr>
            <w:tcW w:w="175" w:type="dxa"/>
            <w:tcBorders>
              <w:top w:val="nil"/>
              <w:left w:val="nil"/>
              <w:bottom w:val="nil"/>
              <w:right w:val="nil"/>
            </w:tcBorders>
            <w:shd w:val="clear" w:color="auto" w:fill="auto"/>
            <w:noWrap/>
            <w:vAlign w:val="bottom"/>
          </w:tcPr>
          <w:p w14:paraId="34636E7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6592B48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.374</w:t>
            </w:r>
          </w:p>
        </w:tc>
        <w:tc>
          <w:tcPr>
            <w:tcW w:w="650" w:type="dxa"/>
            <w:tcBorders>
              <w:top w:val="nil"/>
              <w:left w:val="nil"/>
              <w:bottom w:val="nil"/>
              <w:right w:val="nil"/>
            </w:tcBorders>
            <w:shd w:val="clear" w:color="auto" w:fill="auto"/>
            <w:noWrap/>
            <w:vAlign w:val="bottom"/>
          </w:tcPr>
          <w:p w14:paraId="4824C0A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45000BE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.141</w:t>
            </w:r>
          </w:p>
        </w:tc>
        <w:tc>
          <w:tcPr>
            <w:tcW w:w="186" w:type="dxa"/>
            <w:tcBorders>
              <w:top w:val="nil"/>
              <w:left w:val="nil"/>
              <w:bottom w:val="nil"/>
              <w:right w:val="nil"/>
            </w:tcBorders>
            <w:shd w:val="clear" w:color="auto" w:fill="auto"/>
            <w:noWrap/>
            <w:vAlign w:val="bottom"/>
          </w:tcPr>
          <w:p w14:paraId="2DD4939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4F2E4A4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.348</w:t>
            </w:r>
          </w:p>
        </w:tc>
        <w:tc>
          <w:tcPr>
            <w:tcW w:w="186" w:type="dxa"/>
            <w:tcBorders>
              <w:top w:val="nil"/>
              <w:left w:val="nil"/>
              <w:bottom w:val="nil"/>
              <w:right w:val="nil"/>
            </w:tcBorders>
            <w:shd w:val="clear" w:color="auto" w:fill="auto"/>
            <w:noWrap/>
            <w:vAlign w:val="bottom"/>
          </w:tcPr>
          <w:p w14:paraId="3DE3E0B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6A30369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.199</w:t>
            </w:r>
          </w:p>
        </w:tc>
        <w:tc>
          <w:tcPr>
            <w:tcW w:w="186" w:type="dxa"/>
            <w:tcBorders>
              <w:top w:val="nil"/>
              <w:left w:val="nil"/>
              <w:bottom w:val="nil"/>
              <w:right w:val="nil"/>
            </w:tcBorders>
            <w:shd w:val="clear" w:color="auto" w:fill="auto"/>
            <w:noWrap/>
            <w:vAlign w:val="bottom"/>
          </w:tcPr>
          <w:p w14:paraId="56AB8A4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0DE4F24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.340</w:t>
            </w:r>
          </w:p>
        </w:tc>
        <w:tc>
          <w:tcPr>
            <w:tcW w:w="428" w:type="dxa"/>
            <w:tcBorders>
              <w:top w:val="nil"/>
              <w:left w:val="nil"/>
              <w:bottom w:val="nil"/>
              <w:right w:val="nil"/>
            </w:tcBorders>
            <w:shd w:val="clear" w:color="auto" w:fill="auto"/>
            <w:noWrap/>
            <w:vAlign w:val="bottom"/>
            <w:hideMark/>
          </w:tcPr>
          <w:p w14:paraId="232F6CE1"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6067EF80" w14:textId="77777777" w:rsidTr="00E04BB5">
        <w:trPr>
          <w:trHeight w:val="300"/>
        </w:trPr>
        <w:tc>
          <w:tcPr>
            <w:tcW w:w="306" w:type="dxa"/>
            <w:tcBorders>
              <w:top w:val="nil"/>
              <w:left w:val="nil"/>
              <w:bottom w:val="nil"/>
              <w:right w:val="nil"/>
            </w:tcBorders>
            <w:shd w:val="clear" w:color="auto" w:fill="auto"/>
            <w:noWrap/>
            <w:vAlign w:val="bottom"/>
            <w:hideMark/>
          </w:tcPr>
          <w:p w14:paraId="18AE796B"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291" w:type="dxa"/>
            <w:gridSpan w:val="2"/>
            <w:tcBorders>
              <w:top w:val="nil"/>
              <w:left w:val="nil"/>
              <w:bottom w:val="nil"/>
              <w:right w:val="nil"/>
            </w:tcBorders>
            <w:shd w:val="clear" w:color="auto" w:fill="auto"/>
            <w:noWrap/>
            <w:vAlign w:val="bottom"/>
            <w:hideMark/>
          </w:tcPr>
          <w:p w14:paraId="7874C008"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NY</w:t>
            </w:r>
          </w:p>
        </w:tc>
        <w:tc>
          <w:tcPr>
            <w:tcW w:w="1495" w:type="dxa"/>
            <w:tcBorders>
              <w:top w:val="nil"/>
              <w:left w:val="nil"/>
              <w:bottom w:val="nil"/>
              <w:right w:val="nil"/>
            </w:tcBorders>
            <w:shd w:val="clear" w:color="auto" w:fill="auto"/>
            <w:noWrap/>
            <w:vAlign w:val="bottom"/>
          </w:tcPr>
          <w:p w14:paraId="31F7DBA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.529</w:t>
            </w:r>
          </w:p>
        </w:tc>
        <w:tc>
          <w:tcPr>
            <w:tcW w:w="175" w:type="dxa"/>
            <w:tcBorders>
              <w:top w:val="nil"/>
              <w:left w:val="nil"/>
              <w:bottom w:val="nil"/>
              <w:right w:val="nil"/>
            </w:tcBorders>
            <w:shd w:val="clear" w:color="auto" w:fill="auto"/>
            <w:noWrap/>
            <w:vAlign w:val="bottom"/>
          </w:tcPr>
          <w:p w14:paraId="0CB2937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39D061D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.499</w:t>
            </w:r>
          </w:p>
        </w:tc>
        <w:tc>
          <w:tcPr>
            <w:tcW w:w="650" w:type="dxa"/>
            <w:tcBorders>
              <w:top w:val="nil"/>
              <w:left w:val="nil"/>
              <w:bottom w:val="nil"/>
              <w:right w:val="nil"/>
            </w:tcBorders>
            <w:shd w:val="clear" w:color="auto" w:fill="auto"/>
            <w:noWrap/>
            <w:vAlign w:val="bottom"/>
          </w:tcPr>
          <w:p w14:paraId="0A459F7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2C035A7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1.000</w:t>
            </w:r>
          </w:p>
        </w:tc>
        <w:tc>
          <w:tcPr>
            <w:tcW w:w="186" w:type="dxa"/>
            <w:tcBorders>
              <w:top w:val="nil"/>
              <w:left w:val="nil"/>
              <w:bottom w:val="nil"/>
              <w:right w:val="nil"/>
            </w:tcBorders>
            <w:shd w:val="clear" w:color="auto" w:fill="auto"/>
            <w:noWrap/>
            <w:vAlign w:val="bottom"/>
          </w:tcPr>
          <w:p w14:paraId="17B276F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348A1B7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.000</w:t>
            </w:r>
          </w:p>
        </w:tc>
        <w:tc>
          <w:tcPr>
            <w:tcW w:w="186" w:type="dxa"/>
            <w:tcBorders>
              <w:top w:val="nil"/>
              <w:left w:val="nil"/>
              <w:bottom w:val="nil"/>
              <w:right w:val="nil"/>
            </w:tcBorders>
            <w:shd w:val="clear" w:color="auto" w:fill="auto"/>
            <w:noWrap/>
            <w:vAlign w:val="bottom"/>
          </w:tcPr>
          <w:p w14:paraId="314BD615"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4560AC2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.000</w:t>
            </w:r>
          </w:p>
        </w:tc>
        <w:tc>
          <w:tcPr>
            <w:tcW w:w="186" w:type="dxa"/>
            <w:tcBorders>
              <w:top w:val="nil"/>
              <w:left w:val="nil"/>
              <w:bottom w:val="nil"/>
              <w:right w:val="nil"/>
            </w:tcBorders>
            <w:shd w:val="clear" w:color="auto" w:fill="auto"/>
            <w:noWrap/>
            <w:vAlign w:val="bottom"/>
          </w:tcPr>
          <w:p w14:paraId="28B9742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6DA95B5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.000</w:t>
            </w:r>
          </w:p>
        </w:tc>
        <w:tc>
          <w:tcPr>
            <w:tcW w:w="428" w:type="dxa"/>
            <w:tcBorders>
              <w:top w:val="nil"/>
              <w:left w:val="nil"/>
              <w:bottom w:val="nil"/>
              <w:right w:val="nil"/>
            </w:tcBorders>
            <w:shd w:val="clear" w:color="auto" w:fill="auto"/>
            <w:noWrap/>
            <w:vAlign w:val="bottom"/>
            <w:hideMark/>
          </w:tcPr>
          <w:p w14:paraId="1522501C"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43FB10C6" w14:textId="77777777" w:rsidTr="00E04BB5">
        <w:trPr>
          <w:trHeight w:val="300"/>
        </w:trPr>
        <w:tc>
          <w:tcPr>
            <w:tcW w:w="306" w:type="dxa"/>
            <w:tcBorders>
              <w:top w:val="nil"/>
              <w:left w:val="nil"/>
              <w:bottom w:val="nil"/>
              <w:right w:val="nil"/>
            </w:tcBorders>
            <w:shd w:val="clear" w:color="auto" w:fill="auto"/>
            <w:noWrap/>
            <w:vAlign w:val="bottom"/>
            <w:hideMark/>
          </w:tcPr>
          <w:p w14:paraId="0E5BFD96"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7A1C0F2C"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proofErr w:type="spellStart"/>
            <w:r w:rsidRPr="002B1625">
              <w:rPr>
                <w:rFonts w:ascii="Calibri" w:eastAsia="Times New Roman" w:hAnsi="Calibri" w:cs="Times New Roman"/>
                <w:i/>
                <w:iCs/>
                <w:color w:val="000000"/>
                <w:sz w:val="20"/>
                <w:szCs w:val="20"/>
                <w:lang w:val="en-GB"/>
              </w:rPr>
              <w:t>RoW</w:t>
            </w:r>
            <w:proofErr w:type="spellEnd"/>
          </w:p>
        </w:tc>
        <w:tc>
          <w:tcPr>
            <w:tcW w:w="186" w:type="dxa"/>
            <w:tcBorders>
              <w:top w:val="nil"/>
              <w:left w:val="nil"/>
              <w:bottom w:val="nil"/>
              <w:right w:val="nil"/>
            </w:tcBorders>
            <w:shd w:val="clear" w:color="auto" w:fill="auto"/>
            <w:noWrap/>
            <w:vAlign w:val="bottom"/>
            <w:hideMark/>
          </w:tcPr>
          <w:p w14:paraId="217F0738"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2144A91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.470</w:t>
            </w:r>
          </w:p>
        </w:tc>
        <w:tc>
          <w:tcPr>
            <w:tcW w:w="175" w:type="dxa"/>
            <w:tcBorders>
              <w:top w:val="nil"/>
              <w:left w:val="nil"/>
              <w:bottom w:val="nil"/>
              <w:right w:val="nil"/>
            </w:tcBorders>
            <w:shd w:val="clear" w:color="auto" w:fill="auto"/>
            <w:noWrap/>
            <w:vAlign w:val="bottom"/>
          </w:tcPr>
          <w:p w14:paraId="6218991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64B62C9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.499</w:t>
            </w:r>
          </w:p>
        </w:tc>
        <w:tc>
          <w:tcPr>
            <w:tcW w:w="650" w:type="dxa"/>
            <w:tcBorders>
              <w:top w:val="nil"/>
              <w:left w:val="nil"/>
              <w:bottom w:val="nil"/>
              <w:right w:val="nil"/>
            </w:tcBorders>
            <w:shd w:val="clear" w:color="auto" w:fill="auto"/>
            <w:noWrap/>
            <w:vAlign w:val="bottom"/>
          </w:tcPr>
          <w:p w14:paraId="3BD8CAB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06E6652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.000</w:t>
            </w:r>
          </w:p>
        </w:tc>
        <w:tc>
          <w:tcPr>
            <w:tcW w:w="186" w:type="dxa"/>
            <w:tcBorders>
              <w:top w:val="nil"/>
              <w:left w:val="nil"/>
              <w:bottom w:val="nil"/>
              <w:right w:val="nil"/>
            </w:tcBorders>
            <w:shd w:val="clear" w:color="auto" w:fill="auto"/>
            <w:noWrap/>
            <w:vAlign w:val="bottom"/>
          </w:tcPr>
          <w:p w14:paraId="4FC2DD8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01BA9BB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.000</w:t>
            </w:r>
          </w:p>
        </w:tc>
        <w:tc>
          <w:tcPr>
            <w:tcW w:w="186" w:type="dxa"/>
            <w:tcBorders>
              <w:top w:val="nil"/>
              <w:left w:val="nil"/>
              <w:bottom w:val="nil"/>
              <w:right w:val="nil"/>
            </w:tcBorders>
            <w:shd w:val="clear" w:color="auto" w:fill="auto"/>
            <w:noWrap/>
            <w:vAlign w:val="bottom"/>
          </w:tcPr>
          <w:p w14:paraId="6EF5142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4B13C18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1.000</w:t>
            </w:r>
          </w:p>
        </w:tc>
        <w:tc>
          <w:tcPr>
            <w:tcW w:w="186" w:type="dxa"/>
            <w:tcBorders>
              <w:top w:val="nil"/>
              <w:left w:val="nil"/>
              <w:bottom w:val="nil"/>
              <w:right w:val="nil"/>
            </w:tcBorders>
            <w:shd w:val="clear" w:color="auto" w:fill="auto"/>
            <w:noWrap/>
            <w:vAlign w:val="bottom"/>
          </w:tcPr>
          <w:p w14:paraId="4FF3B42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535315C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.000</w:t>
            </w:r>
          </w:p>
        </w:tc>
        <w:tc>
          <w:tcPr>
            <w:tcW w:w="428" w:type="dxa"/>
            <w:tcBorders>
              <w:top w:val="nil"/>
              <w:left w:val="nil"/>
              <w:bottom w:val="nil"/>
              <w:right w:val="nil"/>
            </w:tcBorders>
            <w:shd w:val="clear" w:color="auto" w:fill="auto"/>
            <w:noWrap/>
            <w:vAlign w:val="bottom"/>
            <w:hideMark/>
          </w:tcPr>
          <w:p w14:paraId="35777CCA"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0E0BFC6D" w14:textId="77777777" w:rsidTr="00E04BB5">
        <w:trPr>
          <w:trHeight w:val="300"/>
        </w:trPr>
        <w:tc>
          <w:tcPr>
            <w:tcW w:w="306" w:type="dxa"/>
            <w:tcBorders>
              <w:top w:val="nil"/>
              <w:left w:val="nil"/>
              <w:bottom w:val="nil"/>
              <w:right w:val="nil"/>
            </w:tcBorders>
            <w:shd w:val="clear" w:color="auto" w:fill="auto"/>
            <w:noWrap/>
            <w:vAlign w:val="bottom"/>
            <w:hideMark/>
          </w:tcPr>
          <w:p w14:paraId="11BF4909"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72618E39"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proofErr w:type="spellStart"/>
            <w:r w:rsidRPr="002B1625">
              <w:rPr>
                <w:rFonts w:ascii="Calibri" w:eastAsia="Times New Roman" w:hAnsi="Calibri" w:cs="Times New Roman"/>
                <w:i/>
                <w:iCs/>
                <w:color w:val="000000"/>
                <w:sz w:val="20"/>
                <w:szCs w:val="20"/>
                <w:lang w:val="en-GB"/>
              </w:rPr>
              <w:t>soth</w:t>
            </w:r>
            <w:proofErr w:type="spellEnd"/>
          </w:p>
        </w:tc>
        <w:tc>
          <w:tcPr>
            <w:tcW w:w="186" w:type="dxa"/>
            <w:tcBorders>
              <w:top w:val="nil"/>
              <w:left w:val="nil"/>
              <w:bottom w:val="nil"/>
              <w:right w:val="nil"/>
            </w:tcBorders>
            <w:shd w:val="clear" w:color="auto" w:fill="auto"/>
            <w:noWrap/>
            <w:vAlign w:val="bottom"/>
            <w:hideMark/>
          </w:tcPr>
          <w:p w14:paraId="239A0424"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669D8E0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.419</w:t>
            </w:r>
          </w:p>
        </w:tc>
        <w:tc>
          <w:tcPr>
            <w:tcW w:w="175" w:type="dxa"/>
            <w:tcBorders>
              <w:top w:val="nil"/>
              <w:left w:val="nil"/>
              <w:bottom w:val="nil"/>
              <w:right w:val="nil"/>
            </w:tcBorders>
            <w:shd w:val="clear" w:color="auto" w:fill="auto"/>
            <w:noWrap/>
            <w:vAlign w:val="bottom"/>
          </w:tcPr>
          <w:p w14:paraId="455F72A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79BF042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.494</w:t>
            </w:r>
          </w:p>
        </w:tc>
        <w:tc>
          <w:tcPr>
            <w:tcW w:w="650" w:type="dxa"/>
            <w:tcBorders>
              <w:top w:val="nil"/>
              <w:left w:val="nil"/>
              <w:bottom w:val="nil"/>
              <w:right w:val="nil"/>
            </w:tcBorders>
            <w:shd w:val="clear" w:color="auto" w:fill="auto"/>
            <w:noWrap/>
            <w:vAlign w:val="bottom"/>
          </w:tcPr>
          <w:p w14:paraId="30102E6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77D2040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.474</w:t>
            </w:r>
          </w:p>
        </w:tc>
        <w:tc>
          <w:tcPr>
            <w:tcW w:w="186" w:type="dxa"/>
            <w:tcBorders>
              <w:top w:val="nil"/>
              <w:left w:val="nil"/>
              <w:bottom w:val="nil"/>
              <w:right w:val="nil"/>
            </w:tcBorders>
            <w:shd w:val="clear" w:color="auto" w:fill="auto"/>
            <w:noWrap/>
            <w:vAlign w:val="bottom"/>
          </w:tcPr>
          <w:p w14:paraId="4EF0969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7ECE255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.500</w:t>
            </w:r>
          </w:p>
        </w:tc>
        <w:tc>
          <w:tcPr>
            <w:tcW w:w="186" w:type="dxa"/>
            <w:tcBorders>
              <w:top w:val="nil"/>
              <w:left w:val="nil"/>
              <w:bottom w:val="nil"/>
              <w:right w:val="nil"/>
            </w:tcBorders>
            <w:shd w:val="clear" w:color="auto" w:fill="auto"/>
            <w:noWrap/>
            <w:vAlign w:val="bottom"/>
          </w:tcPr>
          <w:p w14:paraId="457BC94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38E4C19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.357</w:t>
            </w:r>
          </w:p>
        </w:tc>
        <w:tc>
          <w:tcPr>
            <w:tcW w:w="186" w:type="dxa"/>
            <w:tcBorders>
              <w:top w:val="nil"/>
              <w:left w:val="nil"/>
              <w:bottom w:val="nil"/>
              <w:right w:val="nil"/>
            </w:tcBorders>
            <w:shd w:val="clear" w:color="auto" w:fill="auto"/>
            <w:noWrap/>
            <w:vAlign w:val="bottom"/>
          </w:tcPr>
          <w:p w14:paraId="3AE49FA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6FCE31B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.480</w:t>
            </w:r>
          </w:p>
        </w:tc>
        <w:tc>
          <w:tcPr>
            <w:tcW w:w="428" w:type="dxa"/>
            <w:tcBorders>
              <w:top w:val="nil"/>
              <w:left w:val="nil"/>
              <w:bottom w:val="nil"/>
              <w:right w:val="nil"/>
            </w:tcBorders>
            <w:shd w:val="clear" w:color="auto" w:fill="auto"/>
            <w:noWrap/>
            <w:vAlign w:val="bottom"/>
            <w:hideMark/>
          </w:tcPr>
          <w:p w14:paraId="54564E70"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10A56A5D" w14:textId="77777777" w:rsidTr="00E04BB5">
        <w:trPr>
          <w:trHeight w:val="300"/>
        </w:trPr>
        <w:tc>
          <w:tcPr>
            <w:tcW w:w="306" w:type="dxa"/>
            <w:tcBorders>
              <w:top w:val="nil"/>
              <w:left w:val="nil"/>
              <w:bottom w:val="nil"/>
              <w:right w:val="nil"/>
            </w:tcBorders>
            <w:shd w:val="clear" w:color="auto" w:fill="auto"/>
            <w:noWrap/>
            <w:vAlign w:val="bottom"/>
            <w:hideMark/>
          </w:tcPr>
          <w:p w14:paraId="7CDF9DFD"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29BCDC30"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proofErr w:type="spellStart"/>
            <w:r w:rsidRPr="002B1625">
              <w:rPr>
                <w:rFonts w:ascii="Calibri" w:eastAsia="Times New Roman" w:hAnsi="Calibri" w:cs="Times New Roman"/>
                <w:i/>
                <w:iCs/>
                <w:color w:val="000000"/>
                <w:sz w:val="20"/>
                <w:szCs w:val="20"/>
                <w:lang w:val="en-GB"/>
              </w:rPr>
              <w:t>chri</w:t>
            </w:r>
            <w:proofErr w:type="spellEnd"/>
          </w:p>
        </w:tc>
        <w:tc>
          <w:tcPr>
            <w:tcW w:w="186" w:type="dxa"/>
            <w:tcBorders>
              <w:top w:val="nil"/>
              <w:left w:val="nil"/>
              <w:bottom w:val="nil"/>
              <w:right w:val="nil"/>
            </w:tcBorders>
            <w:shd w:val="clear" w:color="auto" w:fill="auto"/>
            <w:noWrap/>
            <w:vAlign w:val="bottom"/>
            <w:hideMark/>
          </w:tcPr>
          <w:p w14:paraId="4D57D8DB"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3E2724F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.470</w:t>
            </w:r>
          </w:p>
        </w:tc>
        <w:tc>
          <w:tcPr>
            <w:tcW w:w="175" w:type="dxa"/>
            <w:tcBorders>
              <w:top w:val="nil"/>
              <w:left w:val="nil"/>
              <w:bottom w:val="nil"/>
              <w:right w:val="nil"/>
            </w:tcBorders>
            <w:shd w:val="clear" w:color="auto" w:fill="auto"/>
            <w:noWrap/>
            <w:vAlign w:val="bottom"/>
          </w:tcPr>
          <w:p w14:paraId="7EC22F0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7A9255A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.499</w:t>
            </w:r>
          </w:p>
        </w:tc>
        <w:tc>
          <w:tcPr>
            <w:tcW w:w="650" w:type="dxa"/>
            <w:tcBorders>
              <w:top w:val="nil"/>
              <w:left w:val="nil"/>
              <w:bottom w:val="nil"/>
              <w:right w:val="nil"/>
            </w:tcBorders>
            <w:shd w:val="clear" w:color="auto" w:fill="auto"/>
            <w:noWrap/>
            <w:vAlign w:val="bottom"/>
          </w:tcPr>
          <w:p w14:paraId="5AED310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587DA98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.484</w:t>
            </w:r>
          </w:p>
        </w:tc>
        <w:tc>
          <w:tcPr>
            <w:tcW w:w="186" w:type="dxa"/>
            <w:tcBorders>
              <w:top w:val="nil"/>
              <w:left w:val="nil"/>
              <w:bottom w:val="nil"/>
              <w:right w:val="nil"/>
            </w:tcBorders>
            <w:shd w:val="clear" w:color="auto" w:fill="auto"/>
            <w:noWrap/>
            <w:vAlign w:val="bottom"/>
          </w:tcPr>
          <w:p w14:paraId="67DDD31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43F92AB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.500</w:t>
            </w:r>
          </w:p>
        </w:tc>
        <w:tc>
          <w:tcPr>
            <w:tcW w:w="186" w:type="dxa"/>
            <w:tcBorders>
              <w:top w:val="nil"/>
              <w:left w:val="nil"/>
              <w:bottom w:val="nil"/>
              <w:right w:val="nil"/>
            </w:tcBorders>
            <w:shd w:val="clear" w:color="auto" w:fill="auto"/>
            <w:noWrap/>
            <w:vAlign w:val="bottom"/>
          </w:tcPr>
          <w:p w14:paraId="48E9BD1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4A084E8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.455</w:t>
            </w:r>
          </w:p>
        </w:tc>
        <w:tc>
          <w:tcPr>
            <w:tcW w:w="186" w:type="dxa"/>
            <w:tcBorders>
              <w:top w:val="nil"/>
              <w:left w:val="nil"/>
              <w:bottom w:val="nil"/>
              <w:right w:val="nil"/>
            </w:tcBorders>
            <w:shd w:val="clear" w:color="auto" w:fill="auto"/>
            <w:noWrap/>
            <w:vAlign w:val="bottom"/>
          </w:tcPr>
          <w:p w14:paraId="3BB8B6A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384508C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.498</w:t>
            </w:r>
          </w:p>
        </w:tc>
        <w:tc>
          <w:tcPr>
            <w:tcW w:w="428" w:type="dxa"/>
            <w:tcBorders>
              <w:top w:val="nil"/>
              <w:left w:val="nil"/>
              <w:bottom w:val="nil"/>
              <w:right w:val="nil"/>
            </w:tcBorders>
            <w:shd w:val="clear" w:color="auto" w:fill="auto"/>
            <w:noWrap/>
            <w:vAlign w:val="bottom"/>
            <w:hideMark/>
          </w:tcPr>
          <w:p w14:paraId="4B6F8746"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42D66960" w14:textId="77777777" w:rsidTr="00E04BB5">
        <w:trPr>
          <w:trHeight w:val="300"/>
        </w:trPr>
        <w:tc>
          <w:tcPr>
            <w:tcW w:w="306" w:type="dxa"/>
            <w:tcBorders>
              <w:top w:val="nil"/>
              <w:left w:val="nil"/>
              <w:bottom w:val="nil"/>
              <w:right w:val="nil"/>
            </w:tcBorders>
            <w:shd w:val="clear" w:color="auto" w:fill="auto"/>
            <w:noWrap/>
            <w:vAlign w:val="bottom"/>
            <w:hideMark/>
          </w:tcPr>
          <w:p w14:paraId="34EE34C6"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291" w:type="dxa"/>
            <w:gridSpan w:val="2"/>
            <w:tcBorders>
              <w:top w:val="nil"/>
              <w:left w:val="nil"/>
              <w:bottom w:val="nil"/>
              <w:right w:val="nil"/>
            </w:tcBorders>
            <w:shd w:val="clear" w:color="auto" w:fill="auto"/>
            <w:noWrap/>
            <w:vAlign w:val="bottom"/>
            <w:hideMark/>
          </w:tcPr>
          <w:p w14:paraId="316B523E"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proofErr w:type="spellStart"/>
            <w:r w:rsidRPr="002B1625">
              <w:rPr>
                <w:rFonts w:ascii="Calibri" w:eastAsia="Times New Roman" w:hAnsi="Calibri" w:cs="Times New Roman"/>
                <w:i/>
                <w:iCs/>
                <w:color w:val="000000"/>
                <w:sz w:val="20"/>
                <w:szCs w:val="20"/>
                <w:lang w:val="en-GB"/>
              </w:rPr>
              <w:t>othauc</w:t>
            </w:r>
            <w:proofErr w:type="spellEnd"/>
          </w:p>
        </w:tc>
        <w:tc>
          <w:tcPr>
            <w:tcW w:w="1495" w:type="dxa"/>
            <w:tcBorders>
              <w:top w:val="nil"/>
              <w:left w:val="nil"/>
              <w:bottom w:val="nil"/>
              <w:right w:val="nil"/>
            </w:tcBorders>
            <w:shd w:val="clear" w:color="auto" w:fill="auto"/>
            <w:noWrap/>
            <w:vAlign w:val="bottom"/>
          </w:tcPr>
          <w:p w14:paraId="7D3EE4D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.110</w:t>
            </w:r>
          </w:p>
        </w:tc>
        <w:tc>
          <w:tcPr>
            <w:tcW w:w="175" w:type="dxa"/>
            <w:tcBorders>
              <w:top w:val="nil"/>
              <w:left w:val="nil"/>
              <w:bottom w:val="nil"/>
              <w:right w:val="nil"/>
            </w:tcBorders>
            <w:shd w:val="clear" w:color="auto" w:fill="auto"/>
            <w:noWrap/>
            <w:vAlign w:val="bottom"/>
          </w:tcPr>
          <w:p w14:paraId="70DE27E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15ACD4D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.313</w:t>
            </w:r>
          </w:p>
        </w:tc>
        <w:tc>
          <w:tcPr>
            <w:tcW w:w="650" w:type="dxa"/>
            <w:tcBorders>
              <w:top w:val="nil"/>
              <w:left w:val="nil"/>
              <w:bottom w:val="nil"/>
              <w:right w:val="nil"/>
            </w:tcBorders>
            <w:shd w:val="clear" w:color="auto" w:fill="auto"/>
            <w:noWrap/>
            <w:vAlign w:val="bottom"/>
          </w:tcPr>
          <w:p w14:paraId="226EA19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093AC58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.042</w:t>
            </w:r>
          </w:p>
        </w:tc>
        <w:tc>
          <w:tcPr>
            <w:tcW w:w="186" w:type="dxa"/>
            <w:tcBorders>
              <w:top w:val="nil"/>
              <w:left w:val="nil"/>
              <w:bottom w:val="nil"/>
              <w:right w:val="nil"/>
            </w:tcBorders>
            <w:shd w:val="clear" w:color="auto" w:fill="auto"/>
            <w:noWrap/>
            <w:vAlign w:val="bottom"/>
          </w:tcPr>
          <w:p w14:paraId="2EB8761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7596B34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.202</w:t>
            </w:r>
          </w:p>
        </w:tc>
        <w:tc>
          <w:tcPr>
            <w:tcW w:w="186" w:type="dxa"/>
            <w:tcBorders>
              <w:top w:val="nil"/>
              <w:left w:val="nil"/>
              <w:bottom w:val="nil"/>
              <w:right w:val="nil"/>
            </w:tcBorders>
            <w:shd w:val="clear" w:color="auto" w:fill="auto"/>
            <w:noWrap/>
            <w:vAlign w:val="bottom"/>
          </w:tcPr>
          <w:p w14:paraId="3168BF1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1A7727B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.185</w:t>
            </w:r>
          </w:p>
        </w:tc>
        <w:tc>
          <w:tcPr>
            <w:tcW w:w="186" w:type="dxa"/>
            <w:tcBorders>
              <w:top w:val="nil"/>
              <w:left w:val="nil"/>
              <w:bottom w:val="nil"/>
              <w:right w:val="nil"/>
            </w:tcBorders>
            <w:shd w:val="clear" w:color="auto" w:fill="auto"/>
            <w:noWrap/>
            <w:vAlign w:val="bottom"/>
          </w:tcPr>
          <w:p w14:paraId="683BCCA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59272AD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.389</w:t>
            </w:r>
          </w:p>
        </w:tc>
        <w:tc>
          <w:tcPr>
            <w:tcW w:w="428" w:type="dxa"/>
            <w:tcBorders>
              <w:top w:val="nil"/>
              <w:left w:val="nil"/>
              <w:bottom w:val="nil"/>
              <w:right w:val="nil"/>
            </w:tcBorders>
            <w:shd w:val="clear" w:color="auto" w:fill="auto"/>
            <w:noWrap/>
            <w:vAlign w:val="bottom"/>
            <w:hideMark/>
          </w:tcPr>
          <w:p w14:paraId="4EA248F9"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4B268EC1" w14:textId="77777777" w:rsidTr="00E04BB5">
        <w:trPr>
          <w:trHeight w:val="300"/>
        </w:trPr>
        <w:tc>
          <w:tcPr>
            <w:tcW w:w="306" w:type="dxa"/>
            <w:tcBorders>
              <w:top w:val="nil"/>
              <w:left w:val="nil"/>
              <w:bottom w:val="nil"/>
              <w:right w:val="nil"/>
            </w:tcBorders>
            <w:shd w:val="clear" w:color="auto" w:fill="auto"/>
            <w:noWrap/>
            <w:vAlign w:val="bottom"/>
            <w:hideMark/>
          </w:tcPr>
          <w:p w14:paraId="36955773"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1A48ACDF"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style1</w:t>
            </w:r>
          </w:p>
        </w:tc>
        <w:tc>
          <w:tcPr>
            <w:tcW w:w="186" w:type="dxa"/>
            <w:tcBorders>
              <w:top w:val="nil"/>
              <w:left w:val="nil"/>
              <w:bottom w:val="nil"/>
              <w:right w:val="nil"/>
            </w:tcBorders>
            <w:shd w:val="clear" w:color="auto" w:fill="auto"/>
            <w:noWrap/>
            <w:vAlign w:val="bottom"/>
            <w:hideMark/>
          </w:tcPr>
          <w:p w14:paraId="711CB589"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756D306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.044</w:t>
            </w:r>
          </w:p>
        </w:tc>
        <w:tc>
          <w:tcPr>
            <w:tcW w:w="175" w:type="dxa"/>
            <w:tcBorders>
              <w:top w:val="nil"/>
              <w:left w:val="nil"/>
              <w:bottom w:val="nil"/>
              <w:right w:val="nil"/>
            </w:tcBorders>
            <w:shd w:val="clear" w:color="auto" w:fill="auto"/>
            <w:noWrap/>
            <w:vAlign w:val="bottom"/>
          </w:tcPr>
          <w:p w14:paraId="78E6749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3C14E13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.205</w:t>
            </w:r>
          </w:p>
        </w:tc>
        <w:tc>
          <w:tcPr>
            <w:tcW w:w="650" w:type="dxa"/>
            <w:tcBorders>
              <w:top w:val="nil"/>
              <w:left w:val="nil"/>
              <w:bottom w:val="nil"/>
              <w:right w:val="nil"/>
            </w:tcBorders>
            <w:shd w:val="clear" w:color="auto" w:fill="auto"/>
            <w:noWrap/>
            <w:vAlign w:val="bottom"/>
          </w:tcPr>
          <w:p w14:paraId="080FB7C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5E0AB9E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.040</w:t>
            </w:r>
          </w:p>
        </w:tc>
        <w:tc>
          <w:tcPr>
            <w:tcW w:w="186" w:type="dxa"/>
            <w:tcBorders>
              <w:top w:val="nil"/>
              <w:left w:val="nil"/>
              <w:bottom w:val="nil"/>
              <w:right w:val="nil"/>
            </w:tcBorders>
            <w:shd w:val="clear" w:color="auto" w:fill="auto"/>
            <w:noWrap/>
            <w:vAlign w:val="bottom"/>
          </w:tcPr>
          <w:p w14:paraId="5C8B37A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63E3B06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.197</w:t>
            </w:r>
          </w:p>
        </w:tc>
        <w:tc>
          <w:tcPr>
            <w:tcW w:w="186" w:type="dxa"/>
            <w:tcBorders>
              <w:top w:val="nil"/>
              <w:left w:val="nil"/>
              <w:bottom w:val="nil"/>
              <w:right w:val="nil"/>
            </w:tcBorders>
            <w:shd w:val="clear" w:color="auto" w:fill="auto"/>
            <w:noWrap/>
            <w:vAlign w:val="bottom"/>
          </w:tcPr>
          <w:p w14:paraId="30F24C7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5A6D035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.048</w:t>
            </w:r>
          </w:p>
        </w:tc>
        <w:tc>
          <w:tcPr>
            <w:tcW w:w="186" w:type="dxa"/>
            <w:tcBorders>
              <w:top w:val="nil"/>
              <w:left w:val="nil"/>
              <w:bottom w:val="nil"/>
              <w:right w:val="nil"/>
            </w:tcBorders>
            <w:shd w:val="clear" w:color="auto" w:fill="auto"/>
            <w:noWrap/>
            <w:vAlign w:val="bottom"/>
          </w:tcPr>
          <w:p w14:paraId="2325253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6310E925"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.214</w:t>
            </w:r>
          </w:p>
        </w:tc>
        <w:tc>
          <w:tcPr>
            <w:tcW w:w="428" w:type="dxa"/>
            <w:tcBorders>
              <w:top w:val="nil"/>
              <w:left w:val="nil"/>
              <w:bottom w:val="nil"/>
              <w:right w:val="nil"/>
            </w:tcBorders>
            <w:shd w:val="clear" w:color="auto" w:fill="auto"/>
            <w:noWrap/>
            <w:vAlign w:val="bottom"/>
            <w:hideMark/>
          </w:tcPr>
          <w:p w14:paraId="1ACD258F"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418155DF" w14:textId="77777777" w:rsidTr="00E04BB5">
        <w:trPr>
          <w:trHeight w:val="300"/>
        </w:trPr>
        <w:tc>
          <w:tcPr>
            <w:tcW w:w="306" w:type="dxa"/>
            <w:tcBorders>
              <w:top w:val="nil"/>
              <w:left w:val="nil"/>
              <w:bottom w:val="nil"/>
              <w:right w:val="nil"/>
            </w:tcBorders>
            <w:shd w:val="clear" w:color="auto" w:fill="auto"/>
            <w:noWrap/>
            <w:vAlign w:val="bottom"/>
            <w:hideMark/>
          </w:tcPr>
          <w:p w14:paraId="213F579C"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1610B8D1"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style2</w:t>
            </w:r>
          </w:p>
        </w:tc>
        <w:tc>
          <w:tcPr>
            <w:tcW w:w="186" w:type="dxa"/>
            <w:tcBorders>
              <w:top w:val="nil"/>
              <w:left w:val="nil"/>
              <w:bottom w:val="nil"/>
              <w:right w:val="nil"/>
            </w:tcBorders>
            <w:shd w:val="clear" w:color="auto" w:fill="auto"/>
            <w:noWrap/>
            <w:vAlign w:val="bottom"/>
            <w:hideMark/>
          </w:tcPr>
          <w:p w14:paraId="1A8EE5CC"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77127B9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.016</w:t>
            </w:r>
          </w:p>
        </w:tc>
        <w:tc>
          <w:tcPr>
            <w:tcW w:w="175" w:type="dxa"/>
            <w:tcBorders>
              <w:top w:val="nil"/>
              <w:left w:val="nil"/>
              <w:bottom w:val="nil"/>
              <w:right w:val="nil"/>
            </w:tcBorders>
            <w:shd w:val="clear" w:color="auto" w:fill="auto"/>
            <w:noWrap/>
            <w:vAlign w:val="bottom"/>
          </w:tcPr>
          <w:p w14:paraId="1B1CC18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39381D6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.126</w:t>
            </w:r>
          </w:p>
        </w:tc>
        <w:tc>
          <w:tcPr>
            <w:tcW w:w="650" w:type="dxa"/>
            <w:tcBorders>
              <w:top w:val="nil"/>
              <w:left w:val="nil"/>
              <w:bottom w:val="nil"/>
              <w:right w:val="nil"/>
            </w:tcBorders>
            <w:shd w:val="clear" w:color="auto" w:fill="auto"/>
            <w:noWrap/>
            <w:vAlign w:val="bottom"/>
          </w:tcPr>
          <w:p w14:paraId="38CC99F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1C3C40C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.022</w:t>
            </w:r>
          </w:p>
        </w:tc>
        <w:tc>
          <w:tcPr>
            <w:tcW w:w="186" w:type="dxa"/>
            <w:tcBorders>
              <w:top w:val="nil"/>
              <w:left w:val="nil"/>
              <w:bottom w:val="nil"/>
              <w:right w:val="nil"/>
            </w:tcBorders>
            <w:shd w:val="clear" w:color="auto" w:fill="auto"/>
            <w:noWrap/>
            <w:vAlign w:val="bottom"/>
          </w:tcPr>
          <w:p w14:paraId="4E8DB8C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2DF79E9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.147</w:t>
            </w:r>
          </w:p>
        </w:tc>
        <w:tc>
          <w:tcPr>
            <w:tcW w:w="186" w:type="dxa"/>
            <w:tcBorders>
              <w:top w:val="nil"/>
              <w:left w:val="nil"/>
              <w:bottom w:val="nil"/>
              <w:right w:val="nil"/>
            </w:tcBorders>
            <w:shd w:val="clear" w:color="auto" w:fill="auto"/>
            <w:noWrap/>
            <w:vAlign w:val="bottom"/>
          </w:tcPr>
          <w:p w14:paraId="0F8CB67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2440CD5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.009</w:t>
            </w:r>
          </w:p>
        </w:tc>
        <w:tc>
          <w:tcPr>
            <w:tcW w:w="186" w:type="dxa"/>
            <w:tcBorders>
              <w:top w:val="nil"/>
              <w:left w:val="nil"/>
              <w:bottom w:val="nil"/>
              <w:right w:val="nil"/>
            </w:tcBorders>
            <w:shd w:val="clear" w:color="auto" w:fill="auto"/>
            <w:noWrap/>
            <w:vAlign w:val="bottom"/>
          </w:tcPr>
          <w:p w14:paraId="65137CB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37A3819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.095</w:t>
            </w:r>
          </w:p>
        </w:tc>
        <w:tc>
          <w:tcPr>
            <w:tcW w:w="428" w:type="dxa"/>
            <w:tcBorders>
              <w:top w:val="nil"/>
              <w:left w:val="nil"/>
              <w:bottom w:val="nil"/>
              <w:right w:val="nil"/>
            </w:tcBorders>
            <w:shd w:val="clear" w:color="auto" w:fill="auto"/>
            <w:noWrap/>
            <w:vAlign w:val="bottom"/>
            <w:hideMark/>
          </w:tcPr>
          <w:p w14:paraId="16AE8DC4"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771E4E0D" w14:textId="77777777" w:rsidTr="00E04BB5">
        <w:trPr>
          <w:trHeight w:val="300"/>
        </w:trPr>
        <w:tc>
          <w:tcPr>
            <w:tcW w:w="306" w:type="dxa"/>
            <w:tcBorders>
              <w:top w:val="nil"/>
              <w:left w:val="nil"/>
              <w:bottom w:val="nil"/>
              <w:right w:val="nil"/>
            </w:tcBorders>
            <w:shd w:val="clear" w:color="auto" w:fill="auto"/>
            <w:noWrap/>
            <w:vAlign w:val="bottom"/>
            <w:hideMark/>
          </w:tcPr>
          <w:p w14:paraId="19C8124C"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2B72AF9F"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style3</w:t>
            </w:r>
          </w:p>
        </w:tc>
        <w:tc>
          <w:tcPr>
            <w:tcW w:w="186" w:type="dxa"/>
            <w:tcBorders>
              <w:top w:val="nil"/>
              <w:left w:val="nil"/>
              <w:bottom w:val="nil"/>
              <w:right w:val="nil"/>
            </w:tcBorders>
            <w:shd w:val="clear" w:color="auto" w:fill="auto"/>
            <w:noWrap/>
            <w:vAlign w:val="bottom"/>
            <w:hideMark/>
          </w:tcPr>
          <w:p w14:paraId="69C84193"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428883F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.045</w:t>
            </w:r>
          </w:p>
        </w:tc>
        <w:tc>
          <w:tcPr>
            <w:tcW w:w="175" w:type="dxa"/>
            <w:tcBorders>
              <w:top w:val="nil"/>
              <w:left w:val="nil"/>
              <w:bottom w:val="nil"/>
              <w:right w:val="nil"/>
            </w:tcBorders>
            <w:shd w:val="clear" w:color="auto" w:fill="auto"/>
            <w:noWrap/>
            <w:vAlign w:val="bottom"/>
          </w:tcPr>
          <w:p w14:paraId="0A3A585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7B5CE13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.207</w:t>
            </w:r>
          </w:p>
        </w:tc>
        <w:tc>
          <w:tcPr>
            <w:tcW w:w="650" w:type="dxa"/>
            <w:tcBorders>
              <w:top w:val="nil"/>
              <w:left w:val="nil"/>
              <w:bottom w:val="nil"/>
              <w:right w:val="nil"/>
            </w:tcBorders>
            <w:shd w:val="clear" w:color="auto" w:fill="auto"/>
            <w:noWrap/>
            <w:vAlign w:val="bottom"/>
          </w:tcPr>
          <w:p w14:paraId="3539F23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0B0E415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.044</w:t>
            </w:r>
          </w:p>
        </w:tc>
        <w:tc>
          <w:tcPr>
            <w:tcW w:w="186" w:type="dxa"/>
            <w:tcBorders>
              <w:top w:val="nil"/>
              <w:left w:val="nil"/>
              <w:bottom w:val="nil"/>
              <w:right w:val="nil"/>
            </w:tcBorders>
            <w:shd w:val="clear" w:color="auto" w:fill="auto"/>
            <w:noWrap/>
            <w:vAlign w:val="bottom"/>
          </w:tcPr>
          <w:p w14:paraId="3CEE394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1A18C80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.206</w:t>
            </w:r>
          </w:p>
        </w:tc>
        <w:tc>
          <w:tcPr>
            <w:tcW w:w="186" w:type="dxa"/>
            <w:tcBorders>
              <w:top w:val="nil"/>
              <w:left w:val="nil"/>
              <w:bottom w:val="nil"/>
              <w:right w:val="nil"/>
            </w:tcBorders>
            <w:shd w:val="clear" w:color="auto" w:fill="auto"/>
            <w:noWrap/>
            <w:vAlign w:val="bottom"/>
          </w:tcPr>
          <w:p w14:paraId="43BF00A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1188B20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.046</w:t>
            </w:r>
          </w:p>
        </w:tc>
        <w:tc>
          <w:tcPr>
            <w:tcW w:w="186" w:type="dxa"/>
            <w:tcBorders>
              <w:top w:val="nil"/>
              <w:left w:val="nil"/>
              <w:bottom w:val="nil"/>
              <w:right w:val="nil"/>
            </w:tcBorders>
            <w:shd w:val="clear" w:color="auto" w:fill="auto"/>
            <w:noWrap/>
            <w:vAlign w:val="bottom"/>
          </w:tcPr>
          <w:p w14:paraId="44237D15"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208258B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.209</w:t>
            </w:r>
          </w:p>
        </w:tc>
        <w:tc>
          <w:tcPr>
            <w:tcW w:w="428" w:type="dxa"/>
            <w:tcBorders>
              <w:top w:val="nil"/>
              <w:left w:val="nil"/>
              <w:bottom w:val="nil"/>
              <w:right w:val="nil"/>
            </w:tcBorders>
            <w:shd w:val="clear" w:color="auto" w:fill="auto"/>
            <w:noWrap/>
            <w:vAlign w:val="bottom"/>
            <w:hideMark/>
          </w:tcPr>
          <w:p w14:paraId="4392F06D"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2F6CE781" w14:textId="77777777" w:rsidTr="00E04BB5">
        <w:trPr>
          <w:trHeight w:val="300"/>
        </w:trPr>
        <w:tc>
          <w:tcPr>
            <w:tcW w:w="306" w:type="dxa"/>
            <w:tcBorders>
              <w:top w:val="nil"/>
              <w:left w:val="nil"/>
              <w:bottom w:val="nil"/>
              <w:right w:val="nil"/>
            </w:tcBorders>
            <w:shd w:val="clear" w:color="auto" w:fill="auto"/>
            <w:noWrap/>
            <w:vAlign w:val="bottom"/>
            <w:hideMark/>
          </w:tcPr>
          <w:p w14:paraId="60A53B5C"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3DE33554"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style4</w:t>
            </w:r>
          </w:p>
        </w:tc>
        <w:tc>
          <w:tcPr>
            <w:tcW w:w="186" w:type="dxa"/>
            <w:tcBorders>
              <w:top w:val="nil"/>
              <w:left w:val="nil"/>
              <w:bottom w:val="nil"/>
              <w:right w:val="nil"/>
            </w:tcBorders>
            <w:shd w:val="clear" w:color="auto" w:fill="auto"/>
            <w:noWrap/>
            <w:vAlign w:val="bottom"/>
            <w:hideMark/>
          </w:tcPr>
          <w:p w14:paraId="5081A97D"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194FEF5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.112</w:t>
            </w:r>
          </w:p>
        </w:tc>
        <w:tc>
          <w:tcPr>
            <w:tcW w:w="175" w:type="dxa"/>
            <w:tcBorders>
              <w:top w:val="nil"/>
              <w:left w:val="nil"/>
              <w:bottom w:val="nil"/>
              <w:right w:val="nil"/>
            </w:tcBorders>
            <w:shd w:val="clear" w:color="auto" w:fill="auto"/>
            <w:noWrap/>
            <w:vAlign w:val="bottom"/>
          </w:tcPr>
          <w:p w14:paraId="2A9C8DC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52F8E51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.316</w:t>
            </w:r>
          </w:p>
        </w:tc>
        <w:tc>
          <w:tcPr>
            <w:tcW w:w="650" w:type="dxa"/>
            <w:tcBorders>
              <w:top w:val="nil"/>
              <w:left w:val="nil"/>
              <w:bottom w:val="nil"/>
              <w:right w:val="nil"/>
            </w:tcBorders>
            <w:shd w:val="clear" w:color="auto" w:fill="auto"/>
            <w:noWrap/>
            <w:vAlign w:val="bottom"/>
          </w:tcPr>
          <w:p w14:paraId="3179613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1894891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.127</w:t>
            </w:r>
          </w:p>
        </w:tc>
        <w:tc>
          <w:tcPr>
            <w:tcW w:w="186" w:type="dxa"/>
            <w:tcBorders>
              <w:top w:val="nil"/>
              <w:left w:val="nil"/>
              <w:bottom w:val="nil"/>
              <w:right w:val="nil"/>
            </w:tcBorders>
            <w:shd w:val="clear" w:color="auto" w:fill="auto"/>
            <w:noWrap/>
            <w:vAlign w:val="bottom"/>
          </w:tcPr>
          <w:p w14:paraId="155B79E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7160E1F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.333</w:t>
            </w:r>
          </w:p>
        </w:tc>
        <w:tc>
          <w:tcPr>
            <w:tcW w:w="186" w:type="dxa"/>
            <w:tcBorders>
              <w:top w:val="nil"/>
              <w:left w:val="nil"/>
              <w:bottom w:val="nil"/>
              <w:right w:val="nil"/>
            </w:tcBorders>
            <w:shd w:val="clear" w:color="auto" w:fill="auto"/>
            <w:noWrap/>
            <w:vAlign w:val="bottom"/>
          </w:tcPr>
          <w:p w14:paraId="2CC8D5E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2FC2185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.096</w:t>
            </w:r>
          </w:p>
        </w:tc>
        <w:tc>
          <w:tcPr>
            <w:tcW w:w="186" w:type="dxa"/>
            <w:tcBorders>
              <w:top w:val="nil"/>
              <w:left w:val="nil"/>
              <w:bottom w:val="nil"/>
              <w:right w:val="nil"/>
            </w:tcBorders>
            <w:shd w:val="clear" w:color="auto" w:fill="auto"/>
            <w:noWrap/>
            <w:vAlign w:val="bottom"/>
          </w:tcPr>
          <w:p w14:paraId="442CA84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003FBFF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.295</w:t>
            </w:r>
          </w:p>
        </w:tc>
        <w:tc>
          <w:tcPr>
            <w:tcW w:w="428" w:type="dxa"/>
            <w:tcBorders>
              <w:top w:val="nil"/>
              <w:left w:val="nil"/>
              <w:bottom w:val="nil"/>
              <w:right w:val="nil"/>
            </w:tcBorders>
            <w:shd w:val="clear" w:color="auto" w:fill="auto"/>
            <w:noWrap/>
            <w:vAlign w:val="bottom"/>
            <w:hideMark/>
          </w:tcPr>
          <w:p w14:paraId="28B47EB0"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67393693" w14:textId="77777777" w:rsidTr="00E04BB5">
        <w:trPr>
          <w:trHeight w:val="300"/>
        </w:trPr>
        <w:tc>
          <w:tcPr>
            <w:tcW w:w="306" w:type="dxa"/>
            <w:tcBorders>
              <w:top w:val="nil"/>
              <w:left w:val="nil"/>
              <w:bottom w:val="nil"/>
              <w:right w:val="nil"/>
            </w:tcBorders>
            <w:shd w:val="clear" w:color="auto" w:fill="auto"/>
            <w:noWrap/>
            <w:vAlign w:val="bottom"/>
            <w:hideMark/>
          </w:tcPr>
          <w:p w14:paraId="7FF9FF40"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34C22DB7"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style5</w:t>
            </w:r>
          </w:p>
        </w:tc>
        <w:tc>
          <w:tcPr>
            <w:tcW w:w="186" w:type="dxa"/>
            <w:tcBorders>
              <w:top w:val="nil"/>
              <w:left w:val="nil"/>
              <w:bottom w:val="nil"/>
              <w:right w:val="nil"/>
            </w:tcBorders>
            <w:shd w:val="clear" w:color="auto" w:fill="auto"/>
            <w:noWrap/>
            <w:vAlign w:val="bottom"/>
            <w:hideMark/>
          </w:tcPr>
          <w:p w14:paraId="18609BE0"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4D48A46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.097</w:t>
            </w:r>
          </w:p>
        </w:tc>
        <w:tc>
          <w:tcPr>
            <w:tcW w:w="175" w:type="dxa"/>
            <w:tcBorders>
              <w:top w:val="nil"/>
              <w:left w:val="nil"/>
              <w:bottom w:val="nil"/>
              <w:right w:val="nil"/>
            </w:tcBorders>
            <w:shd w:val="clear" w:color="auto" w:fill="auto"/>
            <w:noWrap/>
            <w:vAlign w:val="bottom"/>
          </w:tcPr>
          <w:p w14:paraId="76D8274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5D67FED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.297</w:t>
            </w:r>
          </w:p>
        </w:tc>
        <w:tc>
          <w:tcPr>
            <w:tcW w:w="650" w:type="dxa"/>
            <w:tcBorders>
              <w:top w:val="nil"/>
              <w:left w:val="nil"/>
              <w:bottom w:val="nil"/>
              <w:right w:val="nil"/>
            </w:tcBorders>
            <w:shd w:val="clear" w:color="auto" w:fill="auto"/>
            <w:noWrap/>
            <w:vAlign w:val="bottom"/>
          </w:tcPr>
          <w:p w14:paraId="79A9ABD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7D3165F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.111</w:t>
            </w:r>
          </w:p>
        </w:tc>
        <w:tc>
          <w:tcPr>
            <w:tcW w:w="186" w:type="dxa"/>
            <w:tcBorders>
              <w:top w:val="nil"/>
              <w:left w:val="nil"/>
              <w:bottom w:val="nil"/>
              <w:right w:val="nil"/>
            </w:tcBorders>
            <w:shd w:val="clear" w:color="auto" w:fill="auto"/>
            <w:noWrap/>
            <w:vAlign w:val="bottom"/>
          </w:tcPr>
          <w:p w14:paraId="6B21841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7FD4DAE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.314</w:t>
            </w:r>
          </w:p>
        </w:tc>
        <w:tc>
          <w:tcPr>
            <w:tcW w:w="186" w:type="dxa"/>
            <w:tcBorders>
              <w:top w:val="nil"/>
              <w:left w:val="nil"/>
              <w:bottom w:val="nil"/>
              <w:right w:val="nil"/>
            </w:tcBorders>
            <w:shd w:val="clear" w:color="auto" w:fill="auto"/>
            <w:noWrap/>
            <w:vAlign w:val="bottom"/>
          </w:tcPr>
          <w:p w14:paraId="23DE3EC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201A81E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.082</w:t>
            </w:r>
          </w:p>
        </w:tc>
        <w:tc>
          <w:tcPr>
            <w:tcW w:w="186" w:type="dxa"/>
            <w:tcBorders>
              <w:top w:val="nil"/>
              <w:left w:val="nil"/>
              <w:bottom w:val="nil"/>
              <w:right w:val="nil"/>
            </w:tcBorders>
            <w:shd w:val="clear" w:color="auto" w:fill="auto"/>
            <w:noWrap/>
            <w:vAlign w:val="bottom"/>
          </w:tcPr>
          <w:p w14:paraId="33F6443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09A324B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.275</w:t>
            </w:r>
          </w:p>
        </w:tc>
        <w:tc>
          <w:tcPr>
            <w:tcW w:w="428" w:type="dxa"/>
            <w:tcBorders>
              <w:top w:val="nil"/>
              <w:left w:val="nil"/>
              <w:bottom w:val="nil"/>
              <w:right w:val="nil"/>
            </w:tcBorders>
            <w:shd w:val="clear" w:color="auto" w:fill="auto"/>
            <w:noWrap/>
            <w:vAlign w:val="bottom"/>
            <w:hideMark/>
          </w:tcPr>
          <w:p w14:paraId="52C4E95B"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3FFF6AA8" w14:textId="77777777" w:rsidTr="00E04BB5">
        <w:trPr>
          <w:trHeight w:val="300"/>
        </w:trPr>
        <w:tc>
          <w:tcPr>
            <w:tcW w:w="306" w:type="dxa"/>
            <w:tcBorders>
              <w:top w:val="nil"/>
              <w:left w:val="nil"/>
              <w:bottom w:val="nil"/>
              <w:right w:val="nil"/>
            </w:tcBorders>
            <w:shd w:val="clear" w:color="auto" w:fill="auto"/>
            <w:noWrap/>
            <w:vAlign w:val="bottom"/>
            <w:hideMark/>
          </w:tcPr>
          <w:p w14:paraId="18EFA289"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3C3B2249"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style6</w:t>
            </w:r>
          </w:p>
        </w:tc>
        <w:tc>
          <w:tcPr>
            <w:tcW w:w="186" w:type="dxa"/>
            <w:tcBorders>
              <w:top w:val="nil"/>
              <w:left w:val="nil"/>
              <w:bottom w:val="nil"/>
              <w:right w:val="nil"/>
            </w:tcBorders>
            <w:shd w:val="clear" w:color="auto" w:fill="auto"/>
            <w:noWrap/>
            <w:vAlign w:val="bottom"/>
            <w:hideMark/>
          </w:tcPr>
          <w:p w14:paraId="439F0D0E"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47C4B75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.130</w:t>
            </w:r>
          </w:p>
        </w:tc>
        <w:tc>
          <w:tcPr>
            <w:tcW w:w="175" w:type="dxa"/>
            <w:tcBorders>
              <w:top w:val="nil"/>
              <w:left w:val="nil"/>
              <w:bottom w:val="nil"/>
              <w:right w:val="nil"/>
            </w:tcBorders>
            <w:shd w:val="clear" w:color="auto" w:fill="auto"/>
            <w:noWrap/>
            <w:vAlign w:val="bottom"/>
          </w:tcPr>
          <w:p w14:paraId="60B9611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42CF625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.336</w:t>
            </w:r>
          </w:p>
        </w:tc>
        <w:tc>
          <w:tcPr>
            <w:tcW w:w="650" w:type="dxa"/>
            <w:tcBorders>
              <w:top w:val="nil"/>
              <w:left w:val="nil"/>
              <w:bottom w:val="nil"/>
              <w:right w:val="nil"/>
            </w:tcBorders>
            <w:shd w:val="clear" w:color="auto" w:fill="auto"/>
            <w:noWrap/>
            <w:vAlign w:val="bottom"/>
          </w:tcPr>
          <w:p w14:paraId="28FC5E0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74B0E645"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.133</w:t>
            </w:r>
          </w:p>
        </w:tc>
        <w:tc>
          <w:tcPr>
            <w:tcW w:w="186" w:type="dxa"/>
            <w:tcBorders>
              <w:top w:val="nil"/>
              <w:left w:val="nil"/>
              <w:bottom w:val="nil"/>
              <w:right w:val="nil"/>
            </w:tcBorders>
            <w:shd w:val="clear" w:color="auto" w:fill="auto"/>
            <w:noWrap/>
            <w:vAlign w:val="bottom"/>
          </w:tcPr>
          <w:p w14:paraId="417EE53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3C2B7A05"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.340</w:t>
            </w:r>
          </w:p>
        </w:tc>
        <w:tc>
          <w:tcPr>
            <w:tcW w:w="186" w:type="dxa"/>
            <w:tcBorders>
              <w:top w:val="nil"/>
              <w:left w:val="nil"/>
              <w:bottom w:val="nil"/>
              <w:right w:val="nil"/>
            </w:tcBorders>
            <w:shd w:val="clear" w:color="auto" w:fill="auto"/>
            <w:noWrap/>
            <w:vAlign w:val="bottom"/>
          </w:tcPr>
          <w:p w14:paraId="6AF4D6E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4DE5218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.126</w:t>
            </w:r>
          </w:p>
        </w:tc>
        <w:tc>
          <w:tcPr>
            <w:tcW w:w="186" w:type="dxa"/>
            <w:tcBorders>
              <w:top w:val="nil"/>
              <w:left w:val="nil"/>
              <w:bottom w:val="nil"/>
              <w:right w:val="nil"/>
            </w:tcBorders>
            <w:shd w:val="clear" w:color="auto" w:fill="auto"/>
            <w:noWrap/>
            <w:vAlign w:val="bottom"/>
          </w:tcPr>
          <w:p w14:paraId="6A44082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4EF92D96"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.332</w:t>
            </w:r>
          </w:p>
        </w:tc>
        <w:tc>
          <w:tcPr>
            <w:tcW w:w="428" w:type="dxa"/>
            <w:tcBorders>
              <w:top w:val="nil"/>
              <w:left w:val="nil"/>
              <w:bottom w:val="nil"/>
              <w:right w:val="nil"/>
            </w:tcBorders>
            <w:shd w:val="clear" w:color="auto" w:fill="auto"/>
            <w:noWrap/>
            <w:vAlign w:val="bottom"/>
            <w:hideMark/>
          </w:tcPr>
          <w:p w14:paraId="4856AB88"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167DA34D" w14:textId="77777777" w:rsidTr="00E04BB5">
        <w:trPr>
          <w:trHeight w:val="300"/>
        </w:trPr>
        <w:tc>
          <w:tcPr>
            <w:tcW w:w="306" w:type="dxa"/>
            <w:tcBorders>
              <w:top w:val="nil"/>
              <w:left w:val="nil"/>
              <w:bottom w:val="nil"/>
              <w:right w:val="nil"/>
            </w:tcBorders>
            <w:shd w:val="clear" w:color="auto" w:fill="auto"/>
            <w:noWrap/>
            <w:vAlign w:val="bottom"/>
            <w:hideMark/>
          </w:tcPr>
          <w:p w14:paraId="44AB783C"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01308166"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style7</w:t>
            </w:r>
          </w:p>
        </w:tc>
        <w:tc>
          <w:tcPr>
            <w:tcW w:w="186" w:type="dxa"/>
            <w:tcBorders>
              <w:top w:val="nil"/>
              <w:left w:val="nil"/>
              <w:bottom w:val="nil"/>
              <w:right w:val="nil"/>
            </w:tcBorders>
            <w:shd w:val="clear" w:color="auto" w:fill="auto"/>
            <w:noWrap/>
            <w:vAlign w:val="bottom"/>
            <w:hideMark/>
          </w:tcPr>
          <w:p w14:paraId="3CE0D33D"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181492F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.127</w:t>
            </w:r>
          </w:p>
        </w:tc>
        <w:tc>
          <w:tcPr>
            <w:tcW w:w="175" w:type="dxa"/>
            <w:tcBorders>
              <w:top w:val="nil"/>
              <w:left w:val="nil"/>
              <w:bottom w:val="nil"/>
              <w:right w:val="nil"/>
            </w:tcBorders>
            <w:shd w:val="clear" w:color="auto" w:fill="auto"/>
            <w:noWrap/>
            <w:vAlign w:val="bottom"/>
          </w:tcPr>
          <w:p w14:paraId="68560D4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4849367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.334</w:t>
            </w:r>
          </w:p>
        </w:tc>
        <w:tc>
          <w:tcPr>
            <w:tcW w:w="650" w:type="dxa"/>
            <w:tcBorders>
              <w:top w:val="nil"/>
              <w:left w:val="nil"/>
              <w:bottom w:val="nil"/>
              <w:right w:val="nil"/>
            </w:tcBorders>
            <w:shd w:val="clear" w:color="auto" w:fill="auto"/>
            <w:noWrap/>
            <w:vAlign w:val="bottom"/>
          </w:tcPr>
          <w:p w14:paraId="3BBA3D0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72C332C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.153</w:t>
            </w:r>
          </w:p>
        </w:tc>
        <w:tc>
          <w:tcPr>
            <w:tcW w:w="186" w:type="dxa"/>
            <w:tcBorders>
              <w:top w:val="nil"/>
              <w:left w:val="nil"/>
              <w:bottom w:val="nil"/>
              <w:right w:val="nil"/>
            </w:tcBorders>
            <w:shd w:val="clear" w:color="auto" w:fill="auto"/>
            <w:noWrap/>
            <w:vAlign w:val="bottom"/>
          </w:tcPr>
          <w:p w14:paraId="45807102"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6B7C3CD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.361</w:t>
            </w:r>
          </w:p>
        </w:tc>
        <w:tc>
          <w:tcPr>
            <w:tcW w:w="186" w:type="dxa"/>
            <w:tcBorders>
              <w:top w:val="nil"/>
              <w:left w:val="nil"/>
              <w:bottom w:val="nil"/>
              <w:right w:val="nil"/>
            </w:tcBorders>
            <w:shd w:val="clear" w:color="auto" w:fill="auto"/>
            <w:noWrap/>
            <w:vAlign w:val="bottom"/>
          </w:tcPr>
          <w:p w14:paraId="18378350"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24B5615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.098</w:t>
            </w:r>
          </w:p>
        </w:tc>
        <w:tc>
          <w:tcPr>
            <w:tcW w:w="186" w:type="dxa"/>
            <w:tcBorders>
              <w:top w:val="nil"/>
              <w:left w:val="nil"/>
              <w:bottom w:val="nil"/>
              <w:right w:val="nil"/>
            </w:tcBorders>
            <w:shd w:val="clear" w:color="auto" w:fill="auto"/>
            <w:noWrap/>
            <w:vAlign w:val="bottom"/>
          </w:tcPr>
          <w:p w14:paraId="5D631E5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3E8EE49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.298</w:t>
            </w:r>
          </w:p>
        </w:tc>
        <w:tc>
          <w:tcPr>
            <w:tcW w:w="428" w:type="dxa"/>
            <w:tcBorders>
              <w:top w:val="nil"/>
              <w:left w:val="nil"/>
              <w:bottom w:val="nil"/>
              <w:right w:val="nil"/>
            </w:tcBorders>
            <w:shd w:val="clear" w:color="auto" w:fill="auto"/>
            <w:noWrap/>
            <w:vAlign w:val="bottom"/>
            <w:hideMark/>
          </w:tcPr>
          <w:p w14:paraId="0AE5370D"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7B38EAD9" w14:textId="77777777" w:rsidTr="00E04BB5">
        <w:trPr>
          <w:trHeight w:val="300"/>
        </w:trPr>
        <w:tc>
          <w:tcPr>
            <w:tcW w:w="306" w:type="dxa"/>
            <w:tcBorders>
              <w:top w:val="nil"/>
              <w:left w:val="nil"/>
              <w:bottom w:val="nil"/>
              <w:right w:val="nil"/>
            </w:tcBorders>
            <w:shd w:val="clear" w:color="auto" w:fill="auto"/>
            <w:noWrap/>
            <w:vAlign w:val="bottom"/>
            <w:hideMark/>
          </w:tcPr>
          <w:p w14:paraId="6CEE6F93"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123B59DC"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style8</w:t>
            </w:r>
          </w:p>
        </w:tc>
        <w:tc>
          <w:tcPr>
            <w:tcW w:w="186" w:type="dxa"/>
            <w:tcBorders>
              <w:top w:val="nil"/>
              <w:left w:val="nil"/>
              <w:bottom w:val="nil"/>
              <w:right w:val="nil"/>
            </w:tcBorders>
            <w:shd w:val="clear" w:color="auto" w:fill="auto"/>
            <w:noWrap/>
            <w:vAlign w:val="bottom"/>
            <w:hideMark/>
          </w:tcPr>
          <w:p w14:paraId="09F2FF5A"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4A3ADC89"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.394</w:t>
            </w:r>
          </w:p>
        </w:tc>
        <w:tc>
          <w:tcPr>
            <w:tcW w:w="175" w:type="dxa"/>
            <w:tcBorders>
              <w:top w:val="nil"/>
              <w:left w:val="nil"/>
              <w:bottom w:val="nil"/>
              <w:right w:val="nil"/>
            </w:tcBorders>
            <w:shd w:val="clear" w:color="auto" w:fill="auto"/>
            <w:noWrap/>
            <w:vAlign w:val="bottom"/>
          </w:tcPr>
          <w:p w14:paraId="4F2B607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4E218AC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.489</w:t>
            </w:r>
          </w:p>
        </w:tc>
        <w:tc>
          <w:tcPr>
            <w:tcW w:w="650" w:type="dxa"/>
            <w:tcBorders>
              <w:top w:val="nil"/>
              <w:left w:val="nil"/>
              <w:bottom w:val="nil"/>
              <w:right w:val="nil"/>
            </w:tcBorders>
            <w:shd w:val="clear" w:color="auto" w:fill="auto"/>
            <w:noWrap/>
            <w:vAlign w:val="bottom"/>
          </w:tcPr>
          <w:p w14:paraId="77D4E4CD"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3D5A92B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.351</w:t>
            </w:r>
          </w:p>
        </w:tc>
        <w:tc>
          <w:tcPr>
            <w:tcW w:w="186" w:type="dxa"/>
            <w:tcBorders>
              <w:top w:val="nil"/>
              <w:left w:val="nil"/>
              <w:bottom w:val="nil"/>
              <w:right w:val="nil"/>
            </w:tcBorders>
            <w:shd w:val="clear" w:color="auto" w:fill="auto"/>
            <w:noWrap/>
            <w:vAlign w:val="bottom"/>
          </w:tcPr>
          <w:p w14:paraId="56BC700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16233AD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.478</w:t>
            </w:r>
          </w:p>
        </w:tc>
        <w:tc>
          <w:tcPr>
            <w:tcW w:w="186" w:type="dxa"/>
            <w:tcBorders>
              <w:top w:val="nil"/>
              <w:left w:val="nil"/>
              <w:bottom w:val="nil"/>
              <w:right w:val="nil"/>
            </w:tcBorders>
            <w:shd w:val="clear" w:color="auto" w:fill="auto"/>
            <w:noWrap/>
            <w:vAlign w:val="bottom"/>
          </w:tcPr>
          <w:p w14:paraId="6095836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62DEE7D3"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.444</w:t>
            </w:r>
          </w:p>
        </w:tc>
        <w:tc>
          <w:tcPr>
            <w:tcW w:w="186" w:type="dxa"/>
            <w:tcBorders>
              <w:top w:val="nil"/>
              <w:left w:val="nil"/>
              <w:bottom w:val="nil"/>
              <w:right w:val="nil"/>
            </w:tcBorders>
            <w:shd w:val="clear" w:color="auto" w:fill="auto"/>
            <w:noWrap/>
            <w:vAlign w:val="bottom"/>
          </w:tcPr>
          <w:p w14:paraId="1C70689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1F6921A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.497</w:t>
            </w:r>
          </w:p>
        </w:tc>
        <w:tc>
          <w:tcPr>
            <w:tcW w:w="428" w:type="dxa"/>
            <w:tcBorders>
              <w:top w:val="nil"/>
              <w:left w:val="nil"/>
              <w:bottom w:val="nil"/>
              <w:right w:val="nil"/>
            </w:tcBorders>
            <w:shd w:val="clear" w:color="auto" w:fill="auto"/>
            <w:noWrap/>
            <w:vAlign w:val="bottom"/>
            <w:hideMark/>
          </w:tcPr>
          <w:p w14:paraId="1F3CD15F"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244F0C87" w14:textId="77777777" w:rsidTr="00E04BB5">
        <w:trPr>
          <w:trHeight w:val="300"/>
        </w:trPr>
        <w:tc>
          <w:tcPr>
            <w:tcW w:w="306" w:type="dxa"/>
            <w:tcBorders>
              <w:top w:val="nil"/>
              <w:left w:val="nil"/>
              <w:bottom w:val="nil"/>
              <w:right w:val="nil"/>
            </w:tcBorders>
            <w:shd w:val="clear" w:color="auto" w:fill="auto"/>
            <w:noWrap/>
            <w:vAlign w:val="bottom"/>
            <w:hideMark/>
          </w:tcPr>
          <w:p w14:paraId="51966FA8"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nil"/>
              <w:right w:val="nil"/>
            </w:tcBorders>
            <w:shd w:val="clear" w:color="auto" w:fill="auto"/>
            <w:noWrap/>
            <w:vAlign w:val="bottom"/>
            <w:hideMark/>
          </w:tcPr>
          <w:p w14:paraId="13465E5E"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r w:rsidRPr="002B1625">
              <w:rPr>
                <w:rFonts w:ascii="Calibri" w:eastAsia="Times New Roman" w:hAnsi="Calibri" w:cs="Times New Roman"/>
                <w:i/>
                <w:iCs/>
                <w:color w:val="000000"/>
                <w:sz w:val="20"/>
                <w:szCs w:val="20"/>
                <w:lang w:val="en-GB"/>
              </w:rPr>
              <w:t>time dummies</w:t>
            </w:r>
          </w:p>
        </w:tc>
        <w:tc>
          <w:tcPr>
            <w:tcW w:w="186" w:type="dxa"/>
            <w:tcBorders>
              <w:top w:val="nil"/>
              <w:left w:val="nil"/>
              <w:bottom w:val="nil"/>
              <w:right w:val="nil"/>
            </w:tcBorders>
            <w:shd w:val="clear" w:color="auto" w:fill="auto"/>
            <w:noWrap/>
            <w:vAlign w:val="bottom"/>
            <w:hideMark/>
          </w:tcPr>
          <w:p w14:paraId="0D9F09ED"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nil"/>
              <w:right w:val="nil"/>
            </w:tcBorders>
            <w:shd w:val="clear" w:color="auto" w:fill="auto"/>
            <w:noWrap/>
            <w:vAlign w:val="bottom"/>
          </w:tcPr>
          <w:p w14:paraId="294C916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[incl.]</w:t>
            </w:r>
          </w:p>
        </w:tc>
        <w:tc>
          <w:tcPr>
            <w:tcW w:w="175" w:type="dxa"/>
            <w:tcBorders>
              <w:top w:val="nil"/>
              <w:left w:val="nil"/>
              <w:bottom w:val="nil"/>
              <w:right w:val="nil"/>
            </w:tcBorders>
            <w:shd w:val="clear" w:color="auto" w:fill="auto"/>
            <w:noWrap/>
            <w:vAlign w:val="bottom"/>
          </w:tcPr>
          <w:p w14:paraId="7973011E"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nil"/>
              <w:right w:val="nil"/>
            </w:tcBorders>
            <w:shd w:val="clear" w:color="auto" w:fill="auto"/>
            <w:noWrap/>
            <w:vAlign w:val="bottom"/>
          </w:tcPr>
          <w:p w14:paraId="4BFEE0E5"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650" w:type="dxa"/>
            <w:tcBorders>
              <w:top w:val="nil"/>
              <w:left w:val="nil"/>
              <w:bottom w:val="nil"/>
              <w:right w:val="nil"/>
            </w:tcBorders>
            <w:shd w:val="clear" w:color="auto" w:fill="auto"/>
            <w:noWrap/>
            <w:vAlign w:val="bottom"/>
          </w:tcPr>
          <w:p w14:paraId="0C069AEB"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7471E82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[incl.]</w:t>
            </w:r>
          </w:p>
        </w:tc>
        <w:tc>
          <w:tcPr>
            <w:tcW w:w="186" w:type="dxa"/>
            <w:tcBorders>
              <w:top w:val="nil"/>
              <w:left w:val="nil"/>
              <w:bottom w:val="nil"/>
              <w:right w:val="nil"/>
            </w:tcBorders>
            <w:shd w:val="clear" w:color="auto" w:fill="auto"/>
            <w:noWrap/>
            <w:vAlign w:val="bottom"/>
          </w:tcPr>
          <w:p w14:paraId="50E44EF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29" w:type="dxa"/>
            <w:tcBorders>
              <w:top w:val="nil"/>
              <w:left w:val="nil"/>
              <w:bottom w:val="nil"/>
              <w:right w:val="nil"/>
            </w:tcBorders>
            <w:shd w:val="clear" w:color="auto" w:fill="auto"/>
            <w:noWrap/>
            <w:vAlign w:val="bottom"/>
          </w:tcPr>
          <w:p w14:paraId="61B69DD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86" w:type="dxa"/>
            <w:tcBorders>
              <w:top w:val="nil"/>
              <w:left w:val="nil"/>
              <w:bottom w:val="nil"/>
              <w:right w:val="nil"/>
            </w:tcBorders>
            <w:shd w:val="clear" w:color="auto" w:fill="auto"/>
            <w:noWrap/>
            <w:vAlign w:val="bottom"/>
          </w:tcPr>
          <w:p w14:paraId="35D14254"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0" w:type="dxa"/>
            <w:tcBorders>
              <w:top w:val="nil"/>
              <w:left w:val="nil"/>
              <w:bottom w:val="nil"/>
              <w:right w:val="nil"/>
            </w:tcBorders>
            <w:shd w:val="clear" w:color="auto" w:fill="auto"/>
            <w:noWrap/>
            <w:vAlign w:val="bottom"/>
          </w:tcPr>
          <w:p w14:paraId="37EA5D78"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r w:rsidRPr="002B1625">
              <w:rPr>
                <w:rFonts w:ascii="Calibri" w:eastAsia="Times New Roman" w:hAnsi="Calibri" w:cs="Times New Roman"/>
                <w:color w:val="000000"/>
                <w:sz w:val="20"/>
                <w:szCs w:val="20"/>
                <w:lang w:val="en-GB"/>
              </w:rPr>
              <w:t>[incl.]</w:t>
            </w:r>
          </w:p>
        </w:tc>
        <w:tc>
          <w:tcPr>
            <w:tcW w:w="186" w:type="dxa"/>
            <w:tcBorders>
              <w:top w:val="nil"/>
              <w:left w:val="nil"/>
              <w:bottom w:val="nil"/>
              <w:right w:val="nil"/>
            </w:tcBorders>
            <w:shd w:val="clear" w:color="auto" w:fill="auto"/>
            <w:noWrap/>
            <w:vAlign w:val="bottom"/>
          </w:tcPr>
          <w:p w14:paraId="35108CFA"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951" w:type="dxa"/>
            <w:tcBorders>
              <w:top w:val="nil"/>
              <w:left w:val="nil"/>
              <w:bottom w:val="nil"/>
              <w:right w:val="nil"/>
            </w:tcBorders>
            <w:shd w:val="clear" w:color="auto" w:fill="auto"/>
            <w:noWrap/>
            <w:vAlign w:val="bottom"/>
          </w:tcPr>
          <w:p w14:paraId="56FD1821"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428" w:type="dxa"/>
            <w:tcBorders>
              <w:top w:val="nil"/>
              <w:left w:val="nil"/>
              <w:bottom w:val="nil"/>
              <w:right w:val="nil"/>
            </w:tcBorders>
            <w:shd w:val="clear" w:color="auto" w:fill="auto"/>
            <w:noWrap/>
            <w:vAlign w:val="bottom"/>
            <w:hideMark/>
          </w:tcPr>
          <w:p w14:paraId="46938480"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r w:rsidR="00E04BB5" w:rsidRPr="002B1625" w14:paraId="7D44B2C5" w14:textId="77777777" w:rsidTr="00E04BB5">
        <w:trPr>
          <w:trHeight w:val="300"/>
        </w:trPr>
        <w:tc>
          <w:tcPr>
            <w:tcW w:w="306" w:type="dxa"/>
            <w:tcBorders>
              <w:top w:val="nil"/>
              <w:left w:val="nil"/>
              <w:bottom w:val="single" w:sz="4" w:space="0" w:color="auto"/>
              <w:right w:val="nil"/>
            </w:tcBorders>
            <w:shd w:val="clear" w:color="auto" w:fill="auto"/>
            <w:noWrap/>
            <w:vAlign w:val="bottom"/>
            <w:hideMark/>
          </w:tcPr>
          <w:p w14:paraId="07A04B59"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105" w:type="dxa"/>
            <w:tcBorders>
              <w:top w:val="nil"/>
              <w:left w:val="nil"/>
              <w:bottom w:val="single" w:sz="4" w:space="0" w:color="auto"/>
              <w:right w:val="nil"/>
            </w:tcBorders>
            <w:shd w:val="clear" w:color="auto" w:fill="auto"/>
            <w:noWrap/>
            <w:vAlign w:val="bottom"/>
            <w:hideMark/>
          </w:tcPr>
          <w:p w14:paraId="2B774091" w14:textId="77777777" w:rsidR="00E04BB5" w:rsidRPr="002B1625" w:rsidRDefault="00E04BB5" w:rsidP="00E04BB5">
            <w:pPr>
              <w:spacing w:after="0" w:line="240" w:lineRule="auto"/>
              <w:rPr>
                <w:rFonts w:ascii="Calibri" w:eastAsia="Times New Roman" w:hAnsi="Calibri" w:cs="Times New Roman"/>
                <w:i/>
                <w:iCs/>
                <w:color w:val="000000"/>
                <w:sz w:val="20"/>
                <w:szCs w:val="20"/>
                <w:lang w:val="en-GB"/>
              </w:rPr>
            </w:pPr>
          </w:p>
        </w:tc>
        <w:tc>
          <w:tcPr>
            <w:tcW w:w="186" w:type="dxa"/>
            <w:tcBorders>
              <w:top w:val="nil"/>
              <w:left w:val="nil"/>
              <w:bottom w:val="single" w:sz="4" w:space="0" w:color="auto"/>
              <w:right w:val="nil"/>
            </w:tcBorders>
            <w:shd w:val="clear" w:color="auto" w:fill="auto"/>
            <w:noWrap/>
            <w:vAlign w:val="bottom"/>
            <w:hideMark/>
          </w:tcPr>
          <w:p w14:paraId="18F4CD1A"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1495" w:type="dxa"/>
            <w:tcBorders>
              <w:top w:val="nil"/>
              <w:left w:val="nil"/>
              <w:bottom w:val="single" w:sz="4" w:space="0" w:color="auto"/>
              <w:right w:val="nil"/>
            </w:tcBorders>
            <w:shd w:val="clear" w:color="auto" w:fill="auto"/>
            <w:noWrap/>
            <w:vAlign w:val="bottom"/>
            <w:hideMark/>
          </w:tcPr>
          <w:p w14:paraId="026D0A6F"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75" w:type="dxa"/>
            <w:tcBorders>
              <w:top w:val="nil"/>
              <w:left w:val="nil"/>
              <w:bottom w:val="single" w:sz="4" w:space="0" w:color="auto"/>
              <w:right w:val="nil"/>
            </w:tcBorders>
            <w:shd w:val="clear" w:color="auto" w:fill="auto"/>
            <w:noWrap/>
            <w:vAlign w:val="bottom"/>
            <w:hideMark/>
          </w:tcPr>
          <w:p w14:paraId="2C35E957"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1258" w:type="dxa"/>
            <w:tcBorders>
              <w:top w:val="nil"/>
              <w:left w:val="nil"/>
              <w:bottom w:val="single" w:sz="4" w:space="0" w:color="auto"/>
              <w:right w:val="nil"/>
            </w:tcBorders>
            <w:shd w:val="clear" w:color="auto" w:fill="auto"/>
            <w:noWrap/>
            <w:vAlign w:val="bottom"/>
            <w:hideMark/>
          </w:tcPr>
          <w:p w14:paraId="2B457E1C" w14:textId="77777777" w:rsidR="00E04BB5" w:rsidRPr="002B1625" w:rsidRDefault="00E04BB5" w:rsidP="00E04BB5">
            <w:pPr>
              <w:spacing w:after="0" w:line="240" w:lineRule="auto"/>
              <w:jc w:val="right"/>
              <w:rPr>
                <w:rFonts w:ascii="Calibri" w:eastAsia="Times New Roman" w:hAnsi="Calibri" w:cs="Times New Roman"/>
                <w:color w:val="000000"/>
                <w:sz w:val="20"/>
                <w:szCs w:val="20"/>
                <w:lang w:val="en-GB"/>
              </w:rPr>
            </w:pPr>
          </w:p>
        </w:tc>
        <w:tc>
          <w:tcPr>
            <w:tcW w:w="650" w:type="dxa"/>
            <w:tcBorders>
              <w:top w:val="nil"/>
              <w:left w:val="nil"/>
              <w:bottom w:val="single" w:sz="4" w:space="0" w:color="auto"/>
              <w:right w:val="nil"/>
            </w:tcBorders>
            <w:shd w:val="clear" w:color="auto" w:fill="auto"/>
            <w:noWrap/>
            <w:vAlign w:val="bottom"/>
            <w:hideMark/>
          </w:tcPr>
          <w:p w14:paraId="2403B7F0"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950" w:type="dxa"/>
            <w:tcBorders>
              <w:top w:val="nil"/>
              <w:left w:val="nil"/>
              <w:bottom w:val="single" w:sz="4" w:space="0" w:color="auto"/>
              <w:right w:val="nil"/>
            </w:tcBorders>
            <w:shd w:val="clear" w:color="auto" w:fill="auto"/>
            <w:noWrap/>
            <w:vAlign w:val="bottom"/>
            <w:hideMark/>
          </w:tcPr>
          <w:p w14:paraId="3DB43BC4"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p>
        </w:tc>
        <w:tc>
          <w:tcPr>
            <w:tcW w:w="186" w:type="dxa"/>
            <w:tcBorders>
              <w:top w:val="nil"/>
              <w:left w:val="nil"/>
              <w:bottom w:val="single" w:sz="4" w:space="0" w:color="auto"/>
              <w:right w:val="nil"/>
            </w:tcBorders>
            <w:shd w:val="clear" w:color="auto" w:fill="auto"/>
            <w:noWrap/>
            <w:vAlign w:val="bottom"/>
            <w:hideMark/>
          </w:tcPr>
          <w:p w14:paraId="4665B647"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c>
          <w:tcPr>
            <w:tcW w:w="929" w:type="dxa"/>
            <w:tcBorders>
              <w:top w:val="nil"/>
              <w:left w:val="nil"/>
              <w:bottom w:val="single" w:sz="4" w:space="0" w:color="auto"/>
              <w:right w:val="nil"/>
            </w:tcBorders>
            <w:shd w:val="clear" w:color="auto" w:fill="auto"/>
            <w:noWrap/>
            <w:vAlign w:val="bottom"/>
            <w:hideMark/>
          </w:tcPr>
          <w:p w14:paraId="470EA719"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p>
        </w:tc>
        <w:tc>
          <w:tcPr>
            <w:tcW w:w="186" w:type="dxa"/>
            <w:tcBorders>
              <w:top w:val="nil"/>
              <w:left w:val="nil"/>
              <w:bottom w:val="single" w:sz="4" w:space="0" w:color="auto"/>
              <w:right w:val="nil"/>
            </w:tcBorders>
            <w:shd w:val="clear" w:color="auto" w:fill="auto"/>
            <w:noWrap/>
            <w:vAlign w:val="bottom"/>
            <w:hideMark/>
          </w:tcPr>
          <w:p w14:paraId="182D33BD"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p>
        </w:tc>
        <w:tc>
          <w:tcPr>
            <w:tcW w:w="950" w:type="dxa"/>
            <w:tcBorders>
              <w:top w:val="nil"/>
              <w:left w:val="nil"/>
              <w:bottom w:val="single" w:sz="4" w:space="0" w:color="auto"/>
              <w:right w:val="nil"/>
            </w:tcBorders>
            <w:shd w:val="clear" w:color="auto" w:fill="auto"/>
            <w:noWrap/>
            <w:vAlign w:val="bottom"/>
            <w:hideMark/>
          </w:tcPr>
          <w:p w14:paraId="1926A258"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p>
        </w:tc>
        <w:tc>
          <w:tcPr>
            <w:tcW w:w="186" w:type="dxa"/>
            <w:tcBorders>
              <w:top w:val="nil"/>
              <w:left w:val="nil"/>
              <w:bottom w:val="single" w:sz="4" w:space="0" w:color="auto"/>
              <w:right w:val="nil"/>
            </w:tcBorders>
            <w:shd w:val="clear" w:color="auto" w:fill="auto"/>
            <w:noWrap/>
            <w:vAlign w:val="bottom"/>
            <w:hideMark/>
          </w:tcPr>
          <w:p w14:paraId="7A2EC4C9"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p>
        </w:tc>
        <w:tc>
          <w:tcPr>
            <w:tcW w:w="951" w:type="dxa"/>
            <w:tcBorders>
              <w:top w:val="nil"/>
              <w:left w:val="nil"/>
              <w:bottom w:val="single" w:sz="4" w:space="0" w:color="auto"/>
              <w:right w:val="nil"/>
            </w:tcBorders>
            <w:shd w:val="clear" w:color="auto" w:fill="auto"/>
            <w:noWrap/>
            <w:vAlign w:val="bottom"/>
            <w:hideMark/>
          </w:tcPr>
          <w:p w14:paraId="6F404369" w14:textId="77777777" w:rsidR="00E04BB5" w:rsidRPr="002B1625" w:rsidRDefault="00E04BB5" w:rsidP="00E04BB5">
            <w:pPr>
              <w:spacing w:after="0" w:line="240" w:lineRule="auto"/>
              <w:jc w:val="center"/>
              <w:rPr>
                <w:rFonts w:ascii="Calibri" w:eastAsia="Times New Roman" w:hAnsi="Calibri" w:cs="Times New Roman"/>
                <w:color w:val="000000"/>
                <w:sz w:val="20"/>
                <w:szCs w:val="20"/>
                <w:lang w:val="en-GB"/>
              </w:rPr>
            </w:pPr>
          </w:p>
        </w:tc>
        <w:tc>
          <w:tcPr>
            <w:tcW w:w="428" w:type="dxa"/>
            <w:tcBorders>
              <w:top w:val="nil"/>
              <w:left w:val="nil"/>
              <w:bottom w:val="single" w:sz="4" w:space="0" w:color="auto"/>
              <w:right w:val="nil"/>
            </w:tcBorders>
            <w:shd w:val="clear" w:color="auto" w:fill="auto"/>
            <w:noWrap/>
            <w:vAlign w:val="bottom"/>
            <w:hideMark/>
          </w:tcPr>
          <w:p w14:paraId="0F66FEAC" w14:textId="77777777" w:rsidR="00E04BB5" w:rsidRPr="002B1625" w:rsidRDefault="00E04BB5" w:rsidP="00E04BB5">
            <w:pPr>
              <w:spacing w:after="0" w:line="240" w:lineRule="auto"/>
              <w:rPr>
                <w:rFonts w:ascii="Calibri" w:eastAsia="Times New Roman" w:hAnsi="Calibri" w:cs="Times New Roman"/>
                <w:color w:val="000000"/>
                <w:sz w:val="20"/>
                <w:szCs w:val="20"/>
                <w:lang w:val="en-GB"/>
              </w:rPr>
            </w:pPr>
          </w:p>
        </w:tc>
      </w:tr>
    </w:tbl>
    <w:p w14:paraId="4F8B28CD" w14:textId="77777777" w:rsidR="00E04BB5" w:rsidRPr="002B1625" w:rsidRDefault="00E04BB5" w:rsidP="00E04BB5">
      <w:pPr>
        <w:rPr>
          <w:b/>
          <w:lang w:val="en-GB"/>
        </w:rPr>
        <w:sectPr w:rsidR="00E04BB5" w:rsidRPr="002B1625" w:rsidSect="00E04BB5">
          <w:footerReference w:type="default" r:id="rId16"/>
          <w:pgSz w:w="11906" w:h="16838"/>
          <w:pgMar w:top="1417" w:right="1134" w:bottom="1134" w:left="1134" w:header="709" w:footer="709" w:gutter="0"/>
          <w:cols w:space="708"/>
          <w:docGrid w:linePitch="360"/>
        </w:sectPr>
      </w:pPr>
    </w:p>
    <w:p w14:paraId="28A9166B" w14:textId="2DFEBA0D" w:rsidR="00E04BB5" w:rsidRPr="002B1625" w:rsidRDefault="00E04BB5" w:rsidP="00E04BB5">
      <w:pPr>
        <w:rPr>
          <w:b/>
          <w:lang w:val="en-GB"/>
        </w:rPr>
      </w:pPr>
      <w:r w:rsidRPr="002B1625">
        <w:rPr>
          <w:b/>
          <w:lang w:val="en-GB"/>
        </w:rPr>
        <w:lastRenderedPageBreak/>
        <w:t xml:space="preserve">TABLE 2. Unconditional </w:t>
      </w:r>
      <w:r w:rsidR="00876D53">
        <w:rPr>
          <w:b/>
          <w:lang w:val="en-GB"/>
        </w:rPr>
        <w:t>percentile</w:t>
      </w:r>
      <w:r w:rsidRPr="002B1625">
        <w:rPr>
          <w:b/>
          <w:lang w:val="en-GB"/>
        </w:rPr>
        <w:t xml:space="preserve"> RIF-regression results, 2000-2019</w:t>
      </w:r>
    </w:p>
    <w:p w14:paraId="79CDC775" w14:textId="77777777" w:rsidR="00E04BB5" w:rsidRPr="002B1625" w:rsidRDefault="00E04BB5" w:rsidP="00E04BB5">
      <w:pPr>
        <w:rPr>
          <w:b/>
          <w:lang w:val="en-GB"/>
        </w:rPr>
      </w:pPr>
    </w:p>
    <w:tbl>
      <w:tblPr>
        <w:tblW w:w="13725" w:type="dxa"/>
        <w:tblInd w:w="57" w:type="dxa"/>
        <w:tblLayout w:type="fixed"/>
        <w:tblCellMar>
          <w:left w:w="70" w:type="dxa"/>
          <w:right w:w="70" w:type="dxa"/>
        </w:tblCellMar>
        <w:tblLook w:val="04A0" w:firstRow="1" w:lastRow="0" w:firstColumn="1" w:lastColumn="0" w:noHBand="0" w:noVBand="1"/>
      </w:tblPr>
      <w:tblGrid>
        <w:gridCol w:w="1431"/>
        <w:gridCol w:w="283"/>
        <w:gridCol w:w="1475"/>
        <w:gridCol w:w="1233"/>
        <w:gridCol w:w="705"/>
        <w:gridCol w:w="1098"/>
        <w:gridCol w:w="1272"/>
        <w:gridCol w:w="497"/>
        <w:gridCol w:w="1345"/>
        <w:gridCol w:w="1272"/>
        <w:gridCol w:w="497"/>
        <w:gridCol w:w="1345"/>
        <w:gridCol w:w="1272"/>
      </w:tblGrid>
      <w:tr w:rsidR="00E04BB5" w:rsidRPr="002B1625" w14:paraId="14D82E7E" w14:textId="77777777" w:rsidTr="00E04BB5">
        <w:trPr>
          <w:trHeight w:val="302"/>
        </w:trPr>
        <w:tc>
          <w:tcPr>
            <w:tcW w:w="1431" w:type="dxa"/>
            <w:tcBorders>
              <w:top w:val="single" w:sz="4" w:space="0" w:color="auto"/>
              <w:left w:val="nil"/>
              <w:bottom w:val="nil"/>
              <w:right w:val="nil"/>
            </w:tcBorders>
            <w:shd w:val="clear" w:color="auto" w:fill="auto"/>
            <w:noWrap/>
            <w:vAlign w:val="bottom"/>
            <w:hideMark/>
          </w:tcPr>
          <w:p w14:paraId="6669C35F"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283" w:type="dxa"/>
            <w:tcBorders>
              <w:top w:val="single" w:sz="4" w:space="0" w:color="auto"/>
              <w:left w:val="nil"/>
              <w:bottom w:val="nil"/>
              <w:right w:val="nil"/>
            </w:tcBorders>
            <w:shd w:val="clear" w:color="auto" w:fill="auto"/>
            <w:noWrap/>
            <w:vAlign w:val="bottom"/>
            <w:hideMark/>
          </w:tcPr>
          <w:p w14:paraId="0278F4B3"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2708" w:type="dxa"/>
            <w:gridSpan w:val="2"/>
            <w:tcBorders>
              <w:top w:val="single" w:sz="4" w:space="0" w:color="auto"/>
              <w:left w:val="nil"/>
              <w:bottom w:val="single" w:sz="4" w:space="0" w:color="auto"/>
              <w:right w:val="nil"/>
            </w:tcBorders>
            <w:shd w:val="clear" w:color="auto" w:fill="auto"/>
            <w:noWrap/>
            <w:vAlign w:val="bottom"/>
            <w:hideMark/>
          </w:tcPr>
          <w:p w14:paraId="75501AB1" w14:textId="3B93C132"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25th </w:t>
            </w:r>
            <w:r w:rsidR="004272AE" w:rsidRPr="002B1625">
              <w:rPr>
                <w:rFonts w:ascii="Calibri" w:eastAsia="Times New Roman" w:hAnsi="Calibri" w:cs="Times New Roman"/>
                <w:color w:val="000000"/>
                <w:lang w:val="en-GB"/>
              </w:rPr>
              <w:t>percentile</w:t>
            </w:r>
          </w:p>
        </w:tc>
        <w:tc>
          <w:tcPr>
            <w:tcW w:w="705" w:type="dxa"/>
            <w:tcBorders>
              <w:top w:val="single" w:sz="4" w:space="0" w:color="auto"/>
              <w:left w:val="nil"/>
              <w:bottom w:val="nil"/>
              <w:right w:val="nil"/>
            </w:tcBorders>
            <w:shd w:val="clear" w:color="auto" w:fill="auto"/>
            <w:noWrap/>
            <w:vAlign w:val="bottom"/>
            <w:hideMark/>
          </w:tcPr>
          <w:p w14:paraId="1D1CE3D4"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2370" w:type="dxa"/>
            <w:gridSpan w:val="2"/>
            <w:tcBorders>
              <w:top w:val="single" w:sz="4" w:space="0" w:color="auto"/>
              <w:left w:val="nil"/>
              <w:bottom w:val="single" w:sz="4" w:space="0" w:color="auto"/>
              <w:right w:val="nil"/>
            </w:tcBorders>
            <w:shd w:val="clear" w:color="auto" w:fill="auto"/>
            <w:noWrap/>
            <w:vAlign w:val="bottom"/>
            <w:hideMark/>
          </w:tcPr>
          <w:p w14:paraId="785CF93B" w14:textId="2E676F03" w:rsidR="00E04BB5" w:rsidRPr="002B1625" w:rsidRDefault="00E04BB5" w:rsidP="004272AE">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50th </w:t>
            </w:r>
            <w:r w:rsidR="004272AE" w:rsidRPr="002B1625">
              <w:rPr>
                <w:rFonts w:ascii="Calibri" w:eastAsia="Times New Roman" w:hAnsi="Calibri" w:cs="Times New Roman"/>
                <w:color w:val="000000"/>
                <w:lang w:val="en-GB"/>
              </w:rPr>
              <w:t>percentile</w:t>
            </w:r>
          </w:p>
        </w:tc>
        <w:tc>
          <w:tcPr>
            <w:tcW w:w="497" w:type="dxa"/>
            <w:tcBorders>
              <w:top w:val="single" w:sz="4" w:space="0" w:color="auto"/>
              <w:left w:val="nil"/>
              <w:bottom w:val="nil"/>
              <w:right w:val="nil"/>
            </w:tcBorders>
            <w:shd w:val="clear" w:color="auto" w:fill="auto"/>
            <w:noWrap/>
            <w:vAlign w:val="bottom"/>
            <w:hideMark/>
          </w:tcPr>
          <w:p w14:paraId="21D235A3"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2617" w:type="dxa"/>
            <w:gridSpan w:val="2"/>
            <w:tcBorders>
              <w:top w:val="single" w:sz="4" w:space="0" w:color="auto"/>
              <w:left w:val="nil"/>
              <w:bottom w:val="single" w:sz="4" w:space="0" w:color="auto"/>
              <w:right w:val="nil"/>
            </w:tcBorders>
            <w:shd w:val="clear" w:color="auto" w:fill="auto"/>
            <w:noWrap/>
            <w:vAlign w:val="bottom"/>
            <w:hideMark/>
          </w:tcPr>
          <w:p w14:paraId="18606298" w14:textId="511A8361" w:rsidR="00E04BB5" w:rsidRPr="002B1625" w:rsidRDefault="00E04BB5" w:rsidP="004272AE">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75th </w:t>
            </w:r>
            <w:r w:rsidR="004272AE" w:rsidRPr="002B1625">
              <w:rPr>
                <w:rFonts w:ascii="Calibri" w:eastAsia="Times New Roman" w:hAnsi="Calibri" w:cs="Times New Roman"/>
                <w:color w:val="000000"/>
                <w:lang w:val="en-GB"/>
              </w:rPr>
              <w:t>percentile</w:t>
            </w:r>
          </w:p>
        </w:tc>
        <w:tc>
          <w:tcPr>
            <w:tcW w:w="497" w:type="dxa"/>
            <w:tcBorders>
              <w:top w:val="single" w:sz="4" w:space="0" w:color="auto"/>
              <w:left w:val="nil"/>
              <w:bottom w:val="nil"/>
              <w:right w:val="nil"/>
            </w:tcBorders>
            <w:shd w:val="clear" w:color="auto" w:fill="auto"/>
            <w:noWrap/>
            <w:vAlign w:val="bottom"/>
            <w:hideMark/>
          </w:tcPr>
          <w:p w14:paraId="44B3136C"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2617" w:type="dxa"/>
            <w:gridSpan w:val="2"/>
            <w:tcBorders>
              <w:top w:val="single" w:sz="4" w:space="0" w:color="auto"/>
              <w:left w:val="nil"/>
              <w:bottom w:val="single" w:sz="4" w:space="0" w:color="auto"/>
              <w:right w:val="nil"/>
            </w:tcBorders>
            <w:shd w:val="clear" w:color="auto" w:fill="auto"/>
            <w:noWrap/>
            <w:vAlign w:val="bottom"/>
            <w:hideMark/>
          </w:tcPr>
          <w:p w14:paraId="24FCE489" w14:textId="012F1069" w:rsidR="00E04BB5" w:rsidRPr="002B1625" w:rsidRDefault="00E04BB5" w:rsidP="004272AE">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90th </w:t>
            </w:r>
            <w:r w:rsidR="004272AE" w:rsidRPr="002B1625">
              <w:rPr>
                <w:rFonts w:ascii="Calibri" w:eastAsia="Times New Roman" w:hAnsi="Calibri" w:cs="Times New Roman"/>
                <w:color w:val="000000"/>
                <w:lang w:val="en-GB"/>
              </w:rPr>
              <w:t>percentile</w:t>
            </w:r>
          </w:p>
        </w:tc>
      </w:tr>
      <w:tr w:rsidR="00E04BB5" w:rsidRPr="002B1625" w14:paraId="2DF39C5A" w14:textId="77777777" w:rsidTr="00E04BB5">
        <w:trPr>
          <w:trHeight w:val="604"/>
        </w:trPr>
        <w:tc>
          <w:tcPr>
            <w:tcW w:w="1431" w:type="dxa"/>
            <w:tcBorders>
              <w:top w:val="nil"/>
              <w:left w:val="nil"/>
              <w:bottom w:val="single" w:sz="4" w:space="0" w:color="auto"/>
              <w:right w:val="nil"/>
            </w:tcBorders>
            <w:shd w:val="clear" w:color="auto" w:fill="auto"/>
            <w:noWrap/>
            <w:vAlign w:val="bottom"/>
            <w:hideMark/>
          </w:tcPr>
          <w:p w14:paraId="447C5FA1"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283" w:type="dxa"/>
            <w:tcBorders>
              <w:top w:val="nil"/>
              <w:left w:val="nil"/>
              <w:bottom w:val="single" w:sz="4" w:space="0" w:color="auto"/>
              <w:right w:val="nil"/>
            </w:tcBorders>
            <w:shd w:val="clear" w:color="auto" w:fill="auto"/>
            <w:noWrap/>
            <w:vAlign w:val="bottom"/>
            <w:hideMark/>
          </w:tcPr>
          <w:p w14:paraId="726D84BE"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1475" w:type="dxa"/>
            <w:tcBorders>
              <w:top w:val="nil"/>
              <w:left w:val="nil"/>
              <w:bottom w:val="single" w:sz="4" w:space="0" w:color="auto"/>
              <w:right w:val="nil"/>
            </w:tcBorders>
            <w:shd w:val="clear" w:color="auto" w:fill="auto"/>
            <w:noWrap/>
            <w:vAlign w:val="bottom"/>
            <w:hideMark/>
          </w:tcPr>
          <w:p w14:paraId="6E8A6462" w14:textId="77777777" w:rsidR="00E04BB5" w:rsidRPr="002B1625" w:rsidRDefault="00E04BB5" w:rsidP="00E04BB5">
            <w:pPr>
              <w:spacing w:after="0" w:line="240" w:lineRule="auto"/>
              <w:jc w:val="center"/>
              <w:rPr>
                <w:rFonts w:ascii="Calibri" w:eastAsia="Times New Roman" w:hAnsi="Calibri" w:cs="Times New Roman"/>
                <w:color w:val="000000"/>
                <w:lang w:val="en-GB"/>
              </w:rPr>
            </w:pPr>
            <w:proofErr w:type="spellStart"/>
            <w:r w:rsidRPr="002B1625">
              <w:rPr>
                <w:rFonts w:ascii="Calibri" w:eastAsia="Times New Roman" w:hAnsi="Calibri" w:cs="Times New Roman"/>
                <w:color w:val="000000"/>
                <w:lang w:val="en-GB"/>
              </w:rPr>
              <w:t>Coef</w:t>
            </w:r>
            <w:proofErr w:type="spellEnd"/>
            <w:r w:rsidRPr="002B1625">
              <w:rPr>
                <w:rFonts w:ascii="Calibri" w:eastAsia="Times New Roman" w:hAnsi="Calibri" w:cs="Times New Roman"/>
                <w:color w:val="000000"/>
                <w:lang w:val="en-GB"/>
              </w:rPr>
              <w:t>.</w:t>
            </w:r>
          </w:p>
        </w:tc>
        <w:tc>
          <w:tcPr>
            <w:tcW w:w="1233" w:type="dxa"/>
            <w:tcBorders>
              <w:top w:val="nil"/>
              <w:left w:val="nil"/>
              <w:bottom w:val="single" w:sz="4" w:space="0" w:color="auto"/>
              <w:right w:val="nil"/>
            </w:tcBorders>
            <w:shd w:val="clear" w:color="auto" w:fill="auto"/>
            <w:vAlign w:val="bottom"/>
            <w:hideMark/>
          </w:tcPr>
          <w:p w14:paraId="4E39EB14"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Std. Err.</w:t>
            </w:r>
          </w:p>
        </w:tc>
        <w:tc>
          <w:tcPr>
            <w:tcW w:w="705" w:type="dxa"/>
            <w:tcBorders>
              <w:top w:val="nil"/>
              <w:left w:val="nil"/>
              <w:bottom w:val="single" w:sz="4" w:space="0" w:color="auto"/>
              <w:right w:val="nil"/>
            </w:tcBorders>
            <w:shd w:val="clear" w:color="auto" w:fill="auto"/>
            <w:noWrap/>
            <w:vAlign w:val="bottom"/>
            <w:hideMark/>
          </w:tcPr>
          <w:p w14:paraId="1EFC3243"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1098" w:type="dxa"/>
            <w:tcBorders>
              <w:top w:val="nil"/>
              <w:left w:val="nil"/>
              <w:bottom w:val="single" w:sz="4" w:space="0" w:color="auto"/>
              <w:right w:val="nil"/>
            </w:tcBorders>
            <w:shd w:val="clear" w:color="auto" w:fill="auto"/>
            <w:noWrap/>
            <w:vAlign w:val="bottom"/>
            <w:hideMark/>
          </w:tcPr>
          <w:p w14:paraId="4C20FF91" w14:textId="77777777" w:rsidR="00E04BB5" w:rsidRPr="002B1625" w:rsidRDefault="00E04BB5" w:rsidP="00E04BB5">
            <w:pPr>
              <w:spacing w:after="0" w:line="240" w:lineRule="auto"/>
              <w:rPr>
                <w:rFonts w:ascii="Calibri" w:eastAsia="Times New Roman" w:hAnsi="Calibri" w:cs="Times New Roman"/>
                <w:color w:val="000000"/>
                <w:lang w:val="en-GB"/>
              </w:rPr>
            </w:pPr>
            <w:proofErr w:type="spellStart"/>
            <w:r w:rsidRPr="002B1625">
              <w:rPr>
                <w:rFonts w:ascii="Calibri" w:eastAsia="Times New Roman" w:hAnsi="Calibri" w:cs="Times New Roman"/>
                <w:color w:val="000000"/>
                <w:lang w:val="en-GB"/>
              </w:rPr>
              <w:t>Coef</w:t>
            </w:r>
            <w:proofErr w:type="spellEnd"/>
            <w:r w:rsidRPr="002B1625">
              <w:rPr>
                <w:rFonts w:ascii="Calibri" w:eastAsia="Times New Roman" w:hAnsi="Calibri" w:cs="Times New Roman"/>
                <w:color w:val="000000"/>
                <w:lang w:val="en-GB"/>
              </w:rPr>
              <w:t>.</w:t>
            </w:r>
          </w:p>
        </w:tc>
        <w:tc>
          <w:tcPr>
            <w:tcW w:w="1272" w:type="dxa"/>
            <w:tcBorders>
              <w:top w:val="nil"/>
              <w:left w:val="nil"/>
              <w:bottom w:val="single" w:sz="4" w:space="0" w:color="auto"/>
              <w:right w:val="nil"/>
            </w:tcBorders>
            <w:shd w:val="clear" w:color="auto" w:fill="auto"/>
            <w:vAlign w:val="bottom"/>
            <w:hideMark/>
          </w:tcPr>
          <w:p w14:paraId="28F9459A"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Bootstrap Std. Err.</w:t>
            </w:r>
          </w:p>
        </w:tc>
        <w:tc>
          <w:tcPr>
            <w:tcW w:w="497" w:type="dxa"/>
            <w:tcBorders>
              <w:top w:val="nil"/>
              <w:left w:val="nil"/>
              <w:bottom w:val="single" w:sz="4" w:space="0" w:color="auto"/>
              <w:right w:val="nil"/>
            </w:tcBorders>
            <w:shd w:val="clear" w:color="auto" w:fill="auto"/>
            <w:noWrap/>
            <w:vAlign w:val="bottom"/>
            <w:hideMark/>
          </w:tcPr>
          <w:p w14:paraId="7DEFFC4F"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1345" w:type="dxa"/>
            <w:tcBorders>
              <w:top w:val="nil"/>
              <w:left w:val="nil"/>
              <w:bottom w:val="single" w:sz="4" w:space="0" w:color="auto"/>
              <w:right w:val="nil"/>
            </w:tcBorders>
            <w:shd w:val="clear" w:color="auto" w:fill="auto"/>
            <w:noWrap/>
            <w:vAlign w:val="bottom"/>
            <w:hideMark/>
          </w:tcPr>
          <w:p w14:paraId="7AAF5AF5" w14:textId="77777777" w:rsidR="00E04BB5" w:rsidRPr="002B1625" w:rsidRDefault="00E04BB5" w:rsidP="00E04BB5">
            <w:pPr>
              <w:spacing w:after="0" w:line="240" w:lineRule="auto"/>
              <w:rPr>
                <w:rFonts w:ascii="Calibri" w:eastAsia="Times New Roman" w:hAnsi="Calibri" w:cs="Times New Roman"/>
                <w:color w:val="000000"/>
                <w:lang w:val="en-GB"/>
              </w:rPr>
            </w:pPr>
            <w:proofErr w:type="spellStart"/>
            <w:r w:rsidRPr="002B1625">
              <w:rPr>
                <w:rFonts w:ascii="Calibri" w:eastAsia="Times New Roman" w:hAnsi="Calibri" w:cs="Times New Roman"/>
                <w:color w:val="000000"/>
                <w:lang w:val="en-GB"/>
              </w:rPr>
              <w:t>Coef</w:t>
            </w:r>
            <w:proofErr w:type="spellEnd"/>
            <w:r w:rsidRPr="002B1625">
              <w:rPr>
                <w:rFonts w:ascii="Calibri" w:eastAsia="Times New Roman" w:hAnsi="Calibri" w:cs="Times New Roman"/>
                <w:color w:val="000000"/>
                <w:lang w:val="en-GB"/>
              </w:rPr>
              <w:t>.</w:t>
            </w:r>
          </w:p>
        </w:tc>
        <w:tc>
          <w:tcPr>
            <w:tcW w:w="1272" w:type="dxa"/>
            <w:tcBorders>
              <w:top w:val="nil"/>
              <w:left w:val="nil"/>
              <w:bottom w:val="single" w:sz="4" w:space="0" w:color="auto"/>
              <w:right w:val="nil"/>
            </w:tcBorders>
            <w:shd w:val="clear" w:color="auto" w:fill="auto"/>
            <w:vAlign w:val="bottom"/>
            <w:hideMark/>
          </w:tcPr>
          <w:p w14:paraId="34415760"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Bootstrap Std. Err.</w:t>
            </w:r>
          </w:p>
        </w:tc>
        <w:tc>
          <w:tcPr>
            <w:tcW w:w="497" w:type="dxa"/>
            <w:tcBorders>
              <w:top w:val="nil"/>
              <w:left w:val="nil"/>
              <w:bottom w:val="single" w:sz="4" w:space="0" w:color="auto"/>
              <w:right w:val="nil"/>
            </w:tcBorders>
            <w:shd w:val="clear" w:color="auto" w:fill="auto"/>
            <w:noWrap/>
            <w:vAlign w:val="bottom"/>
            <w:hideMark/>
          </w:tcPr>
          <w:p w14:paraId="49C1C6C8"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1345" w:type="dxa"/>
            <w:tcBorders>
              <w:top w:val="nil"/>
              <w:left w:val="nil"/>
              <w:bottom w:val="single" w:sz="4" w:space="0" w:color="auto"/>
              <w:right w:val="nil"/>
            </w:tcBorders>
            <w:shd w:val="clear" w:color="auto" w:fill="auto"/>
            <w:noWrap/>
            <w:vAlign w:val="bottom"/>
            <w:hideMark/>
          </w:tcPr>
          <w:p w14:paraId="29F3B662" w14:textId="77777777" w:rsidR="00E04BB5" w:rsidRPr="002B1625" w:rsidRDefault="00E04BB5" w:rsidP="00E04BB5">
            <w:pPr>
              <w:spacing w:after="0" w:line="240" w:lineRule="auto"/>
              <w:jc w:val="center"/>
              <w:rPr>
                <w:rFonts w:ascii="Calibri" w:eastAsia="Times New Roman" w:hAnsi="Calibri" w:cs="Times New Roman"/>
                <w:color w:val="000000"/>
                <w:lang w:val="en-GB"/>
              </w:rPr>
            </w:pPr>
            <w:proofErr w:type="spellStart"/>
            <w:r w:rsidRPr="002B1625">
              <w:rPr>
                <w:rFonts w:ascii="Calibri" w:eastAsia="Times New Roman" w:hAnsi="Calibri" w:cs="Times New Roman"/>
                <w:color w:val="000000"/>
                <w:lang w:val="en-GB"/>
              </w:rPr>
              <w:t>Coef</w:t>
            </w:r>
            <w:proofErr w:type="spellEnd"/>
            <w:r w:rsidRPr="002B1625">
              <w:rPr>
                <w:rFonts w:ascii="Calibri" w:eastAsia="Times New Roman" w:hAnsi="Calibri" w:cs="Times New Roman"/>
                <w:color w:val="000000"/>
                <w:lang w:val="en-GB"/>
              </w:rPr>
              <w:t>.</w:t>
            </w:r>
          </w:p>
        </w:tc>
        <w:tc>
          <w:tcPr>
            <w:tcW w:w="1272" w:type="dxa"/>
            <w:tcBorders>
              <w:top w:val="nil"/>
              <w:left w:val="nil"/>
              <w:bottom w:val="single" w:sz="4" w:space="0" w:color="auto"/>
              <w:right w:val="nil"/>
            </w:tcBorders>
            <w:shd w:val="clear" w:color="auto" w:fill="auto"/>
            <w:vAlign w:val="bottom"/>
            <w:hideMark/>
          </w:tcPr>
          <w:p w14:paraId="05A88B45"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Bootstrap Std. Err.</w:t>
            </w:r>
          </w:p>
        </w:tc>
      </w:tr>
      <w:tr w:rsidR="00E04BB5" w:rsidRPr="002B1625" w14:paraId="3E47F6B2" w14:textId="77777777" w:rsidTr="00E04BB5">
        <w:trPr>
          <w:trHeight w:val="302"/>
        </w:trPr>
        <w:tc>
          <w:tcPr>
            <w:tcW w:w="1431" w:type="dxa"/>
            <w:tcBorders>
              <w:top w:val="nil"/>
              <w:left w:val="nil"/>
              <w:bottom w:val="nil"/>
              <w:right w:val="nil"/>
            </w:tcBorders>
            <w:shd w:val="clear" w:color="auto" w:fill="auto"/>
            <w:noWrap/>
            <w:vAlign w:val="bottom"/>
            <w:hideMark/>
          </w:tcPr>
          <w:p w14:paraId="75C1EAB4"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size</w:t>
            </w:r>
          </w:p>
        </w:tc>
        <w:tc>
          <w:tcPr>
            <w:tcW w:w="283" w:type="dxa"/>
            <w:tcBorders>
              <w:top w:val="nil"/>
              <w:left w:val="nil"/>
              <w:bottom w:val="nil"/>
              <w:right w:val="nil"/>
            </w:tcBorders>
            <w:shd w:val="clear" w:color="auto" w:fill="auto"/>
            <w:noWrap/>
            <w:vAlign w:val="bottom"/>
            <w:hideMark/>
          </w:tcPr>
          <w:p w14:paraId="2B55FC92"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1CC7263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c>
          <w:tcPr>
            <w:tcW w:w="1233" w:type="dxa"/>
            <w:tcBorders>
              <w:top w:val="nil"/>
              <w:left w:val="nil"/>
              <w:bottom w:val="nil"/>
              <w:right w:val="nil"/>
            </w:tcBorders>
            <w:shd w:val="clear" w:color="auto" w:fill="auto"/>
            <w:noWrap/>
            <w:vAlign w:val="bottom"/>
          </w:tcPr>
          <w:p w14:paraId="1F11AFC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c>
          <w:tcPr>
            <w:tcW w:w="705" w:type="dxa"/>
            <w:tcBorders>
              <w:top w:val="nil"/>
              <w:left w:val="nil"/>
              <w:bottom w:val="nil"/>
              <w:right w:val="nil"/>
            </w:tcBorders>
            <w:shd w:val="clear" w:color="auto" w:fill="auto"/>
            <w:noWrap/>
            <w:vAlign w:val="bottom"/>
          </w:tcPr>
          <w:p w14:paraId="0491F835"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6EEBCD9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c>
          <w:tcPr>
            <w:tcW w:w="1272" w:type="dxa"/>
            <w:tcBorders>
              <w:top w:val="nil"/>
              <w:left w:val="nil"/>
              <w:bottom w:val="nil"/>
              <w:right w:val="nil"/>
            </w:tcBorders>
            <w:shd w:val="clear" w:color="auto" w:fill="auto"/>
            <w:noWrap/>
            <w:vAlign w:val="bottom"/>
          </w:tcPr>
          <w:p w14:paraId="673AE68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c>
          <w:tcPr>
            <w:tcW w:w="497" w:type="dxa"/>
            <w:tcBorders>
              <w:top w:val="nil"/>
              <w:left w:val="nil"/>
              <w:bottom w:val="nil"/>
              <w:right w:val="nil"/>
            </w:tcBorders>
            <w:shd w:val="clear" w:color="auto" w:fill="auto"/>
            <w:noWrap/>
            <w:vAlign w:val="bottom"/>
          </w:tcPr>
          <w:p w14:paraId="59A9DC2C"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647060B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c>
          <w:tcPr>
            <w:tcW w:w="1272" w:type="dxa"/>
            <w:tcBorders>
              <w:top w:val="nil"/>
              <w:left w:val="nil"/>
              <w:bottom w:val="nil"/>
              <w:right w:val="nil"/>
            </w:tcBorders>
            <w:shd w:val="clear" w:color="auto" w:fill="auto"/>
            <w:noWrap/>
            <w:vAlign w:val="bottom"/>
          </w:tcPr>
          <w:p w14:paraId="463C5448"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c>
          <w:tcPr>
            <w:tcW w:w="497" w:type="dxa"/>
            <w:tcBorders>
              <w:top w:val="nil"/>
              <w:left w:val="nil"/>
              <w:bottom w:val="nil"/>
              <w:right w:val="nil"/>
            </w:tcBorders>
            <w:shd w:val="clear" w:color="auto" w:fill="auto"/>
            <w:noWrap/>
            <w:vAlign w:val="bottom"/>
          </w:tcPr>
          <w:p w14:paraId="137A2048"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4F3520A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c>
          <w:tcPr>
            <w:tcW w:w="1272" w:type="dxa"/>
            <w:tcBorders>
              <w:top w:val="nil"/>
              <w:left w:val="nil"/>
              <w:bottom w:val="nil"/>
              <w:right w:val="nil"/>
            </w:tcBorders>
            <w:shd w:val="clear" w:color="auto" w:fill="auto"/>
            <w:noWrap/>
            <w:vAlign w:val="bottom"/>
          </w:tcPr>
          <w:p w14:paraId="44319C5A"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r>
      <w:tr w:rsidR="00E04BB5" w:rsidRPr="002B1625" w14:paraId="4317AB7B" w14:textId="77777777" w:rsidTr="00E04BB5">
        <w:trPr>
          <w:trHeight w:val="302"/>
        </w:trPr>
        <w:tc>
          <w:tcPr>
            <w:tcW w:w="1431" w:type="dxa"/>
            <w:tcBorders>
              <w:top w:val="nil"/>
              <w:left w:val="nil"/>
              <w:bottom w:val="nil"/>
              <w:right w:val="nil"/>
            </w:tcBorders>
            <w:shd w:val="clear" w:color="auto" w:fill="auto"/>
            <w:noWrap/>
            <w:vAlign w:val="bottom"/>
            <w:hideMark/>
          </w:tcPr>
          <w:p w14:paraId="69CFE7DF"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canvas</w:t>
            </w:r>
          </w:p>
        </w:tc>
        <w:tc>
          <w:tcPr>
            <w:tcW w:w="283" w:type="dxa"/>
            <w:tcBorders>
              <w:top w:val="nil"/>
              <w:left w:val="nil"/>
              <w:bottom w:val="nil"/>
              <w:right w:val="nil"/>
            </w:tcBorders>
            <w:shd w:val="clear" w:color="auto" w:fill="auto"/>
            <w:noWrap/>
            <w:vAlign w:val="bottom"/>
            <w:hideMark/>
          </w:tcPr>
          <w:p w14:paraId="67FF54B7"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4961D03D"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.592***</w:t>
            </w:r>
          </w:p>
        </w:tc>
        <w:tc>
          <w:tcPr>
            <w:tcW w:w="1233" w:type="dxa"/>
            <w:tcBorders>
              <w:top w:val="nil"/>
              <w:left w:val="nil"/>
              <w:bottom w:val="nil"/>
              <w:right w:val="nil"/>
            </w:tcBorders>
            <w:shd w:val="clear" w:color="auto" w:fill="auto"/>
            <w:noWrap/>
            <w:vAlign w:val="bottom"/>
          </w:tcPr>
          <w:p w14:paraId="487E933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.169</w:t>
            </w:r>
          </w:p>
        </w:tc>
        <w:tc>
          <w:tcPr>
            <w:tcW w:w="705" w:type="dxa"/>
            <w:tcBorders>
              <w:top w:val="nil"/>
              <w:left w:val="nil"/>
              <w:bottom w:val="nil"/>
              <w:right w:val="nil"/>
            </w:tcBorders>
            <w:shd w:val="clear" w:color="auto" w:fill="auto"/>
            <w:noWrap/>
            <w:vAlign w:val="bottom"/>
          </w:tcPr>
          <w:p w14:paraId="3AE39E9F"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4948FF38"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.601***</w:t>
            </w:r>
          </w:p>
        </w:tc>
        <w:tc>
          <w:tcPr>
            <w:tcW w:w="1272" w:type="dxa"/>
            <w:tcBorders>
              <w:top w:val="nil"/>
              <w:left w:val="nil"/>
              <w:bottom w:val="nil"/>
              <w:right w:val="nil"/>
            </w:tcBorders>
            <w:shd w:val="clear" w:color="auto" w:fill="auto"/>
            <w:noWrap/>
            <w:vAlign w:val="bottom"/>
          </w:tcPr>
          <w:p w14:paraId="1073EFC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.143</w:t>
            </w:r>
          </w:p>
        </w:tc>
        <w:tc>
          <w:tcPr>
            <w:tcW w:w="497" w:type="dxa"/>
            <w:tcBorders>
              <w:top w:val="nil"/>
              <w:left w:val="nil"/>
              <w:bottom w:val="nil"/>
              <w:right w:val="nil"/>
            </w:tcBorders>
            <w:shd w:val="clear" w:color="auto" w:fill="auto"/>
            <w:noWrap/>
            <w:vAlign w:val="bottom"/>
          </w:tcPr>
          <w:p w14:paraId="4AC32087"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3AC3B67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.429***</w:t>
            </w:r>
          </w:p>
        </w:tc>
        <w:tc>
          <w:tcPr>
            <w:tcW w:w="1272" w:type="dxa"/>
            <w:tcBorders>
              <w:top w:val="nil"/>
              <w:left w:val="nil"/>
              <w:bottom w:val="nil"/>
              <w:right w:val="nil"/>
            </w:tcBorders>
            <w:shd w:val="clear" w:color="auto" w:fill="auto"/>
            <w:noWrap/>
            <w:vAlign w:val="bottom"/>
          </w:tcPr>
          <w:p w14:paraId="013B7110"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.136</w:t>
            </w:r>
          </w:p>
        </w:tc>
        <w:tc>
          <w:tcPr>
            <w:tcW w:w="497" w:type="dxa"/>
            <w:tcBorders>
              <w:top w:val="nil"/>
              <w:left w:val="nil"/>
              <w:bottom w:val="nil"/>
              <w:right w:val="nil"/>
            </w:tcBorders>
            <w:shd w:val="clear" w:color="auto" w:fill="auto"/>
            <w:noWrap/>
            <w:vAlign w:val="bottom"/>
          </w:tcPr>
          <w:p w14:paraId="606D1C05"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54D8E84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.284*</w:t>
            </w:r>
          </w:p>
        </w:tc>
        <w:tc>
          <w:tcPr>
            <w:tcW w:w="1272" w:type="dxa"/>
            <w:tcBorders>
              <w:top w:val="nil"/>
              <w:left w:val="nil"/>
              <w:bottom w:val="nil"/>
              <w:right w:val="nil"/>
            </w:tcBorders>
            <w:shd w:val="clear" w:color="auto" w:fill="auto"/>
            <w:noWrap/>
            <w:vAlign w:val="bottom"/>
          </w:tcPr>
          <w:p w14:paraId="20539F6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.150</w:t>
            </w:r>
          </w:p>
        </w:tc>
      </w:tr>
      <w:tr w:rsidR="00E04BB5" w:rsidRPr="002B1625" w14:paraId="3CF181C2" w14:textId="77777777" w:rsidTr="00E04BB5">
        <w:trPr>
          <w:trHeight w:val="302"/>
        </w:trPr>
        <w:tc>
          <w:tcPr>
            <w:tcW w:w="1431" w:type="dxa"/>
            <w:tcBorders>
              <w:top w:val="nil"/>
              <w:left w:val="nil"/>
              <w:bottom w:val="nil"/>
              <w:right w:val="nil"/>
            </w:tcBorders>
            <w:shd w:val="clear" w:color="auto" w:fill="auto"/>
            <w:noWrap/>
            <w:vAlign w:val="bottom"/>
            <w:hideMark/>
          </w:tcPr>
          <w:p w14:paraId="7E1A5ED4"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mixed</w:t>
            </w:r>
          </w:p>
        </w:tc>
        <w:tc>
          <w:tcPr>
            <w:tcW w:w="283" w:type="dxa"/>
            <w:tcBorders>
              <w:top w:val="nil"/>
              <w:left w:val="nil"/>
              <w:bottom w:val="nil"/>
              <w:right w:val="nil"/>
            </w:tcBorders>
            <w:shd w:val="clear" w:color="auto" w:fill="auto"/>
            <w:noWrap/>
            <w:vAlign w:val="bottom"/>
            <w:hideMark/>
          </w:tcPr>
          <w:p w14:paraId="54B4E05A"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3A0FC7E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-1.470***</w:t>
            </w:r>
          </w:p>
        </w:tc>
        <w:tc>
          <w:tcPr>
            <w:tcW w:w="1233" w:type="dxa"/>
            <w:tcBorders>
              <w:top w:val="nil"/>
              <w:left w:val="nil"/>
              <w:bottom w:val="nil"/>
              <w:right w:val="nil"/>
            </w:tcBorders>
            <w:shd w:val="clear" w:color="auto" w:fill="auto"/>
            <w:noWrap/>
            <w:vAlign w:val="bottom"/>
          </w:tcPr>
          <w:p w14:paraId="0A75597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.265</w:t>
            </w:r>
          </w:p>
        </w:tc>
        <w:tc>
          <w:tcPr>
            <w:tcW w:w="705" w:type="dxa"/>
            <w:tcBorders>
              <w:top w:val="nil"/>
              <w:left w:val="nil"/>
              <w:bottom w:val="nil"/>
              <w:right w:val="nil"/>
            </w:tcBorders>
            <w:shd w:val="clear" w:color="auto" w:fill="auto"/>
            <w:noWrap/>
            <w:vAlign w:val="bottom"/>
          </w:tcPr>
          <w:p w14:paraId="52F4FA13"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1B2A835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-.730***</w:t>
            </w:r>
          </w:p>
        </w:tc>
        <w:tc>
          <w:tcPr>
            <w:tcW w:w="1272" w:type="dxa"/>
            <w:tcBorders>
              <w:top w:val="nil"/>
              <w:left w:val="nil"/>
              <w:bottom w:val="nil"/>
              <w:right w:val="nil"/>
            </w:tcBorders>
            <w:shd w:val="clear" w:color="auto" w:fill="auto"/>
            <w:noWrap/>
            <w:vAlign w:val="bottom"/>
          </w:tcPr>
          <w:p w14:paraId="48FCA127"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.236</w:t>
            </w:r>
          </w:p>
        </w:tc>
        <w:tc>
          <w:tcPr>
            <w:tcW w:w="497" w:type="dxa"/>
            <w:tcBorders>
              <w:top w:val="nil"/>
              <w:left w:val="nil"/>
              <w:bottom w:val="nil"/>
              <w:right w:val="nil"/>
            </w:tcBorders>
            <w:shd w:val="clear" w:color="auto" w:fill="auto"/>
            <w:noWrap/>
            <w:vAlign w:val="bottom"/>
          </w:tcPr>
          <w:p w14:paraId="1EBF3022"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27A64F7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-.440**</w:t>
            </w:r>
          </w:p>
        </w:tc>
        <w:tc>
          <w:tcPr>
            <w:tcW w:w="1272" w:type="dxa"/>
            <w:tcBorders>
              <w:top w:val="nil"/>
              <w:left w:val="nil"/>
              <w:bottom w:val="nil"/>
              <w:right w:val="nil"/>
            </w:tcBorders>
            <w:shd w:val="clear" w:color="auto" w:fill="auto"/>
            <w:noWrap/>
            <w:vAlign w:val="bottom"/>
          </w:tcPr>
          <w:p w14:paraId="324323C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.229</w:t>
            </w:r>
          </w:p>
        </w:tc>
        <w:tc>
          <w:tcPr>
            <w:tcW w:w="497" w:type="dxa"/>
            <w:tcBorders>
              <w:top w:val="nil"/>
              <w:left w:val="nil"/>
              <w:bottom w:val="nil"/>
              <w:right w:val="nil"/>
            </w:tcBorders>
            <w:shd w:val="clear" w:color="auto" w:fill="auto"/>
            <w:noWrap/>
            <w:vAlign w:val="bottom"/>
          </w:tcPr>
          <w:p w14:paraId="54C169AE"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1B001BD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-.577***</w:t>
            </w:r>
          </w:p>
        </w:tc>
        <w:tc>
          <w:tcPr>
            <w:tcW w:w="1272" w:type="dxa"/>
            <w:tcBorders>
              <w:top w:val="nil"/>
              <w:left w:val="nil"/>
              <w:bottom w:val="nil"/>
              <w:right w:val="nil"/>
            </w:tcBorders>
            <w:shd w:val="clear" w:color="auto" w:fill="auto"/>
            <w:noWrap/>
            <w:vAlign w:val="bottom"/>
          </w:tcPr>
          <w:p w14:paraId="6E39DD73"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.214</w:t>
            </w:r>
          </w:p>
        </w:tc>
      </w:tr>
      <w:tr w:rsidR="00E04BB5" w:rsidRPr="002B1625" w14:paraId="079E26C1" w14:textId="77777777" w:rsidTr="00E04BB5">
        <w:trPr>
          <w:trHeight w:val="302"/>
        </w:trPr>
        <w:tc>
          <w:tcPr>
            <w:tcW w:w="1431" w:type="dxa"/>
            <w:tcBorders>
              <w:top w:val="nil"/>
              <w:left w:val="nil"/>
              <w:bottom w:val="nil"/>
              <w:right w:val="nil"/>
            </w:tcBorders>
            <w:shd w:val="clear" w:color="auto" w:fill="auto"/>
            <w:noWrap/>
            <w:vAlign w:val="bottom"/>
            <w:hideMark/>
          </w:tcPr>
          <w:p w14:paraId="180BC86B"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NY</w:t>
            </w:r>
          </w:p>
        </w:tc>
        <w:tc>
          <w:tcPr>
            <w:tcW w:w="283" w:type="dxa"/>
            <w:tcBorders>
              <w:top w:val="nil"/>
              <w:left w:val="nil"/>
              <w:bottom w:val="nil"/>
              <w:right w:val="nil"/>
            </w:tcBorders>
            <w:shd w:val="clear" w:color="auto" w:fill="auto"/>
            <w:noWrap/>
            <w:vAlign w:val="bottom"/>
            <w:hideMark/>
          </w:tcPr>
          <w:p w14:paraId="17147BA7"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07D873CA"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.341***</w:t>
            </w:r>
          </w:p>
        </w:tc>
        <w:tc>
          <w:tcPr>
            <w:tcW w:w="1233" w:type="dxa"/>
            <w:tcBorders>
              <w:top w:val="nil"/>
              <w:left w:val="nil"/>
              <w:bottom w:val="nil"/>
              <w:right w:val="nil"/>
            </w:tcBorders>
            <w:shd w:val="clear" w:color="auto" w:fill="auto"/>
            <w:noWrap/>
            <w:vAlign w:val="bottom"/>
          </w:tcPr>
          <w:p w14:paraId="15DEAFC0"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.109</w:t>
            </w:r>
          </w:p>
        </w:tc>
        <w:tc>
          <w:tcPr>
            <w:tcW w:w="705" w:type="dxa"/>
            <w:tcBorders>
              <w:top w:val="nil"/>
              <w:left w:val="nil"/>
              <w:bottom w:val="nil"/>
              <w:right w:val="nil"/>
            </w:tcBorders>
            <w:shd w:val="clear" w:color="auto" w:fill="auto"/>
            <w:noWrap/>
            <w:vAlign w:val="bottom"/>
          </w:tcPr>
          <w:p w14:paraId="1B092867"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495FAE1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.333***</w:t>
            </w:r>
          </w:p>
        </w:tc>
        <w:tc>
          <w:tcPr>
            <w:tcW w:w="1272" w:type="dxa"/>
            <w:tcBorders>
              <w:top w:val="nil"/>
              <w:left w:val="nil"/>
              <w:bottom w:val="nil"/>
              <w:right w:val="nil"/>
            </w:tcBorders>
            <w:shd w:val="clear" w:color="auto" w:fill="auto"/>
            <w:noWrap/>
            <w:vAlign w:val="bottom"/>
          </w:tcPr>
          <w:p w14:paraId="76A77F4D"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.128</w:t>
            </w:r>
          </w:p>
        </w:tc>
        <w:tc>
          <w:tcPr>
            <w:tcW w:w="497" w:type="dxa"/>
            <w:tcBorders>
              <w:top w:val="nil"/>
              <w:left w:val="nil"/>
              <w:bottom w:val="nil"/>
              <w:right w:val="nil"/>
            </w:tcBorders>
            <w:shd w:val="clear" w:color="auto" w:fill="auto"/>
            <w:noWrap/>
            <w:vAlign w:val="bottom"/>
          </w:tcPr>
          <w:p w14:paraId="12CB94FA"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271EF2C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.242**</w:t>
            </w:r>
          </w:p>
        </w:tc>
        <w:tc>
          <w:tcPr>
            <w:tcW w:w="1272" w:type="dxa"/>
            <w:tcBorders>
              <w:top w:val="nil"/>
              <w:left w:val="nil"/>
              <w:bottom w:val="nil"/>
              <w:right w:val="nil"/>
            </w:tcBorders>
            <w:shd w:val="clear" w:color="auto" w:fill="auto"/>
            <w:noWrap/>
            <w:vAlign w:val="bottom"/>
          </w:tcPr>
          <w:p w14:paraId="6955238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.120</w:t>
            </w:r>
          </w:p>
        </w:tc>
        <w:tc>
          <w:tcPr>
            <w:tcW w:w="497" w:type="dxa"/>
            <w:tcBorders>
              <w:top w:val="nil"/>
              <w:left w:val="nil"/>
              <w:bottom w:val="nil"/>
              <w:right w:val="nil"/>
            </w:tcBorders>
            <w:shd w:val="clear" w:color="auto" w:fill="auto"/>
            <w:noWrap/>
            <w:vAlign w:val="bottom"/>
          </w:tcPr>
          <w:p w14:paraId="024093FD"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027A0F4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.256*</w:t>
            </w:r>
          </w:p>
        </w:tc>
        <w:tc>
          <w:tcPr>
            <w:tcW w:w="1272" w:type="dxa"/>
            <w:tcBorders>
              <w:top w:val="nil"/>
              <w:left w:val="nil"/>
              <w:bottom w:val="nil"/>
              <w:right w:val="nil"/>
            </w:tcBorders>
            <w:shd w:val="clear" w:color="auto" w:fill="auto"/>
            <w:noWrap/>
            <w:vAlign w:val="bottom"/>
          </w:tcPr>
          <w:p w14:paraId="1FA7E8E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.140</w:t>
            </w:r>
          </w:p>
        </w:tc>
      </w:tr>
      <w:tr w:rsidR="00E04BB5" w:rsidRPr="002B1625" w14:paraId="04300F49" w14:textId="77777777" w:rsidTr="00E04BB5">
        <w:trPr>
          <w:trHeight w:val="302"/>
        </w:trPr>
        <w:tc>
          <w:tcPr>
            <w:tcW w:w="1431" w:type="dxa"/>
            <w:tcBorders>
              <w:top w:val="nil"/>
              <w:left w:val="nil"/>
              <w:bottom w:val="nil"/>
              <w:right w:val="nil"/>
            </w:tcBorders>
            <w:shd w:val="clear" w:color="auto" w:fill="auto"/>
            <w:noWrap/>
            <w:vAlign w:val="bottom"/>
          </w:tcPr>
          <w:p w14:paraId="5941613A" w14:textId="77777777" w:rsidR="00E04BB5" w:rsidRPr="002B1625" w:rsidRDefault="00E04BB5" w:rsidP="00E04BB5">
            <w:pPr>
              <w:spacing w:after="0" w:line="240" w:lineRule="auto"/>
              <w:rPr>
                <w:rFonts w:ascii="Calibri" w:eastAsia="Times New Roman" w:hAnsi="Calibri" w:cs="Times New Roman"/>
                <w:i/>
                <w:iCs/>
                <w:color w:val="000000"/>
                <w:lang w:val="en-GB"/>
              </w:rPr>
            </w:pPr>
            <w:proofErr w:type="spellStart"/>
            <w:r w:rsidRPr="002B1625">
              <w:rPr>
                <w:rFonts w:ascii="Calibri" w:eastAsia="Times New Roman" w:hAnsi="Calibri" w:cs="Times New Roman"/>
                <w:i/>
                <w:iCs/>
                <w:color w:val="000000"/>
                <w:lang w:val="en-GB"/>
              </w:rPr>
              <w:t>soth</w:t>
            </w:r>
            <w:proofErr w:type="spellEnd"/>
          </w:p>
        </w:tc>
        <w:tc>
          <w:tcPr>
            <w:tcW w:w="283" w:type="dxa"/>
            <w:tcBorders>
              <w:top w:val="nil"/>
              <w:left w:val="nil"/>
              <w:bottom w:val="nil"/>
              <w:right w:val="nil"/>
            </w:tcBorders>
            <w:shd w:val="clear" w:color="auto" w:fill="auto"/>
            <w:noWrap/>
            <w:vAlign w:val="bottom"/>
          </w:tcPr>
          <w:p w14:paraId="3C3BC0DE"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5B62D37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.568***</w:t>
            </w:r>
          </w:p>
        </w:tc>
        <w:tc>
          <w:tcPr>
            <w:tcW w:w="1233" w:type="dxa"/>
            <w:tcBorders>
              <w:top w:val="nil"/>
              <w:left w:val="nil"/>
              <w:bottom w:val="nil"/>
              <w:right w:val="nil"/>
            </w:tcBorders>
            <w:shd w:val="clear" w:color="auto" w:fill="auto"/>
            <w:noWrap/>
            <w:vAlign w:val="bottom"/>
          </w:tcPr>
          <w:p w14:paraId="7957A617"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191</w:t>
            </w:r>
          </w:p>
        </w:tc>
        <w:tc>
          <w:tcPr>
            <w:tcW w:w="705" w:type="dxa"/>
            <w:tcBorders>
              <w:top w:val="nil"/>
              <w:left w:val="nil"/>
              <w:bottom w:val="nil"/>
              <w:right w:val="nil"/>
            </w:tcBorders>
            <w:shd w:val="clear" w:color="auto" w:fill="auto"/>
            <w:noWrap/>
            <w:vAlign w:val="bottom"/>
          </w:tcPr>
          <w:p w14:paraId="328BB818"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35222E63"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.469***</w:t>
            </w:r>
          </w:p>
        </w:tc>
        <w:tc>
          <w:tcPr>
            <w:tcW w:w="1272" w:type="dxa"/>
            <w:tcBorders>
              <w:top w:val="nil"/>
              <w:left w:val="nil"/>
              <w:bottom w:val="nil"/>
              <w:right w:val="nil"/>
            </w:tcBorders>
            <w:shd w:val="clear" w:color="auto" w:fill="auto"/>
            <w:noWrap/>
            <w:vAlign w:val="bottom"/>
          </w:tcPr>
          <w:p w14:paraId="7B5A523F"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.171</w:t>
            </w:r>
          </w:p>
        </w:tc>
        <w:tc>
          <w:tcPr>
            <w:tcW w:w="497" w:type="dxa"/>
            <w:tcBorders>
              <w:top w:val="nil"/>
              <w:left w:val="nil"/>
              <w:bottom w:val="nil"/>
              <w:right w:val="nil"/>
            </w:tcBorders>
            <w:shd w:val="clear" w:color="auto" w:fill="auto"/>
            <w:noWrap/>
            <w:vAlign w:val="bottom"/>
          </w:tcPr>
          <w:p w14:paraId="53122343"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79DF9C3A"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.202</w:t>
            </w:r>
          </w:p>
        </w:tc>
        <w:tc>
          <w:tcPr>
            <w:tcW w:w="1272" w:type="dxa"/>
            <w:tcBorders>
              <w:top w:val="nil"/>
              <w:left w:val="nil"/>
              <w:bottom w:val="nil"/>
              <w:right w:val="nil"/>
            </w:tcBorders>
            <w:shd w:val="clear" w:color="auto" w:fill="auto"/>
            <w:noWrap/>
            <w:vAlign w:val="bottom"/>
          </w:tcPr>
          <w:p w14:paraId="12794393"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.164</w:t>
            </w:r>
          </w:p>
        </w:tc>
        <w:tc>
          <w:tcPr>
            <w:tcW w:w="497" w:type="dxa"/>
            <w:tcBorders>
              <w:top w:val="nil"/>
              <w:left w:val="nil"/>
              <w:bottom w:val="nil"/>
              <w:right w:val="nil"/>
            </w:tcBorders>
            <w:shd w:val="clear" w:color="auto" w:fill="auto"/>
            <w:noWrap/>
            <w:vAlign w:val="bottom"/>
          </w:tcPr>
          <w:p w14:paraId="51222476"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25DD9657"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.072</w:t>
            </w:r>
          </w:p>
        </w:tc>
        <w:tc>
          <w:tcPr>
            <w:tcW w:w="1272" w:type="dxa"/>
            <w:tcBorders>
              <w:top w:val="nil"/>
              <w:left w:val="nil"/>
              <w:bottom w:val="nil"/>
              <w:right w:val="nil"/>
            </w:tcBorders>
            <w:shd w:val="clear" w:color="auto" w:fill="auto"/>
            <w:noWrap/>
            <w:vAlign w:val="bottom"/>
          </w:tcPr>
          <w:p w14:paraId="40DD486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.156</w:t>
            </w:r>
          </w:p>
        </w:tc>
      </w:tr>
      <w:tr w:rsidR="00E04BB5" w:rsidRPr="002B1625" w14:paraId="7B630261" w14:textId="77777777" w:rsidTr="00E04BB5">
        <w:trPr>
          <w:trHeight w:val="302"/>
        </w:trPr>
        <w:tc>
          <w:tcPr>
            <w:tcW w:w="1431" w:type="dxa"/>
            <w:tcBorders>
              <w:top w:val="nil"/>
              <w:left w:val="nil"/>
              <w:bottom w:val="nil"/>
              <w:right w:val="nil"/>
            </w:tcBorders>
            <w:shd w:val="clear" w:color="auto" w:fill="auto"/>
            <w:noWrap/>
            <w:vAlign w:val="bottom"/>
            <w:hideMark/>
          </w:tcPr>
          <w:p w14:paraId="42C711E6" w14:textId="77777777" w:rsidR="00E04BB5" w:rsidRPr="002B1625" w:rsidRDefault="00E04BB5" w:rsidP="00E04BB5">
            <w:pPr>
              <w:spacing w:after="0" w:line="240" w:lineRule="auto"/>
              <w:rPr>
                <w:rFonts w:ascii="Calibri" w:eastAsia="Times New Roman" w:hAnsi="Calibri" w:cs="Times New Roman"/>
                <w:i/>
                <w:iCs/>
                <w:color w:val="000000"/>
                <w:lang w:val="en-GB"/>
              </w:rPr>
            </w:pPr>
            <w:proofErr w:type="spellStart"/>
            <w:r w:rsidRPr="002B1625">
              <w:rPr>
                <w:rFonts w:ascii="Calibri" w:eastAsia="Times New Roman" w:hAnsi="Calibri" w:cs="Times New Roman"/>
                <w:i/>
                <w:iCs/>
                <w:color w:val="000000"/>
                <w:lang w:val="en-GB"/>
              </w:rPr>
              <w:t>chr</w:t>
            </w:r>
            <w:proofErr w:type="spellEnd"/>
          </w:p>
        </w:tc>
        <w:tc>
          <w:tcPr>
            <w:tcW w:w="283" w:type="dxa"/>
            <w:tcBorders>
              <w:top w:val="nil"/>
              <w:left w:val="nil"/>
              <w:bottom w:val="nil"/>
              <w:right w:val="nil"/>
            </w:tcBorders>
            <w:shd w:val="clear" w:color="auto" w:fill="auto"/>
            <w:noWrap/>
            <w:vAlign w:val="bottom"/>
            <w:hideMark/>
          </w:tcPr>
          <w:p w14:paraId="6A068F1A"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18ACBD87" w14:textId="77777777" w:rsidR="00E04BB5" w:rsidRPr="002B1625" w:rsidRDefault="00E04BB5" w:rsidP="00E04BB5">
            <w:pPr>
              <w:spacing w:after="0" w:line="240" w:lineRule="auto"/>
              <w:jc w:val="right"/>
              <w:rPr>
                <w:rFonts w:ascii="Calibri" w:eastAsia="Times New Roman" w:hAnsi="Calibri" w:cs="Times New Roman"/>
                <w:color w:val="000000"/>
                <w:vertAlign w:val="superscript"/>
                <w:lang w:val="en-GB"/>
              </w:rPr>
            </w:pPr>
            <w:r w:rsidRPr="002B1625">
              <w:rPr>
                <w:rFonts w:ascii="Calibri" w:eastAsia="Times New Roman" w:hAnsi="Calibri" w:cs="Times New Roman"/>
                <w:color w:val="000000"/>
                <w:lang w:val="en-GB"/>
              </w:rPr>
              <w:t>.641***</w:t>
            </w:r>
          </w:p>
        </w:tc>
        <w:tc>
          <w:tcPr>
            <w:tcW w:w="1233" w:type="dxa"/>
            <w:tcBorders>
              <w:top w:val="nil"/>
              <w:left w:val="nil"/>
              <w:bottom w:val="nil"/>
              <w:right w:val="nil"/>
            </w:tcBorders>
            <w:shd w:val="clear" w:color="auto" w:fill="auto"/>
            <w:noWrap/>
            <w:vAlign w:val="bottom"/>
          </w:tcPr>
          <w:p w14:paraId="35EF98C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.192</w:t>
            </w:r>
          </w:p>
        </w:tc>
        <w:tc>
          <w:tcPr>
            <w:tcW w:w="705" w:type="dxa"/>
            <w:tcBorders>
              <w:top w:val="nil"/>
              <w:left w:val="nil"/>
              <w:bottom w:val="nil"/>
              <w:right w:val="nil"/>
            </w:tcBorders>
            <w:shd w:val="clear" w:color="auto" w:fill="auto"/>
            <w:noWrap/>
            <w:vAlign w:val="bottom"/>
          </w:tcPr>
          <w:p w14:paraId="43C578CA"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09B7BD7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.361**</w:t>
            </w:r>
          </w:p>
        </w:tc>
        <w:tc>
          <w:tcPr>
            <w:tcW w:w="1272" w:type="dxa"/>
            <w:tcBorders>
              <w:top w:val="nil"/>
              <w:left w:val="nil"/>
              <w:bottom w:val="nil"/>
              <w:right w:val="nil"/>
            </w:tcBorders>
            <w:shd w:val="clear" w:color="auto" w:fill="auto"/>
            <w:noWrap/>
            <w:vAlign w:val="bottom"/>
          </w:tcPr>
          <w:p w14:paraId="68EB6CA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.175</w:t>
            </w:r>
          </w:p>
        </w:tc>
        <w:tc>
          <w:tcPr>
            <w:tcW w:w="497" w:type="dxa"/>
            <w:tcBorders>
              <w:top w:val="nil"/>
              <w:left w:val="nil"/>
              <w:bottom w:val="nil"/>
              <w:right w:val="nil"/>
            </w:tcBorders>
            <w:shd w:val="clear" w:color="auto" w:fill="auto"/>
            <w:noWrap/>
            <w:vAlign w:val="bottom"/>
          </w:tcPr>
          <w:p w14:paraId="2AB3D28E"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4FA1588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.253*</w:t>
            </w:r>
          </w:p>
        </w:tc>
        <w:tc>
          <w:tcPr>
            <w:tcW w:w="1272" w:type="dxa"/>
            <w:tcBorders>
              <w:top w:val="nil"/>
              <w:left w:val="nil"/>
              <w:bottom w:val="nil"/>
              <w:right w:val="nil"/>
            </w:tcBorders>
            <w:shd w:val="clear" w:color="auto" w:fill="auto"/>
            <w:noWrap/>
            <w:vAlign w:val="bottom"/>
          </w:tcPr>
          <w:p w14:paraId="7BCEA6D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.155</w:t>
            </w:r>
          </w:p>
        </w:tc>
        <w:tc>
          <w:tcPr>
            <w:tcW w:w="497" w:type="dxa"/>
            <w:tcBorders>
              <w:top w:val="nil"/>
              <w:left w:val="nil"/>
              <w:bottom w:val="nil"/>
              <w:right w:val="nil"/>
            </w:tcBorders>
            <w:shd w:val="clear" w:color="auto" w:fill="auto"/>
            <w:noWrap/>
            <w:vAlign w:val="bottom"/>
          </w:tcPr>
          <w:p w14:paraId="41E42202"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67F989B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.278*</w:t>
            </w:r>
          </w:p>
        </w:tc>
        <w:tc>
          <w:tcPr>
            <w:tcW w:w="1272" w:type="dxa"/>
            <w:tcBorders>
              <w:top w:val="nil"/>
              <w:left w:val="nil"/>
              <w:bottom w:val="nil"/>
              <w:right w:val="nil"/>
            </w:tcBorders>
            <w:shd w:val="clear" w:color="auto" w:fill="auto"/>
            <w:noWrap/>
            <w:vAlign w:val="bottom"/>
          </w:tcPr>
          <w:p w14:paraId="6B24BC9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.146</w:t>
            </w:r>
          </w:p>
        </w:tc>
      </w:tr>
      <w:tr w:rsidR="00E04BB5" w:rsidRPr="002B1625" w14:paraId="07E2BF73" w14:textId="77777777" w:rsidTr="00E04BB5">
        <w:trPr>
          <w:trHeight w:val="302"/>
        </w:trPr>
        <w:tc>
          <w:tcPr>
            <w:tcW w:w="1431" w:type="dxa"/>
            <w:tcBorders>
              <w:top w:val="nil"/>
              <w:left w:val="nil"/>
              <w:bottom w:val="nil"/>
              <w:right w:val="nil"/>
            </w:tcBorders>
            <w:shd w:val="clear" w:color="auto" w:fill="auto"/>
            <w:noWrap/>
            <w:vAlign w:val="bottom"/>
            <w:hideMark/>
          </w:tcPr>
          <w:p w14:paraId="205F3F3F"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style1</w:t>
            </w:r>
          </w:p>
        </w:tc>
        <w:tc>
          <w:tcPr>
            <w:tcW w:w="283" w:type="dxa"/>
            <w:tcBorders>
              <w:top w:val="nil"/>
              <w:left w:val="nil"/>
              <w:bottom w:val="nil"/>
              <w:right w:val="nil"/>
            </w:tcBorders>
            <w:shd w:val="clear" w:color="auto" w:fill="auto"/>
            <w:noWrap/>
            <w:vAlign w:val="bottom"/>
            <w:hideMark/>
          </w:tcPr>
          <w:p w14:paraId="010A1F0B"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7C55A39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.339</w:t>
            </w:r>
          </w:p>
        </w:tc>
        <w:tc>
          <w:tcPr>
            <w:tcW w:w="1233" w:type="dxa"/>
            <w:tcBorders>
              <w:top w:val="nil"/>
              <w:left w:val="nil"/>
              <w:bottom w:val="nil"/>
              <w:right w:val="nil"/>
            </w:tcBorders>
            <w:shd w:val="clear" w:color="auto" w:fill="auto"/>
            <w:noWrap/>
            <w:vAlign w:val="bottom"/>
          </w:tcPr>
          <w:p w14:paraId="7C71B357"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.271</w:t>
            </w:r>
          </w:p>
        </w:tc>
        <w:tc>
          <w:tcPr>
            <w:tcW w:w="705" w:type="dxa"/>
            <w:tcBorders>
              <w:top w:val="nil"/>
              <w:left w:val="nil"/>
              <w:bottom w:val="nil"/>
              <w:right w:val="nil"/>
            </w:tcBorders>
            <w:shd w:val="clear" w:color="auto" w:fill="auto"/>
            <w:noWrap/>
            <w:vAlign w:val="bottom"/>
          </w:tcPr>
          <w:p w14:paraId="30FA141B"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04E2214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1.010***</w:t>
            </w:r>
          </w:p>
        </w:tc>
        <w:tc>
          <w:tcPr>
            <w:tcW w:w="1272" w:type="dxa"/>
            <w:tcBorders>
              <w:top w:val="nil"/>
              <w:left w:val="nil"/>
              <w:bottom w:val="nil"/>
              <w:right w:val="nil"/>
            </w:tcBorders>
            <w:shd w:val="clear" w:color="auto" w:fill="auto"/>
            <w:noWrap/>
            <w:vAlign w:val="bottom"/>
          </w:tcPr>
          <w:p w14:paraId="7222A57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.315</w:t>
            </w:r>
          </w:p>
        </w:tc>
        <w:tc>
          <w:tcPr>
            <w:tcW w:w="497" w:type="dxa"/>
            <w:tcBorders>
              <w:top w:val="nil"/>
              <w:left w:val="nil"/>
              <w:bottom w:val="nil"/>
              <w:right w:val="nil"/>
            </w:tcBorders>
            <w:shd w:val="clear" w:color="auto" w:fill="auto"/>
            <w:noWrap/>
            <w:vAlign w:val="bottom"/>
          </w:tcPr>
          <w:p w14:paraId="36327A75"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4990A53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.801***</w:t>
            </w:r>
          </w:p>
        </w:tc>
        <w:tc>
          <w:tcPr>
            <w:tcW w:w="1272" w:type="dxa"/>
            <w:tcBorders>
              <w:top w:val="nil"/>
              <w:left w:val="nil"/>
              <w:bottom w:val="nil"/>
              <w:right w:val="nil"/>
            </w:tcBorders>
            <w:shd w:val="clear" w:color="auto" w:fill="auto"/>
            <w:noWrap/>
            <w:vAlign w:val="bottom"/>
          </w:tcPr>
          <w:p w14:paraId="4D1EBFC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.264</w:t>
            </w:r>
          </w:p>
        </w:tc>
        <w:tc>
          <w:tcPr>
            <w:tcW w:w="497" w:type="dxa"/>
            <w:tcBorders>
              <w:top w:val="nil"/>
              <w:left w:val="nil"/>
              <w:bottom w:val="nil"/>
              <w:right w:val="nil"/>
            </w:tcBorders>
            <w:shd w:val="clear" w:color="auto" w:fill="auto"/>
            <w:noWrap/>
            <w:vAlign w:val="bottom"/>
          </w:tcPr>
          <w:p w14:paraId="2FAF900E"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7D36385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.725***</w:t>
            </w:r>
          </w:p>
        </w:tc>
        <w:tc>
          <w:tcPr>
            <w:tcW w:w="1272" w:type="dxa"/>
            <w:tcBorders>
              <w:top w:val="nil"/>
              <w:left w:val="nil"/>
              <w:bottom w:val="nil"/>
              <w:right w:val="nil"/>
            </w:tcBorders>
            <w:shd w:val="clear" w:color="auto" w:fill="auto"/>
            <w:noWrap/>
            <w:vAlign w:val="bottom"/>
          </w:tcPr>
          <w:p w14:paraId="241D020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.297</w:t>
            </w:r>
          </w:p>
        </w:tc>
      </w:tr>
      <w:tr w:rsidR="00E04BB5" w:rsidRPr="002B1625" w14:paraId="46C81E94" w14:textId="77777777" w:rsidTr="00E04BB5">
        <w:trPr>
          <w:trHeight w:val="302"/>
        </w:trPr>
        <w:tc>
          <w:tcPr>
            <w:tcW w:w="1431" w:type="dxa"/>
            <w:tcBorders>
              <w:top w:val="nil"/>
              <w:left w:val="nil"/>
              <w:bottom w:val="nil"/>
              <w:right w:val="nil"/>
            </w:tcBorders>
            <w:shd w:val="clear" w:color="auto" w:fill="auto"/>
            <w:noWrap/>
            <w:vAlign w:val="bottom"/>
            <w:hideMark/>
          </w:tcPr>
          <w:p w14:paraId="20D76583"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style2</w:t>
            </w:r>
          </w:p>
        </w:tc>
        <w:tc>
          <w:tcPr>
            <w:tcW w:w="283" w:type="dxa"/>
            <w:tcBorders>
              <w:top w:val="nil"/>
              <w:left w:val="nil"/>
              <w:bottom w:val="nil"/>
              <w:right w:val="nil"/>
            </w:tcBorders>
            <w:shd w:val="clear" w:color="auto" w:fill="auto"/>
            <w:noWrap/>
            <w:vAlign w:val="bottom"/>
            <w:hideMark/>
          </w:tcPr>
          <w:p w14:paraId="025E180D"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6ECD6CCF"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.869***</w:t>
            </w:r>
          </w:p>
        </w:tc>
        <w:tc>
          <w:tcPr>
            <w:tcW w:w="1233" w:type="dxa"/>
            <w:tcBorders>
              <w:top w:val="nil"/>
              <w:left w:val="nil"/>
              <w:bottom w:val="nil"/>
              <w:right w:val="nil"/>
            </w:tcBorders>
            <w:shd w:val="clear" w:color="auto" w:fill="auto"/>
            <w:noWrap/>
            <w:vAlign w:val="bottom"/>
          </w:tcPr>
          <w:p w14:paraId="59D422F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.309</w:t>
            </w:r>
          </w:p>
        </w:tc>
        <w:tc>
          <w:tcPr>
            <w:tcW w:w="705" w:type="dxa"/>
            <w:tcBorders>
              <w:top w:val="nil"/>
              <w:left w:val="nil"/>
              <w:bottom w:val="nil"/>
              <w:right w:val="nil"/>
            </w:tcBorders>
            <w:shd w:val="clear" w:color="auto" w:fill="auto"/>
            <w:noWrap/>
            <w:vAlign w:val="bottom"/>
          </w:tcPr>
          <w:p w14:paraId="3A4EE99A"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00647A70"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1.592***</w:t>
            </w:r>
          </w:p>
        </w:tc>
        <w:tc>
          <w:tcPr>
            <w:tcW w:w="1272" w:type="dxa"/>
            <w:tcBorders>
              <w:top w:val="nil"/>
              <w:left w:val="nil"/>
              <w:bottom w:val="nil"/>
              <w:right w:val="nil"/>
            </w:tcBorders>
            <w:shd w:val="clear" w:color="auto" w:fill="auto"/>
            <w:noWrap/>
            <w:vAlign w:val="bottom"/>
          </w:tcPr>
          <w:p w14:paraId="29B9C4B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.434</w:t>
            </w:r>
          </w:p>
        </w:tc>
        <w:tc>
          <w:tcPr>
            <w:tcW w:w="497" w:type="dxa"/>
            <w:tcBorders>
              <w:top w:val="nil"/>
              <w:left w:val="nil"/>
              <w:bottom w:val="nil"/>
              <w:right w:val="nil"/>
            </w:tcBorders>
            <w:shd w:val="clear" w:color="auto" w:fill="auto"/>
            <w:noWrap/>
            <w:vAlign w:val="bottom"/>
          </w:tcPr>
          <w:p w14:paraId="56BCC33A"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229A5E0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2.255***</w:t>
            </w:r>
          </w:p>
        </w:tc>
        <w:tc>
          <w:tcPr>
            <w:tcW w:w="1272" w:type="dxa"/>
            <w:tcBorders>
              <w:top w:val="nil"/>
              <w:left w:val="nil"/>
              <w:bottom w:val="nil"/>
              <w:right w:val="nil"/>
            </w:tcBorders>
            <w:shd w:val="clear" w:color="auto" w:fill="auto"/>
            <w:noWrap/>
            <w:vAlign w:val="bottom"/>
          </w:tcPr>
          <w:p w14:paraId="1715800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.501</w:t>
            </w:r>
          </w:p>
        </w:tc>
        <w:tc>
          <w:tcPr>
            <w:tcW w:w="497" w:type="dxa"/>
            <w:tcBorders>
              <w:top w:val="nil"/>
              <w:left w:val="nil"/>
              <w:bottom w:val="nil"/>
              <w:right w:val="nil"/>
            </w:tcBorders>
            <w:shd w:val="clear" w:color="auto" w:fill="auto"/>
            <w:noWrap/>
            <w:vAlign w:val="bottom"/>
          </w:tcPr>
          <w:p w14:paraId="2EDDEF81"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1339E29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3.816***</w:t>
            </w:r>
          </w:p>
        </w:tc>
        <w:tc>
          <w:tcPr>
            <w:tcW w:w="1272" w:type="dxa"/>
            <w:tcBorders>
              <w:top w:val="nil"/>
              <w:left w:val="nil"/>
              <w:bottom w:val="nil"/>
              <w:right w:val="nil"/>
            </w:tcBorders>
            <w:shd w:val="clear" w:color="auto" w:fill="auto"/>
            <w:noWrap/>
            <w:vAlign w:val="bottom"/>
          </w:tcPr>
          <w:p w14:paraId="2EB73DB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.969</w:t>
            </w:r>
          </w:p>
        </w:tc>
      </w:tr>
      <w:tr w:rsidR="00E04BB5" w:rsidRPr="002B1625" w14:paraId="18F3640F" w14:textId="77777777" w:rsidTr="00E04BB5">
        <w:trPr>
          <w:trHeight w:val="302"/>
        </w:trPr>
        <w:tc>
          <w:tcPr>
            <w:tcW w:w="1431" w:type="dxa"/>
            <w:tcBorders>
              <w:top w:val="nil"/>
              <w:left w:val="nil"/>
              <w:bottom w:val="nil"/>
              <w:right w:val="nil"/>
            </w:tcBorders>
            <w:shd w:val="clear" w:color="auto" w:fill="auto"/>
            <w:noWrap/>
            <w:vAlign w:val="bottom"/>
            <w:hideMark/>
          </w:tcPr>
          <w:p w14:paraId="0649DFF9"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style3</w:t>
            </w:r>
          </w:p>
        </w:tc>
        <w:tc>
          <w:tcPr>
            <w:tcW w:w="283" w:type="dxa"/>
            <w:tcBorders>
              <w:top w:val="nil"/>
              <w:left w:val="nil"/>
              <w:bottom w:val="nil"/>
              <w:right w:val="nil"/>
            </w:tcBorders>
            <w:shd w:val="clear" w:color="auto" w:fill="auto"/>
            <w:noWrap/>
            <w:vAlign w:val="bottom"/>
            <w:hideMark/>
          </w:tcPr>
          <w:p w14:paraId="5B21FC84"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41E1427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.360</w:t>
            </w:r>
          </w:p>
        </w:tc>
        <w:tc>
          <w:tcPr>
            <w:tcW w:w="1233" w:type="dxa"/>
            <w:tcBorders>
              <w:top w:val="nil"/>
              <w:left w:val="nil"/>
              <w:bottom w:val="nil"/>
              <w:right w:val="nil"/>
            </w:tcBorders>
            <w:shd w:val="clear" w:color="auto" w:fill="auto"/>
            <w:noWrap/>
            <w:vAlign w:val="bottom"/>
          </w:tcPr>
          <w:p w14:paraId="79BFF2B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.287</w:t>
            </w:r>
          </w:p>
        </w:tc>
        <w:tc>
          <w:tcPr>
            <w:tcW w:w="705" w:type="dxa"/>
            <w:tcBorders>
              <w:top w:val="nil"/>
              <w:left w:val="nil"/>
              <w:bottom w:val="nil"/>
              <w:right w:val="nil"/>
            </w:tcBorders>
            <w:shd w:val="clear" w:color="auto" w:fill="auto"/>
            <w:noWrap/>
            <w:vAlign w:val="bottom"/>
          </w:tcPr>
          <w:p w14:paraId="53CF8A15"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5BF1309A"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.500*</w:t>
            </w:r>
          </w:p>
        </w:tc>
        <w:tc>
          <w:tcPr>
            <w:tcW w:w="1272" w:type="dxa"/>
            <w:tcBorders>
              <w:top w:val="nil"/>
              <w:left w:val="nil"/>
              <w:bottom w:val="nil"/>
              <w:right w:val="nil"/>
            </w:tcBorders>
            <w:shd w:val="clear" w:color="auto" w:fill="auto"/>
            <w:noWrap/>
            <w:vAlign w:val="bottom"/>
          </w:tcPr>
          <w:p w14:paraId="4EE2702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.288</w:t>
            </w:r>
          </w:p>
        </w:tc>
        <w:tc>
          <w:tcPr>
            <w:tcW w:w="497" w:type="dxa"/>
            <w:tcBorders>
              <w:top w:val="nil"/>
              <w:left w:val="nil"/>
              <w:bottom w:val="nil"/>
              <w:right w:val="nil"/>
            </w:tcBorders>
            <w:shd w:val="clear" w:color="auto" w:fill="auto"/>
            <w:noWrap/>
            <w:vAlign w:val="bottom"/>
          </w:tcPr>
          <w:p w14:paraId="5FF4FA01"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5427EBE7"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.829***</w:t>
            </w:r>
          </w:p>
        </w:tc>
        <w:tc>
          <w:tcPr>
            <w:tcW w:w="1272" w:type="dxa"/>
            <w:tcBorders>
              <w:top w:val="nil"/>
              <w:left w:val="nil"/>
              <w:bottom w:val="nil"/>
              <w:right w:val="nil"/>
            </w:tcBorders>
            <w:shd w:val="clear" w:color="auto" w:fill="auto"/>
            <w:noWrap/>
            <w:vAlign w:val="bottom"/>
          </w:tcPr>
          <w:p w14:paraId="1A91DA3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.258</w:t>
            </w:r>
          </w:p>
        </w:tc>
        <w:tc>
          <w:tcPr>
            <w:tcW w:w="497" w:type="dxa"/>
            <w:tcBorders>
              <w:top w:val="nil"/>
              <w:left w:val="nil"/>
              <w:bottom w:val="nil"/>
              <w:right w:val="nil"/>
            </w:tcBorders>
            <w:shd w:val="clear" w:color="auto" w:fill="auto"/>
            <w:noWrap/>
            <w:vAlign w:val="bottom"/>
          </w:tcPr>
          <w:p w14:paraId="686CDC33"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33486C2A"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.681**</w:t>
            </w:r>
          </w:p>
        </w:tc>
        <w:tc>
          <w:tcPr>
            <w:tcW w:w="1272" w:type="dxa"/>
            <w:tcBorders>
              <w:top w:val="nil"/>
              <w:left w:val="nil"/>
              <w:bottom w:val="nil"/>
              <w:right w:val="nil"/>
            </w:tcBorders>
            <w:shd w:val="clear" w:color="auto" w:fill="auto"/>
            <w:noWrap/>
            <w:vAlign w:val="bottom"/>
          </w:tcPr>
          <w:p w14:paraId="7C6A66B7"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.309</w:t>
            </w:r>
          </w:p>
        </w:tc>
      </w:tr>
      <w:tr w:rsidR="00E04BB5" w:rsidRPr="002B1625" w14:paraId="4FA95A99" w14:textId="77777777" w:rsidTr="00E04BB5">
        <w:trPr>
          <w:trHeight w:val="302"/>
        </w:trPr>
        <w:tc>
          <w:tcPr>
            <w:tcW w:w="1431" w:type="dxa"/>
            <w:tcBorders>
              <w:top w:val="nil"/>
              <w:left w:val="nil"/>
              <w:bottom w:val="nil"/>
              <w:right w:val="nil"/>
            </w:tcBorders>
            <w:shd w:val="clear" w:color="auto" w:fill="auto"/>
            <w:noWrap/>
            <w:vAlign w:val="bottom"/>
            <w:hideMark/>
          </w:tcPr>
          <w:p w14:paraId="4C524461"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style4</w:t>
            </w:r>
          </w:p>
        </w:tc>
        <w:tc>
          <w:tcPr>
            <w:tcW w:w="283" w:type="dxa"/>
            <w:tcBorders>
              <w:top w:val="nil"/>
              <w:left w:val="nil"/>
              <w:bottom w:val="nil"/>
              <w:right w:val="nil"/>
            </w:tcBorders>
            <w:shd w:val="clear" w:color="auto" w:fill="auto"/>
            <w:noWrap/>
            <w:vAlign w:val="bottom"/>
            <w:hideMark/>
          </w:tcPr>
          <w:p w14:paraId="0B16082C"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674425A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-.420**</w:t>
            </w:r>
          </w:p>
        </w:tc>
        <w:tc>
          <w:tcPr>
            <w:tcW w:w="1233" w:type="dxa"/>
            <w:tcBorders>
              <w:top w:val="nil"/>
              <w:left w:val="nil"/>
              <w:bottom w:val="nil"/>
              <w:right w:val="nil"/>
            </w:tcBorders>
            <w:shd w:val="clear" w:color="auto" w:fill="auto"/>
            <w:noWrap/>
            <w:vAlign w:val="bottom"/>
          </w:tcPr>
          <w:p w14:paraId="3C661F5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.204</w:t>
            </w:r>
          </w:p>
        </w:tc>
        <w:tc>
          <w:tcPr>
            <w:tcW w:w="705" w:type="dxa"/>
            <w:tcBorders>
              <w:top w:val="nil"/>
              <w:left w:val="nil"/>
              <w:bottom w:val="nil"/>
              <w:right w:val="nil"/>
            </w:tcBorders>
            <w:shd w:val="clear" w:color="auto" w:fill="auto"/>
            <w:noWrap/>
            <w:vAlign w:val="bottom"/>
          </w:tcPr>
          <w:p w14:paraId="34CCF6A4"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361EC79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-.292</w:t>
            </w:r>
          </w:p>
        </w:tc>
        <w:tc>
          <w:tcPr>
            <w:tcW w:w="1272" w:type="dxa"/>
            <w:tcBorders>
              <w:top w:val="nil"/>
              <w:left w:val="nil"/>
              <w:bottom w:val="nil"/>
              <w:right w:val="nil"/>
            </w:tcBorders>
            <w:shd w:val="clear" w:color="auto" w:fill="auto"/>
            <w:noWrap/>
            <w:vAlign w:val="bottom"/>
          </w:tcPr>
          <w:p w14:paraId="55DC0023"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.198</w:t>
            </w:r>
          </w:p>
        </w:tc>
        <w:tc>
          <w:tcPr>
            <w:tcW w:w="497" w:type="dxa"/>
            <w:tcBorders>
              <w:top w:val="nil"/>
              <w:left w:val="nil"/>
              <w:bottom w:val="nil"/>
              <w:right w:val="nil"/>
            </w:tcBorders>
            <w:shd w:val="clear" w:color="auto" w:fill="auto"/>
            <w:noWrap/>
            <w:vAlign w:val="bottom"/>
          </w:tcPr>
          <w:p w14:paraId="73FE2A75"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78AFD25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.022</w:t>
            </w:r>
          </w:p>
        </w:tc>
        <w:tc>
          <w:tcPr>
            <w:tcW w:w="1272" w:type="dxa"/>
            <w:tcBorders>
              <w:top w:val="nil"/>
              <w:left w:val="nil"/>
              <w:bottom w:val="nil"/>
              <w:right w:val="nil"/>
            </w:tcBorders>
            <w:shd w:val="clear" w:color="auto" w:fill="auto"/>
            <w:noWrap/>
            <w:vAlign w:val="bottom"/>
          </w:tcPr>
          <w:p w14:paraId="0C258650"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.181</w:t>
            </w:r>
          </w:p>
        </w:tc>
        <w:tc>
          <w:tcPr>
            <w:tcW w:w="497" w:type="dxa"/>
            <w:tcBorders>
              <w:top w:val="nil"/>
              <w:left w:val="nil"/>
              <w:bottom w:val="nil"/>
              <w:right w:val="nil"/>
            </w:tcBorders>
            <w:shd w:val="clear" w:color="auto" w:fill="auto"/>
            <w:noWrap/>
            <w:vAlign w:val="bottom"/>
          </w:tcPr>
          <w:p w14:paraId="169E66C9"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55D9D79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.352</w:t>
            </w:r>
          </w:p>
        </w:tc>
        <w:tc>
          <w:tcPr>
            <w:tcW w:w="1272" w:type="dxa"/>
            <w:tcBorders>
              <w:top w:val="nil"/>
              <w:left w:val="nil"/>
              <w:bottom w:val="nil"/>
              <w:right w:val="nil"/>
            </w:tcBorders>
            <w:shd w:val="clear" w:color="auto" w:fill="auto"/>
            <w:noWrap/>
            <w:vAlign w:val="bottom"/>
          </w:tcPr>
          <w:p w14:paraId="21302933"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.244</w:t>
            </w:r>
          </w:p>
        </w:tc>
      </w:tr>
      <w:tr w:rsidR="00E04BB5" w:rsidRPr="002B1625" w14:paraId="0E62D2E5" w14:textId="77777777" w:rsidTr="00E04BB5">
        <w:trPr>
          <w:trHeight w:val="302"/>
        </w:trPr>
        <w:tc>
          <w:tcPr>
            <w:tcW w:w="1431" w:type="dxa"/>
            <w:tcBorders>
              <w:top w:val="nil"/>
              <w:left w:val="nil"/>
              <w:bottom w:val="nil"/>
              <w:right w:val="nil"/>
            </w:tcBorders>
            <w:shd w:val="clear" w:color="auto" w:fill="auto"/>
            <w:noWrap/>
            <w:vAlign w:val="bottom"/>
            <w:hideMark/>
          </w:tcPr>
          <w:p w14:paraId="2F058DF4"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style5</w:t>
            </w:r>
          </w:p>
        </w:tc>
        <w:tc>
          <w:tcPr>
            <w:tcW w:w="283" w:type="dxa"/>
            <w:tcBorders>
              <w:top w:val="nil"/>
              <w:left w:val="nil"/>
              <w:bottom w:val="nil"/>
              <w:right w:val="nil"/>
            </w:tcBorders>
            <w:shd w:val="clear" w:color="auto" w:fill="auto"/>
            <w:noWrap/>
            <w:vAlign w:val="bottom"/>
            <w:hideMark/>
          </w:tcPr>
          <w:p w14:paraId="0323927A"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06B6F4B7"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.477***</w:t>
            </w:r>
          </w:p>
        </w:tc>
        <w:tc>
          <w:tcPr>
            <w:tcW w:w="1233" w:type="dxa"/>
            <w:tcBorders>
              <w:top w:val="nil"/>
              <w:left w:val="nil"/>
              <w:bottom w:val="nil"/>
              <w:right w:val="nil"/>
            </w:tcBorders>
            <w:shd w:val="clear" w:color="auto" w:fill="auto"/>
            <w:noWrap/>
            <w:vAlign w:val="bottom"/>
          </w:tcPr>
          <w:p w14:paraId="33D6D24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.168</w:t>
            </w:r>
          </w:p>
        </w:tc>
        <w:tc>
          <w:tcPr>
            <w:tcW w:w="705" w:type="dxa"/>
            <w:tcBorders>
              <w:top w:val="nil"/>
              <w:left w:val="nil"/>
              <w:bottom w:val="nil"/>
              <w:right w:val="nil"/>
            </w:tcBorders>
            <w:shd w:val="clear" w:color="auto" w:fill="auto"/>
            <w:noWrap/>
            <w:vAlign w:val="bottom"/>
          </w:tcPr>
          <w:p w14:paraId="534D7DF8"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5EE666AD"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.509***</w:t>
            </w:r>
          </w:p>
        </w:tc>
        <w:tc>
          <w:tcPr>
            <w:tcW w:w="1272" w:type="dxa"/>
            <w:tcBorders>
              <w:top w:val="nil"/>
              <w:left w:val="nil"/>
              <w:bottom w:val="nil"/>
              <w:right w:val="nil"/>
            </w:tcBorders>
            <w:shd w:val="clear" w:color="auto" w:fill="auto"/>
            <w:noWrap/>
            <w:vAlign w:val="bottom"/>
          </w:tcPr>
          <w:p w14:paraId="47FDD94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.199</w:t>
            </w:r>
          </w:p>
        </w:tc>
        <w:tc>
          <w:tcPr>
            <w:tcW w:w="497" w:type="dxa"/>
            <w:tcBorders>
              <w:top w:val="nil"/>
              <w:left w:val="nil"/>
              <w:bottom w:val="nil"/>
              <w:right w:val="nil"/>
            </w:tcBorders>
            <w:shd w:val="clear" w:color="auto" w:fill="auto"/>
            <w:noWrap/>
            <w:vAlign w:val="bottom"/>
          </w:tcPr>
          <w:p w14:paraId="70848DB8"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283DB66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.817***</w:t>
            </w:r>
          </w:p>
        </w:tc>
        <w:tc>
          <w:tcPr>
            <w:tcW w:w="1272" w:type="dxa"/>
            <w:tcBorders>
              <w:top w:val="nil"/>
              <w:left w:val="nil"/>
              <w:bottom w:val="nil"/>
              <w:right w:val="nil"/>
            </w:tcBorders>
            <w:shd w:val="clear" w:color="auto" w:fill="auto"/>
            <w:noWrap/>
            <w:vAlign w:val="bottom"/>
          </w:tcPr>
          <w:p w14:paraId="628AFF8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.191</w:t>
            </w:r>
          </w:p>
        </w:tc>
        <w:tc>
          <w:tcPr>
            <w:tcW w:w="497" w:type="dxa"/>
            <w:tcBorders>
              <w:top w:val="nil"/>
              <w:left w:val="nil"/>
              <w:bottom w:val="nil"/>
              <w:right w:val="nil"/>
            </w:tcBorders>
            <w:shd w:val="clear" w:color="auto" w:fill="auto"/>
            <w:noWrap/>
            <w:vAlign w:val="bottom"/>
          </w:tcPr>
          <w:p w14:paraId="097AD3A4"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4815E10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1.178***</w:t>
            </w:r>
          </w:p>
        </w:tc>
        <w:tc>
          <w:tcPr>
            <w:tcW w:w="1272" w:type="dxa"/>
            <w:tcBorders>
              <w:top w:val="nil"/>
              <w:left w:val="nil"/>
              <w:bottom w:val="nil"/>
              <w:right w:val="nil"/>
            </w:tcBorders>
            <w:shd w:val="clear" w:color="auto" w:fill="auto"/>
            <w:noWrap/>
            <w:vAlign w:val="bottom"/>
          </w:tcPr>
          <w:p w14:paraId="0A66374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.314</w:t>
            </w:r>
          </w:p>
        </w:tc>
      </w:tr>
      <w:tr w:rsidR="00E04BB5" w:rsidRPr="002B1625" w14:paraId="67CD1C43" w14:textId="77777777" w:rsidTr="00E04BB5">
        <w:trPr>
          <w:trHeight w:val="302"/>
        </w:trPr>
        <w:tc>
          <w:tcPr>
            <w:tcW w:w="1431" w:type="dxa"/>
            <w:tcBorders>
              <w:top w:val="nil"/>
              <w:left w:val="nil"/>
              <w:bottom w:val="nil"/>
              <w:right w:val="nil"/>
            </w:tcBorders>
            <w:shd w:val="clear" w:color="auto" w:fill="auto"/>
            <w:noWrap/>
            <w:vAlign w:val="bottom"/>
            <w:hideMark/>
          </w:tcPr>
          <w:p w14:paraId="00414E99"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style6</w:t>
            </w:r>
          </w:p>
        </w:tc>
        <w:tc>
          <w:tcPr>
            <w:tcW w:w="283" w:type="dxa"/>
            <w:tcBorders>
              <w:top w:val="nil"/>
              <w:left w:val="nil"/>
              <w:bottom w:val="nil"/>
              <w:right w:val="nil"/>
            </w:tcBorders>
            <w:shd w:val="clear" w:color="auto" w:fill="auto"/>
            <w:noWrap/>
            <w:vAlign w:val="bottom"/>
            <w:hideMark/>
          </w:tcPr>
          <w:p w14:paraId="6470E7EC"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5A7E263F"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.358**</w:t>
            </w:r>
          </w:p>
        </w:tc>
        <w:tc>
          <w:tcPr>
            <w:tcW w:w="1233" w:type="dxa"/>
            <w:tcBorders>
              <w:top w:val="nil"/>
              <w:left w:val="nil"/>
              <w:bottom w:val="nil"/>
              <w:right w:val="nil"/>
            </w:tcBorders>
            <w:shd w:val="clear" w:color="auto" w:fill="auto"/>
            <w:noWrap/>
            <w:vAlign w:val="bottom"/>
          </w:tcPr>
          <w:p w14:paraId="348E1B20"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.151</w:t>
            </w:r>
          </w:p>
        </w:tc>
        <w:tc>
          <w:tcPr>
            <w:tcW w:w="705" w:type="dxa"/>
            <w:tcBorders>
              <w:top w:val="nil"/>
              <w:left w:val="nil"/>
              <w:bottom w:val="nil"/>
              <w:right w:val="nil"/>
            </w:tcBorders>
            <w:shd w:val="clear" w:color="auto" w:fill="auto"/>
            <w:noWrap/>
            <w:vAlign w:val="bottom"/>
          </w:tcPr>
          <w:p w14:paraId="4AB3651A"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5F3A856A"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.792***</w:t>
            </w:r>
          </w:p>
        </w:tc>
        <w:tc>
          <w:tcPr>
            <w:tcW w:w="1272" w:type="dxa"/>
            <w:tcBorders>
              <w:top w:val="nil"/>
              <w:left w:val="nil"/>
              <w:bottom w:val="nil"/>
              <w:right w:val="nil"/>
            </w:tcBorders>
            <w:shd w:val="clear" w:color="auto" w:fill="auto"/>
            <w:noWrap/>
            <w:vAlign w:val="bottom"/>
          </w:tcPr>
          <w:p w14:paraId="631D0DB8"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.181</w:t>
            </w:r>
          </w:p>
        </w:tc>
        <w:tc>
          <w:tcPr>
            <w:tcW w:w="497" w:type="dxa"/>
            <w:tcBorders>
              <w:top w:val="nil"/>
              <w:left w:val="nil"/>
              <w:bottom w:val="nil"/>
              <w:right w:val="nil"/>
            </w:tcBorders>
            <w:shd w:val="clear" w:color="auto" w:fill="auto"/>
            <w:noWrap/>
            <w:vAlign w:val="bottom"/>
          </w:tcPr>
          <w:p w14:paraId="6CA4405B"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7445CE3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.813***</w:t>
            </w:r>
          </w:p>
        </w:tc>
        <w:tc>
          <w:tcPr>
            <w:tcW w:w="1272" w:type="dxa"/>
            <w:tcBorders>
              <w:top w:val="nil"/>
              <w:left w:val="nil"/>
              <w:bottom w:val="nil"/>
              <w:right w:val="nil"/>
            </w:tcBorders>
            <w:shd w:val="clear" w:color="auto" w:fill="auto"/>
            <w:noWrap/>
            <w:vAlign w:val="bottom"/>
          </w:tcPr>
          <w:p w14:paraId="3504978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.176</w:t>
            </w:r>
          </w:p>
        </w:tc>
        <w:tc>
          <w:tcPr>
            <w:tcW w:w="497" w:type="dxa"/>
            <w:tcBorders>
              <w:top w:val="nil"/>
              <w:left w:val="nil"/>
              <w:bottom w:val="nil"/>
              <w:right w:val="nil"/>
            </w:tcBorders>
            <w:shd w:val="clear" w:color="auto" w:fill="auto"/>
            <w:noWrap/>
            <w:vAlign w:val="bottom"/>
          </w:tcPr>
          <w:p w14:paraId="0C34F806"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671BAE9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.773***</w:t>
            </w:r>
          </w:p>
        </w:tc>
        <w:tc>
          <w:tcPr>
            <w:tcW w:w="1272" w:type="dxa"/>
            <w:tcBorders>
              <w:top w:val="nil"/>
              <w:left w:val="nil"/>
              <w:bottom w:val="nil"/>
              <w:right w:val="nil"/>
            </w:tcBorders>
            <w:shd w:val="clear" w:color="auto" w:fill="auto"/>
            <w:noWrap/>
            <w:vAlign w:val="bottom"/>
          </w:tcPr>
          <w:p w14:paraId="2C05710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.213</w:t>
            </w:r>
          </w:p>
        </w:tc>
      </w:tr>
      <w:tr w:rsidR="00E04BB5" w:rsidRPr="002B1625" w14:paraId="7D53AD9A" w14:textId="77777777" w:rsidTr="00E04BB5">
        <w:trPr>
          <w:trHeight w:val="302"/>
        </w:trPr>
        <w:tc>
          <w:tcPr>
            <w:tcW w:w="1431" w:type="dxa"/>
            <w:tcBorders>
              <w:top w:val="nil"/>
              <w:left w:val="nil"/>
              <w:bottom w:val="nil"/>
              <w:right w:val="nil"/>
            </w:tcBorders>
            <w:shd w:val="clear" w:color="auto" w:fill="auto"/>
            <w:noWrap/>
            <w:vAlign w:val="bottom"/>
            <w:hideMark/>
          </w:tcPr>
          <w:p w14:paraId="42C21B91"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style7</w:t>
            </w:r>
          </w:p>
        </w:tc>
        <w:tc>
          <w:tcPr>
            <w:tcW w:w="283" w:type="dxa"/>
            <w:tcBorders>
              <w:top w:val="nil"/>
              <w:left w:val="nil"/>
              <w:bottom w:val="nil"/>
              <w:right w:val="nil"/>
            </w:tcBorders>
            <w:shd w:val="clear" w:color="auto" w:fill="auto"/>
            <w:noWrap/>
            <w:vAlign w:val="bottom"/>
            <w:hideMark/>
          </w:tcPr>
          <w:p w14:paraId="2BA872BA"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1475" w:type="dxa"/>
            <w:tcBorders>
              <w:top w:val="nil"/>
              <w:left w:val="nil"/>
              <w:bottom w:val="nil"/>
              <w:right w:val="nil"/>
            </w:tcBorders>
            <w:shd w:val="clear" w:color="auto" w:fill="auto"/>
            <w:noWrap/>
            <w:vAlign w:val="bottom"/>
          </w:tcPr>
          <w:p w14:paraId="7846165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-.163</w:t>
            </w:r>
          </w:p>
        </w:tc>
        <w:tc>
          <w:tcPr>
            <w:tcW w:w="1233" w:type="dxa"/>
            <w:tcBorders>
              <w:top w:val="nil"/>
              <w:left w:val="nil"/>
              <w:bottom w:val="nil"/>
              <w:right w:val="nil"/>
            </w:tcBorders>
            <w:shd w:val="clear" w:color="auto" w:fill="auto"/>
            <w:noWrap/>
            <w:vAlign w:val="bottom"/>
          </w:tcPr>
          <w:p w14:paraId="33D51B5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.182</w:t>
            </w:r>
          </w:p>
        </w:tc>
        <w:tc>
          <w:tcPr>
            <w:tcW w:w="705" w:type="dxa"/>
            <w:tcBorders>
              <w:top w:val="nil"/>
              <w:left w:val="nil"/>
              <w:bottom w:val="nil"/>
              <w:right w:val="nil"/>
            </w:tcBorders>
            <w:shd w:val="clear" w:color="auto" w:fill="auto"/>
            <w:noWrap/>
            <w:vAlign w:val="bottom"/>
          </w:tcPr>
          <w:p w14:paraId="1185E658"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58E2715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.115</w:t>
            </w:r>
          </w:p>
        </w:tc>
        <w:tc>
          <w:tcPr>
            <w:tcW w:w="1272" w:type="dxa"/>
            <w:tcBorders>
              <w:top w:val="nil"/>
              <w:left w:val="nil"/>
              <w:bottom w:val="nil"/>
              <w:right w:val="nil"/>
            </w:tcBorders>
            <w:shd w:val="clear" w:color="auto" w:fill="auto"/>
            <w:noWrap/>
            <w:vAlign w:val="bottom"/>
          </w:tcPr>
          <w:p w14:paraId="02241438"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.182</w:t>
            </w:r>
          </w:p>
        </w:tc>
        <w:tc>
          <w:tcPr>
            <w:tcW w:w="497" w:type="dxa"/>
            <w:tcBorders>
              <w:top w:val="nil"/>
              <w:left w:val="nil"/>
              <w:bottom w:val="nil"/>
              <w:right w:val="nil"/>
            </w:tcBorders>
            <w:shd w:val="clear" w:color="auto" w:fill="auto"/>
            <w:noWrap/>
            <w:vAlign w:val="bottom"/>
          </w:tcPr>
          <w:p w14:paraId="3D285F7E"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50E432A0"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.090</w:t>
            </w:r>
          </w:p>
        </w:tc>
        <w:tc>
          <w:tcPr>
            <w:tcW w:w="1272" w:type="dxa"/>
            <w:tcBorders>
              <w:top w:val="nil"/>
              <w:left w:val="nil"/>
              <w:bottom w:val="nil"/>
              <w:right w:val="nil"/>
            </w:tcBorders>
            <w:shd w:val="clear" w:color="auto" w:fill="auto"/>
            <w:noWrap/>
            <w:vAlign w:val="bottom"/>
          </w:tcPr>
          <w:p w14:paraId="5D770A67"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.182</w:t>
            </w:r>
          </w:p>
        </w:tc>
        <w:tc>
          <w:tcPr>
            <w:tcW w:w="497" w:type="dxa"/>
            <w:tcBorders>
              <w:top w:val="nil"/>
              <w:left w:val="nil"/>
              <w:bottom w:val="nil"/>
              <w:right w:val="nil"/>
            </w:tcBorders>
            <w:shd w:val="clear" w:color="auto" w:fill="auto"/>
            <w:noWrap/>
            <w:vAlign w:val="bottom"/>
          </w:tcPr>
          <w:p w14:paraId="3AD6E8EF"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61B2F8A8"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-.007</w:t>
            </w:r>
          </w:p>
        </w:tc>
        <w:tc>
          <w:tcPr>
            <w:tcW w:w="1272" w:type="dxa"/>
            <w:tcBorders>
              <w:top w:val="nil"/>
              <w:left w:val="nil"/>
              <w:bottom w:val="nil"/>
              <w:right w:val="nil"/>
            </w:tcBorders>
            <w:shd w:val="clear" w:color="auto" w:fill="auto"/>
            <w:noWrap/>
            <w:vAlign w:val="bottom"/>
          </w:tcPr>
          <w:p w14:paraId="29FA2B1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.161</w:t>
            </w:r>
          </w:p>
        </w:tc>
      </w:tr>
      <w:tr w:rsidR="00E04BB5" w:rsidRPr="002B1625" w14:paraId="6C706651" w14:textId="77777777" w:rsidTr="00E04BB5">
        <w:trPr>
          <w:trHeight w:val="302"/>
        </w:trPr>
        <w:tc>
          <w:tcPr>
            <w:tcW w:w="1431" w:type="dxa"/>
            <w:tcBorders>
              <w:top w:val="nil"/>
              <w:left w:val="nil"/>
              <w:bottom w:val="nil"/>
              <w:right w:val="nil"/>
            </w:tcBorders>
            <w:shd w:val="clear" w:color="auto" w:fill="auto"/>
            <w:noWrap/>
            <w:vAlign w:val="bottom"/>
            <w:hideMark/>
          </w:tcPr>
          <w:p w14:paraId="0E37D925"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constant</w:t>
            </w:r>
          </w:p>
        </w:tc>
        <w:tc>
          <w:tcPr>
            <w:tcW w:w="283" w:type="dxa"/>
            <w:tcBorders>
              <w:top w:val="nil"/>
              <w:left w:val="nil"/>
              <w:bottom w:val="nil"/>
              <w:right w:val="nil"/>
            </w:tcBorders>
            <w:shd w:val="clear" w:color="auto" w:fill="auto"/>
            <w:noWrap/>
            <w:vAlign w:val="bottom"/>
            <w:hideMark/>
          </w:tcPr>
          <w:p w14:paraId="0F921F03"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475" w:type="dxa"/>
            <w:tcBorders>
              <w:top w:val="nil"/>
              <w:left w:val="nil"/>
              <w:bottom w:val="nil"/>
              <w:right w:val="nil"/>
            </w:tcBorders>
            <w:shd w:val="clear" w:color="auto" w:fill="auto"/>
            <w:noWrap/>
            <w:vAlign w:val="bottom"/>
          </w:tcPr>
          <w:p w14:paraId="73BC5CE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11.632***</w:t>
            </w:r>
          </w:p>
        </w:tc>
        <w:tc>
          <w:tcPr>
            <w:tcW w:w="1233" w:type="dxa"/>
            <w:tcBorders>
              <w:top w:val="nil"/>
              <w:left w:val="nil"/>
              <w:bottom w:val="nil"/>
              <w:right w:val="nil"/>
            </w:tcBorders>
            <w:shd w:val="clear" w:color="auto" w:fill="auto"/>
            <w:noWrap/>
            <w:vAlign w:val="bottom"/>
          </w:tcPr>
          <w:p w14:paraId="1C44E73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.249</w:t>
            </w:r>
          </w:p>
        </w:tc>
        <w:tc>
          <w:tcPr>
            <w:tcW w:w="705" w:type="dxa"/>
            <w:tcBorders>
              <w:top w:val="nil"/>
              <w:left w:val="nil"/>
              <w:bottom w:val="nil"/>
              <w:right w:val="nil"/>
            </w:tcBorders>
            <w:shd w:val="clear" w:color="auto" w:fill="auto"/>
            <w:noWrap/>
            <w:vAlign w:val="bottom"/>
          </w:tcPr>
          <w:p w14:paraId="1A669547"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98" w:type="dxa"/>
            <w:tcBorders>
              <w:top w:val="nil"/>
              <w:left w:val="nil"/>
              <w:bottom w:val="nil"/>
              <w:right w:val="nil"/>
            </w:tcBorders>
            <w:shd w:val="clear" w:color="auto" w:fill="auto"/>
            <w:noWrap/>
            <w:vAlign w:val="bottom"/>
          </w:tcPr>
          <w:p w14:paraId="6C798108"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12.209***</w:t>
            </w:r>
          </w:p>
        </w:tc>
        <w:tc>
          <w:tcPr>
            <w:tcW w:w="1272" w:type="dxa"/>
            <w:tcBorders>
              <w:top w:val="nil"/>
              <w:left w:val="nil"/>
              <w:bottom w:val="nil"/>
              <w:right w:val="nil"/>
            </w:tcBorders>
            <w:shd w:val="clear" w:color="auto" w:fill="auto"/>
            <w:noWrap/>
            <w:vAlign w:val="bottom"/>
          </w:tcPr>
          <w:p w14:paraId="0C58119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.213</w:t>
            </w:r>
          </w:p>
        </w:tc>
        <w:tc>
          <w:tcPr>
            <w:tcW w:w="497" w:type="dxa"/>
            <w:tcBorders>
              <w:top w:val="nil"/>
              <w:left w:val="nil"/>
              <w:bottom w:val="nil"/>
              <w:right w:val="nil"/>
            </w:tcBorders>
            <w:shd w:val="clear" w:color="auto" w:fill="auto"/>
            <w:noWrap/>
            <w:vAlign w:val="bottom"/>
          </w:tcPr>
          <w:p w14:paraId="29A85155"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3945048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13.598***</w:t>
            </w:r>
          </w:p>
        </w:tc>
        <w:tc>
          <w:tcPr>
            <w:tcW w:w="1272" w:type="dxa"/>
            <w:tcBorders>
              <w:top w:val="nil"/>
              <w:left w:val="nil"/>
              <w:bottom w:val="nil"/>
              <w:right w:val="nil"/>
            </w:tcBorders>
            <w:shd w:val="clear" w:color="auto" w:fill="auto"/>
            <w:noWrap/>
            <w:vAlign w:val="bottom"/>
          </w:tcPr>
          <w:p w14:paraId="27CC1A18"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.246</w:t>
            </w:r>
          </w:p>
        </w:tc>
        <w:tc>
          <w:tcPr>
            <w:tcW w:w="497" w:type="dxa"/>
            <w:tcBorders>
              <w:top w:val="nil"/>
              <w:left w:val="nil"/>
              <w:bottom w:val="nil"/>
              <w:right w:val="nil"/>
            </w:tcBorders>
            <w:shd w:val="clear" w:color="auto" w:fill="auto"/>
            <w:noWrap/>
            <w:vAlign w:val="bottom"/>
          </w:tcPr>
          <w:p w14:paraId="5C11DD23"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345" w:type="dxa"/>
            <w:tcBorders>
              <w:top w:val="nil"/>
              <w:left w:val="nil"/>
              <w:bottom w:val="nil"/>
              <w:right w:val="nil"/>
            </w:tcBorders>
            <w:shd w:val="clear" w:color="auto" w:fill="auto"/>
            <w:noWrap/>
            <w:vAlign w:val="bottom"/>
          </w:tcPr>
          <w:p w14:paraId="345D806D"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14.611***</w:t>
            </w:r>
          </w:p>
        </w:tc>
        <w:tc>
          <w:tcPr>
            <w:tcW w:w="1272" w:type="dxa"/>
            <w:tcBorders>
              <w:top w:val="nil"/>
              <w:left w:val="nil"/>
              <w:bottom w:val="nil"/>
              <w:right w:val="nil"/>
            </w:tcBorders>
            <w:shd w:val="clear" w:color="auto" w:fill="auto"/>
            <w:noWrap/>
            <w:vAlign w:val="bottom"/>
          </w:tcPr>
          <w:p w14:paraId="0214A0F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.230</w:t>
            </w:r>
          </w:p>
        </w:tc>
      </w:tr>
      <w:tr w:rsidR="00E04BB5" w:rsidRPr="002B1625" w14:paraId="4FB01DB0" w14:textId="77777777" w:rsidTr="00E04BB5">
        <w:trPr>
          <w:trHeight w:val="554"/>
        </w:trPr>
        <w:tc>
          <w:tcPr>
            <w:tcW w:w="1431" w:type="dxa"/>
            <w:tcBorders>
              <w:top w:val="nil"/>
              <w:left w:val="nil"/>
              <w:bottom w:val="single" w:sz="4" w:space="0" w:color="auto"/>
              <w:right w:val="nil"/>
            </w:tcBorders>
            <w:shd w:val="clear" w:color="auto" w:fill="auto"/>
            <w:hideMark/>
          </w:tcPr>
          <w:p w14:paraId="2F1226EB" w14:textId="77777777" w:rsidR="00E04BB5" w:rsidRPr="00D44903" w:rsidRDefault="00E04BB5" w:rsidP="00E04BB5">
            <w:pPr>
              <w:spacing w:after="0" w:line="240" w:lineRule="auto"/>
              <w:rPr>
                <w:rFonts w:ascii="Arial" w:eastAsia="Times New Roman" w:hAnsi="Arial" w:cs="Arial"/>
                <w:i/>
                <w:iCs/>
                <w:color w:val="000000"/>
                <w:sz w:val="20"/>
                <w:szCs w:val="20"/>
                <w:lang w:val="en-GB"/>
              </w:rPr>
            </w:pPr>
            <w:r w:rsidRPr="002B1625">
              <w:rPr>
                <w:rFonts w:ascii="Arial" w:eastAsia="Times New Roman" w:hAnsi="Arial" w:cs="Arial"/>
                <w:i/>
                <w:iCs/>
                <w:color w:val="000000"/>
                <w:sz w:val="20"/>
                <w:szCs w:val="20"/>
                <w:lang w:val="en-GB"/>
              </w:rPr>
              <w:t>time dummies</w:t>
            </w:r>
          </w:p>
        </w:tc>
        <w:tc>
          <w:tcPr>
            <w:tcW w:w="283" w:type="dxa"/>
            <w:tcBorders>
              <w:top w:val="nil"/>
              <w:left w:val="nil"/>
              <w:bottom w:val="single" w:sz="4" w:space="0" w:color="auto"/>
              <w:right w:val="nil"/>
            </w:tcBorders>
            <w:shd w:val="clear" w:color="auto" w:fill="auto"/>
            <w:hideMark/>
          </w:tcPr>
          <w:p w14:paraId="666BC8BB" w14:textId="77777777" w:rsidR="00E04BB5" w:rsidRPr="002B1625" w:rsidRDefault="00E04BB5" w:rsidP="00E04BB5">
            <w:pPr>
              <w:spacing w:after="0" w:line="240" w:lineRule="auto"/>
              <w:rPr>
                <w:rFonts w:ascii="Arial" w:eastAsia="Times New Roman" w:hAnsi="Arial" w:cs="Arial"/>
                <w:color w:val="000000"/>
                <w:sz w:val="20"/>
                <w:szCs w:val="20"/>
                <w:lang w:val="en-GB"/>
              </w:rPr>
            </w:pPr>
            <w:r w:rsidRPr="002B1625">
              <w:rPr>
                <w:rFonts w:ascii="Arial" w:eastAsia="Times New Roman" w:hAnsi="Arial" w:cs="Arial"/>
                <w:color w:val="000000"/>
                <w:sz w:val="20"/>
                <w:szCs w:val="20"/>
                <w:lang w:val="en-GB"/>
              </w:rPr>
              <w:t> </w:t>
            </w:r>
          </w:p>
        </w:tc>
        <w:tc>
          <w:tcPr>
            <w:tcW w:w="2708" w:type="dxa"/>
            <w:gridSpan w:val="2"/>
            <w:tcBorders>
              <w:top w:val="nil"/>
              <w:left w:val="nil"/>
              <w:bottom w:val="single" w:sz="4" w:space="0" w:color="auto"/>
              <w:right w:val="nil"/>
            </w:tcBorders>
            <w:shd w:val="clear" w:color="auto" w:fill="auto"/>
            <w:noWrap/>
            <w:hideMark/>
          </w:tcPr>
          <w:p w14:paraId="50009316" w14:textId="77777777" w:rsidR="00E04BB5" w:rsidRPr="002B1625" w:rsidRDefault="00E04BB5" w:rsidP="00E04BB5">
            <w:pPr>
              <w:spacing w:after="0" w:line="240" w:lineRule="auto"/>
              <w:contextualSpacing/>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[incl.]</w:t>
            </w:r>
          </w:p>
        </w:tc>
        <w:tc>
          <w:tcPr>
            <w:tcW w:w="705" w:type="dxa"/>
            <w:tcBorders>
              <w:top w:val="nil"/>
              <w:left w:val="nil"/>
              <w:bottom w:val="single" w:sz="4" w:space="0" w:color="auto"/>
              <w:right w:val="nil"/>
            </w:tcBorders>
            <w:shd w:val="clear" w:color="auto" w:fill="auto"/>
            <w:noWrap/>
            <w:hideMark/>
          </w:tcPr>
          <w:p w14:paraId="41179513" w14:textId="77777777" w:rsidR="00E04BB5" w:rsidRPr="002B1625" w:rsidRDefault="00E04BB5" w:rsidP="00E04BB5">
            <w:pPr>
              <w:spacing w:after="0" w:line="240" w:lineRule="auto"/>
              <w:contextualSpacing/>
              <w:jc w:val="center"/>
              <w:rPr>
                <w:rFonts w:ascii="Calibri" w:eastAsia="Times New Roman" w:hAnsi="Calibri" w:cs="Times New Roman"/>
                <w:color w:val="000000"/>
                <w:lang w:val="en-GB"/>
              </w:rPr>
            </w:pPr>
          </w:p>
        </w:tc>
        <w:tc>
          <w:tcPr>
            <w:tcW w:w="2370" w:type="dxa"/>
            <w:gridSpan w:val="2"/>
            <w:tcBorders>
              <w:top w:val="nil"/>
              <w:left w:val="nil"/>
              <w:bottom w:val="single" w:sz="4" w:space="0" w:color="auto"/>
              <w:right w:val="nil"/>
            </w:tcBorders>
            <w:shd w:val="clear" w:color="auto" w:fill="auto"/>
            <w:noWrap/>
            <w:hideMark/>
          </w:tcPr>
          <w:p w14:paraId="40BECAD3" w14:textId="77777777" w:rsidR="00E04BB5" w:rsidRPr="002B1625" w:rsidRDefault="00E04BB5" w:rsidP="00E04BB5">
            <w:pPr>
              <w:spacing w:after="0" w:line="240" w:lineRule="auto"/>
              <w:contextualSpacing/>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[incl.]</w:t>
            </w:r>
          </w:p>
        </w:tc>
        <w:tc>
          <w:tcPr>
            <w:tcW w:w="497" w:type="dxa"/>
            <w:tcBorders>
              <w:top w:val="nil"/>
              <w:left w:val="nil"/>
              <w:bottom w:val="single" w:sz="4" w:space="0" w:color="auto"/>
              <w:right w:val="nil"/>
            </w:tcBorders>
            <w:shd w:val="clear" w:color="auto" w:fill="auto"/>
            <w:noWrap/>
            <w:hideMark/>
          </w:tcPr>
          <w:p w14:paraId="7277E115" w14:textId="77777777" w:rsidR="00E04BB5" w:rsidRPr="002B1625" w:rsidRDefault="00E04BB5" w:rsidP="00E04BB5">
            <w:pPr>
              <w:spacing w:after="0" w:line="240" w:lineRule="auto"/>
              <w:contextualSpacing/>
              <w:jc w:val="center"/>
              <w:rPr>
                <w:rFonts w:ascii="Calibri" w:eastAsia="Times New Roman" w:hAnsi="Calibri" w:cs="Times New Roman"/>
                <w:color w:val="000000"/>
                <w:lang w:val="en-GB"/>
              </w:rPr>
            </w:pPr>
          </w:p>
        </w:tc>
        <w:tc>
          <w:tcPr>
            <w:tcW w:w="2617" w:type="dxa"/>
            <w:gridSpan w:val="2"/>
            <w:tcBorders>
              <w:top w:val="nil"/>
              <w:left w:val="nil"/>
              <w:bottom w:val="single" w:sz="4" w:space="0" w:color="auto"/>
              <w:right w:val="nil"/>
            </w:tcBorders>
            <w:shd w:val="clear" w:color="auto" w:fill="auto"/>
            <w:noWrap/>
            <w:hideMark/>
          </w:tcPr>
          <w:p w14:paraId="7C02DA10" w14:textId="77777777" w:rsidR="00E04BB5" w:rsidRPr="002B1625" w:rsidRDefault="00E04BB5" w:rsidP="00E04BB5">
            <w:pPr>
              <w:spacing w:after="0" w:line="240" w:lineRule="auto"/>
              <w:contextualSpacing/>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[incl.]</w:t>
            </w:r>
          </w:p>
        </w:tc>
        <w:tc>
          <w:tcPr>
            <w:tcW w:w="497" w:type="dxa"/>
            <w:tcBorders>
              <w:top w:val="nil"/>
              <w:left w:val="nil"/>
              <w:bottom w:val="single" w:sz="4" w:space="0" w:color="auto"/>
              <w:right w:val="nil"/>
            </w:tcBorders>
            <w:shd w:val="clear" w:color="auto" w:fill="auto"/>
            <w:noWrap/>
            <w:hideMark/>
          </w:tcPr>
          <w:p w14:paraId="14748656" w14:textId="77777777" w:rsidR="00E04BB5" w:rsidRPr="002B1625" w:rsidRDefault="00E04BB5" w:rsidP="00E04BB5">
            <w:pPr>
              <w:spacing w:after="0" w:line="240" w:lineRule="auto"/>
              <w:contextualSpacing/>
              <w:jc w:val="center"/>
              <w:rPr>
                <w:rFonts w:ascii="Calibri" w:eastAsia="Times New Roman" w:hAnsi="Calibri" w:cs="Times New Roman"/>
                <w:color w:val="000000"/>
                <w:lang w:val="en-GB"/>
              </w:rPr>
            </w:pPr>
          </w:p>
        </w:tc>
        <w:tc>
          <w:tcPr>
            <w:tcW w:w="2617" w:type="dxa"/>
            <w:gridSpan w:val="2"/>
            <w:tcBorders>
              <w:top w:val="nil"/>
              <w:left w:val="nil"/>
              <w:bottom w:val="single" w:sz="4" w:space="0" w:color="auto"/>
              <w:right w:val="nil"/>
            </w:tcBorders>
            <w:shd w:val="clear" w:color="auto" w:fill="auto"/>
            <w:noWrap/>
            <w:hideMark/>
          </w:tcPr>
          <w:p w14:paraId="555241B8" w14:textId="77777777" w:rsidR="00E04BB5" w:rsidRPr="002B1625" w:rsidRDefault="00E04BB5" w:rsidP="00E04BB5">
            <w:pPr>
              <w:spacing w:after="0" w:line="240" w:lineRule="auto"/>
              <w:contextualSpacing/>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[incl.]</w:t>
            </w:r>
          </w:p>
        </w:tc>
      </w:tr>
      <w:tr w:rsidR="00E04BB5" w:rsidRPr="002B1625" w14:paraId="607E3541" w14:textId="77777777" w:rsidTr="00E04BB5">
        <w:trPr>
          <w:trHeight w:val="302"/>
        </w:trPr>
        <w:tc>
          <w:tcPr>
            <w:tcW w:w="1431" w:type="dxa"/>
            <w:tcBorders>
              <w:top w:val="nil"/>
              <w:left w:val="nil"/>
              <w:bottom w:val="nil"/>
              <w:right w:val="nil"/>
            </w:tcBorders>
            <w:shd w:val="clear" w:color="auto" w:fill="auto"/>
            <w:noWrap/>
            <w:vAlign w:val="bottom"/>
            <w:hideMark/>
          </w:tcPr>
          <w:p w14:paraId="326FCDB8"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F</w:t>
            </w:r>
          </w:p>
        </w:tc>
        <w:tc>
          <w:tcPr>
            <w:tcW w:w="283" w:type="dxa"/>
            <w:tcBorders>
              <w:top w:val="nil"/>
              <w:left w:val="nil"/>
              <w:bottom w:val="nil"/>
              <w:right w:val="nil"/>
            </w:tcBorders>
            <w:shd w:val="clear" w:color="auto" w:fill="auto"/>
            <w:noWrap/>
            <w:vAlign w:val="bottom"/>
            <w:hideMark/>
          </w:tcPr>
          <w:p w14:paraId="0633CB16"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2708" w:type="dxa"/>
            <w:gridSpan w:val="2"/>
            <w:tcBorders>
              <w:top w:val="single" w:sz="4" w:space="0" w:color="auto"/>
              <w:left w:val="nil"/>
              <w:bottom w:val="nil"/>
              <w:right w:val="nil"/>
            </w:tcBorders>
            <w:shd w:val="clear" w:color="auto" w:fill="auto"/>
            <w:noWrap/>
            <w:vAlign w:val="bottom"/>
            <w:hideMark/>
          </w:tcPr>
          <w:p w14:paraId="0C02CA29"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11.07</w:t>
            </w:r>
          </w:p>
        </w:tc>
        <w:tc>
          <w:tcPr>
            <w:tcW w:w="705" w:type="dxa"/>
            <w:tcBorders>
              <w:top w:val="nil"/>
              <w:left w:val="nil"/>
              <w:bottom w:val="nil"/>
              <w:right w:val="nil"/>
            </w:tcBorders>
            <w:shd w:val="clear" w:color="auto" w:fill="auto"/>
            <w:noWrap/>
            <w:vAlign w:val="bottom"/>
            <w:hideMark/>
          </w:tcPr>
          <w:p w14:paraId="62123F17"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2370" w:type="dxa"/>
            <w:gridSpan w:val="2"/>
            <w:tcBorders>
              <w:top w:val="single" w:sz="4" w:space="0" w:color="auto"/>
              <w:left w:val="nil"/>
              <w:bottom w:val="nil"/>
              <w:right w:val="nil"/>
            </w:tcBorders>
            <w:shd w:val="clear" w:color="auto" w:fill="auto"/>
            <w:noWrap/>
            <w:vAlign w:val="bottom"/>
          </w:tcPr>
          <w:p w14:paraId="710B3809"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12.29</w:t>
            </w:r>
          </w:p>
        </w:tc>
        <w:tc>
          <w:tcPr>
            <w:tcW w:w="497" w:type="dxa"/>
            <w:tcBorders>
              <w:top w:val="nil"/>
              <w:left w:val="nil"/>
              <w:bottom w:val="nil"/>
              <w:right w:val="nil"/>
            </w:tcBorders>
            <w:shd w:val="clear" w:color="auto" w:fill="auto"/>
            <w:noWrap/>
            <w:vAlign w:val="bottom"/>
          </w:tcPr>
          <w:p w14:paraId="56719393"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2617" w:type="dxa"/>
            <w:gridSpan w:val="2"/>
            <w:tcBorders>
              <w:top w:val="single" w:sz="4" w:space="0" w:color="auto"/>
              <w:left w:val="nil"/>
              <w:bottom w:val="nil"/>
              <w:right w:val="nil"/>
            </w:tcBorders>
            <w:shd w:val="clear" w:color="auto" w:fill="auto"/>
            <w:noWrap/>
            <w:vAlign w:val="bottom"/>
          </w:tcPr>
          <w:p w14:paraId="5E37543A"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8.10</w:t>
            </w:r>
          </w:p>
        </w:tc>
        <w:tc>
          <w:tcPr>
            <w:tcW w:w="497" w:type="dxa"/>
            <w:tcBorders>
              <w:top w:val="nil"/>
              <w:left w:val="nil"/>
              <w:bottom w:val="nil"/>
              <w:right w:val="nil"/>
            </w:tcBorders>
            <w:shd w:val="clear" w:color="auto" w:fill="auto"/>
            <w:noWrap/>
            <w:vAlign w:val="bottom"/>
          </w:tcPr>
          <w:p w14:paraId="0BA72F82"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2617" w:type="dxa"/>
            <w:gridSpan w:val="2"/>
            <w:tcBorders>
              <w:top w:val="single" w:sz="4" w:space="0" w:color="auto"/>
              <w:left w:val="nil"/>
              <w:bottom w:val="nil"/>
              <w:right w:val="nil"/>
            </w:tcBorders>
            <w:shd w:val="clear" w:color="auto" w:fill="auto"/>
            <w:noWrap/>
            <w:vAlign w:val="bottom"/>
          </w:tcPr>
          <w:p w14:paraId="27D63A10"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4.59</w:t>
            </w:r>
          </w:p>
        </w:tc>
      </w:tr>
      <w:tr w:rsidR="00E04BB5" w:rsidRPr="002B1625" w14:paraId="2E8A004E" w14:textId="77777777" w:rsidTr="00E04BB5">
        <w:trPr>
          <w:trHeight w:val="302"/>
        </w:trPr>
        <w:tc>
          <w:tcPr>
            <w:tcW w:w="1431" w:type="dxa"/>
            <w:tcBorders>
              <w:top w:val="nil"/>
              <w:left w:val="nil"/>
              <w:bottom w:val="nil"/>
              <w:right w:val="nil"/>
            </w:tcBorders>
            <w:shd w:val="clear" w:color="auto" w:fill="auto"/>
            <w:noWrap/>
            <w:vAlign w:val="bottom"/>
            <w:hideMark/>
          </w:tcPr>
          <w:p w14:paraId="64CDD65A" w14:textId="77777777" w:rsidR="00E04BB5" w:rsidRPr="002B1625" w:rsidRDefault="00E04BB5" w:rsidP="00E04BB5">
            <w:pPr>
              <w:spacing w:after="0" w:line="240" w:lineRule="auto"/>
              <w:rPr>
                <w:rFonts w:ascii="Calibri" w:eastAsia="Times New Roman" w:hAnsi="Calibri" w:cs="Times New Roman"/>
                <w:color w:val="000000"/>
                <w:lang w:val="en-GB"/>
              </w:rPr>
            </w:pPr>
            <w:proofErr w:type="spellStart"/>
            <w:r w:rsidRPr="002B1625">
              <w:rPr>
                <w:rFonts w:ascii="Calibri" w:eastAsia="Times New Roman" w:hAnsi="Calibri" w:cs="Times New Roman"/>
                <w:color w:val="000000"/>
                <w:lang w:val="en-GB"/>
              </w:rPr>
              <w:t>Prob</w:t>
            </w:r>
            <w:proofErr w:type="spellEnd"/>
            <w:r w:rsidRPr="002B1625">
              <w:rPr>
                <w:rFonts w:ascii="Calibri" w:eastAsia="Times New Roman" w:hAnsi="Calibri" w:cs="Times New Roman"/>
                <w:color w:val="000000"/>
                <w:lang w:val="en-GB"/>
              </w:rPr>
              <w:t xml:space="preserve"> &gt; F</w:t>
            </w:r>
          </w:p>
        </w:tc>
        <w:tc>
          <w:tcPr>
            <w:tcW w:w="283" w:type="dxa"/>
            <w:tcBorders>
              <w:top w:val="nil"/>
              <w:left w:val="nil"/>
              <w:bottom w:val="nil"/>
              <w:right w:val="nil"/>
            </w:tcBorders>
            <w:shd w:val="clear" w:color="auto" w:fill="auto"/>
            <w:noWrap/>
            <w:vAlign w:val="bottom"/>
            <w:hideMark/>
          </w:tcPr>
          <w:p w14:paraId="47A52F6F"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2708" w:type="dxa"/>
            <w:gridSpan w:val="2"/>
            <w:tcBorders>
              <w:top w:val="nil"/>
              <w:left w:val="nil"/>
              <w:bottom w:val="nil"/>
              <w:right w:val="nil"/>
            </w:tcBorders>
            <w:shd w:val="clear" w:color="auto" w:fill="auto"/>
            <w:noWrap/>
            <w:vAlign w:val="bottom"/>
            <w:hideMark/>
          </w:tcPr>
          <w:p w14:paraId="27198F04"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c>
          <w:tcPr>
            <w:tcW w:w="705" w:type="dxa"/>
            <w:tcBorders>
              <w:top w:val="nil"/>
              <w:left w:val="nil"/>
              <w:bottom w:val="nil"/>
              <w:right w:val="nil"/>
            </w:tcBorders>
            <w:shd w:val="clear" w:color="auto" w:fill="auto"/>
            <w:noWrap/>
            <w:vAlign w:val="bottom"/>
            <w:hideMark/>
          </w:tcPr>
          <w:p w14:paraId="1A905031"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2370" w:type="dxa"/>
            <w:gridSpan w:val="2"/>
            <w:tcBorders>
              <w:top w:val="nil"/>
              <w:left w:val="nil"/>
              <w:bottom w:val="nil"/>
              <w:right w:val="nil"/>
            </w:tcBorders>
            <w:shd w:val="clear" w:color="auto" w:fill="auto"/>
            <w:noWrap/>
            <w:vAlign w:val="bottom"/>
          </w:tcPr>
          <w:p w14:paraId="2D612312"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c>
          <w:tcPr>
            <w:tcW w:w="497" w:type="dxa"/>
            <w:tcBorders>
              <w:top w:val="nil"/>
              <w:left w:val="nil"/>
              <w:bottom w:val="nil"/>
              <w:right w:val="nil"/>
            </w:tcBorders>
            <w:shd w:val="clear" w:color="auto" w:fill="auto"/>
            <w:noWrap/>
            <w:vAlign w:val="bottom"/>
          </w:tcPr>
          <w:p w14:paraId="028B3705"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2617" w:type="dxa"/>
            <w:gridSpan w:val="2"/>
            <w:tcBorders>
              <w:top w:val="nil"/>
              <w:left w:val="nil"/>
              <w:bottom w:val="nil"/>
              <w:right w:val="nil"/>
            </w:tcBorders>
            <w:shd w:val="clear" w:color="auto" w:fill="auto"/>
            <w:noWrap/>
            <w:vAlign w:val="bottom"/>
          </w:tcPr>
          <w:p w14:paraId="31CA6740"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c>
          <w:tcPr>
            <w:tcW w:w="497" w:type="dxa"/>
            <w:tcBorders>
              <w:top w:val="nil"/>
              <w:left w:val="nil"/>
              <w:bottom w:val="nil"/>
              <w:right w:val="nil"/>
            </w:tcBorders>
            <w:shd w:val="clear" w:color="auto" w:fill="auto"/>
            <w:noWrap/>
            <w:vAlign w:val="bottom"/>
          </w:tcPr>
          <w:p w14:paraId="3CE7D114"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2617" w:type="dxa"/>
            <w:gridSpan w:val="2"/>
            <w:tcBorders>
              <w:top w:val="nil"/>
              <w:left w:val="nil"/>
              <w:bottom w:val="nil"/>
              <w:right w:val="nil"/>
            </w:tcBorders>
            <w:shd w:val="clear" w:color="auto" w:fill="auto"/>
            <w:noWrap/>
            <w:vAlign w:val="bottom"/>
          </w:tcPr>
          <w:p w14:paraId="244CBA0B"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.000</w:t>
            </w:r>
          </w:p>
        </w:tc>
      </w:tr>
      <w:tr w:rsidR="00E04BB5" w:rsidRPr="002B1625" w14:paraId="0477CF41" w14:textId="77777777" w:rsidTr="00E04BB5">
        <w:trPr>
          <w:trHeight w:val="340"/>
        </w:trPr>
        <w:tc>
          <w:tcPr>
            <w:tcW w:w="1431" w:type="dxa"/>
            <w:tcBorders>
              <w:top w:val="nil"/>
              <w:left w:val="nil"/>
              <w:bottom w:val="single" w:sz="4" w:space="0" w:color="auto"/>
              <w:right w:val="nil"/>
            </w:tcBorders>
            <w:shd w:val="clear" w:color="auto" w:fill="auto"/>
            <w:noWrap/>
            <w:vAlign w:val="bottom"/>
            <w:hideMark/>
          </w:tcPr>
          <w:p w14:paraId="7F3A6EAC" w14:textId="77777777" w:rsidR="00E04BB5" w:rsidRPr="00D44903"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Adj. R</w:t>
            </w:r>
            <w:r w:rsidRPr="002B1625">
              <w:rPr>
                <w:rFonts w:ascii="Calibri" w:eastAsia="Times New Roman" w:hAnsi="Calibri" w:cs="Times New Roman"/>
                <w:color w:val="000000"/>
                <w:vertAlign w:val="superscript"/>
                <w:lang w:val="en-GB"/>
              </w:rPr>
              <w:t>2</w:t>
            </w:r>
          </w:p>
        </w:tc>
        <w:tc>
          <w:tcPr>
            <w:tcW w:w="283" w:type="dxa"/>
            <w:tcBorders>
              <w:top w:val="nil"/>
              <w:left w:val="nil"/>
              <w:bottom w:val="single" w:sz="4" w:space="0" w:color="auto"/>
              <w:right w:val="nil"/>
            </w:tcBorders>
            <w:shd w:val="clear" w:color="auto" w:fill="auto"/>
            <w:noWrap/>
            <w:vAlign w:val="bottom"/>
            <w:hideMark/>
          </w:tcPr>
          <w:p w14:paraId="7FB4C17B"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2708" w:type="dxa"/>
            <w:gridSpan w:val="2"/>
            <w:tcBorders>
              <w:top w:val="nil"/>
              <w:left w:val="nil"/>
              <w:bottom w:val="single" w:sz="4" w:space="0" w:color="auto"/>
              <w:right w:val="nil"/>
            </w:tcBorders>
            <w:shd w:val="clear" w:color="auto" w:fill="auto"/>
            <w:noWrap/>
            <w:vAlign w:val="bottom"/>
            <w:hideMark/>
          </w:tcPr>
          <w:p w14:paraId="546F7568"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.22</w:t>
            </w:r>
          </w:p>
        </w:tc>
        <w:tc>
          <w:tcPr>
            <w:tcW w:w="705" w:type="dxa"/>
            <w:tcBorders>
              <w:top w:val="nil"/>
              <w:left w:val="nil"/>
              <w:bottom w:val="single" w:sz="4" w:space="0" w:color="auto"/>
              <w:right w:val="nil"/>
            </w:tcBorders>
            <w:shd w:val="clear" w:color="auto" w:fill="auto"/>
            <w:noWrap/>
            <w:vAlign w:val="bottom"/>
            <w:hideMark/>
          </w:tcPr>
          <w:p w14:paraId="52F7FC02"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2370" w:type="dxa"/>
            <w:gridSpan w:val="2"/>
            <w:tcBorders>
              <w:top w:val="nil"/>
              <w:left w:val="nil"/>
              <w:bottom w:val="single" w:sz="4" w:space="0" w:color="auto"/>
              <w:right w:val="nil"/>
            </w:tcBorders>
            <w:shd w:val="clear" w:color="auto" w:fill="auto"/>
            <w:noWrap/>
            <w:vAlign w:val="bottom"/>
          </w:tcPr>
          <w:p w14:paraId="0E8BC1C8"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.24</w:t>
            </w:r>
          </w:p>
        </w:tc>
        <w:tc>
          <w:tcPr>
            <w:tcW w:w="497" w:type="dxa"/>
            <w:tcBorders>
              <w:top w:val="nil"/>
              <w:left w:val="nil"/>
              <w:bottom w:val="single" w:sz="4" w:space="0" w:color="auto"/>
              <w:right w:val="nil"/>
            </w:tcBorders>
            <w:shd w:val="clear" w:color="auto" w:fill="auto"/>
            <w:noWrap/>
            <w:vAlign w:val="bottom"/>
          </w:tcPr>
          <w:p w14:paraId="2295BC19"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2617" w:type="dxa"/>
            <w:gridSpan w:val="2"/>
            <w:tcBorders>
              <w:top w:val="nil"/>
              <w:left w:val="nil"/>
              <w:bottom w:val="single" w:sz="4" w:space="0" w:color="auto"/>
              <w:right w:val="nil"/>
            </w:tcBorders>
            <w:shd w:val="clear" w:color="auto" w:fill="auto"/>
            <w:noWrap/>
            <w:vAlign w:val="bottom"/>
          </w:tcPr>
          <w:p w14:paraId="655DC586"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.21</w:t>
            </w:r>
          </w:p>
        </w:tc>
        <w:tc>
          <w:tcPr>
            <w:tcW w:w="497" w:type="dxa"/>
            <w:tcBorders>
              <w:top w:val="nil"/>
              <w:left w:val="nil"/>
              <w:bottom w:val="single" w:sz="4" w:space="0" w:color="auto"/>
              <w:right w:val="nil"/>
            </w:tcBorders>
            <w:shd w:val="clear" w:color="auto" w:fill="auto"/>
            <w:noWrap/>
            <w:vAlign w:val="bottom"/>
          </w:tcPr>
          <w:p w14:paraId="596F9998"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2617" w:type="dxa"/>
            <w:gridSpan w:val="2"/>
            <w:tcBorders>
              <w:top w:val="nil"/>
              <w:left w:val="nil"/>
              <w:bottom w:val="single" w:sz="4" w:space="0" w:color="auto"/>
              <w:right w:val="nil"/>
            </w:tcBorders>
            <w:shd w:val="clear" w:color="auto" w:fill="auto"/>
            <w:noWrap/>
            <w:vAlign w:val="bottom"/>
          </w:tcPr>
          <w:p w14:paraId="296435FC"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.16</w:t>
            </w:r>
          </w:p>
        </w:tc>
      </w:tr>
    </w:tbl>
    <w:p w14:paraId="0356A7C4" w14:textId="77777777" w:rsidR="00E04BB5" w:rsidRPr="002B1625" w:rsidRDefault="00E04BB5" w:rsidP="00E04BB5">
      <w:pPr>
        <w:autoSpaceDE w:val="0"/>
        <w:autoSpaceDN w:val="0"/>
        <w:adjustRightInd w:val="0"/>
        <w:spacing w:after="0" w:line="360" w:lineRule="auto"/>
        <w:jc w:val="both"/>
        <w:rPr>
          <w:rFonts w:ascii="Arial" w:hAnsi="Arial" w:cs="Arial"/>
          <w:sz w:val="20"/>
          <w:szCs w:val="20"/>
          <w:lang w:val="en-GB"/>
        </w:rPr>
      </w:pPr>
      <w:r w:rsidRPr="002B1625">
        <w:rPr>
          <w:sz w:val="20"/>
          <w:szCs w:val="20"/>
          <w:lang w:val="en-GB"/>
        </w:rPr>
        <w:t>*p&lt;.10, **p&lt;.05, ***p&lt;0.01</w:t>
      </w:r>
    </w:p>
    <w:p w14:paraId="2E6EB1B1" w14:textId="77777777" w:rsidR="00E04BB5" w:rsidRPr="002B1625" w:rsidRDefault="00E04BB5" w:rsidP="00E04BB5">
      <w:pPr>
        <w:rPr>
          <w:b/>
          <w:lang w:val="en-GB"/>
        </w:rPr>
      </w:pPr>
    </w:p>
    <w:p w14:paraId="67A3A293" w14:textId="77777777" w:rsidR="00E04BB5" w:rsidRPr="002B1625" w:rsidRDefault="00E04BB5" w:rsidP="00E04BB5">
      <w:pPr>
        <w:rPr>
          <w:b/>
          <w:lang w:val="en-GB"/>
        </w:rPr>
      </w:pPr>
      <w:r w:rsidRPr="002B1625">
        <w:rPr>
          <w:b/>
          <w:lang w:val="en-GB"/>
        </w:rPr>
        <w:br w:type="page"/>
      </w:r>
    </w:p>
    <w:p w14:paraId="0BA0C1FD" w14:textId="77777777" w:rsidR="00E04BB5" w:rsidRPr="002B1625" w:rsidRDefault="00E04BB5" w:rsidP="00E04BB5">
      <w:pPr>
        <w:rPr>
          <w:b/>
          <w:lang w:val="en-GB"/>
        </w:rPr>
        <w:sectPr w:rsidR="00E04BB5" w:rsidRPr="002B1625" w:rsidSect="00E04BB5">
          <w:pgSz w:w="16838" w:h="11906" w:orient="landscape"/>
          <w:pgMar w:top="1134" w:right="1418" w:bottom="1134" w:left="1134" w:header="709" w:footer="709" w:gutter="0"/>
          <w:cols w:space="708"/>
          <w:docGrid w:linePitch="360"/>
        </w:sectPr>
      </w:pPr>
    </w:p>
    <w:p w14:paraId="313EBF8F" w14:textId="2A8F7D36" w:rsidR="00E04BB5" w:rsidRPr="002B1625" w:rsidRDefault="00E04BB5" w:rsidP="00E04BB5">
      <w:pPr>
        <w:rPr>
          <w:b/>
          <w:lang w:val="en-GB"/>
        </w:rPr>
      </w:pPr>
      <w:r w:rsidRPr="002B1625">
        <w:rPr>
          <w:b/>
          <w:lang w:val="en-GB"/>
        </w:rPr>
        <w:lastRenderedPageBreak/>
        <w:t xml:space="preserve">TABLE 3. Decomposition analysis: </w:t>
      </w:r>
      <w:r w:rsidR="00876D53">
        <w:rPr>
          <w:b/>
          <w:lang w:val="en-GB"/>
        </w:rPr>
        <w:t xml:space="preserve">NY vs. </w:t>
      </w:r>
      <w:proofErr w:type="spellStart"/>
      <w:r w:rsidR="00876D53">
        <w:rPr>
          <w:b/>
          <w:lang w:val="en-GB"/>
        </w:rPr>
        <w:t>RoW</w:t>
      </w:r>
      <w:proofErr w:type="spellEnd"/>
      <w:r w:rsidRPr="002B1625">
        <w:rPr>
          <w:b/>
          <w:lang w:val="en-GB"/>
        </w:rPr>
        <w:t>, 2000-2019</w:t>
      </w:r>
    </w:p>
    <w:tbl>
      <w:tblPr>
        <w:tblW w:w="12618" w:type="dxa"/>
        <w:tblInd w:w="57" w:type="dxa"/>
        <w:tblCellMar>
          <w:left w:w="70" w:type="dxa"/>
          <w:right w:w="70" w:type="dxa"/>
        </w:tblCellMar>
        <w:tblLook w:val="04A0" w:firstRow="1" w:lastRow="0" w:firstColumn="1" w:lastColumn="0" w:noHBand="0" w:noVBand="1"/>
      </w:tblPr>
      <w:tblGrid>
        <w:gridCol w:w="2886"/>
        <w:gridCol w:w="396"/>
        <w:gridCol w:w="303"/>
        <w:gridCol w:w="1216"/>
        <w:gridCol w:w="693"/>
        <w:gridCol w:w="303"/>
        <w:gridCol w:w="1001"/>
        <w:gridCol w:w="861"/>
        <w:gridCol w:w="326"/>
        <w:gridCol w:w="1002"/>
        <w:gridCol w:w="955"/>
        <w:gridCol w:w="326"/>
        <w:gridCol w:w="1000"/>
        <w:gridCol w:w="1024"/>
        <w:gridCol w:w="326"/>
      </w:tblGrid>
      <w:tr w:rsidR="00E04BB5" w:rsidRPr="00876D53" w14:paraId="586A7692" w14:textId="77777777" w:rsidTr="00E04BB5">
        <w:trPr>
          <w:trHeight w:val="317"/>
        </w:trPr>
        <w:tc>
          <w:tcPr>
            <w:tcW w:w="2886" w:type="dxa"/>
            <w:tcBorders>
              <w:top w:val="single" w:sz="4" w:space="0" w:color="auto"/>
              <w:left w:val="nil"/>
              <w:bottom w:val="nil"/>
              <w:right w:val="nil"/>
            </w:tcBorders>
            <w:shd w:val="clear" w:color="auto" w:fill="auto"/>
            <w:noWrap/>
            <w:vAlign w:val="bottom"/>
            <w:hideMark/>
          </w:tcPr>
          <w:p w14:paraId="4F4790B6"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396" w:type="dxa"/>
            <w:tcBorders>
              <w:top w:val="single" w:sz="4" w:space="0" w:color="auto"/>
              <w:left w:val="nil"/>
              <w:bottom w:val="nil"/>
              <w:right w:val="nil"/>
            </w:tcBorders>
            <w:shd w:val="clear" w:color="auto" w:fill="auto"/>
            <w:noWrap/>
            <w:vAlign w:val="bottom"/>
            <w:hideMark/>
          </w:tcPr>
          <w:p w14:paraId="07878610"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303" w:type="dxa"/>
            <w:tcBorders>
              <w:top w:val="single" w:sz="4" w:space="0" w:color="auto"/>
              <w:left w:val="nil"/>
              <w:bottom w:val="nil"/>
              <w:right w:val="nil"/>
            </w:tcBorders>
            <w:shd w:val="clear" w:color="auto" w:fill="auto"/>
            <w:noWrap/>
            <w:vAlign w:val="bottom"/>
            <w:hideMark/>
          </w:tcPr>
          <w:p w14:paraId="752ED586"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8707" w:type="dxa"/>
            <w:gridSpan w:val="11"/>
            <w:tcBorders>
              <w:top w:val="single" w:sz="4" w:space="0" w:color="auto"/>
              <w:left w:val="nil"/>
              <w:bottom w:val="single" w:sz="4" w:space="0" w:color="auto"/>
              <w:right w:val="nil"/>
            </w:tcBorders>
            <w:shd w:val="clear" w:color="auto" w:fill="auto"/>
            <w:noWrap/>
            <w:vAlign w:val="bottom"/>
            <w:hideMark/>
          </w:tcPr>
          <w:p w14:paraId="20C25AFC"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RIF-based Oaxaca-Blinder</w:t>
            </w:r>
          </w:p>
        </w:tc>
        <w:tc>
          <w:tcPr>
            <w:tcW w:w="326" w:type="dxa"/>
            <w:tcBorders>
              <w:top w:val="nil"/>
              <w:left w:val="nil"/>
              <w:bottom w:val="nil"/>
              <w:right w:val="nil"/>
            </w:tcBorders>
            <w:shd w:val="clear" w:color="auto" w:fill="auto"/>
            <w:noWrap/>
            <w:vAlign w:val="bottom"/>
            <w:hideMark/>
          </w:tcPr>
          <w:p w14:paraId="5B293F33"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876D53" w14:paraId="6DFB0C0D" w14:textId="77777777" w:rsidTr="00E04BB5">
        <w:trPr>
          <w:trHeight w:val="317"/>
        </w:trPr>
        <w:tc>
          <w:tcPr>
            <w:tcW w:w="2886" w:type="dxa"/>
            <w:tcBorders>
              <w:top w:val="nil"/>
              <w:left w:val="nil"/>
              <w:right w:val="nil"/>
            </w:tcBorders>
            <w:shd w:val="clear" w:color="auto" w:fill="auto"/>
            <w:noWrap/>
            <w:vAlign w:val="bottom"/>
            <w:hideMark/>
          </w:tcPr>
          <w:p w14:paraId="0753A03A"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396" w:type="dxa"/>
            <w:tcBorders>
              <w:top w:val="nil"/>
              <w:left w:val="nil"/>
              <w:right w:val="nil"/>
            </w:tcBorders>
            <w:shd w:val="clear" w:color="auto" w:fill="auto"/>
            <w:noWrap/>
            <w:vAlign w:val="bottom"/>
            <w:hideMark/>
          </w:tcPr>
          <w:p w14:paraId="2E3674BD"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303" w:type="dxa"/>
            <w:tcBorders>
              <w:top w:val="nil"/>
              <w:left w:val="nil"/>
              <w:right w:val="nil"/>
            </w:tcBorders>
            <w:shd w:val="clear" w:color="auto" w:fill="auto"/>
            <w:noWrap/>
            <w:vAlign w:val="bottom"/>
            <w:hideMark/>
          </w:tcPr>
          <w:p w14:paraId="7A293BD1"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909" w:type="dxa"/>
            <w:gridSpan w:val="2"/>
            <w:tcBorders>
              <w:top w:val="nil"/>
              <w:left w:val="nil"/>
              <w:right w:val="nil"/>
            </w:tcBorders>
            <w:shd w:val="clear" w:color="auto" w:fill="auto"/>
            <w:noWrap/>
            <w:vAlign w:val="bottom"/>
            <w:hideMark/>
          </w:tcPr>
          <w:p w14:paraId="1AE8B3DE" w14:textId="519DFD23" w:rsidR="00E04BB5" w:rsidRPr="002B1625" w:rsidRDefault="00E04BB5" w:rsidP="004272AE">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25th </w:t>
            </w:r>
            <w:r w:rsidR="004272AE" w:rsidRPr="002B1625">
              <w:rPr>
                <w:rFonts w:ascii="Calibri" w:eastAsia="Times New Roman" w:hAnsi="Calibri" w:cs="Times New Roman"/>
                <w:color w:val="000000"/>
                <w:lang w:val="en-GB"/>
              </w:rPr>
              <w:t>percentile</w:t>
            </w:r>
          </w:p>
        </w:tc>
        <w:tc>
          <w:tcPr>
            <w:tcW w:w="303" w:type="dxa"/>
            <w:tcBorders>
              <w:top w:val="nil"/>
              <w:left w:val="nil"/>
              <w:right w:val="nil"/>
            </w:tcBorders>
            <w:shd w:val="clear" w:color="auto" w:fill="auto"/>
            <w:noWrap/>
            <w:vAlign w:val="bottom"/>
            <w:hideMark/>
          </w:tcPr>
          <w:p w14:paraId="6C4917B3"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862" w:type="dxa"/>
            <w:gridSpan w:val="2"/>
            <w:tcBorders>
              <w:top w:val="nil"/>
              <w:left w:val="nil"/>
              <w:right w:val="nil"/>
            </w:tcBorders>
            <w:shd w:val="clear" w:color="auto" w:fill="auto"/>
            <w:noWrap/>
            <w:vAlign w:val="bottom"/>
            <w:hideMark/>
          </w:tcPr>
          <w:p w14:paraId="4B1F15E1" w14:textId="32D7B6AE"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50th </w:t>
            </w:r>
            <w:r w:rsidR="004272AE" w:rsidRPr="002B1625">
              <w:rPr>
                <w:rFonts w:ascii="Calibri" w:eastAsia="Times New Roman" w:hAnsi="Calibri" w:cs="Times New Roman"/>
                <w:color w:val="000000"/>
                <w:lang w:val="en-GB"/>
              </w:rPr>
              <w:t>percentile</w:t>
            </w:r>
          </w:p>
        </w:tc>
        <w:tc>
          <w:tcPr>
            <w:tcW w:w="326" w:type="dxa"/>
            <w:tcBorders>
              <w:top w:val="nil"/>
              <w:left w:val="nil"/>
              <w:right w:val="nil"/>
            </w:tcBorders>
            <w:shd w:val="clear" w:color="auto" w:fill="auto"/>
            <w:noWrap/>
            <w:vAlign w:val="bottom"/>
            <w:hideMark/>
          </w:tcPr>
          <w:p w14:paraId="0297294A"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957" w:type="dxa"/>
            <w:gridSpan w:val="2"/>
            <w:tcBorders>
              <w:top w:val="nil"/>
              <w:left w:val="nil"/>
              <w:right w:val="nil"/>
            </w:tcBorders>
            <w:shd w:val="clear" w:color="auto" w:fill="auto"/>
            <w:noWrap/>
            <w:vAlign w:val="bottom"/>
            <w:hideMark/>
          </w:tcPr>
          <w:p w14:paraId="7C17B978" w14:textId="53D6F463"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75th </w:t>
            </w:r>
            <w:r w:rsidR="004272AE" w:rsidRPr="002B1625">
              <w:rPr>
                <w:rFonts w:ascii="Calibri" w:eastAsia="Times New Roman" w:hAnsi="Calibri" w:cs="Times New Roman"/>
                <w:color w:val="000000"/>
                <w:lang w:val="en-GB"/>
              </w:rPr>
              <w:t>percentile</w:t>
            </w:r>
          </w:p>
        </w:tc>
        <w:tc>
          <w:tcPr>
            <w:tcW w:w="326" w:type="dxa"/>
            <w:tcBorders>
              <w:top w:val="nil"/>
              <w:left w:val="nil"/>
              <w:right w:val="nil"/>
            </w:tcBorders>
            <w:shd w:val="clear" w:color="auto" w:fill="auto"/>
            <w:noWrap/>
            <w:vAlign w:val="bottom"/>
            <w:hideMark/>
          </w:tcPr>
          <w:p w14:paraId="35333CA3"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2024" w:type="dxa"/>
            <w:gridSpan w:val="2"/>
            <w:tcBorders>
              <w:top w:val="nil"/>
              <w:left w:val="nil"/>
              <w:right w:val="nil"/>
            </w:tcBorders>
            <w:shd w:val="clear" w:color="auto" w:fill="auto"/>
            <w:noWrap/>
            <w:vAlign w:val="bottom"/>
            <w:hideMark/>
          </w:tcPr>
          <w:p w14:paraId="09AA165B" w14:textId="636DB2A0"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90th </w:t>
            </w:r>
            <w:r w:rsidR="004272AE" w:rsidRPr="002B1625">
              <w:rPr>
                <w:rFonts w:ascii="Calibri" w:eastAsia="Times New Roman" w:hAnsi="Calibri" w:cs="Times New Roman"/>
                <w:color w:val="000000"/>
                <w:lang w:val="en-GB"/>
              </w:rPr>
              <w:t>percentile</w:t>
            </w:r>
          </w:p>
        </w:tc>
        <w:tc>
          <w:tcPr>
            <w:tcW w:w="326" w:type="dxa"/>
            <w:tcBorders>
              <w:top w:val="nil"/>
              <w:left w:val="nil"/>
              <w:bottom w:val="nil"/>
              <w:right w:val="nil"/>
            </w:tcBorders>
            <w:shd w:val="clear" w:color="auto" w:fill="auto"/>
            <w:noWrap/>
            <w:vAlign w:val="bottom"/>
            <w:hideMark/>
          </w:tcPr>
          <w:p w14:paraId="5D284C11"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79C13A48" w14:textId="77777777" w:rsidTr="00E04BB5">
        <w:trPr>
          <w:trHeight w:val="317"/>
        </w:trPr>
        <w:tc>
          <w:tcPr>
            <w:tcW w:w="2886" w:type="dxa"/>
            <w:tcBorders>
              <w:top w:val="nil"/>
              <w:left w:val="nil"/>
              <w:bottom w:val="single" w:sz="4" w:space="0" w:color="auto"/>
              <w:right w:val="nil"/>
            </w:tcBorders>
            <w:shd w:val="clear" w:color="auto" w:fill="auto"/>
            <w:noWrap/>
            <w:vAlign w:val="bottom"/>
            <w:hideMark/>
          </w:tcPr>
          <w:p w14:paraId="530A53CB"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396" w:type="dxa"/>
            <w:tcBorders>
              <w:top w:val="nil"/>
              <w:left w:val="nil"/>
              <w:bottom w:val="single" w:sz="4" w:space="0" w:color="auto"/>
              <w:right w:val="nil"/>
            </w:tcBorders>
            <w:shd w:val="clear" w:color="auto" w:fill="auto"/>
            <w:noWrap/>
            <w:vAlign w:val="bottom"/>
            <w:hideMark/>
          </w:tcPr>
          <w:p w14:paraId="4E3D835D"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303" w:type="dxa"/>
            <w:tcBorders>
              <w:top w:val="nil"/>
              <w:left w:val="nil"/>
              <w:bottom w:val="single" w:sz="4" w:space="0" w:color="auto"/>
              <w:right w:val="nil"/>
            </w:tcBorders>
            <w:shd w:val="clear" w:color="auto" w:fill="auto"/>
            <w:noWrap/>
            <w:vAlign w:val="bottom"/>
            <w:hideMark/>
          </w:tcPr>
          <w:p w14:paraId="28E560DA"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216" w:type="dxa"/>
            <w:tcBorders>
              <w:top w:val="nil"/>
              <w:left w:val="nil"/>
              <w:bottom w:val="single" w:sz="4" w:space="0" w:color="auto"/>
              <w:right w:val="nil"/>
            </w:tcBorders>
            <w:shd w:val="clear" w:color="auto" w:fill="auto"/>
            <w:noWrap/>
            <w:vAlign w:val="bottom"/>
            <w:hideMark/>
          </w:tcPr>
          <w:p w14:paraId="02C14B6A" w14:textId="77777777" w:rsidR="00E04BB5" w:rsidRPr="002B1625" w:rsidRDefault="00E04BB5" w:rsidP="00E04BB5">
            <w:pPr>
              <w:spacing w:after="0" w:line="240" w:lineRule="auto"/>
              <w:jc w:val="center"/>
              <w:rPr>
                <w:rFonts w:ascii="Symbol" w:eastAsia="Times New Roman" w:hAnsi="Symbol" w:cs="Times New Roman"/>
                <w:color w:val="000000"/>
                <w:lang w:val="en-GB"/>
              </w:rPr>
            </w:pPr>
            <w:r w:rsidRPr="002B1625">
              <w:rPr>
                <w:rFonts w:ascii="Symbol" w:eastAsia="Times New Roman" w:hAnsi="Symbol" w:cs="Times New Roman"/>
                <w:color w:val="000000"/>
                <w:lang w:val="en-GB"/>
              </w:rPr>
              <w:t></w:t>
            </w:r>
          </w:p>
        </w:tc>
        <w:tc>
          <w:tcPr>
            <w:tcW w:w="693" w:type="dxa"/>
            <w:tcBorders>
              <w:top w:val="nil"/>
              <w:left w:val="nil"/>
              <w:bottom w:val="single" w:sz="4" w:space="0" w:color="auto"/>
              <w:right w:val="nil"/>
            </w:tcBorders>
            <w:shd w:val="clear" w:color="auto" w:fill="auto"/>
            <w:noWrap/>
            <w:vAlign w:val="bottom"/>
            <w:hideMark/>
          </w:tcPr>
          <w:p w14:paraId="4C76C82C"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Std. Err.</w:t>
            </w:r>
          </w:p>
        </w:tc>
        <w:tc>
          <w:tcPr>
            <w:tcW w:w="303" w:type="dxa"/>
            <w:tcBorders>
              <w:top w:val="nil"/>
              <w:left w:val="nil"/>
              <w:bottom w:val="single" w:sz="4" w:space="0" w:color="auto"/>
              <w:right w:val="nil"/>
            </w:tcBorders>
            <w:shd w:val="clear" w:color="auto" w:fill="auto"/>
            <w:noWrap/>
            <w:vAlign w:val="bottom"/>
            <w:hideMark/>
          </w:tcPr>
          <w:p w14:paraId="03EA0F57"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01" w:type="dxa"/>
            <w:tcBorders>
              <w:top w:val="nil"/>
              <w:left w:val="nil"/>
              <w:bottom w:val="single" w:sz="4" w:space="0" w:color="auto"/>
              <w:right w:val="nil"/>
            </w:tcBorders>
            <w:shd w:val="clear" w:color="auto" w:fill="auto"/>
            <w:noWrap/>
            <w:vAlign w:val="bottom"/>
            <w:hideMark/>
          </w:tcPr>
          <w:p w14:paraId="455B2E6F" w14:textId="77777777" w:rsidR="00E04BB5" w:rsidRPr="002B1625" w:rsidRDefault="00E04BB5" w:rsidP="00E04BB5">
            <w:pPr>
              <w:spacing w:after="0" w:line="240" w:lineRule="auto"/>
              <w:jc w:val="center"/>
              <w:rPr>
                <w:rFonts w:ascii="Symbol" w:eastAsia="Times New Roman" w:hAnsi="Symbol" w:cs="Times New Roman"/>
                <w:color w:val="000000"/>
                <w:lang w:val="en-GB"/>
              </w:rPr>
            </w:pPr>
            <w:r w:rsidRPr="002B1625">
              <w:rPr>
                <w:rFonts w:ascii="Symbol" w:eastAsia="Times New Roman" w:hAnsi="Symbol" w:cs="Times New Roman"/>
                <w:color w:val="000000"/>
                <w:lang w:val="en-GB"/>
              </w:rPr>
              <w:t></w:t>
            </w:r>
          </w:p>
        </w:tc>
        <w:tc>
          <w:tcPr>
            <w:tcW w:w="861" w:type="dxa"/>
            <w:tcBorders>
              <w:top w:val="nil"/>
              <w:left w:val="nil"/>
              <w:bottom w:val="single" w:sz="4" w:space="0" w:color="auto"/>
              <w:right w:val="nil"/>
            </w:tcBorders>
            <w:shd w:val="clear" w:color="auto" w:fill="auto"/>
            <w:noWrap/>
            <w:vAlign w:val="bottom"/>
            <w:hideMark/>
          </w:tcPr>
          <w:p w14:paraId="56112A25"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Std. Err.</w:t>
            </w:r>
          </w:p>
        </w:tc>
        <w:tc>
          <w:tcPr>
            <w:tcW w:w="326" w:type="dxa"/>
            <w:tcBorders>
              <w:top w:val="nil"/>
              <w:left w:val="nil"/>
              <w:bottom w:val="single" w:sz="4" w:space="0" w:color="auto"/>
              <w:right w:val="nil"/>
            </w:tcBorders>
            <w:shd w:val="clear" w:color="auto" w:fill="auto"/>
            <w:noWrap/>
            <w:vAlign w:val="bottom"/>
            <w:hideMark/>
          </w:tcPr>
          <w:p w14:paraId="6B8AB4C4"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02" w:type="dxa"/>
            <w:tcBorders>
              <w:top w:val="nil"/>
              <w:left w:val="nil"/>
              <w:bottom w:val="single" w:sz="4" w:space="0" w:color="auto"/>
              <w:right w:val="nil"/>
            </w:tcBorders>
            <w:shd w:val="clear" w:color="auto" w:fill="auto"/>
            <w:noWrap/>
            <w:vAlign w:val="bottom"/>
            <w:hideMark/>
          </w:tcPr>
          <w:p w14:paraId="4345AF8D" w14:textId="77777777" w:rsidR="00E04BB5" w:rsidRPr="002B1625" w:rsidRDefault="00E04BB5" w:rsidP="00E04BB5">
            <w:pPr>
              <w:spacing w:after="0" w:line="240" w:lineRule="auto"/>
              <w:jc w:val="center"/>
              <w:rPr>
                <w:rFonts w:ascii="Symbol" w:eastAsia="Times New Roman" w:hAnsi="Symbol" w:cs="Times New Roman"/>
                <w:color w:val="000000"/>
                <w:lang w:val="en-GB"/>
              </w:rPr>
            </w:pPr>
            <w:r w:rsidRPr="002B1625">
              <w:rPr>
                <w:rFonts w:ascii="Symbol" w:eastAsia="Times New Roman" w:hAnsi="Symbol" w:cs="Times New Roman"/>
                <w:color w:val="000000"/>
                <w:lang w:val="en-GB"/>
              </w:rPr>
              <w:t></w:t>
            </w:r>
          </w:p>
        </w:tc>
        <w:tc>
          <w:tcPr>
            <w:tcW w:w="955" w:type="dxa"/>
            <w:tcBorders>
              <w:top w:val="nil"/>
              <w:left w:val="nil"/>
              <w:bottom w:val="single" w:sz="4" w:space="0" w:color="auto"/>
              <w:right w:val="nil"/>
            </w:tcBorders>
            <w:shd w:val="clear" w:color="auto" w:fill="auto"/>
            <w:noWrap/>
            <w:vAlign w:val="bottom"/>
            <w:hideMark/>
          </w:tcPr>
          <w:p w14:paraId="636C80DF"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Std. Err.</w:t>
            </w:r>
          </w:p>
        </w:tc>
        <w:tc>
          <w:tcPr>
            <w:tcW w:w="326" w:type="dxa"/>
            <w:tcBorders>
              <w:top w:val="nil"/>
              <w:left w:val="nil"/>
              <w:bottom w:val="single" w:sz="4" w:space="0" w:color="auto"/>
              <w:right w:val="nil"/>
            </w:tcBorders>
            <w:shd w:val="clear" w:color="auto" w:fill="auto"/>
            <w:noWrap/>
            <w:vAlign w:val="bottom"/>
            <w:hideMark/>
          </w:tcPr>
          <w:p w14:paraId="5498E43F"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00" w:type="dxa"/>
            <w:tcBorders>
              <w:top w:val="nil"/>
              <w:left w:val="nil"/>
              <w:bottom w:val="single" w:sz="4" w:space="0" w:color="auto"/>
              <w:right w:val="nil"/>
            </w:tcBorders>
            <w:shd w:val="clear" w:color="auto" w:fill="auto"/>
            <w:noWrap/>
            <w:vAlign w:val="bottom"/>
            <w:hideMark/>
          </w:tcPr>
          <w:p w14:paraId="08791AAF" w14:textId="77777777" w:rsidR="00E04BB5" w:rsidRPr="002B1625" w:rsidRDefault="00E04BB5" w:rsidP="00E04BB5">
            <w:pPr>
              <w:spacing w:after="0" w:line="240" w:lineRule="auto"/>
              <w:jc w:val="center"/>
              <w:rPr>
                <w:rFonts w:ascii="Symbol" w:eastAsia="Times New Roman" w:hAnsi="Symbol" w:cs="Times New Roman"/>
                <w:color w:val="000000"/>
                <w:lang w:val="en-GB"/>
              </w:rPr>
            </w:pPr>
            <w:r w:rsidRPr="002B1625">
              <w:rPr>
                <w:rFonts w:ascii="Symbol" w:eastAsia="Times New Roman" w:hAnsi="Symbol" w:cs="Times New Roman"/>
                <w:color w:val="000000"/>
                <w:lang w:val="en-GB"/>
              </w:rPr>
              <w:t></w:t>
            </w:r>
          </w:p>
        </w:tc>
        <w:tc>
          <w:tcPr>
            <w:tcW w:w="1024" w:type="dxa"/>
            <w:tcBorders>
              <w:top w:val="nil"/>
              <w:left w:val="nil"/>
              <w:bottom w:val="single" w:sz="4" w:space="0" w:color="auto"/>
              <w:right w:val="nil"/>
            </w:tcBorders>
            <w:shd w:val="clear" w:color="auto" w:fill="auto"/>
            <w:noWrap/>
            <w:vAlign w:val="bottom"/>
            <w:hideMark/>
          </w:tcPr>
          <w:p w14:paraId="29015E3A"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Std. Err.</w:t>
            </w:r>
          </w:p>
        </w:tc>
        <w:tc>
          <w:tcPr>
            <w:tcW w:w="326" w:type="dxa"/>
            <w:tcBorders>
              <w:top w:val="nil"/>
              <w:left w:val="nil"/>
              <w:bottom w:val="nil"/>
              <w:right w:val="nil"/>
            </w:tcBorders>
            <w:shd w:val="clear" w:color="auto" w:fill="auto"/>
            <w:noWrap/>
            <w:vAlign w:val="bottom"/>
            <w:hideMark/>
          </w:tcPr>
          <w:p w14:paraId="3488A8D1"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59D5CAB3" w14:textId="77777777" w:rsidTr="00E04BB5">
        <w:trPr>
          <w:trHeight w:val="317"/>
        </w:trPr>
        <w:tc>
          <w:tcPr>
            <w:tcW w:w="2886" w:type="dxa"/>
            <w:tcBorders>
              <w:top w:val="single" w:sz="4" w:space="0" w:color="auto"/>
              <w:left w:val="nil"/>
              <w:bottom w:val="nil"/>
              <w:right w:val="nil"/>
            </w:tcBorders>
            <w:shd w:val="clear" w:color="auto" w:fill="auto"/>
            <w:noWrap/>
            <w:vAlign w:val="bottom"/>
            <w:hideMark/>
          </w:tcPr>
          <w:p w14:paraId="04E5CCA1" w14:textId="77777777" w:rsidR="00E04BB5" w:rsidRPr="002B1625" w:rsidRDefault="00E04BB5" w:rsidP="00E04BB5">
            <w:pPr>
              <w:spacing w:after="0" w:line="240" w:lineRule="auto"/>
              <w:rPr>
                <w:rFonts w:ascii="Calibri" w:eastAsia="Times New Roman" w:hAnsi="Calibri" w:cs="Times New Roman"/>
                <w:b/>
                <w:bCs/>
                <w:color w:val="000000"/>
                <w:lang w:val="en-GB"/>
              </w:rPr>
            </w:pPr>
            <w:r w:rsidRPr="002B1625">
              <w:rPr>
                <w:rFonts w:ascii="Calibri" w:eastAsia="Times New Roman" w:hAnsi="Calibri" w:cs="Times New Roman"/>
                <w:b/>
                <w:bCs/>
                <w:color w:val="000000"/>
                <w:lang w:val="en-GB"/>
              </w:rPr>
              <w:t xml:space="preserve">Overall </w:t>
            </w:r>
          </w:p>
        </w:tc>
        <w:tc>
          <w:tcPr>
            <w:tcW w:w="396" w:type="dxa"/>
            <w:tcBorders>
              <w:top w:val="single" w:sz="4" w:space="0" w:color="auto"/>
              <w:left w:val="nil"/>
              <w:bottom w:val="nil"/>
              <w:right w:val="nil"/>
            </w:tcBorders>
            <w:shd w:val="clear" w:color="auto" w:fill="auto"/>
            <w:noWrap/>
            <w:vAlign w:val="bottom"/>
            <w:hideMark/>
          </w:tcPr>
          <w:p w14:paraId="7EE7E253"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303" w:type="dxa"/>
            <w:tcBorders>
              <w:top w:val="single" w:sz="4" w:space="0" w:color="auto"/>
              <w:left w:val="nil"/>
              <w:bottom w:val="nil"/>
              <w:right w:val="nil"/>
            </w:tcBorders>
            <w:shd w:val="clear" w:color="auto" w:fill="auto"/>
            <w:noWrap/>
            <w:vAlign w:val="bottom"/>
            <w:hideMark/>
          </w:tcPr>
          <w:p w14:paraId="20E27FF1"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216" w:type="dxa"/>
            <w:tcBorders>
              <w:top w:val="single" w:sz="4" w:space="0" w:color="auto"/>
              <w:left w:val="nil"/>
              <w:bottom w:val="nil"/>
              <w:right w:val="nil"/>
            </w:tcBorders>
            <w:shd w:val="clear" w:color="auto" w:fill="auto"/>
            <w:noWrap/>
            <w:vAlign w:val="bottom"/>
            <w:hideMark/>
          </w:tcPr>
          <w:p w14:paraId="2C5308B5"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693" w:type="dxa"/>
            <w:tcBorders>
              <w:top w:val="single" w:sz="4" w:space="0" w:color="auto"/>
              <w:left w:val="nil"/>
              <w:bottom w:val="nil"/>
              <w:right w:val="nil"/>
            </w:tcBorders>
            <w:shd w:val="clear" w:color="auto" w:fill="auto"/>
            <w:noWrap/>
            <w:vAlign w:val="bottom"/>
            <w:hideMark/>
          </w:tcPr>
          <w:p w14:paraId="0881DE86"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303" w:type="dxa"/>
            <w:tcBorders>
              <w:top w:val="single" w:sz="4" w:space="0" w:color="auto"/>
              <w:left w:val="nil"/>
              <w:bottom w:val="nil"/>
              <w:right w:val="nil"/>
            </w:tcBorders>
            <w:shd w:val="clear" w:color="auto" w:fill="auto"/>
            <w:noWrap/>
            <w:vAlign w:val="bottom"/>
            <w:hideMark/>
          </w:tcPr>
          <w:p w14:paraId="79427B31"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001" w:type="dxa"/>
            <w:tcBorders>
              <w:top w:val="single" w:sz="4" w:space="0" w:color="auto"/>
              <w:left w:val="nil"/>
              <w:bottom w:val="nil"/>
              <w:right w:val="nil"/>
            </w:tcBorders>
            <w:shd w:val="clear" w:color="auto" w:fill="auto"/>
            <w:noWrap/>
            <w:vAlign w:val="bottom"/>
            <w:hideMark/>
          </w:tcPr>
          <w:p w14:paraId="067CEFB4"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861" w:type="dxa"/>
            <w:tcBorders>
              <w:top w:val="single" w:sz="4" w:space="0" w:color="auto"/>
              <w:left w:val="nil"/>
              <w:bottom w:val="nil"/>
              <w:right w:val="nil"/>
            </w:tcBorders>
            <w:shd w:val="clear" w:color="auto" w:fill="auto"/>
            <w:noWrap/>
            <w:vAlign w:val="bottom"/>
            <w:hideMark/>
          </w:tcPr>
          <w:p w14:paraId="02048B42"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326" w:type="dxa"/>
            <w:tcBorders>
              <w:top w:val="single" w:sz="4" w:space="0" w:color="auto"/>
              <w:left w:val="nil"/>
              <w:bottom w:val="nil"/>
              <w:right w:val="nil"/>
            </w:tcBorders>
            <w:shd w:val="clear" w:color="auto" w:fill="auto"/>
            <w:noWrap/>
            <w:vAlign w:val="bottom"/>
            <w:hideMark/>
          </w:tcPr>
          <w:p w14:paraId="035F25AB"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002" w:type="dxa"/>
            <w:tcBorders>
              <w:top w:val="single" w:sz="4" w:space="0" w:color="auto"/>
              <w:left w:val="nil"/>
              <w:bottom w:val="nil"/>
              <w:right w:val="nil"/>
            </w:tcBorders>
            <w:shd w:val="clear" w:color="auto" w:fill="auto"/>
            <w:noWrap/>
            <w:vAlign w:val="bottom"/>
            <w:hideMark/>
          </w:tcPr>
          <w:p w14:paraId="7434B78F"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55" w:type="dxa"/>
            <w:tcBorders>
              <w:top w:val="single" w:sz="4" w:space="0" w:color="auto"/>
              <w:left w:val="nil"/>
              <w:bottom w:val="nil"/>
              <w:right w:val="nil"/>
            </w:tcBorders>
            <w:shd w:val="clear" w:color="auto" w:fill="auto"/>
            <w:noWrap/>
            <w:vAlign w:val="bottom"/>
            <w:hideMark/>
          </w:tcPr>
          <w:p w14:paraId="2572E0C1"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326" w:type="dxa"/>
            <w:tcBorders>
              <w:top w:val="single" w:sz="4" w:space="0" w:color="auto"/>
              <w:left w:val="nil"/>
              <w:bottom w:val="nil"/>
              <w:right w:val="nil"/>
            </w:tcBorders>
            <w:shd w:val="clear" w:color="auto" w:fill="auto"/>
            <w:noWrap/>
            <w:vAlign w:val="bottom"/>
            <w:hideMark/>
          </w:tcPr>
          <w:p w14:paraId="43250163"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000" w:type="dxa"/>
            <w:tcBorders>
              <w:top w:val="single" w:sz="4" w:space="0" w:color="auto"/>
              <w:left w:val="nil"/>
              <w:bottom w:val="nil"/>
              <w:right w:val="nil"/>
            </w:tcBorders>
            <w:shd w:val="clear" w:color="auto" w:fill="auto"/>
            <w:noWrap/>
            <w:vAlign w:val="bottom"/>
            <w:hideMark/>
          </w:tcPr>
          <w:p w14:paraId="7DB3126C"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024" w:type="dxa"/>
            <w:tcBorders>
              <w:top w:val="single" w:sz="4" w:space="0" w:color="auto"/>
              <w:left w:val="nil"/>
              <w:bottom w:val="nil"/>
              <w:right w:val="nil"/>
            </w:tcBorders>
            <w:shd w:val="clear" w:color="auto" w:fill="auto"/>
            <w:noWrap/>
            <w:vAlign w:val="bottom"/>
            <w:hideMark/>
          </w:tcPr>
          <w:p w14:paraId="59D6A2CF"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326" w:type="dxa"/>
            <w:tcBorders>
              <w:top w:val="nil"/>
              <w:left w:val="nil"/>
              <w:bottom w:val="nil"/>
              <w:right w:val="nil"/>
            </w:tcBorders>
            <w:shd w:val="clear" w:color="auto" w:fill="auto"/>
            <w:noWrap/>
            <w:vAlign w:val="bottom"/>
            <w:hideMark/>
          </w:tcPr>
          <w:p w14:paraId="1A30B67E"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607E3E6D" w14:textId="77777777" w:rsidTr="00E04BB5">
        <w:trPr>
          <w:trHeight w:val="317"/>
        </w:trPr>
        <w:tc>
          <w:tcPr>
            <w:tcW w:w="2886" w:type="dxa"/>
            <w:tcBorders>
              <w:top w:val="nil"/>
              <w:left w:val="nil"/>
              <w:bottom w:val="nil"/>
              <w:right w:val="nil"/>
            </w:tcBorders>
            <w:shd w:val="clear" w:color="auto" w:fill="auto"/>
            <w:noWrap/>
            <w:vAlign w:val="bottom"/>
            <w:hideMark/>
          </w:tcPr>
          <w:p w14:paraId="79CE2771"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difference</w:t>
            </w:r>
          </w:p>
        </w:tc>
        <w:tc>
          <w:tcPr>
            <w:tcW w:w="396" w:type="dxa"/>
            <w:tcBorders>
              <w:top w:val="nil"/>
              <w:left w:val="nil"/>
              <w:bottom w:val="nil"/>
              <w:right w:val="nil"/>
            </w:tcBorders>
            <w:shd w:val="clear" w:color="auto" w:fill="auto"/>
            <w:noWrap/>
            <w:vAlign w:val="bottom"/>
            <w:hideMark/>
          </w:tcPr>
          <w:p w14:paraId="74CC01E6"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303" w:type="dxa"/>
            <w:tcBorders>
              <w:top w:val="nil"/>
              <w:left w:val="nil"/>
              <w:bottom w:val="nil"/>
              <w:right w:val="nil"/>
            </w:tcBorders>
            <w:shd w:val="clear" w:color="auto" w:fill="auto"/>
            <w:noWrap/>
            <w:vAlign w:val="bottom"/>
            <w:hideMark/>
          </w:tcPr>
          <w:p w14:paraId="5171CB77"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216" w:type="dxa"/>
            <w:tcBorders>
              <w:top w:val="nil"/>
              <w:left w:val="nil"/>
              <w:bottom w:val="nil"/>
              <w:right w:val="nil"/>
            </w:tcBorders>
            <w:shd w:val="clear" w:color="auto" w:fill="auto"/>
            <w:noWrap/>
            <w:vAlign w:val="bottom"/>
          </w:tcPr>
          <w:p w14:paraId="15977843"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-.045</w:t>
            </w:r>
          </w:p>
        </w:tc>
        <w:tc>
          <w:tcPr>
            <w:tcW w:w="693" w:type="dxa"/>
            <w:tcBorders>
              <w:top w:val="nil"/>
              <w:left w:val="nil"/>
              <w:bottom w:val="nil"/>
              <w:right w:val="nil"/>
            </w:tcBorders>
            <w:shd w:val="clear" w:color="auto" w:fill="auto"/>
            <w:noWrap/>
            <w:vAlign w:val="bottom"/>
          </w:tcPr>
          <w:p w14:paraId="6EED689F"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.253</w:t>
            </w:r>
          </w:p>
        </w:tc>
        <w:tc>
          <w:tcPr>
            <w:tcW w:w="303" w:type="dxa"/>
            <w:tcBorders>
              <w:top w:val="nil"/>
              <w:left w:val="nil"/>
              <w:bottom w:val="nil"/>
              <w:right w:val="nil"/>
            </w:tcBorders>
            <w:shd w:val="clear" w:color="auto" w:fill="auto"/>
            <w:noWrap/>
            <w:vAlign w:val="bottom"/>
          </w:tcPr>
          <w:p w14:paraId="24D38424"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1001" w:type="dxa"/>
            <w:tcBorders>
              <w:top w:val="nil"/>
              <w:left w:val="nil"/>
              <w:bottom w:val="nil"/>
              <w:right w:val="nil"/>
            </w:tcBorders>
            <w:shd w:val="clear" w:color="auto" w:fill="auto"/>
            <w:noWrap/>
            <w:vAlign w:val="bottom"/>
          </w:tcPr>
          <w:p w14:paraId="61810D9A"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-.051</w:t>
            </w:r>
          </w:p>
        </w:tc>
        <w:tc>
          <w:tcPr>
            <w:tcW w:w="861" w:type="dxa"/>
            <w:tcBorders>
              <w:top w:val="nil"/>
              <w:left w:val="nil"/>
              <w:bottom w:val="nil"/>
              <w:right w:val="nil"/>
            </w:tcBorders>
            <w:shd w:val="clear" w:color="auto" w:fill="auto"/>
            <w:noWrap/>
            <w:vAlign w:val="bottom"/>
          </w:tcPr>
          <w:p w14:paraId="2EF3B373"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.266</w:t>
            </w:r>
          </w:p>
        </w:tc>
        <w:tc>
          <w:tcPr>
            <w:tcW w:w="326" w:type="dxa"/>
            <w:tcBorders>
              <w:top w:val="nil"/>
              <w:left w:val="nil"/>
              <w:bottom w:val="nil"/>
              <w:right w:val="nil"/>
            </w:tcBorders>
            <w:shd w:val="clear" w:color="auto" w:fill="auto"/>
            <w:noWrap/>
            <w:vAlign w:val="bottom"/>
          </w:tcPr>
          <w:p w14:paraId="563808D6"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002" w:type="dxa"/>
            <w:tcBorders>
              <w:top w:val="nil"/>
              <w:left w:val="nil"/>
              <w:bottom w:val="nil"/>
              <w:right w:val="nil"/>
            </w:tcBorders>
            <w:shd w:val="clear" w:color="auto" w:fill="auto"/>
            <w:noWrap/>
            <w:vAlign w:val="bottom"/>
          </w:tcPr>
          <w:p w14:paraId="3EB7CD36"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-.150</w:t>
            </w:r>
          </w:p>
        </w:tc>
        <w:tc>
          <w:tcPr>
            <w:tcW w:w="955" w:type="dxa"/>
            <w:tcBorders>
              <w:top w:val="nil"/>
              <w:left w:val="nil"/>
              <w:bottom w:val="nil"/>
              <w:right w:val="nil"/>
            </w:tcBorders>
            <w:shd w:val="clear" w:color="auto" w:fill="auto"/>
            <w:noWrap/>
            <w:vAlign w:val="bottom"/>
          </w:tcPr>
          <w:p w14:paraId="2C4877CC"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.284</w:t>
            </w:r>
          </w:p>
        </w:tc>
        <w:tc>
          <w:tcPr>
            <w:tcW w:w="326" w:type="dxa"/>
            <w:tcBorders>
              <w:top w:val="nil"/>
              <w:left w:val="nil"/>
              <w:bottom w:val="nil"/>
              <w:right w:val="nil"/>
            </w:tcBorders>
            <w:shd w:val="clear" w:color="auto" w:fill="auto"/>
            <w:noWrap/>
            <w:vAlign w:val="bottom"/>
          </w:tcPr>
          <w:p w14:paraId="73288527"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000" w:type="dxa"/>
            <w:tcBorders>
              <w:top w:val="nil"/>
              <w:left w:val="nil"/>
              <w:bottom w:val="nil"/>
              <w:right w:val="nil"/>
            </w:tcBorders>
            <w:shd w:val="clear" w:color="auto" w:fill="auto"/>
            <w:noWrap/>
            <w:vAlign w:val="bottom"/>
          </w:tcPr>
          <w:p w14:paraId="74892446"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-.179</w:t>
            </w:r>
          </w:p>
        </w:tc>
        <w:tc>
          <w:tcPr>
            <w:tcW w:w="1024" w:type="dxa"/>
            <w:tcBorders>
              <w:top w:val="nil"/>
              <w:left w:val="nil"/>
              <w:bottom w:val="nil"/>
              <w:right w:val="nil"/>
            </w:tcBorders>
            <w:shd w:val="clear" w:color="auto" w:fill="auto"/>
            <w:noWrap/>
            <w:vAlign w:val="bottom"/>
          </w:tcPr>
          <w:p w14:paraId="4C417C0D"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.301</w:t>
            </w:r>
          </w:p>
        </w:tc>
        <w:tc>
          <w:tcPr>
            <w:tcW w:w="326" w:type="dxa"/>
            <w:tcBorders>
              <w:top w:val="nil"/>
              <w:left w:val="nil"/>
              <w:bottom w:val="nil"/>
              <w:right w:val="nil"/>
            </w:tcBorders>
            <w:shd w:val="clear" w:color="auto" w:fill="auto"/>
            <w:noWrap/>
            <w:vAlign w:val="bottom"/>
            <w:hideMark/>
          </w:tcPr>
          <w:p w14:paraId="0740EAD9"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3901BB41" w14:textId="77777777" w:rsidTr="00E04BB5">
        <w:trPr>
          <w:trHeight w:val="317"/>
        </w:trPr>
        <w:tc>
          <w:tcPr>
            <w:tcW w:w="2886" w:type="dxa"/>
            <w:tcBorders>
              <w:top w:val="nil"/>
              <w:left w:val="nil"/>
              <w:bottom w:val="nil"/>
              <w:right w:val="nil"/>
            </w:tcBorders>
            <w:shd w:val="clear" w:color="auto" w:fill="auto"/>
            <w:noWrap/>
            <w:vAlign w:val="bottom"/>
            <w:hideMark/>
          </w:tcPr>
          <w:p w14:paraId="662DD342"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explained </w:t>
            </w:r>
          </w:p>
        </w:tc>
        <w:tc>
          <w:tcPr>
            <w:tcW w:w="396" w:type="dxa"/>
            <w:tcBorders>
              <w:top w:val="nil"/>
              <w:left w:val="nil"/>
              <w:bottom w:val="nil"/>
              <w:right w:val="nil"/>
            </w:tcBorders>
            <w:shd w:val="clear" w:color="auto" w:fill="auto"/>
            <w:noWrap/>
            <w:vAlign w:val="bottom"/>
            <w:hideMark/>
          </w:tcPr>
          <w:p w14:paraId="070E67E4"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303" w:type="dxa"/>
            <w:tcBorders>
              <w:top w:val="nil"/>
              <w:left w:val="nil"/>
              <w:bottom w:val="nil"/>
              <w:right w:val="nil"/>
            </w:tcBorders>
            <w:shd w:val="clear" w:color="auto" w:fill="auto"/>
            <w:noWrap/>
            <w:vAlign w:val="bottom"/>
            <w:hideMark/>
          </w:tcPr>
          <w:p w14:paraId="4EB4524B"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216" w:type="dxa"/>
            <w:tcBorders>
              <w:top w:val="nil"/>
              <w:left w:val="nil"/>
              <w:bottom w:val="nil"/>
              <w:right w:val="nil"/>
            </w:tcBorders>
            <w:shd w:val="clear" w:color="auto" w:fill="auto"/>
            <w:noWrap/>
            <w:vAlign w:val="bottom"/>
          </w:tcPr>
          <w:p w14:paraId="76C5F77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.416</w:t>
            </w:r>
          </w:p>
        </w:tc>
        <w:tc>
          <w:tcPr>
            <w:tcW w:w="693" w:type="dxa"/>
            <w:tcBorders>
              <w:top w:val="nil"/>
              <w:left w:val="nil"/>
              <w:bottom w:val="nil"/>
              <w:right w:val="nil"/>
            </w:tcBorders>
            <w:shd w:val="clear" w:color="auto" w:fill="auto"/>
            <w:noWrap/>
            <w:vAlign w:val="bottom"/>
          </w:tcPr>
          <w:p w14:paraId="23B453FF"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.270</w:t>
            </w:r>
          </w:p>
        </w:tc>
        <w:tc>
          <w:tcPr>
            <w:tcW w:w="303" w:type="dxa"/>
            <w:tcBorders>
              <w:top w:val="nil"/>
              <w:left w:val="nil"/>
              <w:bottom w:val="nil"/>
              <w:right w:val="nil"/>
            </w:tcBorders>
            <w:shd w:val="clear" w:color="auto" w:fill="auto"/>
            <w:noWrap/>
            <w:vAlign w:val="bottom"/>
          </w:tcPr>
          <w:p w14:paraId="58073288"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1001" w:type="dxa"/>
            <w:tcBorders>
              <w:top w:val="nil"/>
              <w:left w:val="nil"/>
              <w:bottom w:val="nil"/>
              <w:right w:val="nil"/>
            </w:tcBorders>
            <w:shd w:val="clear" w:color="auto" w:fill="auto"/>
            <w:noWrap/>
            <w:vAlign w:val="bottom"/>
          </w:tcPr>
          <w:p w14:paraId="272A5D88"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.457</w:t>
            </w:r>
          </w:p>
        </w:tc>
        <w:tc>
          <w:tcPr>
            <w:tcW w:w="861" w:type="dxa"/>
            <w:tcBorders>
              <w:top w:val="nil"/>
              <w:left w:val="nil"/>
              <w:bottom w:val="nil"/>
              <w:right w:val="nil"/>
            </w:tcBorders>
            <w:shd w:val="clear" w:color="auto" w:fill="auto"/>
            <w:noWrap/>
            <w:vAlign w:val="bottom"/>
          </w:tcPr>
          <w:p w14:paraId="1F52E0E2"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.294</w:t>
            </w:r>
          </w:p>
        </w:tc>
        <w:tc>
          <w:tcPr>
            <w:tcW w:w="326" w:type="dxa"/>
            <w:tcBorders>
              <w:top w:val="nil"/>
              <w:left w:val="nil"/>
              <w:bottom w:val="nil"/>
              <w:right w:val="nil"/>
            </w:tcBorders>
            <w:shd w:val="clear" w:color="auto" w:fill="auto"/>
            <w:noWrap/>
            <w:vAlign w:val="bottom"/>
          </w:tcPr>
          <w:p w14:paraId="4989F39A"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002" w:type="dxa"/>
            <w:tcBorders>
              <w:top w:val="nil"/>
              <w:left w:val="nil"/>
              <w:bottom w:val="nil"/>
              <w:right w:val="nil"/>
            </w:tcBorders>
            <w:shd w:val="clear" w:color="auto" w:fill="auto"/>
            <w:noWrap/>
            <w:vAlign w:val="bottom"/>
          </w:tcPr>
          <w:p w14:paraId="4C5328F2"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.518*</w:t>
            </w:r>
          </w:p>
        </w:tc>
        <w:tc>
          <w:tcPr>
            <w:tcW w:w="955" w:type="dxa"/>
            <w:tcBorders>
              <w:top w:val="nil"/>
              <w:left w:val="nil"/>
              <w:bottom w:val="nil"/>
              <w:right w:val="nil"/>
            </w:tcBorders>
            <w:shd w:val="clear" w:color="auto" w:fill="auto"/>
            <w:noWrap/>
            <w:vAlign w:val="bottom"/>
          </w:tcPr>
          <w:p w14:paraId="2D56A920"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.306</w:t>
            </w:r>
          </w:p>
        </w:tc>
        <w:tc>
          <w:tcPr>
            <w:tcW w:w="326" w:type="dxa"/>
            <w:tcBorders>
              <w:top w:val="nil"/>
              <w:left w:val="nil"/>
              <w:bottom w:val="nil"/>
              <w:right w:val="nil"/>
            </w:tcBorders>
            <w:shd w:val="clear" w:color="auto" w:fill="auto"/>
            <w:noWrap/>
            <w:vAlign w:val="bottom"/>
          </w:tcPr>
          <w:p w14:paraId="70A308F6"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000" w:type="dxa"/>
            <w:tcBorders>
              <w:top w:val="nil"/>
              <w:left w:val="nil"/>
              <w:bottom w:val="nil"/>
              <w:right w:val="nil"/>
            </w:tcBorders>
            <w:shd w:val="clear" w:color="auto" w:fill="auto"/>
            <w:noWrap/>
            <w:vAlign w:val="bottom"/>
          </w:tcPr>
          <w:p w14:paraId="399BCB7D"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.544*</w:t>
            </w:r>
          </w:p>
        </w:tc>
        <w:tc>
          <w:tcPr>
            <w:tcW w:w="1024" w:type="dxa"/>
            <w:tcBorders>
              <w:top w:val="nil"/>
              <w:left w:val="nil"/>
              <w:bottom w:val="nil"/>
              <w:right w:val="nil"/>
            </w:tcBorders>
            <w:shd w:val="clear" w:color="auto" w:fill="auto"/>
            <w:noWrap/>
            <w:vAlign w:val="bottom"/>
          </w:tcPr>
          <w:p w14:paraId="28DA59A5"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.329</w:t>
            </w:r>
          </w:p>
        </w:tc>
        <w:tc>
          <w:tcPr>
            <w:tcW w:w="326" w:type="dxa"/>
            <w:tcBorders>
              <w:top w:val="nil"/>
              <w:left w:val="nil"/>
              <w:bottom w:val="nil"/>
              <w:right w:val="nil"/>
            </w:tcBorders>
            <w:shd w:val="clear" w:color="auto" w:fill="auto"/>
            <w:noWrap/>
            <w:vAlign w:val="bottom"/>
            <w:hideMark/>
          </w:tcPr>
          <w:p w14:paraId="5BADE39C"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1FA4262E" w14:textId="77777777" w:rsidTr="00E04BB5">
        <w:trPr>
          <w:trHeight w:val="317"/>
        </w:trPr>
        <w:tc>
          <w:tcPr>
            <w:tcW w:w="2886" w:type="dxa"/>
            <w:tcBorders>
              <w:top w:val="nil"/>
              <w:left w:val="nil"/>
              <w:bottom w:val="single" w:sz="4" w:space="0" w:color="auto"/>
              <w:right w:val="nil"/>
            </w:tcBorders>
            <w:shd w:val="clear" w:color="auto" w:fill="auto"/>
            <w:noWrap/>
            <w:vAlign w:val="bottom"/>
            <w:hideMark/>
          </w:tcPr>
          <w:p w14:paraId="12796F74"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unexplained</w:t>
            </w:r>
          </w:p>
        </w:tc>
        <w:tc>
          <w:tcPr>
            <w:tcW w:w="396" w:type="dxa"/>
            <w:tcBorders>
              <w:top w:val="nil"/>
              <w:left w:val="nil"/>
              <w:bottom w:val="single" w:sz="4" w:space="0" w:color="auto"/>
              <w:right w:val="nil"/>
            </w:tcBorders>
            <w:shd w:val="clear" w:color="auto" w:fill="auto"/>
            <w:noWrap/>
            <w:vAlign w:val="bottom"/>
            <w:hideMark/>
          </w:tcPr>
          <w:p w14:paraId="57B56984"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303" w:type="dxa"/>
            <w:tcBorders>
              <w:top w:val="nil"/>
              <w:left w:val="nil"/>
              <w:bottom w:val="single" w:sz="4" w:space="0" w:color="auto"/>
              <w:right w:val="nil"/>
            </w:tcBorders>
            <w:shd w:val="clear" w:color="auto" w:fill="auto"/>
            <w:noWrap/>
            <w:vAlign w:val="bottom"/>
            <w:hideMark/>
          </w:tcPr>
          <w:p w14:paraId="659DC584"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1216" w:type="dxa"/>
            <w:tcBorders>
              <w:top w:val="nil"/>
              <w:left w:val="nil"/>
              <w:bottom w:val="single" w:sz="4" w:space="0" w:color="auto"/>
              <w:right w:val="nil"/>
            </w:tcBorders>
            <w:shd w:val="clear" w:color="auto" w:fill="auto"/>
            <w:noWrap/>
            <w:vAlign w:val="bottom"/>
          </w:tcPr>
          <w:p w14:paraId="70AF4D9D"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-.462</w:t>
            </w:r>
          </w:p>
        </w:tc>
        <w:tc>
          <w:tcPr>
            <w:tcW w:w="693" w:type="dxa"/>
            <w:tcBorders>
              <w:top w:val="nil"/>
              <w:left w:val="nil"/>
              <w:bottom w:val="single" w:sz="4" w:space="0" w:color="auto"/>
              <w:right w:val="nil"/>
            </w:tcBorders>
            <w:shd w:val="clear" w:color="auto" w:fill="auto"/>
            <w:noWrap/>
            <w:vAlign w:val="bottom"/>
          </w:tcPr>
          <w:p w14:paraId="1041791F"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.333</w:t>
            </w:r>
          </w:p>
        </w:tc>
        <w:tc>
          <w:tcPr>
            <w:tcW w:w="303" w:type="dxa"/>
            <w:tcBorders>
              <w:top w:val="nil"/>
              <w:left w:val="nil"/>
              <w:bottom w:val="single" w:sz="4" w:space="0" w:color="auto"/>
              <w:right w:val="nil"/>
            </w:tcBorders>
            <w:shd w:val="clear" w:color="auto" w:fill="auto"/>
            <w:noWrap/>
            <w:vAlign w:val="bottom"/>
          </w:tcPr>
          <w:p w14:paraId="3AD0621E"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1001" w:type="dxa"/>
            <w:tcBorders>
              <w:top w:val="nil"/>
              <w:left w:val="nil"/>
              <w:bottom w:val="single" w:sz="4" w:space="0" w:color="auto"/>
              <w:right w:val="nil"/>
            </w:tcBorders>
            <w:shd w:val="clear" w:color="auto" w:fill="auto"/>
            <w:noWrap/>
            <w:vAlign w:val="bottom"/>
          </w:tcPr>
          <w:p w14:paraId="6750FA27"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-.508</w:t>
            </w:r>
          </w:p>
        </w:tc>
        <w:tc>
          <w:tcPr>
            <w:tcW w:w="861" w:type="dxa"/>
            <w:tcBorders>
              <w:top w:val="nil"/>
              <w:left w:val="nil"/>
              <w:bottom w:val="single" w:sz="4" w:space="0" w:color="auto"/>
              <w:right w:val="nil"/>
            </w:tcBorders>
            <w:shd w:val="clear" w:color="auto" w:fill="auto"/>
            <w:noWrap/>
            <w:vAlign w:val="bottom"/>
          </w:tcPr>
          <w:p w14:paraId="2899A188"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.358</w:t>
            </w:r>
          </w:p>
        </w:tc>
        <w:tc>
          <w:tcPr>
            <w:tcW w:w="326" w:type="dxa"/>
            <w:tcBorders>
              <w:top w:val="nil"/>
              <w:left w:val="nil"/>
              <w:bottom w:val="single" w:sz="4" w:space="0" w:color="auto"/>
              <w:right w:val="nil"/>
            </w:tcBorders>
            <w:shd w:val="clear" w:color="auto" w:fill="auto"/>
            <w:noWrap/>
            <w:vAlign w:val="bottom"/>
          </w:tcPr>
          <w:p w14:paraId="28D69F72"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002" w:type="dxa"/>
            <w:tcBorders>
              <w:top w:val="nil"/>
              <w:left w:val="nil"/>
              <w:bottom w:val="single" w:sz="4" w:space="0" w:color="auto"/>
              <w:right w:val="nil"/>
            </w:tcBorders>
            <w:shd w:val="clear" w:color="auto" w:fill="auto"/>
            <w:noWrap/>
            <w:vAlign w:val="bottom"/>
          </w:tcPr>
          <w:p w14:paraId="4CAFA55D"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-.668*</w:t>
            </w:r>
          </w:p>
        </w:tc>
        <w:tc>
          <w:tcPr>
            <w:tcW w:w="955" w:type="dxa"/>
            <w:tcBorders>
              <w:top w:val="nil"/>
              <w:left w:val="nil"/>
              <w:bottom w:val="single" w:sz="4" w:space="0" w:color="auto"/>
              <w:right w:val="nil"/>
            </w:tcBorders>
            <w:shd w:val="clear" w:color="auto" w:fill="auto"/>
            <w:noWrap/>
            <w:vAlign w:val="bottom"/>
          </w:tcPr>
          <w:p w14:paraId="0967CF88"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.381</w:t>
            </w:r>
          </w:p>
        </w:tc>
        <w:tc>
          <w:tcPr>
            <w:tcW w:w="326" w:type="dxa"/>
            <w:tcBorders>
              <w:top w:val="nil"/>
              <w:left w:val="nil"/>
              <w:bottom w:val="single" w:sz="4" w:space="0" w:color="auto"/>
              <w:right w:val="nil"/>
            </w:tcBorders>
            <w:shd w:val="clear" w:color="auto" w:fill="auto"/>
            <w:noWrap/>
            <w:vAlign w:val="bottom"/>
          </w:tcPr>
          <w:p w14:paraId="6E9159B6"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1000" w:type="dxa"/>
            <w:tcBorders>
              <w:top w:val="nil"/>
              <w:left w:val="nil"/>
              <w:bottom w:val="single" w:sz="4" w:space="0" w:color="auto"/>
              <w:right w:val="nil"/>
            </w:tcBorders>
            <w:shd w:val="clear" w:color="auto" w:fill="auto"/>
            <w:noWrap/>
            <w:vAlign w:val="bottom"/>
          </w:tcPr>
          <w:p w14:paraId="592B9BFE"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-.723* </w:t>
            </w:r>
          </w:p>
        </w:tc>
        <w:tc>
          <w:tcPr>
            <w:tcW w:w="1024" w:type="dxa"/>
            <w:tcBorders>
              <w:top w:val="nil"/>
              <w:left w:val="nil"/>
              <w:bottom w:val="single" w:sz="4" w:space="0" w:color="auto"/>
              <w:right w:val="nil"/>
            </w:tcBorders>
            <w:shd w:val="clear" w:color="auto" w:fill="auto"/>
            <w:noWrap/>
            <w:vAlign w:val="bottom"/>
          </w:tcPr>
          <w:p w14:paraId="790C494B"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.407</w:t>
            </w:r>
          </w:p>
        </w:tc>
        <w:tc>
          <w:tcPr>
            <w:tcW w:w="326" w:type="dxa"/>
            <w:tcBorders>
              <w:top w:val="nil"/>
              <w:left w:val="nil"/>
              <w:bottom w:val="single" w:sz="4" w:space="0" w:color="auto"/>
              <w:right w:val="nil"/>
            </w:tcBorders>
            <w:shd w:val="clear" w:color="auto" w:fill="auto"/>
            <w:noWrap/>
            <w:vAlign w:val="bottom"/>
            <w:hideMark/>
          </w:tcPr>
          <w:p w14:paraId="6764C345"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r>
    </w:tbl>
    <w:p w14:paraId="77596CB4" w14:textId="77777777" w:rsidR="00E04BB5" w:rsidRPr="002B1625" w:rsidRDefault="00E04BB5" w:rsidP="00E04BB5">
      <w:pPr>
        <w:autoSpaceDE w:val="0"/>
        <w:autoSpaceDN w:val="0"/>
        <w:adjustRightInd w:val="0"/>
        <w:spacing w:after="0" w:line="360" w:lineRule="auto"/>
        <w:jc w:val="both"/>
        <w:rPr>
          <w:rFonts w:ascii="Arial" w:hAnsi="Arial" w:cs="Arial"/>
          <w:sz w:val="20"/>
          <w:szCs w:val="20"/>
          <w:lang w:val="en-GB"/>
        </w:rPr>
      </w:pPr>
      <w:r w:rsidRPr="002B1625">
        <w:rPr>
          <w:sz w:val="20"/>
          <w:szCs w:val="20"/>
          <w:lang w:val="en-GB"/>
        </w:rPr>
        <w:t>*p&lt;.10, **p&lt;.05, ***p&lt;0.01</w:t>
      </w:r>
    </w:p>
    <w:p w14:paraId="3CAC25DC" w14:textId="77777777" w:rsidR="00E04BB5" w:rsidRPr="002B1625" w:rsidRDefault="00E04BB5" w:rsidP="00E04BB5">
      <w:pPr>
        <w:rPr>
          <w:b/>
          <w:lang w:val="en-GB"/>
        </w:rPr>
      </w:pPr>
    </w:p>
    <w:p w14:paraId="33353520" w14:textId="77777777" w:rsidR="00E04BB5" w:rsidRPr="002B1625" w:rsidRDefault="00E04BB5" w:rsidP="00E04BB5">
      <w:pPr>
        <w:rPr>
          <w:b/>
          <w:lang w:val="en-GB"/>
        </w:rPr>
      </w:pPr>
      <w:r w:rsidRPr="002B1625">
        <w:rPr>
          <w:b/>
          <w:lang w:val="en-GB"/>
        </w:rPr>
        <w:br w:type="page"/>
      </w:r>
    </w:p>
    <w:p w14:paraId="1B43DC0D" w14:textId="77777777" w:rsidR="00E04BB5" w:rsidRPr="002B1625" w:rsidRDefault="00E04BB5" w:rsidP="00E04BB5">
      <w:pPr>
        <w:rPr>
          <w:b/>
          <w:lang w:val="en-GB"/>
        </w:rPr>
        <w:sectPr w:rsidR="00E04BB5" w:rsidRPr="002B1625" w:rsidSect="00E04BB5">
          <w:pgSz w:w="16838" w:h="11906" w:orient="landscape"/>
          <w:pgMar w:top="1134" w:right="1418" w:bottom="1134" w:left="1134" w:header="709" w:footer="709" w:gutter="0"/>
          <w:cols w:space="708"/>
          <w:docGrid w:linePitch="360"/>
        </w:sectPr>
      </w:pPr>
    </w:p>
    <w:p w14:paraId="155DA6E2" w14:textId="5706B706" w:rsidR="00E04BB5" w:rsidRPr="002B1625" w:rsidRDefault="00E04BB5" w:rsidP="00E04BB5">
      <w:pPr>
        <w:rPr>
          <w:b/>
          <w:lang w:val="en-GB"/>
        </w:rPr>
      </w:pPr>
      <w:r w:rsidRPr="002B1625">
        <w:rPr>
          <w:b/>
          <w:lang w:val="en-GB"/>
        </w:rPr>
        <w:lastRenderedPageBreak/>
        <w:t>TABLE 4</w:t>
      </w:r>
      <w:r w:rsidR="00876D53">
        <w:rPr>
          <w:b/>
          <w:lang w:val="en-GB"/>
        </w:rPr>
        <w:t xml:space="preserve">. Decomposition analysis: </w:t>
      </w:r>
      <w:r w:rsidRPr="002B1625">
        <w:rPr>
          <w:b/>
          <w:lang w:val="en-GB"/>
        </w:rPr>
        <w:t xml:space="preserve"> </w:t>
      </w:r>
      <w:r w:rsidR="00876D53">
        <w:rPr>
          <w:b/>
          <w:lang w:val="en-GB"/>
        </w:rPr>
        <w:t xml:space="preserve">NY vs. </w:t>
      </w:r>
      <w:proofErr w:type="spellStart"/>
      <w:r w:rsidRPr="002B1625">
        <w:rPr>
          <w:b/>
          <w:lang w:val="en-GB"/>
        </w:rPr>
        <w:t>RoW</w:t>
      </w:r>
      <w:proofErr w:type="spellEnd"/>
      <w:r w:rsidRPr="00D44903">
        <w:rPr>
          <w:b/>
          <w:lang w:val="en-GB"/>
        </w:rPr>
        <w:t>,</w:t>
      </w:r>
      <w:r w:rsidRPr="002B1625">
        <w:rPr>
          <w:b/>
          <w:lang w:val="en-GB"/>
        </w:rPr>
        <w:t xml:space="preserve"> 2000-2009 and 2010-2019</w:t>
      </w:r>
    </w:p>
    <w:p w14:paraId="44D7DC81" w14:textId="77777777" w:rsidR="00E04BB5" w:rsidRPr="002B1625" w:rsidRDefault="00E04BB5" w:rsidP="00E04BB5">
      <w:pPr>
        <w:rPr>
          <w:b/>
          <w:lang w:val="en-GB"/>
        </w:rPr>
      </w:pPr>
    </w:p>
    <w:tbl>
      <w:tblPr>
        <w:tblW w:w="13910" w:type="dxa"/>
        <w:tblInd w:w="57" w:type="dxa"/>
        <w:tblCellMar>
          <w:left w:w="70" w:type="dxa"/>
          <w:right w:w="70" w:type="dxa"/>
        </w:tblCellMar>
        <w:tblLook w:val="04A0" w:firstRow="1" w:lastRow="0" w:firstColumn="1" w:lastColumn="0" w:noHBand="0" w:noVBand="1"/>
      </w:tblPr>
      <w:tblGrid>
        <w:gridCol w:w="1299"/>
        <w:gridCol w:w="960"/>
        <w:gridCol w:w="960"/>
        <w:gridCol w:w="960"/>
        <w:gridCol w:w="960"/>
        <w:gridCol w:w="861"/>
        <w:gridCol w:w="960"/>
        <w:gridCol w:w="960"/>
        <w:gridCol w:w="861"/>
        <w:gridCol w:w="960"/>
        <w:gridCol w:w="960"/>
        <w:gridCol w:w="861"/>
        <w:gridCol w:w="960"/>
        <w:gridCol w:w="960"/>
        <w:gridCol w:w="428"/>
      </w:tblGrid>
      <w:tr w:rsidR="00E04BB5" w:rsidRPr="00876D53" w14:paraId="2C21575E" w14:textId="77777777" w:rsidTr="00E04BB5">
        <w:trPr>
          <w:trHeight w:val="288"/>
        </w:trPr>
        <w:tc>
          <w:tcPr>
            <w:tcW w:w="1299" w:type="dxa"/>
            <w:tcBorders>
              <w:top w:val="single" w:sz="4" w:space="0" w:color="auto"/>
              <w:left w:val="nil"/>
              <w:bottom w:val="nil"/>
              <w:right w:val="nil"/>
            </w:tcBorders>
            <w:shd w:val="clear" w:color="auto" w:fill="auto"/>
            <w:noWrap/>
            <w:vAlign w:val="bottom"/>
            <w:hideMark/>
          </w:tcPr>
          <w:p w14:paraId="283327BE"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hideMark/>
          </w:tcPr>
          <w:p w14:paraId="4D88668F"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hideMark/>
          </w:tcPr>
          <w:p w14:paraId="04D3612E"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0263" w:type="dxa"/>
            <w:gridSpan w:val="11"/>
            <w:tcBorders>
              <w:top w:val="single" w:sz="4" w:space="0" w:color="auto"/>
              <w:left w:val="nil"/>
              <w:bottom w:val="single" w:sz="4" w:space="0" w:color="auto"/>
              <w:right w:val="nil"/>
            </w:tcBorders>
            <w:shd w:val="clear" w:color="auto" w:fill="auto"/>
            <w:noWrap/>
            <w:vAlign w:val="bottom"/>
            <w:hideMark/>
          </w:tcPr>
          <w:p w14:paraId="3C43E466"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RIF-base Oaxaca-Blinder</w:t>
            </w:r>
          </w:p>
        </w:tc>
        <w:tc>
          <w:tcPr>
            <w:tcW w:w="428" w:type="dxa"/>
            <w:tcBorders>
              <w:top w:val="single" w:sz="4" w:space="0" w:color="auto"/>
              <w:left w:val="nil"/>
              <w:bottom w:val="nil"/>
              <w:right w:val="nil"/>
            </w:tcBorders>
            <w:shd w:val="clear" w:color="auto" w:fill="auto"/>
            <w:noWrap/>
            <w:vAlign w:val="bottom"/>
            <w:hideMark/>
          </w:tcPr>
          <w:p w14:paraId="139DE9DC"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876D53" w14:paraId="793712B8" w14:textId="77777777" w:rsidTr="00E04BB5">
        <w:trPr>
          <w:trHeight w:val="288"/>
        </w:trPr>
        <w:tc>
          <w:tcPr>
            <w:tcW w:w="1299" w:type="dxa"/>
            <w:tcBorders>
              <w:top w:val="nil"/>
              <w:left w:val="nil"/>
              <w:right w:val="nil"/>
            </w:tcBorders>
            <w:shd w:val="clear" w:color="auto" w:fill="auto"/>
            <w:noWrap/>
            <w:vAlign w:val="bottom"/>
            <w:hideMark/>
          </w:tcPr>
          <w:p w14:paraId="16217EB4"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nil"/>
              <w:left w:val="nil"/>
              <w:right w:val="nil"/>
            </w:tcBorders>
            <w:shd w:val="clear" w:color="auto" w:fill="auto"/>
            <w:noWrap/>
            <w:vAlign w:val="bottom"/>
            <w:hideMark/>
          </w:tcPr>
          <w:p w14:paraId="1E0672CB" w14:textId="77777777" w:rsidR="00E04BB5" w:rsidRPr="00D44903" w:rsidRDefault="00E04BB5" w:rsidP="00E04BB5">
            <w:pPr>
              <w:spacing w:after="0" w:line="240" w:lineRule="auto"/>
              <w:rPr>
                <w:rFonts w:ascii="Calibri" w:eastAsia="Times New Roman" w:hAnsi="Calibri" w:cs="Times New Roman"/>
                <w:color w:val="000000"/>
                <w:lang w:val="en-GB"/>
              </w:rPr>
            </w:pPr>
          </w:p>
        </w:tc>
        <w:tc>
          <w:tcPr>
            <w:tcW w:w="960" w:type="dxa"/>
            <w:tcBorders>
              <w:top w:val="nil"/>
              <w:left w:val="nil"/>
              <w:right w:val="nil"/>
            </w:tcBorders>
            <w:shd w:val="clear" w:color="auto" w:fill="auto"/>
            <w:noWrap/>
            <w:vAlign w:val="bottom"/>
            <w:hideMark/>
          </w:tcPr>
          <w:p w14:paraId="786EA072"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920" w:type="dxa"/>
            <w:gridSpan w:val="2"/>
            <w:tcBorders>
              <w:top w:val="nil"/>
              <w:left w:val="nil"/>
              <w:right w:val="nil"/>
            </w:tcBorders>
            <w:shd w:val="clear" w:color="auto" w:fill="auto"/>
            <w:noWrap/>
            <w:vAlign w:val="bottom"/>
            <w:hideMark/>
          </w:tcPr>
          <w:p w14:paraId="470E394A" w14:textId="2466CF80" w:rsidR="00E04BB5" w:rsidRPr="002B1625" w:rsidRDefault="00E04BB5" w:rsidP="002220B0">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25th </w:t>
            </w:r>
            <w:r w:rsidR="004272AE" w:rsidRPr="002B1625">
              <w:rPr>
                <w:rFonts w:ascii="Calibri" w:eastAsia="Times New Roman" w:hAnsi="Calibri" w:cs="Times New Roman"/>
                <w:color w:val="000000"/>
                <w:lang w:val="en-GB"/>
              </w:rPr>
              <w:t>percentile</w:t>
            </w:r>
          </w:p>
        </w:tc>
        <w:tc>
          <w:tcPr>
            <w:tcW w:w="861" w:type="dxa"/>
            <w:tcBorders>
              <w:top w:val="nil"/>
              <w:left w:val="nil"/>
              <w:right w:val="nil"/>
            </w:tcBorders>
            <w:shd w:val="clear" w:color="auto" w:fill="auto"/>
            <w:noWrap/>
            <w:vAlign w:val="bottom"/>
            <w:hideMark/>
          </w:tcPr>
          <w:p w14:paraId="07B899BD"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920" w:type="dxa"/>
            <w:gridSpan w:val="2"/>
            <w:tcBorders>
              <w:top w:val="nil"/>
              <w:left w:val="nil"/>
              <w:right w:val="nil"/>
            </w:tcBorders>
            <w:shd w:val="clear" w:color="auto" w:fill="auto"/>
            <w:noWrap/>
            <w:vAlign w:val="bottom"/>
            <w:hideMark/>
          </w:tcPr>
          <w:p w14:paraId="4FEE9092" w14:textId="173314C1" w:rsidR="00E04BB5" w:rsidRPr="002B1625" w:rsidRDefault="00E04BB5" w:rsidP="002220B0">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50th </w:t>
            </w:r>
            <w:r w:rsidR="004272AE" w:rsidRPr="002B1625">
              <w:rPr>
                <w:rFonts w:ascii="Calibri" w:eastAsia="Times New Roman" w:hAnsi="Calibri" w:cs="Times New Roman"/>
                <w:color w:val="000000"/>
                <w:lang w:val="en-GB"/>
              </w:rPr>
              <w:t>percentile</w:t>
            </w:r>
          </w:p>
        </w:tc>
        <w:tc>
          <w:tcPr>
            <w:tcW w:w="861" w:type="dxa"/>
            <w:tcBorders>
              <w:top w:val="nil"/>
              <w:left w:val="nil"/>
              <w:right w:val="nil"/>
            </w:tcBorders>
            <w:shd w:val="clear" w:color="auto" w:fill="auto"/>
            <w:noWrap/>
            <w:vAlign w:val="bottom"/>
            <w:hideMark/>
          </w:tcPr>
          <w:p w14:paraId="0E2D11A0"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920" w:type="dxa"/>
            <w:gridSpan w:val="2"/>
            <w:tcBorders>
              <w:top w:val="nil"/>
              <w:left w:val="nil"/>
              <w:right w:val="nil"/>
            </w:tcBorders>
            <w:shd w:val="clear" w:color="auto" w:fill="auto"/>
            <w:noWrap/>
            <w:vAlign w:val="bottom"/>
            <w:hideMark/>
          </w:tcPr>
          <w:p w14:paraId="7209DFC5" w14:textId="1DAFECE2" w:rsidR="00E04BB5" w:rsidRPr="002B1625" w:rsidRDefault="00E04BB5" w:rsidP="002220B0">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75th </w:t>
            </w:r>
            <w:r w:rsidR="004272AE" w:rsidRPr="002B1625">
              <w:rPr>
                <w:rFonts w:ascii="Calibri" w:eastAsia="Times New Roman" w:hAnsi="Calibri" w:cs="Times New Roman"/>
                <w:color w:val="000000"/>
                <w:lang w:val="en-GB"/>
              </w:rPr>
              <w:t>percentile</w:t>
            </w:r>
          </w:p>
        </w:tc>
        <w:tc>
          <w:tcPr>
            <w:tcW w:w="861" w:type="dxa"/>
            <w:tcBorders>
              <w:top w:val="nil"/>
              <w:left w:val="nil"/>
              <w:right w:val="nil"/>
            </w:tcBorders>
            <w:shd w:val="clear" w:color="auto" w:fill="auto"/>
            <w:noWrap/>
            <w:vAlign w:val="bottom"/>
            <w:hideMark/>
          </w:tcPr>
          <w:p w14:paraId="7FDA6EB1"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1920" w:type="dxa"/>
            <w:gridSpan w:val="2"/>
            <w:tcBorders>
              <w:top w:val="nil"/>
              <w:left w:val="nil"/>
              <w:right w:val="nil"/>
            </w:tcBorders>
            <w:shd w:val="clear" w:color="auto" w:fill="auto"/>
            <w:noWrap/>
            <w:vAlign w:val="bottom"/>
            <w:hideMark/>
          </w:tcPr>
          <w:p w14:paraId="79D56C51" w14:textId="011F597F" w:rsidR="00E04BB5" w:rsidRPr="002B1625" w:rsidRDefault="00E04BB5" w:rsidP="002220B0">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90th </w:t>
            </w:r>
            <w:r w:rsidR="004272AE" w:rsidRPr="002B1625">
              <w:rPr>
                <w:rFonts w:ascii="Calibri" w:eastAsia="Times New Roman" w:hAnsi="Calibri" w:cs="Times New Roman"/>
                <w:color w:val="000000"/>
                <w:lang w:val="en-GB"/>
              </w:rPr>
              <w:t>percentile</w:t>
            </w:r>
          </w:p>
        </w:tc>
        <w:tc>
          <w:tcPr>
            <w:tcW w:w="428" w:type="dxa"/>
            <w:tcBorders>
              <w:top w:val="nil"/>
              <w:left w:val="nil"/>
              <w:right w:val="nil"/>
            </w:tcBorders>
            <w:shd w:val="clear" w:color="auto" w:fill="auto"/>
            <w:noWrap/>
            <w:vAlign w:val="bottom"/>
            <w:hideMark/>
          </w:tcPr>
          <w:p w14:paraId="0BA94E8C"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6843F1C9" w14:textId="77777777" w:rsidTr="00E04BB5">
        <w:trPr>
          <w:trHeight w:val="288"/>
        </w:trPr>
        <w:tc>
          <w:tcPr>
            <w:tcW w:w="1299" w:type="dxa"/>
            <w:tcBorders>
              <w:top w:val="nil"/>
              <w:left w:val="nil"/>
              <w:bottom w:val="single" w:sz="4" w:space="0" w:color="auto"/>
              <w:right w:val="nil"/>
            </w:tcBorders>
            <w:shd w:val="clear" w:color="auto" w:fill="auto"/>
            <w:noWrap/>
            <w:vAlign w:val="bottom"/>
            <w:hideMark/>
          </w:tcPr>
          <w:p w14:paraId="50D61015"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nil"/>
              <w:left w:val="nil"/>
              <w:bottom w:val="single" w:sz="4" w:space="0" w:color="auto"/>
              <w:right w:val="nil"/>
            </w:tcBorders>
            <w:shd w:val="clear" w:color="auto" w:fill="auto"/>
            <w:noWrap/>
            <w:vAlign w:val="bottom"/>
            <w:hideMark/>
          </w:tcPr>
          <w:p w14:paraId="3F33DD8E" w14:textId="77777777" w:rsidR="00E04BB5" w:rsidRPr="00D44903" w:rsidRDefault="00E04BB5" w:rsidP="00E04BB5">
            <w:pPr>
              <w:spacing w:after="0" w:line="240" w:lineRule="auto"/>
              <w:rPr>
                <w:rFonts w:ascii="Calibri" w:eastAsia="Times New Roman" w:hAnsi="Calibri" w:cs="Times New Roman"/>
                <w:color w:val="000000"/>
                <w:lang w:val="en-GB"/>
              </w:rPr>
            </w:pPr>
          </w:p>
        </w:tc>
        <w:tc>
          <w:tcPr>
            <w:tcW w:w="960" w:type="dxa"/>
            <w:tcBorders>
              <w:top w:val="nil"/>
              <w:left w:val="nil"/>
              <w:bottom w:val="single" w:sz="4" w:space="0" w:color="auto"/>
              <w:right w:val="nil"/>
            </w:tcBorders>
            <w:shd w:val="clear" w:color="auto" w:fill="auto"/>
            <w:noWrap/>
            <w:vAlign w:val="bottom"/>
            <w:hideMark/>
          </w:tcPr>
          <w:p w14:paraId="43C767F4"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nil"/>
              <w:left w:val="nil"/>
              <w:bottom w:val="single" w:sz="4" w:space="0" w:color="auto"/>
              <w:right w:val="nil"/>
            </w:tcBorders>
            <w:shd w:val="clear" w:color="auto" w:fill="auto"/>
            <w:noWrap/>
            <w:vAlign w:val="bottom"/>
            <w:hideMark/>
          </w:tcPr>
          <w:p w14:paraId="53EBCD89" w14:textId="77777777" w:rsidR="00E04BB5" w:rsidRPr="002B1625" w:rsidRDefault="00E04BB5" w:rsidP="00E04BB5">
            <w:pPr>
              <w:spacing w:after="0" w:line="240" w:lineRule="auto"/>
              <w:jc w:val="center"/>
              <w:rPr>
                <w:rFonts w:ascii="Symbol" w:eastAsia="Times New Roman" w:hAnsi="Symbol" w:cs="Times New Roman"/>
                <w:color w:val="000000"/>
                <w:lang w:val="en-GB"/>
              </w:rPr>
            </w:pPr>
            <w:r w:rsidRPr="002B1625">
              <w:rPr>
                <w:rFonts w:ascii="Symbol" w:eastAsia="Times New Roman" w:hAnsi="Symbol" w:cs="Times New Roman"/>
                <w:color w:val="000000"/>
                <w:lang w:val="en-GB"/>
              </w:rPr>
              <w:t></w:t>
            </w:r>
          </w:p>
        </w:tc>
        <w:tc>
          <w:tcPr>
            <w:tcW w:w="960" w:type="dxa"/>
            <w:tcBorders>
              <w:top w:val="nil"/>
              <w:left w:val="nil"/>
              <w:bottom w:val="single" w:sz="4" w:space="0" w:color="auto"/>
              <w:right w:val="nil"/>
            </w:tcBorders>
            <w:shd w:val="clear" w:color="auto" w:fill="auto"/>
            <w:noWrap/>
            <w:vAlign w:val="bottom"/>
            <w:hideMark/>
          </w:tcPr>
          <w:p w14:paraId="1838EF11"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Std. Err.</w:t>
            </w:r>
          </w:p>
        </w:tc>
        <w:tc>
          <w:tcPr>
            <w:tcW w:w="861" w:type="dxa"/>
            <w:tcBorders>
              <w:top w:val="nil"/>
              <w:left w:val="nil"/>
              <w:bottom w:val="single" w:sz="4" w:space="0" w:color="auto"/>
              <w:right w:val="nil"/>
            </w:tcBorders>
            <w:shd w:val="clear" w:color="auto" w:fill="auto"/>
            <w:noWrap/>
            <w:vAlign w:val="bottom"/>
            <w:hideMark/>
          </w:tcPr>
          <w:p w14:paraId="5B382109"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nil"/>
              <w:left w:val="nil"/>
              <w:bottom w:val="single" w:sz="4" w:space="0" w:color="auto"/>
              <w:right w:val="nil"/>
            </w:tcBorders>
            <w:shd w:val="clear" w:color="auto" w:fill="auto"/>
            <w:noWrap/>
            <w:vAlign w:val="bottom"/>
            <w:hideMark/>
          </w:tcPr>
          <w:p w14:paraId="13584983" w14:textId="77777777" w:rsidR="00E04BB5" w:rsidRPr="002B1625" w:rsidRDefault="00E04BB5" w:rsidP="00E04BB5">
            <w:pPr>
              <w:spacing w:after="0" w:line="240" w:lineRule="auto"/>
              <w:jc w:val="center"/>
              <w:rPr>
                <w:rFonts w:ascii="Symbol" w:eastAsia="Times New Roman" w:hAnsi="Symbol" w:cs="Times New Roman"/>
                <w:color w:val="000000"/>
                <w:lang w:val="en-GB"/>
              </w:rPr>
            </w:pPr>
            <w:r w:rsidRPr="002B1625">
              <w:rPr>
                <w:rFonts w:ascii="Symbol" w:eastAsia="Times New Roman" w:hAnsi="Symbol" w:cs="Times New Roman"/>
                <w:color w:val="000000"/>
                <w:lang w:val="en-GB"/>
              </w:rPr>
              <w:t></w:t>
            </w:r>
          </w:p>
        </w:tc>
        <w:tc>
          <w:tcPr>
            <w:tcW w:w="960" w:type="dxa"/>
            <w:tcBorders>
              <w:top w:val="nil"/>
              <w:left w:val="nil"/>
              <w:bottom w:val="single" w:sz="4" w:space="0" w:color="auto"/>
              <w:right w:val="nil"/>
            </w:tcBorders>
            <w:shd w:val="clear" w:color="auto" w:fill="auto"/>
            <w:noWrap/>
            <w:vAlign w:val="bottom"/>
            <w:hideMark/>
          </w:tcPr>
          <w:p w14:paraId="3D08E801"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Std. Err.</w:t>
            </w:r>
          </w:p>
        </w:tc>
        <w:tc>
          <w:tcPr>
            <w:tcW w:w="861" w:type="dxa"/>
            <w:tcBorders>
              <w:top w:val="nil"/>
              <w:left w:val="nil"/>
              <w:bottom w:val="single" w:sz="4" w:space="0" w:color="auto"/>
              <w:right w:val="nil"/>
            </w:tcBorders>
            <w:shd w:val="clear" w:color="auto" w:fill="auto"/>
            <w:noWrap/>
            <w:vAlign w:val="bottom"/>
            <w:hideMark/>
          </w:tcPr>
          <w:p w14:paraId="19B937CC"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nil"/>
              <w:left w:val="nil"/>
              <w:bottom w:val="single" w:sz="4" w:space="0" w:color="auto"/>
              <w:right w:val="nil"/>
            </w:tcBorders>
            <w:shd w:val="clear" w:color="auto" w:fill="auto"/>
            <w:noWrap/>
            <w:vAlign w:val="bottom"/>
            <w:hideMark/>
          </w:tcPr>
          <w:p w14:paraId="719E40E2" w14:textId="77777777" w:rsidR="00E04BB5" w:rsidRPr="002B1625" w:rsidRDefault="00E04BB5" w:rsidP="00E04BB5">
            <w:pPr>
              <w:spacing w:after="0" w:line="240" w:lineRule="auto"/>
              <w:jc w:val="center"/>
              <w:rPr>
                <w:rFonts w:ascii="Symbol" w:eastAsia="Times New Roman" w:hAnsi="Symbol" w:cs="Times New Roman"/>
                <w:color w:val="000000"/>
                <w:lang w:val="en-GB"/>
              </w:rPr>
            </w:pPr>
            <w:r w:rsidRPr="002B1625">
              <w:rPr>
                <w:rFonts w:ascii="Symbol" w:eastAsia="Times New Roman" w:hAnsi="Symbol" w:cs="Times New Roman"/>
                <w:color w:val="000000"/>
                <w:lang w:val="en-GB"/>
              </w:rPr>
              <w:t></w:t>
            </w:r>
          </w:p>
        </w:tc>
        <w:tc>
          <w:tcPr>
            <w:tcW w:w="960" w:type="dxa"/>
            <w:tcBorders>
              <w:top w:val="nil"/>
              <w:left w:val="nil"/>
              <w:bottom w:val="single" w:sz="4" w:space="0" w:color="auto"/>
              <w:right w:val="nil"/>
            </w:tcBorders>
            <w:shd w:val="clear" w:color="auto" w:fill="auto"/>
            <w:noWrap/>
            <w:vAlign w:val="bottom"/>
            <w:hideMark/>
          </w:tcPr>
          <w:p w14:paraId="5F2C0BA5"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Std. Err.</w:t>
            </w:r>
          </w:p>
        </w:tc>
        <w:tc>
          <w:tcPr>
            <w:tcW w:w="861" w:type="dxa"/>
            <w:tcBorders>
              <w:top w:val="nil"/>
              <w:left w:val="nil"/>
              <w:bottom w:val="single" w:sz="4" w:space="0" w:color="auto"/>
              <w:right w:val="nil"/>
            </w:tcBorders>
            <w:shd w:val="clear" w:color="auto" w:fill="auto"/>
            <w:noWrap/>
            <w:vAlign w:val="bottom"/>
            <w:hideMark/>
          </w:tcPr>
          <w:p w14:paraId="37C7A85C"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nil"/>
              <w:left w:val="nil"/>
              <w:bottom w:val="single" w:sz="4" w:space="0" w:color="auto"/>
              <w:right w:val="nil"/>
            </w:tcBorders>
            <w:shd w:val="clear" w:color="auto" w:fill="auto"/>
            <w:noWrap/>
            <w:vAlign w:val="bottom"/>
            <w:hideMark/>
          </w:tcPr>
          <w:p w14:paraId="0192AF16" w14:textId="77777777" w:rsidR="00E04BB5" w:rsidRPr="002B1625" w:rsidRDefault="00E04BB5" w:rsidP="00E04BB5">
            <w:pPr>
              <w:spacing w:after="0" w:line="240" w:lineRule="auto"/>
              <w:jc w:val="center"/>
              <w:rPr>
                <w:rFonts w:ascii="Symbol" w:eastAsia="Times New Roman" w:hAnsi="Symbol" w:cs="Times New Roman"/>
                <w:color w:val="000000"/>
                <w:lang w:val="en-GB"/>
              </w:rPr>
            </w:pPr>
            <w:r w:rsidRPr="002B1625">
              <w:rPr>
                <w:rFonts w:ascii="Symbol" w:eastAsia="Times New Roman" w:hAnsi="Symbol" w:cs="Times New Roman"/>
                <w:color w:val="000000"/>
                <w:lang w:val="en-GB"/>
              </w:rPr>
              <w:t></w:t>
            </w:r>
          </w:p>
        </w:tc>
        <w:tc>
          <w:tcPr>
            <w:tcW w:w="960" w:type="dxa"/>
            <w:tcBorders>
              <w:top w:val="nil"/>
              <w:left w:val="nil"/>
              <w:bottom w:val="single" w:sz="4" w:space="0" w:color="auto"/>
              <w:right w:val="nil"/>
            </w:tcBorders>
            <w:shd w:val="clear" w:color="auto" w:fill="auto"/>
            <w:noWrap/>
            <w:vAlign w:val="bottom"/>
            <w:hideMark/>
          </w:tcPr>
          <w:p w14:paraId="7353946A" w14:textId="77777777" w:rsidR="00E04BB5" w:rsidRPr="002B1625" w:rsidRDefault="00E04BB5" w:rsidP="00E04BB5">
            <w:pPr>
              <w:spacing w:after="0" w:line="240" w:lineRule="auto"/>
              <w:jc w:val="center"/>
              <w:rPr>
                <w:rFonts w:ascii="Calibri" w:eastAsia="Times New Roman" w:hAnsi="Calibri" w:cs="Times New Roman"/>
                <w:color w:val="000000"/>
                <w:lang w:val="en-GB"/>
              </w:rPr>
            </w:pPr>
            <w:r w:rsidRPr="002B1625">
              <w:rPr>
                <w:rFonts w:ascii="Calibri" w:eastAsia="Times New Roman" w:hAnsi="Calibri" w:cs="Times New Roman"/>
                <w:color w:val="000000"/>
                <w:lang w:val="en-GB"/>
              </w:rPr>
              <w:t>Std. Err.</w:t>
            </w:r>
          </w:p>
        </w:tc>
        <w:tc>
          <w:tcPr>
            <w:tcW w:w="428" w:type="dxa"/>
            <w:tcBorders>
              <w:top w:val="nil"/>
              <w:left w:val="nil"/>
              <w:bottom w:val="single" w:sz="4" w:space="0" w:color="auto"/>
              <w:right w:val="nil"/>
            </w:tcBorders>
            <w:shd w:val="clear" w:color="auto" w:fill="auto"/>
            <w:noWrap/>
            <w:vAlign w:val="bottom"/>
            <w:hideMark/>
          </w:tcPr>
          <w:p w14:paraId="687193E7"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79999E88" w14:textId="77777777" w:rsidTr="00E04BB5">
        <w:trPr>
          <w:trHeight w:val="288"/>
        </w:trPr>
        <w:tc>
          <w:tcPr>
            <w:tcW w:w="1299" w:type="dxa"/>
            <w:tcBorders>
              <w:top w:val="single" w:sz="4" w:space="0" w:color="auto"/>
              <w:left w:val="nil"/>
              <w:bottom w:val="nil"/>
              <w:right w:val="nil"/>
            </w:tcBorders>
            <w:shd w:val="clear" w:color="auto" w:fill="auto"/>
            <w:noWrap/>
            <w:vAlign w:val="bottom"/>
          </w:tcPr>
          <w:p w14:paraId="119FA94E" w14:textId="77777777" w:rsidR="00E04BB5" w:rsidRPr="002B1625" w:rsidRDefault="00E04BB5" w:rsidP="00E04BB5">
            <w:pPr>
              <w:spacing w:after="0" w:line="240" w:lineRule="auto"/>
              <w:rPr>
                <w:rFonts w:ascii="Calibri" w:eastAsia="Times New Roman" w:hAnsi="Calibri" w:cs="Times New Roman"/>
                <w:b/>
                <w:bCs/>
                <w:color w:val="000000"/>
                <w:lang w:val="en-GB"/>
              </w:rPr>
            </w:pPr>
          </w:p>
        </w:tc>
        <w:tc>
          <w:tcPr>
            <w:tcW w:w="960" w:type="dxa"/>
            <w:tcBorders>
              <w:top w:val="single" w:sz="4" w:space="0" w:color="auto"/>
              <w:left w:val="nil"/>
              <w:bottom w:val="nil"/>
              <w:right w:val="nil"/>
            </w:tcBorders>
            <w:shd w:val="clear" w:color="auto" w:fill="auto"/>
            <w:noWrap/>
            <w:vAlign w:val="bottom"/>
          </w:tcPr>
          <w:p w14:paraId="352EBD6C" w14:textId="77777777" w:rsidR="00E04BB5" w:rsidRPr="00D44903" w:rsidRDefault="00E04BB5" w:rsidP="00E04BB5">
            <w:pPr>
              <w:spacing w:after="0" w:line="240" w:lineRule="auto"/>
              <w:rPr>
                <w:rFonts w:ascii="Calibri" w:eastAsia="Times New Roman" w:hAnsi="Calibri" w:cs="Times New Roman"/>
                <w:b/>
                <w:bCs/>
                <w:color w:val="000000"/>
                <w:lang w:val="en-GB"/>
              </w:rPr>
            </w:pPr>
          </w:p>
        </w:tc>
        <w:tc>
          <w:tcPr>
            <w:tcW w:w="960" w:type="dxa"/>
            <w:tcBorders>
              <w:top w:val="single" w:sz="4" w:space="0" w:color="auto"/>
              <w:left w:val="nil"/>
              <w:bottom w:val="nil"/>
              <w:right w:val="nil"/>
            </w:tcBorders>
            <w:shd w:val="clear" w:color="auto" w:fill="auto"/>
            <w:noWrap/>
            <w:vAlign w:val="bottom"/>
          </w:tcPr>
          <w:p w14:paraId="5D25B8E4"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0B32E8CF"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3B1A08D8"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861" w:type="dxa"/>
            <w:tcBorders>
              <w:top w:val="single" w:sz="4" w:space="0" w:color="auto"/>
              <w:left w:val="nil"/>
              <w:bottom w:val="nil"/>
              <w:right w:val="nil"/>
            </w:tcBorders>
            <w:shd w:val="clear" w:color="auto" w:fill="auto"/>
            <w:noWrap/>
            <w:vAlign w:val="bottom"/>
          </w:tcPr>
          <w:p w14:paraId="70D2106C"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45CCE3CA"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604B8D3B"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861" w:type="dxa"/>
            <w:tcBorders>
              <w:top w:val="single" w:sz="4" w:space="0" w:color="auto"/>
              <w:left w:val="nil"/>
              <w:bottom w:val="nil"/>
              <w:right w:val="nil"/>
            </w:tcBorders>
            <w:shd w:val="clear" w:color="auto" w:fill="auto"/>
            <w:noWrap/>
            <w:vAlign w:val="bottom"/>
          </w:tcPr>
          <w:p w14:paraId="4D75E9E6"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3F9AF1C0"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36391A62"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861" w:type="dxa"/>
            <w:tcBorders>
              <w:top w:val="single" w:sz="4" w:space="0" w:color="auto"/>
              <w:left w:val="nil"/>
              <w:bottom w:val="nil"/>
              <w:right w:val="nil"/>
            </w:tcBorders>
            <w:shd w:val="clear" w:color="auto" w:fill="auto"/>
            <w:noWrap/>
            <w:vAlign w:val="bottom"/>
          </w:tcPr>
          <w:p w14:paraId="47B5EDF4"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29768701"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4325F147"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428" w:type="dxa"/>
            <w:tcBorders>
              <w:top w:val="single" w:sz="4" w:space="0" w:color="auto"/>
              <w:left w:val="nil"/>
              <w:bottom w:val="nil"/>
              <w:right w:val="nil"/>
            </w:tcBorders>
            <w:shd w:val="clear" w:color="auto" w:fill="auto"/>
            <w:noWrap/>
            <w:vAlign w:val="bottom"/>
          </w:tcPr>
          <w:p w14:paraId="21A60850"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234F78B5" w14:textId="77777777" w:rsidTr="00E04BB5">
        <w:trPr>
          <w:trHeight w:val="288"/>
        </w:trPr>
        <w:tc>
          <w:tcPr>
            <w:tcW w:w="1299" w:type="dxa"/>
            <w:tcBorders>
              <w:left w:val="nil"/>
              <w:bottom w:val="single" w:sz="4" w:space="0" w:color="auto"/>
              <w:right w:val="nil"/>
            </w:tcBorders>
            <w:shd w:val="clear" w:color="auto" w:fill="auto"/>
            <w:noWrap/>
            <w:vAlign w:val="bottom"/>
          </w:tcPr>
          <w:p w14:paraId="1563AD76" w14:textId="77777777" w:rsidR="00E04BB5" w:rsidRPr="002B1625" w:rsidRDefault="00E04BB5" w:rsidP="00E04BB5">
            <w:pPr>
              <w:spacing w:after="0" w:line="240" w:lineRule="auto"/>
              <w:rPr>
                <w:rFonts w:ascii="Calibri" w:eastAsia="Times New Roman" w:hAnsi="Calibri" w:cs="Times New Roman"/>
                <w:b/>
                <w:bCs/>
                <w:color w:val="000000"/>
                <w:lang w:val="en-GB"/>
              </w:rPr>
            </w:pPr>
            <w:r w:rsidRPr="002B1625">
              <w:rPr>
                <w:rFonts w:ascii="Calibri" w:eastAsia="Times New Roman" w:hAnsi="Calibri" w:cs="Times New Roman"/>
                <w:b/>
                <w:bCs/>
                <w:color w:val="000000"/>
                <w:lang w:val="en-GB"/>
              </w:rPr>
              <w:t>2000-</w:t>
            </w:r>
            <w:r w:rsidRPr="00D44903">
              <w:rPr>
                <w:rFonts w:ascii="Calibri" w:eastAsia="Times New Roman" w:hAnsi="Calibri" w:cs="Times New Roman"/>
                <w:b/>
                <w:bCs/>
                <w:color w:val="000000"/>
                <w:lang w:val="en-GB"/>
              </w:rPr>
              <w:t>20</w:t>
            </w:r>
            <w:r w:rsidRPr="002B1625">
              <w:rPr>
                <w:rFonts w:ascii="Calibri" w:eastAsia="Times New Roman" w:hAnsi="Calibri" w:cs="Times New Roman"/>
                <w:b/>
                <w:bCs/>
                <w:color w:val="000000"/>
                <w:lang w:val="en-GB"/>
              </w:rPr>
              <w:t>09</w:t>
            </w:r>
          </w:p>
        </w:tc>
        <w:tc>
          <w:tcPr>
            <w:tcW w:w="960" w:type="dxa"/>
            <w:tcBorders>
              <w:left w:val="nil"/>
              <w:bottom w:val="single" w:sz="4" w:space="0" w:color="auto"/>
              <w:right w:val="nil"/>
            </w:tcBorders>
            <w:shd w:val="clear" w:color="auto" w:fill="auto"/>
            <w:noWrap/>
            <w:vAlign w:val="bottom"/>
          </w:tcPr>
          <w:p w14:paraId="2C024AA1" w14:textId="77777777" w:rsidR="00E04BB5" w:rsidRPr="002B1625" w:rsidRDefault="00E04BB5" w:rsidP="00E04BB5">
            <w:pPr>
              <w:spacing w:after="0" w:line="240" w:lineRule="auto"/>
              <w:rPr>
                <w:rFonts w:ascii="Calibri" w:eastAsia="Times New Roman" w:hAnsi="Calibri" w:cs="Times New Roman"/>
                <w:b/>
                <w:bCs/>
                <w:color w:val="000000"/>
                <w:lang w:val="en-GB"/>
              </w:rPr>
            </w:pPr>
          </w:p>
        </w:tc>
        <w:tc>
          <w:tcPr>
            <w:tcW w:w="960" w:type="dxa"/>
            <w:tcBorders>
              <w:left w:val="nil"/>
              <w:bottom w:val="single" w:sz="4" w:space="0" w:color="auto"/>
              <w:right w:val="nil"/>
            </w:tcBorders>
            <w:shd w:val="clear" w:color="auto" w:fill="auto"/>
            <w:noWrap/>
            <w:vAlign w:val="bottom"/>
          </w:tcPr>
          <w:p w14:paraId="6EF5D641"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68297EA9"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1AED0DC3"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861" w:type="dxa"/>
            <w:tcBorders>
              <w:left w:val="nil"/>
              <w:bottom w:val="single" w:sz="4" w:space="0" w:color="auto"/>
              <w:right w:val="nil"/>
            </w:tcBorders>
            <w:shd w:val="clear" w:color="auto" w:fill="auto"/>
            <w:noWrap/>
            <w:vAlign w:val="bottom"/>
          </w:tcPr>
          <w:p w14:paraId="1335A8B1"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0C954048"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54CFC38D"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861" w:type="dxa"/>
            <w:tcBorders>
              <w:left w:val="nil"/>
              <w:bottom w:val="single" w:sz="4" w:space="0" w:color="auto"/>
              <w:right w:val="nil"/>
            </w:tcBorders>
            <w:shd w:val="clear" w:color="auto" w:fill="auto"/>
            <w:noWrap/>
            <w:vAlign w:val="bottom"/>
          </w:tcPr>
          <w:p w14:paraId="418DD74F"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7989B86E"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33753FC9"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861" w:type="dxa"/>
            <w:tcBorders>
              <w:left w:val="nil"/>
              <w:bottom w:val="single" w:sz="4" w:space="0" w:color="auto"/>
              <w:right w:val="nil"/>
            </w:tcBorders>
            <w:shd w:val="clear" w:color="auto" w:fill="auto"/>
            <w:noWrap/>
            <w:vAlign w:val="bottom"/>
          </w:tcPr>
          <w:p w14:paraId="341CC42F"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4E9F0176" w14:textId="77777777" w:rsidR="00E04BB5" w:rsidRPr="002B1625" w:rsidRDefault="00E04BB5" w:rsidP="00E04BB5">
            <w:pPr>
              <w:spacing w:after="0" w:line="240" w:lineRule="auto"/>
              <w:jc w:val="center"/>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4507E329"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428" w:type="dxa"/>
            <w:tcBorders>
              <w:left w:val="nil"/>
              <w:bottom w:val="single" w:sz="4" w:space="0" w:color="auto"/>
              <w:right w:val="nil"/>
            </w:tcBorders>
            <w:shd w:val="clear" w:color="auto" w:fill="auto"/>
            <w:noWrap/>
            <w:vAlign w:val="bottom"/>
          </w:tcPr>
          <w:p w14:paraId="5AA266D2"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3BE9BB01" w14:textId="77777777" w:rsidTr="00E04BB5">
        <w:trPr>
          <w:trHeight w:val="288"/>
        </w:trPr>
        <w:tc>
          <w:tcPr>
            <w:tcW w:w="1299" w:type="dxa"/>
            <w:tcBorders>
              <w:left w:val="nil"/>
              <w:bottom w:val="nil"/>
              <w:right w:val="nil"/>
            </w:tcBorders>
            <w:shd w:val="clear" w:color="auto" w:fill="auto"/>
            <w:noWrap/>
            <w:vAlign w:val="bottom"/>
          </w:tcPr>
          <w:p w14:paraId="3AD6793E" w14:textId="77777777" w:rsidR="00E04BB5" w:rsidRPr="00D44903" w:rsidRDefault="00E04BB5" w:rsidP="00E04BB5">
            <w:pPr>
              <w:spacing w:after="0" w:line="240" w:lineRule="auto"/>
              <w:rPr>
                <w:rFonts w:ascii="Calibri" w:eastAsia="Times New Roman" w:hAnsi="Calibri" w:cs="Times New Roman"/>
                <w:b/>
                <w:bCs/>
                <w:color w:val="000000"/>
                <w:lang w:val="en-GB"/>
              </w:rPr>
            </w:pPr>
            <w:r w:rsidRPr="002B1625">
              <w:rPr>
                <w:rFonts w:ascii="Calibri" w:eastAsia="Times New Roman" w:hAnsi="Calibri" w:cs="Times New Roman"/>
                <w:color w:val="000000"/>
                <w:lang w:val="en-GB"/>
              </w:rPr>
              <w:t>difference</w:t>
            </w:r>
          </w:p>
        </w:tc>
        <w:tc>
          <w:tcPr>
            <w:tcW w:w="960" w:type="dxa"/>
            <w:tcBorders>
              <w:left w:val="nil"/>
              <w:bottom w:val="nil"/>
              <w:right w:val="nil"/>
            </w:tcBorders>
            <w:shd w:val="clear" w:color="auto" w:fill="auto"/>
            <w:noWrap/>
            <w:vAlign w:val="bottom"/>
          </w:tcPr>
          <w:p w14:paraId="50F60FEC" w14:textId="77777777" w:rsidR="00E04BB5" w:rsidRPr="002B1625" w:rsidRDefault="00E04BB5" w:rsidP="00E04BB5">
            <w:pPr>
              <w:spacing w:after="0" w:line="240" w:lineRule="auto"/>
              <w:rPr>
                <w:rFonts w:ascii="Calibri" w:eastAsia="Times New Roman" w:hAnsi="Calibri" w:cs="Times New Roman"/>
                <w:b/>
                <w:bCs/>
                <w:color w:val="000000"/>
                <w:lang w:val="en-GB"/>
              </w:rPr>
            </w:pPr>
          </w:p>
        </w:tc>
        <w:tc>
          <w:tcPr>
            <w:tcW w:w="960" w:type="dxa"/>
            <w:tcBorders>
              <w:left w:val="nil"/>
              <w:bottom w:val="nil"/>
              <w:right w:val="nil"/>
            </w:tcBorders>
            <w:shd w:val="clear" w:color="auto" w:fill="auto"/>
            <w:noWrap/>
            <w:vAlign w:val="bottom"/>
          </w:tcPr>
          <w:p w14:paraId="0ACDA6C1"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0E8301A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-.244</w:t>
            </w:r>
          </w:p>
        </w:tc>
        <w:tc>
          <w:tcPr>
            <w:tcW w:w="960" w:type="dxa"/>
            <w:tcBorders>
              <w:left w:val="nil"/>
              <w:bottom w:val="nil"/>
              <w:right w:val="nil"/>
            </w:tcBorders>
            <w:shd w:val="clear" w:color="auto" w:fill="auto"/>
            <w:noWrap/>
            <w:vAlign w:val="bottom"/>
          </w:tcPr>
          <w:p w14:paraId="52E3E8D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.326</w:t>
            </w:r>
          </w:p>
        </w:tc>
        <w:tc>
          <w:tcPr>
            <w:tcW w:w="861" w:type="dxa"/>
            <w:tcBorders>
              <w:left w:val="nil"/>
              <w:bottom w:val="nil"/>
              <w:right w:val="nil"/>
            </w:tcBorders>
            <w:shd w:val="clear" w:color="auto" w:fill="auto"/>
            <w:noWrap/>
            <w:vAlign w:val="bottom"/>
          </w:tcPr>
          <w:p w14:paraId="0C696E22"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43B2CDE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-.404</w:t>
            </w:r>
          </w:p>
        </w:tc>
        <w:tc>
          <w:tcPr>
            <w:tcW w:w="960" w:type="dxa"/>
            <w:tcBorders>
              <w:left w:val="nil"/>
              <w:bottom w:val="nil"/>
              <w:right w:val="nil"/>
            </w:tcBorders>
            <w:shd w:val="clear" w:color="auto" w:fill="auto"/>
            <w:noWrap/>
            <w:vAlign w:val="bottom"/>
          </w:tcPr>
          <w:p w14:paraId="3D917ED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.338</w:t>
            </w:r>
          </w:p>
        </w:tc>
        <w:tc>
          <w:tcPr>
            <w:tcW w:w="861" w:type="dxa"/>
            <w:tcBorders>
              <w:left w:val="nil"/>
              <w:bottom w:val="nil"/>
              <w:right w:val="nil"/>
            </w:tcBorders>
            <w:shd w:val="clear" w:color="auto" w:fill="auto"/>
            <w:noWrap/>
            <w:vAlign w:val="bottom"/>
          </w:tcPr>
          <w:p w14:paraId="11BCD8BA"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14D3156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-.396</w:t>
            </w:r>
          </w:p>
        </w:tc>
        <w:tc>
          <w:tcPr>
            <w:tcW w:w="960" w:type="dxa"/>
            <w:tcBorders>
              <w:left w:val="nil"/>
              <w:bottom w:val="nil"/>
              <w:right w:val="nil"/>
            </w:tcBorders>
            <w:shd w:val="clear" w:color="auto" w:fill="auto"/>
            <w:noWrap/>
            <w:vAlign w:val="bottom"/>
          </w:tcPr>
          <w:p w14:paraId="00E84B30"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.364</w:t>
            </w:r>
          </w:p>
        </w:tc>
        <w:tc>
          <w:tcPr>
            <w:tcW w:w="861" w:type="dxa"/>
            <w:tcBorders>
              <w:left w:val="nil"/>
              <w:bottom w:val="nil"/>
              <w:right w:val="nil"/>
            </w:tcBorders>
            <w:shd w:val="clear" w:color="auto" w:fill="auto"/>
            <w:noWrap/>
            <w:vAlign w:val="bottom"/>
          </w:tcPr>
          <w:p w14:paraId="6A992A34"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10F50ED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-.351</w:t>
            </w:r>
          </w:p>
        </w:tc>
        <w:tc>
          <w:tcPr>
            <w:tcW w:w="960" w:type="dxa"/>
            <w:tcBorders>
              <w:left w:val="nil"/>
              <w:bottom w:val="nil"/>
              <w:right w:val="nil"/>
            </w:tcBorders>
            <w:shd w:val="clear" w:color="auto" w:fill="auto"/>
            <w:noWrap/>
            <w:vAlign w:val="bottom"/>
          </w:tcPr>
          <w:p w14:paraId="24464BE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.382</w:t>
            </w:r>
          </w:p>
        </w:tc>
        <w:tc>
          <w:tcPr>
            <w:tcW w:w="428" w:type="dxa"/>
            <w:tcBorders>
              <w:left w:val="nil"/>
              <w:bottom w:val="nil"/>
              <w:right w:val="nil"/>
            </w:tcBorders>
            <w:shd w:val="clear" w:color="auto" w:fill="auto"/>
            <w:noWrap/>
            <w:vAlign w:val="bottom"/>
          </w:tcPr>
          <w:p w14:paraId="37D9DC6B"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1D0AD6BF" w14:textId="77777777" w:rsidTr="00E04BB5">
        <w:trPr>
          <w:trHeight w:val="288"/>
        </w:trPr>
        <w:tc>
          <w:tcPr>
            <w:tcW w:w="1299" w:type="dxa"/>
            <w:tcBorders>
              <w:left w:val="nil"/>
              <w:bottom w:val="nil"/>
              <w:right w:val="nil"/>
            </w:tcBorders>
            <w:shd w:val="clear" w:color="auto" w:fill="auto"/>
            <w:noWrap/>
            <w:vAlign w:val="bottom"/>
          </w:tcPr>
          <w:p w14:paraId="10B7EFCE" w14:textId="77777777" w:rsidR="00E04BB5" w:rsidRPr="00D44903" w:rsidRDefault="00E04BB5" w:rsidP="00E04BB5">
            <w:pPr>
              <w:spacing w:after="0" w:line="240" w:lineRule="auto"/>
              <w:rPr>
                <w:rFonts w:ascii="Calibri" w:eastAsia="Times New Roman" w:hAnsi="Calibri" w:cs="Times New Roman"/>
                <w:b/>
                <w:bCs/>
                <w:color w:val="000000"/>
                <w:lang w:val="en-GB"/>
              </w:rPr>
            </w:pPr>
            <w:r w:rsidRPr="002B1625">
              <w:rPr>
                <w:rFonts w:ascii="Calibri" w:eastAsia="Times New Roman" w:hAnsi="Calibri" w:cs="Times New Roman"/>
                <w:color w:val="000000"/>
                <w:lang w:val="en-GB"/>
              </w:rPr>
              <w:t xml:space="preserve">explained </w:t>
            </w:r>
          </w:p>
        </w:tc>
        <w:tc>
          <w:tcPr>
            <w:tcW w:w="960" w:type="dxa"/>
            <w:tcBorders>
              <w:left w:val="nil"/>
              <w:bottom w:val="nil"/>
              <w:right w:val="nil"/>
            </w:tcBorders>
            <w:shd w:val="clear" w:color="auto" w:fill="auto"/>
            <w:noWrap/>
            <w:vAlign w:val="bottom"/>
          </w:tcPr>
          <w:p w14:paraId="7B776E86" w14:textId="77777777" w:rsidR="00E04BB5" w:rsidRPr="002B1625" w:rsidRDefault="00E04BB5" w:rsidP="00E04BB5">
            <w:pPr>
              <w:spacing w:after="0" w:line="240" w:lineRule="auto"/>
              <w:rPr>
                <w:rFonts w:ascii="Calibri" w:eastAsia="Times New Roman" w:hAnsi="Calibri" w:cs="Times New Roman"/>
                <w:b/>
                <w:bCs/>
                <w:color w:val="000000"/>
                <w:lang w:val="en-GB"/>
              </w:rPr>
            </w:pPr>
          </w:p>
        </w:tc>
        <w:tc>
          <w:tcPr>
            <w:tcW w:w="960" w:type="dxa"/>
            <w:tcBorders>
              <w:left w:val="nil"/>
              <w:bottom w:val="nil"/>
              <w:right w:val="nil"/>
            </w:tcBorders>
            <w:shd w:val="clear" w:color="auto" w:fill="auto"/>
            <w:noWrap/>
            <w:vAlign w:val="bottom"/>
          </w:tcPr>
          <w:p w14:paraId="2FD80FD4"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0EE4095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.705*</w:t>
            </w:r>
          </w:p>
        </w:tc>
        <w:tc>
          <w:tcPr>
            <w:tcW w:w="960" w:type="dxa"/>
            <w:tcBorders>
              <w:left w:val="nil"/>
              <w:bottom w:val="nil"/>
              <w:right w:val="nil"/>
            </w:tcBorders>
            <w:shd w:val="clear" w:color="auto" w:fill="auto"/>
            <w:noWrap/>
            <w:vAlign w:val="bottom"/>
          </w:tcPr>
          <w:p w14:paraId="5D461EF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.383</w:t>
            </w:r>
          </w:p>
        </w:tc>
        <w:tc>
          <w:tcPr>
            <w:tcW w:w="861" w:type="dxa"/>
            <w:tcBorders>
              <w:left w:val="nil"/>
              <w:bottom w:val="nil"/>
              <w:right w:val="nil"/>
            </w:tcBorders>
            <w:shd w:val="clear" w:color="auto" w:fill="auto"/>
            <w:noWrap/>
            <w:vAlign w:val="bottom"/>
          </w:tcPr>
          <w:p w14:paraId="661F1949"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5219F5C3"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.768*</w:t>
            </w:r>
          </w:p>
        </w:tc>
        <w:tc>
          <w:tcPr>
            <w:tcW w:w="960" w:type="dxa"/>
            <w:tcBorders>
              <w:left w:val="nil"/>
              <w:bottom w:val="nil"/>
              <w:right w:val="nil"/>
            </w:tcBorders>
            <w:shd w:val="clear" w:color="auto" w:fill="auto"/>
            <w:noWrap/>
            <w:vAlign w:val="bottom"/>
          </w:tcPr>
          <w:p w14:paraId="48F6176D"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.414</w:t>
            </w:r>
          </w:p>
        </w:tc>
        <w:tc>
          <w:tcPr>
            <w:tcW w:w="861" w:type="dxa"/>
            <w:tcBorders>
              <w:left w:val="nil"/>
              <w:bottom w:val="nil"/>
              <w:right w:val="nil"/>
            </w:tcBorders>
            <w:shd w:val="clear" w:color="auto" w:fill="auto"/>
            <w:noWrap/>
            <w:vAlign w:val="bottom"/>
          </w:tcPr>
          <w:p w14:paraId="23ED856B"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6A24250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.824*</w:t>
            </w:r>
          </w:p>
        </w:tc>
        <w:tc>
          <w:tcPr>
            <w:tcW w:w="960" w:type="dxa"/>
            <w:tcBorders>
              <w:left w:val="nil"/>
              <w:bottom w:val="nil"/>
              <w:right w:val="nil"/>
            </w:tcBorders>
            <w:shd w:val="clear" w:color="auto" w:fill="auto"/>
            <w:noWrap/>
            <w:vAlign w:val="bottom"/>
          </w:tcPr>
          <w:p w14:paraId="07AD382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.439</w:t>
            </w:r>
          </w:p>
        </w:tc>
        <w:tc>
          <w:tcPr>
            <w:tcW w:w="861" w:type="dxa"/>
            <w:tcBorders>
              <w:left w:val="nil"/>
              <w:bottom w:val="nil"/>
              <w:right w:val="nil"/>
            </w:tcBorders>
            <w:shd w:val="clear" w:color="auto" w:fill="auto"/>
            <w:noWrap/>
            <w:vAlign w:val="bottom"/>
          </w:tcPr>
          <w:p w14:paraId="1B4F7234"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51DD066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.831*</w:t>
            </w:r>
          </w:p>
        </w:tc>
        <w:tc>
          <w:tcPr>
            <w:tcW w:w="960" w:type="dxa"/>
            <w:tcBorders>
              <w:left w:val="nil"/>
              <w:bottom w:val="nil"/>
              <w:right w:val="nil"/>
            </w:tcBorders>
            <w:shd w:val="clear" w:color="auto" w:fill="auto"/>
            <w:noWrap/>
            <w:vAlign w:val="bottom"/>
          </w:tcPr>
          <w:p w14:paraId="274BDBF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.469</w:t>
            </w:r>
          </w:p>
        </w:tc>
        <w:tc>
          <w:tcPr>
            <w:tcW w:w="428" w:type="dxa"/>
            <w:tcBorders>
              <w:left w:val="nil"/>
              <w:bottom w:val="nil"/>
              <w:right w:val="nil"/>
            </w:tcBorders>
            <w:shd w:val="clear" w:color="auto" w:fill="auto"/>
            <w:noWrap/>
            <w:vAlign w:val="bottom"/>
          </w:tcPr>
          <w:p w14:paraId="244242D6"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7CF5A82F" w14:textId="77777777" w:rsidTr="00E04BB5">
        <w:trPr>
          <w:trHeight w:val="288"/>
        </w:trPr>
        <w:tc>
          <w:tcPr>
            <w:tcW w:w="1299" w:type="dxa"/>
            <w:tcBorders>
              <w:left w:val="nil"/>
              <w:bottom w:val="nil"/>
              <w:right w:val="nil"/>
            </w:tcBorders>
            <w:shd w:val="clear" w:color="auto" w:fill="auto"/>
            <w:noWrap/>
            <w:vAlign w:val="bottom"/>
          </w:tcPr>
          <w:p w14:paraId="43DD3068" w14:textId="77777777" w:rsidR="00E04BB5" w:rsidRPr="00D44903" w:rsidRDefault="00E04BB5" w:rsidP="00E04BB5">
            <w:pPr>
              <w:spacing w:after="0" w:line="240" w:lineRule="auto"/>
              <w:rPr>
                <w:rFonts w:ascii="Calibri" w:eastAsia="Times New Roman" w:hAnsi="Calibri" w:cs="Times New Roman"/>
                <w:b/>
                <w:bCs/>
                <w:color w:val="000000"/>
                <w:lang w:val="en-GB"/>
              </w:rPr>
            </w:pPr>
            <w:r w:rsidRPr="002B1625">
              <w:rPr>
                <w:rFonts w:ascii="Calibri" w:eastAsia="Times New Roman" w:hAnsi="Calibri" w:cs="Times New Roman"/>
                <w:color w:val="000000"/>
                <w:lang w:val="en-GB"/>
              </w:rPr>
              <w:t>unexplained</w:t>
            </w:r>
          </w:p>
        </w:tc>
        <w:tc>
          <w:tcPr>
            <w:tcW w:w="960" w:type="dxa"/>
            <w:tcBorders>
              <w:left w:val="nil"/>
              <w:bottom w:val="nil"/>
              <w:right w:val="nil"/>
            </w:tcBorders>
            <w:shd w:val="clear" w:color="auto" w:fill="auto"/>
            <w:noWrap/>
            <w:vAlign w:val="bottom"/>
          </w:tcPr>
          <w:p w14:paraId="1796E983" w14:textId="77777777" w:rsidR="00E04BB5" w:rsidRPr="002B1625" w:rsidRDefault="00E04BB5" w:rsidP="00E04BB5">
            <w:pPr>
              <w:spacing w:after="0" w:line="240" w:lineRule="auto"/>
              <w:rPr>
                <w:rFonts w:ascii="Calibri" w:eastAsia="Times New Roman" w:hAnsi="Calibri" w:cs="Times New Roman"/>
                <w:b/>
                <w:bCs/>
                <w:color w:val="000000"/>
                <w:lang w:val="en-GB"/>
              </w:rPr>
            </w:pPr>
            <w:r w:rsidRPr="002B1625">
              <w:rPr>
                <w:rFonts w:ascii="Calibri" w:eastAsia="Times New Roman" w:hAnsi="Calibri" w:cs="Times New Roman"/>
                <w:color w:val="000000"/>
                <w:lang w:val="en-GB"/>
              </w:rPr>
              <w:t> </w:t>
            </w:r>
          </w:p>
        </w:tc>
        <w:tc>
          <w:tcPr>
            <w:tcW w:w="960" w:type="dxa"/>
            <w:tcBorders>
              <w:left w:val="nil"/>
              <w:bottom w:val="nil"/>
              <w:right w:val="nil"/>
            </w:tcBorders>
            <w:shd w:val="clear" w:color="auto" w:fill="auto"/>
            <w:noWrap/>
            <w:vAlign w:val="bottom"/>
          </w:tcPr>
          <w:p w14:paraId="1389175E"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0D521D4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-.949**</w:t>
            </w:r>
          </w:p>
        </w:tc>
        <w:tc>
          <w:tcPr>
            <w:tcW w:w="960" w:type="dxa"/>
            <w:tcBorders>
              <w:left w:val="nil"/>
              <w:bottom w:val="nil"/>
              <w:right w:val="nil"/>
            </w:tcBorders>
            <w:shd w:val="clear" w:color="auto" w:fill="auto"/>
            <w:noWrap/>
            <w:vAlign w:val="bottom"/>
          </w:tcPr>
          <w:p w14:paraId="223A2C7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.471</w:t>
            </w:r>
          </w:p>
        </w:tc>
        <w:tc>
          <w:tcPr>
            <w:tcW w:w="861" w:type="dxa"/>
            <w:tcBorders>
              <w:left w:val="nil"/>
              <w:bottom w:val="nil"/>
              <w:right w:val="nil"/>
            </w:tcBorders>
            <w:shd w:val="clear" w:color="auto" w:fill="auto"/>
            <w:noWrap/>
            <w:vAlign w:val="bottom"/>
          </w:tcPr>
          <w:p w14:paraId="2CC8E537"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320E3ED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-1.172**</w:t>
            </w:r>
          </w:p>
        </w:tc>
        <w:tc>
          <w:tcPr>
            <w:tcW w:w="960" w:type="dxa"/>
            <w:tcBorders>
              <w:left w:val="nil"/>
              <w:bottom w:val="nil"/>
              <w:right w:val="nil"/>
            </w:tcBorders>
            <w:shd w:val="clear" w:color="auto" w:fill="auto"/>
            <w:noWrap/>
            <w:vAlign w:val="bottom"/>
          </w:tcPr>
          <w:p w14:paraId="678E232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.504</w:t>
            </w:r>
          </w:p>
        </w:tc>
        <w:tc>
          <w:tcPr>
            <w:tcW w:w="861" w:type="dxa"/>
            <w:tcBorders>
              <w:left w:val="nil"/>
              <w:bottom w:val="nil"/>
              <w:right w:val="nil"/>
            </w:tcBorders>
            <w:shd w:val="clear" w:color="auto" w:fill="auto"/>
            <w:noWrap/>
            <w:vAlign w:val="bottom"/>
          </w:tcPr>
          <w:p w14:paraId="52E7C04C"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1FC90CB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-1.221**</w:t>
            </w:r>
          </w:p>
        </w:tc>
        <w:tc>
          <w:tcPr>
            <w:tcW w:w="960" w:type="dxa"/>
            <w:tcBorders>
              <w:left w:val="nil"/>
              <w:bottom w:val="nil"/>
              <w:right w:val="nil"/>
            </w:tcBorders>
            <w:shd w:val="clear" w:color="auto" w:fill="auto"/>
            <w:noWrap/>
            <w:vAlign w:val="bottom"/>
          </w:tcPr>
          <w:p w14:paraId="7EFA5C10"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.538</w:t>
            </w:r>
          </w:p>
        </w:tc>
        <w:tc>
          <w:tcPr>
            <w:tcW w:w="861" w:type="dxa"/>
            <w:tcBorders>
              <w:left w:val="nil"/>
              <w:bottom w:val="nil"/>
              <w:right w:val="nil"/>
            </w:tcBorders>
            <w:shd w:val="clear" w:color="auto" w:fill="auto"/>
            <w:noWrap/>
            <w:vAlign w:val="bottom"/>
          </w:tcPr>
          <w:p w14:paraId="65AAD4DC"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nil"/>
              <w:right w:val="nil"/>
            </w:tcBorders>
            <w:shd w:val="clear" w:color="auto" w:fill="auto"/>
            <w:noWrap/>
            <w:vAlign w:val="bottom"/>
          </w:tcPr>
          <w:p w14:paraId="65B4F04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-1.182**</w:t>
            </w:r>
          </w:p>
        </w:tc>
        <w:tc>
          <w:tcPr>
            <w:tcW w:w="960" w:type="dxa"/>
            <w:tcBorders>
              <w:left w:val="nil"/>
              <w:bottom w:val="nil"/>
              <w:right w:val="nil"/>
            </w:tcBorders>
            <w:shd w:val="clear" w:color="auto" w:fill="auto"/>
            <w:noWrap/>
            <w:vAlign w:val="bottom"/>
          </w:tcPr>
          <w:p w14:paraId="6972FDBA"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.567</w:t>
            </w:r>
          </w:p>
        </w:tc>
        <w:tc>
          <w:tcPr>
            <w:tcW w:w="428" w:type="dxa"/>
            <w:tcBorders>
              <w:left w:val="nil"/>
              <w:bottom w:val="nil"/>
              <w:right w:val="nil"/>
            </w:tcBorders>
            <w:shd w:val="clear" w:color="auto" w:fill="auto"/>
            <w:noWrap/>
            <w:vAlign w:val="bottom"/>
          </w:tcPr>
          <w:p w14:paraId="7B7CC745"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567C880F" w14:textId="77777777" w:rsidTr="00E04BB5">
        <w:trPr>
          <w:trHeight w:val="288"/>
        </w:trPr>
        <w:tc>
          <w:tcPr>
            <w:tcW w:w="1299" w:type="dxa"/>
            <w:tcBorders>
              <w:left w:val="nil"/>
              <w:right w:val="nil"/>
            </w:tcBorders>
            <w:shd w:val="clear" w:color="auto" w:fill="auto"/>
            <w:noWrap/>
            <w:vAlign w:val="bottom"/>
          </w:tcPr>
          <w:p w14:paraId="774218AB" w14:textId="77777777" w:rsidR="00E04BB5" w:rsidRPr="002B1625" w:rsidRDefault="00E04BB5" w:rsidP="00E04BB5">
            <w:pPr>
              <w:spacing w:after="0" w:line="240" w:lineRule="auto"/>
              <w:rPr>
                <w:rFonts w:ascii="Calibri" w:eastAsia="Times New Roman" w:hAnsi="Calibri" w:cs="Times New Roman"/>
                <w:b/>
                <w:bCs/>
                <w:color w:val="000000"/>
                <w:lang w:val="en-GB"/>
              </w:rPr>
            </w:pPr>
          </w:p>
        </w:tc>
        <w:tc>
          <w:tcPr>
            <w:tcW w:w="960" w:type="dxa"/>
            <w:tcBorders>
              <w:left w:val="nil"/>
              <w:right w:val="nil"/>
            </w:tcBorders>
            <w:shd w:val="clear" w:color="auto" w:fill="auto"/>
            <w:noWrap/>
            <w:vAlign w:val="bottom"/>
          </w:tcPr>
          <w:p w14:paraId="3DB9533B" w14:textId="77777777" w:rsidR="00E04BB5" w:rsidRPr="00D44903" w:rsidRDefault="00E04BB5" w:rsidP="00E04BB5">
            <w:pPr>
              <w:spacing w:after="0" w:line="240" w:lineRule="auto"/>
              <w:rPr>
                <w:rFonts w:ascii="Calibri" w:eastAsia="Times New Roman" w:hAnsi="Calibri" w:cs="Times New Roman"/>
                <w:b/>
                <w:bCs/>
                <w:color w:val="000000"/>
                <w:lang w:val="en-GB"/>
              </w:rPr>
            </w:pPr>
          </w:p>
        </w:tc>
        <w:tc>
          <w:tcPr>
            <w:tcW w:w="960" w:type="dxa"/>
            <w:tcBorders>
              <w:left w:val="nil"/>
              <w:right w:val="nil"/>
            </w:tcBorders>
            <w:shd w:val="clear" w:color="auto" w:fill="auto"/>
            <w:noWrap/>
            <w:vAlign w:val="bottom"/>
          </w:tcPr>
          <w:p w14:paraId="09BAC2B2"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left w:val="nil"/>
              <w:right w:val="nil"/>
            </w:tcBorders>
            <w:shd w:val="clear" w:color="auto" w:fill="auto"/>
            <w:noWrap/>
            <w:vAlign w:val="bottom"/>
          </w:tcPr>
          <w:p w14:paraId="5CCBEC59"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right w:val="nil"/>
            </w:tcBorders>
            <w:shd w:val="clear" w:color="auto" w:fill="auto"/>
            <w:noWrap/>
            <w:vAlign w:val="bottom"/>
          </w:tcPr>
          <w:p w14:paraId="1636E954"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861" w:type="dxa"/>
            <w:tcBorders>
              <w:left w:val="nil"/>
              <w:right w:val="nil"/>
            </w:tcBorders>
            <w:shd w:val="clear" w:color="auto" w:fill="auto"/>
            <w:noWrap/>
            <w:vAlign w:val="bottom"/>
          </w:tcPr>
          <w:p w14:paraId="53A1EA92"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right w:val="nil"/>
            </w:tcBorders>
            <w:shd w:val="clear" w:color="auto" w:fill="auto"/>
            <w:noWrap/>
            <w:vAlign w:val="bottom"/>
          </w:tcPr>
          <w:p w14:paraId="05B0BF94"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right w:val="nil"/>
            </w:tcBorders>
            <w:shd w:val="clear" w:color="auto" w:fill="auto"/>
            <w:noWrap/>
            <w:vAlign w:val="bottom"/>
          </w:tcPr>
          <w:p w14:paraId="68B250C1"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861" w:type="dxa"/>
            <w:tcBorders>
              <w:left w:val="nil"/>
              <w:right w:val="nil"/>
            </w:tcBorders>
            <w:shd w:val="clear" w:color="auto" w:fill="auto"/>
            <w:noWrap/>
            <w:vAlign w:val="bottom"/>
          </w:tcPr>
          <w:p w14:paraId="1BD0DA9A"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right w:val="nil"/>
            </w:tcBorders>
            <w:shd w:val="clear" w:color="auto" w:fill="auto"/>
            <w:noWrap/>
            <w:vAlign w:val="bottom"/>
          </w:tcPr>
          <w:p w14:paraId="365EFB4C"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right w:val="nil"/>
            </w:tcBorders>
            <w:shd w:val="clear" w:color="auto" w:fill="auto"/>
            <w:noWrap/>
            <w:vAlign w:val="bottom"/>
          </w:tcPr>
          <w:p w14:paraId="74DB52AC"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861" w:type="dxa"/>
            <w:tcBorders>
              <w:left w:val="nil"/>
              <w:right w:val="nil"/>
            </w:tcBorders>
            <w:shd w:val="clear" w:color="auto" w:fill="auto"/>
            <w:noWrap/>
            <w:vAlign w:val="bottom"/>
          </w:tcPr>
          <w:p w14:paraId="1CFF75F1"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right w:val="nil"/>
            </w:tcBorders>
            <w:shd w:val="clear" w:color="auto" w:fill="auto"/>
            <w:noWrap/>
            <w:vAlign w:val="bottom"/>
          </w:tcPr>
          <w:p w14:paraId="0F5C4FEF"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right w:val="nil"/>
            </w:tcBorders>
            <w:shd w:val="clear" w:color="auto" w:fill="auto"/>
            <w:noWrap/>
            <w:vAlign w:val="bottom"/>
          </w:tcPr>
          <w:p w14:paraId="63732BD6"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428" w:type="dxa"/>
            <w:tcBorders>
              <w:left w:val="nil"/>
              <w:right w:val="nil"/>
            </w:tcBorders>
            <w:shd w:val="clear" w:color="auto" w:fill="auto"/>
            <w:noWrap/>
            <w:vAlign w:val="bottom"/>
          </w:tcPr>
          <w:p w14:paraId="54658A6E"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49AB2D4C" w14:textId="77777777" w:rsidTr="00E04BB5">
        <w:trPr>
          <w:trHeight w:val="288"/>
        </w:trPr>
        <w:tc>
          <w:tcPr>
            <w:tcW w:w="4179" w:type="dxa"/>
            <w:gridSpan w:val="4"/>
            <w:tcBorders>
              <w:left w:val="nil"/>
              <w:bottom w:val="single" w:sz="4" w:space="0" w:color="auto"/>
              <w:right w:val="nil"/>
            </w:tcBorders>
            <w:shd w:val="clear" w:color="auto" w:fill="auto"/>
            <w:noWrap/>
            <w:vAlign w:val="bottom"/>
          </w:tcPr>
          <w:p w14:paraId="027C8916" w14:textId="77777777" w:rsidR="00E04BB5" w:rsidRPr="002B1625" w:rsidRDefault="00E04BB5" w:rsidP="00E04BB5">
            <w:pPr>
              <w:spacing w:after="0" w:line="240" w:lineRule="auto"/>
              <w:rPr>
                <w:rFonts w:ascii="Calibri" w:eastAsia="Times New Roman" w:hAnsi="Calibri" w:cs="Times New Roman"/>
                <w:b/>
                <w:color w:val="000000"/>
                <w:lang w:val="en-GB"/>
              </w:rPr>
            </w:pPr>
            <w:r w:rsidRPr="002B1625">
              <w:rPr>
                <w:rFonts w:ascii="Calibri" w:eastAsia="Times New Roman" w:hAnsi="Calibri" w:cs="Times New Roman"/>
                <w:b/>
                <w:color w:val="000000"/>
                <w:lang w:val="en-GB"/>
              </w:rPr>
              <w:t>2010-</w:t>
            </w:r>
            <w:r w:rsidRPr="00D44903">
              <w:rPr>
                <w:rFonts w:ascii="Calibri" w:eastAsia="Times New Roman" w:hAnsi="Calibri" w:cs="Times New Roman"/>
                <w:b/>
                <w:color w:val="000000"/>
                <w:lang w:val="en-GB"/>
              </w:rPr>
              <w:t>20</w:t>
            </w:r>
            <w:r w:rsidRPr="002B1625">
              <w:rPr>
                <w:rFonts w:ascii="Calibri" w:eastAsia="Times New Roman" w:hAnsi="Calibri" w:cs="Times New Roman"/>
                <w:b/>
                <w:color w:val="000000"/>
                <w:lang w:val="en-GB"/>
              </w:rPr>
              <w:t>19</w:t>
            </w:r>
          </w:p>
        </w:tc>
        <w:tc>
          <w:tcPr>
            <w:tcW w:w="960" w:type="dxa"/>
            <w:tcBorders>
              <w:left w:val="nil"/>
              <w:bottom w:val="single" w:sz="4" w:space="0" w:color="auto"/>
              <w:right w:val="nil"/>
            </w:tcBorders>
            <w:shd w:val="clear" w:color="auto" w:fill="auto"/>
            <w:noWrap/>
            <w:vAlign w:val="bottom"/>
          </w:tcPr>
          <w:p w14:paraId="7EA3B81A"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861" w:type="dxa"/>
            <w:tcBorders>
              <w:left w:val="nil"/>
              <w:bottom w:val="single" w:sz="4" w:space="0" w:color="auto"/>
              <w:right w:val="nil"/>
            </w:tcBorders>
            <w:shd w:val="clear" w:color="auto" w:fill="auto"/>
            <w:noWrap/>
            <w:vAlign w:val="bottom"/>
          </w:tcPr>
          <w:p w14:paraId="69DAB69B"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069C3E24"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330898C9"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861" w:type="dxa"/>
            <w:tcBorders>
              <w:left w:val="nil"/>
              <w:bottom w:val="single" w:sz="4" w:space="0" w:color="auto"/>
              <w:right w:val="nil"/>
            </w:tcBorders>
            <w:shd w:val="clear" w:color="auto" w:fill="auto"/>
            <w:noWrap/>
            <w:vAlign w:val="bottom"/>
          </w:tcPr>
          <w:p w14:paraId="6BDA2937"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2B6C06C9"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6A4D24C2"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861" w:type="dxa"/>
            <w:tcBorders>
              <w:left w:val="nil"/>
              <w:bottom w:val="single" w:sz="4" w:space="0" w:color="auto"/>
              <w:right w:val="nil"/>
            </w:tcBorders>
            <w:shd w:val="clear" w:color="auto" w:fill="auto"/>
            <w:noWrap/>
            <w:vAlign w:val="bottom"/>
          </w:tcPr>
          <w:p w14:paraId="2C881B37"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7C88E6AB"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left w:val="nil"/>
              <w:bottom w:val="single" w:sz="4" w:space="0" w:color="auto"/>
              <w:right w:val="nil"/>
            </w:tcBorders>
            <w:shd w:val="clear" w:color="auto" w:fill="auto"/>
            <w:noWrap/>
            <w:vAlign w:val="bottom"/>
          </w:tcPr>
          <w:p w14:paraId="2B061839"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428" w:type="dxa"/>
            <w:tcBorders>
              <w:left w:val="nil"/>
              <w:bottom w:val="single" w:sz="4" w:space="0" w:color="auto"/>
              <w:right w:val="nil"/>
            </w:tcBorders>
            <w:shd w:val="clear" w:color="auto" w:fill="auto"/>
            <w:noWrap/>
            <w:vAlign w:val="bottom"/>
          </w:tcPr>
          <w:p w14:paraId="23DBFDFA"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4DE277C4" w14:textId="77777777" w:rsidTr="00E04BB5">
        <w:trPr>
          <w:trHeight w:val="288"/>
        </w:trPr>
        <w:tc>
          <w:tcPr>
            <w:tcW w:w="2259" w:type="dxa"/>
            <w:gridSpan w:val="2"/>
            <w:tcBorders>
              <w:top w:val="single" w:sz="4" w:space="0" w:color="auto"/>
              <w:left w:val="nil"/>
              <w:bottom w:val="nil"/>
              <w:right w:val="nil"/>
            </w:tcBorders>
            <w:shd w:val="clear" w:color="auto" w:fill="auto"/>
            <w:noWrap/>
            <w:vAlign w:val="bottom"/>
            <w:hideMark/>
          </w:tcPr>
          <w:p w14:paraId="46F58F68" w14:textId="77777777" w:rsidR="00E04BB5" w:rsidRPr="00D44903"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difference</w:t>
            </w:r>
          </w:p>
        </w:tc>
        <w:tc>
          <w:tcPr>
            <w:tcW w:w="960" w:type="dxa"/>
            <w:tcBorders>
              <w:top w:val="single" w:sz="4" w:space="0" w:color="auto"/>
              <w:left w:val="nil"/>
              <w:bottom w:val="nil"/>
              <w:right w:val="nil"/>
            </w:tcBorders>
            <w:shd w:val="clear" w:color="auto" w:fill="auto"/>
            <w:noWrap/>
            <w:vAlign w:val="bottom"/>
            <w:hideMark/>
          </w:tcPr>
          <w:p w14:paraId="558B579B"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5DACB27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.963***</w:t>
            </w:r>
          </w:p>
        </w:tc>
        <w:tc>
          <w:tcPr>
            <w:tcW w:w="960" w:type="dxa"/>
            <w:tcBorders>
              <w:top w:val="single" w:sz="4" w:space="0" w:color="auto"/>
              <w:left w:val="nil"/>
              <w:bottom w:val="nil"/>
              <w:right w:val="nil"/>
            </w:tcBorders>
            <w:shd w:val="clear" w:color="auto" w:fill="auto"/>
            <w:noWrap/>
            <w:vAlign w:val="bottom"/>
          </w:tcPr>
          <w:p w14:paraId="454690C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.354</w:t>
            </w:r>
          </w:p>
        </w:tc>
        <w:tc>
          <w:tcPr>
            <w:tcW w:w="861" w:type="dxa"/>
            <w:tcBorders>
              <w:top w:val="single" w:sz="4" w:space="0" w:color="auto"/>
              <w:left w:val="nil"/>
              <w:bottom w:val="nil"/>
              <w:right w:val="nil"/>
            </w:tcBorders>
            <w:shd w:val="clear" w:color="auto" w:fill="auto"/>
            <w:noWrap/>
            <w:vAlign w:val="bottom"/>
          </w:tcPr>
          <w:p w14:paraId="3F2D52E6"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48D22044"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.954***</w:t>
            </w:r>
          </w:p>
        </w:tc>
        <w:tc>
          <w:tcPr>
            <w:tcW w:w="960" w:type="dxa"/>
            <w:tcBorders>
              <w:top w:val="single" w:sz="4" w:space="0" w:color="auto"/>
              <w:left w:val="nil"/>
              <w:bottom w:val="nil"/>
              <w:right w:val="nil"/>
            </w:tcBorders>
            <w:shd w:val="clear" w:color="auto" w:fill="auto"/>
            <w:noWrap/>
            <w:vAlign w:val="bottom"/>
          </w:tcPr>
          <w:p w14:paraId="402C9AF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.351</w:t>
            </w:r>
          </w:p>
        </w:tc>
        <w:tc>
          <w:tcPr>
            <w:tcW w:w="861" w:type="dxa"/>
            <w:tcBorders>
              <w:top w:val="single" w:sz="4" w:space="0" w:color="auto"/>
              <w:left w:val="nil"/>
              <w:bottom w:val="nil"/>
              <w:right w:val="nil"/>
            </w:tcBorders>
            <w:shd w:val="clear" w:color="auto" w:fill="auto"/>
            <w:noWrap/>
            <w:vAlign w:val="bottom"/>
          </w:tcPr>
          <w:p w14:paraId="0A418312"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0E4E09C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.572</w:t>
            </w:r>
          </w:p>
        </w:tc>
        <w:tc>
          <w:tcPr>
            <w:tcW w:w="960" w:type="dxa"/>
            <w:tcBorders>
              <w:top w:val="single" w:sz="4" w:space="0" w:color="auto"/>
              <w:left w:val="nil"/>
              <w:bottom w:val="nil"/>
              <w:right w:val="nil"/>
            </w:tcBorders>
            <w:shd w:val="clear" w:color="auto" w:fill="auto"/>
            <w:noWrap/>
            <w:vAlign w:val="bottom"/>
          </w:tcPr>
          <w:p w14:paraId="62D8FE23"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.384</w:t>
            </w:r>
          </w:p>
        </w:tc>
        <w:tc>
          <w:tcPr>
            <w:tcW w:w="861" w:type="dxa"/>
            <w:tcBorders>
              <w:top w:val="single" w:sz="4" w:space="0" w:color="auto"/>
              <w:left w:val="nil"/>
              <w:bottom w:val="nil"/>
              <w:right w:val="nil"/>
            </w:tcBorders>
            <w:shd w:val="clear" w:color="auto" w:fill="auto"/>
            <w:noWrap/>
            <w:vAlign w:val="bottom"/>
          </w:tcPr>
          <w:p w14:paraId="399A7A6E"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top w:val="single" w:sz="4" w:space="0" w:color="auto"/>
              <w:left w:val="nil"/>
              <w:bottom w:val="nil"/>
              <w:right w:val="nil"/>
            </w:tcBorders>
            <w:shd w:val="clear" w:color="auto" w:fill="auto"/>
            <w:noWrap/>
            <w:vAlign w:val="bottom"/>
          </w:tcPr>
          <w:p w14:paraId="76578F2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.777*</w:t>
            </w:r>
          </w:p>
        </w:tc>
        <w:tc>
          <w:tcPr>
            <w:tcW w:w="960" w:type="dxa"/>
            <w:tcBorders>
              <w:top w:val="single" w:sz="4" w:space="0" w:color="auto"/>
              <w:left w:val="nil"/>
              <w:bottom w:val="nil"/>
              <w:right w:val="nil"/>
            </w:tcBorders>
            <w:shd w:val="clear" w:color="auto" w:fill="auto"/>
            <w:noWrap/>
            <w:vAlign w:val="bottom"/>
          </w:tcPr>
          <w:p w14:paraId="181B7FB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.434</w:t>
            </w:r>
          </w:p>
        </w:tc>
        <w:tc>
          <w:tcPr>
            <w:tcW w:w="428" w:type="dxa"/>
            <w:tcBorders>
              <w:top w:val="single" w:sz="4" w:space="0" w:color="auto"/>
              <w:left w:val="nil"/>
              <w:bottom w:val="nil"/>
              <w:right w:val="nil"/>
            </w:tcBorders>
            <w:shd w:val="clear" w:color="auto" w:fill="auto"/>
            <w:noWrap/>
            <w:vAlign w:val="bottom"/>
            <w:hideMark/>
          </w:tcPr>
          <w:p w14:paraId="71FE8FE0"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6BDE1127" w14:textId="77777777" w:rsidTr="00E04BB5">
        <w:trPr>
          <w:trHeight w:val="288"/>
        </w:trPr>
        <w:tc>
          <w:tcPr>
            <w:tcW w:w="2259" w:type="dxa"/>
            <w:gridSpan w:val="2"/>
            <w:tcBorders>
              <w:top w:val="nil"/>
              <w:left w:val="nil"/>
              <w:bottom w:val="nil"/>
              <w:right w:val="nil"/>
            </w:tcBorders>
            <w:shd w:val="clear" w:color="auto" w:fill="auto"/>
            <w:noWrap/>
            <w:vAlign w:val="bottom"/>
            <w:hideMark/>
          </w:tcPr>
          <w:p w14:paraId="0419698E" w14:textId="77777777" w:rsidR="00E04BB5" w:rsidRPr="00D44903"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explained </w:t>
            </w:r>
          </w:p>
        </w:tc>
        <w:tc>
          <w:tcPr>
            <w:tcW w:w="960" w:type="dxa"/>
            <w:tcBorders>
              <w:top w:val="nil"/>
              <w:left w:val="nil"/>
              <w:bottom w:val="nil"/>
              <w:right w:val="nil"/>
            </w:tcBorders>
            <w:shd w:val="clear" w:color="auto" w:fill="auto"/>
            <w:noWrap/>
            <w:vAlign w:val="bottom"/>
            <w:hideMark/>
          </w:tcPr>
          <w:p w14:paraId="5DF32DC6"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960" w:type="dxa"/>
            <w:tcBorders>
              <w:top w:val="nil"/>
              <w:left w:val="nil"/>
              <w:bottom w:val="nil"/>
              <w:right w:val="nil"/>
            </w:tcBorders>
            <w:shd w:val="clear" w:color="auto" w:fill="auto"/>
            <w:noWrap/>
            <w:vAlign w:val="bottom"/>
          </w:tcPr>
          <w:p w14:paraId="552FDFD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.419</w:t>
            </w:r>
          </w:p>
        </w:tc>
        <w:tc>
          <w:tcPr>
            <w:tcW w:w="960" w:type="dxa"/>
            <w:tcBorders>
              <w:top w:val="nil"/>
              <w:left w:val="nil"/>
              <w:bottom w:val="nil"/>
              <w:right w:val="nil"/>
            </w:tcBorders>
            <w:shd w:val="clear" w:color="auto" w:fill="auto"/>
            <w:noWrap/>
            <w:vAlign w:val="bottom"/>
          </w:tcPr>
          <w:p w14:paraId="28AA3B6E"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.299</w:t>
            </w:r>
          </w:p>
        </w:tc>
        <w:tc>
          <w:tcPr>
            <w:tcW w:w="861" w:type="dxa"/>
            <w:tcBorders>
              <w:top w:val="nil"/>
              <w:left w:val="nil"/>
              <w:bottom w:val="nil"/>
              <w:right w:val="nil"/>
            </w:tcBorders>
            <w:shd w:val="clear" w:color="auto" w:fill="auto"/>
            <w:noWrap/>
            <w:vAlign w:val="bottom"/>
          </w:tcPr>
          <w:p w14:paraId="25B6B105"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top w:val="nil"/>
              <w:left w:val="nil"/>
              <w:bottom w:val="nil"/>
              <w:right w:val="nil"/>
            </w:tcBorders>
            <w:shd w:val="clear" w:color="auto" w:fill="auto"/>
            <w:noWrap/>
            <w:vAlign w:val="bottom"/>
          </w:tcPr>
          <w:p w14:paraId="6CB1E049"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.676**</w:t>
            </w:r>
          </w:p>
        </w:tc>
        <w:tc>
          <w:tcPr>
            <w:tcW w:w="960" w:type="dxa"/>
            <w:tcBorders>
              <w:top w:val="nil"/>
              <w:left w:val="nil"/>
              <w:bottom w:val="nil"/>
              <w:right w:val="nil"/>
            </w:tcBorders>
            <w:shd w:val="clear" w:color="auto" w:fill="auto"/>
            <w:noWrap/>
            <w:vAlign w:val="bottom"/>
          </w:tcPr>
          <w:p w14:paraId="7EF637B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.307</w:t>
            </w:r>
          </w:p>
        </w:tc>
        <w:tc>
          <w:tcPr>
            <w:tcW w:w="861" w:type="dxa"/>
            <w:tcBorders>
              <w:top w:val="nil"/>
              <w:left w:val="nil"/>
              <w:bottom w:val="nil"/>
              <w:right w:val="nil"/>
            </w:tcBorders>
            <w:shd w:val="clear" w:color="auto" w:fill="auto"/>
            <w:noWrap/>
            <w:vAlign w:val="bottom"/>
          </w:tcPr>
          <w:p w14:paraId="46C38626"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top w:val="nil"/>
              <w:left w:val="nil"/>
              <w:bottom w:val="nil"/>
              <w:right w:val="nil"/>
            </w:tcBorders>
            <w:shd w:val="clear" w:color="auto" w:fill="auto"/>
            <w:noWrap/>
            <w:vAlign w:val="bottom"/>
          </w:tcPr>
          <w:p w14:paraId="55FE3B97"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.671**</w:t>
            </w:r>
          </w:p>
        </w:tc>
        <w:tc>
          <w:tcPr>
            <w:tcW w:w="960" w:type="dxa"/>
            <w:tcBorders>
              <w:top w:val="nil"/>
              <w:left w:val="nil"/>
              <w:bottom w:val="nil"/>
              <w:right w:val="nil"/>
            </w:tcBorders>
            <w:shd w:val="clear" w:color="auto" w:fill="auto"/>
            <w:noWrap/>
            <w:vAlign w:val="bottom"/>
          </w:tcPr>
          <w:p w14:paraId="1540FD41"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.322</w:t>
            </w:r>
          </w:p>
        </w:tc>
        <w:tc>
          <w:tcPr>
            <w:tcW w:w="861" w:type="dxa"/>
            <w:tcBorders>
              <w:top w:val="nil"/>
              <w:left w:val="nil"/>
              <w:bottom w:val="nil"/>
              <w:right w:val="nil"/>
            </w:tcBorders>
            <w:shd w:val="clear" w:color="auto" w:fill="auto"/>
            <w:noWrap/>
            <w:vAlign w:val="bottom"/>
          </w:tcPr>
          <w:p w14:paraId="79406194"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top w:val="nil"/>
              <w:left w:val="nil"/>
              <w:bottom w:val="nil"/>
              <w:right w:val="nil"/>
            </w:tcBorders>
            <w:shd w:val="clear" w:color="auto" w:fill="auto"/>
            <w:noWrap/>
            <w:vAlign w:val="bottom"/>
          </w:tcPr>
          <w:p w14:paraId="35EC6918"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.749**</w:t>
            </w:r>
          </w:p>
        </w:tc>
        <w:tc>
          <w:tcPr>
            <w:tcW w:w="960" w:type="dxa"/>
            <w:tcBorders>
              <w:top w:val="nil"/>
              <w:left w:val="nil"/>
              <w:bottom w:val="nil"/>
              <w:right w:val="nil"/>
            </w:tcBorders>
            <w:shd w:val="clear" w:color="auto" w:fill="auto"/>
            <w:noWrap/>
            <w:vAlign w:val="bottom"/>
          </w:tcPr>
          <w:p w14:paraId="4988A126"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.380</w:t>
            </w:r>
          </w:p>
        </w:tc>
        <w:tc>
          <w:tcPr>
            <w:tcW w:w="428" w:type="dxa"/>
            <w:tcBorders>
              <w:top w:val="nil"/>
              <w:left w:val="nil"/>
              <w:bottom w:val="nil"/>
              <w:right w:val="nil"/>
            </w:tcBorders>
            <w:shd w:val="clear" w:color="auto" w:fill="auto"/>
            <w:noWrap/>
            <w:vAlign w:val="bottom"/>
            <w:hideMark/>
          </w:tcPr>
          <w:p w14:paraId="199B0A12"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2A9817A6" w14:textId="77777777" w:rsidTr="00E04BB5">
        <w:trPr>
          <w:trHeight w:val="288"/>
        </w:trPr>
        <w:tc>
          <w:tcPr>
            <w:tcW w:w="2259" w:type="dxa"/>
            <w:gridSpan w:val="2"/>
            <w:tcBorders>
              <w:top w:val="nil"/>
              <w:left w:val="nil"/>
              <w:bottom w:val="single" w:sz="4" w:space="0" w:color="auto"/>
              <w:right w:val="nil"/>
            </w:tcBorders>
            <w:shd w:val="clear" w:color="auto" w:fill="auto"/>
            <w:noWrap/>
            <w:vAlign w:val="bottom"/>
            <w:hideMark/>
          </w:tcPr>
          <w:p w14:paraId="41450359" w14:textId="77777777" w:rsidR="00E04BB5" w:rsidRPr="00D44903"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unexplained</w:t>
            </w:r>
          </w:p>
        </w:tc>
        <w:tc>
          <w:tcPr>
            <w:tcW w:w="960" w:type="dxa"/>
            <w:tcBorders>
              <w:top w:val="nil"/>
              <w:left w:val="nil"/>
              <w:bottom w:val="single" w:sz="4" w:space="0" w:color="auto"/>
              <w:right w:val="nil"/>
            </w:tcBorders>
            <w:shd w:val="clear" w:color="auto" w:fill="auto"/>
            <w:noWrap/>
            <w:vAlign w:val="bottom"/>
            <w:hideMark/>
          </w:tcPr>
          <w:p w14:paraId="0F9E42AE"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960" w:type="dxa"/>
            <w:tcBorders>
              <w:top w:val="nil"/>
              <w:left w:val="nil"/>
              <w:bottom w:val="single" w:sz="4" w:space="0" w:color="auto"/>
              <w:right w:val="nil"/>
            </w:tcBorders>
            <w:shd w:val="clear" w:color="auto" w:fill="auto"/>
            <w:noWrap/>
            <w:vAlign w:val="bottom"/>
          </w:tcPr>
          <w:p w14:paraId="4570BC6A"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.544</w:t>
            </w:r>
          </w:p>
        </w:tc>
        <w:tc>
          <w:tcPr>
            <w:tcW w:w="960" w:type="dxa"/>
            <w:tcBorders>
              <w:top w:val="nil"/>
              <w:left w:val="nil"/>
              <w:bottom w:val="single" w:sz="4" w:space="0" w:color="auto"/>
              <w:right w:val="nil"/>
            </w:tcBorders>
            <w:shd w:val="clear" w:color="auto" w:fill="auto"/>
            <w:noWrap/>
            <w:vAlign w:val="bottom"/>
          </w:tcPr>
          <w:p w14:paraId="10F918F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.386</w:t>
            </w:r>
          </w:p>
        </w:tc>
        <w:tc>
          <w:tcPr>
            <w:tcW w:w="861" w:type="dxa"/>
            <w:tcBorders>
              <w:top w:val="nil"/>
              <w:left w:val="nil"/>
              <w:bottom w:val="single" w:sz="4" w:space="0" w:color="auto"/>
              <w:right w:val="nil"/>
            </w:tcBorders>
            <w:shd w:val="clear" w:color="auto" w:fill="auto"/>
            <w:noWrap/>
            <w:vAlign w:val="bottom"/>
          </w:tcPr>
          <w:p w14:paraId="3F40334B"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top w:val="nil"/>
              <w:left w:val="nil"/>
              <w:bottom w:val="single" w:sz="4" w:space="0" w:color="auto"/>
              <w:right w:val="nil"/>
            </w:tcBorders>
            <w:shd w:val="clear" w:color="auto" w:fill="auto"/>
            <w:noWrap/>
            <w:vAlign w:val="bottom"/>
          </w:tcPr>
          <w:p w14:paraId="1CFCA37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.279</w:t>
            </w:r>
          </w:p>
        </w:tc>
        <w:tc>
          <w:tcPr>
            <w:tcW w:w="960" w:type="dxa"/>
            <w:tcBorders>
              <w:top w:val="nil"/>
              <w:left w:val="nil"/>
              <w:bottom w:val="single" w:sz="4" w:space="0" w:color="auto"/>
              <w:right w:val="nil"/>
            </w:tcBorders>
            <w:shd w:val="clear" w:color="auto" w:fill="auto"/>
            <w:noWrap/>
            <w:vAlign w:val="bottom"/>
          </w:tcPr>
          <w:p w14:paraId="23187A5B"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.390</w:t>
            </w:r>
          </w:p>
        </w:tc>
        <w:tc>
          <w:tcPr>
            <w:tcW w:w="861" w:type="dxa"/>
            <w:tcBorders>
              <w:top w:val="nil"/>
              <w:left w:val="nil"/>
              <w:bottom w:val="single" w:sz="4" w:space="0" w:color="auto"/>
              <w:right w:val="nil"/>
            </w:tcBorders>
            <w:shd w:val="clear" w:color="auto" w:fill="auto"/>
            <w:noWrap/>
            <w:vAlign w:val="bottom"/>
          </w:tcPr>
          <w:p w14:paraId="7D1AB246"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top w:val="nil"/>
              <w:left w:val="nil"/>
              <w:bottom w:val="single" w:sz="4" w:space="0" w:color="auto"/>
              <w:right w:val="nil"/>
            </w:tcBorders>
            <w:shd w:val="clear" w:color="auto" w:fill="auto"/>
            <w:noWrap/>
            <w:vAlign w:val="bottom"/>
          </w:tcPr>
          <w:p w14:paraId="043610A2"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-.099</w:t>
            </w:r>
          </w:p>
        </w:tc>
        <w:tc>
          <w:tcPr>
            <w:tcW w:w="960" w:type="dxa"/>
            <w:tcBorders>
              <w:top w:val="nil"/>
              <w:left w:val="nil"/>
              <w:bottom w:val="single" w:sz="4" w:space="0" w:color="auto"/>
              <w:right w:val="nil"/>
            </w:tcBorders>
            <w:shd w:val="clear" w:color="auto" w:fill="auto"/>
            <w:noWrap/>
            <w:vAlign w:val="bottom"/>
          </w:tcPr>
          <w:p w14:paraId="2928CB3A"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.427</w:t>
            </w:r>
          </w:p>
        </w:tc>
        <w:tc>
          <w:tcPr>
            <w:tcW w:w="861" w:type="dxa"/>
            <w:tcBorders>
              <w:top w:val="nil"/>
              <w:left w:val="nil"/>
              <w:bottom w:val="single" w:sz="4" w:space="0" w:color="auto"/>
              <w:right w:val="nil"/>
            </w:tcBorders>
            <w:shd w:val="clear" w:color="auto" w:fill="auto"/>
            <w:noWrap/>
            <w:vAlign w:val="bottom"/>
          </w:tcPr>
          <w:p w14:paraId="1D0948A3" w14:textId="77777777" w:rsidR="00E04BB5" w:rsidRPr="002B1625" w:rsidRDefault="00E04BB5" w:rsidP="00E04BB5">
            <w:pPr>
              <w:spacing w:after="0" w:line="240" w:lineRule="auto"/>
              <w:jc w:val="right"/>
              <w:rPr>
                <w:rFonts w:ascii="Calibri" w:eastAsia="Times New Roman" w:hAnsi="Calibri" w:cs="Times New Roman"/>
                <w:color w:val="000000"/>
                <w:lang w:val="en-GB"/>
              </w:rPr>
            </w:pPr>
          </w:p>
        </w:tc>
        <w:tc>
          <w:tcPr>
            <w:tcW w:w="960" w:type="dxa"/>
            <w:tcBorders>
              <w:top w:val="nil"/>
              <w:left w:val="nil"/>
              <w:bottom w:val="single" w:sz="4" w:space="0" w:color="auto"/>
              <w:right w:val="nil"/>
            </w:tcBorders>
            <w:shd w:val="clear" w:color="auto" w:fill="auto"/>
            <w:noWrap/>
            <w:vAlign w:val="bottom"/>
          </w:tcPr>
          <w:p w14:paraId="08346385"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.028</w:t>
            </w:r>
          </w:p>
        </w:tc>
        <w:tc>
          <w:tcPr>
            <w:tcW w:w="960" w:type="dxa"/>
            <w:tcBorders>
              <w:top w:val="nil"/>
              <w:left w:val="nil"/>
              <w:bottom w:val="single" w:sz="4" w:space="0" w:color="auto"/>
              <w:right w:val="nil"/>
            </w:tcBorders>
            <w:shd w:val="clear" w:color="auto" w:fill="auto"/>
            <w:noWrap/>
            <w:vAlign w:val="bottom"/>
          </w:tcPr>
          <w:p w14:paraId="5CDA91AC" w14:textId="77777777" w:rsidR="00E04BB5" w:rsidRPr="002B1625" w:rsidRDefault="00E04BB5" w:rsidP="00E04BB5">
            <w:pPr>
              <w:spacing w:after="0" w:line="240" w:lineRule="auto"/>
              <w:jc w:val="right"/>
              <w:rPr>
                <w:rFonts w:ascii="Calibri" w:eastAsia="Times New Roman" w:hAnsi="Calibri" w:cs="Times New Roman"/>
                <w:color w:val="000000"/>
                <w:lang w:val="en-GB"/>
              </w:rPr>
            </w:pPr>
            <w:r w:rsidRPr="002B1625">
              <w:rPr>
                <w:rFonts w:ascii="Calibri" w:eastAsia="Times New Roman" w:hAnsi="Calibri" w:cs="Times New Roman"/>
                <w:color w:val="000000"/>
                <w:lang w:val="en-GB"/>
              </w:rPr>
              <w:t>.503</w:t>
            </w:r>
          </w:p>
        </w:tc>
        <w:tc>
          <w:tcPr>
            <w:tcW w:w="428" w:type="dxa"/>
            <w:tcBorders>
              <w:top w:val="nil"/>
              <w:left w:val="nil"/>
              <w:bottom w:val="single" w:sz="4" w:space="0" w:color="auto"/>
              <w:right w:val="nil"/>
            </w:tcBorders>
            <w:shd w:val="clear" w:color="auto" w:fill="auto"/>
            <w:noWrap/>
            <w:vAlign w:val="bottom"/>
            <w:hideMark/>
          </w:tcPr>
          <w:p w14:paraId="481361B4"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r>
    </w:tbl>
    <w:p w14:paraId="27D00C4E" w14:textId="77777777" w:rsidR="00E04BB5" w:rsidRPr="00D44903" w:rsidRDefault="00E04BB5" w:rsidP="00E04BB5">
      <w:pPr>
        <w:autoSpaceDE w:val="0"/>
        <w:autoSpaceDN w:val="0"/>
        <w:adjustRightInd w:val="0"/>
        <w:spacing w:after="0" w:line="360" w:lineRule="auto"/>
        <w:jc w:val="both"/>
        <w:rPr>
          <w:rFonts w:ascii="Arial" w:hAnsi="Arial" w:cs="Arial"/>
          <w:sz w:val="20"/>
          <w:szCs w:val="20"/>
          <w:lang w:val="en-GB"/>
        </w:rPr>
      </w:pPr>
      <w:r w:rsidRPr="002B1625">
        <w:rPr>
          <w:sz w:val="20"/>
          <w:szCs w:val="20"/>
          <w:lang w:val="en-GB"/>
        </w:rPr>
        <w:t>*p&lt;.10, **p&lt;.05, ***p&lt;0.01</w:t>
      </w:r>
    </w:p>
    <w:p w14:paraId="7374CD5F" w14:textId="77777777" w:rsidR="00E04BB5" w:rsidRPr="002B1625" w:rsidRDefault="00E04BB5" w:rsidP="00E04BB5">
      <w:pPr>
        <w:rPr>
          <w:b/>
          <w:lang w:val="en-GB"/>
        </w:rPr>
      </w:pPr>
    </w:p>
    <w:p w14:paraId="62F7A8D3" w14:textId="77777777" w:rsidR="00E04BB5" w:rsidRPr="002B1625" w:rsidRDefault="00E04BB5" w:rsidP="00E04BB5">
      <w:pPr>
        <w:rPr>
          <w:b/>
          <w:lang w:val="en-GB"/>
        </w:rPr>
      </w:pPr>
    </w:p>
    <w:p w14:paraId="52149578" w14:textId="77777777" w:rsidR="00E04BB5" w:rsidRPr="002B1625" w:rsidRDefault="00E04BB5" w:rsidP="00E04BB5">
      <w:pPr>
        <w:rPr>
          <w:lang w:val="en-GB"/>
        </w:rPr>
        <w:sectPr w:rsidR="00E04BB5" w:rsidRPr="002B1625" w:rsidSect="00E04BB5">
          <w:footerReference w:type="default" r:id="rId17"/>
          <w:pgSz w:w="16838" w:h="11906" w:orient="landscape"/>
          <w:pgMar w:top="1134" w:right="1418" w:bottom="1134" w:left="1134" w:header="709" w:footer="709" w:gutter="0"/>
          <w:cols w:space="708"/>
          <w:docGrid w:linePitch="360"/>
        </w:sectPr>
      </w:pPr>
      <w:r w:rsidRPr="002B1625">
        <w:rPr>
          <w:lang w:val="en-GB"/>
        </w:rPr>
        <w:br w:type="page"/>
      </w:r>
    </w:p>
    <w:p w14:paraId="7AB70F3B" w14:textId="4DCDA014" w:rsidR="00E04BB5" w:rsidRPr="002B1625" w:rsidRDefault="00E04BB5" w:rsidP="00E04BB5">
      <w:pPr>
        <w:rPr>
          <w:b/>
          <w:lang w:val="en-GB"/>
        </w:rPr>
      </w:pPr>
      <w:r w:rsidRPr="002B1625">
        <w:rPr>
          <w:b/>
          <w:lang w:val="en-GB"/>
        </w:rPr>
        <w:lastRenderedPageBreak/>
        <w:t xml:space="preserve">FIGURE 1. Kernel density: NY vs. </w:t>
      </w:r>
      <w:proofErr w:type="spellStart"/>
      <w:r w:rsidRPr="002B1625">
        <w:rPr>
          <w:b/>
          <w:lang w:val="en-GB"/>
        </w:rPr>
        <w:t>RoW</w:t>
      </w:r>
      <w:proofErr w:type="spellEnd"/>
      <w:r w:rsidR="00B10387" w:rsidRPr="002B1625">
        <w:rPr>
          <w:b/>
          <w:lang w:val="en-GB"/>
        </w:rPr>
        <w:t xml:space="preserve"> (</w:t>
      </w:r>
      <w:r w:rsidRPr="002B1625">
        <w:rPr>
          <w:b/>
          <w:lang w:val="en-GB"/>
        </w:rPr>
        <w:t>2000-2019</w:t>
      </w:r>
      <w:r w:rsidR="00B10387" w:rsidRPr="002B1625">
        <w:rPr>
          <w:b/>
          <w:lang w:val="en-GB"/>
        </w:rPr>
        <w:t>)</w:t>
      </w:r>
    </w:p>
    <w:p w14:paraId="5BD04730" w14:textId="77777777" w:rsidR="00E04BB5" w:rsidRPr="002B1625" w:rsidRDefault="00E04BB5" w:rsidP="00E04BB5">
      <w:pPr>
        <w:rPr>
          <w:b/>
          <w:lang w:val="en-GB"/>
        </w:rPr>
      </w:pPr>
    </w:p>
    <w:p w14:paraId="6047E6E9" w14:textId="77777777" w:rsidR="00E04BB5" w:rsidRPr="002B1625" w:rsidRDefault="00E04BB5" w:rsidP="00E04BB5">
      <w:pPr>
        <w:rPr>
          <w:lang w:val="en-GB"/>
        </w:rPr>
      </w:pPr>
      <w:r w:rsidRPr="00AB0B96">
        <w:rPr>
          <w:noProof/>
        </w:rPr>
        <w:drawing>
          <wp:inline distT="0" distB="0" distL="0" distR="0" wp14:anchorId="4B4A1321" wp14:editId="73CCA32A">
            <wp:extent cx="5029200" cy="3657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417256C1" w14:textId="77777777" w:rsidR="00E04BB5" w:rsidRPr="002B1625" w:rsidRDefault="00E04BB5" w:rsidP="00E04BB5">
      <w:pPr>
        <w:rPr>
          <w:lang w:val="en-GB"/>
        </w:rPr>
      </w:pPr>
    </w:p>
    <w:p w14:paraId="5A770959" w14:textId="77777777" w:rsidR="00E04BB5" w:rsidRPr="002B1625" w:rsidRDefault="00E04BB5" w:rsidP="00E04BB5">
      <w:pPr>
        <w:rPr>
          <w:lang w:val="en-GB"/>
        </w:rPr>
      </w:pPr>
      <w:r w:rsidRPr="002B1625">
        <w:rPr>
          <w:lang w:val="en-GB"/>
        </w:rPr>
        <w:br w:type="page"/>
      </w:r>
    </w:p>
    <w:p w14:paraId="23AE7001" w14:textId="54C571D9" w:rsidR="00E04BB5" w:rsidRPr="002B1625" w:rsidRDefault="00E04BB5" w:rsidP="00E04BB5">
      <w:pPr>
        <w:rPr>
          <w:b/>
          <w:lang w:val="en-GB"/>
        </w:rPr>
      </w:pPr>
      <w:r w:rsidRPr="002B1625">
        <w:rPr>
          <w:b/>
          <w:lang w:val="en-GB"/>
        </w:rPr>
        <w:lastRenderedPageBreak/>
        <w:t>FIGURE 2A. Kernel density: U.S. vs. Rest of the World</w:t>
      </w:r>
      <w:r w:rsidR="00B10387" w:rsidRPr="002B1625">
        <w:rPr>
          <w:b/>
          <w:lang w:val="en-GB"/>
        </w:rPr>
        <w:t xml:space="preserve"> (</w:t>
      </w:r>
      <w:r w:rsidRPr="002B1625">
        <w:rPr>
          <w:b/>
          <w:lang w:val="en-GB"/>
        </w:rPr>
        <w:t>2000-2009</w:t>
      </w:r>
      <w:r w:rsidR="00B10387" w:rsidRPr="002B1625">
        <w:rPr>
          <w:b/>
          <w:lang w:val="en-GB"/>
        </w:rPr>
        <w:t>)</w:t>
      </w:r>
    </w:p>
    <w:p w14:paraId="760B9394" w14:textId="77777777" w:rsidR="00E04BB5" w:rsidRPr="002B1625" w:rsidRDefault="00E04BB5" w:rsidP="00E04BB5">
      <w:pPr>
        <w:rPr>
          <w:b/>
          <w:lang w:val="en-GB"/>
        </w:rPr>
      </w:pPr>
    </w:p>
    <w:p w14:paraId="35297DF7" w14:textId="77777777" w:rsidR="00E04BB5" w:rsidRPr="002B1625" w:rsidRDefault="00E04BB5" w:rsidP="00E04BB5">
      <w:pPr>
        <w:rPr>
          <w:b/>
          <w:lang w:val="en-GB"/>
        </w:rPr>
      </w:pPr>
      <w:r w:rsidRPr="00AB0B96">
        <w:rPr>
          <w:b/>
          <w:noProof/>
        </w:rPr>
        <w:drawing>
          <wp:inline distT="0" distB="0" distL="0" distR="0" wp14:anchorId="0C9C7BB8" wp14:editId="6A430640">
            <wp:extent cx="5024120" cy="3657600"/>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4120" cy="3657600"/>
                    </a:xfrm>
                    <a:prstGeom prst="rect">
                      <a:avLst/>
                    </a:prstGeom>
                    <a:noFill/>
                    <a:ln>
                      <a:noFill/>
                    </a:ln>
                  </pic:spPr>
                </pic:pic>
              </a:graphicData>
            </a:graphic>
          </wp:inline>
        </w:drawing>
      </w:r>
    </w:p>
    <w:p w14:paraId="13D24779" w14:textId="77777777" w:rsidR="00E04BB5" w:rsidRPr="002B1625" w:rsidRDefault="00E04BB5" w:rsidP="00E04BB5">
      <w:pPr>
        <w:rPr>
          <w:b/>
          <w:lang w:val="en-GB"/>
        </w:rPr>
      </w:pPr>
    </w:p>
    <w:p w14:paraId="050C9F2A" w14:textId="77777777" w:rsidR="00E04BB5" w:rsidRPr="002B1625" w:rsidRDefault="00E04BB5" w:rsidP="00E04BB5">
      <w:pPr>
        <w:rPr>
          <w:b/>
          <w:lang w:val="en-GB"/>
        </w:rPr>
      </w:pPr>
      <w:r w:rsidRPr="002B1625">
        <w:rPr>
          <w:b/>
          <w:lang w:val="en-GB"/>
        </w:rPr>
        <w:br w:type="page"/>
      </w:r>
    </w:p>
    <w:p w14:paraId="1C907577" w14:textId="77777777" w:rsidR="00813CE0" w:rsidRPr="002B1625" w:rsidRDefault="00813CE0" w:rsidP="00813CE0">
      <w:pPr>
        <w:rPr>
          <w:b/>
          <w:lang w:val="en-GB"/>
        </w:rPr>
      </w:pPr>
      <w:r w:rsidRPr="002B1625">
        <w:rPr>
          <w:b/>
          <w:lang w:val="en-GB"/>
        </w:rPr>
        <w:lastRenderedPageBreak/>
        <w:t>FIGURE 2B. Kernel density: U.S. vs. Rest of the World, (2010-2019)</w:t>
      </w:r>
    </w:p>
    <w:p w14:paraId="6CF70835" w14:textId="77777777" w:rsidR="00813CE0" w:rsidRPr="002B1625" w:rsidRDefault="00813CE0" w:rsidP="00813CE0">
      <w:pPr>
        <w:rPr>
          <w:b/>
          <w:lang w:val="en-GB"/>
        </w:rPr>
      </w:pPr>
    </w:p>
    <w:p w14:paraId="5C02B903" w14:textId="77777777" w:rsidR="00813CE0" w:rsidRPr="002B1625" w:rsidRDefault="00813CE0" w:rsidP="00813CE0">
      <w:pPr>
        <w:rPr>
          <w:b/>
          <w:lang w:val="en-GB"/>
        </w:rPr>
      </w:pPr>
      <w:r w:rsidRPr="00AB0B96">
        <w:rPr>
          <w:b/>
          <w:noProof/>
        </w:rPr>
        <w:drawing>
          <wp:inline distT="0" distB="0" distL="0" distR="0" wp14:anchorId="5C070F04" wp14:editId="15D80398">
            <wp:extent cx="5025390" cy="365760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p>
    <w:p w14:paraId="6F808752" w14:textId="77777777" w:rsidR="00813CE0" w:rsidRPr="002B1625" w:rsidRDefault="00813CE0" w:rsidP="00813CE0">
      <w:pPr>
        <w:rPr>
          <w:b/>
          <w:lang w:val="en-GB"/>
        </w:rPr>
      </w:pPr>
    </w:p>
    <w:p w14:paraId="30D44FD3" w14:textId="77777777" w:rsidR="00813CE0" w:rsidRPr="002B1625" w:rsidRDefault="00813CE0" w:rsidP="00813CE0">
      <w:pPr>
        <w:rPr>
          <w:b/>
          <w:lang w:val="en-GB"/>
        </w:rPr>
      </w:pPr>
      <w:r w:rsidRPr="002B1625">
        <w:rPr>
          <w:b/>
          <w:lang w:val="en-GB"/>
        </w:rPr>
        <w:br w:type="page"/>
      </w:r>
    </w:p>
    <w:p w14:paraId="0DB32077" w14:textId="77777777" w:rsidR="00E04BB5" w:rsidRPr="002B1625" w:rsidRDefault="00E04BB5" w:rsidP="00E04BB5">
      <w:pPr>
        <w:rPr>
          <w:b/>
          <w:lang w:val="en-GB"/>
        </w:rPr>
      </w:pPr>
      <w:r w:rsidRPr="002B1625">
        <w:rPr>
          <w:b/>
          <w:lang w:val="en-GB"/>
        </w:rPr>
        <w:lastRenderedPageBreak/>
        <w:t xml:space="preserve">APPENDIX 1. Variable descriptions </w:t>
      </w:r>
    </w:p>
    <w:tbl>
      <w:tblPr>
        <w:tblW w:w="7349" w:type="dxa"/>
        <w:tblInd w:w="57" w:type="dxa"/>
        <w:tblCellMar>
          <w:left w:w="70" w:type="dxa"/>
          <w:right w:w="70" w:type="dxa"/>
        </w:tblCellMar>
        <w:tblLook w:val="04A0" w:firstRow="1" w:lastRow="0" w:firstColumn="1" w:lastColumn="0" w:noHBand="0" w:noVBand="1"/>
      </w:tblPr>
      <w:tblGrid>
        <w:gridCol w:w="1289"/>
        <w:gridCol w:w="299"/>
        <w:gridCol w:w="5761"/>
      </w:tblGrid>
      <w:tr w:rsidR="00E04BB5" w:rsidRPr="002B1625" w14:paraId="6B998C42" w14:textId="77777777" w:rsidTr="00E04BB5">
        <w:trPr>
          <w:trHeight w:val="288"/>
        </w:trPr>
        <w:tc>
          <w:tcPr>
            <w:tcW w:w="1289" w:type="dxa"/>
            <w:tcBorders>
              <w:top w:val="single" w:sz="4" w:space="0" w:color="auto"/>
              <w:left w:val="nil"/>
              <w:right w:val="nil"/>
            </w:tcBorders>
            <w:shd w:val="clear" w:color="auto" w:fill="auto"/>
            <w:noWrap/>
            <w:vAlign w:val="bottom"/>
            <w:hideMark/>
          </w:tcPr>
          <w:p w14:paraId="2BF11BD2"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299" w:type="dxa"/>
            <w:tcBorders>
              <w:top w:val="single" w:sz="4" w:space="0" w:color="auto"/>
              <w:left w:val="nil"/>
              <w:right w:val="nil"/>
            </w:tcBorders>
            <w:shd w:val="clear" w:color="auto" w:fill="auto"/>
            <w:noWrap/>
            <w:vAlign w:val="bottom"/>
            <w:hideMark/>
          </w:tcPr>
          <w:p w14:paraId="5BC50FAB"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5761" w:type="dxa"/>
            <w:tcBorders>
              <w:top w:val="single" w:sz="4" w:space="0" w:color="auto"/>
              <w:left w:val="nil"/>
              <w:right w:val="nil"/>
            </w:tcBorders>
            <w:shd w:val="clear" w:color="auto" w:fill="auto"/>
            <w:vAlign w:val="bottom"/>
            <w:hideMark/>
          </w:tcPr>
          <w:p w14:paraId="31F6FECB"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37897A3E" w14:textId="77777777" w:rsidTr="00E04BB5">
        <w:trPr>
          <w:trHeight w:val="288"/>
        </w:trPr>
        <w:tc>
          <w:tcPr>
            <w:tcW w:w="1289" w:type="dxa"/>
            <w:tcBorders>
              <w:left w:val="nil"/>
              <w:right w:val="nil"/>
            </w:tcBorders>
            <w:shd w:val="clear" w:color="auto" w:fill="auto"/>
            <w:noWrap/>
            <w:vAlign w:val="bottom"/>
            <w:hideMark/>
          </w:tcPr>
          <w:p w14:paraId="7CA6A9FF"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Variable</w:t>
            </w:r>
          </w:p>
        </w:tc>
        <w:tc>
          <w:tcPr>
            <w:tcW w:w="299" w:type="dxa"/>
            <w:tcBorders>
              <w:left w:val="nil"/>
              <w:right w:val="nil"/>
            </w:tcBorders>
            <w:shd w:val="clear" w:color="auto" w:fill="auto"/>
            <w:noWrap/>
            <w:vAlign w:val="bottom"/>
            <w:hideMark/>
          </w:tcPr>
          <w:p w14:paraId="20D49CBE"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p>
        </w:tc>
        <w:tc>
          <w:tcPr>
            <w:tcW w:w="5761" w:type="dxa"/>
            <w:tcBorders>
              <w:left w:val="nil"/>
              <w:right w:val="nil"/>
            </w:tcBorders>
            <w:shd w:val="clear" w:color="auto" w:fill="auto"/>
            <w:vAlign w:val="bottom"/>
            <w:hideMark/>
          </w:tcPr>
          <w:p w14:paraId="178DD74E"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w:t>
            </w:r>
            <w:r w:rsidRPr="002B1625">
              <w:rPr>
                <w:rFonts w:ascii="Calibri" w:eastAsia="Times New Roman" w:hAnsi="Calibri" w:cs="Times New Roman"/>
                <w:b/>
                <w:bCs/>
                <w:color w:val="000000"/>
                <w:lang w:val="en-GB"/>
              </w:rPr>
              <w:t>Description</w:t>
            </w:r>
          </w:p>
        </w:tc>
      </w:tr>
      <w:tr w:rsidR="00E04BB5" w:rsidRPr="002B1625" w14:paraId="77473500" w14:textId="77777777" w:rsidTr="00E04BB5">
        <w:trPr>
          <w:trHeight w:val="288"/>
        </w:trPr>
        <w:tc>
          <w:tcPr>
            <w:tcW w:w="1289" w:type="dxa"/>
            <w:tcBorders>
              <w:left w:val="nil"/>
              <w:bottom w:val="single" w:sz="4" w:space="0" w:color="auto"/>
              <w:right w:val="nil"/>
            </w:tcBorders>
            <w:shd w:val="clear" w:color="auto" w:fill="auto"/>
            <w:noWrap/>
            <w:vAlign w:val="bottom"/>
            <w:hideMark/>
          </w:tcPr>
          <w:p w14:paraId="30236B20"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299" w:type="dxa"/>
            <w:tcBorders>
              <w:left w:val="nil"/>
              <w:bottom w:val="single" w:sz="4" w:space="0" w:color="auto"/>
              <w:right w:val="nil"/>
            </w:tcBorders>
            <w:shd w:val="clear" w:color="auto" w:fill="auto"/>
            <w:noWrap/>
            <w:vAlign w:val="bottom"/>
            <w:hideMark/>
          </w:tcPr>
          <w:p w14:paraId="59D172DB"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5761" w:type="dxa"/>
            <w:tcBorders>
              <w:left w:val="nil"/>
              <w:bottom w:val="single" w:sz="4" w:space="0" w:color="auto"/>
              <w:right w:val="nil"/>
            </w:tcBorders>
            <w:shd w:val="clear" w:color="auto" w:fill="auto"/>
            <w:vAlign w:val="bottom"/>
            <w:hideMark/>
          </w:tcPr>
          <w:p w14:paraId="5330194B"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44F6C477" w14:textId="77777777" w:rsidTr="00E04BB5">
        <w:trPr>
          <w:trHeight w:val="288"/>
        </w:trPr>
        <w:tc>
          <w:tcPr>
            <w:tcW w:w="1289" w:type="dxa"/>
            <w:tcBorders>
              <w:top w:val="nil"/>
              <w:left w:val="nil"/>
              <w:bottom w:val="nil"/>
              <w:right w:val="nil"/>
            </w:tcBorders>
            <w:shd w:val="clear" w:color="auto" w:fill="auto"/>
            <w:noWrap/>
            <w:vAlign w:val="bottom"/>
            <w:hideMark/>
          </w:tcPr>
          <w:p w14:paraId="01C92A47"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299" w:type="dxa"/>
            <w:tcBorders>
              <w:top w:val="nil"/>
              <w:left w:val="nil"/>
              <w:bottom w:val="nil"/>
              <w:right w:val="nil"/>
            </w:tcBorders>
            <w:shd w:val="clear" w:color="auto" w:fill="auto"/>
            <w:noWrap/>
            <w:vAlign w:val="bottom"/>
            <w:hideMark/>
          </w:tcPr>
          <w:p w14:paraId="1D67A137"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5761" w:type="dxa"/>
            <w:tcBorders>
              <w:top w:val="nil"/>
              <w:left w:val="nil"/>
              <w:bottom w:val="nil"/>
              <w:right w:val="nil"/>
            </w:tcBorders>
            <w:shd w:val="clear" w:color="auto" w:fill="auto"/>
            <w:noWrap/>
            <w:vAlign w:val="bottom"/>
            <w:hideMark/>
          </w:tcPr>
          <w:p w14:paraId="2BA07009" w14:textId="77777777" w:rsidR="00E04BB5" w:rsidRPr="002B1625" w:rsidRDefault="00E04BB5" w:rsidP="00E04BB5">
            <w:pPr>
              <w:spacing w:after="0" w:line="240" w:lineRule="auto"/>
              <w:rPr>
                <w:rFonts w:ascii="Calibri" w:eastAsia="Times New Roman" w:hAnsi="Calibri" w:cs="Times New Roman"/>
                <w:color w:val="000000"/>
                <w:lang w:val="en-GB"/>
              </w:rPr>
            </w:pPr>
          </w:p>
        </w:tc>
      </w:tr>
      <w:tr w:rsidR="00E04BB5" w:rsidRPr="002B1625" w14:paraId="3DCBE6A3" w14:textId="77777777" w:rsidTr="00E04BB5">
        <w:trPr>
          <w:trHeight w:val="288"/>
        </w:trPr>
        <w:tc>
          <w:tcPr>
            <w:tcW w:w="1289" w:type="dxa"/>
            <w:tcBorders>
              <w:top w:val="nil"/>
              <w:left w:val="nil"/>
              <w:bottom w:val="nil"/>
              <w:right w:val="nil"/>
            </w:tcBorders>
            <w:shd w:val="clear" w:color="auto" w:fill="auto"/>
            <w:noWrap/>
            <w:vAlign w:val="bottom"/>
            <w:hideMark/>
          </w:tcPr>
          <w:p w14:paraId="49DBCFBD"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price</w:t>
            </w:r>
          </w:p>
        </w:tc>
        <w:tc>
          <w:tcPr>
            <w:tcW w:w="299" w:type="dxa"/>
            <w:tcBorders>
              <w:top w:val="nil"/>
              <w:left w:val="nil"/>
              <w:bottom w:val="nil"/>
              <w:right w:val="nil"/>
            </w:tcBorders>
            <w:shd w:val="clear" w:color="auto" w:fill="auto"/>
            <w:noWrap/>
            <w:vAlign w:val="bottom"/>
            <w:hideMark/>
          </w:tcPr>
          <w:p w14:paraId="10BD5C95" w14:textId="77777777" w:rsidR="00E04BB5" w:rsidRPr="002B1625" w:rsidRDefault="00E04BB5" w:rsidP="00E04BB5">
            <w:pPr>
              <w:spacing w:after="0" w:line="240" w:lineRule="auto"/>
              <w:rPr>
                <w:rFonts w:ascii="Calibri" w:eastAsia="Times New Roman" w:hAnsi="Calibri" w:cs="Times New Roman"/>
                <w:color w:val="000000"/>
                <w:lang w:val="en-GB"/>
              </w:rPr>
            </w:pPr>
          </w:p>
        </w:tc>
        <w:tc>
          <w:tcPr>
            <w:tcW w:w="5761" w:type="dxa"/>
            <w:tcBorders>
              <w:top w:val="nil"/>
              <w:left w:val="nil"/>
              <w:bottom w:val="nil"/>
              <w:right w:val="nil"/>
            </w:tcBorders>
            <w:shd w:val="clear" w:color="auto" w:fill="auto"/>
            <w:noWrap/>
            <w:vAlign w:val="bottom"/>
            <w:hideMark/>
          </w:tcPr>
          <w:p w14:paraId="4B956837"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price of paintings (Euros, 2000=100)</w:t>
            </w:r>
          </w:p>
        </w:tc>
      </w:tr>
      <w:tr w:rsidR="00E04BB5" w:rsidRPr="002B1625" w14:paraId="094015BA" w14:textId="77777777" w:rsidTr="00E04BB5">
        <w:trPr>
          <w:trHeight w:val="288"/>
        </w:trPr>
        <w:tc>
          <w:tcPr>
            <w:tcW w:w="1289" w:type="dxa"/>
            <w:tcBorders>
              <w:top w:val="nil"/>
              <w:left w:val="nil"/>
              <w:bottom w:val="nil"/>
              <w:right w:val="nil"/>
            </w:tcBorders>
            <w:shd w:val="clear" w:color="auto" w:fill="auto"/>
            <w:noWrap/>
            <w:vAlign w:val="bottom"/>
            <w:hideMark/>
          </w:tcPr>
          <w:p w14:paraId="525BE131"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size</w:t>
            </w:r>
          </w:p>
        </w:tc>
        <w:tc>
          <w:tcPr>
            <w:tcW w:w="299" w:type="dxa"/>
            <w:tcBorders>
              <w:top w:val="nil"/>
              <w:left w:val="nil"/>
              <w:bottom w:val="nil"/>
              <w:right w:val="nil"/>
            </w:tcBorders>
            <w:shd w:val="clear" w:color="auto" w:fill="auto"/>
            <w:noWrap/>
            <w:vAlign w:val="bottom"/>
            <w:hideMark/>
          </w:tcPr>
          <w:p w14:paraId="29DAF6CF"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503B2D27"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area (m</w:t>
            </w:r>
            <w:r w:rsidRPr="002B1625">
              <w:rPr>
                <w:rFonts w:ascii="Calibri" w:eastAsia="Times New Roman" w:hAnsi="Calibri" w:cs="Times New Roman"/>
                <w:color w:val="000000"/>
                <w:vertAlign w:val="superscript"/>
                <w:lang w:val="en-GB"/>
              </w:rPr>
              <w:t>2</w:t>
            </w:r>
            <w:r w:rsidRPr="002B1625">
              <w:rPr>
                <w:rFonts w:ascii="Calibri" w:eastAsia="Times New Roman" w:hAnsi="Calibri" w:cs="Times New Roman"/>
                <w:color w:val="000000"/>
                <w:lang w:val="en-GB"/>
              </w:rPr>
              <w:t>)</w:t>
            </w:r>
          </w:p>
        </w:tc>
      </w:tr>
      <w:tr w:rsidR="00E04BB5" w:rsidRPr="002B1625" w14:paraId="37236719" w14:textId="77777777" w:rsidTr="00E04BB5">
        <w:trPr>
          <w:trHeight w:val="288"/>
        </w:trPr>
        <w:tc>
          <w:tcPr>
            <w:tcW w:w="1289" w:type="dxa"/>
            <w:tcBorders>
              <w:top w:val="nil"/>
              <w:left w:val="nil"/>
              <w:bottom w:val="nil"/>
              <w:right w:val="nil"/>
            </w:tcBorders>
            <w:shd w:val="clear" w:color="auto" w:fill="auto"/>
            <w:noWrap/>
            <w:vAlign w:val="bottom"/>
            <w:hideMark/>
          </w:tcPr>
          <w:p w14:paraId="7A8E2AE7"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canvas</w:t>
            </w:r>
          </w:p>
        </w:tc>
        <w:tc>
          <w:tcPr>
            <w:tcW w:w="299" w:type="dxa"/>
            <w:tcBorders>
              <w:top w:val="nil"/>
              <w:left w:val="nil"/>
              <w:bottom w:val="nil"/>
              <w:right w:val="nil"/>
            </w:tcBorders>
            <w:shd w:val="clear" w:color="auto" w:fill="auto"/>
            <w:noWrap/>
            <w:vAlign w:val="bottom"/>
            <w:hideMark/>
          </w:tcPr>
          <w:p w14:paraId="3B10D1CF"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0F4DCFA3"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oil on canvas</w:t>
            </w:r>
          </w:p>
        </w:tc>
      </w:tr>
      <w:tr w:rsidR="00E04BB5" w:rsidRPr="002B1625" w14:paraId="7631BDC5" w14:textId="77777777" w:rsidTr="00E04BB5">
        <w:trPr>
          <w:trHeight w:val="288"/>
        </w:trPr>
        <w:tc>
          <w:tcPr>
            <w:tcW w:w="1289" w:type="dxa"/>
            <w:tcBorders>
              <w:top w:val="nil"/>
              <w:left w:val="nil"/>
              <w:bottom w:val="nil"/>
              <w:right w:val="nil"/>
            </w:tcBorders>
            <w:shd w:val="clear" w:color="auto" w:fill="auto"/>
            <w:noWrap/>
            <w:vAlign w:val="bottom"/>
            <w:hideMark/>
          </w:tcPr>
          <w:p w14:paraId="6436FD7A"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mixed</w:t>
            </w:r>
          </w:p>
        </w:tc>
        <w:tc>
          <w:tcPr>
            <w:tcW w:w="299" w:type="dxa"/>
            <w:tcBorders>
              <w:top w:val="nil"/>
              <w:left w:val="nil"/>
              <w:bottom w:val="nil"/>
              <w:right w:val="nil"/>
            </w:tcBorders>
            <w:shd w:val="clear" w:color="auto" w:fill="auto"/>
            <w:noWrap/>
            <w:vAlign w:val="bottom"/>
            <w:hideMark/>
          </w:tcPr>
          <w:p w14:paraId="2CA71188"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20584A93"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 xml:space="preserve">mixed media </w:t>
            </w:r>
          </w:p>
        </w:tc>
      </w:tr>
      <w:tr w:rsidR="00E04BB5" w:rsidRPr="002B1625" w14:paraId="05AE8625" w14:textId="77777777" w:rsidTr="00E04BB5">
        <w:trPr>
          <w:trHeight w:val="288"/>
        </w:trPr>
        <w:tc>
          <w:tcPr>
            <w:tcW w:w="1289" w:type="dxa"/>
            <w:tcBorders>
              <w:top w:val="nil"/>
              <w:left w:val="nil"/>
              <w:bottom w:val="nil"/>
              <w:right w:val="nil"/>
            </w:tcBorders>
            <w:shd w:val="clear" w:color="auto" w:fill="auto"/>
            <w:noWrap/>
            <w:vAlign w:val="bottom"/>
          </w:tcPr>
          <w:p w14:paraId="6D4A1CA2" w14:textId="77777777" w:rsidR="00E04BB5" w:rsidRPr="002B1625" w:rsidRDefault="00E04BB5" w:rsidP="00E04BB5">
            <w:pPr>
              <w:spacing w:after="0" w:line="240" w:lineRule="auto"/>
              <w:rPr>
                <w:rFonts w:ascii="Calibri" w:eastAsia="Times New Roman" w:hAnsi="Calibri" w:cs="Times New Roman"/>
                <w:i/>
                <w:iCs/>
                <w:color w:val="000000"/>
                <w:lang w:val="en-GB"/>
              </w:rPr>
            </w:pPr>
            <w:proofErr w:type="spellStart"/>
            <w:r w:rsidRPr="002B1625">
              <w:rPr>
                <w:rFonts w:ascii="Calibri" w:eastAsia="Times New Roman" w:hAnsi="Calibri" w:cs="Times New Roman"/>
                <w:i/>
                <w:iCs/>
                <w:color w:val="000000"/>
                <w:lang w:val="en-GB"/>
              </w:rPr>
              <w:t>othmedia</w:t>
            </w:r>
            <w:proofErr w:type="spellEnd"/>
          </w:p>
        </w:tc>
        <w:tc>
          <w:tcPr>
            <w:tcW w:w="299" w:type="dxa"/>
            <w:tcBorders>
              <w:top w:val="nil"/>
              <w:left w:val="nil"/>
              <w:bottom w:val="nil"/>
              <w:right w:val="nil"/>
            </w:tcBorders>
            <w:shd w:val="clear" w:color="auto" w:fill="auto"/>
            <w:noWrap/>
            <w:vAlign w:val="bottom"/>
          </w:tcPr>
          <w:p w14:paraId="4F396C9C"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tcPr>
          <w:p w14:paraId="69087CF4"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other media (omitted category)</w:t>
            </w:r>
          </w:p>
        </w:tc>
      </w:tr>
      <w:tr w:rsidR="00E04BB5" w:rsidRPr="002B1625" w14:paraId="739E5A4F" w14:textId="77777777" w:rsidTr="00E04BB5">
        <w:trPr>
          <w:trHeight w:val="288"/>
        </w:trPr>
        <w:tc>
          <w:tcPr>
            <w:tcW w:w="1289" w:type="dxa"/>
            <w:tcBorders>
              <w:top w:val="nil"/>
              <w:left w:val="nil"/>
              <w:bottom w:val="nil"/>
              <w:right w:val="nil"/>
            </w:tcBorders>
            <w:shd w:val="clear" w:color="auto" w:fill="auto"/>
            <w:noWrap/>
            <w:vAlign w:val="bottom"/>
            <w:hideMark/>
          </w:tcPr>
          <w:p w14:paraId="135CE354"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NY</w:t>
            </w:r>
          </w:p>
        </w:tc>
        <w:tc>
          <w:tcPr>
            <w:tcW w:w="299" w:type="dxa"/>
            <w:tcBorders>
              <w:top w:val="nil"/>
              <w:left w:val="nil"/>
              <w:bottom w:val="nil"/>
              <w:right w:val="nil"/>
            </w:tcBorders>
            <w:shd w:val="clear" w:color="auto" w:fill="auto"/>
            <w:noWrap/>
            <w:vAlign w:val="bottom"/>
            <w:hideMark/>
          </w:tcPr>
          <w:p w14:paraId="6D89D598"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5BD41E61"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sold at New York</w:t>
            </w:r>
          </w:p>
        </w:tc>
      </w:tr>
      <w:tr w:rsidR="00E04BB5" w:rsidRPr="00AE1998" w14:paraId="34F6830C" w14:textId="77777777" w:rsidTr="00E04BB5">
        <w:trPr>
          <w:trHeight w:val="288"/>
        </w:trPr>
        <w:tc>
          <w:tcPr>
            <w:tcW w:w="1289" w:type="dxa"/>
            <w:tcBorders>
              <w:top w:val="nil"/>
              <w:left w:val="nil"/>
              <w:bottom w:val="nil"/>
              <w:right w:val="nil"/>
            </w:tcBorders>
            <w:shd w:val="clear" w:color="auto" w:fill="auto"/>
            <w:noWrap/>
            <w:vAlign w:val="bottom"/>
            <w:hideMark/>
          </w:tcPr>
          <w:p w14:paraId="1CFB7832" w14:textId="77777777" w:rsidR="00E04BB5" w:rsidRPr="002B1625" w:rsidRDefault="00E04BB5" w:rsidP="00E04BB5">
            <w:pPr>
              <w:spacing w:after="0" w:line="240" w:lineRule="auto"/>
              <w:rPr>
                <w:rFonts w:ascii="Calibri" w:eastAsia="Times New Roman" w:hAnsi="Calibri" w:cs="Times New Roman"/>
                <w:i/>
                <w:iCs/>
                <w:color w:val="000000"/>
                <w:lang w:val="en-GB"/>
              </w:rPr>
            </w:pPr>
            <w:proofErr w:type="spellStart"/>
            <w:r w:rsidRPr="002B1625">
              <w:rPr>
                <w:rFonts w:ascii="Calibri" w:eastAsia="Times New Roman" w:hAnsi="Calibri" w:cs="Times New Roman"/>
                <w:i/>
                <w:iCs/>
                <w:color w:val="000000"/>
                <w:lang w:val="en-GB"/>
              </w:rPr>
              <w:t>RoW</w:t>
            </w:r>
            <w:proofErr w:type="spellEnd"/>
          </w:p>
        </w:tc>
        <w:tc>
          <w:tcPr>
            <w:tcW w:w="299" w:type="dxa"/>
            <w:tcBorders>
              <w:top w:val="nil"/>
              <w:left w:val="nil"/>
              <w:bottom w:val="nil"/>
              <w:right w:val="nil"/>
            </w:tcBorders>
            <w:shd w:val="clear" w:color="auto" w:fill="auto"/>
            <w:noWrap/>
            <w:vAlign w:val="bottom"/>
            <w:hideMark/>
          </w:tcPr>
          <w:p w14:paraId="763ED46D"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636857A0"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sold in the rest of the world (omitted category)</w:t>
            </w:r>
          </w:p>
        </w:tc>
      </w:tr>
      <w:tr w:rsidR="00E04BB5" w:rsidRPr="002B1625" w14:paraId="76EE9E1C" w14:textId="77777777" w:rsidTr="00E04BB5">
        <w:trPr>
          <w:trHeight w:val="288"/>
        </w:trPr>
        <w:tc>
          <w:tcPr>
            <w:tcW w:w="1289" w:type="dxa"/>
            <w:tcBorders>
              <w:top w:val="nil"/>
              <w:left w:val="nil"/>
              <w:bottom w:val="nil"/>
              <w:right w:val="nil"/>
            </w:tcBorders>
            <w:shd w:val="clear" w:color="auto" w:fill="auto"/>
            <w:noWrap/>
            <w:vAlign w:val="bottom"/>
            <w:hideMark/>
          </w:tcPr>
          <w:p w14:paraId="700E28BE" w14:textId="77777777" w:rsidR="00E04BB5" w:rsidRPr="002B1625" w:rsidRDefault="00E04BB5" w:rsidP="00E04BB5">
            <w:pPr>
              <w:spacing w:after="0" w:line="240" w:lineRule="auto"/>
              <w:rPr>
                <w:rFonts w:ascii="Calibri" w:eastAsia="Times New Roman" w:hAnsi="Calibri" w:cs="Times New Roman"/>
                <w:i/>
                <w:iCs/>
                <w:color w:val="000000"/>
                <w:lang w:val="en-GB"/>
              </w:rPr>
            </w:pPr>
            <w:proofErr w:type="spellStart"/>
            <w:r w:rsidRPr="002B1625">
              <w:rPr>
                <w:rFonts w:ascii="Calibri" w:eastAsia="Times New Roman" w:hAnsi="Calibri" w:cs="Times New Roman"/>
                <w:i/>
                <w:iCs/>
                <w:color w:val="000000"/>
                <w:lang w:val="en-GB"/>
              </w:rPr>
              <w:t>soth</w:t>
            </w:r>
            <w:proofErr w:type="spellEnd"/>
          </w:p>
        </w:tc>
        <w:tc>
          <w:tcPr>
            <w:tcW w:w="299" w:type="dxa"/>
            <w:tcBorders>
              <w:top w:val="nil"/>
              <w:left w:val="nil"/>
              <w:bottom w:val="nil"/>
              <w:right w:val="nil"/>
            </w:tcBorders>
            <w:shd w:val="clear" w:color="auto" w:fill="auto"/>
            <w:noWrap/>
            <w:vAlign w:val="bottom"/>
            <w:hideMark/>
          </w:tcPr>
          <w:p w14:paraId="6A3DE281"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632754D7"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sold at Sotheby's</w:t>
            </w:r>
          </w:p>
        </w:tc>
      </w:tr>
      <w:tr w:rsidR="00E04BB5" w:rsidRPr="002B1625" w14:paraId="5F733461" w14:textId="77777777" w:rsidTr="00E04BB5">
        <w:trPr>
          <w:trHeight w:val="288"/>
        </w:trPr>
        <w:tc>
          <w:tcPr>
            <w:tcW w:w="1289" w:type="dxa"/>
            <w:tcBorders>
              <w:top w:val="nil"/>
              <w:left w:val="nil"/>
              <w:bottom w:val="nil"/>
              <w:right w:val="nil"/>
            </w:tcBorders>
            <w:shd w:val="clear" w:color="auto" w:fill="auto"/>
            <w:noWrap/>
            <w:vAlign w:val="bottom"/>
            <w:hideMark/>
          </w:tcPr>
          <w:p w14:paraId="3B34887D" w14:textId="77777777" w:rsidR="00E04BB5" w:rsidRPr="002B1625" w:rsidRDefault="00E04BB5" w:rsidP="00E04BB5">
            <w:pPr>
              <w:spacing w:after="0" w:line="240" w:lineRule="auto"/>
              <w:rPr>
                <w:rFonts w:ascii="Calibri" w:eastAsia="Times New Roman" w:hAnsi="Calibri" w:cs="Times New Roman"/>
                <w:i/>
                <w:iCs/>
                <w:color w:val="000000"/>
                <w:lang w:val="en-GB"/>
              </w:rPr>
            </w:pPr>
            <w:proofErr w:type="spellStart"/>
            <w:r w:rsidRPr="002B1625">
              <w:rPr>
                <w:rFonts w:ascii="Calibri" w:eastAsia="Times New Roman" w:hAnsi="Calibri" w:cs="Times New Roman"/>
                <w:i/>
                <w:iCs/>
                <w:color w:val="000000"/>
                <w:lang w:val="en-GB"/>
              </w:rPr>
              <w:t>chri</w:t>
            </w:r>
            <w:proofErr w:type="spellEnd"/>
          </w:p>
        </w:tc>
        <w:tc>
          <w:tcPr>
            <w:tcW w:w="299" w:type="dxa"/>
            <w:tcBorders>
              <w:top w:val="nil"/>
              <w:left w:val="nil"/>
              <w:bottom w:val="nil"/>
              <w:right w:val="nil"/>
            </w:tcBorders>
            <w:shd w:val="clear" w:color="auto" w:fill="auto"/>
            <w:noWrap/>
            <w:vAlign w:val="bottom"/>
            <w:hideMark/>
          </w:tcPr>
          <w:p w14:paraId="69650809"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63F23F4C"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sold at Christie's</w:t>
            </w:r>
          </w:p>
        </w:tc>
      </w:tr>
      <w:tr w:rsidR="00E04BB5" w:rsidRPr="00AE1998" w14:paraId="525FD9BD" w14:textId="77777777" w:rsidTr="00E04BB5">
        <w:trPr>
          <w:trHeight w:val="288"/>
        </w:trPr>
        <w:tc>
          <w:tcPr>
            <w:tcW w:w="1289" w:type="dxa"/>
            <w:tcBorders>
              <w:top w:val="nil"/>
              <w:left w:val="nil"/>
              <w:bottom w:val="nil"/>
              <w:right w:val="nil"/>
            </w:tcBorders>
            <w:shd w:val="clear" w:color="auto" w:fill="auto"/>
            <w:noWrap/>
            <w:vAlign w:val="bottom"/>
            <w:hideMark/>
          </w:tcPr>
          <w:p w14:paraId="61AD4B0C" w14:textId="77777777" w:rsidR="00E04BB5" w:rsidRPr="002B1625" w:rsidRDefault="00E04BB5" w:rsidP="00E04BB5">
            <w:pPr>
              <w:spacing w:after="0" w:line="240" w:lineRule="auto"/>
              <w:rPr>
                <w:rFonts w:ascii="Calibri" w:eastAsia="Times New Roman" w:hAnsi="Calibri" w:cs="Times New Roman"/>
                <w:i/>
                <w:iCs/>
                <w:color w:val="000000"/>
                <w:lang w:val="en-GB"/>
              </w:rPr>
            </w:pPr>
            <w:proofErr w:type="spellStart"/>
            <w:r w:rsidRPr="002B1625">
              <w:rPr>
                <w:rFonts w:ascii="Calibri" w:eastAsia="Times New Roman" w:hAnsi="Calibri" w:cs="Times New Roman"/>
                <w:i/>
                <w:iCs/>
                <w:color w:val="000000"/>
                <w:lang w:val="en-GB"/>
              </w:rPr>
              <w:t>othauc</w:t>
            </w:r>
            <w:proofErr w:type="spellEnd"/>
          </w:p>
        </w:tc>
        <w:tc>
          <w:tcPr>
            <w:tcW w:w="299" w:type="dxa"/>
            <w:tcBorders>
              <w:top w:val="nil"/>
              <w:left w:val="nil"/>
              <w:bottom w:val="nil"/>
              <w:right w:val="nil"/>
            </w:tcBorders>
            <w:shd w:val="clear" w:color="auto" w:fill="auto"/>
            <w:noWrap/>
            <w:vAlign w:val="bottom"/>
            <w:hideMark/>
          </w:tcPr>
          <w:p w14:paraId="5024F515"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34DB0BC8"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sold at other auction houses (omitted category)</w:t>
            </w:r>
          </w:p>
        </w:tc>
      </w:tr>
      <w:tr w:rsidR="00E04BB5" w:rsidRPr="002B1625" w14:paraId="1E54FB20" w14:textId="77777777" w:rsidTr="00E04BB5">
        <w:trPr>
          <w:trHeight w:val="288"/>
        </w:trPr>
        <w:tc>
          <w:tcPr>
            <w:tcW w:w="1289" w:type="dxa"/>
            <w:tcBorders>
              <w:top w:val="nil"/>
              <w:left w:val="nil"/>
              <w:bottom w:val="nil"/>
              <w:right w:val="nil"/>
            </w:tcBorders>
            <w:shd w:val="clear" w:color="auto" w:fill="auto"/>
            <w:noWrap/>
            <w:vAlign w:val="bottom"/>
            <w:hideMark/>
          </w:tcPr>
          <w:p w14:paraId="4230F895"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style1</w:t>
            </w:r>
          </w:p>
        </w:tc>
        <w:tc>
          <w:tcPr>
            <w:tcW w:w="299" w:type="dxa"/>
            <w:tcBorders>
              <w:top w:val="nil"/>
              <w:left w:val="nil"/>
              <w:bottom w:val="nil"/>
              <w:right w:val="nil"/>
            </w:tcBorders>
            <w:shd w:val="clear" w:color="auto" w:fill="auto"/>
            <w:noWrap/>
            <w:vAlign w:val="bottom"/>
            <w:hideMark/>
          </w:tcPr>
          <w:p w14:paraId="6BBD4C8F"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582F0162"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Childhood and Youth (1881-1901)</w:t>
            </w:r>
          </w:p>
        </w:tc>
      </w:tr>
      <w:tr w:rsidR="00E04BB5" w:rsidRPr="002B1625" w14:paraId="506419CB" w14:textId="77777777" w:rsidTr="00E04BB5">
        <w:trPr>
          <w:trHeight w:val="288"/>
        </w:trPr>
        <w:tc>
          <w:tcPr>
            <w:tcW w:w="1289" w:type="dxa"/>
            <w:tcBorders>
              <w:top w:val="nil"/>
              <w:left w:val="nil"/>
              <w:bottom w:val="nil"/>
              <w:right w:val="nil"/>
            </w:tcBorders>
            <w:shd w:val="clear" w:color="auto" w:fill="auto"/>
            <w:noWrap/>
            <w:vAlign w:val="bottom"/>
            <w:hideMark/>
          </w:tcPr>
          <w:p w14:paraId="3D32AB07"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style2</w:t>
            </w:r>
          </w:p>
        </w:tc>
        <w:tc>
          <w:tcPr>
            <w:tcW w:w="299" w:type="dxa"/>
            <w:tcBorders>
              <w:top w:val="nil"/>
              <w:left w:val="nil"/>
              <w:bottom w:val="nil"/>
              <w:right w:val="nil"/>
            </w:tcBorders>
            <w:shd w:val="clear" w:color="auto" w:fill="auto"/>
            <w:noWrap/>
            <w:vAlign w:val="bottom"/>
            <w:hideMark/>
          </w:tcPr>
          <w:p w14:paraId="5BD8126B"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0B477BC6"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Blue and Rose Period (1902-1906)</w:t>
            </w:r>
          </w:p>
        </w:tc>
      </w:tr>
      <w:tr w:rsidR="00E04BB5" w:rsidRPr="002B1625" w14:paraId="344FC9B1" w14:textId="77777777" w:rsidTr="00E04BB5">
        <w:trPr>
          <w:trHeight w:val="288"/>
        </w:trPr>
        <w:tc>
          <w:tcPr>
            <w:tcW w:w="1289" w:type="dxa"/>
            <w:tcBorders>
              <w:top w:val="nil"/>
              <w:left w:val="nil"/>
              <w:bottom w:val="nil"/>
              <w:right w:val="nil"/>
            </w:tcBorders>
            <w:shd w:val="clear" w:color="auto" w:fill="auto"/>
            <w:noWrap/>
            <w:vAlign w:val="bottom"/>
            <w:hideMark/>
          </w:tcPr>
          <w:p w14:paraId="2B3E69CC"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style3</w:t>
            </w:r>
          </w:p>
        </w:tc>
        <w:tc>
          <w:tcPr>
            <w:tcW w:w="299" w:type="dxa"/>
            <w:tcBorders>
              <w:top w:val="nil"/>
              <w:left w:val="nil"/>
              <w:bottom w:val="nil"/>
              <w:right w:val="nil"/>
            </w:tcBorders>
            <w:shd w:val="clear" w:color="auto" w:fill="auto"/>
            <w:noWrap/>
            <w:vAlign w:val="bottom"/>
            <w:hideMark/>
          </w:tcPr>
          <w:p w14:paraId="146D83EA"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486A6274"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Analytical and Synthetic Cubism (1907-1915)</w:t>
            </w:r>
          </w:p>
        </w:tc>
      </w:tr>
      <w:tr w:rsidR="00E04BB5" w:rsidRPr="002B1625" w14:paraId="7A72E4F8" w14:textId="77777777" w:rsidTr="00E04BB5">
        <w:trPr>
          <w:trHeight w:val="288"/>
        </w:trPr>
        <w:tc>
          <w:tcPr>
            <w:tcW w:w="1289" w:type="dxa"/>
            <w:tcBorders>
              <w:top w:val="nil"/>
              <w:left w:val="nil"/>
              <w:bottom w:val="nil"/>
              <w:right w:val="nil"/>
            </w:tcBorders>
            <w:shd w:val="clear" w:color="auto" w:fill="auto"/>
            <w:noWrap/>
            <w:vAlign w:val="bottom"/>
            <w:hideMark/>
          </w:tcPr>
          <w:p w14:paraId="73F96510"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style4</w:t>
            </w:r>
          </w:p>
        </w:tc>
        <w:tc>
          <w:tcPr>
            <w:tcW w:w="299" w:type="dxa"/>
            <w:tcBorders>
              <w:top w:val="nil"/>
              <w:left w:val="nil"/>
              <w:bottom w:val="nil"/>
              <w:right w:val="nil"/>
            </w:tcBorders>
            <w:shd w:val="clear" w:color="auto" w:fill="auto"/>
            <w:noWrap/>
            <w:vAlign w:val="bottom"/>
            <w:hideMark/>
          </w:tcPr>
          <w:p w14:paraId="41A707E1"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3FE62053"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Camera and Classicism (1916-1924)</w:t>
            </w:r>
          </w:p>
        </w:tc>
      </w:tr>
      <w:tr w:rsidR="00E04BB5" w:rsidRPr="002B1625" w14:paraId="15389563" w14:textId="77777777" w:rsidTr="00E04BB5">
        <w:trPr>
          <w:trHeight w:val="288"/>
        </w:trPr>
        <w:tc>
          <w:tcPr>
            <w:tcW w:w="1289" w:type="dxa"/>
            <w:tcBorders>
              <w:top w:val="nil"/>
              <w:left w:val="nil"/>
              <w:bottom w:val="nil"/>
              <w:right w:val="nil"/>
            </w:tcBorders>
            <w:shd w:val="clear" w:color="auto" w:fill="auto"/>
            <w:noWrap/>
            <w:vAlign w:val="bottom"/>
            <w:hideMark/>
          </w:tcPr>
          <w:p w14:paraId="24C6EF9D"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style5</w:t>
            </w:r>
          </w:p>
        </w:tc>
        <w:tc>
          <w:tcPr>
            <w:tcW w:w="299" w:type="dxa"/>
            <w:tcBorders>
              <w:top w:val="nil"/>
              <w:left w:val="nil"/>
              <w:bottom w:val="nil"/>
              <w:right w:val="nil"/>
            </w:tcBorders>
            <w:shd w:val="clear" w:color="auto" w:fill="auto"/>
            <w:noWrap/>
            <w:vAlign w:val="bottom"/>
            <w:hideMark/>
          </w:tcPr>
          <w:p w14:paraId="7EE314B3"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689E1FD8"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Juggler of the Form (1925-1936)</w:t>
            </w:r>
          </w:p>
        </w:tc>
      </w:tr>
      <w:tr w:rsidR="00E04BB5" w:rsidRPr="002B1625" w14:paraId="2912879B" w14:textId="77777777" w:rsidTr="00E04BB5">
        <w:trPr>
          <w:trHeight w:val="288"/>
        </w:trPr>
        <w:tc>
          <w:tcPr>
            <w:tcW w:w="1289" w:type="dxa"/>
            <w:tcBorders>
              <w:top w:val="nil"/>
              <w:left w:val="nil"/>
              <w:bottom w:val="nil"/>
              <w:right w:val="nil"/>
            </w:tcBorders>
            <w:shd w:val="clear" w:color="auto" w:fill="auto"/>
            <w:noWrap/>
            <w:vAlign w:val="bottom"/>
            <w:hideMark/>
          </w:tcPr>
          <w:p w14:paraId="36C7AA5E"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style6</w:t>
            </w:r>
          </w:p>
        </w:tc>
        <w:tc>
          <w:tcPr>
            <w:tcW w:w="299" w:type="dxa"/>
            <w:tcBorders>
              <w:top w:val="nil"/>
              <w:left w:val="nil"/>
              <w:bottom w:val="nil"/>
              <w:right w:val="nil"/>
            </w:tcBorders>
            <w:shd w:val="clear" w:color="auto" w:fill="auto"/>
            <w:noWrap/>
            <w:vAlign w:val="bottom"/>
            <w:hideMark/>
          </w:tcPr>
          <w:p w14:paraId="24DFA2DB"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bottom w:val="nil"/>
              <w:right w:val="nil"/>
            </w:tcBorders>
            <w:shd w:val="clear" w:color="auto" w:fill="auto"/>
            <w:noWrap/>
            <w:vAlign w:val="bottom"/>
            <w:hideMark/>
          </w:tcPr>
          <w:p w14:paraId="327762B5"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Guernica and 'Style Picasso' (1937-1943)</w:t>
            </w:r>
          </w:p>
        </w:tc>
      </w:tr>
      <w:tr w:rsidR="00E04BB5" w:rsidRPr="002B1625" w14:paraId="7C5A5AC0" w14:textId="77777777" w:rsidTr="00E04BB5">
        <w:trPr>
          <w:trHeight w:val="288"/>
        </w:trPr>
        <w:tc>
          <w:tcPr>
            <w:tcW w:w="1289" w:type="dxa"/>
            <w:tcBorders>
              <w:top w:val="nil"/>
              <w:left w:val="nil"/>
              <w:right w:val="nil"/>
            </w:tcBorders>
            <w:shd w:val="clear" w:color="auto" w:fill="auto"/>
            <w:noWrap/>
            <w:vAlign w:val="bottom"/>
            <w:hideMark/>
          </w:tcPr>
          <w:p w14:paraId="46E91495"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style7</w:t>
            </w:r>
          </w:p>
        </w:tc>
        <w:tc>
          <w:tcPr>
            <w:tcW w:w="299" w:type="dxa"/>
            <w:tcBorders>
              <w:top w:val="nil"/>
              <w:left w:val="nil"/>
              <w:right w:val="nil"/>
            </w:tcBorders>
            <w:shd w:val="clear" w:color="auto" w:fill="auto"/>
            <w:noWrap/>
            <w:vAlign w:val="bottom"/>
            <w:hideMark/>
          </w:tcPr>
          <w:p w14:paraId="76C778B5"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right w:val="nil"/>
            </w:tcBorders>
            <w:shd w:val="clear" w:color="auto" w:fill="auto"/>
            <w:noWrap/>
            <w:vAlign w:val="bottom"/>
            <w:hideMark/>
          </w:tcPr>
          <w:p w14:paraId="5D6EBD20"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Politics and Art (1944-1953)</w:t>
            </w:r>
          </w:p>
        </w:tc>
      </w:tr>
      <w:tr w:rsidR="00E04BB5" w:rsidRPr="00AE1998" w14:paraId="49970B26" w14:textId="77777777" w:rsidTr="00E04BB5">
        <w:trPr>
          <w:trHeight w:val="288"/>
        </w:trPr>
        <w:tc>
          <w:tcPr>
            <w:tcW w:w="1289" w:type="dxa"/>
            <w:tcBorders>
              <w:top w:val="nil"/>
              <w:left w:val="nil"/>
              <w:right w:val="nil"/>
            </w:tcBorders>
            <w:shd w:val="clear" w:color="auto" w:fill="auto"/>
            <w:noWrap/>
            <w:vAlign w:val="bottom"/>
            <w:hideMark/>
          </w:tcPr>
          <w:p w14:paraId="315867B2"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style8</w:t>
            </w:r>
          </w:p>
        </w:tc>
        <w:tc>
          <w:tcPr>
            <w:tcW w:w="299" w:type="dxa"/>
            <w:tcBorders>
              <w:top w:val="nil"/>
              <w:left w:val="nil"/>
              <w:right w:val="nil"/>
            </w:tcBorders>
            <w:shd w:val="clear" w:color="auto" w:fill="auto"/>
            <w:noWrap/>
            <w:vAlign w:val="bottom"/>
            <w:hideMark/>
          </w:tcPr>
          <w:p w14:paraId="278ED987"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right w:val="nil"/>
            </w:tcBorders>
            <w:shd w:val="clear" w:color="auto" w:fill="auto"/>
            <w:noWrap/>
            <w:vAlign w:val="bottom"/>
            <w:hideMark/>
          </w:tcPr>
          <w:p w14:paraId="2E3BDCEC"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The Old Picasso (1954-1973) (omitted category)</w:t>
            </w:r>
          </w:p>
        </w:tc>
      </w:tr>
      <w:tr w:rsidR="00E04BB5" w:rsidRPr="002B1625" w14:paraId="17163C6B" w14:textId="77777777" w:rsidTr="00E04BB5">
        <w:trPr>
          <w:trHeight w:val="288"/>
        </w:trPr>
        <w:tc>
          <w:tcPr>
            <w:tcW w:w="1289" w:type="dxa"/>
            <w:tcBorders>
              <w:top w:val="nil"/>
              <w:left w:val="nil"/>
              <w:right w:val="nil"/>
            </w:tcBorders>
            <w:shd w:val="clear" w:color="auto" w:fill="auto"/>
            <w:noWrap/>
            <w:vAlign w:val="bottom"/>
            <w:hideMark/>
          </w:tcPr>
          <w:p w14:paraId="42937A3C" w14:textId="77777777" w:rsidR="00E04BB5" w:rsidRPr="002B1625" w:rsidRDefault="00E04BB5" w:rsidP="00E04BB5">
            <w:pPr>
              <w:spacing w:after="0" w:line="240" w:lineRule="auto"/>
              <w:rPr>
                <w:rFonts w:ascii="Calibri" w:eastAsia="Times New Roman" w:hAnsi="Calibri" w:cs="Times New Roman"/>
                <w:i/>
                <w:iCs/>
                <w:color w:val="000000"/>
                <w:lang w:val="en-GB"/>
              </w:rPr>
            </w:pPr>
            <w:r w:rsidRPr="002B1625">
              <w:rPr>
                <w:rFonts w:ascii="Calibri" w:eastAsia="Times New Roman" w:hAnsi="Calibri" w:cs="Times New Roman"/>
                <w:i/>
                <w:iCs/>
                <w:color w:val="000000"/>
                <w:lang w:val="en-GB"/>
              </w:rPr>
              <w:t>d00-d19</w:t>
            </w:r>
          </w:p>
        </w:tc>
        <w:tc>
          <w:tcPr>
            <w:tcW w:w="299" w:type="dxa"/>
            <w:tcBorders>
              <w:top w:val="nil"/>
              <w:left w:val="nil"/>
              <w:right w:val="nil"/>
            </w:tcBorders>
            <w:shd w:val="clear" w:color="auto" w:fill="auto"/>
            <w:noWrap/>
            <w:vAlign w:val="bottom"/>
            <w:hideMark/>
          </w:tcPr>
          <w:p w14:paraId="2EC529F0"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top w:val="nil"/>
              <w:left w:val="nil"/>
              <w:right w:val="nil"/>
            </w:tcBorders>
            <w:shd w:val="clear" w:color="auto" w:fill="auto"/>
            <w:noWrap/>
            <w:vAlign w:val="bottom"/>
            <w:hideMark/>
          </w:tcPr>
          <w:p w14:paraId="5CE6A35E" w14:textId="77777777" w:rsidR="00E04BB5" w:rsidRPr="002B1625" w:rsidRDefault="00E04BB5" w:rsidP="00E04BB5">
            <w:pPr>
              <w:spacing w:after="0" w:line="240" w:lineRule="auto"/>
              <w:rPr>
                <w:rFonts w:ascii="Calibri" w:eastAsia="Times New Roman" w:hAnsi="Calibri" w:cs="Times New Roman"/>
                <w:color w:val="000000"/>
                <w:lang w:val="en-GB"/>
              </w:rPr>
            </w:pPr>
            <w:r w:rsidRPr="002B1625">
              <w:rPr>
                <w:rFonts w:ascii="Calibri" w:eastAsia="Times New Roman" w:hAnsi="Calibri" w:cs="Times New Roman"/>
                <w:color w:val="000000"/>
                <w:lang w:val="en-GB"/>
              </w:rPr>
              <w:t>dummy variables</w:t>
            </w:r>
          </w:p>
        </w:tc>
      </w:tr>
      <w:tr w:rsidR="00E04BB5" w:rsidRPr="002B1625" w14:paraId="60EA89C8" w14:textId="77777777" w:rsidTr="00E04BB5">
        <w:trPr>
          <w:trHeight w:val="288"/>
        </w:trPr>
        <w:tc>
          <w:tcPr>
            <w:tcW w:w="1289" w:type="dxa"/>
            <w:tcBorders>
              <w:left w:val="nil"/>
              <w:bottom w:val="single" w:sz="4" w:space="0" w:color="auto"/>
              <w:right w:val="nil"/>
            </w:tcBorders>
            <w:shd w:val="clear" w:color="auto" w:fill="auto"/>
            <w:noWrap/>
            <w:vAlign w:val="bottom"/>
            <w:hideMark/>
          </w:tcPr>
          <w:p w14:paraId="4B18A498"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299" w:type="dxa"/>
            <w:tcBorders>
              <w:left w:val="nil"/>
              <w:bottom w:val="single" w:sz="4" w:space="0" w:color="auto"/>
              <w:right w:val="nil"/>
            </w:tcBorders>
            <w:shd w:val="clear" w:color="auto" w:fill="auto"/>
            <w:noWrap/>
            <w:vAlign w:val="bottom"/>
            <w:hideMark/>
          </w:tcPr>
          <w:p w14:paraId="0B6F3F40" w14:textId="77777777" w:rsidR="00E04BB5" w:rsidRPr="002B1625" w:rsidRDefault="00E04BB5" w:rsidP="00E04BB5">
            <w:pPr>
              <w:spacing w:after="0" w:line="240" w:lineRule="auto"/>
              <w:rPr>
                <w:rFonts w:ascii="Calibri" w:eastAsia="Times New Roman" w:hAnsi="Calibri" w:cs="Times New Roman"/>
                <w:i/>
                <w:iCs/>
                <w:color w:val="000000"/>
                <w:lang w:val="en-GB"/>
              </w:rPr>
            </w:pPr>
          </w:p>
        </w:tc>
        <w:tc>
          <w:tcPr>
            <w:tcW w:w="5761" w:type="dxa"/>
            <w:tcBorders>
              <w:left w:val="nil"/>
              <w:bottom w:val="single" w:sz="4" w:space="0" w:color="auto"/>
              <w:right w:val="nil"/>
            </w:tcBorders>
            <w:shd w:val="clear" w:color="auto" w:fill="auto"/>
            <w:noWrap/>
            <w:vAlign w:val="bottom"/>
            <w:hideMark/>
          </w:tcPr>
          <w:p w14:paraId="45DA4088" w14:textId="77777777" w:rsidR="00E04BB5" w:rsidRPr="002B1625" w:rsidRDefault="00E04BB5" w:rsidP="00E04BB5">
            <w:pPr>
              <w:spacing w:after="0" w:line="240" w:lineRule="auto"/>
              <w:rPr>
                <w:rFonts w:ascii="Calibri" w:eastAsia="Times New Roman" w:hAnsi="Calibri" w:cs="Times New Roman"/>
                <w:color w:val="000000"/>
                <w:lang w:val="en-GB"/>
              </w:rPr>
            </w:pPr>
          </w:p>
        </w:tc>
      </w:tr>
    </w:tbl>
    <w:p w14:paraId="20B49879" w14:textId="77777777" w:rsidR="00E04BB5" w:rsidRPr="002B1625" w:rsidRDefault="00E04BB5" w:rsidP="00E04BB5">
      <w:pPr>
        <w:spacing w:after="0" w:line="240" w:lineRule="auto"/>
        <w:rPr>
          <w:lang w:val="en-GB"/>
        </w:rPr>
      </w:pPr>
    </w:p>
    <w:p w14:paraId="3DBB4695" w14:textId="77777777" w:rsidR="00BD67E1" w:rsidRPr="009E4633" w:rsidRDefault="00BD67E1">
      <w:pPr>
        <w:rPr>
          <w:lang w:val="en-GB"/>
        </w:rPr>
      </w:pPr>
    </w:p>
    <w:sectPr w:rsidR="00BD67E1" w:rsidRPr="009E4633" w:rsidSect="00E04BB5">
      <w:footerReference w:type="defaul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5FCB1" w14:textId="77777777" w:rsidR="009C02A9" w:rsidRDefault="009C02A9" w:rsidP="00E04BB5">
      <w:pPr>
        <w:spacing w:after="0" w:line="240" w:lineRule="auto"/>
      </w:pPr>
      <w:r>
        <w:separator/>
      </w:r>
    </w:p>
  </w:endnote>
  <w:endnote w:type="continuationSeparator" w:id="0">
    <w:p w14:paraId="1C355622" w14:textId="77777777" w:rsidR="009C02A9" w:rsidRDefault="009C02A9" w:rsidP="00E0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Tdcr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80"/>
    <w:family w:val="auto"/>
    <w:notTrueType/>
    <w:pitch w:val="default"/>
    <w:sig w:usb0="00000003" w:usb1="08070000" w:usb2="00000010" w:usb3="00000000" w:csb0="00020001" w:csb1="00000000"/>
  </w:font>
  <w:font w:name="GraphicraftOptima-Medium">
    <w:panose1 w:val="00000000000000000000"/>
    <w:charset w:val="00"/>
    <w:family w:val="auto"/>
    <w:notTrueType/>
    <w:pitch w:val="default"/>
    <w:sig w:usb0="00000003" w:usb1="00000000" w:usb2="00000000" w:usb3="00000000" w:csb0="00000001" w:csb1="00000000"/>
  </w:font>
  <w:font w:name="GraphicraftOptima-Bold">
    <w:panose1 w:val="00000000000000000000"/>
    <w:charset w:val="00"/>
    <w:family w:val="auto"/>
    <w:notTrueType/>
    <w:pitch w:val="default"/>
    <w:sig w:usb0="00000003" w:usb1="00000000" w:usb2="00000000" w:usb3="00000000" w:csb0="00000001" w:csb1="00000000"/>
  </w:font>
  <w:font w:name="GraphicraftOptim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683"/>
      <w:docPartObj>
        <w:docPartGallery w:val="Page Numbers (Bottom of Page)"/>
        <w:docPartUnique/>
      </w:docPartObj>
    </w:sdtPr>
    <w:sdtEndPr/>
    <w:sdtContent>
      <w:p w14:paraId="74579F81" w14:textId="77777777" w:rsidR="00876D53" w:rsidRDefault="00876D53">
        <w:pPr>
          <w:pStyle w:val="Pidipagina"/>
          <w:jc w:val="right"/>
        </w:pPr>
        <w:r>
          <w:fldChar w:fldCharType="begin"/>
        </w:r>
        <w:r>
          <w:instrText xml:space="preserve"> PAGE   \* MERGEFORMAT </w:instrText>
        </w:r>
        <w:r>
          <w:fldChar w:fldCharType="separate"/>
        </w:r>
        <w:r w:rsidR="00AE1998">
          <w:rPr>
            <w:noProof/>
          </w:rPr>
          <w:t>1</w:t>
        </w:r>
        <w:r>
          <w:rPr>
            <w:noProof/>
          </w:rPr>
          <w:fldChar w:fldCharType="end"/>
        </w:r>
      </w:p>
    </w:sdtContent>
  </w:sdt>
  <w:p w14:paraId="608F0183" w14:textId="77777777" w:rsidR="00876D53" w:rsidRDefault="00876D53">
    <w:pPr>
      <w:pStyle w:val="Pidipagina"/>
    </w:pPr>
  </w:p>
  <w:p w14:paraId="597CF6CF" w14:textId="77777777" w:rsidR="00876D53" w:rsidRDefault="00876D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248250"/>
      <w:docPartObj>
        <w:docPartGallery w:val="Page Numbers (Bottom of Page)"/>
        <w:docPartUnique/>
      </w:docPartObj>
    </w:sdtPr>
    <w:sdtEndPr/>
    <w:sdtContent>
      <w:p w14:paraId="6BDD3DDF" w14:textId="77777777" w:rsidR="00876D53" w:rsidRDefault="00876D53">
        <w:pPr>
          <w:pStyle w:val="Pidipagina"/>
          <w:jc w:val="right"/>
        </w:pPr>
        <w:r>
          <w:fldChar w:fldCharType="begin"/>
        </w:r>
        <w:r>
          <w:instrText xml:space="preserve"> PAGE   \* MERGEFORMAT </w:instrText>
        </w:r>
        <w:r>
          <w:fldChar w:fldCharType="separate"/>
        </w:r>
        <w:r w:rsidR="00AE1998">
          <w:rPr>
            <w:noProof/>
          </w:rPr>
          <w:t>20</w:t>
        </w:r>
        <w:r>
          <w:rPr>
            <w:noProof/>
          </w:rPr>
          <w:fldChar w:fldCharType="end"/>
        </w:r>
      </w:p>
    </w:sdtContent>
  </w:sdt>
  <w:p w14:paraId="219B82AF" w14:textId="77777777" w:rsidR="00876D53" w:rsidRDefault="00876D5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67783"/>
      <w:docPartObj>
        <w:docPartGallery w:val="Page Numbers (Bottom of Page)"/>
        <w:docPartUnique/>
      </w:docPartObj>
    </w:sdtPr>
    <w:sdtEndPr/>
    <w:sdtContent>
      <w:p w14:paraId="71179C83" w14:textId="77777777" w:rsidR="00876D53" w:rsidRDefault="00876D53">
        <w:pPr>
          <w:pStyle w:val="Pidipagina"/>
          <w:jc w:val="right"/>
        </w:pPr>
        <w:r>
          <w:fldChar w:fldCharType="begin"/>
        </w:r>
        <w:r>
          <w:instrText>PAGE   \* MERGEFORMAT</w:instrText>
        </w:r>
        <w:r>
          <w:fldChar w:fldCharType="separate"/>
        </w:r>
        <w:r w:rsidR="00AE1998">
          <w:rPr>
            <w:noProof/>
          </w:rPr>
          <w:t>24</w:t>
        </w:r>
        <w:r>
          <w:fldChar w:fldCharType="end"/>
        </w:r>
      </w:p>
    </w:sdtContent>
  </w:sdt>
  <w:p w14:paraId="31DC331E" w14:textId="77777777" w:rsidR="00876D53" w:rsidRDefault="00876D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56EDD" w14:textId="77777777" w:rsidR="009C02A9" w:rsidRDefault="009C02A9" w:rsidP="00E04BB5">
      <w:pPr>
        <w:spacing w:after="0" w:line="240" w:lineRule="auto"/>
      </w:pPr>
      <w:r>
        <w:separator/>
      </w:r>
    </w:p>
  </w:footnote>
  <w:footnote w:type="continuationSeparator" w:id="0">
    <w:p w14:paraId="73DE55CF" w14:textId="77777777" w:rsidR="009C02A9" w:rsidRDefault="009C02A9" w:rsidP="00E04BB5">
      <w:pPr>
        <w:spacing w:after="0" w:line="240" w:lineRule="auto"/>
      </w:pPr>
      <w:r>
        <w:continuationSeparator/>
      </w:r>
    </w:p>
  </w:footnote>
  <w:footnote w:id="1">
    <w:p w14:paraId="3240AA01" w14:textId="41CC3EBB" w:rsidR="00876D53" w:rsidRPr="0081105B" w:rsidRDefault="00876D53" w:rsidP="00E04BB5">
      <w:pPr>
        <w:pStyle w:val="Testonotaapidipagina"/>
        <w:jc w:val="both"/>
        <w:rPr>
          <w:lang w:val="en-GB"/>
        </w:rPr>
      </w:pPr>
      <w:r w:rsidRPr="0081105B">
        <w:rPr>
          <w:rStyle w:val="Rimandonotaapidipagina"/>
          <w:lang w:val="en-GB"/>
        </w:rPr>
        <w:t>§</w:t>
      </w:r>
      <w:r w:rsidRPr="0081105B">
        <w:rPr>
          <w:lang w:val="en-GB"/>
        </w:rPr>
        <w:t xml:space="preserve"> </w:t>
      </w:r>
      <w:r w:rsidRPr="001A1277">
        <w:rPr>
          <w:szCs w:val="24"/>
          <w:lang w:val="en-US"/>
        </w:rPr>
        <w:t>We gratefully acknowledge constructive and insightful comments provided by</w:t>
      </w:r>
      <w:r>
        <w:rPr>
          <w:lang w:val="en-GB"/>
        </w:rPr>
        <w:t xml:space="preserve"> the participants to Art Market Symposium, Paris, 2020; and Art Markets Workshop, </w:t>
      </w:r>
      <w:proofErr w:type="spellStart"/>
      <w:r>
        <w:rPr>
          <w:lang w:val="en-GB"/>
        </w:rPr>
        <w:t>Bruxelles</w:t>
      </w:r>
      <w:proofErr w:type="spellEnd"/>
      <w:r>
        <w:rPr>
          <w:lang w:val="en-GB"/>
        </w:rPr>
        <w:t xml:space="preserve">, 2020. </w:t>
      </w:r>
      <w:r w:rsidRPr="001A1277">
        <w:rPr>
          <w:szCs w:val="24"/>
          <w:lang w:val="en-US"/>
        </w:rPr>
        <w:t xml:space="preserve">The paper also benefited from fruitful comments from </w:t>
      </w:r>
      <w:r>
        <w:rPr>
          <w:lang w:val="en-GB"/>
        </w:rPr>
        <w:t xml:space="preserve">Victor </w:t>
      </w:r>
      <w:proofErr w:type="spellStart"/>
      <w:r>
        <w:rPr>
          <w:lang w:val="en-GB"/>
        </w:rPr>
        <w:t>Ginsburgh</w:t>
      </w:r>
      <w:proofErr w:type="spellEnd"/>
      <w:r>
        <w:rPr>
          <w:lang w:val="en-GB"/>
        </w:rPr>
        <w:t xml:space="preserve">, Antonello E. </w:t>
      </w:r>
      <w:proofErr w:type="spellStart"/>
      <w:r>
        <w:rPr>
          <w:lang w:val="en-GB"/>
        </w:rPr>
        <w:t>Scorcu</w:t>
      </w:r>
      <w:proofErr w:type="spellEnd"/>
      <w:r>
        <w:rPr>
          <w:lang w:val="en-GB"/>
        </w:rPr>
        <w:t xml:space="preserve">, Rachel </w:t>
      </w:r>
      <w:proofErr w:type="spellStart"/>
      <w:r w:rsidRPr="00D32158">
        <w:rPr>
          <w:lang w:val="en-GB" w:eastAsia="en-GB"/>
        </w:rPr>
        <w:t>Pownall</w:t>
      </w:r>
      <w:proofErr w:type="spellEnd"/>
      <w:r w:rsidRPr="00D32158">
        <w:rPr>
          <w:lang w:val="en-GB" w:eastAsia="en-GB"/>
        </w:rPr>
        <w:t>-Campbell</w:t>
      </w:r>
      <w:r>
        <w:rPr>
          <w:lang w:val="en-GB"/>
        </w:rPr>
        <w:t xml:space="preserve"> and Kathryn </w:t>
      </w:r>
      <w:proofErr w:type="spellStart"/>
      <w:r>
        <w:rPr>
          <w:lang w:val="en-GB"/>
        </w:rPr>
        <w:t>Graddy</w:t>
      </w:r>
      <w:proofErr w:type="spellEnd"/>
      <w:r>
        <w:rPr>
          <w:lang w:val="en-GB"/>
        </w:rPr>
        <w:t xml:space="preserve">. </w:t>
      </w:r>
      <w:r w:rsidRPr="0085119E">
        <w:rPr>
          <w:lang w:val="en-GB"/>
        </w:rPr>
        <w:t>The usual disclaimers apply.</w:t>
      </w:r>
    </w:p>
  </w:footnote>
  <w:footnote w:id="2">
    <w:p w14:paraId="75C6B2C4" w14:textId="3AFB8B00" w:rsidR="00876D53" w:rsidRPr="00DF26D8" w:rsidRDefault="00876D53" w:rsidP="00E04BB5">
      <w:pPr>
        <w:pStyle w:val="Testonotaapidipagina"/>
        <w:jc w:val="both"/>
        <w:rPr>
          <w:lang w:val="en-US"/>
        </w:rPr>
      </w:pPr>
      <w:r w:rsidRPr="00A33B4D">
        <w:rPr>
          <w:rStyle w:val="Rimandonotaapidipagina"/>
          <w:lang w:val="en-US"/>
        </w:rPr>
        <w:t>+</w:t>
      </w:r>
      <w:r w:rsidRPr="00A33B4D">
        <w:rPr>
          <w:lang w:val="en-US"/>
        </w:rPr>
        <w:t xml:space="preserve"> University of York, Department of E</w:t>
      </w:r>
      <w:r>
        <w:rPr>
          <w:lang w:val="en-US"/>
        </w:rPr>
        <w:t xml:space="preserve">conomics and Related Studies, UK; Centre for Health Economics, Monash University; Department of </w:t>
      </w:r>
      <w:r w:rsidRPr="00DF26D8">
        <w:rPr>
          <w:lang w:val="en-US"/>
        </w:rPr>
        <w:t xml:space="preserve">Economics, University of Bergen email: </w:t>
      </w:r>
      <w:r>
        <w:rPr>
          <w:lang w:val="en-US"/>
        </w:rPr>
        <w:t>andrew.jones@york</w:t>
      </w:r>
      <w:r w:rsidRPr="00DF26D8">
        <w:rPr>
          <w:lang w:val="en-US"/>
        </w:rPr>
        <w:t>.ac.uk</w:t>
      </w:r>
    </w:p>
  </w:footnote>
  <w:footnote w:id="3">
    <w:p w14:paraId="62C4F134" w14:textId="5EBFB25D" w:rsidR="00876D53" w:rsidRPr="00DF26D8" w:rsidRDefault="00876D53" w:rsidP="00E04BB5">
      <w:pPr>
        <w:autoSpaceDE w:val="0"/>
        <w:autoSpaceDN w:val="0"/>
        <w:spacing w:after="0" w:line="240" w:lineRule="auto"/>
        <w:jc w:val="both"/>
        <w:rPr>
          <w:sz w:val="20"/>
          <w:szCs w:val="20"/>
          <w:lang w:val="en-US"/>
        </w:rPr>
      </w:pPr>
      <w:r w:rsidRPr="00DF26D8">
        <w:rPr>
          <w:rStyle w:val="Rimandonotaapidipagina"/>
          <w:sz w:val="20"/>
          <w:szCs w:val="20"/>
        </w:rPr>
        <w:footnoteRef/>
      </w:r>
      <w:bookmarkStart w:id="0" w:name="_Hlk51321134"/>
      <w:r>
        <w:rPr>
          <w:sz w:val="20"/>
          <w:szCs w:val="20"/>
          <w:lang w:val="en-US"/>
        </w:rPr>
        <w:t xml:space="preserve"> </w:t>
      </w:r>
      <w:r w:rsidRPr="00DF26D8">
        <w:rPr>
          <w:sz w:val="20"/>
          <w:szCs w:val="20"/>
          <w:lang w:val="en-US"/>
        </w:rPr>
        <w:t xml:space="preserve">CEREN, EA 7477, Burgundy School of Business - </w:t>
      </w:r>
      <w:proofErr w:type="spellStart"/>
      <w:r w:rsidRPr="00DF26D8">
        <w:rPr>
          <w:sz w:val="20"/>
          <w:szCs w:val="20"/>
          <w:lang w:val="en-US"/>
        </w:rPr>
        <w:t>Université</w:t>
      </w:r>
      <w:proofErr w:type="spellEnd"/>
      <w:r w:rsidRPr="00DF26D8">
        <w:rPr>
          <w:sz w:val="20"/>
          <w:szCs w:val="20"/>
          <w:lang w:val="en-US"/>
        </w:rPr>
        <w:t xml:space="preserve"> Bourgogne Franche-Comté, France, Dept. of Accounting, Finance and Law</w:t>
      </w:r>
      <w:bookmarkEnd w:id="0"/>
      <w:r>
        <w:rPr>
          <w:sz w:val="20"/>
          <w:szCs w:val="20"/>
          <w:lang w:val="en-US"/>
        </w:rPr>
        <w:t>;</w:t>
      </w:r>
      <w:r w:rsidRPr="00DF26D8">
        <w:rPr>
          <w:sz w:val="20"/>
          <w:szCs w:val="20"/>
          <w:lang w:val="en-US"/>
        </w:rPr>
        <w:t xml:space="preserve"> email: marilena.vecco@bsb-education.com</w:t>
      </w:r>
    </w:p>
  </w:footnote>
  <w:footnote w:id="4">
    <w:p w14:paraId="3866363A" w14:textId="77777777" w:rsidR="00876D53" w:rsidRPr="00A33B4D" w:rsidRDefault="00876D53" w:rsidP="00E04BB5">
      <w:pPr>
        <w:pStyle w:val="Testonotaapidipagina"/>
        <w:jc w:val="both"/>
        <w:rPr>
          <w:lang w:val="en-US"/>
        </w:rPr>
      </w:pPr>
      <w:r w:rsidRPr="00DF26D8">
        <w:rPr>
          <w:rStyle w:val="Rimandonotaapidipagina"/>
          <w:lang w:val="en-US"/>
        </w:rPr>
        <w:t>°</w:t>
      </w:r>
      <w:r w:rsidRPr="00DF26D8">
        <w:rPr>
          <w:lang w:val="en-US"/>
        </w:rPr>
        <w:t xml:space="preserve"> University of Eastern Piedmont, Institute of Public Policy and Public Choice</w:t>
      </w:r>
      <w:r>
        <w:rPr>
          <w:lang w:val="en-US"/>
        </w:rPr>
        <w:t>, Italy, email: roberto.zanola@unipmn.it</w:t>
      </w:r>
    </w:p>
  </w:footnote>
  <w:footnote w:id="5">
    <w:p w14:paraId="4319EAD6" w14:textId="77777777" w:rsidR="00AE1998" w:rsidRDefault="00AE1998" w:rsidP="00AE1998">
      <w:pPr>
        <w:pStyle w:val="Testonotaapidipagina"/>
        <w:rPr>
          <w:rFonts w:cstheme="minorHAnsi"/>
          <w:lang w:val="en-GB"/>
        </w:rPr>
      </w:pPr>
      <w:r>
        <w:rPr>
          <w:rStyle w:val="Rimandonotaapidipagina"/>
          <w:rFonts w:cstheme="minorHAnsi"/>
        </w:rPr>
        <w:footnoteRef/>
      </w:r>
      <w:r>
        <w:rPr>
          <w:rFonts w:cstheme="minorHAnsi"/>
          <w:lang w:val="en-GB"/>
        </w:rPr>
        <w:t xml:space="preserve"> </w:t>
      </w:r>
      <w:r>
        <w:rPr>
          <w:rFonts w:cstheme="minorHAnsi"/>
          <w:color w:val="222222"/>
          <w:shd w:val="clear" w:color="auto" w:fill="FFFFFF"/>
          <w:lang w:val="en-GB"/>
        </w:rPr>
        <w:t>New York and its abbreviation NY refers to New York City and not to New York State.</w:t>
      </w:r>
    </w:p>
  </w:footnote>
  <w:footnote w:id="6">
    <w:p w14:paraId="5452F719" w14:textId="77777777" w:rsidR="00AE1998" w:rsidRDefault="00AE1998" w:rsidP="00AE1998">
      <w:pPr>
        <w:pStyle w:val="PreformattatoHTML"/>
        <w:shd w:val="clear" w:color="auto" w:fill="FFFFFF"/>
        <w:jc w:val="both"/>
      </w:pPr>
      <w:r>
        <w:rPr>
          <w:rStyle w:val="Rimandonotaapidipagina"/>
          <w:rFonts w:asciiTheme="minorHAnsi" w:eastAsiaTheme="minorEastAsia" w:hAnsiTheme="minorHAnsi"/>
          <w:sz w:val="18"/>
        </w:rPr>
        <w:footnoteRef/>
      </w:r>
      <w:r>
        <w:rPr>
          <w:rFonts w:asciiTheme="minorHAnsi" w:hAnsiTheme="minorHAnsi"/>
          <w:sz w:val="18"/>
        </w:rPr>
        <w:t xml:space="preserve"> </w:t>
      </w:r>
      <w:r>
        <w:rPr>
          <w:rFonts w:asciiTheme="minorHAnsi" w:hAnsiTheme="minorHAnsi"/>
          <w:color w:val="1F1F1F"/>
          <w:sz w:val="18"/>
        </w:rPr>
        <w:t> </w:t>
      </w:r>
      <w:r>
        <w:rPr>
          <w:rFonts w:asciiTheme="minorHAnsi" w:eastAsiaTheme="minorEastAsia" w:hAnsiTheme="minorHAnsi" w:cstheme="minorBidi"/>
          <w:lang w:eastAsia="it-IT"/>
        </w:rPr>
        <w:t xml:space="preserve">As reported by </w:t>
      </w:r>
      <w:proofErr w:type="spellStart"/>
      <w:r>
        <w:rPr>
          <w:rFonts w:asciiTheme="minorHAnsi" w:eastAsiaTheme="minorEastAsia" w:hAnsiTheme="minorHAnsi" w:cstheme="minorBidi"/>
          <w:lang w:eastAsia="it-IT"/>
        </w:rPr>
        <w:t>Farchy</w:t>
      </w:r>
      <w:proofErr w:type="spellEnd"/>
      <w:r>
        <w:rPr>
          <w:rFonts w:asciiTheme="minorHAnsi" w:eastAsiaTheme="minorEastAsia" w:hAnsiTheme="minorHAnsi" w:cstheme="minorBidi"/>
          <w:lang w:eastAsia="it-IT"/>
        </w:rPr>
        <w:t xml:space="preserve"> and </w:t>
      </w:r>
      <w:proofErr w:type="spellStart"/>
      <w:r>
        <w:rPr>
          <w:rFonts w:asciiTheme="minorHAnsi" w:eastAsiaTheme="minorEastAsia" w:hAnsiTheme="minorHAnsi" w:cstheme="minorBidi"/>
          <w:lang w:eastAsia="it-IT"/>
        </w:rPr>
        <w:t>Petrou</w:t>
      </w:r>
      <w:proofErr w:type="spellEnd"/>
      <w:r>
        <w:rPr>
          <w:rFonts w:asciiTheme="minorHAnsi" w:eastAsiaTheme="minorEastAsia" w:hAnsiTheme="minorHAnsi" w:cstheme="minorBidi"/>
          <w:lang w:eastAsia="it-IT"/>
        </w:rPr>
        <w:t xml:space="preserve"> (2012), professionals believe that these fees weigh on the seller at a declining rate between 20% and 12% and the buyer up to a rate ranging between 17.5% and 10%. Regarding Sotheby's in London, if the commissions concerning the seller remain secret, the comparison of the rates of the droit de suite and the commission rates on the buyer shows the weakness of the droit de suite.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018B"/>
    <w:multiLevelType w:val="multilevel"/>
    <w:tmpl w:val="BF3E4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5E649F2"/>
    <w:multiLevelType w:val="multilevel"/>
    <w:tmpl w:val="2C6C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D7C40"/>
    <w:multiLevelType w:val="multilevel"/>
    <w:tmpl w:val="06F0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577D3"/>
    <w:multiLevelType w:val="multilevel"/>
    <w:tmpl w:val="BF3E4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2565139"/>
    <w:multiLevelType w:val="multilevel"/>
    <w:tmpl w:val="6CA8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C751C"/>
    <w:multiLevelType w:val="hybridMultilevel"/>
    <w:tmpl w:val="08225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D17CD5"/>
    <w:multiLevelType w:val="hybridMultilevel"/>
    <w:tmpl w:val="610A2AA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E33A21"/>
    <w:multiLevelType w:val="multilevel"/>
    <w:tmpl w:val="AD5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C22C11"/>
    <w:multiLevelType w:val="multilevel"/>
    <w:tmpl w:val="BF3E4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7210CEA"/>
    <w:multiLevelType w:val="multilevel"/>
    <w:tmpl w:val="BF3E4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8BE6F93"/>
    <w:multiLevelType w:val="multilevel"/>
    <w:tmpl w:val="BF3E4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60AB47DA"/>
    <w:multiLevelType w:val="multilevel"/>
    <w:tmpl w:val="BF3E4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6265795A"/>
    <w:multiLevelType w:val="multilevel"/>
    <w:tmpl w:val="BF3E4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575760F"/>
    <w:multiLevelType w:val="multilevel"/>
    <w:tmpl w:val="FACC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C26344"/>
    <w:multiLevelType w:val="multilevel"/>
    <w:tmpl w:val="036A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A022A6"/>
    <w:multiLevelType w:val="multilevel"/>
    <w:tmpl w:val="BF3E4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4BB0CFB"/>
    <w:multiLevelType w:val="multilevel"/>
    <w:tmpl w:val="6C12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723F76"/>
    <w:multiLevelType w:val="multilevel"/>
    <w:tmpl w:val="BF3E4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9435E75"/>
    <w:multiLevelType w:val="multilevel"/>
    <w:tmpl w:val="BF3E4A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AE32B38"/>
    <w:multiLevelType w:val="multilevel"/>
    <w:tmpl w:val="80E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9"/>
  </w:num>
  <w:num w:numId="4">
    <w:abstractNumId w:val="11"/>
  </w:num>
  <w:num w:numId="5">
    <w:abstractNumId w:val="8"/>
  </w:num>
  <w:num w:numId="6">
    <w:abstractNumId w:val="12"/>
  </w:num>
  <w:num w:numId="7">
    <w:abstractNumId w:val="18"/>
  </w:num>
  <w:num w:numId="8">
    <w:abstractNumId w:val="10"/>
  </w:num>
  <w:num w:numId="9">
    <w:abstractNumId w:val="3"/>
  </w:num>
  <w:num w:numId="10">
    <w:abstractNumId w:val="0"/>
  </w:num>
  <w:num w:numId="11">
    <w:abstractNumId w:val="15"/>
  </w:num>
  <w:num w:numId="12">
    <w:abstractNumId w:val="13"/>
  </w:num>
  <w:num w:numId="13">
    <w:abstractNumId w:val="2"/>
  </w:num>
  <w:num w:numId="14">
    <w:abstractNumId w:val="5"/>
  </w:num>
  <w:num w:numId="15">
    <w:abstractNumId w:val="16"/>
  </w:num>
  <w:num w:numId="16">
    <w:abstractNumId w:val="1"/>
  </w:num>
  <w:num w:numId="17">
    <w:abstractNumId w:val="17"/>
  </w:num>
  <w:num w:numId="18">
    <w:abstractNumId w:val="7"/>
  </w:num>
  <w:num w:numId="19">
    <w:abstractNumId w:val="4"/>
  </w:num>
  <w:num w:numId="20">
    <w:abstractNumId w:val="14"/>
  </w:num>
  <w:num w:numId="21">
    <w:abstractNumId w:val="1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X">
    <w15:presenceInfo w15:providerId="None" w15:userId="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B5"/>
    <w:rsid w:val="00000C10"/>
    <w:rsid w:val="000217B0"/>
    <w:rsid w:val="00060158"/>
    <w:rsid w:val="00065EB0"/>
    <w:rsid w:val="00065F51"/>
    <w:rsid w:val="000904D1"/>
    <w:rsid w:val="00093E76"/>
    <w:rsid w:val="000A05A2"/>
    <w:rsid w:val="000D5A23"/>
    <w:rsid w:val="000D64C7"/>
    <w:rsid w:val="0010142B"/>
    <w:rsid w:val="001066B1"/>
    <w:rsid w:val="001151A5"/>
    <w:rsid w:val="00116475"/>
    <w:rsid w:val="001331F5"/>
    <w:rsid w:val="00140C3E"/>
    <w:rsid w:val="00152323"/>
    <w:rsid w:val="001553C7"/>
    <w:rsid w:val="00191E29"/>
    <w:rsid w:val="00191E6F"/>
    <w:rsid w:val="00197A05"/>
    <w:rsid w:val="001A1277"/>
    <w:rsid w:val="001A6457"/>
    <w:rsid w:val="001B137B"/>
    <w:rsid w:val="001D615C"/>
    <w:rsid w:val="001D73FD"/>
    <w:rsid w:val="001D7499"/>
    <w:rsid w:val="001E05A8"/>
    <w:rsid w:val="001F2B46"/>
    <w:rsid w:val="00203D40"/>
    <w:rsid w:val="00212F8F"/>
    <w:rsid w:val="002153D6"/>
    <w:rsid w:val="00220902"/>
    <w:rsid w:val="002220B0"/>
    <w:rsid w:val="002314BF"/>
    <w:rsid w:val="002418CC"/>
    <w:rsid w:val="002442A8"/>
    <w:rsid w:val="00244A0C"/>
    <w:rsid w:val="002515D7"/>
    <w:rsid w:val="002616CF"/>
    <w:rsid w:val="00263C17"/>
    <w:rsid w:val="00271355"/>
    <w:rsid w:val="00273A72"/>
    <w:rsid w:val="00277E56"/>
    <w:rsid w:val="002B1625"/>
    <w:rsid w:val="002C412C"/>
    <w:rsid w:val="002D0FBC"/>
    <w:rsid w:val="002D5879"/>
    <w:rsid w:val="002E28A3"/>
    <w:rsid w:val="002F7A9C"/>
    <w:rsid w:val="00322E8A"/>
    <w:rsid w:val="00322EBA"/>
    <w:rsid w:val="0035543A"/>
    <w:rsid w:val="00364419"/>
    <w:rsid w:val="003810CD"/>
    <w:rsid w:val="003845BD"/>
    <w:rsid w:val="003C6D11"/>
    <w:rsid w:val="003D42FE"/>
    <w:rsid w:val="003D7D9C"/>
    <w:rsid w:val="00417C79"/>
    <w:rsid w:val="00425F83"/>
    <w:rsid w:val="004272AE"/>
    <w:rsid w:val="004373B4"/>
    <w:rsid w:val="004443EC"/>
    <w:rsid w:val="00483B94"/>
    <w:rsid w:val="004965F4"/>
    <w:rsid w:val="004B78A1"/>
    <w:rsid w:val="004D6A83"/>
    <w:rsid w:val="004D6FB1"/>
    <w:rsid w:val="004D7BA1"/>
    <w:rsid w:val="004E0625"/>
    <w:rsid w:val="004E5661"/>
    <w:rsid w:val="00524F30"/>
    <w:rsid w:val="00527BEF"/>
    <w:rsid w:val="00547A78"/>
    <w:rsid w:val="00557E91"/>
    <w:rsid w:val="00563D1D"/>
    <w:rsid w:val="005662DF"/>
    <w:rsid w:val="00585BFD"/>
    <w:rsid w:val="00587F59"/>
    <w:rsid w:val="005C3E8D"/>
    <w:rsid w:val="005E29E0"/>
    <w:rsid w:val="005E631E"/>
    <w:rsid w:val="00614E06"/>
    <w:rsid w:val="00632D87"/>
    <w:rsid w:val="006435AF"/>
    <w:rsid w:val="006614E1"/>
    <w:rsid w:val="00664406"/>
    <w:rsid w:val="00672ACE"/>
    <w:rsid w:val="006820A8"/>
    <w:rsid w:val="00690B2E"/>
    <w:rsid w:val="006A6EC8"/>
    <w:rsid w:val="006C2CB3"/>
    <w:rsid w:val="006E755E"/>
    <w:rsid w:val="006F2731"/>
    <w:rsid w:val="007017F4"/>
    <w:rsid w:val="00704741"/>
    <w:rsid w:val="00711B1F"/>
    <w:rsid w:val="007152AD"/>
    <w:rsid w:val="00732CB4"/>
    <w:rsid w:val="00737433"/>
    <w:rsid w:val="00740095"/>
    <w:rsid w:val="00743A8D"/>
    <w:rsid w:val="00765C5F"/>
    <w:rsid w:val="007662B1"/>
    <w:rsid w:val="00767C0A"/>
    <w:rsid w:val="00791D6F"/>
    <w:rsid w:val="00796BAC"/>
    <w:rsid w:val="00797967"/>
    <w:rsid w:val="007F2EA2"/>
    <w:rsid w:val="00807572"/>
    <w:rsid w:val="00813CE0"/>
    <w:rsid w:val="0081601C"/>
    <w:rsid w:val="00876D53"/>
    <w:rsid w:val="00882891"/>
    <w:rsid w:val="00882DF0"/>
    <w:rsid w:val="008978D2"/>
    <w:rsid w:val="008B0AC4"/>
    <w:rsid w:val="008C32C6"/>
    <w:rsid w:val="008D46E4"/>
    <w:rsid w:val="00956A4D"/>
    <w:rsid w:val="009640E9"/>
    <w:rsid w:val="00972442"/>
    <w:rsid w:val="00981BD0"/>
    <w:rsid w:val="0099388B"/>
    <w:rsid w:val="009A2B1C"/>
    <w:rsid w:val="009A4550"/>
    <w:rsid w:val="009A6BC5"/>
    <w:rsid w:val="009A77ED"/>
    <w:rsid w:val="009C02A9"/>
    <w:rsid w:val="009E4633"/>
    <w:rsid w:val="00A15F9B"/>
    <w:rsid w:val="00A26585"/>
    <w:rsid w:val="00A442CC"/>
    <w:rsid w:val="00A5336C"/>
    <w:rsid w:val="00A56BBE"/>
    <w:rsid w:val="00A616F6"/>
    <w:rsid w:val="00A84371"/>
    <w:rsid w:val="00AB0B96"/>
    <w:rsid w:val="00AD5FE1"/>
    <w:rsid w:val="00AE1998"/>
    <w:rsid w:val="00AF2121"/>
    <w:rsid w:val="00B02E93"/>
    <w:rsid w:val="00B10387"/>
    <w:rsid w:val="00B11358"/>
    <w:rsid w:val="00B12050"/>
    <w:rsid w:val="00B20D1B"/>
    <w:rsid w:val="00B30B4E"/>
    <w:rsid w:val="00B432BB"/>
    <w:rsid w:val="00B557B9"/>
    <w:rsid w:val="00B91627"/>
    <w:rsid w:val="00B9459B"/>
    <w:rsid w:val="00BB6FFE"/>
    <w:rsid w:val="00BB7F0F"/>
    <w:rsid w:val="00BD665D"/>
    <w:rsid w:val="00BD67E1"/>
    <w:rsid w:val="00BF323E"/>
    <w:rsid w:val="00BF4403"/>
    <w:rsid w:val="00BF4FD4"/>
    <w:rsid w:val="00C13230"/>
    <w:rsid w:val="00C60B88"/>
    <w:rsid w:val="00C77EB0"/>
    <w:rsid w:val="00C840D8"/>
    <w:rsid w:val="00C95815"/>
    <w:rsid w:val="00C9662F"/>
    <w:rsid w:val="00CD3D6C"/>
    <w:rsid w:val="00CF54CB"/>
    <w:rsid w:val="00D04820"/>
    <w:rsid w:val="00D216D1"/>
    <w:rsid w:val="00D344B1"/>
    <w:rsid w:val="00D37EE1"/>
    <w:rsid w:val="00D44903"/>
    <w:rsid w:val="00D55531"/>
    <w:rsid w:val="00D912F1"/>
    <w:rsid w:val="00DE0B4E"/>
    <w:rsid w:val="00DE1954"/>
    <w:rsid w:val="00DF036B"/>
    <w:rsid w:val="00DF2C4C"/>
    <w:rsid w:val="00E0112A"/>
    <w:rsid w:val="00E020BE"/>
    <w:rsid w:val="00E04BB5"/>
    <w:rsid w:val="00E16F46"/>
    <w:rsid w:val="00E253FE"/>
    <w:rsid w:val="00E32836"/>
    <w:rsid w:val="00E37DCF"/>
    <w:rsid w:val="00E66E25"/>
    <w:rsid w:val="00E85FF5"/>
    <w:rsid w:val="00E91334"/>
    <w:rsid w:val="00EB71A5"/>
    <w:rsid w:val="00EC71B7"/>
    <w:rsid w:val="00EF5BA5"/>
    <w:rsid w:val="00F357DE"/>
    <w:rsid w:val="00F45F68"/>
    <w:rsid w:val="00F6169B"/>
    <w:rsid w:val="00F62318"/>
    <w:rsid w:val="00F91008"/>
    <w:rsid w:val="00FC0C25"/>
    <w:rsid w:val="00FC586E"/>
    <w:rsid w:val="00FC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Preferred Format"/>
    <w:qFormat/>
    <w:rsid w:val="00E04BB5"/>
    <w:pPr>
      <w:spacing w:after="200" w:line="276" w:lineRule="auto"/>
    </w:pPr>
    <w:rPr>
      <w:rFonts w:eastAsiaTheme="minorEastAsia"/>
      <w:lang w:val="it-IT" w:eastAsia="it-IT"/>
    </w:rPr>
  </w:style>
  <w:style w:type="paragraph" w:styleId="Titolo1">
    <w:name w:val="heading 1"/>
    <w:aliases w:val="Transcript Speaker Heading"/>
    <w:basedOn w:val="Normale"/>
    <w:next w:val="Normale"/>
    <w:link w:val="Titolo1Carattere"/>
    <w:autoRedefine/>
    <w:uiPriority w:val="9"/>
    <w:qFormat/>
    <w:rsid w:val="004272AE"/>
    <w:pPr>
      <w:spacing w:before="120" w:after="120" w:line="320" w:lineRule="auto"/>
      <w:contextualSpacing/>
      <w:jc w:val="both"/>
      <w:outlineLvl w:val="0"/>
    </w:pPr>
    <w:rPr>
      <w:rFonts w:eastAsia="Palatino" w:cstheme="minorHAnsi"/>
      <w:i/>
      <w:color w:val="000000" w:themeColor="text1"/>
      <w:sz w:val="24"/>
      <w:szCs w:val="24"/>
      <w:lang w:val="en-GB"/>
    </w:rPr>
  </w:style>
  <w:style w:type="paragraph" w:styleId="Titolo2">
    <w:name w:val="heading 2"/>
    <w:basedOn w:val="Normale"/>
    <w:next w:val="Normale"/>
    <w:link w:val="Titolo2Carattere"/>
    <w:uiPriority w:val="9"/>
    <w:unhideWhenUsed/>
    <w:qFormat/>
    <w:rsid w:val="00E04B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ranscript Speaker Heading Carattere"/>
    <w:basedOn w:val="Carpredefinitoparagrafo"/>
    <w:link w:val="Titolo1"/>
    <w:uiPriority w:val="9"/>
    <w:rsid w:val="004272AE"/>
    <w:rPr>
      <w:rFonts w:eastAsia="Palatino" w:cstheme="minorHAnsi"/>
      <w:i/>
      <w:color w:val="000000" w:themeColor="text1"/>
      <w:sz w:val="24"/>
      <w:szCs w:val="24"/>
      <w:lang w:val="en-GB" w:eastAsia="it-IT"/>
    </w:rPr>
  </w:style>
  <w:style w:type="character" w:customStyle="1" w:styleId="Titolo2Carattere">
    <w:name w:val="Titolo 2 Carattere"/>
    <w:basedOn w:val="Carpredefinitoparagrafo"/>
    <w:link w:val="Titolo2"/>
    <w:uiPriority w:val="9"/>
    <w:rsid w:val="00E04BB5"/>
    <w:rPr>
      <w:rFonts w:asciiTheme="majorHAnsi" w:eastAsiaTheme="majorEastAsia" w:hAnsiTheme="majorHAnsi" w:cstheme="majorBidi"/>
      <w:color w:val="2F5496" w:themeColor="accent1" w:themeShade="BF"/>
      <w:sz w:val="26"/>
      <w:szCs w:val="26"/>
      <w:lang w:val="it-IT" w:eastAsia="it-IT"/>
    </w:rPr>
  </w:style>
  <w:style w:type="paragraph" w:styleId="Intestazione">
    <w:name w:val="header"/>
    <w:basedOn w:val="Normale"/>
    <w:link w:val="IntestazioneCarattere"/>
    <w:uiPriority w:val="99"/>
    <w:unhideWhenUsed/>
    <w:rsid w:val="00E04B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4BB5"/>
    <w:rPr>
      <w:rFonts w:eastAsiaTheme="minorEastAsia"/>
      <w:lang w:val="it-IT" w:eastAsia="it-IT"/>
    </w:rPr>
  </w:style>
  <w:style w:type="paragraph" w:styleId="Pidipagina">
    <w:name w:val="footer"/>
    <w:basedOn w:val="Normale"/>
    <w:link w:val="PidipaginaCarattere"/>
    <w:uiPriority w:val="99"/>
    <w:unhideWhenUsed/>
    <w:rsid w:val="00E04B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4BB5"/>
    <w:rPr>
      <w:rFonts w:eastAsiaTheme="minorEastAsia"/>
      <w:lang w:val="it-IT" w:eastAsia="it-IT"/>
    </w:rPr>
  </w:style>
  <w:style w:type="paragraph" w:styleId="Testofumetto">
    <w:name w:val="Balloon Text"/>
    <w:basedOn w:val="Normale"/>
    <w:link w:val="TestofumettoCarattere"/>
    <w:uiPriority w:val="99"/>
    <w:semiHidden/>
    <w:unhideWhenUsed/>
    <w:rsid w:val="00E04B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4BB5"/>
    <w:rPr>
      <w:rFonts w:ascii="Tahoma" w:eastAsiaTheme="minorEastAsia" w:hAnsi="Tahoma" w:cs="Tahoma"/>
      <w:sz w:val="16"/>
      <w:szCs w:val="16"/>
      <w:lang w:val="it-IT" w:eastAsia="it-IT"/>
    </w:rPr>
  </w:style>
  <w:style w:type="paragraph" w:styleId="Paragrafoelenco">
    <w:name w:val="List Paragraph"/>
    <w:basedOn w:val="Normale"/>
    <w:uiPriority w:val="34"/>
    <w:qFormat/>
    <w:rsid w:val="00E04BB5"/>
    <w:pPr>
      <w:ind w:left="720"/>
      <w:contextualSpacing/>
    </w:pPr>
  </w:style>
  <w:style w:type="character" w:styleId="Rimandonotaapidipagina">
    <w:name w:val="footnote reference"/>
    <w:basedOn w:val="Carpredefinitoparagrafo"/>
    <w:uiPriority w:val="99"/>
    <w:semiHidden/>
    <w:unhideWhenUsed/>
    <w:rsid w:val="00E04BB5"/>
    <w:rPr>
      <w:vertAlign w:val="superscript"/>
    </w:rPr>
  </w:style>
  <w:style w:type="paragraph" w:styleId="Testonotaapidipagina">
    <w:name w:val="footnote text"/>
    <w:basedOn w:val="Normale"/>
    <w:link w:val="TestonotaapidipaginaCarattere"/>
    <w:uiPriority w:val="99"/>
    <w:semiHidden/>
    <w:unhideWhenUsed/>
    <w:rsid w:val="00E04BB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04BB5"/>
    <w:rPr>
      <w:rFonts w:eastAsiaTheme="minorEastAsia"/>
      <w:sz w:val="20"/>
      <w:szCs w:val="20"/>
      <w:lang w:val="it-IT" w:eastAsia="it-IT"/>
    </w:rPr>
  </w:style>
  <w:style w:type="character" w:styleId="Rimandocommento">
    <w:name w:val="annotation reference"/>
    <w:basedOn w:val="Carpredefinitoparagrafo"/>
    <w:uiPriority w:val="99"/>
    <w:semiHidden/>
    <w:unhideWhenUsed/>
    <w:rsid w:val="00E04BB5"/>
    <w:rPr>
      <w:sz w:val="16"/>
      <w:szCs w:val="16"/>
    </w:rPr>
  </w:style>
  <w:style w:type="paragraph" w:styleId="Testocommento">
    <w:name w:val="annotation text"/>
    <w:basedOn w:val="Normale"/>
    <w:link w:val="TestocommentoCarattere"/>
    <w:uiPriority w:val="99"/>
    <w:unhideWhenUsed/>
    <w:rsid w:val="00E04BB5"/>
    <w:pPr>
      <w:spacing w:line="240" w:lineRule="auto"/>
    </w:pPr>
    <w:rPr>
      <w:sz w:val="20"/>
      <w:szCs w:val="20"/>
    </w:rPr>
  </w:style>
  <w:style w:type="character" w:customStyle="1" w:styleId="TestocommentoCarattere">
    <w:name w:val="Testo commento Carattere"/>
    <w:basedOn w:val="Carpredefinitoparagrafo"/>
    <w:link w:val="Testocommento"/>
    <w:uiPriority w:val="99"/>
    <w:rsid w:val="00E04BB5"/>
    <w:rPr>
      <w:rFonts w:eastAsiaTheme="minorEastAsia"/>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E04BB5"/>
    <w:rPr>
      <w:b/>
      <w:bCs/>
    </w:rPr>
  </w:style>
  <w:style w:type="character" w:customStyle="1" w:styleId="SoggettocommentoCarattere">
    <w:name w:val="Soggetto commento Carattere"/>
    <w:basedOn w:val="TestocommentoCarattere"/>
    <w:link w:val="Soggettocommento"/>
    <w:uiPriority w:val="99"/>
    <w:semiHidden/>
    <w:rsid w:val="00E04BB5"/>
    <w:rPr>
      <w:rFonts w:eastAsiaTheme="minorEastAsia"/>
      <w:b/>
      <w:bCs/>
      <w:sz w:val="20"/>
      <w:szCs w:val="20"/>
      <w:lang w:val="it-IT" w:eastAsia="it-IT"/>
    </w:rPr>
  </w:style>
  <w:style w:type="character" w:styleId="Collegamentoipertestuale">
    <w:name w:val="Hyperlink"/>
    <w:basedOn w:val="Carpredefinitoparagrafo"/>
    <w:uiPriority w:val="99"/>
    <w:unhideWhenUsed/>
    <w:rsid w:val="00E04BB5"/>
    <w:rPr>
      <w:strike w:val="0"/>
      <w:dstrike w:val="0"/>
      <w:color w:val="2D4E8B"/>
      <w:u w:val="none"/>
      <w:effect w:val="none"/>
      <w:shd w:val="clear" w:color="auto" w:fill="auto"/>
    </w:rPr>
  </w:style>
  <w:style w:type="character" w:styleId="Enfasigrassetto">
    <w:name w:val="Strong"/>
    <w:basedOn w:val="Carpredefinitoparagrafo"/>
    <w:uiPriority w:val="22"/>
    <w:qFormat/>
    <w:rsid w:val="00E04BB5"/>
    <w:rPr>
      <w:b/>
      <w:bCs/>
    </w:rPr>
  </w:style>
  <w:style w:type="character" w:customStyle="1" w:styleId="definition-url">
    <w:name w:val="definition-url"/>
    <w:basedOn w:val="Carpredefinitoparagrafo"/>
    <w:rsid w:val="00E04BB5"/>
  </w:style>
  <w:style w:type="character" w:styleId="Enfasicorsivo">
    <w:name w:val="Emphasis"/>
    <w:basedOn w:val="Carpredefinitoparagrafo"/>
    <w:uiPriority w:val="20"/>
    <w:qFormat/>
    <w:rsid w:val="00E04BB5"/>
    <w:rPr>
      <w:b/>
      <w:bCs/>
      <w:i w:val="0"/>
      <w:iCs w:val="0"/>
    </w:rPr>
  </w:style>
  <w:style w:type="character" w:customStyle="1" w:styleId="st1">
    <w:name w:val="st1"/>
    <w:basedOn w:val="Carpredefinitoparagrafo"/>
    <w:rsid w:val="00E04BB5"/>
  </w:style>
  <w:style w:type="paragraph" w:customStyle="1" w:styleId="entry-meta">
    <w:name w:val="entry-meta"/>
    <w:basedOn w:val="Normale"/>
    <w:rsid w:val="00E04BB5"/>
    <w:pPr>
      <w:spacing w:after="360" w:line="240" w:lineRule="auto"/>
    </w:pPr>
    <w:rPr>
      <w:rFonts w:ascii="Times New Roman" w:eastAsia="Times New Roman" w:hAnsi="Times New Roman" w:cs="Times New Roman"/>
      <w:color w:val="999999"/>
      <w:sz w:val="24"/>
      <w:szCs w:val="24"/>
    </w:rPr>
  </w:style>
  <w:style w:type="character" w:customStyle="1" w:styleId="entry-author">
    <w:name w:val="entry-author"/>
    <w:basedOn w:val="Carpredefinitoparagrafo"/>
    <w:rsid w:val="00E04BB5"/>
  </w:style>
  <w:style w:type="character" w:customStyle="1" w:styleId="entry-author-name">
    <w:name w:val="entry-author-name"/>
    <w:basedOn w:val="Carpredefinitoparagrafo"/>
    <w:rsid w:val="00E04BB5"/>
  </w:style>
  <w:style w:type="character" w:customStyle="1" w:styleId="nlmarticle-title">
    <w:name w:val="nlm_article-title"/>
    <w:basedOn w:val="Carpredefinitoparagrafo"/>
    <w:rsid w:val="00E04BB5"/>
  </w:style>
  <w:style w:type="character" w:customStyle="1" w:styleId="atflatcounter">
    <w:name w:val="at_flat_counter"/>
    <w:basedOn w:val="Carpredefinitoparagrafo"/>
    <w:rsid w:val="00E04BB5"/>
  </w:style>
  <w:style w:type="paragraph" w:customStyle="1" w:styleId="author">
    <w:name w:val="author"/>
    <w:basedOn w:val="Normale"/>
    <w:rsid w:val="00E04B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heading">
    <w:name w:val="sub-title-heading"/>
    <w:basedOn w:val="Carpredefinitoparagrafo"/>
    <w:rsid w:val="00E04BB5"/>
  </w:style>
  <w:style w:type="character" w:customStyle="1" w:styleId="marquage">
    <w:name w:val="marquage"/>
    <w:basedOn w:val="Carpredefinitoparagrafo"/>
    <w:rsid w:val="00E04BB5"/>
  </w:style>
  <w:style w:type="paragraph" w:styleId="PreformattatoHTML">
    <w:name w:val="HTML Preformatted"/>
    <w:basedOn w:val="Normale"/>
    <w:link w:val="PreformattatoHTMLCarattere"/>
    <w:uiPriority w:val="99"/>
    <w:unhideWhenUsed/>
    <w:rsid w:val="00E0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E04BB5"/>
    <w:rPr>
      <w:rFonts w:ascii="Courier New" w:hAnsi="Courier New" w:cs="Courier New"/>
      <w:sz w:val="20"/>
      <w:szCs w:val="20"/>
      <w:lang w:val="en-GB" w:eastAsia="en-GB"/>
    </w:rPr>
  </w:style>
  <w:style w:type="paragraph" w:customStyle="1" w:styleId="Default">
    <w:name w:val="Default"/>
    <w:rsid w:val="00E04BB5"/>
    <w:pPr>
      <w:autoSpaceDE w:val="0"/>
      <w:autoSpaceDN w:val="0"/>
      <w:adjustRightInd w:val="0"/>
      <w:spacing w:after="0" w:line="240" w:lineRule="auto"/>
    </w:pPr>
    <w:rPr>
      <w:rFonts w:ascii="Myriad Pro" w:eastAsiaTheme="minorEastAsia" w:hAnsi="Myriad Pro" w:cs="Myriad Pro"/>
      <w:color w:val="000000"/>
      <w:sz w:val="24"/>
      <w:szCs w:val="24"/>
      <w:lang w:val="en-GB" w:eastAsia="it-IT"/>
    </w:rPr>
  </w:style>
  <w:style w:type="paragraph" w:styleId="Didascalia">
    <w:name w:val="caption"/>
    <w:basedOn w:val="Normale"/>
    <w:next w:val="Normale"/>
    <w:uiPriority w:val="35"/>
    <w:unhideWhenUsed/>
    <w:qFormat/>
    <w:rsid w:val="00E04BB5"/>
    <w:pPr>
      <w:spacing w:line="240" w:lineRule="auto"/>
    </w:pPr>
    <w:rPr>
      <w:b/>
      <w:bCs/>
      <w:color w:val="4472C4" w:themeColor="accent1"/>
      <w:sz w:val="18"/>
      <w:szCs w:val="18"/>
    </w:rPr>
  </w:style>
  <w:style w:type="character" w:customStyle="1" w:styleId="css-1y6i96q-wordgriditembox">
    <w:name w:val="css-1y6i96q-wordgriditembox"/>
    <w:basedOn w:val="Carpredefinitoparagrafo"/>
    <w:rsid w:val="00E04BB5"/>
  </w:style>
  <w:style w:type="paragraph" w:styleId="Testonormale">
    <w:name w:val="Plain Text"/>
    <w:basedOn w:val="Normale"/>
    <w:link w:val="TestonormaleCarattere"/>
    <w:uiPriority w:val="99"/>
    <w:rsid w:val="00E04BB5"/>
    <w:pPr>
      <w:spacing w:after="0" w:line="240" w:lineRule="auto"/>
    </w:pPr>
    <w:rPr>
      <w:rFonts w:ascii="Courier New" w:eastAsia="Times New Roman" w:hAnsi="Courier New" w:cs="Courier New"/>
      <w:sz w:val="20"/>
      <w:szCs w:val="20"/>
      <w:lang w:val="en-GB"/>
    </w:rPr>
  </w:style>
  <w:style w:type="character" w:customStyle="1" w:styleId="TestonormaleCarattere">
    <w:name w:val="Testo normale Carattere"/>
    <w:basedOn w:val="Carpredefinitoparagrafo"/>
    <w:link w:val="Testonormale"/>
    <w:uiPriority w:val="99"/>
    <w:rsid w:val="00E04BB5"/>
    <w:rPr>
      <w:rFonts w:ascii="Courier New" w:hAnsi="Courier New" w:cs="Courier New"/>
      <w:sz w:val="20"/>
      <w:szCs w:val="20"/>
      <w:lang w:val="en-GB" w:eastAsia="it-IT"/>
    </w:rPr>
  </w:style>
  <w:style w:type="paragraph" w:styleId="Nessunaspaziatura">
    <w:name w:val="No Spacing"/>
    <w:uiPriority w:val="1"/>
    <w:qFormat/>
    <w:rsid w:val="00E04BB5"/>
    <w:pPr>
      <w:spacing w:after="0" w:line="240" w:lineRule="auto"/>
    </w:pPr>
    <w:rPr>
      <w:rFonts w:eastAsiaTheme="minorEastAsia"/>
      <w:lang w:val="it-IT" w:eastAsia="it-IT"/>
    </w:rPr>
  </w:style>
  <w:style w:type="character" w:customStyle="1" w:styleId="a-size-extra-large">
    <w:name w:val="a-size-extra-large"/>
    <w:basedOn w:val="Carpredefinitoparagrafo"/>
    <w:rsid w:val="00E04BB5"/>
  </w:style>
  <w:style w:type="character" w:customStyle="1" w:styleId="title-text">
    <w:name w:val="title-text"/>
    <w:basedOn w:val="Carpredefinitoparagrafo"/>
    <w:rsid w:val="00E04BB5"/>
  </w:style>
  <w:style w:type="character" w:customStyle="1" w:styleId="ellipses">
    <w:name w:val="ellipses"/>
    <w:basedOn w:val="Carpredefinitoparagrafo"/>
    <w:rsid w:val="00E04BB5"/>
  </w:style>
  <w:style w:type="character" w:customStyle="1" w:styleId="hlfld-title">
    <w:name w:val="hlfld-title"/>
    <w:basedOn w:val="Carpredefinitoparagrafo"/>
    <w:rsid w:val="00CD3D6C"/>
  </w:style>
  <w:style w:type="character" w:customStyle="1" w:styleId="hlfld-contribauthor">
    <w:name w:val="hlfld-contribauthor"/>
    <w:basedOn w:val="Carpredefinitoparagrafo"/>
    <w:rsid w:val="00CD3D6C"/>
  </w:style>
  <w:style w:type="paragraph" w:customStyle="1" w:styleId="metaepubdate">
    <w:name w:val="meta__epubdate"/>
    <w:basedOn w:val="Normale"/>
    <w:rsid w:val="00CD3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degrees">
    <w:name w:val="contribdegrees"/>
    <w:basedOn w:val="Carpredefinitoparagrafo"/>
    <w:rsid w:val="002D0FBC"/>
  </w:style>
  <w:style w:type="character" w:customStyle="1" w:styleId="a-size-large">
    <w:name w:val="a-size-large"/>
    <w:basedOn w:val="Carpredefinitoparagrafo"/>
    <w:rsid w:val="002D0FBC"/>
  </w:style>
  <w:style w:type="character" w:customStyle="1" w:styleId="a-color-secondary">
    <w:name w:val="a-color-secondary"/>
    <w:basedOn w:val="Carpredefinitoparagrafo"/>
    <w:rsid w:val="002D0FBC"/>
  </w:style>
  <w:style w:type="character" w:customStyle="1" w:styleId="UnresolvedMention">
    <w:name w:val="Unresolved Mention"/>
    <w:basedOn w:val="Carpredefinitoparagrafo"/>
    <w:uiPriority w:val="99"/>
    <w:semiHidden/>
    <w:unhideWhenUsed/>
    <w:rsid w:val="002B16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Preferred Format"/>
    <w:qFormat/>
    <w:rsid w:val="00E04BB5"/>
    <w:pPr>
      <w:spacing w:after="200" w:line="276" w:lineRule="auto"/>
    </w:pPr>
    <w:rPr>
      <w:rFonts w:eastAsiaTheme="minorEastAsia"/>
      <w:lang w:val="it-IT" w:eastAsia="it-IT"/>
    </w:rPr>
  </w:style>
  <w:style w:type="paragraph" w:styleId="Titolo1">
    <w:name w:val="heading 1"/>
    <w:aliases w:val="Transcript Speaker Heading"/>
    <w:basedOn w:val="Normale"/>
    <w:next w:val="Normale"/>
    <w:link w:val="Titolo1Carattere"/>
    <w:autoRedefine/>
    <w:uiPriority w:val="9"/>
    <w:qFormat/>
    <w:rsid w:val="004272AE"/>
    <w:pPr>
      <w:spacing w:before="120" w:after="120" w:line="320" w:lineRule="auto"/>
      <w:contextualSpacing/>
      <w:jc w:val="both"/>
      <w:outlineLvl w:val="0"/>
    </w:pPr>
    <w:rPr>
      <w:rFonts w:eastAsia="Palatino" w:cstheme="minorHAnsi"/>
      <w:i/>
      <w:color w:val="000000" w:themeColor="text1"/>
      <w:sz w:val="24"/>
      <w:szCs w:val="24"/>
      <w:lang w:val="en-GB"/>
    </w:rPr>
  </w:style>
  <w:style w:type="paragraph" w:styleId="Titolo2">
    <w:name w:val="heading 2"/>
    <w:basedOn w:val="Normale"/>
    <w:next w:val="Normale"/>
    <w:link w:val="Titolo2Carattere"/>
    <w:uiPriority w:val="9"/>
    <w:unhideWhenUsed/>
    <w:qFormat/>
    <w:rsid w:val="00E04B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ranscript Speaker Heading Carattere"/>
    <w:basedOn w:val="Carpredefinitoparagrafo"/>
    <w:link w:val="Titolo1"/>
    <w:uiPriority w:val="9"/>
    <w:rsid w:val="004272AE"/>
    <w:rPr>
      <w:rFonts w:eastAsia="Palatino" w:cstheme="minorHAnsi"/>
      <w:i/>
      <w:color w:val="000000" w:themeColor="text1"/>
      <w:sz w:val="24"/>
      <w:szCs w:val="24"/>
      <w:lang w:val="en-GB" w:eastAsia="it-IT"/>
    </w:rPr>
  </w:style>
  <w:style w:type="character" w:customStyle="1" w:styleId="Titolo2Carattere">
    <w:name w:val="Titolo 2 Carattere"/>
    <w:basedOn w:val="Carpredefinitoparagrafo"/>
    <w:link w:val="Titolo2"/>
    <w:uiPriority w:val="9"/>
    <w:rsid w:val="00E04BB5"/>
    <w:rPr>
      <w:rFonts w:asciiTheme="majorHAnsi" w:eastAsiaTheme="majorEastAsia" w:hAnsiTheme="majorHAnsi" w:cstheme="majorBidi"/>
      <w:color w:val="2F5496" w:themeColor="accent1" w:themeShade="BF"/>
      <w:sz w:val="26"/>
      <w:szCs w:val="26"/>
      <w:lang w:val="it-IT" w:eastAsia="it-IT"/>
    </w:rPr>
  </w:style>
  <w:style w:type="paragraph" w:styleId="Intestazione">
    <w:name w:val="header"/>
    <w:basedOn w:val="Normale"/>
    <w:link w:val="IntestazioneCarattere"/>
    <w:uiPriority w:val="99"/>
    <w:unhideWhenUsed/>
    <w:rsid w:val="00E04B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4BB5"/>
    <w:rPr>
      <w:rFonts w:eastAsiaTheme="minorEastAsia"/>
      <w:lang w:val="it-IT" w:eastAsia="it-IT"/>
    </w:rPr>
  </w:style>
  <w:style w:type="paragraph" w:styleId="Pidipagina">
    <w:name w:val="footer"/>
    <w:basedOn w:val="Normale"/>
    <w:link w:val="PidipaginaCarattere"/>
    <w:uiPriority w:val="99"/>
    <w:unhideWhenUsed/>
    <w:rsid w:val="00E04B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4BB5"/>
    <w:rPr>
      <w:rFonts w:eastAsiaTheme="minorEastAsia"/>
      <w:lang w:val="it-IT" w:eastAsia="it-IT"/>
    </w:rPr>
  </w:style>
  <w:style w:type="paragraph" w:styleId="Testofumetto">
    <w:name w:val="Balloon Text"/>
    <w:basedOn w:val="Normale"/>
    <w:link w:val="TestofumettoCarattere"/>
    <w:uiPriority w:val="99"/>
    <w:semiHidden/>
    <w:unhideWhenUsed/>
    <w:rsid w:val="00E04B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4BB5"/>
    <w:rPr>
      <w:rFonts w:ascii="Tahoma" w:eastAsiaTheme="minorEastAsia" w:hAnsi="Tahoma" w:cs="Tahoma"/>
      <w:sz w:val="16"/>
      <w:szCs w:val="16"/>
      <w:lang w:val="it-IT" w:eastAsia="it-IT"/>
    </w:rPr>
  </w:style>
  <w:style w:type="paragraph" w:styleId="Paragrafoelenco">
    <w:name w:val="List Paragraph"/>
    <w:basedOn w:val="Normale"/>
    <w:uiPriority w:val="34"/>
    <w:qFormat/>
    <w:rsid w:val="00E04BB5"/>
    <w:pPr>
      <w:ind w:left="720"/>
      <w:contextualSpacing/>
    </w:pPr>
  </w:style>
  <w:style w:type="character" w:styleId="Rimandonotaapidipagina">
    <w:name w:val="footnote reference"/>
    <w:basedOn w:val="Carpredefinitoparagrafo"/>
    <w:uiPriority w:val="99"/>
    <w:semiHidden/>
    <w:unhideWhenUsed/>
    <w:rsid w:val="00E04BB5"/>
    <w:rPr>
      <w:vertAlign w:val="superscript"/>
    </w:rPr>
  </w:style>
  <w:style w:type="paragraph" w:styleId="Testonotaapidipagina">
    <w:name w:val="footnote text"/>
    <w:basedOn w:val="Normale"/>
    <w:link w:val="TestonotaapidipaginaCarattere"/>
    <w:uiPriority w:val="99"/>
    <w:semiHidden/>
    <w:unhideWhenUsed/>
    <w:rsid w:val="00E04BB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04BB5"/>
    <w:rPr>
      <w:rFonts w:eastAsiaTheme="minorEastAsia"/>
      <w:sz w:val="20"/>
      <w:szCs w:val="20"/>
      <w:lang w:val="it-IT" w:eastAsia="it-IT"/>
    </w:rPr>
  </w:style>
  <w:style w:type="character" w:styleId="Rimandocommento">
    <w:name w:val="annotation reference"/>
    <w:basedOn w:val="Carpredefinitoparagrafo"/>
    <w:uiPriority w:val="99"/>
    <w:semiHidden/>
    <w:unhideWhenUsed/>
    <w:rsid w:val="00E04BB5"/>
    <w:rPr>
      <w:sz w:val="16"/>
      <w:szCs w:val="16"/>
    </w:rPr>
  </w:style>
  <w:style w:type="paragraph" w:styleId="Testocommento">
    <w:name w:val="annotation text"/>
    <w:basedOn w:val="Normale"/>
    <w:link w:val="TestocommentoCarattere"/>
    <w:uiPriority w:val="99"/>
    <w:unhideWhenUsed/>
    <w:rsid w:val="00E04BB5"/>
    <w:pPr>
      <w:spacing w:line="240" w:lineRule="auto"/>
    </w:pPr>
    <w:rPr>
      <w:sz w:val="20"/>
      <w:szCs w:val="20"/>
    </w:rPr>
  </w:style>
  <w:style w:type="character" w:customStyle="1" w:styleId="TestocommentoCarattere">
    <w:name w:val="Testo commento Carattere"/>
    <w:basedOn w:val="Carpredefinitoparagrafo"/>
    <w:link w:val="Testocommento"/>
    <w:uiPriority w:val="99"/>
    <w:rsid w:val="00E04BB5"/>
    <w:rPr>
      <w:rFonts w:eastAsiaTheme="minorEastAsia"/>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E04BB5"/>
    <w:rPr>
      <w:b/>
      <w:bCs/>
    </w:rPr>
  </w:style>
  <w:style w:type="character" w:customStyle="1" w:styleId="SoggettocommentoCarattere">
    <w:name w:val="Soggetto commento Carattere"/>
    <w:basedOn w:val="TestocommentoCarattere"/>
    <w:link w:val="Soggettocommento"/>
    <w:uiPriority w:val="99"/>
    <w:semiHidden/>
    <w:rsid w:val="00E04BB5"/>
    <w:rPr>
      <w:rFonts w:eastAsiaTheme="minorEastAsia"/>
      <w:b/>
      <w:bCs/>
      <w:sz w:val="20"/>
      <w:szCs w:val="20"/>
      <w:lang w:val="it-IT" w:eastAsia="it-IT"/>
    </w:rPr>
  </w:style>
  <w:style w:type="character" w:styleId="Collegamentoipertestuale">
    <w:name w:val="Hyperlink"/>
    <w:basedOn w:val="Carpredefinitoparagrafo"/>
    <w:uiPriority w:val="99"/>
    <w:unhideWhenUsed/>
    <w:rsid w:val="00E04BB5"/>
    <w:rPr>
      <w:strike w:val="0"/>
      <w:dstrike w:val="0"/>
      <w:color w:val="2D4E8B"/>
      <w:u w:val="none"/>
      <w:effect w:val="none"/>
      <w:shd w:val="clear" w:color="auto" w:fill="auto"/>
    </w:rPr>
  </w:style>
  <w:style w:type="character" w:styleId="Enfasigrassetto">
    <w:name w:val="Strong"/>
    <w:basedOn w:val="Carpredefinitoparagrafo"/>
    <w:uiPriority w:val="22"/>
    <w:qFormat/>
    <w:rsid w:val="00E04BB5"/>
    <w:rPr>
      <w:b/>
      <w:bCs/>
    </w:rPr>
  </w:style>
  <w:style w:type="character" w:customStyle="1" w:styleId="definition-url">
    <w:name w:val="definition-url"/>
    <w:basedOn w:val="Carpredefinitoparagrafo"/>
    <w:rsid w:val="00E04BB5"/>
  </w:style>
  <w:style w:type="character" w:styleId="Enfasicorsivo">
    <w:name w:val="Emphasis"/>
    <w:basedOn w:val="Carpredefinitoparagrafo"/>
    <w:uiPriority w:val="20"/>
    <w:qFormat/>
    <w:rsid w:val="00E04BB5"/>
    <w:rPr>
      <w:b/>
      <w:bCs/>
      <w:i w:val="0"/>
      <w:iCs w:val="0"/>
    </w:rPr>
  </w:style>
  <w:style w:type="character" w:customStyle="1" w:styleId="st1">
    <w:name w:val="st1"/>
    <w:basedOn w:val="Carpredefinitoparagrafo"/>
    <w:rsid w:val="00E04BB5"/>
  </w:style>
  <w:style w:type="paragraph" w:customStyle="1" w:styleId="entry-meta">
    <w:name w:val="entry-meta"/>
    <w:basedOn w:val="Normale"/>
    <w:rsid w:val="00E04BB5"/>
    <w:pPr>
      <w:spacing w:after="360" w:line="240" w:lineRule="auto"/>
    </w:pPr>
    <w:rPr>
      <w:rFonts w:ascii="Times New Roman" w:eastAsia="Times New Roman" w:hAnsi="Times New Roman" w:cs="Times New Roman"/>
      <w:color w:val="999999"/>
      <w:sz w:val="24"/>
      <w:szCs w:val="24"/>
    </w:rPr>
  </w:style>
  <w:style w:type="character" w:customStyle="1" w:styleId="entry-author">
    <w:name w:val="entry-author"/>
    <w:basedOn w:val="Carpredefinitoparagrafo"/>
    <w:rsid w:val="00E04BB5"/>
  </w:style>
  <w:style w:type="character" w:customStyle="1" w:styleId="entry-author-name">
    <w:name w:val="entry-author-name"/>
    <w:basedOn w:val="Carpredefinitoparagrafo"/>
    <w:rsid w:val="00E04BB5"/>
  </w:style>
  <w:style w:type="character" w:customStyle="1" w:styleId="nlmarticle-title">
    <w:name w:val="nlm_article-title"/>
    <w:basedOn w:val="Carpredefinitoparagrafo"/>
    <w:rsid w:val="00E04BB5"/>
  </w:style>
  <w:style w:type="character" w:customStyle="1" w:styleId="atflatcounter">
    <w:name w:val="at_flat_counter"/>
    <w:basedOn w:val="Carpredefinitoparagrafo"/>
    <w:rsid w:val="00E04BB5"/>
  </w:style>
  <w:style w:type="paragraph" w:customStyle="1" w:styleId="author">
    <w:name w:val="author"/>
    <w:basedOn w:val="Normale"/>
    <w:rsid w:val="00E04B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heading">
    <w:name w:val="sub-title-heading"/>
    <w:basedOn w:val="Carpredefinitoparagrafo"/>
    <w:rsid w:val="00E04BB5"/>
  </w:style>
  <w:style w:type="character" w:customStyle="1" w:styleId="marquage">
    <w:name w:val="marquage"/>
    <w:basedOn w:val="Carpredefinitoparagrafo"/>
    <w:rsid w:val="00E04BB5"/>
  </w:style>
  <w:style w:type="paragraph" w:styleId="PreformattatoHTML">
    <w:name w:val="HTML Preformatted"/>
    <w:basedOn w:val="Normale"/>
    <w:link w:val="PreformattatoHTMLCarattere"/>
    <w:uiPriority w:val="99"/>
    <w:unhideWhenUsed/>
    <w:rsid w:val="00E04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basedOn w:val="Carpredefinitoparagrafo"/>
    <w:link w:val="PreformattatoHTML"/>
    <w:uiPriority w:val="99"/>
    <w:rsid w:val="00E04BB5"/>
    <w:rPr>
      <w:rFonts w:ascii="Courier New" w:hAnsi="Courier New" w:cs="Courier New"/>
      <w:sz w:val="20"/>
      <w:szCs w:val="20"/>
      <w:lang w:val="en-GB" w:eastAsia="en-GB"/>
    </w:rPr>
  </w:style>
  <w:style w:type="paragraph" w:customStyle="1" w:styleId="Default">
    <w:name w:val="Default"/>
    <w:rsid w:val="00E04BB5"/>
    <w:pPr>
      <w:autoSpaceDE w:val="0"/>
      <w:autoSpaceDN w:val="0"/>
      <w:adjustRightInd w:val="0"/>
      <w:spacing w:after="0" w:line="240" w:lineRule="auto"/>
    </w:pPr>
    <w:rPr>
      <w:rFonts w:ascii="Myriad Pro" w:eastAsiaTheme="minorEastAsia" w:hAnsi="Myriad Pro" w:cs="Myriad Pro"/>
      <w:color w:val="000000"/>
      <w:sz w:val="24"/>
      <w:szCs w:val="24"/>
      <w:lang w:val="en-GB" w:eastAsia="it-IT"/>
    </w:rPr>
  </w:style>
  <w:style w:type="paragraph" w:styleId="Didascalia">
    <w:name w:val="caption"/>
    <w:basedOn w:val="Normale"/>
    <w:next w:val="Normale"/>
    <w:uiPriority w:val="35"/>
    <w:unhideWhenUsed/>
    <w:qFormat/>
    <w:rsid w:val="00E04BB5"/>
    <w:pPr>
      <w:spacing w:line="240" w:lineRule="auto"/>
    </w:pPr>
    <w:rPr>
      <w:b/>
      <w:bCs/>
      <w:color w:val="4472C4" w:themeColor="accent1"/>
      <w:sz w:val="18"/>
      <w:szCs w:val="18"/>
    </w:rPr>
  </w:style>
  <w:style w:type="character" w:customStyle="1" w:styleId="css-1y6i96q-wordgriditembox">
    <w:name w:val="css-1y6i96q-wordgriditembox"/>
    <w:basedOn w:val="Carpredefinitoparagrafo"/>
    <w:rsid w:val="00E04BB5"/>
  </w:style>
  <w:style w:type="paragraph" w:styleId="Testonormale">
    <w:name w:val="Plain Text"/>
    <w:basedOn w:val="Normale"/>
    <w:link w:val="TestonormaleCarattere"/>
    <w:uiPriority w:val="99"/>
    <w:rsid w:val="00E04BB5"/>
    <w:pPr>
      <w:spacing w:after="0" w:line="240" w:lineRule="auto"/>
    </w:pPr>
    <w:rPr>
      <w:rFonts w:ascii="Courier New" w:eastAsia="Times New Roman" w:hAnsi="Courier New" w:cs="Courier New"/>
      <w:sz w:val="20"/>
      <w:szCs w:val="20"/>
      <w:lang w:val="en-GB"/>
    </w:rPr>
  </w:style>
  <w:style w:type="character" w:customStyle="1" w:styleId="TestonormaleCarattere">
    <w:name w:val="Testo normale Carattere"/>
    <w:basedOn w:val="Carpredefinitoparagrafo"/>
    <w:link w:val="Testonormale"/>
    <w:uiPriority w:val="99"/>
    <w:rsid w:val="00E04BB5"/>
    <w:rPr>
      <w:rFonts w:ascii="Courier New" w:hAnsi="Courier New" w:cs="Courier New"/>
      <w:sz w:val="20"/>
      <w:szCs w:val="20"/>
      <w:lang w:val="en-GB" w:eastAsia="it-IT"/>
    </w:rPr>
  </w:style>
  <w:style w:type="paragraph" w:styleId="Nessunaspaziatura">
    <w:name w:val="No Spacing"/>
    <w:uiPriority w:val="1"/>
    <w:qFormat/>
    <w:rsid w:val="00E04BB5"/>
    <w:pPr>
      <w:spacing w:after="0" w:line="240" w:lineRule="auto"/>
    </w:pPr>
    <w:rPr>
      <w:rFonts w:eastAsiaTheme="minorEastAsia"/>
      <w:lang w:val="it-IT" w:eastAsia="it-IT"/>
    </w:rPr>
  </w:style>
  <w:style w:type="character" w:customStyle="1" w:styleId="a-size-extra-large">
    <w:name w:val="a-size-extra-large"/>
    <w:basedOn w:val="Carpredefinitoparagrafo"/>
    <w:rsid w:val="00E04BB5"/>
  </w:style>
  <w:style w:type="character" w:customStyle="1" w:styleId="title-text">
    <w:name w:val="title-text"/>
    <w:basedOn w:val="Carpredefinitoparagrafo"/>
    <w:rsid w:val="00E04BB5"/>
  </w:style>
  <w:style w:type="character" w:customStyle="1" w:styleId="ellipses">
    <w:name w:val="ellipses"/>
    <w:basedOn w:val="Carpredefinitoparagrafo"/>
    <w:rsid w:val="00E04BB5"/>
  </w:style>
  <w:style w:type="character" w:customStyle="1" w:styleId="hlfld-title">
    <w:name w:val="hlfld-title"/>
    <w:basedOn w:val="Carpredefinitoparagrafo"/>
    <w:rsid w:val="00CD3D6C"/>
  </w:style>
  <w:style w:type="character" w:customStyle="1" w:styleId="hlfld-contribauthor">
    <w:name w:val="hlfld-contribauthor"/>
    <w:basedOn w:val="Carpredefinitoparagrafo"/>
    <w:rsid w:val="00CD3D6C"/>
  </w:style>
  <w:style w:type="paragraph" w:customStyle="1" w:styleId="metaepubdate">
    <w:name w:val="meta__epubdate"/>
    <w:basedOn w:val="Normale"/>
    <w:rsid w:val="00CD3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degrees">
    <w:name w:val="contribdegrees"/>
    <w:basedOn w:val="Carpredefinitoparagrafo"/>
    <w:rsid w:val="002D0FBC"/>
  </w:style>
  <w:style w:type="character" w:customStyle="1" w:styleId="a-size-large">
    <w:name w:val="a-size-large"/>
    <w:basedOn w:val="Carpredefinitoparagrafo"/>
    <w:rsid w:val="002D0FBC"/>
  </w:style>
  <w:style w:type="character" w:customStyle="1" w:styleId="a-color-secondary">
    <w:name w:val="a-color-secondary"/>
    <w:basedOn w:val="Carpredefinitoparagrafo"/>
    <w:rsid w:val="002D0FBC"/>
  </w:style>
  <w:style w:type="character" w:customStyle="1" w:styleId="UnresolvedMention">
    <w:name w:val="Unresolved Mention"/>
    <w:basedOn w:val="Carpredefinitoparagrafo"/>
    <w:uiPriority w:val="99"/>
    <w:semiHidden/>
    <w:unhideWhenUsed/>
    <w:rsid w:val="002B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622">
      <w:bodyDiv w:val="1"/>
      <w:marLeft w:val="0"/>
      <w:marRight w:val="0"/>
      <w:marTop w:val="0"/>
      <w:marBottom w:val="0"/>
      <w:divBdr>
        <w:top w:val="none" w:sz="0" w:space="0" w:color="auto"/>
        <w:left w:val="none" w:sz="0" w:space="0" w:color="auto"/>
        <w:bottom w:val="none" w:sz="0" w:space="0" w:color="auto"/>
        <w:right w:val="none" w:sz="0" w:space="0" w:color="auto"/>
      </w:divBdr>
    </w:div>
    <w:div w:id="253901454">
      <w:bodyDiv w:val="1"/>
      <w:marLeft w:val="0"/>
      <w:marRight w:val="0"/>
      <w:marTop w:val="0"/>
      <w:marBottom w:val="0"/>
      <w:divBdr>
        <w:top w:val="none" w:sz="0" w:space="0" w:color="auto"/>
        <w:left w:val="none" w:sz="0" w:space="0" w:color="auto"/>
        <w:bottom w:val="none" w:sz="0" w:space="0" w:color="auto"/>
        <w:right w:val="none" w:sz="0" w:space="0" w:color="auto"/>
      </w:divBdr>
      <w:divsChild>
        <w:div w:id="1166627604">
          <w:marLeft w:val="0"/>
          <w:marRight w:val="0"/>
          <w:marTop w:val="0"/>
          <w:marBottom w:val="150"/>
          <w:divBdr>
            <w:top w:val="none" w:sz="0" w:space="0" w:color="auto"/>
            <w:left w:val="none" w:sz="0" w:space="0" w:color="auto"/>
            <w:bottom w:val="none" w:sz="0" w:space="0" w:color="auto"/>
            <w:right w:val="none" w:sz="0" w:space="0" w:color="auto"/>
          </w:divBdr>
        </w:div>
        <w:div w:id="1109006384">
          <w:marLeft w:val="0"/>
          <w:marRight w:val="0"/>
          <w:marTop w:val="0"/>
          <w:marBottom w:val="225"/>
          <w:divBdr>
            <w:top w:val="none" w:sz="0" w:space="0" w:color="auto"/>
            <w:left w:val="none" w:sz="0" w:space="0" w:color="auto"/>
            <w:bottom w:val="none" w:sz="0" w:space="0" w:color="auto"/>
            <w:right w:val="none" w:sz="0" w:space="0" w:color="auto"/>
          </w:divBdr>
          <w:divsChild>
            <w:div w:id="1438403748">
              <w:marLeft w:val="0"/>
              <w:marRight w:val="0"/>
              <w:marTop w:val="0"/>
              <w:marBottom w:val="0"/>
              <w:divBdr>
                <w:top w:val="none" w:sz="0" w:space="0" w:color="auto"/>
                <w:left w:val="none" w:sz="0" w:space="0" w:color="auto"/>
                <w:bottom w:val="none" w:sz="0" w:space="0" w:color="auto"/>
                <w:right w:val="none" w:sz="0" w:space="0" w:color="auto"/>
              </w:divBdr>
              <w:divsChild>
                <w:div w:id="986202471">
                  <w:marLeft w:val="0"/>
                  <w:marRight w:val="0"/>
                  <w:marTop w:val="0"/>
                  <w:marBottom w:val="75"/>
                  <w:divBdr>
                    <w:top w:val="none" w:sz="0" w:space="0" w:color="auto"/>
                    <w:left w:val="none" w:sz="0" w:space="0" w:color="auto"/>
                    <w:bottom w:val="none" w:sz="0" w:space="0" w:color="auto"/>
                    <w:right w:val="none" w:sz="0" w:space="0" w:color="auto"/>
                  </w:divBdr>
                </w:div>
                <w:div w:id="40518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62829009">
      <w:bodyDiv w:val="1"/>
      <w:marLeft w:val="0"/>
      <w:marRight w:val="0"/>
      <w:marTop w:val="0"/>
      <w:marBottom w:val="0"/>
      <w:divBdr>
        <w:top w:val="none" w:sz="0" w:space="0" w:color="auto"/>
        <w:left w:val="none" w:sz="0" w:space="0" w:color="auto"/>
        <w:bottom w:val="none" w:sz="0" w:space="0" w:color="auto"/>
        <w:right w:val="none" w:sz="0" w:space="0" w:color="auto"/>
      </w:divBdr>
    </w:div>
    <w:div w:id="381950448">
      <w:bodyDiv w:val="1"/>
      <w:marLeft w:val="0"/>
      <w:marRight w:val="0"/>
      <w:marTop w:val="0"/>
      <w:marBottom w:val="0"/>
      <w:divBdr>
        <w:top w:val="none" w:sz="0" w:space="0" w:color="auto"/>
        <w:left w:val="none" w:sz="0" w:space="0" w:color="auto"/>
        <w:bottom w:val="none" w:sz="0" w:space="0" w:color="auto"/>
        <w:right w:val="none" w:sz="0" w:space="0" w:color="auto"/>
      </w:divBdr>
    </w:div>
    <w:div w:id="762720614">
      <w:bodyDiv w:val="1"/>
      <w:marLeft w:val="0"/>
      <w:marRight w:val="0"/>
      <w:marTop w:val="0"/>
      <w:marBottom w:val="0"/>
      <w:divBdr>
        <w:top w:val="none" w:sz="0" w:space="0" w:color="auto"/>
        <w:left w:val="none" w:sz="0" w:space="0" w:color="auto"/>
        <w:bottom w:val="none" w:sz="0" w:space="0" w:color="auto"/>
        <w:right w:val="none" w:sz="0" w:space="0" w:color="auto"/>
      </w:divBdr>
      <w:divsChild>
        <w:div w:id="1488203076">
          <w:marLeft w:val="0"/>
          <w:marRight w:val="0"/>
          <w:marTop w:val="0"/>
          <w:marBottom w:val="0"/>
          <w:divBdr>
            <w:top w:val="none" w:sz="0" w:space="0" w:color="auto"/>
            <w:left w:val="none" w:sz="0" w:space="0" w:color="auto"/>
            <w:bottom w:val="none" w:sz="0" w:space="0" w:color="auto"/>
            <w:right w:val="none" w:sz="0" w:space="0" w:color="auto"/>
          </w:divBdr>
          <w:divsChild>
            <w:div w:id="1868713361">
              <w:marLeft w:val="0"/>
              <w:marRight w:val="0"/>
              <w:marTop w:val="0"/>
              <w:marBottom w:val="0"/>
              <w:divBdr>
                <w:top w:val="none" w:sz="0" w:space="0" w:color="auto"/>
                <w:left w:val="none" w:sz="0" w:space="0" w:color="auto"/>
                <w:bottom w:val="none" w:sz="0" w:space="0" w:color="auto"/>
                <w:right w:val="none" w:sz="0" w:space="0" w:color="auto"/>
              </w:divBdr>
            </w:div>
          </w:divsChild>
        </w:div>
        <w:div w:id="605574852">
          <w:marLeft w:val="0"/>
          <w:marRight w:val="0"/>
          <w:marTop w:val="0"/>
          <w:marBottom w:val="0"/>
          <w:divBdr>
            <w:top w:val="none" w:sz="0" w:space="0" w:color="auto"/>
            <w:left w:val="none" w:sz="0" w:space="0" w:color="auto"/>
            <w:bottom w:val="none" w:sz="0" w:space="0" w:color="auto"/>
            <w:right w:val="none" w:sz="0" w:space="0" w:color="auto"/>
          </w:divBdr>
          <w:divsChild>
            <w:div w:id="7414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1044">
      <w:bodyDiv w:val="1"/>
      <w:marLeft w:val="0"/>
      <w:marRight w:val="0"/>
      <w:marTop w:val="0"/>
      <w:marBottom w:val="0"/>
      <w:divBdr>
        <w:top w:val="none" w:sz="0" w:space="0" w:color="auto"/>
        <w:left w:val="none" w:sz="0" w:space="0" w:color="auto"/>
        <w:bottom w:val="none" w:sz="0" w:space="0" w:color="auto"/>
        <w:right w:val="none" w:sz="0" w:space="0" w:color="auto"/>
      </w:divBdr>
    </w:div>
    <w:div w:id="1225141198">
      <w:bodyDiv w:val="1"/>
      <w:marLeft w:val="0"/>
      <w:marRight w:val="0"/>
      <w:marTop w:val="0"/>
      <w:marBottom w:val="0"/>
      <w:divBdr>
        <w:top w:val="none" w:sz="0" w:space="0" w:color="auto"/>
        <w:left w:val="none" w:sz="0" w:space="0" w:color="auto"/>
        <w:bottom w:val="none" w:sz="0" w:space="0" w:color="auto"/>
        <w:right w:val="none" w:sz="0" w:space="0" w:color="auto"/>
      </w:divBdr>
    </w:div>
    <w:div w:id="1250390739">
      <w:bodyDiv w:val="1"/>
      <w:marLeft w:val="0"/>
      <w:marRight w:val="0"/>
      <w:marTop w:val="0"/>
      <w:marBottom w:val="0"/>
      <w:divBdr>
        <w:top w:val="none" w:sz="0" w:space="0" w:color="auto"/>
        <w:left w:val="none" w:sz="0" w:space="0" w:color="auto"/>
        <w:bottom w:val="none" w:sz="0" w:space="0" w:color="auto"/>
        <w:right w:val="none" w:sz="0" w:space="0" w:color="auto"/>
      </w:divBdr>
      <w:divsChild>
        <w:div w:id="1729567898">
          <w:marLeft w:val="0"/>
          <w:marRight w:val="0"/>
          <w:marTop w:val="150"/>
          <w:marBottom w:val="150"/>
          <w:divBdr>
            <w:top w:val="none" w:sz="0" w:space="0" w:color="auto"/>
            <w:left w:val="none" w:sz="0" w:space="0" w:color="auto"/>
            <w:bottom w:val="none" w:sz="0" w:space="0" w:color="auto"/>
            <w:right w:val="none" w:sz="0" w:space="0" w:color="auto"/>
          </w:divBdr>
        </w:div>
      </w:divsChild>
    </w:div>
    <w:div w:id="1497958434">
      <w:bodyDiv w:val="1"/>
      <w:marLeft w:val="0"/>
      <w:marRight w:val="0"/>
      <w:marTop w:val="0"/>
      <w:marBottom w:val="0"/>
      <w:divBdr>
        <w:top w:val="none" w:sz="0" w:space="0" w:color="auto"/>
        <w:left w:val="none" w:sz="0" w:space="0" w:color="auto"/>
        <w:bottom w:val="none" w:sz="0" w:space="0" w:color="auto"/>
        <w:right w:val="none" w:sz="0" w:space="0" w:color="auto"/>
      </w:divBdr>
      <w:divsChild>
        <w:div w:id="1806042678">
          <w:marLeft w:val="0"/>
          <w:marRight w:val="0"/>
          <w:marTop w:val="0"/>
          <w:marBottom w:val="0"/>
          <w:divBdr>
            <w:top w:val="none" w:sz="0" w:space="0" w:color="auto"/>
            <w:left w:val="none" w:sz="0" w:space="0" w:color="auto"/>
            <w:bottom w:val="none" w:sz="0" w:space="0" w:color="auto"/>
            <w:right w:val="none" w:sz="0" w:space="0" w:color="auto"/>
          </w:divBdr>
          <w:divsChild>
            <w:div w:id="912617753">
              <w:marLeft w:val="0"/>
              <w:marRight w:val="0"/>
              <w:marTop w:val="0"/>
              <w:marBottom w:val="0"/>
              <w:divBdr>
                <w:top w:val="none" w:sz="0" w:space="0" w:color="auto"/>
                <w:left w:val="none" w:sz="0" w:space="0" w:color="auto"/>
                <w:bottom w:val="none" w:sz="0" w:space="0" w:color="auto"/>
                <w:right w:val="none" w:sz="0" w:space="0" w:color="auto"/>
              </w:divBdr>
            </w:div>
          </w:divsChild>
        </w:div>
        <w:div w:id="1693997551">
          <w:marLeft w:val="0"/>
          <w:marRight w:val="0"/>
          <w:marTop w:val="0"/>
          <w:marBottom w:val="150"/>
          <w:divBdr>
            <w:top w:val="none" w:sz="0" w:space="0" w:color="auto"/>
            <w:left w:val="none" w:sz="0" w:space="0" w:color="auto"/>
            <w:bottom w:val="none" w:sz="0" w:space="0" w:color="auto"/>
            <w:right w:val="none" w:sz="0" w:space="0" w:color="auto"/>
          </w:divBdr>
          <w:divsChild>
            <w:div w:id="292097241">
              <w:marLeft w:val="0"/>
              <w:marRight w:val="0"/>
              <w:marTop w:val="0"/>
              <w:marBottom w:val="0"/>
              <w:divBdr>
                <w:top w:val="none" w:sz="0" w:space="0" w:color="auto"/>
                <w:left w:val="none" w:sz="0" w:space="0" w:color="auto"/>
                <w:bottom w:val="none" w:sz="0" w:space="0" w:color="auto"/>
                <w:right w:val="none" w:sz="0" w:space="0" w:color="auto"/>
              </w:divBdr>
              <w:divsChild>
                <w:div w:id="1129319081">
                  <w:marLeft w:val="0"/>
                  <w:marRight w:val="0"/>
                  <w:marTop w:val="0"/>
                  <w:marBottom w:val="0"/>
                  <w:divBdr>
                    <w:top w:val="none" w:sz="0" w:space="0" w:color="auto"/>
                    <w:left w:val="none" w:sz="0" w:space="0" w:color="auto"/>
                    <w:bottom w:val="none" w:sz="0" w:space="0" w:color="auto"/>
                    <w:right w:val="none" w:sz="0" w:space="0" w:color="auto"/>
                  </w:divBdr>
                  <w:divsChild>
                    <w:div w:id="14700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3756">
      <w:bodyDiv w:val="1"/>
      <w:marLeft w:val="0"/>
      <w:marRight w:val="0"/>
      <w:marTop w:val="0"/>
      <w:marBottom w:val="0"/>
      <w:divBdr>
        <w:top w:val="none" w:sz="0" w:space="0" w:color="auto"/>
        <w:left w:val="none" w:sz="0" w:space="0" w:color="auto"/>
        <w:bottom w:val="none" w:sz="0" w:space="0" w:color="auto"/>
        <w:right w:val="none" w:sz="0" w:space="0" w:color="auto"/>
      </w:divBdr>
    </w:div>
    <w:div w:id="202836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conpapers.repec.org/article/oupoxecp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tente\Downloads\NY_MV.docx"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econpapers.repec.org/article/blaacctfi/" TargetMode="External"/><Relationship Id="rId23" Type="http://schemas.openxmlformats.org/officeDocument/2006/relationships/theme" Target="theme/theme1.xml"/><Relationship Id="rId10" Type="http://schemas.openxmlformats.org/officeDocument/2006/relationships/hyperlink" Target="https://izquotes.com/author/john-lennon"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s://izquotes.com/quote/john-lennon/new-york-is-what-paris-was-in-the-twenties-the-center-of-the-art-world-and-we-want-to-be-in-the-330365" TargetMode="External"/><Relationship Id="rId14" Type="http://schemas.openxmlformats.org/officeDocument/2006/relationships/hyperlink" Target="https://www.researchgate.net/scientific-contributions/Giselinde-Kuipers-2015404506?_sg%5B0%5D=9yXYgkrVITj4Gbf-RwZ9JEnpZWJvPRJr20qymUf7DJsuxEp23gGMJR0ZgpZhhWe2sn6B0Io.jJPBIXgv69p5WHQJ2prBqF8FnxJWcwBk6aiGXOPYLwg53Z9Lev4yPXBX6ItgLE67sgozKP7r_0wh-FI1qXrbiA&amp;_sg%5B1%5D=rGPaWxn-PmP84ztoJVYnQtDWoA8puJuv1HqhCnUwQDugL4QmmPtnO2380qgxs16LHHo3F00.hrdM5MfaHeJ_2J8Esy_c21jKp6eL1w8PYtkqlQsHuZJSD5gXYKY1wJnhS6Dl-YPND6E-MK5TNENi7sPXv0S0p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83B6B-2A21-4CF6-8431-BD7E5B60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6277</Words>
  <Characters>35779</Characters>
  <Application>Microsoft Office Word</Application>
  <DocSecurity>0</DocSecurity>
  <Lines>298</Lines>
  <Paragraphs>83</Paragraphs>
  <ScaleCrop>false</ScaleCrop>
  <HeadingPairs>
    <vt:vector size="8" baseType="variant">
      <vt:variant>
        <vt:lpstr>Titolo</vt:lpstr>
      </vt:variant>
      <vt:variant>
        <vt:i4>1</vt:i4>
      </vt:variant>
      <vt:variant>
        <vt:lpstr>Titre</vt:lpstr>
      </vt:variant>
      <vt:variant>
        <vt:i4>1</vt:i4>
      </vt:variant>
      <vt:variant>
        <vt:lpstr>Title</vt:lpstr>
      </vt:variant>
      <vt:variant>
        <vt:i4>1</vt:i4>
      </vt:variant>
      <vt:variant>
        <vt:lpstr>Headings</vt:lpstr>
      </vt:variant>
      <vt:variant>
        <vt:i4>2</vt:i4>
      </vt:variant>
    </vt:vector>
  </HeadingPairs>
  <TitlesOfParts>
    <vt:vector size="5" baseType="lpstr">
      <vt:lpstr/>
      <vt:lpstr/>
      <vt:lpstr/>
      <vt:lpstr>Vecco, M., and Zanola, R. (2017). Don’t let the easy be the enemy of the good. R</vt:lpstr>
      <vt:lpstr>Worthington, A., and Higgs, H. (2004), Art as an investment: risk, return and po</vt:lpstr>
    </vt:vector>
  </TitlesOfParts>
  <Company>Hewlett-Packard Company</Company>
  <LinksUpToDate>false</LinksUpToDate>
  <CharactersWithSpaces>41973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_</cp:lastModifiedBy>
  <cp:revision>7</cp:revision>
  <dcterms:created xsi:type="dcterms:W3CDTF">2021-05-17T07:39:00Z</dcterms:created>
  <dcterms:modified xsi:type="dcterms:W3CDTF">2021-05-17T08:42:00Z</dcterms:modified>
</cp:coreProperties>
</file>