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8FE2" w14:textId="21360269" w:rsidR="00027B37" w:rsidRDefault="00027B37" w:rsidP="002D6E85">
      <w:pPr>
        <w:pStyle w:val="Heading1"/>
        <w:ind w:left="0" w:firstLine="0"/>
        <w:rPr>
          <w:shd w:val="clear" w:color="auto" w:fill="FFFFFF"/>
        </w:rPr>
      </w:pPr>
      <w:r>
        <w:rPr>
          <w:shd w:val="clear" w:color="auto" w:fill="FFFFFF"/>
        </w:rPr>
        <w:t>Title</w:t>
      </w:r>
    </w:p>
    <w:p w14:paraId="312FE68F" w14:textId="759669D5" w:rsidR="00027B37" w:rsidRDefault="00170AC3" w:rsidP="002D6E85">
      <w:r>
        <w:t>A 2x2</w:t>
      </w:r>
      <w:r w:rsidR="00641580">
        <w:t xml:space="preserve"> randomised</w:t>
      </w:r>
      <w:r>
        <w:t xml:space="preserve"> factorial SWAT of the use of a pen and small, financial incentive to improve recruitment rates in a randomised controlled trial of </w:t>
      </w:r>
      <w:r w:rsidR="00CC5078">
        <w:t>yoga for</w:t>
      </w:r>
      <w:r>
        <w:t xml:space="preserve"> older adults with </w:t>
      </w:r>
      <w:proofErr w:type="gramStart"/>
      <w:r>
        <w:t>multimorbidity</w:t>
      </w:r>
      <w:proofErr w:type="gramEnd"/>
    </w:p>
    <w:p w14:paraId="22BD961E" w14:textId="7753BDD3" w:rsidR="00027B37" w:rsidRDefault="00027B37" w:rsidP="00027B37">
      <w:pPr>
        <w:pStyle w:val="Heading1"/>
      </w:pPr>
      <w:r>
        <w:t>Authors</w:t>
      </w:r>
    </w:p>
    <w:p w14:paraId="3355EBBA" w14:textId="79CAA93C" w:rsidR="00D30C4E" w:rsidRPr="00A44F1F" w:rsidRDefault="00764CD7" w:rsidP="00764CD7">
      <w:pPr>
        <w:spacing w:line="240" w:lineRule="auto"/>
        <w:rPr>
          <w:rFonts w:asciiTheme="minorHAnsi" w:hAnsiTheme="minorHAnsi" w:cstheme="minorHAnsi"/>
          <w:sz w:val="20"/>
        </w:rPr>
      </w:pPr>
      <w:r w:rsidRPr="00A44F1F">
        <w:rPr>
          <w:rFonts w:asciiTheme="minorHAnsi" w:hAnsiTheme="minorHAnsi" w:cstheme="minorHAnsi"/>
          <w:sz w:val="20"/>
        </w:rPr>
        <w:t>*</w:t>
      </w:r>
      <w:r w:rsidR="00D30C4E" w:rsidRPr="00A44F1F">
        <w:rPr>
          <w:rFonts w:asciiTheme="minorHAnsi" w:hAnsiTheme="minorHAnsi" w:cstheme="minorHAnsi"/>
          <w:sz w:val="20"/>
        </w:rPr>
        <w:t>Caroline Fairhurst</w:t>
      </w:r>
      <w:r w:rsidR="001936FF" w:rsidRPr="00A44F1F">
        <w:rPr>
          <w:rFonts w:asciiTheme="minorHAnsi" w:hAnsiTheme="minorHAnsi" w:cstheme="minorHAnsi"/>
          <w:sz w:val="20"/>
        </w:rPr>
        <w:t xml:space="preserve">, York Trials Unit, ARRC Building, Department of Health Sciences, University of York, Heslington, York, YO10 5DD </w:t>
      </w:r>
      <w:hyperlink r:id="rId8" w:history="1">
        <w:r w:rsidR="001936FF" w:rsidRPr="00A44F1F">
          <w:rPr>
            <w:rStyle w:val="Hyperlink"/>
            <w:rFonts w:asciiTheme="minorHAnsi" w:hAnsiTheme="minorHAnsi" w:cstheme="minorHAnsi"/>
            <w:sz w:val="20"/>
          </w:rPr>
          <w:t>caroline.fairhurst@york.ac.uk</w:t>
        </w:r>
      </w:hyperlink>
      <w:r w:rsidR="001936FF" w:rsidRPr="00A44F1F">
        <w:rPr>
          <w:rFonts w:asciiTheme="minorHAnsi" w:hAnsiTheme="minorHAnsi" w:cstheme="minorHAnsi"/>
          <w:sz w:val="20"/>
        </w:rPr>
        <w:t xml:space="preserve"> </w:t>
      </w:r>
    </w:p>
    <w:p w14:paraId="351EDEF7" w14:textId="77777777" w:rsidR="001936FF" w:rsidRPr="00A44F1F" w:rsidRDefault="001936FF" w:rsidP="00764CD7">
      <w:pPr>
        <w:spacing w:line="240" w:lineRule="auto"/>
        <w:rPr>
          <w:rFonts w:asciiTheme="minorHAnsi" w:hAnsiTheme="minorHAnsi" w:cstheme="minorHAnsi"/>
          <w:sz w:val="20"/>
        </w:rPr>
      </w:pPr>
    </w:p>
    <w:p w14:paraId="3AE069E0" w14:textId="7C5C6EBC" w:rsidR="00D30C4E" w:rsidRPr="00A44F1F" w:rsidRDefault="00D30C4E" w:rsidP="00764CD7">
      <w:pPr>
        <w:spacing w:line="240" w:lineRule="auto"/>
        <w:rPr>
          <w:rFonts w:asciiTheme="minorHAnsi" w:hAnsiTheme="minorHAnsi" w:cstheme="minorHAnsi"/>
          <w:sz w:val="20"/>
        </w:rPr>
      </w:pPr>
      <w:r w:rsidRPr="00A44F1F">
        <w:rPr>
          <w:rFonts w:asciiTheme="minorHAnsi" w:hAnsiTheme="minorHAnsi" w:cstheme="minorHAnsi"/>
          <w:sz w:val="20"/>
        </w:rPr>
        <w:t>Jenny Roche</w:t>
      </w:r>
      <w:r w:rsidR="001936FF" w:rsidRPr="00A44F1F">
        <w:rPr>
          <w:rFonts w:asciiTheme="minorHAnsi" w:hAnsiTheme="minorHAnsi" w:cstheme="minorHAnsi"/>
          <w:sz w:val="20"/>
        </w:rPr>
        <w:t xml:space="preserve">, York Trials Unit, ARRC Building, Department of Health Sciences, University of York, Heslington, York, YO10 5DD </w:t>
      </w:r>
      <w:hyperlink r:id="rId9" w:history="1">
        <w:r w:rsidR="001936FF" w:rsidRPr="00A44F1F">
          <w:rPr>
            <w:rStyle w:val="Hyperlink"/>
            <w:rFonts w:asciiTheme="minorHAnsi" w:hAnsiTheme="minorHAnsi" w:cstheme="minorHAnsi"/>
            <w:sz w:val="20"/>
          </w:rPr>
          <w:t>jenny.roche@york.ac.uk</w:t>
        </w:r>
      </w:hyperlink>
    </w:p>
    <w:p w14:paraId="01112DAB" w14:textId="77777777" w:rsidR="001936FF" w:rsidRPr="00A44F1F" w:rsidRDefault="001936FF" w:rsidP="00764CD7">
      <w:pPr>
        <w:spacing w:line="240" w:lineRule="auto"/>
        <w:rPr>
          <w:rFonts w:asciiTheme="minorHAnsi" w:hAnsiTheme="minorHAnsi" w:cstheme="minorHAnsi"/>
          <w:sz w:val="20"/>
        </w:rPr>
      </w:pPr>
    </w:p>
    <w:p w14:paraId="70D2EB5C" w14:textId="76678AFC" w:rsidR="00D30C4E" w:rsidRPr="00A44F1F" w:rsidRDefault="00D30C4E" w:rsidP="00764CD7">
      <w:pPr>
        <w:pStyle w:val="Body"/>
        <w:widowControl w:val="0"/>
        <w:rPr>
          <w:rFonts w:asciiTheme="minorHAnsi" w:eastAsia="Times New Roman" w:hAnsiTheme="minorHAnsi" w:cstheme="minorHAnsi"/>
          <w:sz w:val="20"/>
        </w:rPr>
      </w:pPr>
      <w:r w:rsidRPr="00A44F1F">
        <w:rPr>
          <w:rFonts w:asciiTheme="minorHAnsi" w:eastAsia="Times New Roman" w:hAnsiTheme="minorHAnsi" w:cstheme="minorHAnsi"/>
          <w:sz w:val="20"/>
        </w:rPr>
        <w:t>Laura Bissell, British Wheel of Yoga Qualifications, 25 Jermyn Street, Sleaford, Lincs NG34 7RU</w:t>
      </w:r>
      <w:r w:rsidR="00764CD7" w:rsidRPr="00A44F1F">
        <w:rPr>
          <w:rFonts w:asciiTheme="minorHAnsi" w:eastAsia="Times New Roman" w:hAnsiTheme="minorHAnsi" w:cstheme="minorHAnsi"/>
          <w:sz w:val="20"/>
        </w:rPr>
        <w:t xml:space="preserve"> </w:t>
      </w:r>
      <w:hyperlink r:id="rId10" w:history="1">
        <w:r w:rsidR="00764CD7" w:rsidRPr="00A44F1F">
          <w:rPr>
            <w:rStyle w:val="Hyperlink"/>
            <w:rFonts w:asciiTheme="minorHAnsi" w:eastAsia="Times New Roman" w:hAnsiTheme="minorHAnsi" w:cstheme="minorHAnsi"/>
            <w:sz w:val="20"/>
          </w:rPr>
          <w:t>laurabissell16@hotmail.com</w:t>
        </w:r>
      </w:hyperlink>
      <w:r w:rsidR="00764CD7" w:rsidRPr="00A44F1F">
        <w:rPr>
          <w:rFonts w:asciiTheme="minorHAnsi" w:eastAsia="Times New Roman" w:hAnsiTheme="minorHAnsi" w:cstheme="minorHAnsi"/>
          <w:sz w:val="20"/>
        </w:rPr>
        <w:t xml:space="preserve"> </w:t>
      </w:r>
    </w:p>
    <w:p w14:paraId="3F3CC516" w14:textId="77777777" w:rsidR="001936FF" w:rsidRPr="00A44F1F" w:rsidRDefault="001936FF" w:rsidP="00764CD7">
      <w:pPr>
        <w:pStyle w:val="Body"/>
        <w:widowControl w:val="0"/>
        <w:rPr>
          <w:rFonts w:asciiTheme="minorHAnsi" w:hAnsiTheme="minorHAnsi" w:cstheme="minorHAnsi"/>
          <w:color w:val="auto"/>
          <w:sz w:val="20"/>
          <w:lang w:val="en-US"/>
        </w:rPr>
      </w:pPr>
    </w:p>
    <w:p w14:paraId="1D2777E1" w14:textId="1961A1D1" w:rsidR="00D30C4E" w:rsidRPr="00A44F1F" w:rsidRDefault="00D30C4E" w:rsidP="00764CD7">
      <w:pPr>
        <w:spacing w:line="240" w:lineRule="auto"/>
        <w:rPr>
          <w:rFonts w:asciiTheme="minorHAnsi" w:hAnsiTheme="minorHAnsi" w:cstheme="minorHAnsi"/>
          <w:sz w:val="20"/>
        </w:rPr>
      </w:pPr>
      <w:r w:rsidRPr="00A44F1F">
        <w:rPr>
          <w:rFonts w:asciiTheme="minorHAnsi" w:hAnsiTheme="minorHAnsi" w:cstheme="minorHAnsi"/>
          <w:sz w:val="20"/>
        </w:rPr>
        <w:t>Catherine Hewitt</w:t>
      </w:r>
      <w:r w:rsidR="001936FF" w:rsidRPr="00A44F1F">
        <w:rPr>
          <w:rFonts w:asciiTheme="minorHAnsi" w:hAnsiTheme="minorHAnsi" w:cstheme="minorHAnsi"/>
          <w:sz w:val="20"/>
        </w:rPr>
        <w:t xml:space="preserve">, York Trials Unit, ARRC Building, Department of Health Sciences, University of York, Heslington, York, YO10 5DD </w:t>
      </w:r>
      <w:hyperlink r:id="rId11" w:history="1">
        <w:r w:rsidR="001936FF" w:rsidRPr="00A44F1F">
          <w:rPr>
            <w:rStyle w:val="Hyperlink"/>
            <w:rFonts w:asciiTheme="minorHAnsi" w:hAnsiTheme="minorHAnsi" w:cstheme="minorHAnsi"/>
            <w:sz w:val="20"/>
          </w:rPr>
          <w:t>catherine.hewitt@york.ac.uk</w:t>
        </w:r>
      </w:hyperlink>
    </w:p>
    <w:p w14:paraId="51898F5D" w14:textId="77777777" w:rsidR="001936FF" w:rsidRPr="00A44F1F" w:rsidRDefault="001936FF" w:rsidP="00764CD7">
      <w:pPr>
        <w:spacing w:line="240" w:lineRule="auto"/>
        <w:rPr>
          <w:rFonts w:asciiTheme="minorHAnsi" w:hAnsiTheme="minorHAnsi" w:cstheme="minorHAnsi"/>
          <w:sz w:val="20"/>
        </w:rPr>
      </w:pPr>
    </w:p>
    <w:p w14:paraId="0E2EA2EC" w14:textId="2820C0A0" w:rsidR="00D30C4E" w:rsidRPr="00A44F1F" w:rsidRDefault="00D30C4E" w:rsidP="00764CD7">
      <w:pPr>
        <w:spacing w:line="240" w:lineRule="auto"/>
        <w:rPr>
          <w:rFonts w:asciiTheme="minorHAnsi" w:hAnsiTheme="minorHAnsi" w:cstheme="minorHAnsi"/>
          <w:sz w:val="20"/>
        </w:rPr>
      </w:pPr>
      <w:r w:rsidRPr="00A44F1F">
        <w:rPr>
          <w:rFonts w:asciiTheme="minorHAnsi" w:hAnsiTheme="minorHAnsi" w:cstheme="minorHAnsi"/>
          <w:sz w:val="20"/>
        </w:rPr>
        <w:t>Jess Hugill-Jones</w:t>
      </w:r>
      <w:r w:rsidR="001936FF" w:rsidRPr="00A44F1F">
        <w:rPr>
          <w:rFonts w:asciiTheme="minorHAnsi" w:hAnsiTheme="minorHAnsi" w:cstheme="minorHAnsi"/>
          <w:sz w:val="20"/>
        </w:rPr>
        <w:t xml:space="preserve">, York Trials Unit, ARRC Building, Department of Health Sciences, University of York, Heslington, York, YO10 5DD </w:t>
      </w:r>
      <w:hyperlink r:id="rId12" w:history="1">
        <w:r w:rsidR="001936FF" w:rsidRPr="00A44F1F">
          <w:rPr>
            <w:rStyle w:val="Hyperlink"/>
            <w:rFonts w:asciiTheme="minorHAnsi" w:hAnsiTheme="minorHAnsi" w:cstheme="minorHAnsi"/>
            <w:sz w:val="20"/>
          </w:rPr>
          <w:t>jess.hugill-jones@york.ac.uk</w:t>
        </w:r>
      </w:hyperlink>
      <w:r w:rsidR="001936FF" w:rsidRPr="00A44F1F">
        <w:rPr>
          <w:rFonts w:asciiTheme="minorHAnsi" w:hAnsiTheme="minorHAnsi" w:cstheme="minorHAnsi"/>
          <w:sz w:val="20"/>
        </w:rPr>
        <w:t xml:space="preserve"> </w:t>
      </w:r>
    </w:p>
    <w:p w14:paraId="0B8A892E" w14:textId="77777777" w:rsidR="001936FF" w:rsidRPr="00A44F1F" w:rsidRDefault="001936FF" w:rsidP="00764CD7">
      <w:pPr>
        <w:spacing w:line="240" w:lineRule="auto"/>
        <w:rPr>
          <w:rFonts w:asciiTheme="minorHAnsi" w:hAnsiTheme="minorHAnsi" w:cstheme="minorHAnsi"/>
          <w:sz w:val="20"/>
        </w:rPr>
      </w:pPr>
    </w:p>
    <w:p w14:paraId="0C9DCE1B" w14:textId="3C7CDC15" w:rsidR="00D30C4E" w:rsidRPr="00A44F1F" w:rsidRDefault="00D30C4E" w:rsidP="00764CD7">
      <w:pPr>
        <w:pStyle w:val="Body"/>
        <w:widowControl w:val="0"/>
        <w:rPr>
          <w:rFonts w:asciiTheme="minorHAnsi" w:eastAsia="Times New Roman" w:hAnsiTheme="minorHAnsi" w:cstheme="minorHAnsi"/>
          <w:sz w:val="20"/>
        </w:rPr>
      </w:pPr>
      <w:r w:rsidRPr="00A44F1F">
        <w:rPr>
          <w:rFonts w:asciiTheme="minorHAnsi" w:hAnsiTheme="minorHAnsi" w:cstheme="minorHAnsi"/>
          <w:color w:val="auto"/>
          <w:sz w:val="20"/>
          <w:lang w:val="en-US"/>
        </w:rPr>
        <w:t>Jenny Howsam</w:t>
      </w:r>
      <w:r w:rsidRPr="00A44F1F">
        <w:rPr>
          <w:rFonts w:asciiTheme="minorHAnsi" w:eastAsia="Times New Roman" w:hAnsiTheme="minorHAnsi" w:cstheme="minorHAnsi"/>
          <w:sz w:val="20"/>
        </w:rPr>
        <w:t>, British Wheel of Yoga Qualifications, 25 Jermyn Street, Sleaford, Lincs NG34 7RU</w:t>
      </w:r>
      <w:r w:rsidR="00764CD7" w:rsidRPr="00A44F1F">
        <w:rPr>
          <w:rFonts w:asciiTheme="minorHAnsi" w:eastAsia="Times New Roman" w:hAnsiTheme="minorHAnsi" w:cstheme="minorHAnsi"/>
          <w:sz w:val="20"/>
        </w:rPr>
        <w:t xml:space="preserve"> </w:t>
      </w:r>
      <w:hyperlink r:id="rId13" w:history="1">
        <w:r w:rsidR="00764CD7" w:rsidRPr="00A44F1F">
          <w:rPr>
            <w:rStyle w:val="Hyperlink"/>
            <w:rFonts w:asciiTheme="minorHAnsi" w:eastAsia="Times New Roman" w:hAnsiTheme="minorHAnsi" w:cstheme="minorHAnsi"/>
            <w:sz w:val="20"/>
          </w:rPr>
          <w:t>jenhowsam@hotmail.co.uk</w:t>
        </w:r>
      </w:hyperlink>
      <w:r w:rsidR="00764CD7" w:rsidRPr="00A44F1F">
        <w:rPr>
          <w:rFonts w:asciiTheme="minorHAnsi" w:eastAsia="Times New Roman" w:hAnsiTheme="minorHAnsi" w:cstheme="minorHAnsi"/>
          <w:sz w:val="20"/>
        </w:rPr>
        <w:t xml:space="preserve"> </w:t>
      </w:r>
    </w:p>
    <w:p w14:paraId="658D848D" w14:textId="77777777" w:rsidR="001936FF" w:rsidRPr="00A44F1F" w:rsidRDefault="001936FF" w:rsidP="00764CD7">
      <w:pPr>
        <w:pStyle w:val="Body"/>
        <w:widowControl w:val="0"/>
        <w:rPr>
          <w:rFonts w:asciiTheme="minorHAnsi" w:hAnsiTheme="minorHAnsi" w:cstheme="minorHAnsi"/>
          <w:color w:val="auto"/>
          <w:sz w:val="20"/>
          <w:vertAlign w:val="superscript"/>
          <w:lang w:val="en-US"/>
        </w:rPr>
      </w:pPr>
    </w:p>
    <w:p w14:paraId="450B6E9D" w14:textId="629F53F3" w:rsidR="00D30C4E" w:rsidRPr="00A44F1F" w:rsidRDefault="00D30C4E" w:rsidP="00764CD7">
      <w:pPr>
        <w:shd w:val="clear" w:color="auto" w:fill="FFFFFF"/>
        <w:spacing w:after="0" w:line="240" w:lineRule="auto"/>
        <w:ind w:left="0" w:firstLine="0"/>
        <w:rPr>
          <w:rStyle w:val="Hyperlink"/>
          <w:rFonts w:asciiTheme="minorHAnsi" w:hAnsiTheme="minorHAnsi" w:cstheme="minorHAnsi"/>
          <w:sz w:val="20"/>
        </w:rPr>
      </w:pPr>
      <w:r w:rsidRPr="00A44F1F">
        <w:rPr>
          <w:rFonts w:asciiTheme="minorHAnsi" w:hAnsiTheme="minorHAnsi" w:cstheme="minorHAnsi"/>
          <w:sz w:val="20"/>
        </w:rPr>
        <w:t xml:space="preserve">Camila S Maturana, York Trials Unit, ARRC Building, Department of Health Sciences, University of York, Heslington, York, YO10 5DD; </w:t>
      </w:r>
      <w:hyperlink r:id="rId14" w:history="1">
        <w:r w:rsidRPr="00A44F1F">
          <w:rPr>
            <w:rStyle w:val="Hyperlink"/>
            <w:rFonts w:asciiTheme="minorHAnsi" w:hAnsiTheme="minorHAnsi" w:cstheme="minorHAnsi"/>
            <w:sz w:val="20"/>
          </w:rPr>
          <w:t>camila.maturana@york.ac.uk</w:t>
        </w:r>
      </w:hyperlink>
    </w:p>
    <w:p w14:paraId="15648618" w14:textId="5D3BB744" w:rsidR="00D30C4E" w:rsidRPr="00A44F1F" w:rsidRDefault="00D30C4E" w:rsidP="00764CD7">
      <w:pPr>
        <w:shd w:val="clear" w:color="auto" w:fill="FFFFFF"/>
        <w:spacing w:after="0" w:line="240" w:lineRule="auto"/>
        <w:ind w:left="0" w:firstLine="0"/>
        <w:rPr>
          <w:rStyle w:val="Hyperlink"/>
          <w:rFonts w:asciiTheme="minorHAnsi" w:hAnsiTheme="minorHAnsi" w:cstheme="minorHAnsi"/>
          <w:sz w:val="20"/>
        </w:rPr>
      </w:pPr>
    </w:p>
    <w:p w14:paraId="452B3A1C" w14:textId="32B0A1BA" w:rsidR="00354AC5" w:rsidRPr="00A44F1F" w:rsidRDefault="00354AC5" w:rsidP="00354AC5">
      <w:pPr>
        <w:spacing w:line="240" w:lineRule="auto"/>
        <w:ind w:left="0" w:firstLine="0"/>
        <w:rPr>
          <w:rStyle w:val="Hyperlink"/>
          <w:rFonts w:asciiTheme="minorHAnsi" w:hAnsiTheme="minorHAnsi" w:cstheme="minorHAnsi"/>
          <w:sz w:val="20"/>
        </w:rPr>
      </w:pPr>
      <w:r w:rsidRPr="00A44F1F">
        <w:rPr>
          <w:rStyle w:val="Hyperlink"/>
          <w:rFonts w:asciiTheme="minorHAnsi" w:hAnsiTheme="minorHAnsi" w:cstheme="minorHAnsi"/>
          <w:color w:val="auto"/>
          <w:sz w:val="20"/>
          <w:u w:val="none"/>
        </w:rPr>
        <w:t xml:space="preserve">Belen Corbacho Martin, </w:t>
      </w:r>
      <w:r w:rsidRPr="00A44F1F">
        <w:rPr>
          <w:rFonts w:asciiTheme="minorHAnsi" w:hAnsiTheme="minorHAnsi" w:cstheme="minorHAnsi"/>
          <w:color w:val="auto"/>
          <w:sz w:val="20"/>
        </w:rPr>
        <w:t xml:space="preserve">York Trials Unit, ARRC Building, Department of Health Sciences, University of </w:t>
      </w:r>
      <w:r w:rsidRPr="00A44F1F">
        <w:rPr>
          <w:rFonts w:asciiTheme="minorHAnsi" w:hAnsiTheme="minorHAnsi" w:cstheme="minorHAnsi"/>
          <w:sz w:val="20"/>
        </w:rPr>
        <w:t xml:space="preserve">York, Heslington, York, YO10 5DD, </w:t>
      </w:r>
      <w:hyperlink r:id="rId15" w:history="1">
        <w:r w:rsidRPr="00A44F1F">
          <w:rPr>
            <w:rStyle w:val="Hyperlink"/>
            <w:rFonts w:asciiTheme="minorHAnsi" w:hAnsiTheme="minorHAnsi" w:cstheme="minorHAnsi"/>
            <w:sz w:val="20"/>
          </w:rPr>
          <w:t>belen.corbacho@york.ac.uk</w:t>
        </w:r>
      </w:hyperlink>
      <w:r w:rsidRPr="00A44F1F">
        <w:rPr>
          <w:rFonts w:asciiTheme="minorHAnsi" w:hAnsiTheme="minorHAnsi" w:cstheme="minorHAnsi"/>
          <w:sz w:val="20"/>
        </w:rPr>
        <w:t xml:space="preserve"> </w:t>
      </w:r>
    </w:p>
    <w:p w14:paraId="33B2D9B6" w14:textId="77777777" w:rsidR="00354AC5" w:rsidRPr="00A44F1F" w:rsidRDefault="00354AC5" w:rsidP="00354AC5">
      <w:pPr>
        <w:spacing w:line="240" w:lineRule="auto"/>
        <w:ind w:left="0" w:firstLine="0"/>
        <w:rPr>
          <w:rStyle w:val="Hyperlink"/>
          <w:rFonts w:asciiTheme="minorHAnsi" w:hAnsiTheme="minorHAnsi" w:cstheme="minorHAnsi"/>
          <w:sz w:val="20"/>
        </w:rPr>
      </w:pPr>
    </w:p>
    <w:p w14:paraId="4E227B33" w14:textId="244CDC79" w:rsidR="00D30C4E" w:rsidRPr="00A44F1F" w:rsidRDefault="00D30C4E" w:rsidP="00354AC5">
      <w:pPr>
        <w:spacing w:line="240" w:lineRule="auto"/>
        <w:ind w:left="0" w:firstLine="0"/>
        <w:rPr>
          <w:rStyle w:val="Hyperlink"/>
          <w:rFonts w:asciiTheme="minorHAnsi" w:hAnsiTheme="minorHAnsi" w:cstheme="minorHAnsi"/>
          <w:sz w:val="20"/>
        </w:rPr>
      </w:pPr>
      <w:r w:rsidRPr="00A44F1F">
        <w:rPr>
          <w:rFonts w:asciiTheme="minorHAnsi" w:hAnsiTheme="minorHAnsi" w:cstheme="minorHAnsi"/>
          <w:sz w:val="20"/>
        </w:rPr>
        <w:t xml:space="preserve">Shirley-Anne S. Paul, </w:t>
      </w:r>
      <w:r w:rsidR="001936FF" w:rsidRPr="00A44F1F">
        <w:rPr>
          <w:rFonts w:asciiTheme="minorHAnsi" w:hAnsiTheme="minorHAnsi" w:cstheme="minorHAnsi"/>
          <w:sz w:val="20"/>
        </w:rPr>
        <w:t>York Trials Unit, ARRC Building, Department of Health Sciences, University of York, Heslington, York, YO10 5DD</w:t>
      </w:r>
      <w:r w:rsidRPr="00A44F1F">
        <w:rPr>
          <w:rFonts w:asciiTheme="minorHAnsi" w:hAnsiTheme="minorHAnsi" w:cstheme="minorHAnsi"/>
          <w:sz w:val="20"/>
        </w:rPr>
        <w:t xml:space="preserve">, </w:t>
      </w:r>
      <w:hyperlink r:id="rId16" w:history="1">
        <w:r w:rsidRPr="00A44F1F">
          <w:rPr>
            <w:rStyle w:val="Hyperlink"/>
            <w:rFonts w:asciiTheme="minorHAnsi" w:hAnsiTheme="minorHAnsi" w:cstheme="minorHAnsi"/>
            <w:sz w:val="20"/>
          </w:rPr>
          <w:t>shirleyannepaul@hotmail.com</w:t>
        </w:r>
      </w:hyperlink>
    </w:p>
    <w:p w14:paraId="5C3B2096" w14:textId="77777777" w:rsidR="001936FF" w:rsidRPr="00A44F1F" w:rsidRDefault="001936FF" w:rsidP="00764CD7">
      <w:pPr>
        <w:spacing w:line="240" w:lineRule="auto"/>
        <w:rPr>
          <w:rFonts w:asciiTheme="minorHAnsi" w:hAnsiTheme="minorHAnsi" w:cstheme="minorHAnsi"/>
          <w:sz w:val="20"/>
        </w:rPr>
      </w:pPr>
    </w:p>
    <w:p w14:paraId="50B4482C" w14:textId="3B6AA217" w:rsidR="00D30C4E" w:rsidRPr="00A44F1F" w:rsidRDefault="00D30C4E" w:rsidP="00764CD7">
      <w:pPr>
        <w:spacing w:line="240" w:lineRule="auto"/>
        <w:rPr>
          <w:rFonts w:asciiTheme="minorHAnsi" w:hAnsiTheme="minorHAnsi" w:cstheme="minorHAnsi"/>
          <w:sz w:val="20"/>
        </w:rPr>
      </w:pPr>
      <w:r w:rsidRPr="00A44F1F">
        <w:rPr>
          <w:rFonts w:asciiTheme="minorHAnsi" w:hAnsiTheme="minorHAnsi" w:cstheme="minorHAnsi"/>
          <w:sz w:val="20"/>
        </w:rPr>
        <w:t>Fi Rose</w:t>
      </w:r>
      <w:r w:rsidR="001936FF" w:rsidRPr="00A44F1F">
        <w:rPr>
          <w:rFonts w:asciiTheme="minorHAnsi" w:hAnsiTheme="minorHAnsi" w:cstheme="minorHAnsi"/>
          <w:sz w:val="20"/>
        </w:rPr>
        <w:t>, York Trials Unit, ARRC Building, Department of Health Sciences, University of York, Heslington, York, YO10 5DD</w:t>
      </w:r>
      <w:r w:rsidR="00764CD7" w:rsidRPr="00A44F1F">
        <w:rPr>
          <w:rFonts w:asciiTheme="minorHAnsi" w:hAnsiTheme="minorHAnsi" w:cstheme="minorHAnsi"/>
          <w:sz w:val="20"/>
        </w:rPr>
        <w:t xml:space="preserve"> </w:t>
      </w:r>
      <w:hyperlink r:id="rId17" w:history="1">
        <w:r w:rsidR="00764CD7" w:rsidRPr="00A44F1F">
          <w:rPr>
            <w:rStyle w:val="Hyperlink"/>
            <w:rFonts w:asciiTheme="minorHAnsi" w:hAnsiTheme="minorHAnsi" w:cstheme="minorHAnsi"/>
            <w:sz w:val="20"/>
          </w:rPr>
          <w:t>fi.rose@york.ac.uk</w:t>
        </w:r>
      </w:hyperlink>
      <w:r w:rsidR="00764CD7" w:rsidRPr="00A44F1F">
        <w:rPr>
          <w:rFonts w:asciiTheme="minorHAnsi" w:hAnsiTheme="minorHAnsi" w:cstheme="minorHAnsi"/>
          <w:sz w:val="20"/>
        </w:rPr>
        <w:t xml:space="preserve"> </w:t>
      </w:r>
    </w:p>
    <w:p w14:paraId="1E785A0D" w14:textId="77777777" w:rsidR="001936FF" w:rsidRPr="00A44F1F" w:rsidRDefault="001936FF" w:rsidP="00764CD7">
      <w:pPr>
        <w:spacing w:line="240" w:lineRule="auto"/>
        <w:rPr>
          <w:rFonts w:asciiTheme="minorHAnsi" w:hAnsiTheme="minorHAnsi" w:cstheme="minorHAnsi"/>
          <w:sz w:val="20"/>
        </w:rPr>
      </w:pPr>
    </w:p>
    <w:p w14:paraId="5FAE59AB" w14:textId="6A9F8B52" w:rsidR="00027B37" w:rsidRPr="00A44F1F" w:rsidRDefault="0093767C" w:rsidP="00764CD7">
      <w:pPr>
        <w:spacing w:line="240" w:lineRule="auto"/>
        <w:rPr>
          <w:rFonts w:asciiTheme="minorHAnsi" w:hAnsiTheme="minorHAnsi" w:cstheme="minorHAnsi"/>
          <w:sz w:val="20"/>
        </w:rPr>
      </w:pPr>
      <w:r w:rsidRPr="00A44F1F">
        <w:rPr>
          <w:rFonts w:asciiTheme="minorHAnsi" w:hAnsiTheme="minorHAnsi" w:cstheme="minorHAnsi"/>
          <w:sz w:val="20"/>
        </w:rPr>
        <w:t xml:space="preserve">David J Torgerson, </w:t>
      </w:r>
      <w:r w:rsidR="001936FF" w:rsidRPr="00A44F1F">
        <w:rPr>
          <w:rFonts w:asciiTheme="minorHAnsi" w:hAnsiTheme="minorHAnsi" w:cstheme="minorHAnsi"/>
          <w:sz w:val="20"/>
        </w:rPr>
        <w:t>York Trials Unit, ARRC Building, Department of Health Sciences, University of York, Heslington, York, YO10 5DD</w:t>
      </w:r>
      <w:r w:rsidR="00764CD7" w:rsidRPr="00A44F1F">
        <w:rPr>
          <w:rFonts w:asciiTheme="minorHAnsi" w:hAnsiTheme="minorHAnsi" w:cstheme="minorHAnsi"/>
          <w:sz w:val="20"/>
        </w:rPr>
        <w:t xml:space="preserve"> </w:t>
      </w:r>
      <w:hyperlink r:id="rId18" w:history="1">
        <w:r w:rsidR="00764CD7" w:rsidRPr="00A44F1F">
          <w:rPr>
            <w:rStyle w:val="Hyperlink"/>
            <w:rFonts w:asciiTheme="minorHAnsi" w:hAnsiTheme="minorHAnsi" w:cstheme="minorHAnsi"/>
            <w:sz w:val="20"/>
          </w:rPr>
          <w:t>david.torgerson@york.ac.uk</w:t>
        </w:r>
      </w:hyperlink>
      <w:r w:rsidR="00764CD7" w:rsidRPr="00A44F1F">
        <w:rPr>
          <w:rFonts w:asciiTheme="minorHAnsi" w:hAnsiTheme="minorHAnsi" w:cstheme="minorHAnsi"/>
          <w:sz w:val="20"/>
        </w:rPr>
        <w:t xml:space="preserve"> </w:t>
      </w:r>
    </w:p>
    <w:p w14:paraId="4CC15CDB" w14:textId="77777777" w:rsidR="001936FF" w:rsidRPr="00A44F1F" w:rsidRDefault="001936FF" w:rsidP="00764CD7">
      <w:pPr>
        <w:spacing w:line="240" w:lineRule="auto"/>
        <w:rPr>
          <w:rFonts w:asciiTheme="minorHAnsi" w:hAnsiTheme="minorHAnsi" w:cstheme="minorHAnsi"/>
          <w:sz w:val="20"/>
        </w:rPr>
      </w:pPr>
    </w:p>
    <w:p w14:paraId="521F2936" w14:textId="09F09B34" w:rsidR="00A5137D" w:rsidRPr="00A44F1F" w:rsidRDefault="00A5137D" w:rsidP="00764CD7">
      <w:pPr>
        <w:spacing w:line="240" w:lineRule="auto"/>
        <w:rPr>
          <w:rStyle w:val="Hyperlink"/>
          <w:rFonts w:asciiTheme="minorHAnsi" w:hAnsiTheme="minorHAnsi" w:cstheme="minorHAnsi"/>
          <w:noProof/>
          <w:sz w:val="20"/>
        </w:rPr>
      </w:pPr>
      <w:r w:rsidRPr="00A44F1F">
        <w:rPr>
          <w:rFonts w:asciiTheme="minorHAnsi" w:hAnsiTheme="minorHAnsi" w:cstheme="minorHAnsi"/>
          <w:sz w:val="20"/>
        </w:rPr>
        <w:t xml:space="preserve">Lesley Ward, </w:t>
      </w:r>
      <w:r w:rsidR="007518B5" w:rsidRPr="00A44F1F">
        <w:rPr>
          <w:rFonts w:asciiTheme="minorHAnsi" w:hAnsiTheme="minorHAnsi" w:cstheme="minorHAnsi"/>
          <w:noProof/>
          <w:sz w:val="20"/>
        </w:rPr>
        <w:t xml:space="preserve">Department of Sport, Exercise and Rehabilitation, Northumbria University, </w:t>
      </w:r>
      <w:r w:rsidRPr="00A44F1F">
        <w:rPr>
          <w:rFonts w:asciiTheme="minorHAnsi" w:hAnsiTheme="minorHAnsi" w:cstheme="minorHAnsi"/>
          <w:noProof/>
          <w:sz w:val="20"/>
        </w:rPr>
        <w:t xml:space="preserve">Northumberland Building, </w:t>
      </w:r>
      <w:r w:rsidR="007518B5" w:rsidRPr="00A44F1F">
        <w:rPr>
          <w:rFonts w:asciiTheme="minorHAnsi" w:hAnsiTheme="minorHAnsi" w:cstheme="minorHAnsi"/>
          <w:noProof/>
          <w:sz w:val="20"/>
        </w:rPr>
        <w:t xml:space="preserve">Northumberland Road, </w:t>
      </w:r>
      <w:r w:rsidRPr="00A44F1F">
        <w:rPr>
          <w:rFonts w:asciiTheme="minorHAnsi" w:hAnsiTheme="minorHAnsi" w:cstheme="minorHAnsi"/>
          <w:noProof/>
          <w:sz w:val="20"/>
        </w:rPr>
        <w:t xml:space="preserve">Newcastle upon Tyne, NE1 8ST, UK  </w:t>
      </w:r>
      <w:hyperlink r:id="rId19" w:history="1">
        <w:r w:rsidRPr="00A44F1F">
          <w:rPr>
            <w:rStyle w:val="Hyperlink"/>
            <w:rFonts w:asciiTheme="minorHAnsi" w:hAnsiTheme="minorHAnsi" w:cstheme="minorHAnsi"/>
            <w:noProof/>
            <w:sz w:val="20"/>
          </w:rPr>
          <w:t>lesley.ward@northumbria.ac.uk</w:t>
        </w:r>
      </w:hyperlink>
    </w:p>
    <w:p w14:paraId="2420EA4A" w14:textId="77777777" w:rsidR="001936FF" w:rsidRPr="00A44F1F" w:rsidRDefault="001936FF" w:rsidP="00764CD7">
      <w:pPr>
        <w:spacing w:line="240" w:lineRule="auto"/>
        <w:rPr>
          <w:rFonts w:asciiTheme="minorHAnsi" w:hAnsiTheme="minorHAnsi" w:cstheme="minorHAnsi"/>
          <w:noProof/>
          <w:color w:val="0000FF"/>
          <w:sz w:val="20"/>
          <w:u w:val="single"/>
        </w:rPr>
      </w:pPr>
    </w:p>
    <w:p w14:paraId="3A640789" w14:textId="56DFA037" w:rsidR="00A5137D" w:rsidRPr="00A44F1F" w:rsidRDefault="00511B36" w:rsidP="00764CD7">
      <w:pPr>
        <w:spacing w:line="240" w:lineRule="auto"/>
        <w:rPr>
          <w:rStyle w:val="Hyperlink"/>
          <w:rFonts w:asciiTheme="minorHAnsi" w:hAnsiTheme="minorHAnsi" w:cstheme="minorHAnsi"/>
          <w:sz w:val="20"/>
        </w:rPr>
      </w:pPr>
      <w:r w:rsidRPr="00A44F1F">
        <w:rPr>
          <w:rFonts w:asciiTheme="minorHAnsi" w:hAnsiTheme="minorHAnsi" w:cstheme="minorHAnsi"/>
          <w:sz w:val="20"/>
        </w:rPr>
        <w:t xml:space="preserve">Laura Wiley, </w:t>
      </w:r>
      <w:r w:rsidR="001936FF" w:rsidRPr="00A44F1F">
        <w:rPr>
          <w:rFonts w:asciiTheme="minorHAnsi" w:hAnsiTheme="minorHAnsi" w:cstheme="minorHAnsi"/>
          <w:sz w:val="20"/>
        </w:rPr>
        <w:t>York Trials Unit, ARRC Building, Department of Health Sciences, University of York, Heslington, York, YO10 5DD</w:t>
      </w:r>
      <w:r w:rsidRPr="00A44F1F">
        <w:rPr>
          <w:rFonts w:asciiTheme="minorHAnsi" w:hAnsiTheme="minorHAnsi" w:cstheme="minorHAnsi"/>
          <w:sz w:val="20"/>
        </w:rPr>
        <w:t xml:space="preserve">, </w:t>
      </w:r>
      <w:hyperlink r:id="rId20" w:history="1">
        <w:r w:rsidR="002D6E85" w:rsidRPr="00A44F1F">
          <w:rPr>
            <w:rStyle w:val="Hyperlink"/>
            <w:rFonts w:asciiTheme="minorHAnsi" w:hAnsiTheme="minorHAnsi" w:cstheme="minorHAnsi"/>
            <w:sz w:val="20"/>
          </w:rPr>
          <w:t>laura.wiley@york.ac.uk</w:t>
        </w:r>
      </w:hyperlink>
    </w:p>
    <w:p w14:paraId="5C12453B" w14:textId="77777777" w:rsidR="001936FF" w:rsidRPr="00A44F1F" w:rsidRDefault="001936FF" w:rsidP="00764CD7">
      <w:pPr>
        <w:spacing w:line="240" w:lineRule="auto"/>
        <w:rPr>
          <w:rFonts w:asciiTheme="minorHAnsi" w:hAnsiTheme="minorHAnsi" w:cstheme="minorHAnsi"/>
          <w:sz w:val="20"/>
        </w:rPr>
      </w:pPr>
    </w:p>
    <w:p w14:paraId="14864D71" w14:textId="73AED4C0" w:rsidR="00BA3A11" w:rsidRPr="00A44F1F" w:rsidRDefault="00BA3A11" w:rsidP="00764CD7">
      <w:pPr>
        <w:spacing w:line="240" w:lineRule="auto"/>
        <w:rPr>
          <w:rFonts w:asciiTheme="minorHAnsi" w:hAnsiTheme="minorHAnsi" w:cstheme="minorHAnsi"/>
          <w:sz w:val="20"/>
        </w:rPr>
      </w:pPr>
      <w:r w:rsidRPr="00A44F1F">
        <w:rPr>
          <w:rFonts w:asciiTheme="minorHAnsi" w:hAnsiTheme="minorHAnsi" w:cstheme="minorHAnsi"/>
          <w:sz w:val="20"/>
        </w:rPr>
        <w:t>Garry A. Tew</w:t>
      </w:r>
      <w:r w:rsidR="00764CD7" w:rsidRPr="00A44F1F">
        <w:rPr>
          <w:rFonts w:asciiTheme="minorHAnsi" w:hAnsiTheme="minorHAnsi" w:cstheme="minorHAnsi"/>
          <w:sz w:val="20"/>
        </w:rPr>
        <w:t xml:space="preserve">, </w:t>
      </w:r>
      <w:r w:rsidR="007518B5" w:rsidRPr="00A44F1F">
        <w:rPr>
          <w:rFonts w:asciiTheme="minorHAnsi" w:hAnsiTheme="minorHAnsi" w:cstheme="minorHAnsi"/>
          <w:sz w:val="20"/>
        </w:rPr>
        <w:t xml:space="preserve">Department of Sport, Exercise and Rehabilitation, Northumbria University, </w:t>
      </w:r>
      <w:r w:rsidR="00764CD7" w:rsidRPr="00A44F1F">
        <w:rPr>
          <w:rFonts w:asciiTheme="minorHAnsi" w:hAnsiTheme="minorHAnsi" w:cstheme="minorHAnsi"/>
          <w:sz w:val="20"/>
        </w:rPr>
        <w:t xml:space="preserve">Northumberland Building, </w:t>
      </w:r>
      <w:r w:rsidR="007518B5" w:rsidRPr="00A44F1F">
        <w:rPr>
          <w:rFonts w:asciiTheme="minorHAnsi" w:hAnsiTheme="minorHAnsi" w:cstheme="minorHAnsi"/>
          <w:sz w:val="20"/>
        </w:rPr>
        <w:t xml:space="preserve">Northumberland Road, </w:t>
      </w:r>
      <w:r w:rsidR="00764CD7" w:rsidRPr="00A44F1F">
        <w:rPr>
          <w:rFonts w:asciiTheme="minorHAnsi" w:hAnsiTheme="minorHAnsi" w:cstheme="minorHAnsi"/>
          <w:sz w:val="20"/>
        </w:rPr>
        <w:t xml:space="preserve">City Campus, Newcastle upon Tyne, NE1 8ST </w:t>
      </w:r>
      <w:hyperlink r:id="rId21" w:history="1">
        <w:r w:rsidR="00764CD7" w:rsidRPr="00A44F1F">
          <w:rPr>
            <w:rStyle w:val="Hyperlink"/>
            <w:rFonts w:asciiTheme="minorHAnsi" w:hAnsiTheme="minorHAnsi" w:cstheme="minorHAnsi"/>
            <w:sz w:val="20"/>
          </w:rPr>
          <w:t>garry.tew@northumbria.ac.uk</w:t>
        </w:r>
      </w:hyperlink>
      <w:r w:rsidR="00764CD7" w:rsidRPr="00A44F1F">
        <w:rPr>
          <w:rFonts w:asciiTheme="minorHAnsi" w:hAnsiTheme="minorHAnsi" w:cstheme="minorHAnsi"/>
          <w:sz w:val="20"/>
        </w:rPr>
        <w:t xml:space="preserve"> </w:t>
      </w:r>
    </w:p>
    <w:p w14:paraId="01BA10B6" w14:textId="77777777" w:rsidR="00D30C4E" w:rsidRPr="00A44F1F" w:rsidRDefault="00D30C4E" w:rsidP="00764CD7">
      <w:pPr>
        <w:pStyle w:val="Body"/>
        <w:widowControl w:val="0"/>
        <w:rPr>
          <w:rFonts w:asciiTheme="minorHAnsi" w:hAnsiTheme="minorHAnsi" w:cstheme="minorHAnsi"/>
          <w:b/>
          <w:color w:val="FF0000"/>
          <w:sz w:val="20"/>
          <w:lang w:val="en-US"/>
        </w:rPr>
      </w:pPr>
    </w:p>
    <w:p w14:paraId="726436B2" w14:textId="0BAECF5F" w:rsidR="00BA3A11" w:rsidRPr="00A44F1F" w:rsidRDefault="00764CD7" w:rsidP="002D6E85">
      <w:pPr>
        <w:rPr>
          <w:rFonts w:asciiTheme="minorHAnsi" w:hAnsiTheme="minorHAnsi" w:cstheme="minorHAnsi"/>
        </w:rPr>
      </w:pPr>
      <w:r w:rsidRPr="00A44F1F">
        <w:rPr>
          <w:rFonts w:asciiTheme="minorHAnsi" w:hAnsiTheme="minorHAnsi" w:cstheme="minorHAnsi"/>
        </w:rPr>
        <w:t>*corresponding author</w:t>
      </w:r>
    </w:p>
    <w:p w14:paraId="4467C825" w14:textId="46B1C88C" w:rsidR="00030885" w:rsidRPr="00745061" w:rsidRDefault="00030885" w:rsidP="005D2B09">
      <w:pPr>
        <w:pStyle w:val="Heading1"/>
        <w:rPr>
          <w:shd w:val="clear" w:color="auto" w:fill="FFFFFF"/>
        </w:rPr>
      </w:pPr>
      <w:r w:rsidRPr="00745061">
        <w:rPr>
          <w:shd w:val="clear" w:color="auto" w:fill="FFFFFF"/>
        </w:rPr>
        <w:lastRenderedPageBreak/>
        <w:t xml:space="preserve">Abstract </w:t>
      </w:r>
    </w:p>
    <w:p w14:paraId="0191A4CC" w14:textId="46AB9296" w:rsidR="005E521C" w:rsidRDefault="00030885" w:rsidP="005E521C">
      <w:pPr>
        <w:spacing w:after="0" w:line="360" w:lineRule="auto"/>
        <w:rPr>
          <w:rFonts w:asciiTheme="minorHAnsi" w:hAnsiTheme="minorHAnsi" w:cstheme="minorHAnsi"/>
        </w:rPr>
      </w:pPr>
      <w:r w:rsidRPr="00745061">
        <w:rPr>
          <w:b/>
          <w:bCs/>
          <w:color w:val="333333"/>
          <w:shd w:val="clear" w:color="auto" w:fill="FFFFFF"/>
        </w:rPr>
        <w:t>Background:</w:t>
      </w:r>
      <w:r w:rsidRPr="00745061">
        <w:rPr>
          <w:color w:val="333333"/>
          <w:shd w:val="clear" w:color="auto" w:fill="FFFFFF"/>
        </w:rPr>
        <w:t> </w:t>
      </w:r>
      <w:r w:rsidR="000A2525">
        <w:rPr>
          <w:color w:val="333333"/>
          <w:shd w:val="clear" w:color="auto" w:fill="FFFFFF"/>
        </w:rPr>
        <w:t>Monetary and other i</w:t>
      </w:r>
      <w:r w:rsidR="005E521C" w:rsidRPr="00745061">
        <w:rPr>
          <w:rFonts w:asciiTheme="minorHAnsi" w:hAnsiTheme="minorHAnsi" w:cstheme="minorHAnsi"/>
        </w:rPr>
        <w:t>ncentives</w:t>
      </w:r>
      <w:r w:rsidR="005E521C">
        <w:rPr>
          <w:rFonts w:asciiTheme="minorHAnsi" w:hAnsiTheme="minorHAnsi" w:cstheme="minorHAnsi"/>
        </w:rPr>
        <w:t xml:space="preserve"> </w:t>
      </w:r>
      <w:r w:rsidR="000A2525">
        <w:rPr>
          <w:rFonts w:asciiTheme="minorHAnsi" w:hAnsiTheme="minorHAnsi" w:cstheme="minorHAnsi"/>
        </w:rPr>
        <w:t xml:space="preserve">may </w:t>
      </w:r>
      <w:r w:rsidR="005E521C" w:rsidRPr="00745061">
        <w:rPr>
          <w:rFonts w:asciiTheme="minorHAnsi" w:hAnsiTheme="minorHAnsi" w:cstheme="minorHAnsi"/>
        </w:rPr>
        <w:t>increase</w:t>
      </w:r>
      <w:r w:rsidR="005E521C">
        <w:rPr>
          <w:rFonts w:asciiTheme="minorHAnsi" w:hAnsiTheme="minorHAnsi" w:cstheme="minorHAnsi"/>
        </w:rPr>
        <w:t xml:space="preserve"> </w:t>
      </w:r>
      <w:r w:rsidR="005E521C" w:rsidRPr="00745061">
        <w:rPr>
          <w:rFonts w:asciiTheme="minorHAnsi" w:hAnsiTheme="minorHAnsi" w:cstheme="minorHAnsi"/>
        </w:rPr>
        <w:t>recruitment</w:t>
      </w:r>
      <w:r w:rsidR="000A2525">
        <w:rPr>
          <w:rFonts w:asciiTheme="minorHAnsi" w:hAnsiTheme="minorHAnsi" w:cstheme="minorHAnsi"/>
        </w:rPr>
        <w:t xml:space="preserve"> to randomised controlled trials</w:t>
      </w:r>
      <w:r w:rsidR="005E521C" w:rsidRPr="00745061">
        <w:rPr>
          <w:rFonts w:asciiTheme="minorHAnsi" w:hAnsiTheme="minorHAnsi" w:cstheme="minorHAnsi"/>
        </w:rPr>
        <w:t xml:space="preserve">. </w:t>
      </w:r>
    </w:p>
    <w:p w14:paraId="2566DC51" w14:textId="78D78F9B" w:rsidR="005D2B09" w:rsidRDefault="00030885" w:rsidP="005E521C">
      <w:pPr>
        <w:spacing w:after="0" w:line="360" w:lineRule="auto"/>
        <w:rPr>
          <w:shd w:val="clear" w:color="auto" w:fill="FFFFFF"/>
        </w:rPr>
      </w:pPr>
      <w:r w:rsidRPr="00E13C5B">
        <w:rPr>
          <w:b/>
          <w:bCs/>
          <w:shd w:val="clear" w:color="auto" w:fill="FFFFFF"/>
        </w:rPr>
        <w:t>Methods: </w:t>
      </w:r>
      <w:r w:rsidR="005E521C" w:rsidRPr="00E13C5B">
        <w:rPr>
          <w:shd w:val="clear" w:color="auto" w:fill="FFFFFF"/>
        </w:rPr>
        <w:t xml:space="preserve">2x2 factorial ‘study within a trial’ of including a pen and/or £5 with a postal recruitment pack </w:t>
      </w:r>
      <w:r w:rsidR="000A2525">
        <w:rPr>
          <w:shd w:val="clear" w:color="auto" w:fill="FFFFFF"/>
        </w:rPr>
        <w:t>to improve</w:t>
      </w:r>
      <w:r w:rsidR="005E521C" w:rsidRPr="00E13C5B">
        <w:rPr>
          <w:shd w:val="clear" w:color="auto" w:fill="FFFFFF"/>
        </w:rPr>
        <w:t xml:space="preserve"> randomisation rate</w:t>
      </w:r>
      <w:r w:rsidR="005E521C">
        <w:rPr>
          <w:shd w:val="clear" w:color="auto" w:fill="FFFFFF"/>
        </w:rPr>
        <w:t xml:space="preserve"> (primary outcome) into the host Gentle Years Yoga trial in </w:t>
      </w:r>
      <w:r w:rsidR="005E521C" w:rsidRPr="00E13C5B">
        <w:rPr>
          <w:shd w:val="clear" w:color="auto" w:fill="FFFFFF"/>
        </w:rPr>
        <w:t xml:space="preserve">older </w:t>
      </w:r>
      <w:r w:rsidR="005E521C">
        <w:rPr>
          <w:shd w:val="clear" w:color="auto" w:fill="FFFFFF"/>
        </w:rPr>
        <w:t>adults with multimorbidity</w:t>
      </w:r>
      <w:r w:rsidR="005E521C" w:rsidRPr="00E13C5B">
        <w:rPr>
          <w:shd w:val="clear" w:color="auto" w:fill="FFFFFF"/>
        </w:rPr>
        <w:t>.</w:t>
      </w:r>
      <w:r w:rsidR="005E521C">
        <w:rPr>
          <w:shd w:val="clear" w:color="auto" w:fill="FFFFFF"/>
        </w:rPr>
        <w:t xml:space="preserve"> </w:t>
      </w:r>
      <w:r w:rsidRPr="00E13C5B">
        <w:rPr>
          <w:shd w:val="clear" w:color="auto" w:fill="FFFFFF"/>
        </w:rPr>
        <w:t>Secondary outcomes</w:t>
      </w:r>
      <w:r w:rsidR="000A2525">
        <w:rPr>
          <w:shd w:val="clear" w:color="auto" w:fill="FFFFFF"/>
        </w:rPr>
        <w:t>:</w:t>
      </w:r>
      <w:r w:rsidRPr="00E13C5B">
        <w:rPr>
          <w:shd w:val="clear" w:color="auto" w:fill="FFFFFF"/>
        </w:rPr>
        <w:t xml:space="preserve"> </w:t>
      </w:r>
      <w:r w:rsidR="009F093E">
        <w:t>return</w:t>
      </w:r>
      <w:r w:rsidRPr="00E13C5B">
        <w:t xml:space="preserve">, and time to return, </w:t>
      </w:r>
      <w:r w:rsidR="009F093E">
        <w:t xml:space="preserve">of </w:t>
      </w:r>
      <w:r w:rsidRPr="00E13C5B">
        <w:t>screening form, and the cost per additional participant recruited</w:t>
      </w:r>
      <w:r w:rsidRPr="00E13C5B">
        <w:rPr>
          <w:shd w:val="clear" w:color="auto" w:fill="FFFFFF"/>
        </w:rPr>
        <w:t xml:space="preserve">. Binary data were analysed using logistic regression and time to return </w:t>
      </w:r>
      <w:r w:rsidR="001130C1">
        <w:rPr>
          <w:shd w:val="clear" w:color="auto" w:fill="FFFFFF"/>
        </w:rPr>
        <w:t xml:space="preserve">data </w:t>
      </w:r>
      <w:r w:rsidRPr="00E13C5B">
        <w:rPr>
          <w:shd w:val="clear" w:color="auto" w:fill="FFFFFF"/>
        </w:rPr>
        <w:t xml:space="preserve">using Cox proportional hazards regression.  </w:t>
      </w:r>
      <w:r w:rsidRPr="00E13C5B">
        <w:br/>
      </w:r>
      <w:r w:rsidRPr="00E13C5B">
        <w:rPr>
          <w:b/>
          <w:bCs/>
          <w:shd w:val="clear" w:color="auto" w:fill="FFFFFF"/>
        </w:rPr>
        <w:t>Results: </w:t>
      </w:r>
      <w:r w:rsidR="00F86686" w:rsidRPr="00E13C5B">
        <w:rPr>
          <w:shd w:val="clear" w:color="auto" w:fill="FFFFFF"/>
        </w:rPr>
        <w:t>818</w:t>
      </w:r>
      <w:r w:rsidRPr="00E13C5B">
        <w:rPr>
          <w:shd w:val="clear" w:color="auto" w:fill="FFFFFF"/>
        </w:rPr>
        <w:t xml:space="preserve"> </w:t>
      </w:r>
      <w:r w:rsidR="00E13C5B">
        <w:rPr>
          <w:shd w:val="clear" w:color="auto" w:fill="FFFFFF"/>
        </w:rPr>
        <w:t xml:space="preserve">potential </w:t>
      </w:r>
      <w:r w:rsidR="00FE63E4">
        <w:rPr>
          <w:shd w:val="clear" w:color="auto" w:fill="FFFFFF"/>
        </w:rPr>
        <w:t>host</w:t>
      </w:r>
      <w:r w:rsidR="00A22316">
        <w:rPr>
          <w:shd w:val="clear" w:color="auto" w:fill="FFFFFF"/>
        </w:rPr>
        <w:t xml:space="preserve"> trial </w:t>
      </w:r>
      <w:r w:rsidRPr="00E13C5B">
        <w:rPr>
          <w:shd w:val="clear" w:color="auto" w:fill="FFFFFF"/>
        </w:rPr>
        <w:t xml:space="preserve">participants </w:t>
      </w:r>
      <w:r w:rsidR="00511AF6">
        <w:rPr>
          <w:shd w:val="clear" w:color="auto" w:fill="FFFFFF"/>
        </w:rPr>
        <w:t>included</w:t>
      </w:r>
      <w:r w:rsidRPr="00E13C5B">
        <w:rPr>
          <w:shd w:val="clear" w:color="auto" w:fill="FFFFFF"/>
        </w:rPr>
        <w:t xml:space="preserve">. </w:t>
      </w:r>
      <w:r w:rsidR="00062D1D">
        <w:rPr>
          <w:shd w:val="clear" w:color="auto" w:fill="FFFFFF"/>
        </w:rPr>
        <w:t>Between those sent a pen (n=409) and not sent a pen (n=409), t</w:t>
      </w:r>
      <w:r w:rsidR="00062D1D" w:rsidRPr="00E13C5B">
        <w:rPr>
          <w:shd w:val="clear" w:color="auto" w:fill="FFFFFF"/>
        </w:rPr>
        <w:t xml:space="preserve">here was no evidence of a difference in </w:t>
      </w:r>
      <w:r w:rsidR="00062D1D">
        <w:rPr>
          <w:shd w:val="clear" w:color="auto" w:fill="FFFFFF"/>
        </w:rPr>
        <w:t>the likelihood of</w:t>
      </w:r>
      <w:r w:rsidR="00E46EBA" w:rsidRPr="00E46EBA">
        <w:rPr>
          <w:shd w:val="clear" w:color="auto" w:fill="FFFFFF"/>
        </w:rPr>
        <w:t xml:space="preserve"> </w:t>
      </w:r>
      <w:r w:rsidR="00E46EBA">
        <w:rPr>
          <w:shd w:val="clear" w:color="auto" w:fill="FFFFFF"/>
        </w:rPr>
        <w:t>being randomised (</w:t>
      </w:r>
      <w:r w:rsidR="00E46EBA" w:rsidRPr="00E13C5B">
        <w:rPr>
          <w:shd w:val="clear" w:color="auto" w:fill="FFFFFF"/>
        </w:rPr>
        <w:t xml:space="preserve">15 (3.7%) </w:t>
      </w:r>
      <w:r w:rsidR="00E46EBA" w:rsidRPr="00084D18">
        <w:rPr>
          <w:i/>
          <w:iCs/>
          <w:shd w:val="clear" w:color="auto" w:fill="FFFFFF"/>
        </w:rPr>
        <w:t>v</w:t>
      </w:r>
      <w:r w:rsidR="008A5AD9" w:rsidRPr="00084D18">
        <w:rPr>
          <w:i/>
          <w:iCs/>
          <w:shd w:val="clear" w:color="auto" w:fill="FFFFFF"/>
        </w:rPr>
        <w:t>ersu</w:t>
      </w:r>
      <w:r w:rsidR="00E46EBA" w:rsidRPr="00084D18">
        <w:rPr>
          <w:i/>
          <w:iCs/>
          <w:shd w:val="clear" w:color="auto" w:fill="FFFFFF"/>
        </w:rPr>
        <w:t>s</w:t>
      </w:r>
      <w:r w:rsidR="00E46EBA">
        <w:rPr>
          <w:shd w:val="clear" w:color="auto" w:fill="FFFFFF"/>
        </w:rPr>
        <w:t xml:space="preserve"> </w:t>
      </w:r>
      <w:r w:rsidR="00E46EBA" w:rsidRPr="00E13C5B">
        <w:rPr>
          <w:shd w:val="clear" w:color="auto" w:fill="FFFFFF"/>
        </w:rPr>
        <w:t>11 (2.7%</w:t>
      </w:r>
      <w:r w:rsidR="00E46EBA">
        <w:rPr>
          <w:shd w:val="clear" w:color="auto" w:fill="FFFFFF"/>
        </w:rPr>
        <w:t>); OR 1.38, 95% CI 0.63</w:t>
      </w:r>
      <w:r w:rsidR="008A5AD9">
        <w:rPr>
          <w:shd w:val="clear" w:color="auto" w:fill="FFFFFF"/>
        </w:rPr>
        <w:t>–</w:t>
      </w:r>
      <w:r w:rsidR="00E46EBA">
        <w:rPr>
          <w:shd w:val="clear" w:color="auto" w:fill="FFFFFF"/>
        </w:rPr>
        <w:t>3.04), in</w:t>
      </w:r>
      <w:r w:rsidR="00062D1D">
        <w:rPr>
          <w:shd w:val="clear" w:color="auto" w:fill="FFFFFF"/>
        </w:rPr>
        <w:t xml:space="preserve"> returning a screening form (</w:t>
      </w:r>
      <w:r w:rsidR="00062D1D" w:rsidRPr="00E13C5B">
        <w:rPr>
          <w:shd w:val="clear" w:color="auto" w:fill="FFFFFF"/>
        </w:rPr>
        <w:t>66 (16.1%)</w:t>
      </w:r>
      <w:r w:rsidR="00062D1D">
        <w:rPr>
          <w:shd w:val="clear" w:color="auto" w:fill="FFFFFF"/>
        </w:rPr>
        <w:t xml:space="preserve"> </w:t>
      </w:r>
      <w:r w:rsidR="00062D1D" w:rsidRPr="00084D18">
        <w:rPr>
          <w:i/>
          <w:iCs/>
          <w:shd w:val="clear" w:color="auto" w:fill="FFFFFF"/>
        </w:rPr>
        <w:t>v</w:t>
      </w:r>
      <w:r w:rsidR="008A5AD9" w:rsidRPr="00084D18">
        <w:rPr>
          <w:i/>
          <w:iCs/>
          <w:shd w:val="clear" w:color="auto" w:fill="FFFFFF"/>
        </w:rPr>
        <w:t>ersu</w:t>
      </w:r>
      <w:r w:rsidR="00062D1D" w:rsidRPr="00084D18">
        <w:rPr>
          <w:i/>
          <w:iCs/>
          <w:shd w:val="clear" w:color="auto" w:fill="FFFFFF"/>
        </w:rPr>
        <w:t>s</w:t>
      </w:r>
      <w:r w:rsidR="00062D1D" w:rsidRPr="00E13C5B">
        <w:rPr>
          <w:shd w:val="clear" w:color="auto" w:fill="FFFFFF"/>
        </w:rPr>
        <w:t xml:space="preserve"> </w:t>
      </w:r>
      <w:r w:rsidR="00062D1D">
        <w:rPr>
          <w:shd w:val="clear" w:color="auto" w:fill="FFFFFF"/>
        </w:rPr>
        <w:t>61 (</w:t>
      </w:r>
      <w:r w:rsidR="00062D1D" w:rsidRPr="00E13C5B">
        <w:rPr>
          <w:shd w:val="clear" w:color="auto" w:fill="FFFFFF"/>
        </w:rPr>
        <w:t>14.9%)</w:t>
      </w:r>
      <w:r w:rsidR="00062D1D">
        <w:rPr>
          <w:shd w:val="clear" w:color="auto" w:fill="FFFFFF"/>
        </w:rPr>
        <w:t>; OR 1.10, 95% CI 0.75</w:t>
      </w:r>
      <w:r w:rsidR="008A5AD9">
        <w:rPr>
          <w:shd w:val="clear" w:color="auto" w:fill="FFFFFF"/>
        </w:rPr>
        <w:t>–</w:t>
      </w:r>
      <w:r w:rsidR="00062D1D">
        <w:rPr>
          <w:shd w:val="clear" w:color="auto" w:fill="FFFFFF"/>
        </w:rPr>
        <w:t xml:space="preserve">1.61) </w:t>
      </w:r>
      <w:r w:rsidR="00E46EBA">
        <w:rPr>
          <w:shd w:val="clear" w:color="auto" w:fill="FFFFFF"/>
        </w:rPr>
        <w:t>nor in</w:t>
      </w:r>
      <w:r w:rsidR="00062D1D" w:rsidRPr="00E13C5B">
        <w:rPr>
          <w:shd w:val="clear" w:color="auto" w:fill="FFFFFF"/>
        </w:rPr>
        <w:t xml:space="preserve"> time to return the screening form</w:t>
      </w:r>
      <w:r w:rsidR="00062D1D">
        <w:rPr>
          <w:shd w:val="clear" w:color="auto" w:fill="FFFFFF"/>
        </w:rPr>
        <w:t xml:space="preserve"> (HR 1.</w:t>
      </w:r>
      <w:r w:rsidR="004507EB">
        <w:rPr>
          <w:shd w:val="clear" w:color="auto" w:fill="FFFFFF"/>
        </w:rPr>
        <w:t>09</w:t>
      </w:r>
      <w:r w:rsidR="00062D1D">
        <w:rPr>
          <w:shd w:val="clear" w:color="auto" w:fill="FFFFFF"/>
        </w:rPr>
        <w:t>, 95% CI 0.77</w:t>
      </w:r>
      <w:r w:rsidR="008A5AD9">
        <w:rPr>
          <w:shd w:val="clear" w:color="auto" w:fill="FFFFFF"/>
        </w:rPr>
        <w:t>–</w:t>
      </w:r>
      <w:r w:rsidR="00062D1D">
        <w:rPr>
          <w:shd w:val="clear" w:color="auto" w:fill="FFFFFF"/>
        </w:rPr>
        <w:t xml:space="preserve">1.55). </w:t>
      </w:r>
      <w:r w:rsidR="00511AF6">
        <w:rPr>
          <w:shd w:val="clear" w:color="auto" w:fill="FFFFFF"/>
        </w:rPr>
        <w:t>T</w:t>
      </w:r>
      <w:r w:rsidR="00062D1D" w:rsidRPr="00E13C5B">
        <w:rPr>
          <w:shd w:val="clear" w:color="auto" w:fill="FFFFFF"/>
        </w:rPr>
        <w:t xml:space="preserve">here was evidence </w:t>
      </w:r>
      <w:r w:rsidR="00D30C4E">
        <w:rPr>
          <w:shd w:val="clear" w:color="auto" w:fill="FFFFFF"/>
        </w:rPr>
        <w:t>of</w:t>
      </w:r>
      <w:r w:rsidR="00062D1D" w:rsidRPr="00E13C5B">
        <w:rPr>
          <w:shd w:val="clear" w:color="auto" w:fill="FFFFFF"/>
        </w:rPr>
        <w:t xml:space="preserve"> improved screening </w:t>
      </w:r>
      <w:r w:rsidR="00062D1D">
        <w:rPr>
          <w:shd w:val="clear" w:color="auto" w:fill="FFFFFF"/>
        </w:rPr>
        <w:t xml:space="preserve">return </w:t>
      </w:r>
      <w:r w:rsidR="00062D1D" w:rsidRPr="00E13C5B">
        <w:rPr>
          <w:shd w:val="clear" w:color="auto" w:fill="FFFFFF"/>
        </w:rPr>
        <w:t>rate</w:t>
      </w:r>
      <w:r w:rsidR="00062D1D">
        <w:rPr>
          <w:shd w:val="clear" w:color="auto" w:fill="FFFFFF"/>
        </w:rPr>
        <w:t>s</w:t>
      </w:r>
      <w:r w:rsidR="00062D1D" w:rsidRPr="00E13C5B">
        <w:rPr>
          <w:shd w:val="clear" w:color="auto" w:fill="FFFFFF"/>
        </w:rPr>
        <w:t xml:space="preserve"> (77 (18.8%) </w:t>
      </w:r>
      <w:r w:rsidR="00062D1D" w:rsidRPr="00084D18">
        <w:rPr>
          <w:i/>
          <w:iCs/>
          <w:shd w:val="clear" w:color="auto" w:fill="FFFFFF"/>
        </w:rPr>
        <w:t>v</w:t>
      </w:r>
      <w:r w:rsidR="008A5AD9" w:rsidRPr="00084D18">
        <w:rPr>
          <w:i/>
          <w:iCs/>
          <w:shd w:val="clear" w:color="auto" w:fill="FFFFFF"/>
        </w:rPr>
        <w:t>ersu</w:t>
      </w:r>
      <w:r w:rsidR="00062D1D" w:rsidRPr="00084D18">
        <w:rPr>
          <w:i/>
          <w:iCs/>
          <w:shd w:val="clear" w:color="auto" w:fill="FFFFFF"/>
        </w:rPr>
        <w:t>s</w:t>
      </w:r>
      <w:r w:rsidR="00062D1D" w:rsidRPr="00E13C5B">
        <w:rPr>
          <w:shd w:val="clear" w:color="auto" w:fill="FFFFFF"/>
        </w:rPr>
        <w:t xml:space="preserve"> 50 (12.2</w:t>
      </w:r>
      <w:r w:rsidR="00062D1D">
        <w:rPr>
          <w:shd w:val="clear" w:color="auto" w:fill="FFFFFF"/>
        </w:rPr>
        <w:t xml:space="preserve">%); </w:t>
      </w:r>
      <w:r w:rsidR="00062D1D" w:rsidRPr="00E13C5B">
        <w:t>OR 1.67</w:t>
      </w:r>
      <w:r w:rsidR="00062D1D">
        <w:t xml:space="preserve">, 95% CI </w:t>
      </w:r>
      <w:r w:rsidR="00062D1D" w:rsidRPr="00E13C5B">
        <w:t>1.13</w:t>
      </w:r>
      <w:r w:rsidR="008A5AD9">
        <w:rPr>
          <w:shd w:val="clear" w:color="auto" w:fill="FFFFFF"/>
        </w:rPr>
        <w:t>–</w:t>
      </w:r>
      <w:r w:rsidR="00062D1D" w:rsidRPr="00E13C5B">
        <w:t>2.45</w:t>
      </w:r>
      <w:r w:rsidR="00062D1D" w:rsidRPr="00E13C5B">
        <w:rPr>
          <w:shd w:val="clear" w:color="auto" w:fill="FFFFFF"/>
        </w:rPr>
        <w:t>) and time to return screening form (</w:t>
      </w:r>
      <w:r w:rsidR="00062D1D" w:rsidRPr="00E13C5B">
        <w:t>HR 1.5</w:t>
      </w:r>
      <w:r w:rsidR="004507EB">
        <w:t>6</w:t>
      </w:r>
      <w:r w:rsidR="00062D1D">
        <w:t xml:space="preserve">, 95% CI </w:t>
      </w:r>
      <w:r w:rsidR="00062D1D" w:rsidRPr="00E13C5B">
        <w:t>1.09</w:t>
      </w:r>
      <w:r w:rsidR="008A5AD9">
        <w:rPr>
          <w:shd w:val="clear" w:color="auto" w:fill="FFFFFF"/>
        </w:rPr>
        <w:t>–</w:t>
      </w:r>
      <w:r w:rsidR="00062D1D" w:rsidRPr="00E13C5B">
        <w:t>2.22</w:t>
      </w:r>
      <w:r w:rsidR="00062D1D" w:rsidRPr="00E13C5B">
        <w:rPr>
          <w:shd w:val="clear" w:color="auto" w:fill="FFFFFF"/>
        </w:rPr>
        <w:t>) but not randomisation</w:t>
      </w:r>
      <w:r w:rsidR="00062D1D">
        <w:rPr>
          <w:shd w:val="clear" w:color="auto" w:fill="FFFFFF"/>
        </w:rPr>
        <w:t xml:space="preserve"> (</w:t>
      </w:r>
      <w:r w:rsidR="00062D1D" w:rsidRPr="00E13C5B">
        <w:rPr>
          <w:shd w:val="clear" w:color="auto" w:fill="FFFFFF"/>
        </w:rPr>
        <w:t xml:space="preserve">14 (3.4%) </w:t>
      </w:r>
      <w:r w:rsidR="00062D1D" w:rsidRPr="00084D18">
        <w:rPr>
          <w:i/>
          <w:iCs/>
          <w:shd w:val="clear" w:color="auto" w:fill="FFFFFF"/>
        </w:rPr>
        <w:t>v</w:t>
      </w:r>
      <w:r w:rsidR="008A5AD9" w:rsidRPr="00084D18">
        <w:rPr>
          <w:i/>
          <w:iCs/>
          <w:shd w:val="clear" w:color="auto" w:fill="FFFFFF"/>
        </w:rPr>
        <w:t>ersu</w:t>
      </w:r>
      <w:r w:rsidR="00062D1D" w:rsidRPr="00084D18">
        <w:rPr>
          <w:i/>
          <w:iCs/>
          <w:shd w:val="clear" w:color="auto" w:fill="FFFFFF"/>
        </w:rPr>
        <w:t>s</w:t>
      </w:r>
      <w:r w:rsidR="00062D1D">
        <w:rPr>
          <w:shd w:val="clear" w:color="auto" w:fill="FFFFFF"/>
        </w:rPr>
        <w:t xml:space="preserve"> </w:t>
      </w:r>
      <w:r w:rsidR="00062D1D" w:rsidRPr="00E13C5B">
        <w:rPr>
          <w:shd w:val="clear" w:color="auto" w:fill="FFFFFF"/>
        </w:rPr>
        <w:t>12 (2.9</w:t>
      </w:r>
      <w:r w:rsidR="00062D1D">
        <w:rPr>
          <w:shd w:val="clear" w:color="auto" w:fill="FFFFFF"/>
        </w:rPr>
        <w:t>%);</w:t>
      </w:r>
      <w:r w:rsidR="00062D1D" w:rsidRPr="00E13C5B">
        <w:rPr>
          <w:shd w:val="clear" w:color="auto" w:fill="FFFFFF"/>
        </w:rPr>
        <w:t xml:space="preserve"> </w:t>
      </w:r>
      <w:r w:rsidR="00062D1D">
        <w:rPr>
          <w:shd w:val="clear" w:color="auto" w:fill="FFFFFF"/>
        </w:rPr>
        <w:t>OR 1.18, 95% CI 0.54</w:t>
      </w:r>
      <w:r w:rsidR="008A5AD9">
        <w:rPr>
          <w:shd w:val="clear" w:color="auto" w:fill="FFFFFF"/>
        </w:rPr>
        <w:t>–</w:t>
      </w:r>
      <w:r w:rsidR="00062D1D">
        <w:rPr>
          <w:shd w:val="clear" w:color="auto" w:fill="FFFFFF"/>
        </w:rPr>
        <w:t>2.57)</w:t>
      </w:r>
      <w:r w:rsidR="00511AF6">
        <w:rPr>
          <w:shd w:val="clear" w:color="auto" w:fill="FFFFFF"/>
        </w:rPr>
        <w:t xml:space="preserve"> in those sent £5 (n=409) compared with those not sent £5 (n=409). No significant interaction effects between the interventions were observed. </w:t>
      </w:r>
      <w:r w:rsidR="00062D1D">
        <w:rPr>
          <w:shd w:val="clear" w:color="auto" w:fill="FFFFFF"/>
        </w:rPr>
        <w:t>The cost per additional participant recruited was £32 for the pen and £1000 for the £5 incentive.</w:t>
      </w:r>
      <w:r w:rsidRPr="00E13C5B">
        <w:br/>
      </w:r>
      <w:r w:rsidRPr="00E13C5B">
        <w:rPr>
          <w:b/>
          <w:bCs/>
          <w:shd w:val="clear" w:color="auto" w:fill="FFFFFF"/>
        </w:rPr>
        <w:t>Conclusion: </w:t>
      </w:r>
      <w:r w:rsidR="0072641C">
        <w:rPr>
          <w:shd w:val="clear" w:color="auto" w:fill="FFFFFF"/>
        </w:rPr>
        <w:t>Including</w:t>
      </w:r>
      <w:r w:rsidR="00F912DF" w:rsidRPr="00E13C5B">
        <w:rPr>
          <w:shd w:val="clear" w:color="auto" w:fill="FFFFFF"/>
        </w:rPr>
        <w:t xml:space="preserve"> a small</w:t>
      </w:r>
      <w:r w:rsidR="0072641C">
        <w:rPr>
          <w:shd w:val="clear" w:color="auto" w:fill="FFFFFF"/>
        </w:rPr>
        <w:t>,</w:t>
      </w:r>
      <w:r w:rsidR="00F912DF" w:rsidRPr="00E13C5B">
        <w:rPr>
          <w:shd w:val="clear" w:color="auto" w:fill="FFFFFF"/>
        </w:rPr>
        <w:t xml:space="preserve"> monetary incentive encourag</w:t>
      </w:r>
      <w:r w:rsidR="007329AB">
        <w:rPr>
          <w:shd w:val="clear" w:color="auto" w:fill="FFFFFF"/>
        </w:rPr>
        <w:t xml:space="preserve">ed </w:t>
      </w:r>
      <w:r w:rsidR="00F912DF" w:rsidRPr="00E13C5B">
        <w:rPr>
          <w:shd w:val="clear" w:color="auto" w:fill="FFFFFF"/>
        </w:rPr>
        <w:t>increased and faster response to the recruitment invitation</w:t>
      </w:r>
      <w:r w:rsidR="007329AB">
        <w:rPr>
          <w:shd w:val="clear" w:color="auto" w:fill="FFFFFF"/>
        </w:rPr>
        <w:t xml:space="preserve"> but</w:t>
      </w:r>
      <w:r w:rsidR="00F912DF" w:rsidRPr="00E13C5B">
        <w:rPr>
          <w:shd w:val="clear" w:color="auto" w:fill="FFFFFF"/>
        </w:rPr>
        <w:t xml:space="preserve"> did not result in more participants being randomised into the host trial.</w:t>
      </w:r>
      <w:r w:rsidR="00E13C5B" w:rsidRPr="00E13C5B">
        <w:rPr>
          <w:shd w:val="clear" w:color="auto" w:fill="FFFFFF"/>
        </w:rPr>
        <w:t xml:space="preserve"> Since it is </w:t>
      </w:r>
      <w:r w:rsidR="00826CEA">
        <w:rPr>
          <w:shd w:val="clear" w:color="auto" w:fill="FFFFFF"/>
        </w:rPr>
        <w:t xml:space="preserve">relatively </w:t>
      </w:r>
      <w:r w:rsidR="009C17F8" w:rsidRPr="00E13C5B">
        <w:rPr>
          <w:shd w:val="clear" w:color="auto" w:fill="FFFFFF"/>
        </w:rPr>
        <w:t>costly,</w:t>
      </w:r>
      <w:r w:rsidR="00E13C5B" w:rsidRPr="00E13C5B">
        <w:rPr>
          <w:shd w:val="clear" w:color="auto" w:fill="FFFFFF"/>
        </w:rPr>
        <w:t xml:space="preserve"> we do not recommend this intervention for use to increase recruitment in </w:t>
      </w:r>
      <w:r w:rsidR="00511AF6">
        <w:rPr>
          <w:shd w:val="clear" w:color="auto" w:fill="FFFFFF"/>
        </w:rPr>
        <w:t>this population</w:t>
      </w:r>
      <w:r w:rsidR="00E13C5B" w:rsidRPr="00E13C5B">
        <w:rPr>
          <w:shd w:val="clear" w:color="auto" w:fill="FFFFFF"/>
        </w:rPr>
        <w:t>.</w:t>
      </w:r>
      <w:r w:rsidR="00826CEA">
        <w:rPr>
          <w:shd w:val="clear" w:color="auto" w:fill="FFFFFF"/>
        </w:rPr>
        <w:t xml:space="preserve"> Pens </w:t>
      </w:r>
      <w:r w:rsidR="00F340F4">
        <w:rPr>
          <w:shd w:val="clear" w:color="auto" w:fill="FFFFFF"/>
        </w:rPr>
        <w:t>are</w:t>
      </w:r>
      <w:r w:rsidR="00826CEA">
        <w:rPr>
          <w:shd w:val="clear" w:color="auto" w:fill="FFFFFF"/>
        </w:rPr>
        <w:t xml:space="preserve"> cheaper</w:t>
      </w:r>
      <w:r w:rsidR="00F340F4">
        <w:rPr>
          <w:shd w:val="clear" w:color="auto" w:fill="FFFFFF"/>
        </w:rPr>
        <w:t xml:space="preserve"> but did not </w:t>
      </w:r>
      <w:r w:rsidR="00A34E34">
        <w:rPr>
          <w:shd w:val="clear" w:color="auto" w:fill="FFFFFF"/>
        </w:rPr>
        <w:t xml:space="preserve">provide </w:t>
      </w:r>
      <w:r w:rsidR="00F340F4">
        <w:rPr>
          <w:shd w:val="clear" w:color="auto" w:fill="FFFFFF"/>
        </w:rPr>
        <w:t>evidence of benefit</w:t>
      </w:r>
      <w:r w:rsidR="00826CEA">
        <w:rPr>
          <w:shd w:val="clear" w:color="auto" w:fill="FFFFFF"/>
        </w:rPr>
        <w:t>.</w:t>
      </w:r>
      <w:r w:rsidR="00F340F4">
        <w:rPr>
          <w:shd w:val="clear" w:color="auto" w:fill="FFFFFF"/>
        </w:rPr>
        <w:t xml:space="preserve"> </w:t>
      </w:r>
      <w:r w:rsidR="00D30C4E">
        <w:rPr>
          <w:shd w:val="clear" w:color="auto" w:fill="FFFFFF"/>
        </w:rPr>
        <w:t>Further</w:t>
      </w:r>
      <w:r w:rsidR="00F340F4">
        <w:rPr>
          <w:shd w:val="clear" w:color="auto" w:fill="FFFFFF"/>
        </w:rPr>
        <w:t xml:space="preserve"> studies may be required. </w:t>
      </w:r>
    </w:p>
    <w:p w14:paraId="04D0FD35" w14:textId="10E46B87" w:rsidR="007E7B01" w:rsidRDefault="00030885" w:rsidP="002D6E85">
      <w:r w:rsidRPr="00E13C5B">
        <w:br/>
      </w:r>
      <w:r w:rsidRPr="00E13C5B">
        <w:rPr>
          <w:b/>
          <w:bCs/>
          <w:shd w:val="clear" w:color="auto" w:fill="FFFFFF"/>
        </w:rPr>
        <w:t>Registration: </w:t>
      </w:r>
      <w:r w:rsidR="00F86686" w:rsidRPr="00E13C5B">
        <w:rPr>
          <w:shd w:val="clear" w:color="auto" w:fill="FFFFFF"/>
        </w:rPr>
        <w:t>G</w:t>
      </w:r>
      <w:r w:rsidR="00390E38">
        <w:rPr>
          <w:shd w:val="clear" w:color="auto" w:fill="FFFFFF"/>
        </w:rPr>
        <w:t xml:space="preserve">entle </w:t>
      </w:r>
      <w:r w:rsidR="00F86686" w:rsidRPr="005D2B09">
        <w:t>Y</w:t>
      </w:r>
      <w:r w:rsidR="00390E38">
        <w:t xml:space="preserve">ears </w:t>
      </w:r>
      <w:r w:rsidR="00F86686" w:rsidRPr="005D2B09">
        <w:t>Y</w:t>
      </w:r>
      <w:r w:rsidR="00390E38">
        <w:t>oga</w:t>
      </w:r>
      <w:r w:rsidRPr="005D2B09">
        <w:t xml:space="preserve"> </w:t>
      </w:r>
      <w:r w:rsidR="007518B5">
        <w:t>T</w:t>
      </w:r>
      <w:r w:rsidRPr="005D2B09">
        <w:t xml:space="preserve">rial registered on </w:t>
      </w:r>
      <w:r w:rsidR="00F86686" w:rsidRPr="005D2B09">
        <w:t xml:space="preserve">18 March 2019, </w:t>
      </w:r>
      <w:hyperlink r:id="rId22" w:history="1">
        <w:r w:rsidRPr="005D2B09">
          <w:rPr>
            <w:rStyle w:val="Hyperlink"/>
            <w:rFonts w:asciiTheme="minorHAnsi" w:hAnsiTheme="minorHAnsi" w:cstheme="minorHAnsi"/>
            <w:color w:val="auto"/>
            <w:u w:val="none"/>
          </w:rPr>
          <w:t>ISRCTN</w:t>
        </w:r>
      </w:hyperlink>
      <w:r w:rsidR="00F86686" w:rsidRPr="005D2B09">
        <w:t>13567538</w:t>
      </w:r>
      <w:r w:rsidRPr="005D2B09">
        <w:t xml:space="preserve">; SWAT registered </w:t>
      </w:r>
      <w:r w:rsidR="005D2B09">
        <w:t>with the Northern I</w:t>
      </w:r>
      <w:r w:rsidR="005D2B09" w:rsidRPr="005D2B09">
        <w:t xml:space="preserve">reland </w:t>
      </w:r>
      <w:r w:rsidR="005D2B09">
        <w:t>N</w:t>
      </w:r>
      <w:r w:rsidR="005D2B09" w:rsidRPr="005D2B09">
        <w:t xml:space="preserve">etwork for </w:t>
      </w:r>
      <w:r w:rsidR="005D2B09">
        <w:t>T</w:t>
      </w:r>
      <w:r w:rsidR="005D2B09" w:rsidRPr="005D2B09">
        <w:t xml:space="preserve">rials </w:t>
      </w:r>
      <w:r w:rsidR="005D2B09">
        <w:t>M</w:t>
      </w:r>
      <w:r w:rsidR="005D2B09" w:rsidRPr="005D2B09">
        <w:t xml:space="preserve">ethodology </w:t>
      </w:r>
      <w:r w:rsidR="005D2B09">
        <w:t>R</w:t>
      </w:r>
      <w:r w:rsidR="005D2B09" w:rsidRPr="005D2B09">
        <w:t xml:space="preserve">esearch </w:t>
      </w:r>
      <w:r w:rsidR="005D2B09">
        <w:t xml:space="preserve">SWAT repository </w:t>
      </w:r>
      <w:r w:rsidRPr="005D2B09">
        <w:t>on 1 April 201</w:t>
      </w:r>
      <w:r w:rsidR="005D2B09" w:rsidRPr="005D2B09">
        <w:t>8</w:t>
      </w:r>
      <w:r w:rsidRPr="005D2B09">
        <w:t xml:space="preserve">, </w:t>
      </w:r>
      <w:hyperlink r:id="rId23" w:history="1">
        <w:r w:rsidRPr="005D2B09">
          <w:rPr>
            <w:rStyle w:val="Hyperlink"/>
            <w:rFonts w:asciiTheme="minorHAnsi" w:hAnsiTheme="minorHAnsi" w:cstheme="minorHAnsi"/>
            <w:color w:val="auto"/>
            <w:u w:val="none"/>
          </w:rPr>
          <w:t>SWAT9</w:t>
        </w:r>
        <w:r w:rsidR="005D2B09" w:rsidRPr="005D2B09">
          <w:rPr>
            <w:rStyle w:val="Hyperlink"/>
            <w:rFonts w:asciiTheme="minorHAnsi" w:hAnsiTheme="minorHAnsi" w:cstheme="minorHAnsi"/>
            <w:color w:val="auto"/>
            <w:u w:val="none"/>
          </w:rPr>
          <w:t>4</w:t>
        </w:r>
      </w:hyperlink>
      <w:r w:rsidRPr="005D2B09">
        <w:t>.</w:t>
      </w:r>
    </w:p>
    <w:p w14:paraId="25FDE0DA" w14:textId="4FC4963E" w:rsidR="00381101" w:rsidRDefault="00381101" w:rsidP="002D6E85"/>
    <w:p w14:paraId="43C4A283" w14:textId="5D1D83B0" w:rsidR="0091503F" w:rsidRDefault="0091503F" w:rsidP="002D6E85">
      <w:r w:rsidRPr="0091503F">
        <w:rPr>
          <w:b/>
        </w:rPr>
        <w:t>Funding:</w:t>
      </w:r>
      <w:r>
        <w:t xml:space="preserve"> The GYY</w:t>
      </w:r>
      <w:r w:rsidRPr="0091503F">
        <w:t xml:space="preserve"> trial</w:t>
      </w:r>
      <w:r>
        <w:t xml:space="preserve"> and SWATs</w:t>
      </w:r>
      <w:r w:rsidRPr="0091503F">
        <w:t xml:space="preserve"> w</w:t>
      </w:r>
      <w:r>
        <w:t>ere</w:t>
      </w:r>
      <w:r w:rsidRPr="0091503F">
        <w:t xml:space="preserve"> funded by the United Kingdom National Health Service (NHS) through the National Institute for Health Research </w:t>
      </w:r>
      <w:r>
        <w:t xml:space="preserve">(NIHR) </w:t>
      </w:r>
      <w:r w:rsidRPr="0091503F">
        <w:t>Health Technology Assessment</w:t>
      </w:r>
      <w:r>
        <w:t xml:space="preserve"> (HTA)</w:t>
      </w:r>
      <w:r w:rsidRPr="0091503F">
        <w:t xml:space="preserve"> programme, open call project number 17/94/36.</w:t>
      </w:r>
    </w:p>
    <w:p w14:paraId="4F2CE2F6" w14:textId="77777777" w:rsidR="0091503F" w:rsidRDefault="0091503F" w:rsidP="002D6E85"/>
    <w:p w14:paraId="1D07D318" w14:textId="6C82A5B7" w:rsidR="00381101" w:rsidRPr="002D6E85" w:rsidRDefault="00381101" w:rsidP="002D6E85">
      <w:pPr>
        <w:rPr>
          <w:shd w:val="clear" w:color="auto" w:fill="FFFFFF"/>
        </w:rPr>
      </w:pPr>
      <w:r w:rsidRPr="00381101">
        <w:rPr>
          <w:b/>
        </w:rPr>
        <w:t>Keywords:</w:t>
      </w:r>
      <w:r>
        <w:t xml:space="preserve"> study within a trial, pen, financial incentive, recruitment, </w:t>
      </w:r>
      <w:r w:rsidR="00E4478D">
        <w:t>factorial, randomised controlled trial, older people, multimorbidity</w:t>
      </w:r>
    </w:p>
    <w:p w14:paraId="1BFE2B6E" w14:textId="77777777" w:rsidR="00AA3C1D" w:rsidRPr="00745061" w:rsidRDefault="00AA3C1D" w:rsidP="00CA01A2">
      <w:pPr>
        <w:pStyle w:val="Heading1"/>
      </w:pPr>
      <w:r w:rsidRPr="00745061">
        <w:lastRenderedPageBreak/>
        <w:t>Introduction</w:t>
      </w:r>
    </w:p>
    <w:p w14:paraId="15CBE89E" w14:textId="0908DC6D" w:rsidR="00030885" w:rsidRPr="00745061" w:rsidRDefault="00A36F67" w:rsidP="002D6E85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AA3C1D" w:rsidRPr="00745061">
        <w:rPr>
          <w:rFonts w:asciiTheme="minorHAnsi" w:hAnsiTheme="minorHAnsi" w:cstheme="minorHAnsi"/>
        </w:rPr>
        <w:t xml:space="preserve">fficient recruitment to randomised controlled trials (RCTs) is important to achieve </w:t>
      </w:r>
      <w:r w:rsidR="008374CA">
        <w:rPr>
          <w:rFonts w:asciiTheme="minorHAnsi" w:hAnsiTheme="minorHAnsi" w:cstheme="minorHAnsi"/>
        </w:rPr>
        <w:t>the</w:t>
      </w:r>
      <w:r w:rsidR="00030885" w:rsidRPr="00745061">
        <w:rPr>
          <w:rFonts w:asciiTheme="minorHAnsi" w:hAnsiTheme="minorHAnsi" w:cstheme="minorHAnsi"/>
        </w:rPr>
        <w:t xml:space="preserve"> </w:t>
      </w:r>
      <w:r w:rsidR="00AA3C1D" w:rsidRPr="00745061">
        <w:rPr>
          <w:rFonts w:asciiTheme="minorHAnsi" w:hAnsiTheme="minorHAnsi" w:cstheme="minorHAnsi"/>
        </w:rPr>
        <w:t>target</w:t>
      </w:r>
      <w:r w:rsidR="00030885" w:rsidRPr="00745061">
        <w:rPr>
          <w:rFonts w:asciiTheme="minorHAnsi" w:hAnsiTheme="minorHAnsi" w:cstheme="minorHAnsi"/>
        </w:rPr>
        <w:t xml:space="preserve"> sample size and statistical power</w:t>
      </w:r>
      <w:r w:rsidR="008374CA">
        <w:rPr>
          <w:rFonts w:asciiTheme="minorHAnsi" w:hAnsiTheme="minorHAnsi" w:cstheme="minorHAnsi"/>
        </w:rPr>
        <w:t xml:space="preserve"> within the planned budget and time frame</w:t>
      </w:r>
      <w:r w:rsidR="00030885" w:rsidRPr="00745061">
        <w:rPr>
          <w:rFonts w:asciiTheme="minorHAnsi" w:hAnsiTheme="minorHAnsi" w:cstheme="minorHAnsi"/>
        </w:rPr>
        <w:t>.</w:t>
      </w:r>
      <w:r w:rsidR="00AA3C1D" w:rsidRPr="00745061">
        <w:rPr>
          <w:rFonts w:asciiTheme="minorHAnsi" w:hAnsiTheme="minorHAnsi" w:cstheme="minorHAnsi"/>
        </w:rPr>
        <w:t xml:space="preserve"> Incentives, monetary or otherwise,</w:t>
      </w:r>
      <w:r>
        <w:rPr>
          <w:rFonts w:asciiTheme="minorHAnsi" w:hAnsiTheme="minorHAnsi" w:cstheme="minorHAnsi"/>
        </w:rPr>
        <w:t xml:space="preserve"> are sometimes</w:t>
      </w:r>
      <w:r w:rsidR="00AA3C1D" w:rsidRPr="00745061">
        <w:rPr>
          <w:rFonts w:asciiTheme="minorHAnsi" w:hAnsiTheme="minorHAnsi" w:cstheme="minorHAnsi"/>
        </w:rPr>
        <w:t xml:space="preserve"> used to increase</w:t>
      </w:r>
      <w:r w:rsidR="00A71319">
        <w:rPr>
          <w:rFonts w:asciiTheme="minorHAnsi" w:hAnsiTheme="minorHAnsi" w:cstheme="minorHAnsi"/>
        </w:rPr>
        <w:t xml:space="preserve"> trial</w:t>
      </w:r>
      <w:r w:rsidR="00AA3C1D" w:rsidRPr="00745061">
        <w:rPr>
          <w:rFonts w:asciiTheme="minorHAnsi" w:hAnsiTheme="minorHAnsi" w:cstheme="minorHAnsi"/>
        </w:rPr>
        <w:t xml:space="preserve"> recruitment</w:t>
      </w:r>
      <w:r w:rsidR="00155047">
        <w:rPr>
          <w:rFonts w:asciiTheme="minorHAnsi" w:hAnsiTheme="minorHAnsi" w:cstheme="minorHAnsi"/>
        </w:rPr>
        <w:t xml:space="preserve"> (1)</w:t>
      </w:r>
      <w:r w:rsidR="00AA3C1D" w:rsidRPr="00745061">
        <w:rPr>
          <w:rFonts w:asciiTheme="minorHAnsi" w:hAnsiTheme="minorHAnsi" w:cstheme="minorHAnsi"/>
        </w:rPr>
        <w:t xml:space="preserve">. </w:t>
      </w:r>
      <w:r w:rsidR="00030885" w:rsidRPr="00745061">
        <w:rPr>
          <w:rFonts w:asciiTheme="minorHAnsi" w:hAnsiTheme="minorHAnsi" w:cstheme="minorHAnsi"/>
        </w:rPr>
        <w:t xml:space="preserve">We </w:t>
      </w:r>
      <w:r w:rsidR="008374CA">
        <w:rPr>
          <w:rFonts w:asciiTheme="minorHAnsi" w:hAnsiTheme="minorHAnsi" w:cstheme="minorHAnsi"/>
        </w:rPr>
        <w:t>conducted</w:t>
      </w:r>
      <w:r w:rsidR="00030885" w:rsidRPr="00745061">
        <w:rPr>
          <w:rFonts w:asciiTheme="minorHAnsi" w:hAnsiTheme="minorHAnsi" w:cstheme="minorHAnsi"/>
        </w:rPr>
        <w:t xml:space="preserve"> a </w:t>
      </w:r>
      <w:r w:rsidR="00624DF5" w:rsidRPr="00745061">
        <w:rPr>
          <w:rFonts w:asciiTheme="minorHAnsi" w:hAnsiTheme="minorHAnsi" w:cstheme="minorHAnsi"/>
        </w:rPr>
        <w:t>‘</w:t>
      </w:r>
      <w:r w:rsidR="008374CA">
        <w:rPr>
          <w:rFonts w:asciiTheme="minorHAnsi" w:hAnsiTheme="minorHAnsi" w:cstheme="minorHAnsi"/>
        </w:rPr>
        <w:t>study within a trial’ (SWAT</w:t>
      </w:r>
      <w:r w:rsidR="00A71319">
        <w:rPr>
          <w:rFonts w:asciiTheme="minorHAnsi" w:hAnsiTheme="minorHAnsi" w:cstheme="minorHAnsi"/>
        </w:rPr>
        <w:t>)</w:t>
      </w:r>
      <w:r w:rsidR="00AA3C1D" w:rsidRPr="00745061">
        <w:rPr>
          <w:rFonts w:asciiTheme="minorHAnsi" w:hAnsiTheme="minorHAnsi" w:cstheme="minorHAnsi"/>
        </w:rPr>
        <w:t xml:space="preserve"> to evaluate the effects of </w:t>
      </w:r>
      <w:r w:rsidR="00624DF5" w:rsidRPr="00745061">
        <w:rPr>
          <w:rFonts w:asciiTheme="minorHAnsi" w:hAnsiTheme="minorHAnsi" w:cstheme="minorHAnsi"/>
        </w:rPr>
        <w:t>including</w:t>
      </w:r>
      <w:r w:rsidR="00AA3C1D" w:rsidRPr="00745061">
        <w:rPr>
          <w:rFonts w:asciiTheme="minorHAnsi" w:hAnsiTheme="minorHAnsi" w:cstheme="minorHAnsi"/>
        </w:rPr>
        <w:t xml:space="preserve"> a small, unconditional financial incentive and/or a pen in the </w:t>
      </w:r>
      <w:r w:rsidR="00624DF5" w:rsidRPr="00745061">
        <w:rPr>
          <w:rFonts w:asciiTheme="minorHAnsi" w:hAnsiTheme="minorHAnsi" w:cstheme="minorHAnsi"/>
        </w:rPr>
        <w:t xml:space="preserve">postal </w:t>
      </w:r>
      <w:r w:rsidR="00AA3C1D" w:rsidRPr="00745061">
        <w:rPr>
          <w:rFonts w:asciiTheme="minorHAnsi" w:hAnsiTheme="minorHAnsi" w:cstheme="minorHAnsi"/>
        </w:rPr>
        <w:t xml:space="preserve">recruitment pack on </w:t>
      </w:r>
      <w:r w:rsidR="00624DF5" w:rsidRPr="00745061">
        <w:rPr>
          <w:rFonts w:asciiTheme="minorHAnsi" w:hAnsiTheme="minorHAnsi" w:cstheme="minorHAnsi"/>
        </w:rPr>
        <w:t>the</w:t>
      </w:r>
      <w:r w:rsidR="00AA3C1D" w:rsidRPr="00745061">
        <w:rPr>
          <w:rFonts w:asciiTheme="minorHAnsi" w:hAnsiTheme="minorHAnsi" w:cstheme="minorHAnsi"/>
        </w:rPr>
        <w:t xml:space="preserve"> rate</w:t>
      </w:r>
      <w:r w:rsidR="00624DF5" w:rsidRPr="00745061">
        <w:rPr>
          <w:rFonts w:asciiTheme="minorHAnsi" w:hAnsiTheme="minorHAnsi" w:cstheme="minorHAnsi"/>
        </w:rPr>
        <w:t xml:space="preserve"> of randomisation into the host trial</w:t>
      </w:r>
      <w:r w:rsidR="00AA3C1D" w:rsidRPr="00745061">
        <w:rPr>
          <w:rFonts w:asciiTheme="minorHAnsi" w:hAnsiTheme="minorHAnsi" w:cstheme="minorHAnsi"/>
        </w:rPr>
        <w:t>.</w:t>
      </w:r>
      <w:r w:rsidR="00624DF5" w:rsidRPr="00745061">
        <w:rPr>
          <w:rFonts w:asciiTheme="minorHAnsi" w:hAnsiTheme="minorHAnsi" w:cstheme="minorHAnsi"/>
        </w:rPr>
        <w:t xml:space="preserve">  </w:t>
      </w:r>
    </w:p>
    <w:p w14:paraId="4AA7A43A" w14:textId="3C860477" w:rsidR="00030885" w:rsidRPr="00745061" w:rsidRDefault="00AA3C1D" w:rsidP="002D6E85">
      <w:pPr>
        <w:pStyle w:val="Heading1"/>
        <w:ind w:left="0" w:firstLine="0"/>
      </w:pPr>
      <w:r w:rsidRPr="00745061">
        <w:t>Methods</w:t>
      </w:r>
    </w:p>
    <w:p w14:paraId="7C6627F0" w14:textId="1A43B8CA" w:rsidR="00AA3C1D" w:rsidRPr="00745061" w:rsidRDefault="00AA3C1D" w:rsidP="00CA01A2">
      <w:pPr>
        <w:pStyle w:val="Heading2"/>
      </w:pPr>
      <w:r w:rsidRPr="00745061">
        <w:t>Design</w:t>
      </w:r>
    </w:p>
    <w:p w14:paraId="3314E9D0" w14:textId="7884CCE3" w:rsidR="00624DF5" w:rsidRPr="00745061" w:rsidRDefault="00624DF5" w:rsidP="00745061">
      <w:pPr>
        <w:spacing w:after="0" w:line="276" w:lineRule="auto"/>
        <w:rPr>
          <w:rFonts w:asciiTheme="minorHAnsi" w:hAnsiTheme="minorHAnsi" w:cstheme="minorHAnsi"/>
        </w:rPr>
      </w:pPr>
      <w:r w:rsidRPr="00745061">
        <w:rPr>
          <w:rFonts w:asciiTheme="minorHAnsi" w:hAnsiTheme="minorHAnsi" w:cstheme="minorHAnsi"/>
        </w:rPr>
        <w:t xml:space="preserve">This 2x2 </w:t>
      </w:r>
      <w:r w:rsidR="00172A6F">
        <w:rPr>
          <w:rFonts w:asciiTheme="minorHAnsi" w:hAnsiTheme="minorHAnsi" w:cstheme="minorHAnsi"/>
        </w:rPr>
        <w:t xml:space="preserve">randomised </w:t>
      </w:r>
      <w:r w:rsidR="00A71319">
        <w:rPr>
          <w:rFonts w:asciiTheme="minorHAnsi" w:hAnsiTheme="minorHAnsi" w:cstheme="minorHAnsi"/>
        </w:rPr>
        <w:t xml:space="preserve">factorial SWAT was embedded in </w:t>
      </w:r>
      <w:r w:rsidR="00CE1E20">
        <w:rPr>
          <w:rFonts w:asciiTheme="minorHAnsi" w:hAnsiTheme="minorHAnsi" w:cstheme="minorHAnsi"/>
        </w:rPr>
        <w:t>t</w:t>
      </w:r>
      <w:r w:rsidRPr="00745061">
        <w:rPr>
          <w:rFonts w:asciiTheme="minorHAnsi" w:hAnsiTheme="minorHAnsi" w:cstheme="minorHAnsi"/>
        </w:rPr>
        <w:t xml:space="preserve">he </w:t>
      </w:r>
      <w:r w:rsidR="00A71319">
        <w:rPr>
          <w:rFonts w:asciiTheme="minorHAnsi" w:hAnsiTheme="minorHAnsi" w:cstheme="minorHAnsi"/>
        </w:rPr>
        <w:t>Gentle Years Yoga (</w:t>
      </w:r>
      <w:r w:rsidRPr="00745061">
        <w:rPr>
          <w:rFonts w:asciiTheme="minorHAnsi" w:hAnsiTheme="minorHAnsi" w:cstheme="minorHAnsi"/>
        </w:rPr>
        <w:t>GYY</w:t>
      </w:r>
      <w:r w:rsidR="00A71319">
        <w:rPr>
          <w:rFonts w:asciiTheme="minorHAnsi" w:hAnsiTheme="minorHAnsi" w:cstheme="minorHAnsi"/>
        </w:rPr>
        <w:t>)</w:t>
      </w:r>
      <w:r w:rsidRPr="00745061">
        <w:rPr>
          <w:rFonts w:asciiTheme="minorHAnsi" w:hAnsiTheme="minorHAnsi" w:cstheme="minorHAnsi"/>
        </w:rPr>
        <w:t xml:space="preserve"> </w:t>
      </w:r>
      <w:r w:rsidR="00A30CE2">
        <w:rPr>
          <w:rFonts w:asciiTheme="minorHAnsi" w:hAnsiTheme="minorHAnsi" w:cstheme="minorHAnsi"/>
        </w:rPr>
        <w:t>t</w:t>
      </w:r>
      <w:r w:rsidRPr="00745061">
        <w:rPr>
          <w:rFonts w:asciiTheme="minorHAnsi" w:hAnsiTheme="minorHAnsi" w:cstheme="minorHAnsi"/>
        </w:rPr>
        <w:t xml:space="preserve">rial, </w:t>
      </w:r>
      <w:r w:rsidR="002C13FE">
        <w:rPr>
          <w:rFonts w:asciiTheme="minorHAnsi" w:hAnsiTheme="minorHAnsi" w:cstheme="minorHAnsi"/>
        </w:rPr>
        <w:t xml:space="preserve">which is </w:t>
      </w:r>
      <w:r w:rsidR="008469AC">
        <w:rPr>
          <w:rFonts w:asciiTheme="minorHAnsi" w:hAnsiTheme="minorHAnsi" w:cstheme="minorHAnsi"/>
        </w:rPr>
        <w:t>a</w:t>
      </w:r>
      <w:r w:rsidRPr="00745061">
        <w:rPr>
          <w:rFonts w:asciiTheme="minorHAnsi" w:hAnsiTheme="minorHAnsi" w:cstheme="minorHAnsi"/>
        </w:rPr>
        <w:t xml:space="preserve"> multi-centre </w:t>
      </w:r>
      <w:r w:rsidR="008469AC">
        <w:rPr>
          <w:rFonts w:asciiTheme="minorHAnsi" w:hAnsiTheme="minorHAnsi" w:cstheme="minorHAnsi"/>
        </w:rPr>
        <w:t>RCT</w:t>
      </w:r>
      <w:r w:rsidRPr="00745061">
        <w:rPr>
          <w:rFonts w:asciiTheme="minorHAnsi" w:hAnsiTheme="minorHAnsi" w:cstheme="minorHAnsi"/>
        </w:rPr>
        <w:t xml:space="preserve"> </w:t>
      </w:r>
      <w:r w:rsidR="008469AC">
        <w:rPr>
          <w:rFonts w:asciiTheme="minorHAnsi" w:hAnsiTheme="minorHAnsi" w:cstheme="minorHAnsi"/>
        </w:rPr>
        <w:t>of</w:t>
      </w:r>
      <w:r w:rsidRPr="00745061">
        <w:rPr>
          <w:rFonts w:asciiTheme="minorHAnsi" w:hAnsiTheme="minorHAnsi" w:cstheme="minorHAnsi"/>
        </w:rPr>
        <w:t xml:space="preserve"> the clinical and cost-effectiveness of </w:t>
      </w:r>
      <w:r w:rsidR="003F5F0A">
        <w:rPr>
          <w:rFonts w:asciiTheme="minorHAnsi" w:hAnsiTheme="minorHAnsi" w:cstheme="minorHAnsi"/>
        </w:rPr>
        <w:t>a</w:t>
      </w:r>
      <w:r w:rsidRPr="00745061">
        <w:rPr>
          <w:rFonts w:asciiTheme="minorHAnsi" w:hAnsiTheme="minorHAnsi" w:cstheme="minorHAnsi"/>
        </w:rPr>
        <w:t xml:space="preserve"> yoga programme for older adults with multimorbidity</w:t>
      </w:r>
      <w:r w:rsidR="001C0B5E">
        <w:rPr>
          <w:rFonts w:asciiTheme="minorHAnsi" w:hAnsiTheme="minorHAnsi" w:cstheme="minorHAnsi"/>
        </w:rPr>
        <w:t xml:space="preserve"> (</w:t>
      </w:r>
      <w:r w:rsidR="0062690F" w:rsidRPr="00745061">
        <w:rPr>
          <w:rFonts w:asciiTheme="minorHAnsi" w:hAnsiTheme="minorHAnsi" w:cstheme="minorHAnsi"/>
        </w:rPr>
        <w:t>currently recruiting</w:t>
      </w:r>
      <w:r w:rsidR="00390E38">
        <w:rPr>
          <w:rFonts w:asciiTheme="minorHAnsi" w:hAnsiTheme="minorHAnsi" w:cstheme="minorHAnsi"/>
        </w:rPr>
        <w:t xml:space="preserve">; </w:t>
      </w:r>
      <w:hyperlink r:id="rId24" w:history="1">
        <w:r w:rsidR="00390E38" w:rsidRPr="005D2B09">
          <w:rPr>
            <w:rStyle w:val="Hyperlink"/>
            <w:rFonts w:asciiTheme="minorHAnsi" w:hAnsiTheme="minorHAnsi" w:cstheme="minorHAnsi"/>
            <w:color w:val="auto"/>
            <w:u w:val="none"/>
          </w:rPr>
          <w:t>ISRCTN</w:t>
        </w:r>
      </w:hyperlink>
      <w:r w:rsidR="00390E38" w:rsidRPr="005D2B09">
        <w:t>13567538</w:t>
      </w:r>
      <w:r w:rsidR="004A27B6">
        <w:t>,</w:t>
      </w:r>
      <w:r w:rsidR="004A27B6" w:rsidRPr="005D2B09">
        <w:t xml:space="preserve"> registered </w:t>
      </w:r>
      <w:r w:rsidR="004A27B6">
        <w:t>18/03/2019</w:t>
      </w:r>
      <w:r w:rsidR="00FB5228">
        <w:t xml:space="preserve"> </w:t>
      </w:r>
      <w:hyperlink r:id="rId25" w:history="1">
        <w:r w:rsidR="00FB5228" w:rsidRPr="00321215">
          <w:rPr>
            <w:rStyle w:val="Hyperlink"/>
          </w:rPr>
          <w:t>https://www.isrctn.com/ISRCTN13567538</w:t>
        </w:r>
      </w:hyperlink>
      <w:r w:rsidR="004A27B6">
        <w:t>). The</w:t>
      </w:r>
      <w:r w:rsidR="004A27B6" w:rsidRPr="005D2B09">
        <w:t xml:space="preserve"> SWAT </w:t>
      </w:r>
      <w:r w:rsidR="004A27B6">
        <w:t xml:space="preserve">was </w:t>
      </w:r>
      <w:r w:rsidR="004A27B6" w:rsidRPr="005D2B09">
        <w:t xml:space="preserve">registered </w:t>
      </w:r>
      <w:r w:rsidR="004A27B6">
        <w:t>with the Northern I</w:t>
      </w:r>
      <w:r w:rsidR="004A27B6" w:rsidRPr="005D2B09">
        <w:t xml:space="preserve">reland </w:t>
      </w:r>
      <w:r w:rsidR="004A27B6">
        <w:t>N</w:t>
      </w:r>
      <w:r w:rsidR="004A27B6" w:rsidRPr="005D2B09">
        <w:t xml:space="preserve">etwork for </w:t>
      </w:r>
      <w:r w:rsidR="004A27B6">
        <w:t>T</w:t>
      </w:r>
      <w:r w:rsidR="004A27B6" w:rsidRPr="005D2B09">
        <w:t xml:space="preserve">rials </w:t>
      </w:r>
      <w:r w:rsidR="004A27B6">
        <w:t>M</w:t>
      </w:r>
      <w:r w:rsidR="004A27B6" w:rsidRPr="005D2B09">
        <w:t xml:space="preserve">ethodology </w:t>
      </w:r>
      <w:r w:rsidR="004A27B6">
        <w:t>R</w:t>
      </w:r>
      <w:r w:rsidR="004A27B6" w:rsidRPr="005D2B09">
        <w:t xml:space="preserve">esearch </w:t>
      </w:r>
      <w:r w:rsidR="004A27B6">
        <w:t xml:space="preserve">SWAT repository </w:t>
      </w:r>
      <w:r w:rsidR="004A27B6" w:rsidRPr="005D2B09">
        <w:t xml:space="preserve">on </w:t>
      </w:r>
      <w:r w:rsidR="004A27B6">
        <w:t>01/04/2018 (</w:t>
      </w:r>
      <w:hyperlink r:id="rId26" w:history="1">
        <w:r w:rsidR="004A27B6" w:rsidRPr="005D2B09">
          <w:rPr>
            <w:rStyle w:val="Hyperlink"/>
            <w:rFonts w:asciiTheme="minorHAnsi" w:hAnsiTheme="minorHAnsi" w:cstheme="minorHAnsi"/>
            <w:color w:val="auto"/>
            <w:u w:val="none"/>
          </w:rPr>
          <w:t>SWAT94</w:t>
        </w:r>
      </w:hyperlink>
      <w:r w:rsidR="00FB5228">
        <w:rPr>
          <w:rStyle w:val="Hyperlink"/>
          <w:rFonts w:asciiTheme="minorHAnsi" w:hAnsiTheme="minorHAnsi" w:cstheme="minorHAnsi"/>
          <w:color w:val="auto"/>
          <w:u w:val="none"/>
        </w:rPr>
        <w:t xml:space="preserve">; </w:t>
      </w:r>
      <w:hyperlink r:id="rId27" w:history="1">
        <w:r w:rsidR="00FB5228" w:rsidRPr="00321215">
          <w:rPr>
            <w:rStyle w:val="Hyperlink"/>
            <w:rFonts w:asciiTheme="minorHAnsi" w:hAnsiTheme="minorHAnsi" w:cstheme="minorHAnsi"/>
          </w:rPr>
          <w:t>https://www.qub.ac.uk/sites/TheNorthernIrelandNetworkforTrialsMethodologyResearch/SWATSWARInformation/Repositories/SWATStore/</w:t>
        </w:r>
      </w:hyperlink>
      <w:r w:rsidR="004A27B6">
        <w:rPr>
          <w:rStyle w:val="Hyperlink"/>
          <w:rFonts w:asciiTheme="minorHAnsi" w:hAnsiTheme="minorHAnsi" w:cstheme="minorHAnsi"/>
          <w:color w:val="auto"/>
          <w:u w:val="none"/>
        </w:rPr>
        <w:t>)</w:t>
      </w:r>
      <w:r w:rsidR="004A27B6" w:rsidRPr="005D2B09">
        <w:t>.</w:t>
      </w:r>
      <w:r w:rsidR="00191EBF">
        <w:t xml:space="preserve"> </w:t>
      </w:r>
      <w:r w:rsidR="00191EBF" w:rsidRPr="003534E9">
        <w:rPr>
          <w:color w:val="auto"/>
          <w:u w:color="004C7F"/>
        </w:rPr>
        <w:t>The</w:t>
      </w:r>
      <w:r w:rsidR="00DD7639">
        <w:rPr>
          <w:color w:val="auto"/>
          <w:u w:color="004C7F"/>
        </w:rPr>
        <w:t xml:space="preserve"> GYY</w:t>
      </w:r>
      <w:r w:rsidR="00191EBF" w:rsidRPr="003534E9">
        <w:rPr>
          <w:color w:val="auto"/>
          <w:u w:color="004C7F"/>
        </w:rPr>
        <w:t xml:space="preserve"> trial</w:t>
      </w:r>
      <w:r w:rsidR="00191EBF">
        <w:rPr>
          <w:color w:val="auto"/>
          <w:u w:color="004C7F"/>
        </w:rPr>
        <w:t>,</w:t>
      </w:r>
      <w:r w:rsidR="00191EBF" w:rsidRPr="003534E9">
        <w:rPr>
          <w:color w:val="auto"/>
          <w:u w:color="004C7F"/>
        </w:rPr>
        <w:t xml:space="preserve"> </w:t>
      </w:r>
      <w:r w:rsidR="00191EBF">
        <w:rPr>
          <w:color w:val="auto"/>
          <w:u w:color="004C7F"/>
        </w:rPr>
        <w:t xml:space="preserve">and its embedded sub studies, </w:t>
      </w:r>
      <w:r w:rsidR="00191EBF" w:rsidRPr="003534E9">
        <w:rPr>
          <w:color w:val="auto"/>
          <w:u w:color="004C7F"/>
        </w:rPr>
        <w:t>has approval from</w:t>
      </w:r>
      <w:r w:rsidR="009260AA">
        <w:rPr>
          <w:color w:val="auto"/>
          <w:u w:color="004C7F"/>
        </w:rPr>
        <w:t xml:space="preserve"> the</w:t>
      </w:r>
      <w:r w:rsidR="00191EBF" w:rsidRPr="003534E9">
        <w:rPr>
          <w:color w:val="auto"/>
          <w:u w:color="004C7F"/>
        </w:rPr>
        <w:t xml:space="preserve"> North East</w:t>
      </w:r>
      <w:r w:rsidR="002547C2">
        <w:rPr>
          <w:color w:val="auto"/>
          <w:u w:color="004C7F"/>
        </w:rPr>
        <w:t>–</w:t>
      </w:r>
      <w:r w:rsidR="00191EBF" w:rsidRPr="003534E9">
        <w:rPr>
          <w:color w:val="auto"/>
          <w:u w:color="004C7F"/>
        </w:rPr>
        <w:t xml:space="preserve">York Research Ethics Committee, obtained on 24 April 2019 (19/NE/0072), and </w:t>
      </w:r>
      <w:r w:rsidR="00191EBF">
        <w:rPr>
          <w:color w:val="auto"/>
          <w:u w:color="004C7F"/>
        </w:rPr>
        <w:t>th</w:t>
      </w:r>
      <w:r w:rsidR="00FB5228">
        <w:rPr>
          <w:color w:val="auto"/>
          <w:u w:color="004C7F"/>
        </w:rPr>
        <w:t>e</w:t>
      </w:r>
      <w:r w:rsidR="00191EBF">
        <w:rPr>
          <w:color w:val="auto"/>
          <w:u w:color="004C7F"/>
        </w:rPr>
        <w:t xml:space="preserve"> </w:t>
      </w:r>
      <w:r w:rsidR="00191EBF" w:rsidRPr="003534E9">
        <w:rPr>
          <w:color w:val="auto"/>
          <w:u w:color="004C7F"/>
        </w:rPr>
        <w:t>Health Research Authority.</w:t>
      </w:r>
    </w:p>
    <w:p w14:paraId="07207282" w14:textId="77777777" w:rsidR="00624DF5" w:rsidRPr="00745061" w:rsidRDefault="00624DF5" w:rsidP="00745061">
      <w:pPr>
        <w:spacing w:after="0" w:line="276" w:lineRule="auto"/>
        <w:rPr>
          <w:rFonts w:asciiTheme="minorHAnsi" w:hAnsiTheme="minorHAnsi" w:cstheme="minorHAnsi"/>
        </w:rPr>
      </w:pPr>
    </w:p>
    <w:p w14:paraId="32FA1D34" w14:textId="73B4140A" w:rsidR="00AA3C1D" w:rsidRPr="00745061" w:rsidRDefault="00AA3C1D" w:rsidP="00CA01A2">
      <w:pPr>
        <w:pStyle w:val="Heading2"/>
      </w:pPr>
      <w:r w:rsidRPr="00745061">
        <w:t>Participants</w:t>
      </w:r>
    </w:p>
    <w:p w14:paraId="316C7A70" w14:textId="4AF207AB" w:rsidR="009A6A1C" w:rsidRPr="009A6A1C" w:rsidRDefault="00624DF5" w:rsidP="008469AC">
      <w:pPr>
        <w:spacing w:after="0" w:line="276" w:lineRule="auto"/>
        <w:rPr>
          <w:rFonts w:asciiTheme="minorHAnsi" w:hAnsiTheme="minorHAnsi" w:cstheme="minorHAnsi"/>
        </w:rPr>
      </w:pPr>
      <w:r w:rsidRPr="00745061">
        <w:rPr>
          <w:rFonts w:asciiTheme="minorHAnsi" w:hAnsiTheme="minorHAnsi" w:cstheme="minorHAnsi"/>
        </w:rPr>
        <w:t>Patients who appeared to meet the GYY trial eligibility criteria</w:t>
      </w:r>
      <w:r w:rsidR="0062690F" w:rsidRPr="00745061">
        <w:rPr>
          <w:rFonts w:asciiTheme="minorHAnsi" w:hAnsiTheme="minorHAnsi" w:cstheme="minorHAnsi"/>
        </w:rPr>
        <w:t xml:space="preserve"> and were to be mailed a recruitment pack</w:t>
      </w:r>
      <w:r w:rsidRPr="00745061">
        <w:rPr>
          <w:rFonts w:asciiTheme="minorHAnsi" w:hAnsiTheme="minorHAnsi" w:cstheme="minorHAnsi"/>
        </w:rPr>
        <w:t>, as identified by four participating GP</w:t>
      </w:r>
      <w:r w:rsidR="00824703">
        <w:rPr>
          <w:rFonts w:asciiTheme="minorHAnsi" w:hAnsiTheme="minorHAnsi" w:cstheme="minorHAnsi"/>
        </w:rPr>
        <w:t xml:space="preserve"> practice</w:t>
      </w:r>
      <w:r w:rsidRPr="00745061">
        <w:rPr>
          <w:rFonts w:asciiTheme="minorHAnsi" w:hAnsiTheme="minorHAnsi" w:cstheme="minorHAnsi"/>
        </w:rPr>
        <w:t>s</w:t>
      </w:r>
      <w:r w:rsidR="0062690F" w:rsidRPr="00745061">
        <w:rPr>
          <w:rFonts w:asciiTheme="minorHAnsi" w:hAnsiTheme="minorHAnsi" w:cstheme="minorHAnsi"/>
        </w:rPr>
        <w:t>,</w:t>
      </w:r>
      <w:r w:rsidRPr="00745061">
        <w:rPr>
          <w:rFonts w:asciiTheme="minorHAnsi" w:hAnsiTheme="minorHAnsi" w:cstheme="minorHAnsi"/>
        </w:rPr>
        <w:t xml:space="preserve"> were eligible for inclusion in this methodological sub-study. </w:t>
      </w:r>
      <w:r w:rsidR="0062690F" w:rsidRPr="00745061">
        <w:rPr>
          <w:rFonts w:asciiTheme="minorHAnsi" w:hAnsiTheme="minorHAnsi" w:cstheme="minorHAnsi"/>
        </w:rPr>
        <w:t xml:space="preserve">The </w:t>
      </w:r>
      <w:r w:rsidR="00AA3C1D" w:rsidRPr="00745061">
        <w:rPr>
          <w:rFonts w:asciiTheme="minorHAnsi" w:hAnsiTheme="minorHAnsi" w:cstheme="minorHAnsi"/>
        </w:rPr>
        <w:t>recruitment pack include</w:t>
      </w:r>
      <w:r w:rsidR="0062690F" w:rsidRPr="00745061">
        <w:rPr>
          <w:rFonts w:asciiTheme="minorHAnsi" w:hAnsiTheme="minorHAnsi" w:cstheme="minorHAnsi"/>
        </w:rPr>
        <w:t>d</w:t>
      </w:r>
      <w:r w:rsidR="008469AC">
        <w:rPr>
          <w:rFonts w:asciiTheme="minorHAnsi" w:hAnsiTheme="minorHAnsi" w:cstheme="minorHAnsi"/>
        </w:rPr>
        <w:t xml:space="preserve"> an invitation letter, participant information sheet, consent form, screening form</w:t>
      </w:r>
      <w:r w:rsidR="00172A6F">
        <w:rPr>
          <w:rFonts w:asciiTheme="minorHAnsi" w:hAnsiTheme="minorHAnsi" w:cstheme="minorHAnsi"/>
        </w:rPr>
        <w:t>,</w:t>
      </w:r>
      <w:r w:rsidR="008469AC">
        <w:rPr>
          <w:rFonts w:asciiTheme="minorHAnsi" w:hAnsiTheme="minorHAnsi" w:cstheme="minorHAnsi"/>
        </w:rPr>
        <w:t xml:space="preserve"> and prepaid envelopes</w:t>
      </w:r>
      <w:r w:rsidR="00172A6F">
        <w:rPr>
          <w:rFonts w:asciiTheme="minorHAnsi" w:hAnsiTheme="minorHAnsi" w:cstheme="minorHAnsi"/>
        </w:rPr>
        <w:t xml:space="preserve"> to return documentation to the York Trials Unit, University of York</w:t>
      </w:r>
      <w:r w:rsidR="008469AC">
        <w:rPr>
          <w:rFonts w:asciiTheme="minorHAnsi" w:hAnsiTheme="minorHAnsi" w:cstheme="minorHAnsi"/>
        </w:rPr>
        <w:t>. A</w:t>
      </w:r>
      <w:r w:rsidR="00AA3C1D" w:rsidRPr="00745061">
        <w:rPr>
          <w:rFonts w:asciiTheme="minorHAnsi" w:hAnsiTheme="minorHAnsi" w:cstheme="minorHAnsi"/>
        </w:rPr>
        <w:t xml:space="preserve"> random sample of packs also include</w:t>
      </w:r>
      <w:r w:rsidR="0062690F" w:rsidRPr="00745061">
        <w:rPr>
          <w:rFonts w:asciiTheme="minorHAnsi" w:hAnsiTheme="minorHAnsi" w:cstheme="minorHAnsi"/>
        </w:rPr>
        <w:t>d</w:t>
      </w:r>
      <w:r w:rsidR="00AA3C1D" w:rsidRPr="00745061">
        <w:rPr>
          <w:rFonts w:asciiTheme="minorHAnsi" w:hAnsiTheme="minorHAnsi" w:cstheme="minorHAnsi"/>
        </w:rPr>
        <w:t xml:space="preserve"> </w:t>
      </w:r>
      <w:r w:rsidR="00B56C18">
        <w:rPr>
          <w:rFonts w:asciiTheme="minorHAnsi" w:hAnsiTheme="minorHAnsi" w:cstheme="minorHAnsi"/>
        </w:rPr>
        <w:t xml:space="preserve">a </w:t>
      </w:r>
      <w:r w:rsidR="00AA3C1D" w:rsidRPr="00745061">
        <w:rPr>
          <w:rFonts w:asciiTheme="minorHAnsi" w:hAnsiTheme="minorHAnsi" w:cstheme="minorHAnsi"/>
        </w:rPr>
        <w:t>£5</w:t>
      </w:r>
      <w:r w:rsidR="00B56C18">
        <w:rPr>
          <w:rFonts w:asciiTheme="minorHAnsi" w:hAnsiTheme="minorHAnsi" w:cstheme="minorHAnsi"/>
        </w:rPr>
        <w:t xml:space="preserve"> note</w:t>
      </w:r>
      <w:r w:rsidR="00AA3C1D" w:rsidRPr="00745061">
        <w:rPr>
          <w:rFonts w:asciiTheme="minorHAnsi" w:hAnsiTheme="minorHAnsi" w:cstheme="minorHAnsi"/>
        </w:rPr>
        <w:t xml:space="preserve"> and/or a pen</w:t>
      </w:r>
      <w:r w:rsidR="00745061" w:rsidRPr="00745061">
        <w:rPr>
          <w:rFonts w:asciiTheme="minorHAnsi" w:hAnsiTheme="minorHAnsi" w:cstheme="minorHAnsi"/>
        </w:rPr>
        <w:t xml:space="preserve"> (branded with the </w:t>
      </w:r>
      <w:r w:rsidR="002B234A">
        <w:rPr>
          <w:rFonts w:asciiTheme="minorHAnsi" w:hAnsiTheme="minorHAnsi" w:cstheme="minorHAnsi"/>
        </w:rPr>
        <w:t>trial</w:t>
      </w:r>
      <w:r w:rsidR="00745061" w:rsidRPr="00745061">
        <w:rPr>
          <w:rFonts w:asciiTheme="minorHAnsi" w:hAnsiTheme="minorHAnsi" w:cstheme="minorHAnsi"/>
        </w:rPr>
        <w:t xml:space="preserve"> logo)</w:t>
      </w:r>
      <w:r w:rsidR="00AA3C1D" w:rsidRPr="00745061">
        <w:rPr>
          <w:rFonts w:asciiTheme="minorHAnsi" w:hAnsiTheme="minorHAnsi" w:cstheme="minorHAnsi"/>
        </w:rPr>
        <w:t xml:space="preserve"> as part of </w:t>
      </w:r>
      <w:r w:rsidR="0062690F" w:rsidRPr="00745061">
        <w:rPr>
          <w:rFonts w:asciiTheme="minorHAnsi" w:hAnsiTheme="minorHAnsi" w:cstheme="minorHAnsi"/>
        </w:rPr>
        <w:t>this SWAT</w:t>
      </w:r>
      <w:r w:rsidR="009A6A1C">
        <w:rPr>
          <w:rFonts w:asciiTheme="minorHAnsi" w:hAnsiTheme="minorHAnsi" w:cstheme="minorHAnsi"/>
        </w:rPr>
        <w:t>.</w:t>
      </w:r>
      <w:r w:rsidR="008469AC">
        <w:rPr>
          <w:rFonts w:asciiTheme="minorHAnsi" w:hAnsiTheme="minorHAnsi" w:cstheme="minorHAnsi"/>
        </w:rPr>
        <w:t xml:space="preserve"> </w:t>
      </w:r>
      <w:r w:rsidR="009A6A1C">
        <w:rPr>
          <w:rFonts w:asciiTheme="minorHAnsi" w:hAnsiTheme="minorHAnsi" w:cstheme="minorHAnsi"/>
        </w:rPr>
        <w:t xml:space="preserve">The packs were sent out in August 2019. </w:t>
      </w:r>
    </w:p>
    <w:p w14:paraId="14F80C2A" w14:textId="77777777" w:rsidR="00AA3C1D" w:rsidRPr="00745061" w:rsidRDefault="00AA3C1D" w:rsidP="00745061">
      <w:pPr>
        <w:spacing w:after="0" w:line="276" w:lineRule="auto"/>
        <w:rPr>
          <w:rFonts w:asciiTheme="minorHAnsi" w:hAnsiTheme="minorHAnsi" w:cstheme="minorHAnsi"/>
        </w:rPr>
      </w:pPr>
    </w:p>
    <w:p w14:paraId="7C007996" w14:textId="344A9460" w:rsidR="00AA3C1D" w:rsidRPr="00745061" w:rsidRDefault="00AA3C1D" w:rsidP="00CA01A2">
      <w:pPr>
        <w:pStyle w:val="Heading2"/>
      </w:pPr>
      <w:r w:rsidRPr="00745061">
        <w:t>Interventions</w:t>
      </w:r>
    </w:p>
    <w:p w14:paraId="1C543311" w14:textId="1196578F" w:rsidR="00030885" w:rsidRPr="003E5DF9" w:rsidRDefault="008469AC" w:rsidP="00745061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030885" w:rsidRPr="003E5DF9">
        <w:rPr>
          <w:rFonts w:asciiTheme="minorHAnsi" w:hAnsiTheme="minorHAnsi" w:cstheme="minorHAnsi"/>
        </w:rPr>
        <w:t>inancial incentives</w:t>
      </w:r>
      <w:r>
        <w:rPr>
          <w:rFonts w:asciiTheme="minorHAnsi" w:hAnsiTheme="minorHAnsi" w:cstheme="minorHAnsi"/>
        </w:rPr>
        <w:t xml:space="preserve"> have been found to </w:t>
      </w:r>
      <w:r w:rsidR="00030885" w:rsidRPr="003E5DF9">
        <w:rPr>
          <w:rFonts w:asciiTheme="minorHAnsi" w:hAnsiTheme="minorHAnsi" w:cstheme="minorHAnsi"/>
        </w:rPr>
        <w:t>increase recruitment by 4% (95% CI -1</w:t>
      </w:r>
      <w:r w:rsidR="002547C2">
        <w:rPr>
          <w:rFonts w:asciiTheme="minorHAnsi" w:hAnsiTheme="minorHAnsi" w:cstheme="minorHAnsi"/>
        </w:rPr>
        <w:t>–</w:t>
      </w:r>
      <w:r w:rsidR="00030885" w:rsidRPr="003E5DF9">
        <w:rPr>
          <w:rFonts w:asciiTheme="minorHAnsi" w:hAnsiTheme="minorHAnsi" w:cstheme="minorHAnsi"/>
        </w:rPr>
        <w:t>8%)</w:t>
      </w:r>
      <w:r>
        <w:rPr>
          <w:rFonts w:asciiTheme="minorHAnsi" w:hAnsiTheme="minorHAnsi" w:cstheme="minorHAnsi"/>
        </w:rPr>
        <w:t xml:space="preserve"> in a meta-analysis</w:t>
      </w:r>
      <w:r w:rsidR="00BA1E34">
        <w:rPr>
          <w:rFonts w:asciiTheme="minorHAnsi" w:hAnsiTheme="minorHAnsi" w:cstheme="minorHAnsi"/>
        </w:rPr>
        <w:t xml:space="preserve"> (1)</w:t>
      </w:r>
      <w:r w:rsidR="00030885" w:rsidRPr="003E5DF9">
        <w:rPr>
          <w:rFonts w:asciiTheme="minorHAnsi" w:hAnsiTheme="minorHAnsi" w:cstheme="minorHAnsi"/>
        </w:rPr>
        <w:t xml:space="preserve">. However, most of the </w:t>
      </w:r>
      <w:r w:rsidR="008374CA">
        <w:rPr>
          <w:rFonts w:asciiTheme="minorHAnsi" w:hAnsiTheme="minorHAnsi" w:cstheme="minorHAnsi"/>
        </w:rPr>
        <w:t xml:space="preserve">included </w:t>
      </w:r>
      <w:r w:rsidR="00030885" w:rsidRPr="003E5DF9">
        <w:rPr>
          <w:rFonts w:asciiTheme="minorHAnsi" w:hAnsiTheme="minorHAnsi" w:cstheme="minorHAnsi"/>
        </w:rPr>
        <w:t>studies used an incentive of £100, which is larger than publicly</w:t>
      </w:r>
      <w:r w:rsidR="002547C2">
        <w:rPr>
          <w:rFonts w:asciiTheme="minorHAnsi" w:hAnsiTheme="minorHAnsi" w:cstheme="minorHAnsi"/>
        </w:rPr>
        <w:t xml:space="preserve"> </w:t>
      </w:r>
      <w:r w:rsidR="00030885" w:rsidRPr="003E5DF9">
        <w:rPr>
          <w:rFonts w:asciiTheme="minorHAnsi" w:hAnsiTheme="minorHAnsi" w:cstheme="minorHAnsi"/>
        </w:rPr>
        <w:t>funded trials</w:t>
      </w:r>
      <w:r w:rsidR="0062690F" w:rsidRPr="003E5DF9">
        <w:rPr>
          <w:rFonts w:asciiTheme="minorHAnsi" w:hAnsiTheme="minorHAnsi" w:cstheme="minorHAnsi"/>
        </w:rPr>
        <w:t xml:space="preserve"> can usually afford</w:t>
      </w:r>
      <w:r w:rsidR="00030885" w:rsidRPr="003E5DF9">
        <w:rPr>
          <w:rFonts w:asciiTheme="minorHAnsi" w:hAnsiTheme="minorHAnsi" w:cstheme="minorHAnsi"/>
        </w:rPr>
        <w:t xml:space="preserve">. There remains, therefore, uncertainty as to whether </w:t>
      </w:r>
      <w:r w:rsidR="0062690F" w:rsidRPr="003E5DF9">
        <w:rPr>
          <w:rFonts w:asciiTheme="minorHAnsi" w:hAnsiTheme="minorHAnsi" w:cstheme="minorHAnsi"/>
        </w:rPr>
        <w:t>financial incentives should be used and</w:t>
      </w:r>
      <w:r w:rsidR="002547C2">
        <w:rPr>
          <w:rFonts w:asciiTheme="minorHAnsi" w:hAnsiTheme="minorHAnsi" w:cstheme="minorHAnsi"/>
        </w:rPr>
        <w:t>,</w:t>
      </w:r>
      <w:r w:rsidR="0062690F" w:rsidRPr="003E5DF9">
        <w:rPr>
          <w:rFonts w:asciiTheme="minorHAnsi" w:hAnsiTheme="minorHAnsi" w:cstheme="minorHAnsi"/>
        </w:rPr>
        <w:t xml:space="preserve"> if so, what amount</w:t>
      </w:r>
      <w:r w:rsidR="00030885" w:rsidRPr="003E5DF9">
        <w:rPr>
          <w:rFonts w:asciiTheme="minorHAnsi" w:hAnsiTheme="minorHAnsi" w:cstheme="minorHAnsi"/>
        </w:rPr>
        <w:t>.</w:t>
      </w:r>
    </w:p>
    <w:p w14:paraId="6537DF87" w14:textId="77777777" w:rsidR="00030885" w:rsidRPr="00CA01A2" w:rsidRDefault="00030885" w:rsidP="00745061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bCs/>
          <w:highlight w:val="yellow"/>
        </w:rPr>
      </w:pPr>
    </w:p>
    <w:p w14:paraId="1CC1FC8C" w14:textId="3582EB16" w:rsidR="00030885" w:rsidRPr="00745061" w:rsidRDefault="00CA7DB4" w:rsidP="00745061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30885" w:rsidRPr="00FD3E5C">
        <w:rPr>
          <w:rFonts w:asciiTheme="minorHAnsi" w:hAnsiTheme="minorHAnsi" w:cstheme="minorHAnsi"/>
        </w:rPr>
        <w:t xml:space="preserve">ffering a potential </w:t>
      </w:r>
      <w:proofErr w:type="gramStart"/>
      <w:r w:rsidR="00030885" w:rsidRPr="00FD3E5C">
        <w:rPr>
          <w:rFonts w:asciiTheme="minorHAnsi" w:hAnsiTheme="minorHAnsi" w:cstheme="minorHAnsi"/>
        </w:rPr>
        <w:t>participant</w:t>
      </w:r>
      <w:proofErr w:type="gramEnd"/>
      <w:r w:rsidR="00030885" w:rsidRPr="00FD3E5C">
        <w:rPr>
          <w:rFonts w:asciiTheme="minorHAnsi" w:hAnsiTheme="minorHAnsi" w:cstheme="minorHAnsi"/>
        </w:rPr>
        <w:t xml:space="preserve"> a gift such as a pen may make the</w:t>
      </w:r>
      <w:r>
        <w:rPr>
          <w:rFonts w:asciiTheme="minorHAnsi" w:hAnsiTheme="minorHAnsi" w:cstheme="minorHAnsi"/>
        </w:rPr>
        <w:t>m</w:t>
      </w:r>
      <w:r w:rsidR="00030885" w:rsidRPr="00FD3E5C">
        <w:rPr>
          <w:rFonts w:asciiTheme="minorHAnsi" w:hAnsiTheme="minorHAnsi" w:cstheme="minorHAnsi"/>
        </w:rPr>
        <w:t xml:space="preserve"> more likely to take up the invitation to enrol</w:t>
      </w:r>
      <w:r>
        <w:rPr>
          <w:rFonts w:asciiTheme="minorHAnsi" w:hAnsiTheme="minorHAnsi" w:cstheme="minorHAnsi"/>
        </w:rPr>
        <w:t xml:space="preserve"> in a trial</w:t>
      </w:r>
      <w:r w:rsidR="00030885" w:rsidRPr="00FD3E5C">
        <w:rPr>
          <w:rFonts w:asciiTheme="minorHAnsi" w:hAnsiTheme="minorHAnsi" w:cstheme="minorHAnsi"/>
        </w:rPr>
        <w:t xml:space="preserve">. It is also possible that the convenience of having a pen to hand upon receipt of the invitation may </w:t>
      </w:r>
      <w:r w:rsidR="00FD3E5C" w:rsidRPr="00FD3E5C">
        <w:rPr>
          <w:rFonts w:asciiTheme="minorHAnsi" w:hAnsiTheme="minorHAnsi" w:cstheme="minorHAnsi"/>
        </w:rPr>
        <w:t>help facilitate a swifter response</w:t>
      </w:r>
      <w:r w:rsidR="00030885" w:rsidRPr="00FD3E5C">
        <w:rPr>
          <w:rFonts w:asciiTheme="minorHAnsi" w:hAnsiTheme="minorHAnsi" w:cstheme="minorHAnsi"/>
        </w:rPr>
        <w:t xml:space="preserve">. </w:t>
      </w:r>
      <w:r w:rsidR="00FD3E5C" w:rsidRPr="00FD3E5C">
        <w:rPr>
          <w:rFonts w:asciiTheme="minorHAnsi" w:hAnsiTheme="minorHAnsi" w:cstheme="minorHAnsi"/>
        </w:rPr>
        <w:t>However,</w:t>
      </w:r>
      <w:r w:rsidR="00FD3E5C">
        <w:rPr>
          <w:rFonts w:asciiTheme="minorHAnsi" w:hAnsiTheme="minorHAnsi" w:cstheme="minorHAnsi"/>
        </w:rPr>
        <w:t xml:space="preserve"> a</w:t>
      </w:r>
      <w:r w:rsidR="009A25D0">
        <w:rPr>
          <w:rFonts w:asciiTheme="minorHAnsi" w:hAnsiTheme="minorHAnsi" w:cstheme="minorHAnsi"/>
        </w:rPr>
        <w:t xml:space="preserve"> previous SWAT conducted by the York Trials Unit evaluate</w:t>
      </w:r>
      <w:r w:rsidR="00766294">
        <w:rPr>
          <w:rFonts w:asciiTheme="minorHAnsi" w:hAnsiTheme="minorHAnsi" w:cstheme="minorHAnsi"/>
        </w:rPr>
        <w:t>d</w:t>
      </w:r>
      <w:r w:rsidR="009A25D0">
        <w:rPr>
          <w:rFonts w:asciiTheme="minorHAnsi" w:hAnsiTheme="minorHAnsi" w:cstheme="minorHAnsi"/>
        </w:rPr>
        <w:t xml:space="preserve"> the use of p</w:t>
      </w:r>
      <w:r w:rsidR="009A25D0" w:rsidRPr="009A25D0">
        <w:rPr>
          <w:rFonts w:asciiTheme="minorHAnsi" w:hAnsiTheme="minorHAnsi" w:cstheme="minorHAnsi"/>
        </w:rPr>
        <w:t>ens as an incentive for recruitment</w:t>
      </w:r>
      <w:r w:rsidR="006F19AB">
        <w:rPr>
          <w:rFonts w:asciiTheme="minorHAnsi" w:hAnsiTheme="minorHAnsi" w:cstheme="minorHAnsi"/>
        </w:rPr>
        <w:t xml:space="preserve"> into the OTIS trial</w:t>
      </w:r>
      <w:r w:rsidR="009A25D0" w:rsidRPr="009A25D0">
        <w:rPr>
          <w:rFonts w:asciiTheme="minorHAnsi" w:hAnsiTheme="minorHAnsi" w:cstheme="minorHAnsi"/>
        </w:rPr>
        <w:t xml:space="preserve"> of older adults</w:t>
      </w:r>
      <w:r w:rsidR="009A25D0">
        <w:rPr>
          <w:rFonts w:asciiTheme="minorHAnsi" w:hAnsiTheme="minorHAnsi" w:cstheme="minorHAnsi"/>
        </w:rPr>
        <w:t xml:space="preserve"> </w:t>
      </w:r>
      <w:r w:rsidR="00766294">
        <w:rPr>
          <w:rFonts w:asciiTheme="minorHAnsi" w:hAnsiTheme="minorHAnsi" w:cstheme="minorHAnsi"/>
        </w:rPr>
        <w:t xml:space="preserve">and </w:t>
      </w:r>
      <w:r w:rsidR="009A25D0">
        <w:rPr>
          <w:rFonts w:asciiTheme="minorHAnsi" w:hAnsiTheme="minorHAnsi" w:cstheme="minorHAnsi"/>
        </w:rPr>
        <w:t xml:space="preserve">showed no difference </w:t>
      </w:r>
      <w:r w:rsidR="00766294">
        <w:rPr>
          <w:rFonts w:asciiTheme="minorHAnsi" w:hAnsiTheme="minorHAnsi" w:cstheme="minorHAnsi"/>
        </w:rPr>
        <w:t>on</w:t>
      </w:r>
      <w:r w:rsidR="009A25D0">
        <w:rPr>
          <w:rFonts w:asciiTheme="minorHAnsi" w:hAnsiTheme="minorHAnsi" w:cstheme="minorHAnsi"/>
        </w:rPr>
        <w:t xml:space="preserve"> </w:t>
      </w:r>
      <w:r w:rsidR="006F19AB">
        <w:rPr>
          <w:rFonts w:asciiTheme="minorHAnsi" w:hAnsiTheme="minorHAnsi" w:cstheme="minorHAnsi"/>
        </w:rPr>
        <w:t>randomisation</w:t>
      </w:r>
      <w:r w:rsidR="009A25D0">
        <w:rPr>
          <w:rFonts w:asciiTheme="minorHAnsi" w:hAnsiTheme="minorHAnsi" w:cstheme="minorHAnsi"/>
        </w:rPr>
        <w:t xml:space="preserve"> rate (</w:t>
      </w:r>
      <w:r w:rsidR="009A25D0">
        <w:rPr>
          <w:shd w:val="clear" w:color="auto" w:fill="FFFFFF"/>
        </w:rPr>
        <w:t>pen 4.5%; no pen 4.3%, odds ratio</w:t>
      </w:r>
      <w:r w:rsidR="008374CA">
        <w:rPr>
          <w:shd w:val="clear" w:color="auto" w:fill="FFFFFF"/>
        </w:rPr>
        <w:t xml:space="preserve"> (OR)</w:t>
      </w:r>
      <w:r w:rsidR="009A25D0">
        <w:rPr>
          <w:shd w:val="clear" w:color="auto" w:fill="FFFFFF"/>
        </w:rPr>
        <w:t xml:space="preserve"> 1.04, 95% CI 0.65</w:t>
      </w:r>
      <w:r w:rsidR="002547C2">
        <w:rPr>
          <w:shd w:val="clear" w:color="auto" w:fill="FFFFFF"/>
        </w:rPr>
        <w:t>–</w:t>
      </w:r>
      <w:r w:rsidR="009A25D0">
        <w:rPr>
          <w:shd w:val="clear" w:color="auto" w:fill="FFFFFF"/>
        </w:rPr>
        <w:t>1.67, p=0.86)</w:t>
      </w:r>
      <w:r w:rsidR="00FD3E5C">
        <w:rPr>
          <w:shd w:val="clear" w:color="auto" w:fill="FFFFFF"/>
        </w:rPr>
        <w:t>, screening rate (pen 14.2%, no pen 11.7%, OR 1.25, 95% CI 0.94</w:t>
      </w:r>
      <w:r w:rsidR="002547C2">
        <w:rPr>
          <w:shd w:val="clear" w:color="auto" w:fill="FFFFFF"/>
        </w:rPr>
        <w:t>–</w:t>
      </w:r>
      <w:r w:rsidR="00FD3E5C">
        <w:rPr>
          <w:shd w:val="clear" w:color="auto" w:fill="FFFFFF"/>
        </w:rPr>
        <w:t>1.67, p=0.12)</w:t>
      </w:r>
      <w:r w:rsidR="00AB7ADB">
        <w:rPr>
          <w:shd w:val="clear" w:color="auto" w:fill="FFFFFF"/>
        </w:rPr>
        <w:t>,</w:t>
      </w:r>
      <w:r w:rsidR="00FD3E5C">
        <w:rPr>
          <w:shd w:val="clear" w:color="auto" w:fill="FFFFFF"/>
        </w:rPr>
        <w:t xml:space="preserve"> or time to return screening form (</w:t>
      </w:r>
      <w:r w:rsidR="008374CA">
        <w:rPr>
          <w:shd w:val="clear" w:color="auto" w:fill="FFFFFF"/>
        </w:rPr>
        <w:t>hazard ratio (</w:t>
      </w:r>
      <w:r w:rsidR="00047F57">
        <w:rPr>
          <w:shd w:val="clear" w:color="auto" w:fill="FFFFFF"/>
        </w:rPr>
        <w:t>HR</w:t>
      </w:r>
      <w:r w:rsidR="008374CA">
        <w:rPr>
          <w:shd w:val="clear" w:color="auto" w:fill="FFFFFF"/>
        </w:rPr>
        <w:t>)</w:t>
      </w:r>
      <w:r w:rsidR="00047F57">
        <w:rPr>
          <w:shd w:val="clear" w:color="auto" w:fill="FFFFFF"/>
        </w:rPr>
        <w:t xml:space="preserve"> 1.23, 95% CI 0.94</w:t>
      </w:r>
      <w:r w:rsidR="002547C2">
        <w:rPr>
          <w:shd w:val="clear" w:color="auto" w:fill="FFFFFF"/>
        </w:rPr>
        <w:t>–</w:t>
      </w:r>
      <w:r w:rsidR="00047F57">
        <w:rPr>
          <w:shd w:val="clear" w:color="auto" w:fill="FFFFFF"/>
        </w:rPr>
        <w:lastRenderedPageBreak/>
        <w:t>1.60, p=0.13</w:t>
      </w:r>
      <w:r w:rsidR="00FD3E5C">
        <w:rPr>
          <w:shd w:val="clear" w:color="auto" w:fill="FFFFFF"/>
        </w:rPr>
        <w:t>)</w:t>
      </w:r>
      <w:r w:rsidR="00BA1E34">
        <w:rPr>
          <w:shd w:val="clear" w:color="auto" w:fill="FFFFFF"/>
        </w:rPr>
        <w:t xml:space="preserve"> (2)</w:t>
      </w:r>
      <w:r w:rsidR="009A25D0">
        <w:rPr>
          <w:shd w:val="clear" w:color="auto" w:fill="FFFFFF"/>
        </w:rPr>
        <w:t>.</w:t>
      </w:r>
      <w:r w:rsidR="00FD3E5C">
        <w:rPr>
          <w:shd w:val="clear" w:color="auto" w:fill="FFFFFF"/>
        </w:rPr>
        <w:t xml:space="preserve"> To our knowledge, this is the only</w:t>
      </w:r>
      <w:r w:rsidR="00BF5332">
        <w:rPr>
          <w:shd w:val="clear" w:color="auto" w:fill="FFFFFF"/>
        </w:rPr>
        <w:t xml:space="preserve"> previous</w:t>
      </w:r>
      <w:r w:rsidR="00FD3E5C">
        <w:rPr>
          <w:shd w:val="clear" w:color="auto" w:fill="FFFFFF"/>
        </w:rPr>
        <w:t xml:space="preserve"> RCT to evaluate pens to increase trial recruitment</w:t>
      </w:r>
      <w:r w:rsidR="00D22280">
        <w:rPr>
          <w:shd w:val="clear" w:color="auto" w:fill="FFFFFF"/>
        </w:rPr>
        <w:t>,</w:t>
      </w:r>
      <w:r w:rsidR="00FD3E5C">
        <w:rPr>
          <w:shd w:val="clear" w:color="auto" w:fill="FFFFFF"/>
        </w:rPr>
        <w:t xml:space="preserve"> so more evidence </w:t>
      </w:r>
      <w:r w:rsidR="002B234A">
        <w:rPr>
          <w:shd w:val="clear" w:color="auto" w:fill="FFFFFF"/>
        </w:rPr>
        <w:t xml:space="preserve">is </w:t>
      </w:r>
      <w:r w:rsidR="00FD3E5C">
        <w:rPr>
          <w:shd w:val="clear" w:color="auto" w:fill="FFFFFF"/>
        </w:rPr>
        <w:t>needed</w:t>
      </w:r>
      <w:r w:rsidR="00BF5332">
        <w:rPr>
          <w:shd w:val="clear" w:color="auto" w:fill="FFFFFF"/>
        </w:rPr>
        <w:t>; hence, we conducted this SWAT</w:t>
      </w:r>
      <w:r w:rsidR="00FD3E5C">
        <w:rPr>
          <w:shd w:val="clear" w:color="auto" w:fill="FFFFFF"/>
        </w:rPr>
        <w:t>.</w:t>
      </w:r>
    </w:p>
    <w:p w14:paraId="5902468C" w14:textId="77777777" w:rsidR="00030885" w:rsidRPr="00745061" w:rsidRDefault="00030885" w:rsidP="00745061">
      <w:pPr>
        <w:spacing w:after="0" w:line="276" w:lineRule="auto"/>
        <w:rPr>
          <w:rFonts w:asciiTheme="minorHAnsi" w:hAnsiTheme="minorHAnsi" w:cstheme="minorHAnsi"/>
        </w:rPr>
      </w:pPr>
    </w:p>
    <w:p w14:paraId="796FCE70" w14:textId="18929A2D" w:rsidR="00021883" w:rsidRPr="00CA01A2" w:rsidRDefault="00021883" w:rsidP="00CA01A2">
      <w:pPr>
        <w:pStyle w:val="Heading2"/>
      </w:pPr>
      <w:r w:rsidRPr="00CA01A2">
        <w:t xml:space="preserve">Outcome measures </w:t>
      </w:r>
    </w:p>
    <w:p w14:paraId="0AFB3E08" w14:textId="7185B076" w:rsidR="00021883" w:rsidRPr="00745061" w:rsidRDefault="00021883" w:rsidP="00745061">
      <w:pPr>
        <w:spacing w:after="0" w:line="276" w:lineRule="auto"/>
        <w:ind w:left="-5" w:right="13"/>
        <w:rPr>
          <w:rFonts w:asciiTheme="minorHAnsi" w:hAnsiTheme="minorHAnsi" w:cstheme="minorHAnsi"/>
        </w:rPr>
      </w:pPr>
      <w:r w:rsidRPr="00745061">
        <w:rPr>
          <w:rFonts w:asciiTheme="minorHAnsi" w:hAnsiTheme="minorHAnsi" w:cstheme="minorHAnsi"/>
        </w:rPr>
        <w:t xml:space="preserve">The primary outcome was </w:t>
      </w:r>
      <w:r w:rsidR="00CA01A2">
        <w:rPr>
          <w:rFonts w:asciiTheme="minorHAnsi" w:hAnsiTheme="minorHAnsi" w:cstheme="minorHAnsi"/>
        </w:rPr>
        <w:t>randomisation</w:t>
      </w:r>
      <w:r w:rsidRPr="00745061">
        <w:rPr>
          <w:rFonts w:asciiTheme="minorHAnsi" w:hAnsiTheme="minorHAnsi" w:cstheme="minorHAnsi"/>
        </w:rPr>
        <w:t xml:space="preserve"> into the </w:t>
      </w:r>
      <w:r w:rsidR="00F47600" w:rsidRPr="00745061">
        <w:rPr>
          <w:rFonts w:asciiTheme="minorHAnsi" w:hAnsiTheme="minorHAnsi" w:cstheme="minorHAnsi"/>
        </w:rPr>
        <w:t xml:space="preserve">host </w:t>
      </w:r>
      <w:r w:rsidRPr="00745061">
        <w:rPr>
          <w:rFonts w:asciiTheme="minorHAnsi" w:hAnsiTheme="minorHAnsi" w:cstheme="minorHAnsi"/>
        </w:rPr>
        <w:t>GYY trial. Secondary outcomes were</w:t>
      </w:r>
      <w:r w:rsidR="006337DE" w:rsidRPr="00745061">
        <w:rPr>
          <w:rFonts w:asciiTheme="minorHAnsi" w:hAnsiTheme="minorHAnsi" w:cstheme="minorHAnsi"/>
        </w:rPr>
        <w:t xml:space="preserve"> </w:t>
      </w:r>
      <w:r w:rsidR="00CA01A2">
        <w:rPr>
          <w:rFonts w:asciiTheme="minorHAnsi" w:hAnsiTheme="minorHAnsi" w:cstheme="minorHAnsi"/>
        </w:rPr>
        <w:t>return</w:t>
      </w:r>
      <w:r w:rsidR="006337DE" w:rsidRPr="00745061">
        <w:rPr>
          <w:rFonts w:asciiTheme="minorHAnsi" w:hAnsiTheme="minorHAnsi" w:cstheme="minorHAnsi"/>
        </w:rPr>
        <w:t>, and time to return,</w:t>
      </w:r>
      <w:r w:rsidRPr="00745061">
        <w:rPr>
          <w:rFonts w:asciiTheme="minorHAnsi" w:hAnsiTheme="minorHAnsi" w:cstheme="minorHAnsi"/>
        </w:rPr>
        <w:t xml:space="preserve"> </w:t>
      </w:r>
      <w:r w:rsidR="00CA01A2">
        <w:rPr>
          <w:rFonts w:asciiTheme="minorHAnsi" w:hAnsiTheme="minorHAnsi" w:cstheme="minorHAnsi"/>
        </w:rPr>
        <w:t xml:space="preserve">of </w:t>
      </w:r>
      <w:r w:rsidRPr="00745061">
        <w:rPr>
          <w:rFonts w:asciiTheme="minorHAnsi" w:hAnsiTheme="minorHAnsi" w:cstheme="minorHAnsi"/>
        </w:rPr>
        <w:t>a screening form</w:t>
      </w:r>
      <w:r w:rsidR="008860D8">
        <w:rPr>
          <w:rFonts w:asciiTheme="minorHAnsi" w:hAnsiTheme="minorHAnsi" w:cstheme="minorHAnsi"/>
        </w:rPr>
        <w:t xml:space="preserve"> to the </w:t>
      </w:r>
      <w:r w:rsidR="00C44CBF">
        <w:rPr>
          <w:rFonts w:asciiTheme="minorHAnsi" w:hAnsiTheme="minorHAnsi" w:cstheme="minorHAnsi"/>
        </w:rPr>
        <w:t>York Trials Unit</w:t>
      </w:r>
      <w:r w:rsidRPr="00745061">
        <w:rPr>
          <w:rFonts w:asciiTheme="minorHAnsi" w:hAnsiTheme="minorHAnsi" w:cstheme="minorHAnsi"/>
        </w:rPr>
        <w:t xml:space="preserve">. The cost per </w:t>
      </w:r>
      <w:r w:rsidR="00AA4110" w:rsidRPr="00745061">
        <w:rPr>
          <w:rFonts w:asciiTheme="minorHAnsi" w:hAnsiTheme="minorHAnsi" w:cstheme="minorHAnsi"/>
        </w:rPr>
        <w:t xml:space="preserve">additional </w:t>
      </w:r>
      <w:r w:rsidRPr="00745061">
        <w:rPr>
          <w:rFonts w:asciiTheme="minorHAnsi" w:hAnsiTheme="minorHAnsi" w:cstheme="minorHAnsi"/>
        </w:rPr>
        <w:t xml:space="preserve">participant recruited was calculated for each intervention. </w:t>
      </w:r>
    </w:p>
    <w:p w14:paraId="63877CCA" w14:textId="25B2511C" w:rsidR="00021883" w:rsidRPr="00745061" w:rsidRDefault="00021883" w:rsidP="002D6E85">
      <w:pPr>
        <w:spacing w:after="0" w:line="276" w:lineRule="auto"/>
        <w:ind w:left="0" w:firstLine="0"/>
        <w:rPr>
          <w:rFonts w:asciiTheme="minorHAnsi" w:hAnsiTheme="minorHAnsi" w:cstheme="minorHAnsi"/>
        </w:rPr>
      </w:pPr>
    </w:p>
    <w:p w14:paraId="44DE58F1" w14:textId="75A1B6E3" w:rsidR="00B551E0" w:rsidRPr="00CA01A2" w:rsidRDefault="00B551E0" w:rsidP="00CA01A2">
      <w:pPr>
        <w:pStyle w:val="Heading2"/>
      </w:pPr>
      <w:r w:rsidRPr="00CA01A2">
        <w:t>Sample size and randomisation</w:t>
      </w:r>
    </w:p>
    <w:p w14:paraId="6B226CDE" w14:textId="7C89AD9A" w:rsidR="00B937B3" w:rsidRPr="00745061" w:rsidRDefault="00B551E0" w:rsidP="00745061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/>
        </w:rPr>
      </w:pPr>
      <w:r w:rsidRPr="00745061">
        <w:rPr>
          <w:rFonts w:asciiTheme="minorHAnsi" w:hAnsiTheme="minorHAnsi" w:cstheme="minorHAnsi"/>
        </w:rPr>
        <w:t xml:space="preserve">Due to financial restrictions, </w:t>
      </w:r>
      <w:r w:rsidR="009F18B3" w:rsidRPr="00745061">
        <w:rPr>
          <w:rFonts w:asciiTheme="minorHAnsi" w:hAnsiTheme="minorHAnsi" w:cstheme="minorHAnsi"/>
        </w:rPr>
        <w:t>we could afford to</w:t>
      </w:r>
      <w:r w:rsidRPr="00745061">
        <w:rPr>
          <w:rFonts w:asciiTheme="minorHAnsi" w:hAnsiTheme="minorHAnsi" w:cstheme="minorHAnsi"/>
        </w:rPr>
        <w:t xml:space="preserve"> involv</w:t>
      </w:r>
      <w:r w:rsidR="009F18B3" w:rsidRPr="00745061">
        <w:rPr>
          <w:rFonts w:asciiTheme="minorHAnsi" w:hAnsiTheme="minorHAnsi" w:cstheme="minorHAnsi"/>
        </w:rPr>
        <w:t>e</w:t>
      </w:r>
      <w:r w:rsidRPr="00745061">
        <w:rPr>
          <w:rFonts w:asciiTheme="minorHAnsi" w:hAnsiTheme="minorHAnsi" w:cstheme="minorHAnsi"/>
        </w:rPr>
        <w:t xml:space="preserve"> a sample of 850 </w:t>
      </w:r>
      <w:r w:rsidR="00CA01A2">
        <w:rPr>
          <w:rFonts w:asciiTheme="minorHAnsi" w:hAnsiTheme="minorHAnsi" w:cstheme="minorHAnsi"/>
        </w:rPr>
        <w:t>recruitment packs</w:t>
      </w:r>
      <w:r w:rsidRPr="00745061">
        <w:rPr>
          <w:rFonts w:asciiTheme="minorHAnsi" w:hAnsiTheme="minorHAnsi" w:cstheme="minorHAnsi"/>
        </w:rPr>
        <w:t xml:space="preserve"> in this </w:t>
      </w:r>
      <w:r w:rsidR="009F18B3" w:rsidRPr="00745061">
        <w:rPr>
          <w:rFonts w:asciiTheme="minorHAnsi" w:hAnsiTheme="minorHAnsi" w:cstheme="minorHAnsi"/>
        </w:rPr>
        <w:t>SWAT</w:t>
      </w:r>
      <w:r w:rsidRPr="00745061">
        <w:rPr>
          <w:rFonts w:asciiTheme="minorHAnsi" w:hAnsiTheme="minorHAnsi" w:cstheme="minorHAnsi"/>
        </w:rPr>
        <w:t>. This would give 80% power (two-sided α=0.05) to detect a difference in recruitment rate of 4% (from 3% to 7%) for either of the interventions, relative to not receiving that intervention.</w:t>
      </w:r>
      <w:r w:rsidR="00B937B3" w:rsidRPr="00745061">
        <w:rPr>
          <w:rFonts w:asciiTheme="minorHAnsi" w:hAnsiTheme="minorHAnsi" w:cstheme="minorHAnsi"/>
          <w:bCs/>
        </w:rPr>
        <w:t xml:space="preserve"> </w:t>
      </w:r>
    </w:p>
    <w:p w14:paraId="73FC86C5" w14:textId="77777777" w:rsidR="00B937B3" w:rsidRPr="00745061" w:rsidRDefault="00B937B3" w:rsidP="00745061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/>
        </w:rPr>
      </w:pPr>
    </w:p>
    <w:p w14:paraId="2373E53B" w14:textId="1E665C7B" w:rsidR="00BA1A36" w:rsidRDefault="00B937B3" w:rsidP="00745061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/>
        </w:rPr>
      </w:pPr>
      <w:r w:rsidRPr="00745061">
        <w:rPr>
          <w:rFonts w:asciiTheme="minorHAnsi" w:hAnsiTheme="minorHAnsi" w:cstheme="minorHAnsi"/>
          <w:bCs/>
        </w:rPr>
        <w:t xml:space="preserve">Block randomisation </w:t>
      </w:r>
      <w:r w:rsidR="006337DE" w:rsidRPr="00745061">
        <w:rPr>
          <w:rFonts w:asciiTheme="minorHAnsi" w:hAnsiTheme="minorHAnsi" w:cstheme="minorHAnsi"/>
          <w:bCs/>
        </w:rPr>
        <w:t>of</w:t>
      </w:r>
      <w:r w:rsidRPr="00745061">
        <w:rPr>
          <w:rFonts w:asciiTheme="minorHAnsi" w:hAnsiTheme="minorHAnsi" w:cstheme="minorHAnsi"/>
          <w:bCs/>
        </w:rPr>
        <w:t xml:space="preserve"> size 4 was used to </w:t>
      </w:r>
      <w:r w:rsidR="006337DE" w:rsidRPr="00745061">
        <w:rPr>
          <w:rFonts w:asciiTheme="minorHAnsi" w:hAnsiTheme="minorHAnsi" w:cstheme="minorHAnsi"/>
          <w:bCs/>
        </w:rPr>
        <w:t>allocate</w:t>
      </w:r>
      <w:r w:rsidRPr="00745061">
        <w:rPr>
          <w:rFonts w:asciiTheme="minorHAnsi" w:hAnsiTheme="minorHAnsi" w:cstheme="minorHAnsi"/>
          <w:bCs/>
        </w:rPr>
        <w:t xml:space="preserve"> recruitment packs 1:1:1:1 to: no pen </w:t>
      </w:r>
      <w:r w:rsidR="006337DE" w:rsidRPr="00745061">
        <w:rPr>
          <w:rFonts w:asciiTheme="minorHAnsi" w:hAnsiTheme="minorHAnsi" w:cstheme="minorHAnsi"/>
          <w:bCs/>
        </w:rPr>
        <w:t>or</w:t>
      </w:r>
      <w:r w:rsidRPr="00745061">
        <w:rPr>
          <w:rFonts w:asciiTheme="minorHAnsi" w:hAnsiTheme="minorHAnsi" w:cstheme="minorHAnsi"/>
          <w:bCs/>
        </w:rPr>
        <w:t xml:space="preserve"> £5; £5 only; pen only; or pen and £5. A trial statistician, not involved in the production of recruitment packs or recruitment of participants, generated the sequence using Stata v15</w:t>
      </w:r>
      <w:r w:rsidR="00AE4922">
        <w:rPr>
          <w:rFonts w:asciiTheme="minorHAnsi" w:hAnsiTheme="minorHAnsi" w:cstheme="minorHAnsi"/>
          <w:bCs/>
        </w:rPr>
        <w:t xml:space="preserve"> (RRID: </w:t>
      </w:r>
      <w:r w:rsidR="00AE4922" w:rsidRPr="007A311E">
        <w:rPr>
          <w:rFonts w:asciiTheme="minorHAnsi" w:hAnsiTheme="minorHAnsi" w:cstheme="minorHAnsi"/>
          <w:color w:val="auto"/>
        </w:rPr>
        <w:t>SCR_012763</w:t>
      </w:r>
      <w:r w:rsidR="00AE4922">
        <w:rPr>
          <w:rFonts w:asciiTheme="minorHAnsi" w:hAnsiTheme="minorHAnsi" w:cstheme="minorHAnsi"/>
          <w:bCs/>
        </w:rPr>
        <w:t>)</w:t>
      </w:r>
      <w:r w:rsidRPr="00745061">
        <w:rPr>
          <w:rFonts w:asciiTheme="minorHAnsi" w:hAnsiTheme="minorHAnsi" w:cstheme="minorHAnsi"/>
          <w:bCs/>
        </w:rPr>
        <w:t>.</w:t>
      </w:r>
      <w:r w:rsidR="00AE4922">
        <w:rPr>
          <w:rFonts w:asciiTheme="minorHAnsi" w:hAnsiTheme="minorHAnsi" w:cstheme="minorHAnsi"/>
          <w:bCs/>
        </w:rPr>
        <w:t xml:space="preserve"> </w:t>
      </w:r>
      <w:r w:rsidR="00AE4922" w:rsidRPr="007A311E">
        <w:rPr>
          <w:rFonts w:asciiTheme="minorHAnsi" w:hAnsiTheme="minorHAnsi" w:cstheme="minorHAnsi"/>
        </w:rPr>
        <w:t>Stata is a</w:t>
      </w:r>
      <w:r w:rsidR="00AE4922" w:rsidRPr="007A311E">
        <w:rPr>
          <w:rFonts w:asciiTheme="minorHAnsi" w:hAnsiTheme="minorHAnsi" w:cstheme="minorHAnsi"/>
          <w:color w:val="auto"/>
        </w:rPr>
        <w:t xml:space="preserve"> proprietary software</w:t>
      </w:r>
      <w:r w:rsidR="00E56F78">
        <w:rPr>
          <w:rFonts w:asciiTheme="minorHAnsi" w:hAnsiTheme="minorHAnsi" w:cstheme="minorHAnsi"/>
          <w:color w:val="auto"/>
        </w:rPr>
        <w:t xml:space="preserve"> but an open-access alternative in which the sequence could have been generated is Microsoft Excel</w:t>
      </w:r>
      <w:r w:rsidR="00E56F78" w:rsidRPr="00E56F78">
        <w:rPr>
          <w:rFonts w:asciiTheme="minorHAnsi" w:hAnsiTheme="minorHAnsi" w:cstheme="minorHAnsi"/>
          <w:color w:val="auto"/>
        </w:rPr>
        <w:t xml:space="preserve"> </w:t>
      </w:r>
      <w:r w:rsidR="00E56F78">
        <w:rPr>
          <w:rFonts w:asciiTheme="minorHAnsi" w:hAnsiTheme="minorHAnsi" w:cstheme="minorHAnsi"/>
          <w:color w:val="auto"/>
        </w:rPr>
        <w:t>(</w:t>
      </w:r>
      <w:r w:rsidR="00E56F78" w:rsidRPr="00E56F78">
        <w:rPr>
          <w:rFonts w:asciiTheme="minorHAnsi" w:hAnsiTheme="minorHAnsi" w:cstheme="minorHAnsi"/>
          <w:color w:val="auto"/>
        </w:rPr>
        <w:t>RRID:</w:t>
      </w:r>
      <w:r w:rsidR="00E56F78">
        <w:rPr>
          <w:rFonts w:asciiTheme="minorHAnsi" w:hAnsiTheme="minorHAnsi" w:cstheme="minorHAnsi"/>
          <w:color w:val="auto"/>
        </w:rPr>
        <w:t xml:space="preserve"> </w:t>
      </w:r>
      <w:r w:rsidR="00E56F78" w:rsidRPr="00E56F78">
        <w:rPr>
          <w:rFonts w:asciiTheme="minorHAnsi" w:hAnsiTheme="minorHAnsi" w:cstheme="minorHAnsi"/>
          <w:color w:val="auto"/>
        </w:rPr>
        <w:t>SCR_016137</w:t>
      </w:r>
      <w:r w:rsidR="00AE4922" w:rsidRPr="007A311E">
        <w:rPr>
          <w:rFonts w:asciiTheme="minorHAnsi" w:hAnsiTheme="minorHAnsi" w:cstheme="minorHAnsi"/>
          <w:color w:val="auto"/>
          <w:shd w:val="clear" w:color="auto" w:fill="FFFFFF"/>
        </w:rPr>
        <w:t>)</w:t>
      </w:r>
      <w:r w:rsidR="00AE4922" w:rsidRPr="007A311E">
        <w:rPr>
          <w:rFonts w:asciiTheme="minorHAnsi" w:hAnsiTheme="minorHAnsi" w:cstheme="minorHAnsi"/>
          <w:shd w:val="clear" w:color="auto" w:fill="FFFFFF"/>
        </w:rPr>
        <w:t>.</w:t>
      </w:r>
      <w:r w:rsidR="00AE4922">
        <w:rPr>
          <w:rFonts w:asciiTheme="minorHAnsi" w:hAnsiTheme="minorHAnsi" w:cstheme="minorHAnsi"/>
          <w:bCs/>
        </w:rPr>
        <w:t xml:space="preserve"> </w:t>
      </w:r>
      <w:r w:rsidR="008860D8">
        <w:rPr>
          <w:rFonts w:asciiTheme="minorHAnsi" w:hAnsiTheme="minorHAnsi" w:cstheme="minorHAnsi"/>
          <w:bCs/>
        </w:rPr>
        <w:t xml:space="preserve">  </w:t>
      </w:r>
    </w:p>
    <w:p w14:paraId="3D721411" w14:textId="77777777" w:rsidR="00BA1A36" w:rsidRDefault="00BA1A36" w:rsidP="00745061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/>
        </w:rPr>
      </w:pPr>
    </w:p>
    <w:p w14:paraId="077F1C67" w14:textId="77777777" w:rsidR="00BA1A36" w:rsidRDefault="00BA1A36" w:rsidP="00BA1A36">
      <w:pPr>
        <w:pStyle w:val="Heading2"/>
      </w:pPr>
      <w:r>
        <w:t>Blinding and consent</w:t>
      </w:r>
    </w:p>
    <w:p w14:paraId="3A0F6F7F" w14:textId="21153A80" w:rsidR="00B937B3" w:rsidRPr="00745061" w:rsidRDefault="004A2232" w:rsidP="00745061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statisticians were not blinded to allocation. Similarly, d</w:t>
      </w:r>
      <w:r w:rsidR="00DE4D5A">
        <w:rPr>
          <w:rFonts w:asciiTheme="minorHAnsi" w:hAnsiTheme="minorHAnsi" w:cstheme="minorHAnsi"/>
          <w:bCs/>
        </w:rPr>
        <w:t>ue to the nature of the interventions, participants could not be blinded to their allocation; however, they were not specifically informed about the SWAT nor that the incentive they received had been chosen through a process of randomisation.</w:t>
      </w:r>
      <w:r w:rsidR="000C3337">
        <w:rPr>
          <w:rFonts w:asciiTheme="minorHAnsi" w:hAnsiTheme="minorHAnsi" w:cstheme="minorHAnsi"/>
          <w:bCs/>
        </w:rPr>
        <w:t xml:space="preserve"> </w:t>
      </w:r>
      <w:r w:rsidR="008C4169">
        <w:rPr>
          <w:rFonts w:asciiTheme="minorHAnsi" w:hAnsiTheme="minorHAnsi" w:cstheme="minorHAnsi"/>
          <w:bCs/>
        </w:rPr>
        <w:t>S</w:t>
      </w:r>
      <w:r w:rsidR="000C3337">
        <w:rPr>
          <w:rFonts w:asciiTheme="minorHAnsi" w:hAnsiTheme="minorHAnsi" w:cstheme="minorHAnsi"/>
          <w:bCs/>
        </w:rPr>
        <w:t xml:space="preserve">pecific consent for the trial was not </w:t>
      </w:r>
      <w:r w:rsidR="008C4169">
        <w:rPr>
          <w:rFonts w:asciiTheme="minorHAnsi" w:hAnsiTheme="minorHAnsi" w:cstheme="minorHAnsi"/>
          <w:bCs/>
        </w:rPr>
        <w:t xml:space="preserve">required by the </w:t>
      </w:r>
      <w:r w:rsidR="00CC72B0">
        <w:rPr>
          <w:rFonts w:asciiTheme="minorHAnsi" w:hAnsiTheme="minorHAnsi" w:cstheme="minorHAnsi"/>
          <w:bCs/>
        </w:rPr>
        <w:t>Research Ethics Committee</w:t>
      </w:r>
      <w:r w:rsidR="000C3337">
        <w:rPr>
          <w:rFonts w:asciiTheme="minorHAnsi" w:hAnsiTheme="minorHAnsi" w:cstheme="minorHAnsi"/>
          <w:bCs/>
        </w:rPr>
        <w:t>, as it was considered low risk</w:t>
      </w:r>
      <w:r w:rsidR="00C7035C">
        <w:rPr>
          <w:rFonts w:asciiTheme="minorHAnsi" w:hAnsiTheme="minorHAnsi" w:cstheme="minorHAnsi"/>
          <w:bCs/>
        </w:rPr>
        <w:t>. W</w:t>
      </w:r>
      <w:r w:rsidR="000C3337">
        <w:rPr>
          <w:rFonts w:asciiTheme="minorHAnsi" w:hAnsiTheme="minorHAnsi" w:cstheme="minorHAnsi"/>
          <w:bCs/>
        </w:rPr>
        <w:t xml:space="preserve">ritten informed consent </w:t>
      </w:r>
      <w:r w:rsidR="00C7035C">
        <w:rPr>
          <w:rFonts w:asciiTheme="minorHAnsi" w:hAnsiTheme="minorHAnsi" w:cstheme="minorHAnsi"/>
          <w:bCs/>
        </w:rPr>
        <w:t xml:space="preserve">for the main trial </w:t>
      </w:r>
      <w:r w:rsidR="000C3337">
        <w:rPr>
          <w:rFonts w:asciiTheme="minorHAnsi" w:hAnsiTheme="minorHAnsi" w:cstheme="minorHAnsi"/>
          <w:bCs/>
        </w:rPr>
        <w:t>was obtained from all participants</w:t>
      </w:r>
      <w:r w:rsidR="000C3337" w:rsidRPr="000C3337">
        <w:rPr>
          <w:rFonts w:asciiTheme="minorHAnsi" w:hAnsiTheme="minorHAnsi" w:cstheme="minorHAnsi"/>
          <w:bCs/>
        </w:rPr>
        <w:t xml:space="preserve"> </w:t>
      </w:r>
      <w:r w:rsidR="000C3337">
        <w:rPr>
          <w:rFonts w:asciiTheme="minorHAnsi" w:hAnsiTheme="minorHAnsi" w:cstheme="minorHAnsi"/>
          <w:bCs/>
        </w:rPr>
        <w:t>who agreed to take part in GYY.</w:t>
      </w:r>
      <w:r w:rsidR="00DE4D5A">
        <w:rPr>
          <w:rFonts w:asciiTheme="minorHAnsi" w:hAnsiTheme="minorHAnsi" w:cstheme="minorHAnsi"/>
          <w:bCs/>
        </w:rPr>
        <w:t xml:space="preserve">     </w:t>
      </w:r>
    </w:p>
    <w:p w14:paraId="77A1AF65" w14:textId="77777777" w:rsidR="00B551E0" w:rsidRPr="00745061" w:rsidRDefault="00B551E0" w:rsidP="00745061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</w:p>
    <w:p w14:paraId="5FCB40F3" w14:textId="38555907" w:rsidR="00BD79DC" w:rsidRPr="00CA01A2" w:rsidRDefault="00BD79DC" w:rsidP="00CA01A2">
      <w:pPr>
        <w:pStyle w:val="Heading2"/>
      </w:pPr>
      <w:r w:rsidRPr="00CA01A2">
        <w:t xml:space="preserve">Statistical </w:t>
      </w:r>
      <w:r w:rsidR="00CC72B0">
        <w:t>a</w:t>
      </w:r>
      <w:r w:rsidR="00CC72B0" w:rsidRPr="00CA01A2">
        <w:t>nalysis</w:t>
      </w:r>
    </w:p>
    <w:p w14:paraId="1370440C" w14:textId="685AFF48" w:rsidR="006E77B5" w:rsidRPr="00745061" w:rsidRDefault="0030060F" w:rsidP="002D6E85">
      <w:pPr>
        <w:spacing w:after="0" w:line="276" w:lineRule="auto"/>
        <w:ind w:left="-5" w:right="1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primary comparisons in this trial are the main effects of being sent a pen, and of being sent a £5 note. </w:t>
      </w:r>
      <w:r w:rsidR="006337DE" w:rsidRPr="00745061">
        <w:rPr>
          <w:rFonts w:asciiTheme="minorHAnsi" w:hAnsiTheme="minorHAnsi" w:cstheme="minorHAnsi"/>
        </w:rPr>
        <w:t xml:space="preserve">Returning a screening form and being randomised into the GYY trial were both analysed </w:t>
      </w:r>
      <w:r w:rsidR="00766294">
        <w:rPr>
          <w:rFonts w:asciiTheme="minorHAnsi" w:hAnsiTheme="minorHAnsi" w:cstheme="minorHAnsi"/>
        </w:rPr>
        <w:t>using</w:t>
      </w:r>
      <w:r w:rsidR="00725320">
        <w:rPr>
          <w:rFonts w:asciiTheme="minorHAnsi" w:hAnsiTheme="minorHAnsi" w:cstheme="minorHAnsi"/>
        </w:rPr>
        <w:t xml:space="preserve"> multivariable</w:t>
      </w:r>
      <w:r w:rsidR="00766294" w:rsidRPr="00745061">
        <w:rPr>
          <w:rFonts w:asciiTheme="minorHAnsi" w:hAnsiTheme="minorHAnsi" w:cstheme="minorHAnsi"/>
        </w:rPr>
        <w:t xml:space="preserve"> </w:t>
      </w:r>
      <w:r w:rsidR="002222D8" w:rsidRPr="00745061">
        <w:rPr>
          <w:rFonts w:asciiTheme="minorHAnsi" w:hAnsiTheme="minorHAnsi" w:cstheme="minorHAnsi"/>
        </w:rPr>
        <w:t>logistic regression</w:t>
      </w:r>
      <w:r w:rsidR="006337DE" w:rsidRPr="00745061">
        <w:rPr>
          <w:rFonts w:asciiTheme="minorHAnsi" w:hAnsiTheme="minorHAnsi" w:cstheme="minorHAnsi"/>
        </w:rPr>
        <w:t>,</w:t>
      </w:r>
      <w:r w:rsidR="002222D8" w:rsidRPr="00745061">
        <w:rPr>
          <w:rFonts w:asciiTheme="minorHAnsi" w:hAnsiTheme="minorHAnsi" w:cstheme="minorHAnsi"/>
        </w:rPr>
        <w:t xml:space="preserve"> </w:t>
      </w:r>
      <w:r w:rsidR="006337DE" w:rsidRPr="00745061">
        <w:rPr>
          <w:rFonts w:asciiTheme="minorHAnsi" w:hAnsiTheme="minorHAnsi" w:cstheme="minorHAnsi"/>
        </w:rPr>
        <w:t>including</w:t>
      </w:r>
      <w:r w:rsidR="002222D8" w:rsidRPr="00745061">
        <w:rPr>
          <w:rFonts w:asciiTheme="minorHAnsi" w:hAnsiTheme="minorHAnsi" w:cstheme="minorHAnsi"/>
        </w:rPr>
        <w:t xml:space="preserve"> the two interventions</w:t>
      </w:r>
      <w:r w:rsidR="008D23E9" w:rsidRPr="00745061">
        <w:rPr>
          <w:rFonts w:asciiTheme="minorHAnsi" w:hAnsiTheme="minorHAnsi" w:cstheme="minorHAnsi"/>
        </w:rPr>
        <w:t xml:space="preserve"> (pen and £5)</w:t>
      </w:r>
      <w:r w:rsidR="002222D8" w:rsidRPr="00745061">
        <w:rPr>
          <w:rFonts w:asciiTheme="minorHAnsi" w:hAnsiTheme="minorHAnsi" w:cstheme="minorHAnsi"/>
        </w:rPr>
        <w:t xml:space="preserve">. Time to return the screening form </w:t>
      </w:r>
      <w:r w:rsidR="006337DE" w:rsidRPr="00745061">
        <w:rPr>
          <w:rFonts w:asciiTheme="minorHAnsi" w:hAnsiTheme="minorHAnsi" w:cstheme="minorHAnsi"/>
        </w:rPr>
        <w:t>(in</w:t>
      </w:r>
      <w:r w:rsidR="002222D8" w:rsidRPr="00745061">
        <w:rPr>
          <w:rFonts w:asciiTheme="minorHAnsi" w:hAnsiTheme="minorHAnsi" w:cstheme="minorHAnsi"/>
        </w:rPr>
        <w:t xml:space="preserve"> days from the date the recruitment pack </w:t>
      </w:r>
      <w:r w:rsidR="00F47600" w:rsidRPr="00745061">
        <w:rPr>
          <w:rFonts w:asciiTheme="minorHAnsi" w:hAnsiTheme="minorHAnsi" w:cstheme="minorHAnsi"/>
        </w:rPr>
        <w:t>wa</w:t>
      </w:r>
      <w:r w:rsidR="002222D8" w:rsidRPr="00745061">
        <w:rPr>
          <w:rFonts w:asciiTheme="minorHAnsi" w:hAnsiTheme="minorHAnsi" w:cstheme="minorHAnsi"/>
        </w:rPr>
        <w:t xml:space="preserve">s sent out to the date it </w:t>
      </w:r>
      <w:r w:rsidR="00F47600" w:rsidRPr="00745061">
        <w:rPr>
          <w:rFonts w:asciiTheme="minorHAnsi" w:hAnsiTheme="minorHAnsi" w:cstheme="minorHAnsi"/>
        </w:rPr>
        <w:t>wa</w:t>
      </w:r>
      <w:r w:rsidR="002222D8" w:rsidRPr="00745061">
        <w:rPr>
          <w:rFonts w:asciiTheme="minorHAnsi" w:hAnsiTheme="minorHAnsi" w:cstheme="minorHAnsi"/>
        </w:rPr>
        <w:t>s returned</w:t>
      </w:r>
      <w:r w:rsidR="006337DE" w:rsidRPr="00745061">
        <w:rPr>
          <w:rFonts w:asciiTheme="minorHAnsi" w:hAnsiTheme="minorHAnsi" w:cstheme="minorHAnsi"/>
        </w:rPr>
        <w:t xml:space="preserve">) was analysed </w:t>
      </w:r>
      <w:r w:rsidR="00766294">
        <w:rPr>
          <w:rFonts w:asciiTheme="minorHAnsi" w:hAnsiTheme="minorHAnsi" w:cstheme="minorHAnsi"/>
        </w:rPr>
        <w:t>using</w:t>
      </w:r>
      <w:r w:rsidR="002222D8" w:rsidRPr="00745061">
        <w:rPr>
          <w:rFonts w:asciiTheme="minorHAnsi" w:hAnsiTheme="minorHAnsi" w:cstheme="minorHAnsi"/>
        </w:rPr>
        <w:t xml:space="preserve"> Cox proportional hazards regression. </w:t>
      </w:r>
      <w:r w:rsidR="006337DE" w:rsidRPr="00745061">
        <w:rPr>
          <w:rFonts w:asciiTheme="minorHAnsi" w:hAnsiTheme="minorHAnsi" w:cstheme="minorHAnsi"/>
        </w:rPr>
        <w:t>S</w:t>
      </w:r>
      <w:r w:rsidR="002222D8" w:rsidRPr="00745061">
        <w:rPr>
          <w:rFonts w:asciiTheme="minorHAnsi" w:hAnsiTheme="minorHAnsi" w:cstheme="minorHAnsi"/>
        </w:rPr>
        <w:t xml:space="preserve">creening forms that </w:t>
      </w:r>
      <w:r w:rsidR="006337DE" w:rsidRPr="00745061">
        <w:rPr>
          <w:rFonts w:asciiTheme="minorHAnsi" w:hAnsiTheme="minorHAnsi" w:cstheme="minorHAnsi"/>
        </w:rPr>
        <w:t>we</w:t>
      </w:r>
      <w:r w:rsidR="002222D8" w:rsidRPr="00745061">
        <w:rPr>
          <w:rFonts w:asciiTheme="minorHAnsi" w:hAnsiTheme="minorHAnsi" w:cstheme="minorHAnsi"/>
        </w:rPr>
        <w:t>re not returned were censored</w:t>
      </w:r>
      <w:r w:rsidR="0094461B" w:rsidRPr="00745061">
        <w:rPr>
          <w:rFonts w:asciiTheme="minorHAnsi" w:hAnsiTheme="minorHAnsi" w:cstheme="minorHAnsi"/>
        </w:rPr>
        <w:t xml:space="preserve"> </w:t>
      </w:r>
      <w:r w:rsidR="00CD6246" w:rsidRPr="00745061">
        <w:rPr>
          <w:rFonts w:asciiTheme="minorHAnsi" w:hAnsiTheme="minorHAnsi" w:cstheme="minorHAnsi"/>
        </w:rPr>
        <w:t xml:space="preserve">at </w:t>
      </w:r>
      <w:r w:rsidR="0094461B" w:rsidRPr="00745061">
        <w:rPr>
          <w:rFonts w:asciiTheme="minorHAnsi" w:hAnsiTheme="minorHAnsi" w:cstheme="minorHAnsi"/>
        </w:rPr>
        <w:t xml:space="preserve">eight weeks after </w:t>
      </w:r>
      <w:r w:rsidR="00912C0A" w:rsidRPr="00745061">
        <w:rPr>
          <w:rFonts w:asciiTheme="minorHAnsi" w:hAnsiTheme="minorHAnsi" w:cstheme="minorHAnsi"/>
        </w:rPr>
        <w:t>the</w:t>
      </w:r>
      <w:r w:rsidR="006337DE" w:rsidRPr="00745061">
        <w:rPr>
          <w:rFonts w:asciiTheme="minorHAnsi" w:hAnsiTheme="minorHAnsi" w:cstheme="minorHAnsi"/>
        </w:rPr>
        <w:t>y</w:t>
      </w:r>
      <w:r w:rsidR="0094461B" w:rsidRPr="00745061">
        <w:rPr>
          <w:rFonts w:asciiTheme="minorHAnsi" w:hAnsiTheme="minorHAnsi" w:cstheme="minorHAnsi"/>
        </w:rPr>
        <w:t xml:space="preserve"> w</w:t>
      </w:r>
      <w:r w:rsidR="006337DE" w:rsidRPr="00745061">
        <w:rPr>
          <w:rFonts w:asciiTheme="minorHAnsi" w:hAnsiTheme="minorHAnsi" w:cstheme="minorHAnsi"/>
        </w:rPr>
        <w:t>ere</w:t>
      </w:r>
      <w:r w:rsidR="0094461B" w:rsidRPr="00745061">
        <w:rPr>
          <w:rFonts w:asciiTheme="minorHAnsi" w:hAnsiTheme="minorHAnsi" w:cstheme="minorHAnsi"/>
        </w:rPr>
        <w:t xml:space="preserve"> sent out</w:t>
      </w:r>
      <w:r w:rsidR="002222D8" w:rsidRPr="00745061">
        <w:rPr>
          <w:rFonts w:asciiTheme="minorHAnsi" w:hAnsiTheme="minorHAnsi" w:cstheme="minorHAnsi"/>
        </w:rPr>
        <w:t xml:space="preserve">. </w:t>
      </w:r>
      <w:r w:rsidR="00725320">
        <w:rPr>
          <w:rFonts w:asciiTheme="minorHAnsi" w:hAnsiTheme="minorHAnsi" w:cstheme="minorHAnsi"/>
        </w:rPr>
        <w:t>These analyses provide an estimate of the average effect of each intervention, assuming there is no interaction between them. In secondary analyses, t</w:t>
      </w:r>
      <w:r w:rsidR="00CA01A2" w:rsidRPr="00745061">
        <w:rPr>
          <w:rFonts w:asciiTheme="minorHAnsi" w:hAnsiTheme="minorHAnsi" w:cstheme="minorHAnsi"/>
        </w:rPr>
        <w:t>he interaction between the two interventions was tested by</w:t>
      </w:r>
      <w:r w:rsidR="00725320">
        <w:rPr>
          <w:rFonts w:asciiTheme="minorHAnsi" w:hAnsiTheme="minorHAnsi" w:cstheme="minorHAnsi"/>
        </w:rPr>
        <w:t xml:space="preserve"> extending the original models to</w:t>
      </w:r>
      <w:r w:rsidR="00CA01A2" w:rsidRPr="00745061">
        <w:rPr>
          <w:rFonts w:asciiTheme="minorHAnsi" w:hAnsiTheme="minorHAnsi" w:cstheme="minorHAnsi"/>
        </w:rPr>
        <w:t xml:space="preserve"> includ</w:t>
      </w:r>
      <w:r w:rsidR="00725320">
        <w:rPr>
          <w:rFonts w:asciiTheme="minorHAnsi" w:hAnsiTheme="minorHAnsi" w:cstheme="minorHAnsi"/>
        </w:rPr>
        <w:t>e</w:t>
      </w:r>
      <w:r w:rsidR="00CA01A2" w:rsidRPr="00745061">
        <w:rPr>
          <w:rFonts w:asciiTheme="minorHAnsi" w:hAnsiTheme="minorHAnsi" w:cstheme="minorHAnsi"/>
        </w:rPr>
        <w:t xml:space="preserve"> the interaction term.</w:t>
      </w:r>
      <w:r w:rsidR="00D37CE3">
        <w:rPr>
          <w:rFonts w:asciiTheme="minorHAnsi" w:hAnsiTheme="minorHAnsi" w:cstheme="minorHAnsi"/>
        </w:rPr>
        <w:t xml:space="preserve"> Analyses were conducted in Stata v16</w:t>
      </w:r>
      <w:r w:rsidR="00AE4922" w:rsidRPr="00AE4922">
        <w:rPr>
          <w:rFonts w:asciiTheme="minorHAnsi" w:hAnsiTheme="minorHAnsi" w:cstheme="minorHAnsi"/>
          <w:bCs/>
        </w:rPr>
        <w:t xml:space="preserve"> </w:t>
      </w:r>
      <w:r w:rsidR="00AE4922">
        <w:rPr>
          <w:rFonts w:asciiTheme="minorHAnsi" w:hAnsiTheme="minorHAnsi" w:cstheme="minorHAnsi"/>
          <w:bCs/>
        </w:rPr>
        <w:t xml:space="preserve">(RRID: </w:t>
      </w:r>
      <w:r w:rsidR="00AE4922" w:rsidRPr="007A311E">
        <w:rPr>
          <w:rFonts w:asciiTheme="minorHAnsi" w:hAnsiTheme="minorHAnsi" w:cstheme="minorHAnsi"/>
          <w:color w:val="auto"/>
        </w:rPr>
        <w:t>SCR_012763</w:t>
      </w:r>
      <w:r w:rsidR="00AE4922">
        <w:rPr>
          <w:rFonts w:asciiTheme="minorHAnsi" w:hAnsiTheme="minorHAnsi" w:cstheme="minorHAnsi"/>
          <w:bCs/>
        </w:rPr>
        <w:t>)</w:t>
      </w:r>
      <w:r w:rsidR="00AE4922" w:rsidRPr="00745061">
        <w:rPr>
          <w:rFonts w:asciiTheme="minorHAnsi" w:hAnsiTheme="minorHAnsi" w:cstheme="minorHAnsi"/>
          <w:bCs/>
        </w:rPr>
        <w:t>.</w:t>
      </w:r>
      <w:r w:rsidR="00AE4922">
        <w:rPr>
          <w:rFonts w:asciiTheme="minorHAnsi" w:hAnsiTheme="minorHAnsi" w:cstheme="minorHAnsi"/>
          <w:bCs/>
        </w:rPr>
        <w:t xml:space="preserve"> </w:t>
      </w:r>
      <w:r w:rsidR="00E56F78">
        <w:rPr>
          <w:rFonts w:asciiTheme="minorHAnsi" w:hAnsiTheme="minorHAnsi" w:cstheme="minorHAnsi"/>
          <w:bCs/>
        </w:rPr>
        <w:t>A</w:t>
      </w:r>
      <w:r w:rsidR="00AE4922" w:rsidRPr="007A311E">
        <w:rPr>
          <w:rFonts w:asciiTheme="minorHAnsi" w:hAnsiTheme="minorHAnsi" w:cstheme="minorHAnsi"/>
          <w:color w:val="auto"/>
        </w:rPr>
        <w:t xml:space="preserve">n open-access alternative that can perform an equivalent function </w:t>
      </w:r>
      <w:r w:rsidR="00E56F78">
        <w:rPr>
          <w:rFonts w:asciiTheme="minorHAnsi" w:hAnsiTheme="minorHAnsi" w:cstheme="minorHAnsi"/>
          <w:color w:val="auto"/>
        </w:rPr>
        <w:t xml:space="preserve">to Stata </w:t>
      </w:r>
      <w:r w:rsidR="00AE4922" w:rsidRPr="007A311E">
        <w:rPr>
          <w:rFonts w:asciiTheme="minorHAnsi" w:hAnsiTheme="minorHAnsi" w:cstheme="minorHAnsi"/>
        </w:rPr>
        <w:t xml:space="preserve">for analysis is </w:t>
      </w:r>
      <w:r w:rsidR="00AE4922" w:rsidRPr="007A311E">
        <w:rPr>
          <w:rFonts w:asciiTheme="minorHAnsi" w:hAnsiTheme="minorHAnsi" w:cstheme="minorHAnsi"/>
          <w:color w:val="auto"/>
        </w:rPr>
        <w:t>R</w:t>
      </w:r>
      <w:r w:rsidR="00AE4922" w:rsidRPr="007A311E">
        <w:rPr>
          <w:rFonts w:asciiTheme="minorHAnsi" w:hAnsiTheme="minorHAnsi" w:cstheme="minorHAnsi"/>
        </w:rPr>
        <w:t>, a</w:t>
      </w:r>
      <w:r w:rsidR="00AE4922" w:rsidRPr="007A311E">
        <w:rPr>
          <w:rFonts w:asciiTheme="minorHAnsi" w:hAnsiTheme="minorHAnsi" w:cstheme="minorHAnsi"/>
          <w:color w:val="auto"/>
        </w:rPr>
        <w:t xml:space="preserve"> </w:t>
      </w:r>
      <w:r w:rsidR="00AE4922" w:rsidRPr="007A311E">
        <w:rPr>
          <w:rFonts w:asciiTheme="minorHAnsi" w:hAnsiTheme="minorHAnsi" w:cstheme="minorHAnsi"/>
          <w:color w:val="auto"/>
          <w:shd w:val="clear" w:color="auto" w:fill="FFFFFF"/>
        </w:rPr>
        <w:t>free software environment for statistical computing and graphics (RRID:</w:t>
      </w:r>
      <w:r w:rsidR="00E56F78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AE4922" w:rsidRPr="007A311E">
        <w:rPr>
          <w:rFonts w:asciiTheme="minorHAnsi" w:hAnsiTheme="minorHAnsi" w:cstheme="minorHAnsi"/>
          <w:color w:val="auto"/>
          <w:shd w:val="clear" w:color="auto" w:fill="FFFFFF"/>
        </w:rPr>
        <w:t>SCR_001905)</w:t>
      </w:r>
      <w:r w:rsidR="00AE4922" w:rsidRPr="007A311E">
        <w:rPr>
          <w:rFonts w:asciiTheme="minorHAnsi" w:hAnsiTheme="minorHAnsi" w:cstheme="minorHAnsi"/>
          <w:shd w:val="clear" w:color="auto" w:fill="FFFFFF"/>
        </w:rPr>
        <w:t>.</w:t>
      </w:r>
      <w:r w:rsidR="00AE4922">
        <w:rPr>
          <w:rFonts w:asciiTheme="minorHAnsi" w:hAnsiTheme="minorHAnsi" w:cstheme="minorHAnsi"/>
        </w:rPr>
        <w:t xml:space="preserve"> </w:t>
      </w:r>
    </w:p>
    <w:p w14:paraId="538D85EB" w14:textId="77777777" w:rsidR="00BD79DC" w:rsidRPr="00745061" w:rsidRDefault="00BD79DC" w:rsidP="00CE77CE">
      <w:pPr>
        <w:pStyle w:val="Heading1"/>
      </w:pPr>
      <w:r w:rsidRPr="00745061">
        <w:lastRenderedPageBreak/>
        <w:t xml:space="preserve">Results </w:t>
      </w:r>
    </w:p>
    <w:p w14:paraId="77577683" w14:textId="2592E16C" w:rsidR="00185522" w:rsidRPr="00745061" w:rsidRDefault="00D30C4E" w:rsidP="00745061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total, </w:t>
      </w:r>
      <w:r w:rsidR="00185522" w:rsidRPr="00745061">
        <w:rPr>
          <w:rFonts w:asciiTheme="minorHAnsi" w:hAnsiTheme="minorHAnsi" w:cstheme="minorHAnsi"/>
        </w:rPr>
        <w:t xml:space="preserve">852 </w:t>
      </w:r>
      <w:r w:rsidR="00F47600" w:rsidRPr="00745061">
        <w:rPr>
          <w:rFonts w:asciiTheme="minorHAnsi" w:hAnsiTheme="minorHAnsi" w:cstheme="minorHAnsi"/>
        </w:rPr>
        <w:t xml:space="preserve">allocations were generated </w:t>
      </w:r>
      <w:r w:rsidR="006337DE" w:rsidRPr="00745061">
        <w:rPr>
          <w:rFonts w:asciiTheme="minorHAnsi" w:hAnsiTheme="minorHAnsi" w:cstheme="minorHAnsi"/>
        </w:rPr>
        <w:t>but</w:t>
      </w:r>
      <w:r w:rsidR="003641B3">
        <w:rPr>
          <w:rFonts w:asciiTheme="minorHAnsi" w:hAnsiTheme="minorHAnsi" w:cstheme="minorHAnsi"/>
        </w:rPr>
        <w:t>,</w:t>
      </w:r>
      <w:r w:rsidR="00185522" w:rsidRPr="00745061">
        <w:rPr>
          <w:rFonts w:asciiTheme="minorHAnsi" w:hAnsiTheme="minorHAnsi" w:cstheme="minorHAnsi"/>
        </w:rPr>
        <w:t xml:space="preserve"> </w:t>
      </w:r>
      <w:r w:rsidR="006337DE" w:rsidRPr="00745061">
        <w:rPr>
          <w:rFonts w:asciiTheme="minorHAnsi" w:hAnsiTheme="minorHAnsi" w:cstheme="minorHAnsi"/>
        </w:rPr>
        <w:t>d</w:t>
      </w:r>
      <w:r w:rsidR="00185522" w:rsidRPr="00745061">
        <w:rPr>
          <w:rFonts w:asciiTheme="minorHAnsi" w:hAnsiTheme="minorHAnsi" w:cstheme="minorHAnsi"/>
        </w:rPr>
        <w:t xml:space="preserve">ue to one of the </w:t>
      </w:r>
      <w:r w:rsidR="002010B2" w:rsidRPr="00745061">
        <w:rPr>
          <w:rFonts w:asciiTheme="minorHAnsi" w:hAnsiTheme="minorHAnsi" w:cstheme="minorHAnsi"/>
        </w:rPr>
        <w:t xml:space="preserve">participating </w:t>
      </w:r>
      <w:r w:rsidR="00185522" w:rsidRPr="00745061">
        <w:rPr>
          <w:rFonts w:asciiTheme="minorHAnsi" w:hAnsiTheme="minorHAnsi" w:cstheme="minorHAnsi"/>
        </w:rPr>
        <w:t>GP</w:t>
      </w:r>
      <w:r w:rsidR="00024FA0">
        <w:rPr>
          <w:rFonts w:asciiTheme="minorHAnsi" w:hAnsiTheme="minorHAnsi" w:cstheme="minorHAnsi"/>
        </w:rPr>
        <w:t xml:space="preserve"> practice</w:t>
      </w:r>
      <w:r w:rsidR="002010B2" w:rsidRPr="00745061">
        <w:rPr>
          <w:rFonts w:asciiTheme="minorHAnsi" w:hAnsiTheme="minorHAnsi" w:cstheme="minorHAnsi"/>
        </w:rPr>
        <w:t>s</w:t>
      </w:r>
      <w:r w:rsidR="00185522" w:rsidRPr="00745061">
        <w:rPr>
          <w:rFonts w:asciiTheme="minorHAnsi" w:hAnsiTheme="minorHAnsi" w:cstheme="minorHAnsi"/>
        </w:rPr>
        <w:t xml:space="preserve"> having a shorter mail</w:t>
      </w:r>
      <w:r w:rsidR="00946920" w:rsidRPr="00745061">
        <w:rPr>
          <w:rFonts w:asciiTheme="minorHAnsi" w:hAnsiTheme="minorHAnsi" w:cstheme="minorHAnsi"/>
        </w:rPr>
        <w:t xml:space="preserve">ing list than anticipated, only 818 (96.0%) </w:t>
      </w:r>
      <w:r w:rsidR="00F47600" w:rsidRPr="00745061">
        <w:rPr>
          <w:rFonts w:asciiTheme="minorHAnsi" w:hAnsiTheme="minorHAnsi" w:cstheme="minorHAnsi"/>
        </w:rPr>
        <w:t xml:space="preserve">were </w:t>
      </w:r>
      <w:r w:rsidR="008D23E9" w:rsidRPr="00745061">
        <w:rPr>
          <w:rFonts w:asciiTheme="minorHAnsi" w:hAnsiTheme="minorHAnsi" w:cstheme="minorHAnsi"/>
        </w:rPr>
        <w:t xml:space="preserve">used </w:t>
      </w:r>
      <w:r w:rsidR="00F47600" w:rsidRPr="00745061">
        <w:rPr>
          <w:rFonts w:asciiTheme="minorHAnsi" w:hAnsiTheme="minorHAnsi" w:cstheme="minorHAnsi"/>
        </w:rPr>
        <w:t>(</w:t>
      </w:r>
      <w:r w:rsidR="006337DE" w:rsidRPr="00745061">
        <w:rPr>
          <w:rFonts w:asciiTheme="minorHAnsi" w:hAnsiTheme="minorHAnsi" w:cstheme="minorHAnsi"/>
        </w:rPr>
        <w:t>Table 1; Figure 1)</w:t>
      </w:r>
      <w:r w:rsidR="00FC75AD" w:rsidRPr="00745061">
        <w:rPr>
          <w:rFonts w:asciiTheme="minorHAnsi" w:hAnsiTheme="minorHAnsi" w:cstheme="minorHAnsi"/>
        </w:rPr>
        <w:t>.</w:t>
      </w:r>
      <w:r w:rsidR="003641B3">
        <w:rPr>
          <w:rFonts w:asciiTheme="minorHAnsi" w:hAnsiTheme="minorHAnsi" w:cstheme="minorHAnsi"/>
        </w:rPr>
        <w:t xml:space="preserve"> </w:t>
      </w:r>
      <w:r w:rsidR="008E332F">
        <w:rPr>
          <w:rFonts w:asciiTheme="minorHAnsi" w:hAnsiTheme="minorHAnsi" w:cstheme="minorHAnsi"/>
        </w:rPr>
        <w:t>In these analyses, the potential participants who were sent a pen</w:t>
      </w:r>
      <w:r w:rsidR="00DE05E9">
        <w:rPr>
          <w:rFonts w:asciiTheme="minorHAnsi" w:hAnsiTheme="minorHAnsi" w:cstheme="minorHAnsi"/>
        </w:rPr>
        <w:t xml:space="preserve"> (n=409)</w:t>
      </w:r>
      <w:r w:rsidR="008E332F">
        <w:rPr>
          <w:rFonts w:asciiTheme="minorHAnsi" w:hAnsiTheme="minorHAnsi" w:cstheme="minorHAnsi"/>
        </w:rPr>
        <w:t xml:space="preserve"> </w:t>
      </w:r>
      <w:r w:rsidR="00DE05E9">
        <w:rPr>
          <w:rFonts w:asciiTheme="minorHAnsi" w:hAnsiTheme="minorHAnsi" w:cstheme="minorHAnsi"/>
        </w:rPr>
        <w:t>consist of</w:t>
      </w:r>
      <w:r w:rsidR="008E332F">
        <w:rPr>
          <w:rFonts w:asciiTheme="minorHAnsi" w:hAnsiTheme="minorHAnsi" w:cstheme="minorHAnsi"/>
        </w:rPr>
        <w:t xml:space="preserve"> the </w:t>
      </w:r>
      <w:r w:rsidR="00DE05E9">
        <w:rPr>
          <w:rFonts w:asciiTheme="minorHAnsi" w:hAnsiTheme="minorHAnsi" w:cstheme="minorHAnsi"/>
        </w:rPr>
        <w:t>group</w:t>
      </w:r>
      <w:r w:rsidR="008E332F">
        <w:rPr>
          <w:rFonts w:asciiTheme="minorHAnsi" w:hAnsiTheme="minorHAnsi" w:cstheme="minorHAnsi"/>
        </w:rPr>
        <w:t xml:space="preserve"> who received a pen and a £5 note</w:t>
      </w:r>
      <w:r w:rsidR="00DE05E9">
        <w:rPr>
          <w:rFonts w:asciiTheme="minorHAnsi" w:hAnsiTheme="minorHAnsi" w:cstheme="minorHAnsi"/>
        </w:rPr>
        <w:t xml:space="preserve"> (n=203)</w:t>
      </w:r>
      <w:r w:rsidR="008E332F">
        <w:rPr>
          <w:rFonts w:asciiTheme="minorHAnsi" w:hAnsiTheme="minorHAnsi" w:cstheme="minorHAnsi"/>
        </w:rPr>
        <w:t xml:space="preserve">, and the </w:t>
      </w:r>
      <w:r w:rsidR="00DE05E9">
        <w:rPr>
          <w:rFonts w:asciiTheme="minorHAnsi" w:hAnsiTheme="minorHAnsi" w:cstheme="minorHAnsi"/>
        </w:rPr>
        <w:t>group</w:t>
      </w:r>
      <w:r w:rsidR="008E332F">
        <w:rPr>
          <w:rFonts w:asciiTheme="minorHAnsi" w:hAnsiTheme="minorHAnsi" w:cstheme="minorHAnsi"/>
        </w:rPr>
        <w:t xml:space="preserve"> who received a pen only (</w:t>
      </w:r>
      <w:r w:rsidR="00DE05E9">
        <w:rPr>
          <w:rFonts w:asciiTheme="minorHAnsi" w:hAnsiTheme="minorHAnsi" w:cstheme="minorHAnsi"/>
        </w:rPr>
        <w:t>n=206</w:t>
      </w:r>
      <w:r w:rsidR="008E332F">
        <w:rPr>
          <w:rFonts w:asciiTheme="minorHAnsi" w:hAnsiTheme="minorHAnsi" w:cstheme="minorHAnsi"/>
        </w:rPr>
        <w:t xml:space="preserve">). </w:t>
      </w:r>
      <w:r w:rsidR="00DE05E9">
        <w:rPr>
          <w:rFonts w:asciiTheme="minorHAnsi" w:hAnsiTheme="minorHAnsi" w:cstheme="minorHAnsi"/>
        </w:rPr>
        <w:t>These are</w:t>
      </w:r>
      <w:r w:rsidR="008E332F">
        <w:rPr>
          <w:rFonts w:asciiTheme="minorHAnsi" w:hAnsiTheme="minorHAnsi" w:cstheme="minorHAnsi"/>
        </w:rPr>
        <w:t xml:space="preserve"> compared with </w:t>
      </w:r>
      <w:r w:rsidR="00DE05E9">
        <w:rPr>
          <w:rFonts w:asciiTheme="minorHAnsi" w:hAnsiTheme="minorHAnsi" w:cstheme="minorHAnsi"/>
        </w:rPr>
        <w:t>those</w:t>
      </w:r>
      <w:r w:rsidR="008E332F">
        <w:rPr>
          <w:rFonts w:asciiTheme="minorHAnsi" w:hAnsiTheme="minorHAnsi" w:cstheme="minorHAnsi"/>
        </w:rPr>
        <w:t xml:space="preserve"> who were not sent a pen (n=409), consisting of the </w:t>
      </w:r>
      <w:r w:rsidR="00DE05E9">
        <w:rPr>
          <w:rFonts w:asciiTheme="minorHAnsi" w:hAnsiTheme="minorHAnsi" w:cstheme="minorHAnsi"/>
        </w:rPr>
        <w:t>group</w:t>
      </w:r>
      <w:r w:rsidR="008E332F">
        <w:rPr>
          <w:rFonts w:asciiTheme="minorHAnsi" w:hAnsiTheme="minorHAnsi" w:cstheme="minorHAnsi"/>
        </w:rPr>
        <w:t xml:space="preserve"> who were only sent a £5 note</w:t>
      </w:r>
      <w:r w:rsidR="00DE05E9">
        <w:rPr>
          <w:rFonts w:asciiTheme="minorHAnsi" w:hAnsiTheme="minorHAnsi" w:cstheme="minorHAnsi"/>
        </w:rPr>
        <w:t xml:space="preserve"> (n=206)</w:t>
      </w:r>
      <w:r w:rsidR="008E332F">
        <w:rPr>
          <w:rFonts w:asciiTheme="minorHAnsi" w:hAnsiTheme="minorHAnsi" w:cstheme="minorHAnsi"/>
        </w:rPr>
        <w:t xml:space="preserve">, and the </w:t>
      </w:r>
      <w:r w:rsidR="00DE05E9">
        <w:rPr>
          <w:rFonts w:asciiTheme="minorHAnsi" w:hAnsiTheme="minorHAnsi" w:cstheme="minorHAnsi"/>
        </w:rPr>
        <w:t>group</w:t>
      </w:r>
      <w:r w:rsidR="008E332F">
        <w:rPr>
          <w:rFonts w:asciiTheme="minorHAnsi" w:hAnsiTheme="minorHAnsi" w:cstheme="minorHAnsi"/>
        </w:rPr>
        <w:t xml:space="preserve"> who were sent neither a pen nor £5</w:t>
      </w:r>
      <w:r w:rsidR="00DE05E9">
        <w:rPr>
          <w:rFonts w:asciiTheme="minorHAnsi" w:hAnsiTheme="minorHAnsi" w:cstheme="minorHAnsi"/>
        </w:rPr>
        <w:t xml:space="preserve"> (n=203)</w:t>
      </w:r>
      <w:r w:rsidR="008E332F">
        <w:rPr>
          <w:rFonts w:asciiTheme="minorHAnsi" w:hAnsiTheme="minorHAnsi" w:cstheme="minorHAnsi"/>
        </w:rPr>
        <w:t>. Similarly, those who were sent £5 (n=409) consist of the group sent both a pen and £5 (n=203), and the group sent £5</w:t>
      </w:r>
      <w:r w:rsidR="00E46469">
        <w:rPr>
          <w:rFonts w:asciiTheme="minorHAnsi" w:hAnsiTheme="minorHAnsi" w:cstheme="minorHAnsi"/>
        </w:rPr>
        <w:t xml:space="preserve"> only</w:t>
      </w:r>
      <w:r w:rsidR="008E332F">
        <w:rPr>
          <w:rFonts w:asciiTheme="minorHAnsi" w:hAnsiTheme="minorHAnsi" w:cstheme="minorHAnsi"/>
        </w:rPr>
        <w:t xml:space="preserve"> (n=206). </w:t>
      </w:r>
      <w:r w:rsidR="00C95A1E">
        <w:rPr>
          <w:rFonts w:asciiTheme="minorHAnsi" w:hAnsiTheme="minorHAnsi" w:cstheme="minorHAnsi"/>
        </w:rPr>
        <w:t>These are</w:t>
      </w:r>
      <w:r w:rsidR="008E332F">
        <w:rPr>
          <w:rFonts w:asciiTheme="minorHAnsi" w:hAnsiTheme="minorHAnsi" w:cstheme="minorHAnsi"/>
        </w:rPr>
        <w:t xml:space="preserve"> compared with the </w:t>
      </w:r>
      <w:r w:rsidR="00C95A1E">
        <w:rPr>
          <w:rFonts w:asciiTheme="minorHAnsi" w:hAnsiTheme="minorHAnsi" w:cstheme="minorHAnsi"/>
        </w:rPr>
        <w:t>potential participants</w:t>
      </w:r>
      <w:r w:rsidR="008E332F">
        <w:rPr>
          <w:rFonts w:asciiTheme="minorHAnsi" w:hAnsiTheme="minorHAnsi" w:cstheme="minorHAnsi"/>
        </w:rPr>
        <w:t xml:space="preserve"> who were not sent </w:t>
      </w:r>
      <w:r w:rsidR="00CE1E20">
        <w:rPr>
          <w:rFonts w:asciiTheme="minorHAnsi" w:hAnsiTheme="minorHAnsi" w:cstheme="minorHAnsi"/>
        </w:rPr>
        <w:t>£5</w:t>
      </w:r>
      <w:r w:rsidR="008E332F">
        <w:rPr>
          <w:rFonts w:asciiTheme="minorHAnsi" w:hAnsiTheme="minorHAnsi" w:cstheme="minorHAnsi"/>
        </w:rPr>
        <w:t xml:space="preserve"> (n=409), consisting of the </w:t>
      </w:r>
      <w:r w:rsidR="00DE05E9">
        <w:rPr>
          <w:rFonts w:asciiTheme="minorHAnsi" w:hAnsiTheme="minorHAnsi" w:cstheme="minorHAnsi"/>
        </w:rPr>
        <w:t>group</w:t>
      </w:r>
      <w:r w:rsidR="008E332F">
        <w:rPr>
          <w:rFonts w:asciiTheme="minorHAnsi" w:hAnsiTheme="minorHAnsi" w:cstheme="minorHAnsi"/>
        </w:rPr>
        <w:t xml:space="preserve"> who were sent a </w:t>
      </w:r>
      <w:r w:rsidR="00CE1E20">
        <w:rPr>
          <w:rFonts w:asciiTheme="minorHAnsi" w:hAnsiTheme="minorHAnsi" w:cstheme="minorHAnsi"/>
        </w:rPr>
        <w:t>pen</w:t>
      </w:r>
      <w:r w:rsidR="00DE05E9">
        <w:rPr>
          <w:rFonts w:asciiTheme="minorHAnsi" w:hAnsiTheme="minorHAnsi" w:cstheme="minorHAnsi"/>
        </w:rPr>
        <w:t xml:space="preserve"> </w:t>
      </w:r>
      <w:r w:rsidR="00E46469">
        <w:rPr>
          <w:rFonts w:asciiTheme="minorHAnsi" w:hAnsiTheme="minorHAnsi" w:cstheme="minorHAnsi"/>
        </w:rPr>
        <w:t xml:space="preserve">only </w:t>
      </w:r>
      <w:r w:rsidR="00DE05E9">
        <w:rPr>
          <w:rFonts w:asciiTheme="minorHAnsi" w:hAnsiTheme="minorHAnsi" w:cstheme="minorHAnsi"/>
        </w:rPr>
        <w:t>(n=206)</w:t>
      </w:r>
      <w:r w:rsidR="008E332F">
        <w:rPr>
          <w:rFonts w:asciiTheme="minorHAnsi" w:hAnsiTheme="minorHAnsi" w:cstheme="minorHAnsi"/>
        </w:rPr>
        <w:t xml:space="preserve">, and the </w:t>
      </w:r>
      <w:r w:rsidR="00DE05E9">
        <w:rPr>
          <w:rFonts w:asciiTheme="minorHAnsi" w:hAnsiTheme="minorHAnsi" w:cstheme="minorHAnsi"/>
        </w:rPr>
        <w:t>group</w:t>
      </w:r>
      <w:r w:rsidR="008E332F">
        <w:rPr>
          <w:rFonts w:asciiTheme="minorHAnsi" w:hAnsiTheme="minorHAnsi" w:cstheme="minorHAnsi"/>
        </w:rPr>
        <w:t xml:space="preserve"> who were sent neither a pen nor £5</w:t>
      </w:r>
      <w:r w:rsidR="00DE05E9">
        <w:rPr>
          <w:rFonts w:asciiTheme="minorHAnsi" w:hAnsiTheme="minorHAnsi" w:cstheme="minorHAnsi"/>
        </w:rPr>
        <w:t xml:space="preserve"> (n=203)</w:t>
      </w:r>
      <w:r w:rsidR="008E332F">
        <w:rPr>
          <w:rFonts w:asciiTheme="minorHAnsi" w:hAnsiTheme="minorHAnsi" w:cstheme="minorHAnsi"/>
        </w:rPr>
        <w:t xml:space="preserve">.    </w:t>
      </w:r>
    </w:p>
    <w:p w14:paraId="2DA962EA" w14:textId="77777777" w:rsidR="00592D7D" w:rsidRPr="00745061" w:rsidRDefault="00592D7D" w:rsidP="00745061">
      <w:pPr>
        <w:spacing w:after="0" w:line="276" w:lineRule="auto"/>
        <w:rPr>
          <w:rFonts w:asciiTheme="minorHAnsi" w:hAnsiTheme="minorHAnsi" w:cstheme="minorHAnsi"/>
        </w:rPr>
      </w:pPr>
    </w:p>
    <w:p w14:paraId="7B391FDB" w14:textId="16FA1A35" w:rsidR="00C04876" w:rsidRPr="00745061" w:rsidRDefault="0053128F" w:rsidP="00745061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</w:t>
      </w:r>
      <w:r w:rsidR="00751D43" w:rsidRPr="00745061">
        <w:rPr>
          <w:rFonts w:asciiTheme="minorHAnsi" w:hAnsiTheme="minorHAnsi" w:cstheme="minorHAnsi"/>
        </w:rPr>
        <w:t xml:space="preserve"> </w:t>
      </w:r>
      <w:r w:rsidR="006337DE" w:rsidRPr="00745061">
        <w:rPr>
          <w:rFonts w:asciiTheme="minorHAnsi" w:hAnsiTheme="minorHAnsi" w:cstheme="minorHAnsi"/>
        </w:rPr>
        <w:t>(</w:t>
      </w:r>
      <w:r w:rsidR="00E43845" w:rsidRPr="00745061">
        <w:rPr>
          <w:rFonts w:asciiTheme="minorHAnsi" w:hAnsiTheme="minorHAnsi" w:cstheme="minorHAnsi"/>
        </w:rPr>
        <w:t>3.2</w:t>
      </w:r>
      <w:r w:rsidR="006337DE" w:rsidRPr="00745061">
        <w:rPr>
          <w:rFonts w:asciiTheme="minorHAnsi" w:hAnsiTheme="minorHAnsi" w:cstheme="minorHAnsi"/>
        </w:rPr>
        <w:t>%)</w:t>
      </w:r>
      <w:r w:rsidR="00744821" w:rsidRPr="00745061">
        <w:rPr>
          <w:rFonts w:asciiTheme="minorHAnsi" w:hAnsiTheme="minorHAnsi" w:cstheme="minorHAnsi"/>
        </w:rPr>
        <w:t xml:space="preserve"> SWAT </w:t>
      </w:r>
      <w:r w:rsidR="00744821" w:rsidRPr="0080514F">
        <w:rPr>
          <w:rFonts w:asciiTheme="minorHAnsi" w:hAnsiTheme="minorHAnsi" w:cstheme="minorHAnsi"/>
        </w:rPr>
        <w:t>participants</w:t>
      </w:r>
      <w:r w:rsidR="006337DE" w:rsidRPr="0080514F">
        <w:rPr>
          <w:rFonts w:asciiTheme="minorHAnsi" w:hAnsiTheme="minorHAnsi" w:cstheme="minorHAnsi"/>
        </w:rPr>
        <w:t xml:space="preserve"> were</w:t>
      </w:r>
      <w:r w:rsidR="00744821" w:rsidRPr="0080514F">
        <w:rPr>
          <w:rFonts w:asciiTheme="minorHAnsi" w:hAnsiTheme="minorHAnsi" w:cstheme="minorHAnsi"/>
        </w:rPr>
        <w:t xml:space="preserve"> randomised into the host trial (</w:t>
      </w:r>
      <w:r w:rsidR="00B674C7" w:rsidRPr="0080514F">
        <w:rPr>
          <w:rFonts w:asciiTheme="minorHAnsi" w:hAnsiTheme="minorHAnsi" w:cstheme="minorHAnsi"/>
        </w:rPr>
        <w:t>Table 2</w:t>
      </w:r>
      <w:r w:rsidR="00744821" w:rsidRPr="0080514F">
        <w:rPr>
          <w:rFonts w:asciiTheme="minorHAnsi" w:hAnsiTheme="minorHAnsi" w:cstheme="minorHAnsi"/>
        </w:rPr>
        <w:t>)</w:t>
      </w:r>
      <w:r w:rsidR="002010B2" w:rsidRPr="0080514F">
        <w:rPr>
          <w:rFonts w:asciiTheme="minorHAnsi" w:hAnsiTheme="minorHAnsi" w:cstheme="minorHAnsi"/>
        </w:rPr>
        <w:t xml:space="preserve">. </w:t>
      </w:r>
      <w:r w:rsidR="00FF66D0" w:rsidRPr="0080514F">
        <w:rPr>
          <w:rFonts w:asciiTheme="minorHAnsi" w:hAnsiTheme="minorHAnsi" w:cstheme="minorHAnsi"/>
        </w:rPr>
        <w:t xml:space="preserve">There was </w:t>
      </w:r>
      <w:r w:rsidR="003F5F0A">
        <w:rPr>
          <w:rFonts w:asciiTheme="minorHAnsi" w:hAnsiTheme="minorHAnsi" w:cstheme="minorHAnsi"/>
        </w:rPr>
        <w:t>no</w:t>
      </w:r>
      <w:r w:rsidR="00766294">
        <w:rPr>
          <w:rFonts w:asciiTheme="minorHAnsi" w:hAnsiTheme="minorHAnsi" w:cstheme="minorHAnsi"/>
        </w:rPr>
        <w:t xml:space="preserve"> </w:t>
      </w:r>
      <w:r w:rsidR="00FF66D0" w:rsidRPr="0080514F">
        <w:rPr>
          <w:rFonts w:asciiTheme="minorHAnsi" w:hAnsiTheme="minorHAnsi" w:cstheme="minorHAnsi"/>
        </w:rPr>
        <w:t xml:space="preserve">evidence that </w:t>
      </w:r>
      <w:r w:rsidR="004B0CFC">
        <w:rPr>
          <w:rFonts w:asciiTheme="minorHAnsi" w:hAnsiTheme="minorHAnsi" w:cstheme="minorHAnsi"/>
        </w:rPr>
        <w:t xml:space="preserve">randomisation rates were improved by including </w:t>
      </w:r>
      <w:r w:rsidR="00FF66D0" w:rsidRPr="0080514F">
        <w:rPr>
          <w:rFonts w:asciiTheme="minorHAnsi" w:hAnsiTheme="minorHAnsi" w:cstheme="minorHAnsi"/>
        </w:rPr>
        <w:t>a pen (pen</w:t>
      </w:r>
      <w:r>
        <w:rPr>
          <w:rFonts w:asciiTheme="minorHAnsi" w:hAnsiTheme="minorHAnsi" w:cstheme="minorHAnsi"/>
        </w:rPr>
        <w:t>:</w:t>
      </w:r>
      <w:r w:rsidR="00FF66D0" w:rsidRPr="0080514F">
        <w:rPr>
          <w:rFonts w:asciiTheme="minorHAnsi" w:hAnsiTheme="minorHAnsi" w:cstheme="minorHAnsi"/>
        </w:rPr>
        <w:t xml:space="preserve"> 15/409, 3.7%; no pen</w:t>
      </w:r>
      <w:r>
        <w:rPr>
          <w:rFonts w:asciiTheme="minorHAnsi" w:hAnsiTheme="minorHAnsi" w:cstheme="minorHAnsi"/>
        </w:rPr>
        <w:t>:</w:t>
      </w:r>
      <w:r w:rsidR="00FF66D0" w:rsidRPr="0080514F">
        <w:rPr>
          <w:rFonts w:asciiTheme="minorHAnsi" w:hAnsiTheme="minorHAnsi" w:cstheme="minorHAnsi"/>
        </w:rPr>
        <w:t xml:space="preserve"> 11/409, 2.7%; OR 1.38, 95% CI 0.63</w:t>
      </w:r>
      <w:r>
        <w:rPr>
          <w:rFonts w:asciiTheme="minorHAnsi" w:hAnsiTheme="minorHAnsi" w:cstheme="minorHAnsi"/>
        </w:rPr>
        <w:t>–</w:t>
      </w:r>
      <w:r w:rsidR="00FF66D0" w:rsidRPr="0080514F">
        <w:rPr>
          <w:rFonts w:asciiTheme="minorHAnsi" w:hAnsiTheme="minorHAnsi" w:cstheme="minorHAnsi"/>
        </w:rPr>
        <w:t>3.04, p=0.43)</w:t>
      </w:r>
      <w:r w:rsidR="008C5647" w:rsidRPr="0080514F">
        <w:rPr>
          <w:rFonts w:asciiTheme="minorHAnsi" w:hAnsiTheme="minorHAnsi" w:cstheme="minorHAnsi"/>
        </w:rPr>
        <w:t xml:space="preserve"> </w:t>
      </w:r>
      <w:r w:rsidR="00FF66D0" w:rsidRPr="0080514F">
        <w:rPr>
          <w:rFonts w:asciiTheme="minorHAnsi" w:hAnsiTheme="minorHAnsi" w:cstheme="minorHAnsi"/>
        </w:rPr>
        <w:t>or £5 (£5</w:t>
      </w:r>
      <w:r>
        <w:rPr>
          <w:rFonts w:asciiTheme="minorHAnsi" w:hAnsiTheme="minorHAnsi" w:cstheme="minorHAnsi"/>
        </w:rPr>
        <w:t>:</w:t>
      </w:r>
      <w:r w:rsidR="00FF66D0" w:rsidRPr="0080514F">
        <w:rPr>
          <w:rFonts w:asciiTheme="minorHAnsi" w:hAnsiTheme="minorHAnsi" w:cstheme="minorHAnsi"/>
        </w:rPr>
        <w:t xml:space="preserve"> 14/409, 3.4%; no </w:t>
      </w:r>
      <w:r w:rsidR="004B0CFC">
        <w:rPr>
          <w:rFonts w:asciiTheme="minorHAnsi" w:hAnsiTheme="minorHAnsi" w:cstheme="minorHAnsi"/>
        </w:rPr>
        <w:t>£5</w:t>
      </w:r>
      <w:r>
        <w:rPr>
          <w:rFonts w:asciiTheme="minorHAnsi" w:hAnsiTheme="minorHAnsi" w:cstheme="minorHAnsi"/>
        </w:rPr>
        <w:t>:</w:t>
      </w:r>
      <w:r w:rsidR="00FF66D0" w:rsidRPr="0080514F">
        <w:rPr>
          <w:rFonts w:asciiTheme="minorHAnsi" w:hAnsiTheme="minorHAnsi" w:cstheme="minorHAnsi"/>
        </w:rPr>
        <w:t xml:space="preserve"> 12/409, 2.9%; OR 1.18, 95% CI 0.54</w:t>
      </w:r>
      <w:r>
        <w:rPr>
          <w:rFonts w:asciiTheme="minorHAnsi" w:hAnsiTheme="minorHAnsi" w:cstheme="minorHAnsi"/>
        </w:rPr>
        <w:t>–</w:t>
      </w:r>
      <w:r w:rsidR="00FF66D0" w:rsidRPr="0080514F">
        <w:rPr>
          <w:rFonts w:asciiTheme="minorHAnsi" w:hAnsiTheme="minorHAnsi" w:cstheme="minorHAnsi"/>
        </w:rPr>
        <w:t>2.57, p=0.69)</w:t>
      </w:r>
      <w:r w:rsidR="0080514F" w:rsidRPr="0080514F">
        <w:rPr>
          <w:rFonts w:asciiTheme="minorHAnsi" w:hAnsiTheme="minorHAnsi" w:cstheme="minorHAnsi"/>
        </w:rPr>
        <w:t xml:space="preserve"> </w:t>
      </w:r>
      <w:r w:rsidR="004B0CFC">
        <w:rPr>
          <w:rFonts w:asciiTheme="minorHAnsi" w:hAnsiTheme="minorHAnsi" w:cstheme="minorHAnsi"/>
        </w:rPr>
        <w:t>in the recruitment packs</w:t>
      </w:r>
      <w:r w:rsidR="00FF66D0" w:rsidRPr="0080514F">
        <w:rPr>
          <w:rFonts w:asciiTheme="minorHAnsi" w:hAnsiTheme="minorHAnsi" w:cstheme="minorHAnsi"/>
        </w:rPr>
        <w:t>.</w:t>
      </w:r>
      <w:r w:rsidR="006F19AB">
        <w:rPr>
          <w:rFonts w:asciiTheme="minorHAnsi" w:hAnsiTheme="minorHAnsi" w:cstheme="minorHAnsi"/>
        </w:rPr>
        <w:t xml:space="preserve"> </w:t>
      </w:r>
      <w:r w:rsidR="00725320">
        <w:t xml:space="preserve">The interaction between the interventions was investigated as a secondary analysis </w:t>
      </w:r>
      <w:r w:rsidR="00725320" w:rsidRPr="003E6C1F">
        <w:t>and was</w:t>
      </w:r>
      <w:r w:rsidR="003E6C1F" w:rsidRPr="003E6C1F">
        <w:t xml:space="preserve"> not</w:t>
      </w:r>
      <w:r w:rsidR="00725320" w:rsidRPr="003E6C1F">
        <w:t xml:space="preserve"> found to be</w:t>
      </w:r>
      <w:r w:rsidR="00141DAA">
        <w:t xml:space="preserve"> statistically</w:t>
      </w:r>
      <w:r w:rsidR="00725320" w:rsidRPr="003E6C1F">
        <w:t xml:space="preserve"> significant (interaction coefficient </w:t>
      </w:r>
      <w:r w:rsidR="003E6C1F" w:rsidRPr="003E6C1F">
        <w:t>0.98</w:t>
      </w:r>
      <w:r w:rsidR="00EC49E7">
        <w:t>,</w:t>
      </w:r>
      <w:r w:rsidR="00725320" w:rsidRPr="003E6C1F">
        <w:t xml:space="preserve"> 95% CI </w:t>
      </w:r>
      <w:r w:rsidR="003E6C1F" w:rsidRPr="003E6C1F">
        <w:t>0.20</w:t>
      </w:r>
      <w:r>
        <w:t>–</w:t>
      </w:r>
      <w:r w:rsidR="003E6C1F" w:rsidRPr="003E6C1F">
        <w:t>4.79, p=0.98</w:t>
      </w:r>
      <w:r w:rsidR="00725320" w:rsidRPr="003E6C1F">
        <w:t xml:space="preserve">). </w:t>
      </w:r>
      <w:r w:rsidR="006F19AB" w:rsidRPr="003E6C1F">
        <w:rPr>
          <w:rFonts w:asciiTheme="minorHAnsi" w:hAnsiTheme="minorHAnsi" w:cstheme="minorHAnsi"/>
        </w:rPr>
        <w:t>In</w:t>
      </w:r>
      <w:r w:rsidR="006F19AB" w:rsidRPr="006F19AB">
        <w:rPr>
          <w:rFonts w:asciiTheme="minorHAnsi" w:hAnsiTheme="minorHAnsi" w:cstheme="minorHAnsi"/>
        </w:rPr>
        <w:t xml:space="preserve"> a meta-analysis with the OTIS SWAT, the pooled OR </w:t>
      </w:r>
      <w:r w:rsidR="006F19AB">
        <w:rPr>
          <w:rFonts w:asciiTheme="minorHAnsi" w:hAnsiTheme="minorHAnsi" w:cstheme="minorHAnsi"/>
        </w:rPr>
        <w:t xml:space="preserve">associated with receipt of a pen </w:t>
      </w:r>
      <w:r w:rsidR="006F19AB" w:rsidRPr="006F19AB">
        <w:rPr>
          <w:rFonts w:asciiTheme="minorHAnsi" w:hAnsiTheme="minorHAnsi" w:cstheme="minorHAnsi"/>
        </w:rPr>
        <w:t>was 1.12 (95% CI 0.75</w:t>
      </w:r>
      <w:r>
        <w:rPr>
          <w:rFonts w:asciiTheme="minorHAnsi" w:hAnsiTheme="minorHAnsi" w:cstheme="minorHAnsi"/>
        </w:rPr>
        <w:t>–</w:t>
      </w:r>
      <w:r w:rsidR="006F19AB" w:rsidRPr="006F19AB">
        <w:rPr>
          <w:rFonts w:asciiTheme="minorHAnsi" w:hAnsiTheme="minorHAnsi" w:cstheme="minorHAnsi"/>
        </w:rPr>
        <w:t>1.67, p=0.58)</w:t>
      </w:r>
      <w:r w:rsidR="006F19AB">
        <w:rPr>
          <w:rFonts w:asciiTheme="minorHAnsi" w:hAnsiTheme="minorHAnsi" w:cstheme="minorHAnsi"/>
        </w:rPr>
        <w:t xml:space="preserve"> (Figure 2)</w:t>
      </w:r>
      <w:r w:rsidR="006F19AB" w:rsidRPr="006F19AB">
        <w:rPr>
          <w:rFonts w:asciiTheme="minorHAnsi" w:hAnsiTheme="minorHAnsi" w:cstheme="minorHAnsi"/>
        </w:rPr>
        <w:t>.</w:t>
      </w:r>
      <w:r w:rsidR="00FF66D0" w:rsidRPr="0080514F">
        <w:rPr>
          <w:rFonts w:asciiTheme="minorHAnsi" w:hAnsiTheme="minorHAnsi" w:cstheme="minorHAnsi"/>
        </w:rPr>
        <w:t xml:space="preserve"> </w:t>
      </w:r>
    </w:p>
    <w:p w14:paraId="1015CC18" w14:textId="77777777" w:rsidR="00C04876" w:rsidRPr="00745061" w:rsidRDefault="00C04876" w:rsidP="00745061">
      <w:pPr>
        <w:spacing w:after="0" w:line="276" w:lineRule="auto"/>
        <w:rPr>
          <w:rFonts w:asciiTheme="minorHAnsi" w:hAnsiTheme="minorHAnsi" w:cstheme="minorHAnsi"/>
        </w:rPr>
      </w:pPr>
    </w:p>
    <w:p w14:paraId="2C772314" w14:textId="30BDF70C" w:rsidR="00C04876" w:rsidRPr="00745061" w:rsidRDefault="00771F7A" w:rsidP="00745061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</w:t>
      </w:r>
      <w:r w:rsidR="00291657">
        <w:rPr>
          <w:rFonts w:asciiTheme="minorHAnsi" w:hAnsiTheme="minorHAnsi" w:cstheme="minorHAnsi"/>
        </w:rPr>
        <w:t xml:space="preserve">was </w:t>
      </w:r>
      <w:r>
        <w:rPr>
          <w:rFonts w:asciiTheme="minorHAnsi" w:hAnsiTheme="minorHAnsi" w:cstheme="minorHAnsi"/>
        </w:rPr>
        <w:t xml:space="preserve">no </w:t>
      </w:r>
      <w:r w:rsidR="00744821" w:rsidRPr="00291657">
        <w:rPr>
          <w:rFonts w:asciiTheme="minorHAnsi" w:hAnsiTheme="minorHAnsi" w:cstheme="minorHAnsi"/>
        </w:rPr>
        <w:t xml:space="preserve">evidence </w:t>
      </w:r>
      <w:r w:rsidR="006337DE" w:rsidRPr="00291657">
        <w:rPr>
          <w:rFonts w:asciiTheme="minorHAnsi" w:hAnsiTheme="minorHAnsi" w:cstheme="minorHAnsi"/>
        </w:rPr>
        <w:t>that including a pen increased the likelihood of returning a screening form</w:t>
      </w:r>
      <w:r w:rsidR="00162495" w:rsidRPr="00291657">
        <w:rPr>
          <w:rFonts w:asciiTheme="minorHAnsi" w:hAnsiTheme="minorHAnsi" w:cstheme="minorHAnsi"/>
        </w:rPr>
        <w:t xml:space="preserve"> (</w:t>
      </w:r>
      <w:r w:rsidR="003F5F0A" w:rsidRPr="0080514F">
        <w:rPr>
          <w:rFonts w:asciiTheme="minorHAnsi" w:hAnsiTheme="minorHAnsi" w:cstheme="minorHAnsi"/>
        </w:rPr>
        <w:t>pen</w:t>
      </w:r>
      <w:r w:rsidR="0053128F">
        <w:rPr>
          <w:rFonts w:asciiTheme="minorHAnsi" w:hAnsiTheme="minorHAnsi" w:cstheme="minorHAnsi"/>
        </w:rPr>
        <w:t>:</w:t>
      </w:r>
      <w:r w:rsidR="003F5F0A" w:rsidRPr="0080514F">
        <w:rPr>
          <w:rFonts w:asciiTheme="minorHAnsi" w:hAnsiTheme="minorHAnsi" w:cstheme="minorHAnsi"/>
        </w:rPr>
        <w:t xml:space="preserve"> </w:t>
      </w:r>
      <w:r w:rsidR="003F5F0A">
        <w:rPr>
          <w:rFonts w:asciiTheme="minorHAnsi" w:hAnsiTheme="minorHAnsi" w:cstheme="minorHAnsi"/>
        </w:rPr>
        <w:t>66</w:t>
      </w:r>
      <w:r w:rsidR="003F5F0A" w:rsidRPr="0080514F">
        <w:rPr>
          <w:rFonts w:asciiTheme="minorHAnsi" w:hAnsiTheme="minorHAnsi" w:cstheme="minorHAnsi"/>
        </w:rPr>
        <w:t xml:space="preserve">/409, </w:t>
      </w:r>
      <w:r w:rsidR="003F5F0A">
        <w:rPr>
          <w:rFonts w:asciiTheme="minorHAnsi" w:hAnsiTheme="minorHAnsi" w:cstheme="minorHAnsi"/>
        </w:rPr>
        <w:t>16.1%; no pen</w:t>
      </w:r>
      <w:r w:rsidR="0053128F">
        <w:rPr>
          <w:rFonts w:asciiTheme="minorHAnsi" w:hAnsiTheme="minorHAnsi" w:cstheme="minorHAnsi"/>
        </w:rPr>
        <w:t>:</w:t>
      </w:r>
      <w:r w:rsidR="003F5F0A">
        <w:rPr>
          <w:rFonts w:asciiTheme="minorHAnsi" w:hAnsiTheme="minorHAnsi" w:cstheme="minorHAnsi"/>
        </w:rPr>
        <w:t xml:space="preserve"> </w:t>
      </w:r>
      <w:r w:rsidR="003F5F0A" w:rsidRPr="00141DAA">
        <w:rPr>
          <w:rFonts w:asciiTheme="minorHAnsi" w:hAnsiTheme="minorHAnsi" w:cstheme="minorHAnsi"/>
        </w:rPr>
        <w:t xml:space="preserve">61/409, 14.9%; </w:t>
      </w:r>
      <w:r w:rsidR="00162495" w:rsidRPr="00141DAA">
        <w:rPr>
          <w:rFonts w:asciiTheme="minorHAnsi" w:hAnsiTheme="minorHAnsi" w:cstheme="minorHAnsi"/>
        </w:rPr>
        <w:t>OR 1.1</w:t>
      </w:r>
      <w:r w:rsidR="00291657" w:rsidRPr="00141DAA">
        <w:rPr>
          <w:rFonts w:asciiTheme="minorHAnsi" w:hAnsiTheme="minorHAnsi" w:cstheme="minorHAnsi"/>
        </w:rPr>
        <w:t>0</w:t>
      </w:r>
      <w:r w:rsidR="00162495" w:rsidRPr="00141DAA">
        <w:rPr>
          <w:rFonts w:asciiTheme="minorHAnsi" w:hAnsiTheme="minorHAnsi" w:cstheme="minorHAnsi"/>
        </w:rPr>
        <w:t>; 95% CI 0.7</w:t>
      </w:r>
      <w:r w:rsidR="00291657" w:rsidRPr="00141DAA">
        <w:rPr>
          <w:rFonts w:asciiTheme="minorHAnsi" w:hAnsiTheme="minorHAnsi" w:cstheme="minorHAnsi"/>
        </w:rPr>
        <w:t>5</w:t>
      </w:r>
      <w:r w:rsidR="0053128F">
        <w:rPr>
          <w:rFonts w:asciiTheme="minorHAnsi" w:hAnsiTheme="minorHAnsi" w:cstheme="minorHAnsi"/>
        </w:rPr>
        <w:t>–</w:t>
      </w:r>
      <w:r w:rsidR="00162495" w:rsidRPr="00141DAA">
        <w:rPr>
          <w:rFonts w:asciiTheme="minorHAnsi" w:hAnsiTheme="minorHAnsi" w:cstheme="minorHAnsi"/>
        </w:rPr>
        <w:t>1.6</w:t>
      </w:r>
      <w:r w:rsidR="00291657" w:rsidRPr="00141DAA">
        <w:rPr>
          <w:rFonts w:asciiTheme="minorHAnsi" w:hAnsiTheme="minorHAnsi" w:cstheme="minorHAnsi"/>
        </w:rPr>
        <w:t>1, p=0.61</w:t>
      </w:r>
      <w:r w:rsidR="00162495" w:rsidRPr="00141DAA">
        <w:rPr>
          <w:rFonts w:asciiTheme="minorHAnsi" w:hAnsiTheme="minorHAnsi" w:cstheme="minorHAnsi"/>
        </w:rPr>
        <w:t>), but</w:t>
      </w:r>
      <w:r w:rsidR="001C2647" w:rsidRPr="00141DAA">
        <w:rPr>
          <w:rFonts w:asciiTheme="minorHAnsi" w:hAnsiTheme="minorHAnsi" w:cstheme="minorHAnsi"/>
        </w:rPr>
        <w:t xml:space="preserve"> </w:t>
      </w:r>
      <w:r w:rsidR="00744821" w:rsidRPr="00141DAA">
        <w:rPr>
          <w:rFonts w:asciiTheme="minorHAnsi" w:hAnsiTheme="minorHAnsi" w:cstheme="minorHAnsi"/>
        </w:rPr>
        <w:t xml:space="preserve">there was </w:t>
      </w:r>
      <w:r w:rsidR="00C04876" w:rsidRPr="00141DAA">
        <w:rPr>
          <w:rFonts w:asciiTheme="minorHAnsi" w:hAnsiTheme="minorHAnsi" w:cstheme="minorHAnsi"/>
        </w:rPr>
        <w:t xml:space="preserve">strong evidence </w:t>
      </w:r>
      <w:r w:rsidR="006337DE" w:rsidRPr="00141DAA">
        <w:rPr>
          <w:rFonts w:asciiTheme="minorHAnsi" w:hAnsiTheme="minorHAnsi" w:cstheme="minorHAnsi"/>
        </w:rPr>
        <w:t>for</w:t>
      </w:r>
      <w:r w:rsidR="00C04876" w:rsidRPr="00141DAA">
        <w:rPr>
          <w:rFonts w:asciiTheme="minorHAnsi" w:hAnsiTheme="minorHAnsi" w:cstheme="minorHAnsi"/>
        </w:rPr>
        <w:t xml:space="preserve"> </w:t>
      </w:r>
      <w:r w:rsidR="006337DE" w:rsidRPr="00141DAA">
        <w:rPr>
          <w:rFonts w:asciiTheme="minorHAnsi" w:hAnsiTheme="minorHAnsi" w:cstheme="minorHAnsi"/>
        </w:rPr>
        <w:t>including</w:t>
      </w:r>
      <w:r w:rsidR="00C04876" w:rsidRPr="00141DAA">
        <w:rPr>
          <w:rFonts w:asciiTheme="minorHAnsi" w:hAnsiTheme="minorHAnsi" w:cstheme="minorHAnsi"/>
        </w:rPr>
        <w:t xml:space="preserve"> £5 </w:t>
      </w:r>
      <w:r w:rsidR="003F5F0A" w:rsidRPr="00141DAA">
        <w:rPr>
          <w:rFonts w:asciiTheme="minorHAnsi" w:hAnsiTheme="minorHAnsi" w:cstheme="minorHAnsi"/>
        </w:rPr>
        <w:t>(£5</w:t>
      </w:r>
      <w:r w:rsidR="0053128F">
        <w:rPr>
          <w:rFonts w:asciiTheme="minorHAnsi" w:hAnsiTheme="minorHAnsi" w:cstheme="minorHAnsi"/>
        </w:rPr>
        <w:t>:</w:t>
      </w:r>
      <w:r w:rsidR="003F5F0A" w:rsidRPr="00141DAA">
        <w:rPr>
          <w:rFonts w:asciiTheme="minorHAnsi" w:hAnsiTheme="minorHAnsi" w:cstheme="minorHAnsi"/>
        </w:rPr>
        <w:t xml:space="preserve"> 77/409, 18.8%; no £5</w:t>
      </w:r>
      <w:r>
        <w:rPr>
          <w:rFonts w:asciiTheme="minorHAnsi" w:hAnsiTheme="minorHAnsi" w:cstheme="minorHAnsi"/>
        </w:rPr>
        <w:t>:</w:t>
      </w:r>
      <w:r w:rsidR="003F5F0A" w:rsidRPr="00141DAA">
        <w:rPr>
          <w:rFonts w:asciiTheme="minorHAnsi" w:hAnsiTheme="minorHAnsi" w:cstheme="minorHAnsi"/>
        </w:rPr>
        <w:t xml:space="preserve"> 50/409, 12.2%; </w:t>
      </w:r>
      <w:r w:rsidR="00C04876" w:rsidRPr="00141DAA">
        <w:rPr>
          <w:rFonts w:asciiTheme="minorHAnsi" w:hAnsiTheme="minorHAnsi" w:cstheme="minorHAnsi"/>
        </w:rPr>
        <w:t xml:space="preserve">OR </w:t>
      </w:r>
      <w:r w:rsidR="001C2647" w:rsidRPr="00141DAA">
        <w:rPr>
          <w:rFonts w:asciiTheme="minorHAnsi" w:hAnsiTheme="minorHAnsi" w:cstheme="minorHAnsi"/>
        </w:rPr>
        <w:t>1.6</w:t>
      </w:r>
      <w:r w:rsidR="00291657" w:rsidRPr="00141DAA">
        <w:rPr>
          <w:rFonts w:asciiTheme="minorHAnsi" w:hAnsiTheme="minorHAnsi" w:cstheme="minorHAnsi"/>
        </w:rPr>
        <w:t>7</w:t>
      </w:r>
      <w:r w:rsidR="00F47600" w:rsidRPr="00141DAA">
        <w:rPr>
          <w:rFonts w:asciiTheme="minorHAnsi" w:hAnsiTheme="minorHAnsi" w:cstheme="minorHAnsi"/>
        </w:rPr>
        <w:t>;</w:t>
      </w:r>
      <w:r w:rsidR="00291657" w:rsidRPr="00141DAA">
        <w:rPr>
          <w:rFonts w:asciiTheme="minorHAnsi" w:hAnsiTheme="minorHAnsi" w:cstheme="minorHAnsi"/>
        </w:rPr>
        <w:t xml:space="preserve"> 95% CI 1.13</w:t>
      </w:r>
      <w:r>
        <w:rPr>
          <w:rFonts w:asciiTheme="minorHAnsi" w:hAnsiTheme="minorHAnsi" w:cstheme="minorHAnsi"/>
        </w:rPr>
        <w:t>–</w:t>
      </w:r>
      <w:r w:rsidR="001C2647" w:rsidRPr="00141DAA">
        <w:rPr>
          <w:rFonts w:asciiTheme="minorHAnsi" w:hAnsiTheme="minorHAnsi" w:cstheme="minorHAnsi"/>
        </w:rPr>
        <w:t>2.</w:t>
      </w:r>
      <w:r w:rsidR="00291657" w:rsidRPr="00141DAA">
        <w:rPr>
          <w:rFonts w:asciiTheme="minorHAnsi" w:hAnsiTheme="minorHAnsi" w:cstheme="minorHAnsi"/>
        </w:rPr>
        <w:t>45</w:t>
      </w:r>
      <w:r w:rsidR="001C2647" w:rsidRPr="00141DAA">
        <w:rPr>
          <w:rFonts w:asciiTheme="minorHAnsi" w:hAnsiTheme="minorHAnsi" w:cstheme="minorHAnsi"/>
        </w:rPr>
        <w:t xml:space="preserve">, p=0.01). </w:t>
      </w:r>
      <w:r w:rsidR="00725320" w:rsidRPr="00141DAA">
        <w:t xml:space="preserve">The interaction between the interventions was investigated as a secondary analysis and was found </w:t>
      </w:r>
      <w:r w:rsidR="00141DAA" w:rsidRPr="00141DAA">
        <w:t xml:space="preserve">not </w:t>
      </w:r>
      <w:r w:rsidR="00725320" w:rsidRPr="00141DAA">
        <w:t xml:space="preserve">to be </w:t>
      </w:r>
      <w:r w:rsidR="00141DAA">
        <w:t xml:space="preserve">statistically </w:t>
      </w:r>
      <w:r w:rsidR="00725320" w:rsidRPr="00141DAA">
        <w:t xml:space="preserve">significant (interaction coefficient </w:t>
      </w:r>
      <w:r w:rsidR="00F22245" w:rsidRPr="00141DAA">
        <w:t>1.66, 95% CI 0.76</w:t>
      </w:r>
      <w:r>
        <w:t>–</w:t>
      </w:r>
      <w:r w:rsidR="00F22245" w:rsidRPr="00141DAA">
        <w:t>3.60, p=0.20</w:t>
      </w:r>
      <w:r w:rsidR="00725320" w:rsidRPr="00141DAA">
        <w:t>).</w:t>
      </w:r>
    </w:p>
    <w:p w14:paraId="44FA1286" w14:textId="77777777" w:rsidR="00C04876" w:rsidRPr="00745061" w:rsidRDefault="00C04876" w:rsidP="00745061">
      <w:pPr>
        <w:spacing w:after="0" w:line="276" w:lineRule="auto"/>
        <w:rPr>
          <w:rFonts w:asciiTheme="minorHAnsi" w:hAnsiTheme="minorHAnsi" w:cstheme="minorHAnsi"/>
        </w:rPr>
      </w:pPr>
    </w:p>
    <w:p w14:paraId="13DD8CF4" w14:textId="649D2D7D" w:rsidR="00E172DA" w:rsidRDefault="000146BE" w:rsidP="00745061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0741FF" w:rsidRPr="00745061">
        <w:rPr>
          <w:rFonts w:asciiTheme="minorHAnsi" w:hAnsiTheme="minorHAnsi" w:cstheme="minorHAnsi"/>
        </w:rPr>
        <w:t>he</w:t>
      </w:r>
      <w:r w:rsidR="003F5F0A">
        <w:rPr>
          <w:rFonts w:asciiTheme="minorHAnsi" w:hAnsiTheme="minorHAnsi" w:cstheme="minorHAnsi"/>
        </w:rPr>
        <w:t>re was</w:t>
      </w:r>
      <w:r w:rsidR="00766294">
        <w:rPr>
          <w:rFonts w:asciiTheme="minorHAnsi" w:hAnsiTheme="minorHAnsi" w:cstheme="minorHAnsi"/>
        </w:rPr>
        <w:t xml:space="preserve"> </w:t>
      </w:r>
      <w:r w:rsidR="00F47600" w:rsidRPr="00745061">
        <w:rPr>
          <w:rFonts w:asciiTheme="minorHAnsi" w:hAnsiTheme="minorHAnsi" w:cstheme="minorHAnsi"/>
        </w:rPr>
        <w:t>no evidence of a difference in</w:t>
      </w:r>
      <w:r w:rsidR="000741FF" w:rsidRPr="00745061">
        <w:rPr>
          <w:rFonts w:asciiTheme="minorHAnsi" w:hAnsiTheme="minorHAnsi" w:cstheme="minorHAnsi"/>
        </w:rPr>
        <w:t xml:space="preserve"> t</w:t>
      </w:r>
      <w:r w:rsidR="001C2647" w:rsidRPr="00745061">
        <w:rPr>
          <w:rFonts w:asciiTheme="minorHAnsi" w:hAnsiTheme="minorHAnsi" w:cstheme="minorHAnsi"/>
        </w:rPr>
        <w:t>ime to return</w:t>
      </w:r>
      <w:r w:rsidR="00DB104A" w:rsidRPr="00745061">
        <w:rPr>
          <w:rFonts w:asciiTheme="minorHAnsi" w:hAnsiTheme="minorHAnsi" w:cstheme="minorHAnsi"/>
        </w:rPr>
        <w:t xml:space="preserve"> </w:t>
      </w:r>
      <w:r w:rsidR="00D513E2" w:rsidRPr="00745061">
        <w:rPr>
          <w:rFonts w:asciiTheme="minorHAnsi" w:hAnsiTheme="minorHAnsi" w:cstheme="minorHAnsi"/>
        </w:rPr>
        <w:t>a</w:t>
      </w:r>
      <w:r w:rsidR="000741FF" w:rsidRPr="00745061">
        <w:rPr>
          <w:rFonts w:asciiTheme="minorHAnsi" w:hAnsiTheme="minorHAnsi" w:cstheme="minorHAnsi"/>
        </w:rPr>
        <w:t xml:space="preserve"> screening form </w:t>
      </w:r>
      <w:r w:rsidR="008B16B9" w:rsidRPr="00745061">
        <w:rPr>
          <w:rFonts w:asciiTheme="minorHAnsi" w:hAnsiTheme="minorHAnsi" w:cstheme="minorHAnsi"/>
        </w:rPr>
        <w:t>associated with</w:t>
      </w:r>
      <w:r w:rsidR="00DB104A" w:rsidRPr="00745061">
        <w:rPr>
          <w:rFonts w:asciiTheme="minorHAnsi" w:hAnsiTheme="minorHAnsi" w:cstheme="minorHAnsi"/>
        </w:rPr>
        <w:t xml:space="preserve"> </w:t>
      </w:r>
      <w:r w:rsidR="00927CB5" w:rsidRPr="00745061">
        <w:rPr>
          <w:rFonts w:asciiTheme="minorHAnsi" w:hAnsiTheme="minorHAnsi" w:cstheme="minorHAnsi"/>
        </w:rPr>
        <w:t>inclusion of a</w:t>
      </w:r>
      <w:r w:rsidR="00DB104A" w:rsidRPr="00745061">
        <w:rPr>
          <w:rFonts w:asciiTheme="minorHAnsi" w:hAnsiTheme="minorHAnsi" w:cstheme="minorHAnsi"/>
        </w:rPr>
        <w:t xml:space="preserve"> pen</w:t>
      </w:r>
      <w:r w:rsidR="001C2647" w:rsidRPr="00745061">
        <w:rPr>
          <w:rFonts w:asciiTheme="minorHAnsi" w:hAnsiTheme="minorHAnsi" w:cstheme="minorHAnsi"/>
        </w:rPr>
        <w:t xml:space="preserve"> </w:t>
      </w:r>
      <w:r w:rsidR="00F47600" w:rsidRPr="00745061">
        <w:rPr>
          <w:rFonts w:asciiTheme="minorHAnsi" w:hAnsiTheme="minorHAnsi" w:cstheme="minorHAnsi"/>
        </w:rPr>
        <w:t>(</w:t>
      </w:r>
      <w:r w:rsidR="00DB104A" w:rsidRPr="00745061">
        <w:rPr>
          <w:rFonts w:asciiTheme="minorHAnsi" w:hAnsiTheme="minorHAnsi" w:cstheme="minorHAnsi"/>
        </w:rPr>
        <w:t xml:space="preserve">HR </w:t>
      </w:r>
      <w:r w:rsidR="0024168B">
        <w:rPr>
          <w:rFonts w:asciiTheme="minorHAnsi" w:hAnsiTheme="minorHAnsi" w:cstheme="minorHAnsi"/>
        </w:rPr>
        <w:t>1.</w:t>
      </w:r>
      <w:r w:rsidR="004507EB">
        <w:rPr>
          <w:rFonts w:asciiTheme="minorHAnsi" w:hAnsiTheme="minorHAnsi" w:cstheme="minorHAnsi"/>
        </w:rPr>
        <w:t>09</w:t>
      </w:r>
      <w:r w:rsidR="00F47600" w:rsidRPr="00745061">
        <w:rPr>
          <w:rFonts w:asciiTheme="minorHAnsi" w:hAnsiTheme="minorHAnsi" w:cstheme="minorHAnsi"/>
        </w:rPr>
        <w:t>;</w:t>
      </w:r>
      <w:r w:rsidR="008813EA" w:rsidRPr="00745061">
        <w:rPr>
          <w:rFonts w:asciiTheme="minorHAnsi" w:hAnsiTheme="minorHAnsi" w:cstheme="minorHAnsi"/>
        </w:rPr>
        <w:t xml:space="preserve"> 95% CI 0.77</w:t>
      </w:r>
      <w:r w:rsidR="0050282C">
        <w:rPr>
          <w:rFonts w:asciiTheme="minorHAnsi" w:hAnsiTheme="minorHAnsi" w:cstheme="minorHAnsi"/>
        </w:rPr>
        <w:t>–</w:t>
      </w:r>
      <w:r w:rsidR="008813EA" w:rsidRPr="00745061">
        <w:rPr>
          <w:rFonts w:asciiTheme="minorHAnsi" w:hAnsiTheme="minorHAnsi" w:cstheme="minorHAnsi"/>
        </w:rPr>
        <w:t>1.55, p=0.61)</w:t>
      </w:r>
      <w:r w:rsidR="00212AB1" w:rsidRPr="00745061">
        <w:rPr>
          <w:rFonts w:asciiTheme="minorHAnsi" w:hAnsiTheme="minorHAnsi" w:cstheme="minorHAnsi"/>
        </w:rPr>
        <w:t xml:space="preserve">, but including £5 </w:t>
      </w:r>
      <w:r w:rsidR="00875394" w:rsidRPr="00745061">
        <w:rPr>
          <w:rFonts w:asciiTheme="minorHAnsi" w:hAnsiTheme="minorHAnsi" w:cstheme="minorHAnsi"/>
        </w:rPr>
        <w:t xml:space="preserve">decreased </w:t>
      </w:r>
      <w:r w:rsidR="00722371" w:rsidRPr="00745061">
        <w:rPr>
          <w:rFonts w:asciiTheme="minorHAnsi" w:hAnsiTheme="minorHAnsi" w:cstheme="minorHAnsi"/>
        </w:rPr>
        <w:t xml:space="preserve">the </w:t>
      </w:r>
      <w:r w:rsidR="000741FF" w:rsidRPr="00745061">
        <w:rPr>
          <w:rFonts w:asciiTheme="minorHAnsi" w:hAnsiTheme="minorHAnsi" w:cstheme="minorHAnsi"/>
        </w:rPr>
        <w:t xml:space="preserve">time to </w:t>
      </w:r>
      <w:r w:rsidR="00277AA6" w:rsidRPr="00745061">
        <w:rPr>
          <w:rFonts w:asciiTheme="minorHAnsi" w:hAnsiTheme="minorHAnsi" w:cstheme="minorHAnsi"/>
        </w:rPr>
        <w:t xml:space="preserve">return </w:t>
      </w:r>
      <w:r w:rsidR="00F51E53" w:rsidRPr="00745061">
        <w:rPr>
          <w:rFonts w:asciiTheme="minorHAnsi" w:hAnsiTheme="minorHAnsi" w:cstheme="minorHAnsi"/>
        </w:rPr>
        <w:t>a</w:t>
      </w:r>
      <w:r w:rsidR="000741FF" w:rsidRPr="00745061">
        <w:rPr>
          <w:rFonts w:asciiTheme="minorHAnsi" w:hAnsiTheme="minorHAnsi" w:cstheme="minorHAnsi"/>
        </w:rPr>
        <w:t xml:space="preserve"> screening form</w:t>
      </w:r>
      <w:r w:rsidR="004E01EC" w:rsidRPr="00745061">
        <w:rPr>
          <w:rFonts w:asciiTheme="minorHAnsi" w:hAnsiTheme="minorHAnsi" w:cstheme="minorHAnsi"/>
        </w:rPr>
        <w:t xml:space="preserve"> </w:t>
      </w:r>
      <w:r w:rsidR="00F47600" w:rsidRPr="00745061">
        <w:rPr>
          <w:rFonts w:asciiTheme="minorHAnsi" w:hAnsiTheme="minorHAnsi" w:cstheme="minorHAnsi"/>
        </w:rPr>
        <w:t>(</w:t>
      </w:r>
      <w:r w:rsidR="004E01EC" w:rsidRPr="00745061">
        <w:rPr>
          <w:rFonts w:asciiTheme="minorHAnsi" w:hAnsiTheme="minorHAnsi" w:cstheme="minorHAnsi"/>
        </w:rPr>
        <w:t>HR 1.5</w:t>
      </w:r>
      <w:r w:rsidR="004507EB">
        <w:rPr>
          <w:rFonts w:asciiTheme="minorHAnsi" w:hAnsiTheme="minorHAnsi" w:cstheme="minorHAnsi"/>
        </w:rPr>
        <w:t>6</w:t>
      </w:r>
      <w:r w:rsidR="00F47600" w:rsidRPr="00745061">
        <w:rPr>
          <w:rFonts w:asciiTheme="minorHAnsi" w:hAnsiTheme="minorHAnsi" w:cstheme="minorHAnsi"/>
        </w:rPr>
        <w:t>;</w:t>
      </w:r>
      <w:r w:rsidR="008813EA" w:rsidRPr="00745061">
        <w:rPr>
          <w:rFonts w:asciiTheme="minorHAnsi" w:hAnsiTheme="minorHAnsi" w:cstheme="minorHAnsi"/>
        </w:rPr>
        <w:t xml:space="preserve"> </w:t>
      </w:r>
      <w:r w:rsidR="00F30A0E" w:rsidRPr="00745061">
        <w:rPr>
          <w:rFonts w:asciiTheme="minorHAnsi" w:hAnsiTheme="minorHAnsi" w:cstheme="minorHAnsi"/>
        </w:rPr>
        <w:t>95% CI 1.09</w:t>
      </w:r>
      <w:r w:rsidR="00B52943">
        <w:rPr>
          <w:rFonts w:asciiTheme="minorHAnsi" w:hAnsiTheme="minorHAnsi" w:cstheme="minorHAnsi"/>
        </w:rPr>
        <w:t>–</w:t>
      </w:r>
      <w:r w:rsidR="008813EA" w:rsidRPr="00745061">
        <w:rPr>
          <w:rFonts w:asciiTheme="minorHAnsi" w:hAnsiTheme="minorHAnsi" w:cstheme="minorHAnsi"/>
        </w:rPr>
        <w:t>2.22, p=</w:t>
      </w:r>
      <w:r w:rsidR="00F30A0E" w:rsidRPr="00745061">
        <w:rPr>
          <w:rFonts w:asciiTheme="minorHAnsi" w:hAnsiTheme="minorHAnsi" w:cstheme="minorHAnsi"/>
        </w:rPr>
        <w:t>0.02</w:t>
      </w:r>
      <w:r w:rsidR="008813EA" w:rsidRPr="00745061">
        <w:rPr>
          <w:rFonts w:asciiTheme="minorHAnsi" w:hAnsiTheme="minorHAnsi" w:cstheme="minorHAnsi"/>
        </w:rPr>
        <w:t>).</w:t>
      </w:r>
      <w:r w:rsidR="00895CD5" w:rsidRPr="00745061">
        <w:rPr>
          <w:rFonts w:asciiTheme="minorHAnsi" w:hAnsiTheme="minorHAnsi" w:cstheme="minorHAnsi"/>
        </w:rPr>
        <w:t xml:space="preserve"> </w:t>
      </w:r>
      <w:r w:rsidR="00212AB1" w:rsidRPr="00745061">
        <w:rPr>
          <w:rFonts w:asciiTheme="minorHAnsi" w:hAnsiTheme="minorHAnsi" w:cstheme="minorHAnsi"/>
        </w:rPr>
        <w:t xml:space="preserve">See </w:t>
      </w:r>
      <w:r w:rsidR="001C0053" w:rsidRPr="00745061">
        <w:rPr>
          <w:rFonts w:asciiTheme="minorHAnsi" w:hAnsiTheme="minorHAnsi" w:cstheme="minorHAnsi"/>
        </w:rPr>
        <w:t>Kaplan</w:t>
      </w:r>
      <w:r w:rsidR="00B52943">
        <w:rPr>
          <w:rFonts w:asciiTheme="minorHAnsi" w:hAnsiTheme="minorHAnsi" w:cstheme="minorHAnsi"/>
        </w:rPr>
        <w:t>–</w:t>
      </w:r>
      <w:r w:rsidR="001C0053" w:rsidRPr="00745061">
        <w:rPr>
          <w:rFonts w:asciiTheme="minorHAnsi" w:hAnsiTheme="minorHAnsi" w:cstheme="minorHAnsi"/>
        </w:rPr>
        <w:t xml:space="preserve">Meier plots </w:t>
      </w:r>
      <w:r w:rsidR="00212AB1" w:rsidRPr="00745061">
        <w:rPr>
          <w:rFonts w:asciiTheme="minorHAnsi" w:hAnsiTheme="minorHAnsi" w:cstheme="minorHAnsi"/>
        </w:rPr>
        <w:t>(</w:t>
      </w:r>
      <w:r w:rsidR="00E901A5" w:rsidRPr="00745061">
        <w:rPr>
          <w:rFonts w:asciiTheme="minorHAnsi" w:hAnsiTheme="minorHAnsi" w:cstheme="minorHAnsi"/>
        </w:rPr>
        <w:t xml:space="preserve">Figure </w:t>
      </w:r>
      <w:r w:rsidR="006F19AB">
        <w:rPr>
          <w:rFonts w:asciiTheme="minorHAnsi" w:hAnsiTheme="minorHAnsi" w:cstheme="minorHAnsi"/>
        </w:rPr>
        <w:t>3</w:t>
      </w:r>
      <w:r w:rsidR="00212AB1" w:rsidRPr="00745061">
        <w:rPr>
          <w:rFonts w:asciiTheme="minorHAnsi" w:hAnsiTheme="minorHAnsi" w:cstheme="minorHAnsi"/>
        </w:rPr>
        <w:t>)</w:t>
      </w:r>
      <w:r w:rsidR="00E901A5" w:rsidRPr="00745061">
        <w:rPr>
          <w:rFonts w:asciiTheme="minorHAnsi" w:hAnsiTheme="minorHAnsi" w:cstheme="minorHAnsi"/>
        </w:rPr>
        <w:t>.</w:t>
      </w:r>
      <w:r w:rsidR="00B761D1">
        <w:rPr>
          <w:rFonts w:asciiTheme="minorHAnsi" w:hAnsiTheme="minorHAnsi" w:cstheme="minorHAnsi"/>
        </w:rPr>
        <w:t xml:space="preserve"> The Grambsch and Therneau test </w:t>
      </w:r>
      <w:r w:rsidR="00B761D1">
        <w:t xml:space="preserve">did not indicate deviation from the </w:t>
      </w:r>
      <w:r w:rsidR="00B761D1" w:rsidRPr="00141DAA">
        <w:t>proport</w:t>
      </w:r>
      <w:r w:rsidRPr="00141DAA">
        <w:t xml:space="preserve">ional </w:t>
      </w:r>
      <w:r w:rsidR="00B761D1" w:rsidRPr="00141DAA">
        <w:t>hazards</w:t>
      </w:r>
      <w:r w:rsidR="00B52943">
        <w:t>’</w:t>
      </w:r>
      <w:r w:rsidR="00B761D1" w:rsidRPr="00141DAA">
        <w:t xml:space="preserve"> assumption</w:t>
      </w:r>
      <w:r w:rsidR="00BA1E34">
        <w:t xml:space="preserve"> (3)</w:t>
      </w:r>
      <w:r w:rsidR="00B761D1" w:rsidRPr="00141DAA">
        <w:t>.</w:t>
      </w:r>
      <w:r w:rsidR="00B761D1" w:rsidRPr="00141DAA">
        <w:rPr>
          <w:rFonts w:asciiTheme="minorHAnsi" w:hAnsiTheme="minorHAnsi" w:cstheme="minorHAnsi"/>
        </w:rPr>
        <w:t xml:space="preserve"> </w:t>
      </w:r>
      <w:r w:rsidR="00725320" w:rsidRPr="00141DAA">
        <w:t>The interaction between the interventions was investigated as a secondary analysis and was</w:t>
      </w:r>
      <w:r w:rsidR="00141DAA" w:rsidRPr="00141DAA">
        <w:t xml:space="preserve"> not</w:t>
      </w:r>
      <w:r w:rsidR="00725320" w:rsidRPr="00141DAA">
        <w:t xml:space="preserve"> found to be</w:t>
      </w:r>
      <w:r w:rsidR="00141DAA" w:rsidRPr="00141DAA">
        <w:t xml:space="preserve"> statistically</w:t>
      </w:r>
      <w:r w:rsidR="00725320" w:rsidRPr="00141DAA">
        <w:t xml:space="preserve"> significant (interaction coefficient</w:t>
      </w:r>
      <w:r w:rsidR="00F22245">
        <w:t xml:space="preserve"> </w:t>
      </w:r>
      <w:r w:rsidR="00F22245" w:rsidRPr="00141DAA">
        <w:t>1.56, 95% CI 0.76</w:t>
      </w:r>
      <w:r w:rsidR="00B52943">
        <w:t>–</w:t>
      </w:r>
      <w:r w:rsidR="00F22245" w:rsidRPr="00141DAA">
        <w:t>3.19, p=0.22</w:t>
      </w:r>
      <w:r w:rsidR="00725320" w:rsidRPr="00141DAA">
        <w:t>).</w:t>
      </w:r>
    </w:p>
    <w:p w14:paraId="30E05A26" w14:textId="77777777" w:rsidR="00E172DA" w:rsidRPr="00745061" w:rsidRDefault="00E172DA" w:rsidP="00745061">
      <w:pPr>
        <w:spacing w:after="0" w:line="276" w:lineRule="auto"/>
        <w:rPr>
          <w:rFonts w:asciiTheme="minorHAnsi" w:hAnsiTheme="minorHAnsi" w:cstheme="minorHAnsi"/>
        </w:rPr>
      </w:pPr>
    </w:p>
    <w:p w14:paraId="0CB20194" w14:textId="3486B3D2" w:rsidR="00F77827" w:rsidRDefault="001829A6" w:rsidP="002D6E85">
      <w:pPr>
        <w:spacing w:after="0" w:line="276" w:lineRule="auto"/>
        <w:rPr>
          <w:rFonts w:asciiTheme="minorHAnsi" w:hAnsiTheme="minorHAnsi" w:cstheme="minorHAnsi"/>
        </w:rPr>
      </w:pPr>
      <w:r w:rsidRPr="00745061">
        <w:rPr>
          <w:rFonts w:asciiTheme="minorHAnsi" w:hAnsiTheme="minorHAnsi" w:cstheme="minorHAnsi"/>
        </w:rPr>
        <w:t xml:space="preserve">The additional cost of including a pen </w:t>
      </w:r>
      <w:r w:rsidR="00820A8A">
        <w:rPr>
          <w:rFonts w:asciiTheme="minorHAnsi" w:hAnsiTheme="minorHAnsi" w:cstheme="minorHAnsi"/>
        </w:rPr>
        <w:t xml:space="preserve">in the postal mailout </w:t>
      </w:r>
      <w:r w:rsidRPr="00745061">
        <w:rPr>
          <w:rFonts w:asciiTheme="minorHAnsi" w:hAnsiTheme="minorHAnsi" w:cstheme="minorHAnsi"/>
        </w:rPr>
        <w:t>was £0.32</w:t>
      </w:r>
      <w:r w:rsidR="00AB6FAA" w:rsidRPr="00745061">
        <w:rPr>
          <w:rFonts w:asciiTheme="minorHAnsi" w:hAnsiTheme="minorHAnsi" w:cstheme="minorHAnsi"/>
        </w:rPr>
        <w:t>;</w:t>
      </w:r>
      <w:r w:rsidR="00E348F4" w:rsidRPr="00745061">
        <w:rPr>
          <w:rFonts w:asciiTheme="minorHAnsi" w:hAnsiTheme="minorHAnsi" w:cstheme="minorHAnsi"/>
        </w:rPr>
        <w:t xml:space="preserve"> </w:t>
      </w:r>
      <w:r w:rsidR="00F251D1" w:rsidRPr="00745061">
        <w:rPr>
          <w:rFonts w:asciiTheme="minorHAnsi" w:hAnsiTheme="minorHAnsi" w:cstheme="minorHAnsi"/>
        </w:rPr>
        <w:t>t</w:t>
      </w:r>
      <w:r w:rsidR="00763DE1" w:rsidRPr="00745061">
        <w:rPr>
          <w:rFonts w:asciiTheme="minorHAnsi" w:hAnsiTheme="minorHAnsi" w:cstheme="minorHAnsi"/>
        </w:rPr>
        <w:t>he inclusion</w:t>
      </w:r>
      <w:r w:rsidR="002B4DD1" w:rsidRPr="00745061">
        <w:rPr>
          <w:rFonts w:asciiTheme="minorHAnsi" w:hAnsiTheme="minorHAnsi" w:cstheme="minorHAnsi"/>
        </w:rPr>
        <w:t xml:space="preserve"> of</w:t>
      </w:r>
      <w:r w:rsidR="005720FF" w:rsidRPr="00745061">
        <w:rPr>
          <w:rFonts w:asciiTheme="minorHAnsi" w:hAnsiTheme="minorHAnsi" w:cstheme="minorHAnsi"/>
        </w:rPr>
        <w:t xml:space="preserve"> </w:t>
      </w:r>
      <w:r w:rsidR="002B4DD1" w:rsidRPr="00745061">
        <w:rPr>
          <w:rFonts w:asciiTheme="minorHAnsi" w:hAnsiTheme="minorHAnsi" w:cstheme="minorHAnsi"/>
        </w:rPr>
        <w:t>£5</w:t>
      </w:r>
      <w:r w:rsidR="005720FF" w:rsidRPr="00745061">
        <w:rPr>
          <w:rFonts w:asciiTheme="minorHAnsi" w:hAnsiTheme="minorHAnsi" w:cstheme="minorHAnsi"/>
        </w:rPr>
        <w:t xml:space="preserve"> </w:t>
      </w:r>
      <w:r w:rsidR="00AB6FAA" w:rsidRPr="00745061">
        <w:rPr>
          <w:rFonts w:asciiTheme="minorHAnsi" w:hAnsiTheme="minorHAnsi" w:cstheme="minorHAnsi"/>
        </w:rPr>
        <w:t xml:space="preserve">additionally </w:t>
      </w:r>
      <w:r w:rsidR="002B4DD1" w:rsidRPr="00745061">
        <w:rPr>
          <w:rFonts w:asciiTheme="minorHAnsi" w:hAnsiTheme="minorHAnsi" w:cstheme="minorHAnsi"/>
        </w:rPr>
        <w:t>cost only the value</w:t>
      </w:r>
      <w:r w:rsidR="007535AB" w:rsidRPr="00745061">
        <w:rPr>
          <w:rFonts w:asciiTheme="minorHAnsi" w:hAnsiTheme="minorHAnsi" w:cstheme="minorHAnsi"/>
        </w:rPr>
        <w:t xml:space="preserve"> of the note itself.</w:t>
      </w:r>
      <w:r w:rsidR="00E348F4" w:rsidRPr="00745061">
        <w:rPr>
          <w:rFonts w:asciiTheme="minorHAnsi" w:hAnsiTheme="minorHAnsi" w:cstheme="minorHAnsi"/>
        </w:rPr>
        <w:t xml:space="preserve"> </w:t>
      </w:r>
      <w:r w:rsidR="00AB6FAA" w:rsidRPr="00745061">
        <w:rPr>
          <w:rFonts w:asciiTheme="minorHAnsi" w:hAnsiTheme="minorHAnsi" w:cstheme="minorHAnsi"/>
        </w:rPr>
        <w:t>Given the</w:t>
      </w:r>
      <w:r w:rsidR="00763DE1" w:rsidRPr="00745061">
        <w:rPr>
          <w:rFonts w:asciiTheme="minorHAnsi" w:hAnsiTheme="minorHAnsi" w:cstheme="minorHAnsi"/>
        </w:rPr>
        <w:t xml:space="preserve"> </w:t>
      </w:r>
      <w:r w:rsidR="00914402">
        <w:rPr>
          <w:rFonts w:asciiTheme="minorHAnsi" w:hAnsiTheme="minorHAnsi" w:cstheme="minorHAnsi"/>
        </w:rPr>
        <w:t>1%</w:t>
      </w:r>
      <w:r w:rsidR="00A07135" w:rsidRPr="00745061">
        <w:rPr>
          <w:rFonts w:asciiTheme="minorHAnsi" w:hAnsiTheme="minorHAnsi" w:cstheme="minorHAnsi"/>
        </w:rPr>
        <w:t xml:space="preserve"> increase in participants randomised</w:t>
      </w:r>
      <w:r w:rsidR="00F02387" w:rsidRPr="00745061">
        <w:rPr>
          <w:rFonts w:asciiTheme="minorHAnsi" w:hAnsiTheme="minorHAnsi" w:cstheme="minorHAnsi"/>
        </w:rPr>
        <w:t xml:space="preserve"> </w:t>
      </w:r>
      <w:r w:rsidR="00AB6FAA" w:rsidRPr="00745061">
        <w:rPr>
          <w:rFonts w:asciiTheme="minorHAnsi" w:hAnsiTheme="minorHAnsi" w:cstheme="minorHAnsi"/>
        </w:rPr>
        <w:t>when sent a pen</w:t>
      </w:r>
      <w:r w:rsidR="00F02387" w:rsidRPr="00745061">
        <w:rPr>
          <w:rFonts w:asciiTheme="minorHAnsi" w:hAnsiTheme="minorHAnsi" w:cstheme="minorHAnsi"/>
        </w:rPr>
        <w:t xml:space="preserve">, </w:t>
      </w:r>
      <w:r w:rsidR="00914402">
        <w:rPr>
          <w:rFonts w:asciiTheme="minorHAnsi" w:hAnsiTheme="minorHAnsi" w:cstheme="minorHAnsi"/>
        </w:rPr>
        <w:t>100</w:t>
      </w:r>
      <w:r w:rsidR="004B0CFC">
        <w:rPr>
          <w:rFonts w:asciiTheme="minorHAnsi" w:hAnsiTheme="minorHAnsi" w:cstheme="minorHAnsi"/>
        </w:rPr>
        <w:t xml:space="preserve"> </w:t>
      </w:r>
      <w:r w:rsidR="004B0CFC" w:rsidRPr="00745061">
        <w:rPr>
          <w:rFonts w:asciiTheme="minorHAnsi" w:hAnsiTheme="minorHAnsi" w:cstheme="minorHAnsi"/>
        </w:rPr>
        <w:t>(1/0.0</w:t>
      </w:r>
      <w:r w:rsidR="004B0CFC">
        <w:rPr>
          <w:rFonts w:asciiTheme="minorHAnsi" w:hAnsiTheme="minorHAnsi" w:cstheme="minorHAnsi"/>
        </w:rPr>
        <w:t xml:space="preserve">1) </w:t>
      </w:r>
      <w:r w:rsidR="00F77827" w:rsidRPr="00745061">
        <w:rPr>
          <w:rFonts w:asciiTheme="minorHAnsi" w:hAnsiTheme="minorHAnsi" w:cstheme="minorHAnsi"/>
        </w:rPr>
        <w:t>potential participants would need to be sent a pen</w:t>
      </w:r>
      <w:r w:rsidR="00D12FC3" w:rsidRPr="00745061">
        <w:rPr>
          <w:rFonts w:asciiTheme="minorHAnsi" w:hAnsiTheme="minorHAnsi" w:cstheme="minorHAnsi"/>
        </w:rPr>
        <w:t xml:space="preserve"> to recruit one additional participant</w:t>
      </w:r>
      <w:r w:rsidR="00DE078A">
        <w:rPr>
          <w:rFonts w:asciiTheme="minorHAnsi" w:hAnsiTheme="minorHAnsi" w:cstheme="minorHAnsi"/>
        </w:rPr>
        <w:t xml:space="preserve"> at a cost of</w:t>
      </w:r>
      <w:r w:rsidR="00AB6FAA" w:rsidRPr="00745061">
        <w:rPr>
          <w:rFonts w:asciiTheme="minorHAnsi" w:hAnsiTheme="minorHAnsi" w:cstheme="minorHAnsi"/>
        </w:rPr>
        <w:t xml:space="preserve"> </w:t>
      </w:r>
      <w:r w:rsidR="00174A28">
        <w:rPr>
          <w:rFonts w:asciiTheme="minorHAnsi" w:hAnsiTheme="minorHAnsi" w:cstheme="minorHAnsi"/>
        </w:rPr>
        <w:t>£32</w:t>
      </w:r>
      <w:r w:rsidR="00940A49" w:rsidRPr="00745061">
        <w:rPr>
          <w:rFonts w:asciiTheme="minorHAnsi" w:hAnsiTheme="minorHAnsi" w:cstheme="minorHAnsi"/>
        </w:rPr>
        <w:t xml:space="preserve"> (</w:t>
      </w:r>
      <w:r w:rsidR="00940A49">
        <w:rPr>
          <w:rFonts w:asciiTheme="minorHAnsi" w:hAnsiTheme="minorHAnsi" w:cstheme="minorHAnsi"/>
        </w:rPr>
        <w:t>100</w:t>
      </w:r>
      <w:r w:rsidR="00B52943">
        <w:rPr>
          <w:rFonts w:asciiTheme="minorHAnsi" w:hAnsiTheme="minorHAnsi" w:cstheme="minorHAnsi"/>
        </w:rPr>
        <w:t>×</w:t>
      </w:r>
      <w:r w:rsidR="00940A49" w:rsidRPr="00745061">
        <w:rPr>
          <w:rFonts w:asciiTheme="minorHAnsi" w:hAnsiTheme="minorHAnsi" w:cstheme="minorHAnsi"/>
        </w:rPr>
        <w:t>£0.32)</w:t>
      </w:r>
      <w:r w:rsidR="00174A28">
        <w:rPr>
          <w:rFonts w:asciiTheme="minorHAnsi" w:hAnsiTheme="minorHAnsi" w:cstheme="minorHAnsi"/>
        </w:rPr>
        <w:t xml:space="preserve">. </w:t>
      </w:r>
      <w:r w:rsidR="008469AC">
        <w:rPr>
          <w:rFonts w:asciiTheme="minorHAnsi" w:hAnsiTheme="minorHAnsi" w:cstheme="minorHAnsi"/>
        </w:rPr>
        <w:t>W</w:t>
      </w:r>
      <w:r w:rsidR="00174A28">
        <w:rPr>
          <w:rFonts w:asciiTheme="minorHAnsi" w:hAnsiTheme="minorHAnsi" w:cstheme="minorHAnsi"/>
        </w:rPr>
        <w:t>e would need to send 200 participants £5, at a cost of £1000, to recruit one extra participant</w:t>
      </w:r>
      <w:r w:rsidR="00F77827" w:rsidRPr="00745061">
        <w:rPr>
          <w:rFonts w:asciiTheme="minorHAnsi" w:hAnsiTheme="minorHAnsi" w:cstheme="minorHAnsi"/>
        </w:rPr>
        <w:t>.</w:t>
      </w:r>
    </w:p>
    <w:p w14:paraId="21D1D937" w14:textId="525D55A0" w:rsidR="00174A28" w:rsidRDefault="00174A28" w:rsidP="004B0CFC">
      <w:pPr>
        <w:pStyle w:val="Heading1"/>
      </w:pPr>
      <w:r>
        <w:t>Discussion</w:t>
      </w:r>
    </w:p>
    <w:p w14:paraId="0E07D568" w14:textId="064E4A02" w:rsidR="005D2B09" w:rsidRDefault="001B57AF" w:rsidP="00745061">
      <w:pPr>
        <w:spacing w:after="0" w:line="276" w:lineRule="auto"/>
        <w:rPr>
          <w:rFonts w:asciiTheme="minorHAnsi" w:hAnsiTheme="minorHAnsi" w:cstheme="minorHAnsi"/>
        </w:rPr>
      </w:pPr>
      <w:r w:rsidRPr="00745061">
        <w:rPr>
          <w:rFonts w:asciiTheme="minorHAnsi" w:hAnsiTheme="minorHAnsi" w:cstheme="minorHAnsi"/>
        </w:rPr>
        <w:t xml:space="preserve">Participants sent a pen or £5 were </w:t>
      </w:r>
      <w:r w:rsidR="00174A28">
        <w:rPr>
          <w:rFonts w:asciiTheme="minorHAnsi" w:hAnsiTheme="minorHAnsi" w:cstheme="minorHAnsi"/>
        </w:rPr>
        <w:t xml:space="preserve">marginally </w:t>
      </w:r>
      <w:r w:rsidRPr="00745061">
        <w:rPr>
          <w:rFonts w:asciiTheme="minorHAnsi" w:hAnsiTheme="minorHAnsi" w:cstheme="minorHAnsi"/>
        </w:rPr>
        <w:t xml:space="preserve">more likely to be randomised into the GYY trial than those who did not receive the </w:t>
      </w:r>
      <w:r w:rsidR="00BF5332">
        <w:rPr>
          <w:rFonts w:asciiTheme="minorHAnsi" w:hAnsiTheme="minorHAnsi" w:cstheme="minorHAnsi"/>
        </w:rPr>
        <w:t>incentive</w:t>
      </w:r>
      <w:r w:rsidRPr="00745061">
        <w:rPr>
          <w:rFonts w:asciiTheme="minorHAnsi" w:hAnsiTheme="minorHAnsi" w:cstheme="minorHAnsi"/>
        </w:rPr>
        <w:t xml:space="preserve">; however, the differences were not statistically significant. </w:t>
      </w:r>
      <w:r w:rsidR="00174A28">
        <w:rPr>
          <w:rFonts w:asciiTheme="minorHAnsi" w:hAnsiTheme="minorHAnsi" w:cstheme="minorHAnsi"/>
        </w:rPr>
        <w:lastRenderedPageBreak/>
        <w:t xml:space="preserve">The randomisation rates in the </w:t>
      </w:r>
      <w:r w:rsidR="00CD16DB" w:rsidRPr="00745061">
        <w:rPr>
          <w:rFonts w:asciiTheme="minorHAnsi" w:hAnsiTheme="minorHAnsi" w:cstheme="minorHAnsi"/>
        </w:rPr>
        <w:t xml:space="preserve">‘no intervention’ arms </w:t>
      </w:r>
      <w:r w:rsidR="00174A28">
        <w:rPr>
          <w:rFonts w:asciiTheme="minorHAnsi" w:hAnsiTheme="minorHAnsi" w:cstheme="minorHAnsi"/>
        </w:rPr>
        <w:t xml:space="preserve">(2.7% and 2.9%) were </w:t>
      </w:r>
      <w:proofErr w:type="gramStart"/>
      <w:r w:rsidR="00174A28">
        <w:rPr>
          <w:rFonts w:asciiTheme="minorHAnsi" w:hAnsiTheme="minorHAnsi" w:cstheme="minorHAnsi"/>
        </w:rPr>
        <w:t>similar to</w:t>
      </w:r>
      <w:proofErr w:type="gramEnd"/>
      <w:r w:rsidR="00174A28">
        <w:rPr>
          <w:rFonts w:asciiTheme="minorHAnsi" w:hAnsiTheme="minorHAnsi" w:cstheme="minorHAnsi"/>
        </w:rPr>
        <w:t xml:space="preserve"> the </w:t>
      </w:r>
      <w:r w:rsidR="00CD16DB" w:rsidRPr="00745061">
        <w:rPr>
          <w:rFonts w:asciiTheme="minorHAnsi" w:hAnsiTheme="minorHAnsi" w:cstheme="minorHAnsi"/>
        </w:rPr>
        <w:t xml:space="preserve">3% </w:t>
      </w:r>
      <w:r w:rsidR="00174A28">
        <w:rPr>
          <w:rFonts w:asciiTheme="minorHAnsi" w:hAnsiTheme="minorHAnsi" w:cstheme="minorHAnsi"/>
        </w:rPr>
        <w:t xml:space="preserve">assumed in the sample size calculation but the </w:t>
      </w:r>
      <w:r w:rsidR="00A34E34">
        <w:rPr>
          <w:rFonts w:asciiTheme="minorHAnsi" w:hAnsiTheme="minorHAnsi" w:cstheme="minorHAnsi"/>
        </w:rPr>
        <w:t xml:space="preserve">observed group differences </w:t>
      </w:r>
      <w:r w:rsidR="00174A28">
        <w:rPr>
          <w:rFonts w:asciiTheme="minorHAnsi" w:hAnsiTheme="minorHAnsi" w:cstheme="minorHAnsi"/>
        </w:rPr>
        <w:t xml:space="preserve">were smaller than the 4% </w:t>
      </w:r>
      <w:r w:rsidR="00940A49">
        <w:rPr>
          <w:rFonts w:asciiTheme="minorHAnsi" w:hAnsiTheme="minorHAnsi" w:cstheme="minorHAnsi"/>
        </w:rPr>
        <w:t xml:space="preserve">difference </w:t>
      </w:r>
      <w:r w:rsidR="00174A28">
        <w:rPr>
          <w:rFonts w:asciiTheme="minorHAnsi" w:hAnsiTheme="minorHAnsi" w:cstheme="minorHAnsi"/>
        </w:rPr>
        <w:t>we were powered for</w:t>
      </w:r>
      <w:r w:rsidR="00CD16DB" w:rsidRPr="00745061">
        <w:rPr>
          <w:rFonts w:asciiTheme="minorHAnsi" w:hAnsiTheme="minorHAnsi" w:cstheme="minorHAnsi"/>
        </w:rPr>
        <w:t xml:space="preserve">; therefore, this SWAT was underpowered to detect </w:t>
      </w:r>
      <w:r w:rsidR="00174A28">
        <w:rPr>
          <w:rFonts w:asciiTheme="minorHAnsi" w:hAnsiTheme="minorHAnsi" w:cstheme="minorHAnsi"/>
        </w:rPr>
        <w:t>the differences observed.</w:t>
      </w:r>
      <w:r w:rsidRPr="00745061">
        <w:rPr>
          <w:rFonts w:asciiTheme="minorHAnsi" w:hAnsiTheme="minorHAnsi" w:cstheme="minorHAnsi"/>
        </w:rPr>
        <w:t xml:space="preserve"> </w:t>
      </w:r>
      <w:r w:rsidR="0027577A">
        <w:rPr>
          <w:rFonts w:asciiTheme="minorHAnsi" w:hAnsiTheme="minorHAnsi" w:cstheme="minorHAnsi"/>
        </w:rPr>
        <w:t xml:space="preserve"> </w:t>
      </w:r>
    </w:p>
    <w:p w14:paraId="602FC569" w14:textId="77777777" w:rsidR="005D2B09" w:rsidRDefault="005D2B09" w:rsidP="00745061">
      <w:pPr>
        <w:spacing w:after="0" w:line="276" w:lineRule="auto"/>
        <w:rPr>
          <w:rFonts w:asciiTheme="minorHAnsi" w:hAnsiTheme="minorHAnsi" w:cstheme="minorHAnsi"/>
        </w:rPr>
      </w:pPr>
    </w:p>
    <w:p w14:paraId="48F365D1" w14:textId="57CDA231" w:rsidR="001B57AF" w:rsidRPr="00745061" w:rsidRDefault="001B57AF" w:rsidP="00745061">
      <w:pPr>
        <w:spacing w:after="0" w:line="276" w:lineRule="auto"/>
        <w:rPr>
          <w:rFonts w:asciiTheme="minorHAnsi" w:hAnsiTheme="minorHAnsi" w:cstheme="minorHAnsi"/>
        </w:rPr>
      </w:pPr>
      <w:r w:rsidRPr="00745061">
        <w:rPr>
          <w:rFonts w:asciiTheme="minorHAnsi" w:hAnsiTheme="minorHAnsi" w:cstheme="minorHAnsi"/>
        </w:rPr>
        <w:t xml:space="preserve">There was </w:t>
      </w:r>
      <w:r w:rsidR="00A34E34">
        <w:rPr>
          <w:rFonts w:asciiTheme="minorHAnsi" w:hAnsiTheme="minorHAnsi" w:cstheme="minorHAnsi"/>
        </w:rPr>
        <w:t xml:space="preserve">little or </w:t>
      </w:r>
      <w:r w:rsidRPr="00745061">
        <w:rPr>
          <w:rFonts w:asciiTheme="minorHAnsi" w:hAnsiTheme="minorHAnsi" w:cstheme="minorHAnsi"/>
        </w:rPr>
        <w:t xml:space="preserve">no evidence that sending a pen increased the likelihood </w:t>
      </w:r>
      <w:r w:rsidR="005D2B09">
        <w:rPr>
          <w:rFonts w:asciiTheme="minorHAnsi" w:hAnsiTheme="minorHAnsi" w:cstheme="minorHAnsi"/>
        </w:rPr>
        <w:t>o</w:t>
      </w:r>
      <w:r w:rsidR="008469AC">
        <w:rPr>
          <w:rFonts w:asciiTheme="minorHAnsi" w:hAnsiTheme="minorHAnsi" w:cstheme="minorHAnsi"/>
        </w:rPr>
        <w:t xml:space="preserve">f </w:t>
      </w:r>
      <w:r w:rsidRPr="00745061">
        <w:rPr>
          <w:rFonts w:asciiTheme="minorHAnsi" w:hAnsiTheme="minorHAnsi" w:cstheme="minorHAnsi"/>
        </w:rPr>
        <w:t xml:space="preserve">returning a screening form or decreasing time to return the form.  </w:t>
      </w:r>
    </w:p>
    <w:p w14:paraId="2427E14E" w14:textId="77777777" w:rsidR="006A60F1" w:rsidRPr="00745061" w:rsidRDefault="006A60F1" w:rsidP="00745061">
      <w:pPr>
        <w:spacing w:after="0" w:line="276" w:lineRule="auto"/>
        <w:rPr>
          <w:rFonts w:asciiTheme="minorHAnsi" w:hAnsiTheme="minorHAnsi" w:cstheme="minorHAnsi"/>
        </w:rPr>
      </w:pPr>
    </w:p>
    <w:p w14:paraId="34E4C04C" w14:textId="77777777" w:rsidR="0027577A" w:rsidRDefault="0027577A" w:rsidP="005D2B09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Although no statistically significant interactions between the pen and £5 were observed, this cannot be ruled out as the sample size of this trial was likely insufficient to be powered to detect an interaction. </w:t>
      </w:r>
      <w:r w:rsidRPr="00745061">
        <w:rPr>
          <w:rFonts w:asciiTheme="minorHAnsi" w:hAnsiTheme="minorHAnsi" w:cstheme="minorHAnsi"/>
        </w:rPr>
        <w:t xml:space="preserve"> </w:t>
      </w:r>
    </w:p>
    <w:p w14:paraId="3685A8BE" w14:textId="77777777" w:rsidR="0027577A" w:rsidRDefault="0027577A" w:rsidP="005D2B09">
      <w:pPr>
        <w:spacing w:after="0" w:line="276" w:lineRule="auto"/>
        <w:rPr>
          <w:rFonts w:asciiTheme="minorHAnsi" w:hAnsiTheme="minorHAnsi" w:cstheme="minorHAnsi"/>
        </w:rPr>
      </w:pPr>
    </w:p>
    <w:p w14:paraId="6D0B3C56" w14:textId="0AE7DDA2" w:rsidR="0027577A" w:rsidRDefault="008469AC" w:rsidP="005D2B09">
      <w:pPr>
        <w:spacing w:after="0"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>A</w:t>
      </w:r>
      <w:r w:rsidR="005D2B09" w:rsidRPr="00E13C5B">
        <w:rPr>
          <w:rFonts w:asciiTheme="minorHAnsi" w:hAnsiTheme="minorHAnsi" w:cstheme="minorHAnsi"/>
          <w:color w:val="auto"/>
          <w:shd w:val="clear" w:color="auto" w:fill="FFFFFF"/>
        </w:rPr>
        <w:t xml:space="preserve"> small</w:t>
      </w:r>
      <w:r>
        <w:rPr>
          <w:rFonts w:asciiTheme="minorHAnsi" w:hAnsiTheme="minorHAnsi" w:cstheme="minorHAnsi"/>
          <w:color w:val="auto"/>
          <w:shd w:val="clear" w:color="auto" w:fill="FFFFFF"/>
        </w:rPr>
        <w:t>,</w:t>
      </w:r>
      <w:r w:rsidR="005D2B09" w:rsidRPr="00E13C5B">
        <w:rPr>
          <w:rFonts w:asciiTheme="minorHAnsi" w:hAnsiTheme="minorHAnsi" w:cstheme="minorHAnsi"/>
          <w:color w:val="auto"/>
          <w:shd w:val="clear" w:color="auto" w:fill="FFFFFF"/>
        </w:rPr>
        <w:t xml:space="preserve"> monetary incentive </w:t>
      </w:r>
      <w:r w:rsidR="005D2B09" w:rsidRPr="00745061">
        <w:rPr>
          <w:rFonts w:asciiTheme="minorHAnsi" w:hAnsiTheme="minorHAnsi" w:cstheme="minorHAnsi"/>
        </w:rPr>
        <w:t>was effective at prompting return of the screening form, and of a swifter return</w:t>
      </w:r>
      <w:r w:rsidR="005D2B09" w:rsidRPr="00E13C5B">
        <w:rPr>
          <w:rFonts w:asciiTheme="minorHAnsi" w:hAnsiTheme="minorHAnsi" w:cstheme="minorHAnsi"/>
          <w:color w:val="auto"/>
          <w:shd w:val="clear" w:color="auto" w:fill="FFFFFF"/>
        </w:rPr>
        <w:t xml:space="preserve">, </w:t>
      </w:r>
      <w:r w:rsidR="005D2B09">
        <w:rPr>
          <w:rFonts w:asciiTheme="minorHAnsi" w:hAnsiTheme="minorHAnsi" w:cstheme="minorHAnsi"/>
          <w:color w:val="auto"/>
          <w:shd w:val="clear" w:color="auto" w:fill="FFFFFF"/>
        </w:rPr>
        <w:t>but</w:t>
      </w:r>
      <w:r w:rsidR="005D2B09" w:rsidRPr="00E13C5B">
        <w:rPr>
          <w:rFonts w:asciiTheme="minorHAnsi" w:hAnsiTheme="minorHAnsi" w:cstheme="minorHAnsi"/>
          <w:color w:val="auto"/>
          <w:shd w:val="clear" w:color="auto" w:fill="FFFFFF"/>
        </w:rPr>
        <w:t xml:space="preserve"> it did not result in more participants being randomised into the host trial. </w:t>
      </w:r>
      <w:r w:rsidR="00C94C0C">
        <w:rPr>
          <w:rFonts w:asciiTheme="minorHAnsi" w:hAnsiTheme="minorHAnsi" w:cstheme="minorHAnsi"/>
          <w:color w:val="auto"/>
          <w:shd w:val="clear" w:color="auto" w:fill="FFFFFF"/>
        </w:rPr>
        <w:t xml:space="preserve">Some anecdotal evidence from the GYY trial’s process evaluation suggested participants felt it unnecessary to receive £5 with their recruitment pack as they would </w:t>
      </w:r>
      <w:r w:rsidR="005C0D45">
        <w:rPr>
          <w:rFonts w:asciiTheme="minorHAnsi" w:hAnsiTheme="minorHAnsi" w:cstheme="minorHAnsi"/>
          <w:color w:val="auto"/>
          <w:shd w:val="clear" w:color="auto" w:fill="FFFFFF"/>
        </w:rPr>
        <w:t xml:space="preserve">willingly </w:t>
      </w:r>
      <w:r w:rsidR="00C94C0C">
        <w:rPr>
          <w:rFonts w:asciiTheme="minorHAnsi" w:hAnsiTheme="minorHAnsi" w:cstheme="minorHAnsi"/>
          <w:color w:val="auto"/>
          <w:shd w:val="clear" w:color="auto" w:fill="FFFFFF"/>
        </w:rPr>
        <w:t xml:space="preserve">have joined the trial without this purely to help themselves, </w:t>
      </w:r>
      <w:proofErr w:type="gramStart"/>
      <w:r w:rsidR="00C94C0C">
        <w:rPr>
          <w:rFonts w:asciiTheme="minorHAnsi" w:hAnsiTheme="minorHAnsi" w:cstheme="minorHAnsi"/>
          <w:color w:val="auto"/>
          <w:shd w:val="clear" w:color="auto" w:fill="FFFFFF"/>
        </w:rPr>
        <w:t>others</w:t>
      </w:r>
      <w:proofErr w:type="gramEnd"/>
      <w:r w:rsidR="00C94C0C">
        <w:rPr>
          <w:rFonts w:asciiTheme="minorHAnsi" w:hAnsiTheme="minorHAnsi" w:cstheme="minorHAnsi"/>
          <w:color w:val="auto"/>
          <w:shd w:val="clear" w:color="auto" w:fill="FFFFFF"/>
        </w:rPr>
        <w:t xml:space="preserve"> and the research. In addition, </w:t>
      </w:r>
      <w:r w:rsidR="00AD1A29">
        <w:rPr>
          <w:rFonts w:asciiTheme="minorHAnsi" w:hAnsiTheme="minorHAnsi" w:cstheme="minorHAnsi"/>
          <w:color w:val="auto"/>
          <w:shd w:val="clear" w:color="auto" w:fill="FFFFFF"/>
        </w:rPr>
        <w:t>this may have caused</w:t>
      </w:r>
      <w:r w:rsidR="00C94C0C">
        <w:rPr>
          <w:rFonts w:asciiTheme="minorHAnsi" w:hAnsiTheme="minorHAnsi" w:cstheme="minorHAnsi"/>
          <w:color w:val="auto"/>
          <w:shd w:val="clear" w:color="auto" w:fill="FFFFFF"/>
        </w:rPr>
        <w:t xml:space="preserve"> potential confusion </w:t>
      </w:r>
      <w:r w:rsidR="00AD1A29">
        <w:rPr>
          <w:rFonts w:asciiTheme="minorHAnsi" w:hAnsiTheme="minorHAnsi" w:cstheme="minorHAnsi"/>
          <w:color w:val="auto"/>
          <w:shd w:val="clear" w:color="auto" w:fill="FFFFFF"/>
        </w:rPr>
        <w:t xml:space="preserve">if participants discussed receiving £5 during their yoga sessions </w:t>
      </w:r>
      <w:r w:rsidR="00C94C0C">
        <w:rPr>
          <w:rFonts w:asciiTheme="minorHAnsi" w:hAnsiTheme="minorHAnsi" w:cstheme="minorHAnsi"/>
          <w:color w:val="auto"/>
          <w:shd w:val="clear" w:color="auto" w:fill="FFFFFF"/>
        </w:rPr>
        <w:t>as to why</w:t>
      </w:r>
      <w:r w:rsidR="00AD1A29">
        <w:rPr>
          <w:rFonts w:asciiTheme="minorHAnsi" w:hAnsiTheme="minorHAnsi" w:cstheme="minorHAnsi"/>
          <w:color w:val="auto"/>
          <w:shd w:val="clear" w:color="auto" w:fill="FFFFFF"/>
        </w:rPr>
        <w:t xml:space="preserve"> some received it and some did no</w:t>
      </w:r>
      <w:r w:rsidR="00C94C0C">
        <w:rPr>
          <w:rFonts w:asciiTheme="minorHAnsi" w:hAnsiTheme="minorHAnsi" w:cstheme="minorHAnsi"/>
          <w:color w:val="auto"/>
          <w:shd w:val="clear" w:color="auto" w:fill="FFFFFF"/>
        </w:rPr>
        <w:t xml:space="preserve">t. </w:t>
      </w:r>
      <w:r w:rsidR="00AD1A29">
        <w:rPr>
          <w:rFonts w:asciiTheme="minorHAnsi" w:hAnsiTheme="minorHAnsi" w:cstheme="minorHAnsi"/>
          <w:color w:val="auto"/>
          <w:shd w:val="clear" w:color="auto" w:fill="FFFFFF"/>
        </w:rPr>
        <w:t xml:space="preserve">Such sentiments were not expressed in relation to being sent a </w:t>
      </w:r>
      <w:r w:rsidR="00C94C0C">
        <w:rPr>
          <w:rFonts w:asciiTheme="minorHAnsi" w:hAnsiTheme="minorHAnsi" w:cstheme="minorHAnsi"/>
          <w:color w:val="auto"/>
          <w:shd w:val="clear" w:color="auto" w:fill="FFFFFF"/>
        </w:rPr>
        <w:t xml:space="preserve">pen, </w:t>
      </w:r>
      <w:r w:rsidR="00AD1A29">
        <w:rPr>
          <w:rFonts w:asciiTheme="minorHAnsi" w:hAnsiTheme="minorHAnsi" w:cstheme="minorHAnsi"/>
          <w:color w:val="auto"/>
          <w:shd w:val="clear" w:color="auto" w:fill="FFFFFF"/>
        </w:rPr>
        <w:t xml:space="preserve">potentially </w:t>
      </w:r>
      <w:r w:rsidR="00C94C0C">
        <w:rPr>
          <w:rFonts w:asciiTheme="minorHAnsi" w:hAnsiTheme="minorHAnsi" w:cstheme="minorHAnsi"/>
          <w:color w:val="auto"/>
          <w:shd w:val="clear" w:color="auto" w:fill="FFFFFF"/>
        </w:rPr>
        <w:t xml:space="preserve">suggesting </w:t>
      </w:r>
      <w:r w:rsidR="00AD1A29">
        <w:rPr>
          <w:rFonts w:asciiTheme="minorHAnsi" w:hAnsiTheme="minorHAnsi" w:cstheme="minorHAnsi"/>
          <w:color w:val="auto"/>
          <w:shd w:val="clear" w:color="auto" w:fill="FFFFFF"/>
        </w:rPr>
        <w:t xml:space="preserve">that </w:t>
      </w:r>
      <w:r w:rsidR="00C94C0C">
        <w:rPr>
          <w:rFonts w:asciiTheme="minorHAnsi" w:hAnsiTheme="minorHAnsi" w:cstheme="minorHAnsi"/>
          <w:color w:val="auto"/>
          <w:shd w:val="clear" w:color="auto" w:fill="FFFFFF"/>
        </w:rPr>
        <w:t xml:space="preserve">people view non-monetary incentives differently (more like a gift) than monetary incentives. </w:t>
      </w:r>
      <w:r w:rsidR="005D2B09" w:rsidRPr="00E13C5B">
        <w:rPr>
          <w:rFonts w:asciiTheme="minorHAnsi" w:hAnsiTheme="minorHAnsi" w:cstheme="minorHAnsi"/>
          <w:color w:val="auto"/>
          <w:shd w:val="clear" w:color="auto" w:fill="FFFFFF"/>
        </w:rPr>
        <w:t xml:space="preserve">Since it is </w:t>
      </w:r>
      <w:r w:rsidR="005D2B09">
        <w:rPr>
          <w:rFonts w:asciiTheme="minorHAnsi" w:hAnsiTheme="minorHAnsi" w:cstheme="minorHAnsi"/>
          <w:color w:val="auto"/>
          <w:shd w:val="clear" w:color="auto" w:fill="FFFFFF"/>
        </w:rPr>
        <w:t xml:space="preserve">relatively </w:t>
      </w:r>
      <w:r w:rsidR="00444AA2">
        <w:rPr>
          <w:rFonts w:asciiTheme="minorHAnsi" w:hAnsiTheme="minorHAnsi" w:cstheme="minorHAnsi"/>
          <w:color w:val="auto"/>
          <w:shd w:val="clear" w:color="auto" w:fill="FFFFFF"/>
        </w:rPr>
        <w:t xml:space="preserve">costly, </w:t>
      </w:r>
      <w:r w:rsidR="005D2B09" w:rsidRPr="00E13C5B">
        <w:rPr>
          <w:rFonts w:asciiTheme="minorHAnsi" w:hAnsiTheme="minorHAnsi" w:cstheme="minorHAnsi"/>
          <w:color w:val="auto"/>
          <w:shd w:val="clear" w:color="auto" w:fill="FFFFFF"/>
        </w:rPr>
        <w:t xml:space="preserve">we do not recommend this intervention for use to increase recruitment in older </w:t>
      </w:r>
      <w:r w:rsidR="00BF5332">
        <w:rPr>
          <w:rFonts w:asciiTheme="minorHAnsi" w:hAnsiTheme="minorHAnsi" w:cstheme="minorHAnsi"/>
          <w:color w:val="auto"/>
          <w:shd w:val="clear" w:color="auto" w:fill="FFFFFF"/>
        </w:rPr>
        <w:t>adults with multimorbidity</w:t>
      </w:r>
      <w:r w:rsidR="005D2B09" w:rsidRPr="00E13C5B">
        <w:rPr>
          <w:rFonts w:asciiTheme="minorHAnsi" w:hAnsiTheme="minorHAnsi" w:cstheme="minorHAnsi"/>
          <w:color w:val="auto"/>
          <w:shd w:val="clear" w:color="auto" w:fill="FFFFFF"/>
        </w:rPr>
        <w:t>.</w:t>
      </w:r>
      <w:r w:rsidR="005D2B09">
        <w:rPr>
          <w:rFonts w:asciiTheme="minorHAnsi" w:hAnsiTheme="minorHAnsi" w:cstheme="minorHAnsi"/>
          <w:color w:val="auto"/>
          <w:shd w:val="clear" w:color="auto" w:fill="FFFFFF"/>
        </w:rPr>
        <w:t xml:space="preserve">  </w:t>
      </w:r>
    </w:p>
    <w:p w14:paraId="1D1731AB" w14:textId="77777777" w:rsidR="0027577A" w:rsidRDefault="0027577A" w:rsidP="005D2B09">
      <w:pPr>
        <w:spacing w:after="0"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14:paraId="6FF9D800" w14:textId="3F754D76" w:rsidR="00CD16DB" w:rsidRDefault="005D2B09" w:rsidP="005D2B09">
      <w:pPr>
        <w:spacing w:after="0"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Pens </w:t>
      </w:r>
      <w:r w:rsidR="00D2061E">
        <w:rPr>
          <w:rFonts w:asciiTheme="minorHAnsi" w:hAnsiTheme="minorHAnsi" w:cstheme="minorHAnsi"/>
          <w:color w:val="auto"/>
          <w:shd w:val="clear" w:color="auto" w:fill="FFFFFF"/>
        </w:rPr>
        <w:t>are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 cheaper </w:t>
      </w:r>
      <w:r w:rsidR="00A34E34" w:rsidRPr="00A34E34">
        <w:rPr>
          <w:rFonts w:asciiTheme="minorHAnsi" w:hAnsiTheme="minorHAnsi" w:cstheme="minorHAnsi"/>
          <w:color w:val="auto"/>
          <w:shd w:val="clear" w:color="auto" w:fill="FFFFFF"/>
        </w:rPr>
        <w:t xml:space="preserve">but </w:t>
      </w:r>
      <w:r w:rsidR="00A34E34">
        <w:rPr>
          <w:rFonts w:asciiTheme="minorHAnsi" w:hAnsiTheme="minorHAnsi" w:cstheme="minorHAnsi"/>
          <w:color w:val="auto"/>
          <w:shd w:val="clear" w:color="auto" w:fill="FFFFFF"/>
        </w:rPr>
        <w:t>provide</w:t>
      </w:r>
      <w:r w:rsidR="0093767C">
        <w:rPr>
          <w:rFonts w:asciiTheme="minorHAnsi" w:hAnsiTheme="minorHAnsi" w:cstheme="minorHAnsi"/>
          <w:color w:val="auto"/>
          <w:shd w:val="clear" w:color="auto" w:fill="FFFFFF"/>
        </w:rPr>
        <w:t xml:space="preserve">d </w:t>
      </w:r>
      <w:r w:rsidR="000E5EDE">
        <w:rPr>
          <w:rFonts w:asciiTheme="minorHAnsi" w:hAnsiTheme="minorHAnsi" w:cstheme="minorHAnsi"/>
          <w:color w:val="auto"/>
          <w:shd w:val="clear" w:color="auto" w:fill="FFFFFF"/>
        </w:rPr>
        <w:t>little</w:t>
      </w:r>
      <w:r w:rsidR="00A34E34" w:rsidRPr="00A34E34">
        <w:rPr>
          <w:rFonts w:asciiTheme="minorHAnsi" w:hAnsiTheme="minorHAnsi" w:cstheme="minorHAnsi"/>
          <w:color w:val="auto"/>
          <w:shd w:val="clear" w:color="auto" w:fill="FFFFFF"/>
        </w:rPr>
        <w:t xml:space="preserve"> evidence of benefit. </w:t>
      </w:r>
      <w:r w:rsidR="0093767C">
        <w:rPr>
          <w:rFonts w:asciiTheme="minorHAnsi" w:hAnsiTheme="minorHAnsi" w:cstheme="minorHAnsi"/>
          <w:color w:val="auto"/>
          <w:shd w:val="clear" w:color="auto" w:fill="FFFFFF"/>
        </w:rPr>
        <w:t xml:space="preserve"> If the observed effect of a 1% difference was </w:t>
      </w:r>
      <w:proofErr w:type="gramStart"/>
      <w:r w:rsidR="0093767C">
        <w:rPr>
          <w:rFonts w:asciiTheme="minorHAnsi" w:hAnsiTheme="minorHAnsi" w:cstheme="minorHAnsi"/>
          <w:color w:val="auto"/>
          <w:shd w:val="clear" w:color="auto" w:fill="FFFFFF"/>
        </w:rPr>
        <w:t>true</w:t>
      </w:r>
      <w:proofErr w:type="gramEnd"/>
      <w:r w:rsidR="0093767C">
        <w:rPr>
          <w:rFonts w:asciiTheme="minorHAnsi" w:hAnsiTheme="minorHAnsi" w:cstheme="minorHAnsi"/>
          <w:color w:val="auto"/>
          <w:shd w:val="clear" w:color="auto" w:fill="FFFFFF"/>
        </w:rPr>
        <w:t xml:space="preserve"> then we would need sufficient SWATs to provide an overall sample size of around 11,000 participants to confirm this.</w:t>
      </w:r>
      <w:r w:rsidR="00B35CFD">
        <w:rPr>
          <w:rFonts w:asciiTheme="minorHAnsi" w:hAnsiTheme="minorHAnsi" w:cstheme="minorHAnsi"/>
          <w:color w:val="auto"/>
          <w:shd w:val="clear" w:color="auto" w:fill="FFFFFF"/>
        </w:rPr>
        <w:t xml:space="preserve"> Because the </w:t>
      </w:r>
      <w:r w:rsidR="00436071">
        <w:rPr>
          <w:rFonts w:asciiTheme="minorHAnsi" w:hAnsiTheme="minorHAnsi" w:cstheme="minorHAnsi"/>
          <w:color w:val="auto"/>
          <w:shd w:val="clear" w:color="auto" w:fill="FFFFFF"/>
        </w:rPr>
        <w:t xml:space="preserve">extra </w:t>
      </w:r>
      <w:r w:rsidR="00B35CFD">
        <w:rPr>
          <w:rFonts w:asciiTheme="minorHAnsi" w:hAnsiTheme="minorHAnsi" w:cstheme="minorHAnsi"/>
          <w:color w:val="auto"/>
          <w:shd w:val="clear" w:color="auto" w:fill="FFFFFF"/>
        </w:rPr>
        <w:t xml:space="preserve">cost of recruiting an </w:t>
      </w:r>
      <w:r w:rsidR="00436071">
        <w:rPr>
          <w:rFonts w:asciiTheme="minorHAnsi" w:hAnsiTheme="minorHAnsi" w:cstheme="minorHAnsi"/>
          <w:color w:val="auto"/>
          <w:shd w:val="clear" w:color="auto" w:fill="FFFFFF"/>
        </w:rPr>
        <w:t xml:space="preserve">additional </w:t>
      </w:r>
      <w:r w:rsidR="00B35CFD">
        <w:rPr>
          <w:rFonts w:asciiTheme="minorHAnsi" w:hAnsiTheme="minorHAnsi" w:cstheme="minorHAnsi"/>
          <w:color w:val="auto"/>
          <w:shd w:val="clear" w:color="auto" w:fill="FFFFFF"/>
        </w:rPr>
        <w:t>participant is relatively small</w:t>
      </w:r>
      <w:r w:rsidR="00676157">
        <w:rPr>
          <w:rFonts w:asciiTheme="minorHAnsi" w:hAnsiTheme="minorHAnsi" w:cstheme="minorHAnsi"/>
          <w:color w:val="auto"/>
          <w:shd w:val="clear" w:color="auto" w:fill="FFFFFF"/>
        </w:rPr>
        <w:t>,</w:t>
      </w:r>
      <w:r w:rsidR="00B35CFD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93767C">
        <w:rPr>
          <w:rFonts w:asciiTheme="minorHAnsi" w:hAnsiTheme="minorHAnsi" w:cstheme="minorHAnsi"/>
          <w:color w:val="auto"/>
          <w:shd w:val="clear" w:color="auto" w:fill="FFFFFF"/>
        </w:rPr>
        <w:t>more SWATs are required</w:t>
      </w:r>
      <w:r w:rsidR="00B35CFD">
        <w:rPr>
          <w:rFonts w:asciiTheme="minorHAnsi" w:hAnsiTheme="minorHAnsi" w:cstheme="minorHAnsi"/>
          <w:color w:val="auto"/>
          <w:shd w:val="clear" w:color="auto" w:fill="FFFFFF"/>
        </w:rPr>
        <w:t xml:space="preserve"> to assess whether this difference is a true effect</w:t>
      </w:r>
      <w:r w:rsidR="00AD1A29">
        <w:rPr>
          <w:rFonts w:asciiTheme="minorHAnsi" w:hAnsiTheme="minorHAnsi" w:cstheme="minorHAnsi"/>
          <w:color w:val="auto"/>
          <w:shd w:val="clear" w:color="auto" w:fill="FFFFFF"/>
        </w:rPr>
        <w:t>, since sending pens could be a cost-effective intervention for recruitment</w:t>
      </w:r>
      <w:r w:rsidR="00B35CFD">
        <w:rPr>
          <w:rFonts w:asciiTheme="minorHAnsi" w:hAnsiTheme="minorHAnsi" w:cstheme="minorHAnsi"/>
          <w:color w:val="auto"/>
          <w:shd w:val="clear" w:color="auto" w:fill="FFFFFF"/>
        </w:rPr>
        <w:t xml:space="preserve">.  </w:t>
      </w:r>
    </w:p>
    <w:p w14:paraId="635CECC4" w14:textId="0ADB2FC4" w:rsidR="007555BB" w:rsidRDefault="007555BB" w:rsidP="005D2B09">
      <w:pPr>
        <w:spacing w:after="0"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14:paraId="15C42828" w14:textId="51C6513A" w:rsidR="00A44F1F" w:rsidRDefault="00A44F1F" w:rsidP="00A44F1F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Tables</w:t>
      </w:r>
      <w:r w:rsidRPr="00A44F1F">
        <w:rPr>
          <w:shd w:val="clear" w:color="auto" w:fill="FFFFFF"/>
        </w:rPr>
        <w:t xml:space="preserve"> </w:t>
      </w:r>
      <w:r>
        <w:rPr>
          <w:shd w:val="clear" w:color="auto" w:fill="FFFFFF"/>
        </w:rPr>
        <w:t>and Figures</w:t>
      </w:r>
    </w:p>
    <w:p w14:paraId="02584363" w14:textId="77777777" w:rsidR="00A44F1F" w:rsidRPr="00745061" w:rsidRDefault="00A44F1F" w:rsidP="00A44F1F">
      <w:pPr>
        <w:spacing w:after="0" w:line="276" w:lineRule="auto"/>
        <w:rPr>
          <w:rFonts w:asciiTheme="minorHAnsi" w:hAnsiTheme="minorHAnsi" w:cstheme="minorHAnsi"/>
        </w:rPr>
      </w:pPr>
      <w:r w:rsidRPr="00745061">
        <w:rPr>
          <w:rFonts w:asciiTheme="minorHAnsi" w:hAnsiTheme="minorHAnsi" w:cstheme="minorHAnsi"/>
        </w:rPr>
        <w:t xml:space="preserve">Table 1. Number of participants randomised to each </w:t>
      </w:r>
      <w:proofErr w:type="gramStart"/>
      <w:r w:rsidRPr="00745061">
        <w:rPr>
          <w:rFonts w:asciiTheme="minorHAnsi" w:hAnsiTheme="minorHAnsi" w:cstheme="minorHAnsi"/>
        </w:rPr>
        <w:t>group</w:t>
      </w:r>
      <w:proofErr w:type="gramEnd"/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</w:tblGrid>
      <w:tr w:rsidR="00A44F1F" w:rsidRPr="00745061" w14:paraId="4B4A87BE" w14:textId="77777777" w:rsidTr="00D853D6">
        <w:trPr>
          <w:trHeight w:val="283"/>
        </w:trPr>
        <w:tc>
          <w:tcPr>
            <w:tcW w:w="907" w:type="dxa"/>
            <w:shd w:val="clear" w:color="auto" w:fill="auto"/>
          </w:tcPr>
          <w:p w14:paraId="0F1DD115" w14:textId="77777777" w:rsidR="00A44F1F" w:rsidRPr="00745061" w:rsidRDefault="00A44F1F" w:rsidP="00D853D6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  <w:shd w:val="clear" w:color="auto" w:fill="auto"/>
          </w:tcPr>
          <w:p w14:paraId="05EADB3E" w14:textId="77777777" w:rsidR="00A44F1F" w:rsidRPr="008F66C4" w:rsidRDefault="00A44F1F" w:rsidP="00D853D6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F66C4">
              <w:rPr>
                <w:rFonts w:asciiTheme="minorHAnsi" w:hAnsiTheme="minorHAnsi" w:cstheme="minorHAnsi"/>
                <w:b/>
              </w:rPr>
              <w:t>Pen</w:t>
            </w:r>
          </w:p>
        </w:tc>
        <w:tc>
          <w:tcPr>
            <w:tcW w:w="907" w:type="dxa"/>
            <w:shd w:val="clear" w:color="auto" w:fill="auto"/>
          </w:tcPr>
          <w:p w14:paraId="1DE97E04" w14:textId="77777777" w:rsidR="00A44F1F" w:rsidRPr="008F66C4" w:rsidRDefault="00A44F1F" w:rsidP="00D853D6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F66C4">
              <w:rPr>
                <w:rFonts w:asciiTheme="minorHAnsi" w:hAnsiTheme="minorHAnsi" w:cstheme="minorHAnsi"/>
                <w:b/>
              </w:rPr>
              <w:t>No pen</w:t>
            </w:r>
          </w:p>
        </w:tc>
        <w:tc>
          <w:tcPr>
            <w:tcW w:w="907" w:type="dxa"/>
            <w:shd w:val="clear" w:color="auto" w:fill="auto"/>
          </w:tcPr>
          <w:p w14:paraId="2194248A" w14:textId="77777777" w:rsidR="00A44F1F" w:rsidRPr="008F66C4" w:rsidRDefault="00A44F1F" w:rsidP="00D853D6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F66C4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A44F1F" w:rsidRPr="00745061" w14:paraId="3C626587" w14:textId="77777777" w:rsidTr="00D853D6">
        <w:trPr>
          <w:trHeight w:val="283"/>
        </w:trPr>
        <w:tc>
          <w:tcPr>
            <w:tcW w:w="907" w:type="dxa"/>
            <w:shd w:val="clear" w:color="auto" w:fill="auto"/>
          </w:tcPr>
          <w:p w14:paraId="0546540D" w14:textId="77777777" w:rsidR="00A44F1F" w:rsidRPr="008F66C4" w:rsidRDefault="00A44F1F" w:rsidP="00D853D6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8F66C4">
              <w:rPr>
                <w:rFonts w:asciiTheme="minorHAnsi" w:hAnsiTheme="minorHAnsi" w:cstheme="minorHAnsi"/>
                <w:b/>
              </w:rPr>
              <w:t>£5</w:t>
            </w:r>
          </w:p>
        </w:tc>
        <w:tc>
          <w:tcPr>
            <w:tcW w:w="907" w:type="dxa"/>
            <w:shd w:val="clear" w:color="auto" w:fill="auto"/>
          </w:tcPr>
          <w:p w14:paraId="761329E5" w14:textId="77777777" w:rsidR="00A44F1F" w:rsidRPr="00745061" w:rsidRDefault="00A44F1F" w:rsidP="00D853D6">
            <w:pPr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</w:rPr>
              <w:t>203</w:t>
            </w:r>
          </w:p>
        </w:tc>
        <w:tc>
          <w:tcPr>
            <w:tcW w:w="907" w:type="dxa"/>
            <w:shd w:val="clear" w:color="auto" w:fill="auto"/>
          </w:tcPr>
          <w:p w14:paraId="583B38B7" w14:textId="77777777" w:rsidR="00A44F1F" w:rsidRPr="00745061" w:rsidRDefault="00A44F1F" w:rsidP="00D853D6">
            <w:pPr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</w:rPr>
              <w:t>206</w:t>
            </w:r>
          </w:p>
        </w:tc>
        <w:tc>
          <w:tcPr>
            <w:tcW w:w="907" w:type="dxa"/>
            <w:shd w:val="clear" w:color="auto" w:fill="auto"/>
          </w:tcPr>
          <w:p w14:paraId="72FBAE80" w14:textId="77777777" w:rsidR="00A44F1F" w:rsidRPr="00745061" w:rsidRDefault="00A44F1F" w:rsidP="00D853D6">
            <w:pPr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</w:rPr>
              <w:t>409</w:t>
            </w:r>
          </w:p>
        </w:tc>
      </w:tr>
      <w:tr w:rsidR="00A44F1F" w:rsidRPr="00745061" w14:paraId="5665EE5A" w14:textId="77777777" w:rsidTr="00D853D6">
        <w:trPr>
          <w:trHeight w:val="283"/>
        </w:trPr>
        <w:tc>
          <w:tcPr>
            <w:tcW w:w="907" w:type="dxa"/>
            <w:shd w:val="clear" w:color="auto" w:fill="auto"/>
          </w:tcPr>
          <w:p w14:paraId="25DDBDCB" w14:textId="77777777" w:rsidR="00A44F1F" w:rsidRPr="008F66C4" w:rsidRDefault="00A44F1F" w:rsidP="00D853D6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8F66C4">
              <w:rPr>
                <w:rFonts w:asciiTheme="minorHAnsi" w:hAnsiTheme="minorHAnsi" w:cstheme="minorHAnsi"/>
                <w:b/>
              </w:rPr>
              <w:t xml:space="preserve">No £5 </w:t>
            </w:r>
          </w:p>
        </w:tc>
        <w:tc>
          <w:tcPr>
            <w:tcW w:w="907" w:type="dxa"/>
            <w:shd w:val="clear" w:color="auto" w:fill="auto"/>
          </w:tcPr>
          <w:p w14:paraId="46C6CEBE" w14:textId="77777777" w:rsidR="00A44F1F" w:rsidRPr="00745061" w:rsidRDefault="00A44F1F" w:rsidP="00D853D6">
            <w:pPr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</w:rPr>
              <w:t>206</w:t>
            </w:r>
          </w:p>
        </w:tc>
        <w:tc>
          <w:tcPr>
            <w:tcW w:w="907" w:type="dxa"/>
            <w:shd w:val="clear" w:color="auto" w:fill="auto"/>
          </w:tcPr>
          <w:p w14:paraId="53F61920" w14:textId="77777777" w:rsidR="00A44F1F" w:rsidRPr="00745061" w:rsidRDefault="00A44F1F" w:rsidP="00D853D6">
            <w:pPr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</w:rPr>
              <w:t>203</w:t>
            </w:r>
          </w:p>
        </w:tc>
        <w:tc>
          <w:tcPr>
            <w:tcW w:w="907" w:type="dxa"/>
            <w:shd w:val="clear" w:color="auto" w:fill="auto"/>
          </w:tcPr>
          <w:p w14:paraId="232ED31E" w14:textId="77777777" w:rsidR="00A44F1F" w:rsidRPr="00745061" w:rsidRDefault="00A44F1F" w:rsidP="00D853D6">
            <w:pPr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</w:rPr>
              <w:t>409</w:t>
            </w:r>
          </w:p>
        </w:tc>
      </w:tr>
      <w:tr w:rsidR="00A44F1F" w:rsidRPr="00745061" w14:paraId="7461E0AE" w14:textId="77777777" w:rsidTr="00D853D6">
        <w:trPr>
          <w:trHeight w:val="283"/>
        </w:trPr>
        <w:tc>
          <w:tcPr>
            <w:tcW w:w="907" w:type="dxa"/>
            <w:shd w:val="clear" w:color="auto" w:fill="auto"/>
          </w:tcPr>
          <w:p w14:paraId="1F75E557" w14:textId="77777777" w:rsidR="00A44F1F" w:rsidRPr="008F66C4" w:rsidRDefault="00A44F1F" w:rsidP="00D853D6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8F66C4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907" w:type="dxa"/>
            <w:shd w:val="clear" w:color="auto" w:fill="auto"/>
          </w:tcPr>
          <w:p w14:paraId="08EBEAA3" w14:textId="77777777" w:rsidR="00A44F1F" w:rsidRPr="00745061" w:rsidRDefault="00A44F1F" w:rsidP="00D853D6">
            <w:pPr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</w:rPr>
              <w:t>409</w:t>
            </w:r>
          </w:p>
        </w:tc>
        <w:tc>
          <w:tcPr>
            <w:tcW w:w="907" w:type="dxa"/>
            <w:shd w:val="clear" w:color="auto" w:fill="auto"/>
          </w:tcPr>
          <w:p w14:paraId="5D953340" w14:textId="77777777" w:rsidR="00A44F1F" w:rsidRPr="00745061" w:rsidRDefault="00A44F1F" w:rsidP="00D853D6">
            <w:pPr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</w:rPr>
              <w:t>409</w:t>
            </w:r>
          </w:p>
        </w:tc>
        <w:tc>
          <w:tcPr>
            <w:tcW w:w="907" w:type="dxa"/>
            <w:shd w:val="clear" w:color="auto" w:fill="auto"/>
          </w:tcPr>
          <w:p w14:paraId="3FDBF564" w14:textId="77777777" w:rsidR="00A44F1F" w:rsidRPr="00745061" w:rsidRDefault="00A44F1F" w:rsidP="00D853D6">
            <w:pPr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</w:rPr>
              <w:t>818</w:t>
            </w:r>
          </w:p>
        </w:tc>
      </w:tr>
    </w:tbl>
    <w:p w14:paraId="7B2A1732" w14:textId="77777777" w:rsidR="00A44F1F" w:rsidRDefault="00A44F1F" w:rsidP="00A44F1F">
      <w:pPr>
        <w:spacing w:after="0" w:line="276" w:lineRule="auto"/>
        <w:rPr>
          <w:rFonts w:asciiTheme="minorHAnsi" w:hAnsiTheme="minorHAnsi" w:cstheme="minorHAnsi"/>
        </w:rPr>
      </w:pPr>
    </w:p>
    <w:p w14:paraId="47F99D3F" w14:textId="6AD15155" w:rsidR="00A44F1F" w:rsidRDefault="00A44F1F" w:rsidP="00A44F1F">
      <w:pPr>
        <w:spacing w:after="0" w:line="276" w:lineRule="auto"/>
        <w:rPr>
          <w:rFonts w:asciiTheme="minorHAnsi" w:hAnsiTheme="minorHAnsi" w:cstheme="minorHAnsi"/>
        </w:rPr>
      </w:pPr>
      <w:r w:rsidRPr="00745061">
        <w:rPr>
          <w:rFonts w:asciiTheme="minorHAnsi" w:hAnsiTheme="minorHAnsi" w:cstheme="minorHAnsi"/>
        </w:rPr>
        <w:t>Table 2. SWAT results</w:t>
      </w:r>
    </w:p>
    <w:tbl>
      <w:tblPr>
        <w:tblStyle w:val="TableGrid"/>
        <w:tblW w:w="9057" w:type="dxa"/>
        <w:tblInd w:w="10" w:type="dxa"/>
        <w:tblLook w:val="04A0" w:firstRow="1" w:lastRow="0" w:firstColumn="1" w:lastColumn="0" w:noHBand="0" w:noVBand="1"/>
      </w:tblPr>
      <w:tblGrid>
        <w:gridCol w:w="2395"/>
        <w:gridCol w:w="1276"/>
        <w:gridCol w:w="1276"/>
        <w:gridCol w:w="1275"/>
        <w:gridCol w:w="1276"/>
        <w:gridCol w:w="1559"/>
      </w:tblGrid>
      <w:tr w:rsidR="00A44F1F" w14:paraId="7FE9697F" w14:textId="77777777" w:rsidTr="004329B6">
        <w:trPr>
          <w:trHeight w:val="1207"/>
        </w:trPr>
        <w:tc>
          <w:tcPr>
            <w:tcW w:w="2395" w:type="dxa"/>
          </w:tcPr>
          <w:p w14:paraId="4E125BD1" w14:textId="77777777" w:rsidR="00A44F1F" w:rsidRDefault="00A44F1F" w:rsidP="00D853D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1594A47" w14:textId="77777777" w:rsidR="00A44F1F" w:rsidRPr="00745061" w:rsidRDefault="00A44F1F" w:rsidP="00D853D6">
            <w:pPr>
              <w:spacing w:after="0" w:line="240" w:lineRule="auto"/>
              <w:ind w:left="11" w:hanging="1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45061">
              <w:rPr>
                <w:rFonts w:asciiTheme="minorHAnsi" w:hAnsiTheme="minorHAnsi" w:cstheme="minorHAnsi"/>
                <w:b/>
                <w:color w:val="000000" w:themeColor="text1"/>
              </w:rPr>
              <w:t>Pen</w:t>
            </w:r>
          </w:p>
          <w:p w14:paraId="4983481B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b/>
                <w:color w:val="000000" w:themeColor="text1"/>
              </w:rPr>
              <w:t>(n=409)</w:t>
            </w:r>
          </w:p>
        </w:tc>
        <w:tc>
          <w:tcPr>
            <w:tcW w:w="1276" w:type="dxa"/>
          </w:tcPr>
          <w:p w14:paraId="4C720422" w14:textId="77777777" w:rsidR="00A44F1F" w:rsidRPr="00745061" w:rsidRDefault="00A44F1F" w:rsidP="00D853D6">
            <w:pPr>
              <w:spacing w:after="0" w:line="240" w:lineRule="auto"/>
              <w:ind w:left="11" w:hanging="1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45061">
              <w:rPr>
                <w:rFonts w:asciiTheme="minorHAnsi" w:hAnsiTheme="minorHAnsi" w:cstheme="minorHAnsi"/>
                <w:b/>
                <w:color w:val="000000" w:themeColor="text1"/>
              </w:rPr>
              <w:t>No pen</w:t>
            </w:r>
          </w:p>
          <w:p w14:paraId="4D155B67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b/>
                <w:color w:val="000000" w:themeColor="text1"/>
              </w:rPr>
              <w:t>(n=409)</w:t>
            </w:r>
          </w:p>
        </w:tc>
        <w:tc>
          <w:tcPr>
            <w:tcW w:w="1275" w:type="dxa"/>
          </w:tcPr>
          <w:p w14:paraId="47604A18" w14:textId="77777777" w:rsidR="00A44F1F" w:rsidRPr="00745061" w:rsidRDefault="00A44F1F" w:rsidP="00D853D6">
            <w:pPr>
              <w:spacing w:after="0" w:line="240" w:lineRule="auto"/>
              <w:ind w:left="11" w:hanging="1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45061">
              <w:rPr>
                <w:rFonts w:asciiTheme="minorHAnsi" w:hAnsiTheme="minorHAnsi" w:cstheme="minorHAnsi"/>
                <w:b/>
                <w:color w:val="000000" w:themeColor="text1"/>
              </w:rPr>
              <w:t>£5</w:t>
            </w:r>
          </w:p>
          <w:p w14:paraId="54076617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b/>
                <w:color w:val="000000" w:themeColor="text1"/>
              </w:rPr>
              <w:t>(n=409)</w:t>
            </w:r>
          </w:p>
        </w:tc>
        <w:tc>
          <w:tcPr>
            <w:tcW w:w="1276" w:type="dxa"/>
          </w:tcPr>
          <w:p w14:paraId="3AE4655C" w14:textId="77777777" w:rsidR="00A44F1F" w:rsidRPr="00745061" w:rsidRDefault="00A44F1F" w:rsidP="00D853D6">
            <w:pPr>
              <w:spacing w:after="0" w:line="240" w:lineRule="auto"/>
              <w:ind w:left="11" w:hanging="1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45061">
              <w:rPr>
                <w:rFonts w:asciiTheme="minorHAnsi" w:hAnsiTheme="minorHAnsi" w:cstheme="minorHAnsi"/>
                <w:b/>
                <w:color w:val="000000" w:themeColor="text1"/>
              </w:rPr>
              <w:t>No £5</w:t>
            </w:r>
          </w:p>
          <w:p w14:paraId="67114E90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b/>
                <w:color w:val="000000" w:themeColor="text1"/>
              </w:rPr>
              <w:t>(n=409)</w:t>
            </w:r>
          </w:p>
        </w:tc>
        <w:tc>
          <w:tcPr>
            <w:tcW w:w="1559" w:type="dxa"/>
          </w:tcPr>
          <w:p w14:paraId="1DFFE9D8" w14:textId="77777777" w:rsidR="00A44F1F" w:rsidRDefault="00A44F1F" w:rsidP="00D853D6">
            <w:pPr>
              <w:spacing w:after="0" w:line="240" w:lineRule="auto"/>
              <w:ind w:left="11" w:hanging="1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Interaction coefficient</w:t>
            </w:r>
            <w:r w:rsidRPr="00745061">
              <w:rPr>
                <w:rFonts w:asciiTheme="minorHAnsi" w:hAnsiTheme="minorHAnsi" w:cstheme="minorHAnsi"/>
                <w:b/>
                <w:color w:val="000000" w:themeColor="text1"/>
              </w:rPr>
              <w:t xml:space="preserve"> (95% CI),</w:t>
            </w:r>
          </w:p>
          <w:p w14:paraId="7DBABCC9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b/>
                <w:color w:val="000000" w:themeColor="text1"/>
              </w:rPr>
              <w:t>p-value</w:t>
            </w:r>
          </w:p>
        </w:tc>
      </w:tr>
      <w:tr w:rsidR="00A44F1F" w14:paraId="15F0B3A6" w14:textId="77777777" w:rsidTr="004329B6">
        <w:trPr>
          <w:trHeight w:val="583"/>
        </w:trPr>
        <w:tc>
          <w:tcPr>
            <w:tcW w:w="2395" w:type="dxa"/>
          </w:tcPr>
          <w:p w14:paraId="38811E5B" w14:textId="77777777" w:rsidR="00A44F1F" w:rsidRDefault="00A44F1F" w:rsidP="00D853D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b/>
                <w:color w:val="000000" w:themeColor="text1"/>
              </w:rPr>
              <w:t>Returned screening form, n (%)</w:t>
            </w:r>
          </w:p>
        </w:tc>
        <w:tc>
          <w:tcPr>
            <w:tcW w:w="1276" w:type="dxa"/>
            <w:vAlign w:val="center"/>
          </w:tcPr>
          <w:p w14:paraId="4C764E38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color w:val="000000" w:themeColor="text1"/>
              </w:rPr>
              <w:t>66 (16.1)</w:t>
            </w:r>
          </w:p>
        </w:tc>
        <w:tc>
          <w:tcPr>
            <w:tcW w:w="1276" w:type="dxa"/>
            <w:vAlign w:val="center"/>
          </w:tcPr>
          <w:p w14:paraId="71A386EB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color w:val="000000" w:themeColor="text1"/>
              </w:rPr>
              <w:t>61 (14.9)</w:t>
            </w:r>
          </w:p>
        </w:tc>
        <w:tc>
          <w:tcPr>
            <w:tcW w:w="1275" w:type="dxa"/>
            <w:vAlign w:val="center"/>
          </w:tcPr>
          <w:p w14:paraId="297BD7A3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color w:val="000000" w:themeColor="text1"/>
              </w:rPr>
              <w:t>77 (18.8)</w:t>
            </w:r>
          </w:p>
        </w:tc>
        <w:tc>
          <w:tcPr>
            <w:tcW w:w="1276" w:type="dxa"/>
            <w:vAlign w:val="center"/>
          </w:tcPr>
          <w:p w14:paraId="0F0C6235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color w:val="000000" w:themeColor="text1"/>
              </w:rPr>
              <w:t>50 (12.2)</w:t>
            </w:r>
          </w:p>
        </w:tc>
        <w:tc>
          <w:tcPr>
            <w:tcW w:w="1559" w:type="dxa"/>
            <w:vMerge w:val="restart"/>
            <w:vAlign w:val="center"/>
          </w:tcPr>
          <w:p w14:paraId="6920447F" w14:textId="461E9EF6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CC492A">
              <w:t>1.66 (0.76</w:t>
            </w:r>
            <w:r w:rsidR="004F7E0B">
              <w:t>–</w:t>
            </w:r>
            <w:r w:rsidRPr="00CC492A">
              <w:t>3.60), 0.</w:t>
            </w:r>
            <w:r>
              <w:t>20</w:t>
            </w:r>
          </w:p>
        </w:tc>
      </w:tr>
      <w:tr w:rsidR="00A44F1F" w14:paraId="4355E467" w14:textId="77777777" w:rsidTr="004329B6">
        <w:trPr>
          <w:trHeight w:val="563"/>
        </w:trPr>
        <w:tc>
          <w:tcPr>
            <w:tcW w:w="2395" w:type="dxa"/>
          </w:tcPr>
          <w:p w14:paraId="4E28B647" w14:textId="77777777" w:rsidR="00A44F1F" w:rsidRPr="00CC492A" w:rsidRDefault="00A44F1F" w:rsidP="00D853D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CC492A">
              <w:rPr>
                <w:rFonts w:asciiTheme="minorHAnsi" w:hAnsiTheme="minorHAnsi" w:cstheme="minorHAnsi"/>
                <w:color w:val="000000" w:themeColor="text1"/>
              </w:rPr>
              <w:lastRenderedPageBreak/>
              <w:t>Adjusted odds ratio</w:t>
            </w:r>
            <w:r w:rsidRPr="00CC492A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a</w:t>
            </w:r>
            <w:r w:rsidRPr="00CC492A">
              <w:rPr>
                <w:rFonts w:asciiTheme="minorHAnsi" w:hAnsiTheme="minorHAnsi" w:cstheme="minorHAnsi"/>
                <w:color w:val="000000" w:themeColor="text1"/>
              </w:rPr>
              <w:t xml:space="preserve"> (95% CI), p-value</w:t>
            </w:r>
          </w:p>
        </w:tc>
        <w:tc>
          <w:tcPr>
            <w:tcW w:w="2552" w:type="dxa"/>
            <w:gridSpan w:val="2"/>
            <w:vAlign w:val="center"/>
          </w:tcPr>
          <w:p w14:paraId="0AE5ACDE" w14:textId="6A5F2F9F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color w:val="000000" w:themeColor="text1"/>
              </w:rPr>
              <w:t>1.10 (0.75</w:t>
            </w:r>
            <w:r w:rsidR="004F7E0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745061">
              <w:rPr>
                <w:rFonts w:asciiTheme="minorHAnsi" w:hAnsiTheme="minorHAnsi" w:cstheme="minorHAnsi"/>
                <w:color w:val="000000" w:themeColor="text1"/>
              </w:rPr>
              <w:t>1.61), 0.61</w:t>
            </w:r>
          </w:p>
        </w:tc>
        <w:tc>
          <w:tcPr>
            <w:tcW w:w="2551" w:type="dxa"/>
            <w:gridSpan w:val="2"/>
            <w:vAlign w:val="center"/>
          </w:tcPr>
          <w:p w14:paraId="282589C8" w14:textId="3EF820C6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color w:val="000000" w:themeColor="text1"/>
              </w:rPr>
              <w:t>1.67 (1.13</w:t>
            </w:r>
            <w:r w:rsidR="004F7E0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745061">
              <w:rPr>
                <w:rFonts w:asciiTheme="minorHAnsi" w:hAnsiTheme="minorHAnsi" w:cstheme="minorHAnsi"/>
                <w:color w:val="000000" w:themeColor="text1"/>
              </w:rPr>
              <w:t>2.45), 0.01</w:t>
            </w:r>
          </w:p>
        </w:tc>
        <w:tc>
          <w:tcPr>
            <w:tcW w:w="1559" w:type="dxa"/>
            <w:vMerge/>
            <w:vAlign w:val="center"/>
          </w:tcPr>
          <w:p w14:paraId="43237BEC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4F1F" w14:paraId="35DCDDB2" w14:textId="77777777" w:rsidTr="004329B6">
        <w:trPr>
          <w:trHeight w:val="557"/>
        </w:trPr>
        <w:tc>
          <w:tcPr>
            <w:tcW w:w="2395" w:type="dxa"/>
          </w:tcPr>
          <w:p w14:paraId="51280AD3" w14:textId="77777777" w:rsidR="00A44F1F" w:rsidRDefault="00A44F1F" w:rsidP="00D853D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b/>
                <w:color w:val="000000" w:themeColor="text1"/>
              </w:rPr>
              <w:t>Time to return (days)</w:t>
            </w:r>
            <w:r>
              <w:rPr>
                <w:rFonts w:asciiTheme="minorHAnsi" w:hAnsiTheme="minorHAnsi" w:cstheme="minorHAnsi"/>
                <w:b/>
                <w:color w:val="000000" w:themeColor="text1"/>
                <w:vertAlign w:val="superscript"/>
              </w:rPr>
              <w:t>b</w:t>
            </w:r>
            <w:r w:rsidRPr="00745061">
              <w:rPr>
                <w:rFonts w:asciiTheme="minorHAnsi" w:hAnsiTheme="minorHAnsi" w:cstheme="minorHAnsi"/>
                <w:b/>
                <w:color w:val="000000" w:themeColor="text1"/>
              </w:rPr>
              <w:t>, median (IQR)</w:t>
            </w:r>
          </w:p>
        </w:tc>
        <w:tc>
          <w:tcPr>
            <w:tcW w:w="1276" w:type="dxa"/>
            <w:vAlign w:val="center"/>
          </w:tcPr>
          <w:p w14:paraId="08341E77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 (9</w:t>
            </w:r>
            <w:r w:rsidRPr="00745061">
              <w:rPr>
                <w:rFonts w:asciiTheme="minorHAnsi" w:hAnsiTheme="minorHAnsi" w:cstheme="minorHAnsi"/>
                <w:color w:val="000000" w:themeColor="text1"/>
              </w:rPr>
              <w:t>-14)</w:t>
            </w:r>
          </w:p>
        </w:tc>
        <w:tc>
          <w:tcPr>
            <w:tcW w:w="1276" w:type="dxa"/>
            <w:vAlign w:val="center"/>
          </w:tcPr>
          <w:p w14:paraId="52817E97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color w:val="000000" w:themeColor="text1"/>
              </w:rPr>
              <w:t>11 (7-18)</w:t>
            </w:r>
          </w:p>
        </w:tc>
        <w:tc>
          <w:tcPr>
            <w:tcW w:w="1275" w:type="dxa"/>
            <w:vAlign w:val="center"/>
          </w:tcPr>
          <w:p w14:paraId="4CE24C02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color w:val="000000" w:themeColor="text1"/>
              </w:rPr>
              <w:t>11 (10-18)</w:t>
            </w:r>
          </w:p>
        </w:tc>
        <w:tc>
          <w:tcPr>
            <w:tcW w:w="1276" w:type="dxa"/>
            <w:vAlign w:val="center"/>
          </w:tcPr>
          <w:p w14:paraId="208ACACF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color w:val="000000" w:themeColor="text1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</w:rPr>
              <w:t>.5</w:t>
            </w:r>
            <w:r w:rsidRPr="00745061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r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Pr="00745061">
              <w:rPr>
                <w:rFonts w:asciiTheme="minorHAnsi" w:hAnsiTheme="minorHAnsi" w:cstheme="minorHAnsi"/>
                <w:color w:val="000000" w:themeColor="text1"/>
              </w:rPr>
              <w:t>-14)</w:t>
            </w:r>
          </w:p>
        </w:tc>
        <w:tc>
          <w:tcPr>
            <w:tcW w:w="1559" w:type="dxa"/>
            <w:vMerge w:val="restart"/>
            <w:vAlign w:val="center"/>
          </w:tcPr>
          <w:p w14:paraId="07933820" w14:textId="4CF332BD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1.56 (0.76</w:t>
            </w:r>
            <w:r w:rsidR="004F7E0B">
              <w:rPr>
                <w:rFonts w:asciiTheme="minorHAnsi" w:hAnsiTheme="minorHAnsi" w:cstheme="minorHAnsi"/>
                <w:color w:val="000000" w:themeColor="text1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</w:rPr>
              <w:t>3.19), 0.22</w:t>
            </w:r>
          </w:p>
        </w:tc>
      </w:tr>
      <w:tr w:rsidR="00A44F1F" w14:paraId="07DF99BC" w14:textId="77777777" w:rsidTr="004329B6">
        <w:trPr>
          <w:trHeight w:val="564"/>
        </w:trPr>
        <w:tc>
          <w:tcPr>
            <w:tcW w:w="2395" w:type="dxa"/>
          </w:tcPr>
          <w:p w14:paraId="7531C6BC" w14:textId="77777777" w:rsidR="00A44F1F" w:rsidRPr="00CC492A" w:rsidRDefault="00A44F1F" w:rsidP="00D853D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CC492A">
              <w:rPr>
                <w:rFonts w:asciiTheme="minorHAnsi" w:hAnsiTheme="minorHAnsi" w:cstheme="minorHAnsi"/>
                <w:color w:val="000000" w:themeColor="text1"/>
              </w:rPr>
              <w:t>Adjusted hazards ratio</w:t>
            </w:r>
            <w:r w:rsidRPr="00CC492A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a</w:t>
            </w:r>
            <w:r w:rsidRPr="00CC492A">
              <w:rPr>
                <w:rFonts w:asciiTheme="minorHAnsi" w:hAnsiTheme="minorHAnsi" w:cstheme="minorHAnsi"/>
                <w:color w:val="000000" w:themeColor="text1"/>
              </w:rPr>
              <w:t xml:space="preserve"> (95% CI), p-value</w:t>
            </w:r>
          </w:p>
        </w:tc>
        <w:tc>
          <w:tcPr>
            <w:tcW w:w="2552" w:type="dxa"/>
            <w:gridSpan w:val="2"/>
            <w:vAlign w:val="center"/>
          </w:tcPr>
          <w:p w14:paraId="11A208AB" w14:textId="2273B8E0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1.09</w:t>
            </w:r>
            <w:r w:rsidRPr="00745061">
              <w:rPr>
                <w:rFonts w:asciiTheme="minorHAnsi" w:hAnsiTheme="minorHAnsi" w:cstheme="minorHAnsi"/>
                <w:color w:val="000000" w:themeColor="text1"/>
              </w:rPr>
              <w:t xml:space="preserve"> (0.77</w:t>
            </w:r>
            <w:r w:rsidR="004F7E0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745061">
              <w:rPr>
                <w:rFonts w:asciiTheme="minorHAnsi" w:hAnsiTheme="minorHAnsi" w:cstheme="minorHAnsi"/>
                <w:color w:val="000000" w:themeColor="text1"/>
              </w:rPr>
              <w:t>1.55), 0.61</w:t>
            </w:r>
          </w:p>
        </w:tc>
        <w:tc>
          <w:tcPr>
            <w:tcW w:w="2551" w:type="dxa"/>
            <w:gridSpan w:val="2"/>
            <w:vAlign w:val="center"/>
          </w:tcPr>
          <w:p w14:paraId="10335108" w14:textId="5DEA9F79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color w:val="000000" w:themeColor="text1"/>
              </w:rPr>
              <w:t>1.5</w:t>
            </w:r>
            <w:r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Pr="00745061">
              <w:rPr>
                <w:rFonts w:asciiTheme="minorHAnsi" w:hAnsiTheme="minorHAnsi" w:cstheme="minorHAnsi"/>
                <w:color w:val="000000" w:themeColor="text1"/>
              </w:rPr>
              <w:t xml:space="preserve"> (1.09</w:t>
            </w:r>
            <w:r w:rsidR="004F7E0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745061">
              <w:rPr>
                <w:rFonts w:asciiTheme="minorHAnsi" w:hAnsiTheme="minorHAnsi" w:cstheme="minorHAnsi"/>
                <w:color w:val="000000" w:themeColor="text1"/>
              </w:rPr>
              <w:t>2.22), 0.02</w:t>
            </w:r>
          </w:p>
        </w:tc>
        <w:tc>
          <w:tcPr>
            <w:tcW w:w="1559" w:type="dxa"/>
            <w:vMerge/>
            <w:vAlign w:val="center"/>
          </w:tcPr>
          <w:p w14:paraId="1BB84945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4F1F" w14:paraId="6566B659" w14:textId="77777777" w:rsidTr="004329B6">
        <w:trPr>
          <w:trHeight w:val="264"/>
        </w:trPr>
        <w:tc>
          <w:tcPr>
            <w:tcW w:w="2395" w:type="dxa"/>
          </w:tcPr>
          <w:p w14:paraId="28198795" w14:textId="77777777" w:rsidR="00A44F1F" w:rsidRDefault="00A44F1F" w:rsidP="00D853D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b/>
                <w:color w:val="000000" w:themeColor="text1"/>
              </w:rPr>
              <w:t>Randomised, n (%)</w:t>
            </w:r>
          </w:p>
        </w:tc>
        <w:tc>
          <w:tcPr>
            <w:tcW w:w="1276" w:type="dxa"/>
            <w:vAlign w:val="center"/>
          </w:tcPr>
          <w:p w14:paraId="76732123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color w:val="000000" w:themeColor="text1"/>
              </w:rPr>
              <w:t>15 (3.7)</w:t>
            </w:r>
          </w:p>
        </w:tc>
        <w:tc>
          <w:tcPr>
            <w:tcW w:w="1276" w:type="dxa"/>
            <w:vAlign w:val="center"/>
          </w:tcPr>
          <w:p w14:paraId="39CB3CE4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color w:val="000000" w:themeColor="text1"/>
              </w:rPr>
              <w:t>11 (2.7)</w:t>
            </w:r>
          </w:p>
        </w:tc>
        <w:tc>
          <w:tcPr>
            <w:tcW w:w="1275" w:type="dxa"/>
            <w:vAlign w:val="center"/>
          </w:tcPr>
          <w:p w14:paraId="44EBD65D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color w:val="000000" w:themeColor="text1"/>
              </w:rPr>
              <w:t>14 (3.4)</w:t>
            </w:r>
          </w:p>
        </w:tc>
        <w:tc>
          <w:tcPr>
            <w:tcW w:w="1276" w:type="dxa"/>
            <w:vAlign w:val="center"/>
          </w:tcPr>
          <w:p w14:paraId="268B77F7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color w:val="000000" w:themeColor="text1"/>
              </w:rPr>
              <w:t>12 (2.9)</w:t>
            </w:r>
          </w:p>
        </w:tc>
        <w:tc>
          <w:tcPr>
            <w:tcW w:w="1559" w:type="dxa"/>
            <w:vMerge w:val="restart"/>
            <w:vAlign w:val="center"/>
          </w:tcPr>
          <w:p w14:paraId="4F8611D3" w14:textId="5244766C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0.98 (0.20</w:t>
            </w:r>
            <w:r w:rsidR="004F7E0B">
              <w:rPr>
                <w:rFonts w:asciiTheme="minorHAnsi" w:hAnsiTheme="minorHAnsi" w:cstheme="minorHAnsi"/>
                <w:color w:val="000000" w:themeColor="text1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</w:rPr>
              <w:t>4.79), 0.98</w:t>
            </w:r>
          </w:p>
        </w:tc>
      </w:tr>
      <w:tr w:rsidR="00A44F1F" w14:paraId="3A70809A" w14:textId="77777777" w:rsidTr="004329B6">
        <w:trPr>
          <w:trHeight w:val="552"/>
        </w:trPr>
        <w:tc>
          <w:tcPr>
            <w:tcW w:w="2395" w:type="dxa"/>
          </w:tcPr>
          <w:p w14:paraId="306E6759" w14:textId="77777777" w:rsidR="00A44F1F" w:rsidRDefault="00A44F1F" w:rsidP="00D853D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CC492A">
              <w:rPr>
                <w:rFonts w:asciiTheme="minorHAnsi" w:hAnsiTheme="minorHAnsi" w:cstheme="minorHAnsi"/>
                <w:color w:val="000000" w:themeColor="text1"/>
              </w:rPr>
              <w:t>Adjusted odds ratio</w:t>
            </w:r>
            <w:r w:rsidRPr="00CC492A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a</w:t>
            </w:r>
            <w:r w:rsidRPr="00CC492A">
              <w:rPr>
                <w:rFonts w:asciiTheme="minorHAnsi" w:hAnsiTheme="minorHAnsi" w:cstheme="minorHAnsi"/>
                <w:color w:val="000000" w:themeColor="text1"/>
              </w:rPr>
              <w:t xml:space="preserve"> (95% CI), p-value</w:t>
            </w:r>
          </w:p>
        </w:tc>
        <w:tc>
          <w:tcPr>
            <w:tcW w:w="2552" w:type="dxa"/>
            <w:gridSpan w:val="2"/>
            <w:vAlign w:val="center"/>
          </w:tcPr>
          <w:p w14:paraId="167F9435" w14:textId="01883431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color w:val="000000" w:themeColor="text1"/>
              </w:rPr>
              <w:t>1.38 (0.63</w:t>
            </w:r>
            <w:r w:rsidR="004F7E0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745061">
              <w:rPr>
                <w:rFonts w:asciiTheme="minorHAnsi" w:hAnsiTheme="minorHAnsi" w:cstheme="minorHAnsi"/>
                <w:color w:val="000000" w:themeColor="text1"/>
              </w:rPr>
              <w:t>3.04), 0.43</w:t>
            </w:r>
          </w:p>
        </w:tc>
        <w:tc>
          <w:tcPr>
            <w:tcW w:w="2551" w:type="dxa"/>
            <w:gridSpan w:val="2"/>
            <w:vAlign w:val="center"/>
          </w:tcPr>
          <w:p w14:paraId="376564AF" w14:textId="10802BCE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5061">
              <w:rPr>
                <w:rFonts w:asciiTheme="minorHAnsi" w:hAnsiTheme="minorHAnsi" w:cstheme="minorHAnsi"/>
                <w:color w:val="000000" w:themeColor="text1"/>
              </w:rPr>
              <w:t>1.18 (0.54</w:t>
            </w:r>
            <w:r w:rsidR="004F7E0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745061">
              <w:rPr>
                <w:rFonts w:asciiTheme="minorHAnsi" w:hAnsiTheme="minorHAnsi" w:cstheme="minorHAnsi"/>
                <w:color w:val="000000" w:themeColor="text1"/>
              </w:rPr>
              <w:t>2.57), 0.69</w:t>
            </w:r>
          </w:p>
        </w:tc>
        <w:tc>
          <w:tcPr>
            <w:tcW w:w="1559" w:type="dxa"/>
            <w:vMerge/>
            <w:vAlign w:val="center"/>
          </w:tcPr>
          <w:p w14:paraId="47D46697" w14:textId="77777777" w:rsidR="00A44F1F" w:rsidRDefault="00A44F1F" w:rsidP="00D853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902744F" w14:textId="77777777" w:rsidR="00A44F1F" w:rsidRDefault="00A44F1F" w:rsidP="00A44F1F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FA530B">
        <w:rPr>
          <w:rFonts w:asciiTheme="minorHAnsi" w:hAnsiTheme="minorHAnsi" w:cstheme="minorHAnsi"/>
          <w:vertAlign w:val="superscript"/>
        </w:rPr>
        <w:t>a</w:t>
      </w:r>
      <w:r>
        <w:rPr>
          <w:rFonts w:asciiTheme="minorHAnsi" w:hAnsiTheme="minorHAnsi" w:cstheme="minorHAnsi"/>
        </w:rPr>
        <w:t xml:space="preserve"> all comparisons are between the intervention compared with its respective control; treatment effect estimates &gt;1 represent a favourable outcome for the relevant </w:t>
      </w:r>
      <w:proofErr w:type="gramStart"/>
      <w:r>
        <w:rPr>
          <w:rFonts w:asciiTheme="minorHAnsi" w:hAnsiTheme="minorHAnsi" w:cstheme="minorHAnsi"/>
        </w:rPr>
        <w:t>intervention</w:t>
      </w:r>
      <w:proofErr w:type="gramEnd"/>
    </w:p>
    <w:p w14:paraId="3E349E71" w14:textId="77777777" w:rsidR="00A44F1F" w:rsidRPr="00745061" w:rsidRDefault="00A44F1F" w:rsidP="00A44F1F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>b</w:t>
      </w:r>
      <w:r>
        <w:rPr>
          <w:rFonts w:asciiTheme="minorHAnsi" w:hAnsiTheme="minorHAnsi" w:cstheme="minorHAnsi"/>
        </w:rPr>
        <w:t xml:space="preserve"> for returned </w:t>
      </w:r>
      <w:proofErr w:type="gramStart"/>
      <w:r>
        <w:rPr>
          <w:rFonts w:asciiTheme="minorHAnsi" w:hAnsiTheme="minorHAnsi" w:cstheme="minorHAnsi"/>
        </w:rPr>
        <w:t>forms</w:t>
      </w:r>
      <w:proofErr w:type="gramEnd"/>
    </w:p>
    <w:p w14:paraId="03AF212F" w14:textId="77777777" w:rsidR="00A44F1F" w:rsidRPr="00745061" w:rsidRDefault="00A44F1F" w:rsidP="00A44F1F">
      <w:pPr>
        <w:spacing w:after="0" w:line="276" w:lineRule="auto"/>
        <w:ind w:left="0" w:firstLine="0"/>
        <w:rPr>
          <w:rFonts w:asciiTheme="minorHAnsi" w:hAnsiTheme="minorHAnsi" w:cstheme="minorHAnsi"/>
        </w:rPr>
      </w:pPr>
    </w:p>
    <w:p w14:paraId="0B39C21B" w14:textId="34E7FA6D" w:rsidR="00A44F1F" w:rsidRDefault="00A44F1F" w:rsidP="00A44F1F">
      <w:pPr>
        <w:spacing w:after="0" w:line="276" w:lineRule="auto"/>
        <w:rPr>
          <w:rFonts w:asciiTheme="minorHAnsi" w:hAnsiTheme="minorHAnsi" w:cstheme="minorHAnsi"/>
        </w:rPr>
      </w:pPr>
      <w:r w:rsidRPr="00745061">
        <w:rPr>
          <w:rFonts w:asciiTheme="minorHAnsi" w:hAnsiTheme="minorHAnsi" w:cstheme="minorHAnsi"/>
        </w:rPr>
        <w:t xml:space="preserve">Figure 1. </w:t>
      </w:r>
      <w:r w:rsidR="00DF2414">
        <w:rPr>
          <w:rFonts w:asciiTheme="minorHAnsi" w:hAnsiTheme="minorHAnsi" w:cstheme="minorHAnsi"/>
        </w:rPr>
        <w:t>Participant</w:t>
      </w:r>
      <w:r w:rsidRPr="00745061">
        <w:rPr>
          <w:rFonts w:asciiTheme="minorHAnsi" w:hAnsiTheme="minorHAnsi" w:cstheme="minorHAnsi"/>
        </w:rPr>
        <w:t xml:space="preserve"> flow diagram</w:t>
      </w:r>
    </w:p>
    <w:p w14:paraId="41D84739" w14:textId="6A21491C" w:rsidR="00A44F1F" w:rsidRDefault="00084D18" w:rsidP="00A44F1F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9FE9AFB" wp14:editId="50B12B57">
            <wp:extent cx="5731510" cy="3045703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SORTdiagram.jpg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5" r="4554" b="12444"/>
                    <a:stretch/>
                  </pic:blipFill>
                  <pic:spPr bwMode="auto">
                    <a:xfrm>
                      <a:off x="0" y="0"/>
                      <a:ext cx="5731510" cy="3045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D47035" w14:textId="77777777" w:rsidR="00A44F1F" w:rsidRDefault="00A44F1F" w:rsidP="00A44F1F">
      <w:pPr>
        <w:spacing w:after="0" w:line="276" w:lineRule="auto"/>
        <w:rPr>
          <w:rFonts w:asciiTheme="minorHAnsi" w:hAnsiTheme="minorHAnsi" w:cstheme="minorHAnsi"/>
        </w:rPr>
      </w:pPr>
    </w:p>
    <w:p w14:paraId="5A716B42" w14:textId="7128D085" w:rsidR="00A44F1F" w:rsidRDefault="00A44F1F" w:rsidP="00A44F1F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Figure 2. Meta-analysis of inclusion of a pen in postal recruitment packs on randomisation into host trial</w:t>
      </w:r>
    </w:p>
    <w:p w14:paraId="4C2CB637" w14:textId="25F6E7CA" w:rsidR="00A44F1F" w:rsidRDefault="00A44F1F" w:rsidP="00A44F1F">
      <w:pPr>
        <w:spacing w:after="0" w:line="276" w:lineRule="auto"/>
        <w:rPr>
          <w:rFonts w:asciiTheme="minorHAnsi" w:hAnsiTheme="minorHAnsi" w:cstheme="minorHAnsi"/>
        </w:rPr>
      </w:pPr>
      <w:r w:rsidRPr="006F19AB">
        <w:rPr>
          <w:rFonts w:asciiTheme="minorHAnsi" w:hAnsiTheme="minorHAnsi" w:cstheme="minorHAnsi"/>
          <w:noProof/>
        </w:rPr>
        <w:drawing>
          <wp:inline distT="0" distB="0" distL="0" distR="0" wp14:anchorId="6A5743C1" wp14:editId="0C27050E">
            <wp:extent cx="5731510" cy="1665621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6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F0ABB" w14:textId="77777777" w:rsidR="00A44F1F" w:rsidRDefault="00A44F1F" w:rsidP="00A44F1F">
      <w:pPr>
        <w:spacing w:after="0" w:line="276" w:lineRule="auto"/>
        <w:rPr>
          <w:rFonts w:asciiTheme="minorHAnsi" w:hAnsiTheme="minorHAnsi" w:cstheme="minorHAnsi"/>
        </w:rPr>
      </w:pPr>
    </w:p>
    <w:p w14:paraId="3089FD45" w14:textId="77777777" w:rsidR="007B2399" w:rsidRDefault="007B2399" w:rsidP="00A44F1F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3E87DD73" w14:textId="77777777" w:rsidR="007B2399" w:rsidRDefault="007B2399" w:rsidP="00A44F1F">
      <w:pPr>
        <w:spacing w:after="0" w:line="276" w:lineRule="auto"/>
        <w:rPr>
          <w:rFonts w:asciiTheme="minorHAnsi" w:hAnsiTheme="minorHAnsi" w:cstheme="minorHAnsi"/>
        </w:rPr>
      </w:pPr>
    </w:p>
    <w:p w14:paraId="0BEDA9E9" w14:textId="3DDACAE6" w:rsidR="00A44F1F" w:rsidRDefault="00A44F1F" w:rsidP="00A44F1F">
      <w:pPr>
        <w:spacing w:after="0" w:line="276" w:lineRule="auto"/>
        <w:rPr>
          <w:shd w:val="clear" w:color="auto" w:fill="FFFFFF"/>
        </w:rPr>
      </w:pPr>
      <w:r>
        <w:rPr>
          <w:rFonts w:asciiTheme="minorHAnsi" w:hAnsiTheme="minorHAnsi" w:cstheme="minorHAnsi"/>
        </w:rPr>
        <w:lastRenderedPageBreak/>
        <w:t>Figure 3</w:t>
      </w:r>
      <w:r w:rsidRPr="00745061">
        <w:rPr>
          <w:rFonts w:asciiTheme="minorHAnsi" w:hAnsiTheme="minorHAnsi" w:cstheme="minorHAnsi"/>
        </w:rPr>
        <w:t>. Kaplan</w:t>
      </w:r>
      <w:r w:rsidR="008B2CF4">
        <w:rPr>
          <w:rFonts w:asciiTheme="minorHAnsi" w:hAnsiTheme="minorHAnsi" w:cstheme="minorHAnsi"/>
        </w:rPr>
        <w:t>–</w:t>
      </w:r>
      <w:r w:rsidRPr="00745061">
        <w:rPr>
          <w:rFonts w:asciiTheme="minorHAnsi" w:hAnsiTheme="minorHAnsi" w:cstheme="minorHAnsi"/>
        </w:rPr>
        <w:t xml:space="preserve">Meier curves for time to </w:t>
      </w:r>
      <w:r w:rsidRPr="00493877">
        <w:rPr>
          <w:rFonts w:asciiTheme="minorHAnsi" w:hAnsiTheme="minorHAnsi" w:cstheme="minorHAnsi"/>
        </w:rPr>
        <w:t xml:space="preserve">return screening </w:t>
      </w:r>
      <w:proofErr w:type="gramStart"/>
      <w:r w:rsidRPr="00493877">
        <w:rPr>
          <w:rFonts w:asciiTheme="minorHAnsi" w:hAnsiTheme="minorHAnsi" w:cstheme="minorHAnsi"/>
        </w:rPr>
        <w:t>form</w:t>
      </w:r>
      <w:proofErr w:type="gramEnd"/>
      <w:r w:rsidRPr="00493877">
        <w:rPr>
          <w:rFonts w:asciiTheme="minorHAnsi" w:hAnsiTheme="minorHAnsi" w:cstheme="minorHAnsi"/>
        </w:rPr>
        <w:t xml:space="preserve"> </w:t>
      </w:r>
    </w:p>
    <w:p w14:paraId="379C1853" w14:textId="4FF9A74D" w:rsidR="00A44F1F" w:rsidRPr="00745061" w:rsidRDefault="004B67D5" w:rsidP="00A44F1F">
      <w:pPr>
        <w:spacing w:after="0" w:line="276" w:lineRule="auto"/>
        <w:rPr>
          <w:rFonts w:asciiTheme="minorHAnsi" w:hAnsiTheme="minorHAnsi" w:cstheme="minorHAnsi"/>
        </w:rPr>
      </w:pPr>
      <w:r w:rsidRPr="004B67D5">
        <w:rPr>
          <w:rFonts w:asciiTheme="minorHAnsi" w:hAnsiTheme="minorHAnsi" w:cstheme="minorHAnsi"/>
          <w:noProof/>
        </w:rPr>
        <w:drawing>
          <wp:inline distT="0" distB="0" distL="0" distR="0" wp14:anchorId="159D326A" wp14:editId="37941E2C">
            <wp:extent cx="5025390" cy="36576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9DBFF" w14:textId="77777777" w:rsidR="00A44F1F" w:rsidRDefault="00A44F1F" w:rsidP="005D2B09">
      <w:pPr>
        <w:spacing w:after="0"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14:paraId="118EA193" w14:textId="07FF2A8B" w:rsidR="007555BB" w:rsidRDefault="003509D3" w:rsidP="003509D3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 xml:space="preserve">Data </w:t>
      </w:r>
      <w:r w:rsidR="008B2CF4">
        <w:rPr>
          <w:shd w:val="clear" w:color="auto" w:fill="FFFFFF"/>
        </w:rPr>
        <w:t>availability</w:t>
      </w:r>
    </w:p>
    <w:p w14:paraId="590C1307" w14:textId="77777777" w:rsidR="00202886" w:rsidRDefault="00202886" w:rsidP="00202886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Underlying data</w:t>
      </w:r>
    </w:p>
    <w:p w14:paraId="38113682" w14:textId="22D4F335" w:rsidR="00202886" w:rsidRPr="00202886" w:rsidRDefault="008E5958" w:rsidP="00B774AA">
      <w:pPr>
        <w:spacing w:after="0"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>OSF</w:t>
      </w:r>
      <w:r w:rsidR="00202886" w:rsidRPr="00202886">
        <w:rPr>
          <w:rFonts w:asciiTheme="minorHAnsi" w:hAnsiTheme="minorHAnsi" w:cstheme="minorHAnsi"/>
          <w:color w:val="auto"/>
          <w:shd w:val="clear" w:color="auto" w:fill="FFFFFF"/>
        </w:rPr>
        <w:t>: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 Underlying data for</w:t>
      </w:r>
      <w:r w:rsidR="00202886" w:rsidRPr="00202886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10FC6">
        <w:rPr>
          <w:rFonts w:asciiTheme="minorHAnsi" w:hAnsiTheme="minorHAnsi" w:cstheme="minorHAnsi"/>
          <w:color w:val="auto"/>
          <w:shd w:val="clear" w:color="auto" w:fill="FFFFFF"/>
        </w:rPr>
        <w:t>‘</w:t>
      </w:r>
      <w:r>
        <w:t>A 2x2 randomised factorial SWAT of the use of a pen and small, financial incentive to improve recruitment rates in a randomised controlled trial of yoga for older adults with multimorbidity</w:t>
      </w:r>
      <w:r w:rsidR="00D10FC6">
        <w:t>’</w:t>
      </w:r>
      <w:r>
        <w:t>.</w:t>
      </w:r>
      <w:r w:rsidR="00B774AA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hyperlink r:id="rId31" w:history="1">
        <w:r w:rsidR="00342A8B" w:rsidRPr="005E51DB">
          <w:rPr>
            <w:rStyle w:val="Hyperlink"/>
            <w:shd w:val="clear" w:color="auto" w:fill="FFFFFF"/>
          </w:rPr>
          <w:t>https://osf.io/2cjzh</w:t>
        </w:r>
      </w:hyperlink>
      <w:r w:rsidR="00202886" w:rsidRPr="00202886">
        <w:rPr>
          <w:rFonts w:asciiTheme="minorHAnsi" w:hAnsiTheme="minorHAnsi" w:cstheme="minorHAnsi"/>
          <w:color w:val="auto"/>
          <w:shd w:val="clear" w:color="auto" w:fill="FFFFFF"/>
        </w:rPr>
        <w:t>.</w:t>
      </w:r>
      <w:r w:rsidR="00342A8B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1E441C" w:rsidRPr="001E441C">
        <w:rPr>
          <w:rFonts w:asciiTheme="minorHAnsi" w:hAnsiTheme="minorHAnsi" w:cstheme="minorHAnsi"/>
          <w:color w:val="auto"/>
          <w:shd w:val="clear" w:color="auto" w:fill="FFFFFF"/>
        </w:rPr>
        <w:t>https://doi.org/10.17605/OSF.IO/2CJZH</w:t>
      </w:r>
      <w:hyperlink r:id="rId32" w:history="1"/>
      <w:r w:rsidR="00342A8B">
        <w:t>.</w:t>
      </w:r>
    </w:p>
    <w:p w14:paraId="0764F70A" w14:textId="77777777" w:rsidR="00202886" w:rsidRPr="00202886" w:rsidRDefault="00202886" w:rsidP="00202886">
      <w:pPr>
        <w:spacing w:after="0"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14:paraId="4765FDFE" w14:textId="77777777" w:rsidR="00202886" w:rsidRPr="00202886" w:rsidRDefault="00202886" w:rsidP="00202886">
      <w:pPr>
        <w:spacing w:after="0"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202886">
        <w:rPr>
          <w:rFonts w:asciiTheme="minorHAnsi" w:hAnsiTheme="minorHAnsi" w:cstheme="minorHAnsi"/>
          <w:color w:val="auto"/>
          <w:shd w:val="clear" w:color="auto" w:fill="FFFFFF"/>
        </w:rPr>
        <w:t>This project contains the following underlying data:</w:t>
      </w:r>
    </w:p>
    <w:p w14:paraId="2C44EA34" w14:textId="40113375" w:rsidR="00B774AA" w:rsidRDefault="00202886" w:rsidP="00202886">
      <w:pPr>
        <w:spacing w:after="0"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202886">
        <w:rPr>
          <w:rFonts w:asciiTheme="minorHAnsi" w:hAnsiTheme="minorHAnsi" w:cstheme="minorHAnsi"/>
          <w:color w:val="auto"/>
          <w:shd w:val="clear" w:color="auto" w:fill="FFFFFF"/>
        </w:rPr>
        <w:t xml:space="preserve">Data file 1. </w:t>
      </w:r>
      <w:r w:rsidR="00B774AA" w:rsidRPr="00B774AA">
        <w:rPr>
          <w:rFonts w:asciiTheme="minorHAnsi" w:hAnsiTheme="minorHAnsi" w:cstheme="minorHAnsi"/>
          <w:color w:val="auto"/>
          <w:shd w:val="clear" w:color="auto" w:fill="FFFFFF"/>
        </w:rPr>
        <w:t>GYY recruitment SWAT csv data</w:t>
      </w:r>
      <w:r w:rsidR="00B774AA">
        <w:rPr>
          <w:rFonts w:asciiTheme="minorHAnsi" w:hAnsiTheme="minorHAnsi" w:cstheme="minorHAnsi"/>
          <w:color w:val="auto"/>
          <w:shd w:val="clear" w:color="auto" w:fill="FFFFFF"/>
        </w:rPr>
        <w:t>.csv</w:t>
      </w:r>
    </w:p>
    <w:p w14:paraId="2ADADDAE" w14:textId="15107E8C" w:rsidR="00202886" w:rsidRDefault="00B774AA" w:rsidP="00202886">
      <w:pPr>
        <w:spacing w:after="0"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>Data file 2. GYY recruitment SWAT Stata</w:t>
      </w:r>
      <w:r w:rsidRPr="00B774AA">
        <w:rPr>
          <w:rFonts w:asciiTheme="minorHAnsi" w:hAnsiTheme="minorHAnsi" w:cstheme="minorHAnsi"/>
          <w:color w:val="auto"/>
          <w:shd w:val="clear" w:color="auto" w:fill="FFFFFF"/>
        </w:rPr>
        <w:t xml:space="preserve"> data</w:t>
      </w:r>
      <w:r>
        <w:rPr>
          <w:rFonts w:asciiTheme="minorHAnsi" w:hAnsiTheme="minorHAnsi" w:cstheme="minorHAnsi"/>
          <w:color w:val="auto"/>
          <w:shd w:val="clear" w:color="auto" w:fill="FFFFFF"/>
        </w:rPr>
        <w:t>.dta</w:t>
      </w:r>
    </w:p>
    <w:p w14:paraId="34D380B3" w14:textId="77777777" w:rsidR="00B774AA" w:rsidRPr="00202886" w:rsidRDefault="00B774AA" w:rsidP="00202886">
      <w:pPr>
        <w:spacing w:after="0"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14:paraId="33541FBF" w14:textId="36EEEBCE" w:rsidR="00155047" w:rsidRDefault="00202886" w:rsidP="00202886">
      <w:pPr>
        <w:spacing w:after="0"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202886">
        <w:rPr>
          <w:rFonts w:asciiTheme="minorHAnsi" w:hAnsiTheme="minorHAnsi" w:cstheme="minorHAnsi"/>
          <w:color w:val="auto"/>
          <w:shd w:val="clear" w:color="auto" w:fill="FFFFFF"/>
        </w:rPr>
        <w:t xml:space="preserve">Data are available under the terms of the Creative Commons Zero "No rights reserved" data waiver (CC0 1.0 </w:t>
      </w:r>
      <w:r w:rsidR="00B774AA">
        <w:rPr>
          <w:rFonts w:asciiTheme="minorHAnsi" w:hAnsiTheme="minorHAnsi" w:cstheme="minorHAnsi"/>
          <w:color w:val="auto"/>
          <w:shd w:val="clear" w:color="auto" w:fill="FFFFFF"/>
        </w:rPr>
        <w:t>Universal</w:t>
      </w:r>
      <w:r w:rsidRPr="00202886">
        <w:rPr>
          <w:rFonts w:asciiTheme="minorHAnsi" w:hAnsiTheme="minorHAnsi" w:cstheme="minorHAnsi"/>
          <w:color w:val="auto"/>
          <w:shd w:val="clear" w:color="auto" w:fill="FFFFFF"/>
        </w:rPr>
        <w:t>).</w:t>
      </w:r>
    </w:p>
    <w:p w14:paraId="21F4E8A9" w14:textId="52011881" w:rsidR="00202886" w:rsidRDefault="00202886" w:rsidP="00202886">
      <w:pPr>
        <w:spacing w:after="0"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14:paraId="0F1600A1" w14:textId="45ADBA88" w:rsidR="00202886" w:rsidRDefault="00D10FC6" w:rsidP="00202886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Reporting guidelines</w:t>
      </w:r>
    </w:p>
    <w:p w14:paraId="7A8014D4" w14:textId="2BA652B4" w:rsidR="00B774AA" w:rsidRPr="00EA2E78" w:rsidRDefault="00156B5D" w:rsidP="00A06D65">
      <w:pPr>
        <w:spacing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>OSF</w:t>
      </w:r>
      <w:r w:rsidRPr="00202886">
        <w:rPr>
          <w:rFonts w:asciiTheme="minorHAnsi" w:hAnsiTheme="minorHAnsi" w:cstheme="minorHAnsi"/>
          <w:color w:val="auto"/>
          <w:shd w:val="clear" w:color="auto" w:fill="FFFFFF"/>
        </w:rPr>
        <w:t>: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10FC6">
        <w:rPr>
          <w:rFonts w:asciiTheme="minorHAnsi" w:hAnsiTheme="minorHAnsi" w:cstheme="minorHAnsi"/>
          <w:color w:val="auto"/>
          <w:shd w:val="clear" w:color="auto" w:fill="FFFFFF"/>
        </w:rPr>
        <w:t>CONSORT checklist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 for</w:t>
      </w:r>
      <w:r w:rsidRPr="00202886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10FC6">
        <w:rPr>
          <w:rFonts w:asciiTheme="minorHAnsi" w:hAnsiTheme="minorHAnsi" w:cstheme="minorHAnsi"/>
          <w:color w:val="auto"/>
          <w:shd w:val="clear" w:color="auto" w:fill="FFFFFF"/>
        </w:rPr>
        <w:t>‘</w:t>
      </w:r>
      <w:r>
        <w:t>A 2x2 randomised factorial SWAT of the use of a pen and small, financial incentive to improve recruitment rates in a randomised controlled trial of yoga for older adults with multimorbidity</w:t>
      </w:r>
      <w:r w:rsidR="00D10FC6">
        <w:t>’</w:t>
      </w:r>
      <w:r>
        <w:t>.</w:t>
      </w:r>
      <w:r w:rsidR="00B774AA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hyperlink r:id="rId33" w:tgtFrame="_blank" w:history="1">
        <w:r w:rsidR="00B774AA" w:rsidRPr="00EA2E78">
          <w:rPr>
            <w:rStyle w:val="Hyperlink"/>
            <w:rFonts w:asciiTheme="minorHAnsi" w:hAnsiTheme="minorHAnsi" w:cstheme="minorHAnsi"/>
            <w:color w:val="1155CC"/>
            <w:shd w:val="clear" w:color="auto" w:fill="FFFFFF"/>
          </w:rPr>
          <w:t>https://osf.io/eu68f/</w:t>
        </w:r>
      </w:hyperlink>
      <w:r w:rsidR="00A34598">
        <w:rPr>
          <w:rFonts w:asciiTheme="minorHAnsi" w:hAnsiTheme="minorHAnsi" w:cstheme="minorHAnsi"/>
        </w:rPr>
        <w:t>.</w:t>
      </w:r>
      <w:r w:rsidR="001E441C">
        <w:rPr>
          <w:rFonts w:asciiTheme="minorHAnsi" w:hAnsiTheme="minorHAnsi" w:cstheme="minorHAnsi"/>
        </w:rPr>
        <w:t xml:space="preserve"> </w:t>
      </w:r>
      <w:r w:rsidR="001E441C" w:rsidRPr="001E441C">
        <w:rPr>
          <w:rFonts w:asciiTheme="minorHAnsi" w:hAnsiTheme="minorHAnsi" w:cstheme="minorHAnsi"/>
        </w:rPr>
        <w:t>https://doi.org/10.17605/OSF.IO/EU68F</w:t>
      </w:r>
      <w:r w:rsidR="00B774AA">
        <w:rPr>
          <w:rFonts w:asciiTheme="minorHAnsi" w:hAnsiTheme="minorHAnsi" w:cstheme="minorHAnsi"/>
        </w:rPr>
        <w:br/>
      </w:r>
    </w:p>
    <w:p w14:paraId="15F88545" w14:textId="4A12FACC" w:rsidR="00202886" w:rsidRDefault="00202886" w:rsidP="00A06D65">
      <w:pPr>
        <w:spacing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202886">
        <w:rPr>
          <w:rFonts w:asciiTheme="minorHAnsi" w:hAnsiTheme="minorHAnsi" w:cstheme="minorHAnsi"/>
          <w:color w:val="auto"/>
          <w:shd w:val="clear" w:color="auto" w:fill="FFFFFF"/>
        </w:rPr>
        <w:t xml:space="preserve">Data are available under the terms of the Creative Commons Zero "No rights reserved" data waiver (CC0 1.0 </w:t>
      </w:r>
      <w:r w:rsidR="00EA2E78">
        <w:rPr>
          <w:rFonts w:asciiTheme="minorHAnsi" w:hAnsiTheme="minorHAnsi" w:cstheme="minorHAnsi"/>
          <w:color w:val="auto"/>
          <w:shd w:val="clear" w:color="auto" w:fill="FFFFFF"/>
        </w:rPr>
        <w:t>Universal</w:t>
      </w:r>
      <w:r w:rsidRPr="00202886">
        <w:rPr>
          <w:rFonts w:asciiTheme="minorHAnsi" w:hAnsiTheme="minorHAnsi" w:cstheme="minorHAnsi"/>
          <w:color w:val="auto"/>
          <w:shd w:val="clear" w:color="auto" w:fill="FFFFFF"/>
        </w:rPr>
        <w:t>).</w:t>
      </w:r>
    </w:p>
    <w:p w14:paraId="552C3A33" w14:textId="77777777" w:rsidR="00A06D65" w:rsidRDefault="00A06D65" w:rsidP="00202886">
      <w:pPr>
        <w:spacing w:after="0"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14:paraId="58883B72" w14:textId="424566FD" w:rsidR="00C91511" w:rsidRDefault="00C91511" w:rsidP="00C9151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Competing </w:t>
      </w:r>
      <w:r w:rsidR="008B2CF4">
        <w:rPr>
          <w:shd w:val="clear" w:color="auto" w:fill="FFFFFF"/>
        </w:rPr>
        <w:t>interests</w:t>
      </w:r>
    </w:p>
    <w:p w14:paraId="60BCCE16" w14:textId="56909EA1" w:rsidR="00C91511" w:rsidRDefault="00C92C10" w:rsidP="005D2B09">
      <w:pPr>
        <w:spacing w:after="0"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>No competing interests were disclosed.</w:t>
      </w:r>
    </w:p>
    <w:p w14:paraId="0955E0FE" w14:textId="55489427" w:rsidR="003E22E9" w:rsidRDefault="003E22E9" w:rsidP="005D2B09">
      <w:pPr>
        <w:spacing w:after="0"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14:paraId="5C688B83" w14:textId="6E0E934E" w:rsidR="003E22E9" w:rsidRDefault="003E22E9" w:rsidP="003E22E9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Acknowledgements</w:t>
      </w:r>
    </w:p>
    <w:p w14:paraId="4703C7E9" w14:textId="177556B2" w:rsidR="003E22E9" w:rsidRDefault="003E22E9" w:rsidP="003300FF">
      <w:pPr>
        <w:spacing w:after="0" w:line="276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3E22E9">
        <w:rPr>
          <w:rFonts w:asciiTheme="minorHAnsi" w:hAnsiTheme="minorHAnsi" w:cstheme="minorHAnsi"/>
          <w:color w:val="auto"/>
          <w:shd w:val="clear" w:color="auto" w:fill="FFFFFF"/>
        </w:rPr>
        <w:t xml:space="preserve">We would like to acknowledge the contributions of </w:t>
      </w:r>
      <w:r w:rsidRPr="003E22E9">
        <w:rPr>
          <w:rFonts w:asciiTheme="minorHAnsi" w:eastAsiaTheme="minorHAnsi" w:hAnsiTheme="minorHAnsi" w:cstheme="minorHAnsi"/>
          <w:color w:val="auto"/>
          <w:lang w:eastAsia="en-US"/>
        </w:rPr>
        <w:t xml:space="preserve">Professor Tim Rapley </w:t>
      </w:r>
      <w:r w:rsidR="003300FF">
        <w:rPr>
          <w:rFonts w:asciiTheme="minorHAnsi" w:eastAsiaTheme="minorHAnsi" w:hAnsiTheme="minorHAnsi" w:cstheme="minorHAnsi"/>
          <w:color w:val="auto"/>
          <w:lang w:eastAsia="en-US"/>
        </w:rPr>
        <w:t>(</w:t>
      </w:r>
      <w:r w:rsidR="003300FF" w:rsidRPr="003300FF">
        <w:rPr>
          <w:rFonts w:asciiTheme="minorHAnsi" w:eastAsiaTheme="minorHAnsi" w:hAnsiTheme="minorHAnsi" w:cstheme="minorHAnsi"/>
          <w:color w:val="auto"/>
          <w:lang w:eastAsia="en-US"/>
        </w:rPr>
        <w:t>Professor of Applied Health Care Research</w:t>
      </w:r>
      <w:r w:rsidR="003300FF">
        <w:rPr>
          <w:rFonts w:asciiTheme="minorHAnsi" w:eastAsiaTheme="minorHAnsi" w:hAnsiTheme="minorHAnsi" w:cstheme="minorHAnsi"/>
          <w:color w:val="auto"/>
          <w:lang w:eastAsia="en-US"/>
        </w:rPr>
        <w:t xml:space="preserve">, </w:t>
      </w:r>
      <w:r w:rsidR="003300FF" w:rsidRPr="003300FF">
        <w:rPr>
          <w:rFonts w:asciiTheme="minorHAnsi" w:eastAsiaTheme="minorHAnsi" w:hAnsiTheme="minorHAnsi" w:cstheme="minorHAnsi"/>
          <w:color w:val="auto"/>
          <w:lang w:eastAsia="en-US"/>
        </w:rPr>
        <w:t>Department of Social Work, Education and Community Wellbein</w:t>
      </w:r>
      <w:r w:rsidR="003300FF">
        <w:rPr>
          <w:rFonts w:asciiTheme="minorHAnsi" w:eastAsiaTheme="minorHAnsi" w:hAnsiTheme="minorHAnsi" w:cstheme="minorHAnsi"/>
          <w:color w:val="auto"/>
          <w:lang w:eastAsia="en-US"/>
        </w:rPr>
        <w:t xml:space="preserve">g, Northumbria University) </w:t>
      </w:r>
      <w:r w:rsidRPr="003E22E9">
        <w:rPr>
          <w:rFonts w:asciiTheme="minorHAnsi" w:eastAsiaTheme="minorHAnsi" w:hAnsiTheme="minorHAnsi" w:cstheme="minorHAnsi"/>
          <w:color w:val="auto"/>
          <w:lang w:eastAsia="en-US"/>
        </w:rPr>
        <w:t>and Helen Tilbrook</w:t>
      </w:r>
      <w:r w:rsidR="003300FF">
        <w:rPr>
          <w:rFonts w:asciiTheme="minorHAnsi" w:eastAsiaTheme="minorHAnsi" w:hAnsiTheme="minorHAnsi" w:cstheme="minorHAnsi"/>
          <w:color w:val="auto"/>
          <w:lang w:eastAsia="en-US"/>
        </w:rPr>
        <w:t xml:space="preserve"> (York Trials Unit, University of York)</w:t>
      </w:r>
      <w:r w:rsidRPr="003E22E9">
        <w:rPr>
          <w:rFonts w:asciiTheme="minorHAnsi" w:eastAsiaTheme="minorHAnsi" w:hAnsiTheme="minorHAnsi" w:cstheme="minorHAnsi"/>
          <w:color w:val="auto"/>
          <w:lang w:eastAsia="en-US"/>
        </w:rPr>
        <w:t>, who were co-applicants on the initial G</w:t>
      </w:r>
      <w:r>
        <w:rPr>
          <w:rFonts w:asciiTheme="minorHAnsi" w:eastAsiaTheme="minorHAnsi" w:hAnsiTheme="minorHAnsi" w:cstheme="minorHAnsi"/>
          <w:color w:val="auto"/>
          <w:lang w:eastAsia="en-US"/>
        </w:rPr>
        <w:t>Y</w:t>
      </w:r>
      <w:r w:rsidRPr="003E22E9">
        <w:rPr>
          <w:rFonts w:asciiTheme="minorHAnsi" w:eastAsiaTheme="minorHAnsi" w:hAnsiTheme="minorHAnsi" w:cstheme="minorHAnsi"/>
          <w:color w:val="auto"/>
          <w:lang w:eastAsia="en-US"/>
        </w:rPr>
        <w:t>Y trial grant proposal.</w:t>
      </w:r>
    </w:p>
    <w:p w14:paraId="0B8BAE8D" w14:textId="77777777" w:rsidR="00C92C10" w:rsidRPr="003E22E9" w:rsidRDefault="00C92C10" w:rsidP="003300FF">
      <w:pPr>
        <w:spacing w:after="0"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14:paraId="2A53AB83" w14:textId="11F2AC81" w:rsidR="00155047" w:rsidRDefault="00155047" w:rsidP="00155047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References</w:t>
      </w:r>
    </w:p>
    <w:p w14:paraId="25D09CC4" w14:textId="4F1AE51E" w:rsidR="00155047" w:rsidRDefault="00155047" w:rsidP="005D2B09">
      <w:pPr>
        <w:spacing w:after="0"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14:paraId="55D4888A" w14:textId="379C90D7" w:rsidR="00155047" w:rsidRPr="00BA1E34" w:rsidRDefault="00155047" w:rsidP="00155047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BA1E34">
        <w:rPr>
          <w:rFonts w:asciiTheme="minorHAnsi" w:hAnsiTheme="minorHAnsi" w:cstheme="minorHAnsi"/>
          <w:shd w:val="clear" w:color="auto" w:fill="FFFFFF"/>
        </w:rPr>
        <w:t xml:space="preserve">Treweek S, Pitkethly M, Cook J, </w:t>
      </w:r>
      <w:proofErr w:type="gramStart"/>
      <w:r w:rsidRPr="00BA1E34">
        <w:rPr>
          <w:rFonts w:asciiTheme="minorHAnsi" w:hAnsiTheme="minorHAnsi" w:cstheme="minorHAnsi"/>
          <w:shd w:val="clear" w:color="auto" w:fill="FFFFFF"/>
        </w:rPr>
        <w:t>et al. :</w:t>
      </w:r>
      <w:proofErr w:type="gramEnd"/>
      <w:r w:rsidRPr="00BA1E34">
        <w:rPr>
          <w:rFonts w:asciiTheme="minorHAnsi" w:hAnsiTheme="minorHAnsi" w:cstheme="minorHAnsi"/>
          <w:shd w:val="clear" w:color="auto" w:fill="FFFFFF"/>
        </w:rPr>
        <w:t> </w:t>
      </w:r>
      <w:r w:rsidRPr="00BA1E34">
        <w:rPr>
          <w:rStyle w:val="ref-title"/>
          <w:rFonts w:asciiTheme="minorHAnsi" w:hAnsiTheme="minorHAnsi" w:cstheme="minorHAnsi"/>
          <w:shd w:val="clear" w:color="auto" w:fill="FFFFFF"/>
        </w:rPr>
        <w:t>Strategies to improve recruitment to randomised trials.</w:t>
      </w:r>
      <w:r w:rsidRPr="00BA1E34">
        <w:rPr>
          <w:rFonts w:asciiTheme="minorHAnsi" w:hAnsiTheme="minorHAnsi" w:cstheme="minorHAnsi"/>
          <w:shd w:val="clear" w:color="auto" w:fill="FFFFFF"/>
        </w:rPr>
        <w:t> </w:t>
      </w:r>
      <w:r w:rsidRPr="00BA1E34">
        <w:rPr>
          <w:rStyle w:val="Emphasis"/>
          <w:rFonts w:asciiTheme="minorHAnsi" w:hAnsiTheme="minorHAnsi" w:cstheme="minorHAnsi"/>
          <w:shd w:val="clear" w:color="auto" w:fill="FFFFFF"/>
        </w:rPr>
        <w:t>Cochrane Database Syst Rev.</w:t>
      </w:r>
      <w:r w:rsidRPr="00BA1E34">
        <w:rPr>
          <w:rFonts w:asciiTheme="minorHAnsi" w:hAnsiTheme="minorHAnsi" w:cstheme="minorHAnsi"/>
          <w:shd w:val="clear" w:color="auto" w:fill="FFFFFF"/>
        </w:rPr>
        <w:t> 2018;</w:t>
      </w:r>
      <w:r w:rsidRPr="00BA1E34">
        <w:rPr>
          <w:rStyle w:val="ref-vol"/>
          <w:rFonts w:asciiTheme="minorHAnsi" w:hAnsiTheme="minorHAnsi" w:cstheme="minorHAnsi"/>
          <w:shd w:val="clear" w:color="auto" w:fill="FFFFFF"/>
        </w:rPr>
        <w:t>2</w:t>
      </w:r>
      <w:r w:rsidRPr="00BA1E34">
        <w:rPr>
          <w:rFonts w:asciiTheme="minorHAnsi" w:hAnsiTheme="minorHAnsi" w:cstheme="minorHAnsi"/>
          <w:shd w:val="clear" w:color="auto" w:fill="FFFFFF"/>
        </w:rPr>
        <w:t>:MR000013. 10.1002/14651858.MR000013.pub6</w:t>
      </w:r>
    </w:p>
    <w:p w14:paraId="0C6D664B" w14:textId="6A25C285" w:rsidR="00155047" w:rsidRPr="00BA1E34" w:rsidRDefault="00BA1E34" w:rsidP="00155047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BA1E34">
        <w:rPr>
          <w:rFonts w:asciiTheme="minorHAnsi" w:hAnsiTheme="minorHAnsi" w:cstheme="minorHAnsi"/>
          <w:color w:val="303030"/>
          <w:shd w:val="clear" w:color="auto" w:fill="FFFFFF"/>
        </w:rPr>
        <w:t>Whiteside K, Flett L, Mitchell A, et al. Using pens as an incentive for trial recruitment of older adults: An embedded randomised controlled trial. </w:t>
      </w:r>
      <w:r w:rsidRPr="00BA1E34">
        <w:rPr>
          <w:rFonts w:asciiTheme="minorHAnsi" w:hAnsiTheme="minorHAnsi" w:cstheme="minorHAnsi"/>
          <w:i/>
          <w:iCs/>
          <w:color w:val="303030"/>
          <w:shd w:val="clear" w:color="auto" w:fill="FFFFFF"/>
        </w:rPr>
        <w:t>F1000Res</w:t>
      </w:r>
      <w:r w:rsidRPr="00BA1E34">
        <w:rPr>
          <w:rFonts w:asciiTheme="minorHAnsi" w:hAnsiTheme="minorHAnsi" w:cstheme="minorHAnsi"/>
          <w:color w:val="303030"/>
          <w:shd w:val="clear" w:color="auto" w:fill="FFFFFF"/>
        </w:rPr>
        <w:t xml:space="preserve">. </w:t>
      </w:r>
      <w:proofErr w:type="gramStart"/>
      <w:r w:rsidRPr="00BA1E34">
        <w:rPr>
          <w:rFonts w:asciiTheme="minorHAnsi" w:hAnsiTheme="minorHAnsi" w:cstheme="minorHAnsi"/>
          <w:color w:val="303030"/>
          <w:shd w:val="clear" w:color="auto" w:fill="FFFFFF"/>
        </w:rPr>
        <w:t>2019;8:315</w:t>
      </w:r>
      <w:proofErr w:type="gramEnd"/>
      <w:r w:rsidRPr="00BA1E34">
        <w:rPr>
          <w:rFonts w:asciiTheme="minorHAnsi" w:hAnsiTheme="minorHAnsi" w:cstheme="minorHAnsi"/>
          <w:color w:val="303030"/>
          <w:shd w:val="clear" w:color="auto" w:fill="FFFFFF"/>
        </w:rPr>
        <w:t>. Published 2019 Mar 21. doi:10.12688/f1000research.18300.1</w:t>
      </w:r>
    </w:p>
    <w:p w14:paraId="45A45590" w14:textId="30FC35FA" w:rsidR="00BA1E34" w:rsidRPr="00BA1E34" w:rsidRDefault="00BA1E34" w:rsidP="00155047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BA1E34">
        <w:rPr>
          <w:rFonts w:asciiTheme="minorHAnsi" w:hAnsiTheme="minorHAnsi" w:cstheme="minorHAnsi"/>
        </w:rPr>
        <w:t>Grambsch, P. M., and T. M. Therneau. 1994. Proportional hazards tests and diagnostics based on weighted residuals. Biometrika 81: 515–526.</w:t>
      </w:r>
    </w:p>
    <w:sectPr w:rsidR="00BA1E34" w:rsidRPr="00BA1E34">
      <w:foot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EA31" w14:textId="77777777" w:rsidR="00885CD9" w:rsidRDefault="00885CD9" w:rsidP="00641580">
      <w:pPr>
        <w:spacing w:after="0" w:line="240" w:lineRule="auto"/>
      </w:pPr>
      <w:r>
        <w:separator/>
      </w:r>
    </w:p>
  </w:endnote>
  <w:endnote w:type="continuationSeparator" w:id="0">
    <w:p w14:paraId="4D78FBB6" w14:textId="77777777" w:rsidR="00885CD9" w:rsidRDefault="00885CD9" w:rsidP="0064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34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42B05" w14:textId="74A79D7E" w:rsidR="00641580" w:rsidRDefault="006415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D1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07E6F31" w14:textId="77777777" w:rsidR="00641580" w:rsidRDefault="00641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7342" w14:textId="77777777" w:rsidR="00885CD9" w:rsidRDefault="00885CD9" w:rsidP="00641580">
      <w:pPr>
        <w:spacing w:after="0" w:line="240" w:lineRule="auto"/>
      </w:pPr>
      <w:r>
        <w:separator/>
      </w:r>
    </w:p>
  </w:footnote>
  <w:footnote w:type="continuationSeparator" w:id="0">
    <w:p w14:paraId="1F94A15F" w14:textId="77777777" w:rsidR="00885CD9" w:rsidRDefault="00885CD9" w:rsidP="0064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8C0"/>
    <w:multiLevelType w:val="hybridMultilevel"/>
    <w:tmpl w:val="E8EE7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26D65"/>
    <w:multiLevelType w:val="hybridMultilevel"/>
    <w:tmpl w:val="2F9CCE44"/>
    <w:lvl w:ilvl="0" w:tplc="85B862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A6397"/>
    <w:multiLevelType w:val="hybridMultilevel"/>
    <w:tmpl w:val="C48CA2BA"/>
    <w:lvl w:ilvl="0" w:tplc="53B82AE2">
      <w:start w:val="1"/>
      <w:numFmt w:val="lowerLetter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83F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361D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C66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1414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76CF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88F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DCB0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4E0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711731"/>
    <w:multiLevelType w:val="multilevel"/>
    <w:tmpl w:val="C316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BE"/>
    <w:rsid w:val="000146BE"/>
    <w:rsid w:val="00021883"/>
    <w:rsid w:val="00024FA0"/>
    <w:rsid w:val="00027585"/>
    <w:rsid w:val="00027B37"/>
    <w:rsid w:val="000302AB"/>
    <w:rsid w:val="00030885"/>
    <w:rsid w:val="00041D80"/>
    <w:rsid w:val="00047F57"/>
    <w:rsid w:val="0005480C"/>
    <w:rsid w:val="00062D1D"/>
    <w:rsid w:val="00063428"/>
    <w:rsid w:val="000741FF"/>
    <w:rsid w:val="00084D18"/>
    <w:rsid w:val="000A2525"/>
    <w:rsid w:val="000B610C"/>
    <w:rsid w:val="000C1C44"/>
    <w:rsid w:val="000C3337"/>
    <w:rsid w:val="000D3E5C"/>
    <w:rsid w:val="000E5EDE"/>
    <w:rsid w:val="000F41B7"/>
    <w:rsid w:val="0010140F"/>
    <w:rsid w:val="00107798"/>
    <w:rsid w:val="001078D7"/>
    <w:rsid w:val="001107EF"/>
    <w:rsid w:val="00111602"/>
    <w:rsid w:val="001130C1"/>
    <w:rsid w:val="0011714E"/>
    <w:rsid w:val="00117D94"/>
    <w:rsid w:val="00120F15"/>
    <w:rsid w:val="00125CD9"/>
    <w:rsid w:val="00134A36"/>
    <w:rsid w:val="00141DAA"/>
    <w:rsid w:val="00151629"/>
    <w:rsid w:val="00155047"/>
    <w:rsid w:val="00156B5D"/>
    <w:rsid w:val="0015770C"/>
    <w:rsid w:val="00162495"/>
    <w:rsid w:val="00167F84"/>
    <w:rsid w:val="00170AC3"/>
    <w:rsid w:val="00172A6F"/>
    <w:rsid w:val="00173D29"/>
    <w:rsid w:val="00174255"/>
    <w:rsid w:val="00174A28"/>
    <w:rsid w:val="001829A6"/>
    <w:rsid w:val="00185522"/>
    <w:rsid w:val="00191EBF"/>
    <w:rsid w:val="001923A6"/>
    <w:rsid w:val="001936FF"/>
    <w:rsid w:val="001B57AF"/>
    <w:rsid w:val="001C0053"/>
    <w:rsid w:val="001C0B5E"/>
    <w:rsid w:val="001C2647"/>
    <w:rsid w:val="001C4FE7"/>
    <w:rsid w:val="001C7AF6"/>
    <w:rsid w:val="001D3C89"/>
    <w:rsid w:val="001D7289"/>
    <w:rsid w:val="001E441C"/>
    <w:rsid w:val="001F50F1"/>
    <w:rsid w:val="002010B2"/>
    <w:rsid w:val="002011CD"/>
    <w:rsid w:val="00202886"/>
    <w:rsid w:val="00212AB1"/>
    <w:rsid w:val="0021770F"/>
    <w:rsid w:val="00221425"/>
    <w:rsid w:val="002222D8"/>
    <w:rsid w:val="002306E6"/>
    <w:rsid w:val="0023650B"/>
    <w:rsid w:val="0024168B"/>
    <w:rsid w:val="002441DF"/>
    <w:rsid w:val="00252C16"/>
    <w:rsid w:val="002547C2"/>
    <w:rsid w:val="0026514C"/>
    <w:rsid w:val="0027577A"/>
    <w:rsid w:val="00277AA6"/>
    <w:rsid w:val="00290EC7"/>
    <w:rsid w:val="00291657"/>
    <w:rsid w:val="002919C1"/>
    <w:rsid w:val="002960EC"/>
    <w:rsid w:val="002A0177"/>
    <w:rsid w:val="002A6635"/>
    <w:rsid w:val="002B234A"/>
    <w:rsid w:val="002B4DD1"/>
    <w:rsid w:val="002B6FB0"/>
    <w:rsid w:val="002C13FE"/>
    <w:rsid w:val="002C6C0D"/>
    <w:rsid w:val="002D6E85"/>
    <w:rsid w:val="002E358B"/>
    <w:rsid w:val="002E6639"/>
    <w:rsid w:val="0030060F"/>
    <w:rsid w:val="00312255"/>
    <w:rsid w:val="003158DE"/>
    <w:rsid w:val="00327B1F"/>
    <w:rsid w:val="003300FF"/>
    <w:rsid w:val="003418DF"/>
    <w:rsid w:val="00342A8B"/>
    <w:rsid w:val="003509D3"/>
    <w:rsid w:val="00352EAC"/>
    <w:rsid w:val="00353512"/>
    <w:rsid w:val="00354AC5"/>
    <w:rsid w:val="003641B3"/>
    <w:rsid w:val="00373CAC"/>
    <w:rsid w:val="00381101"/>
    <w:rsid w:val="003818BC"/>
    <w:rsid w:val="00390E38"/>
    <w:rsid w:val="003A3A66"/>
    <w:rsid w:val="003B4790"/>
    <w:rsid w:val="003D5DB4"/>
    <w:rsid w:val="003D60B1"/>
    <w:rsid w:val="003E22E9"/>
    <w:rsid w:val="003E5ADD"/>
    <w:rsid w:val="003E5DF9"/>
    <w:rsid w:val="003E6C1F"/>
    <w:rsid w:val="003F5F0A"/>
    <w:rsid w:val="00410A2A"/>
    <w:rsid w:val="004329B6"/>
    <w:rsid w:val="00436071"/>
    <w:rsid w:val="00444AA2"/>
    <w:rsid w:val="004507EB"/>
    <w:rsid w:val="0045490F"/>
    <w:rsid w:val="00465A19"/>
    <w:rsid w:val="0047533C"/>
    <w:rsid w:val="00493877"/>
    <w:rsid w:val="004A2232"/>
    <w:rsid w:val="004A27B6"/>
    <w:rsid w:val="004B0CFC"/>
    <w:rsid w:val="004B189D"/>
    <w:rsid w:val="004B6631"/>
    <w:rsid w:val="004B67D5"/>
    <w:rsid w:val="004C0757"/>
    <w:rsid w:val="004E01EC"/>
    <w:rsid w:val="004F01C6"/>
    <w:rsid w:val="004F0A74"/>
    <w:rsid w:val="004F0C80"/>
    <w:rsid w:val="004F1D37"/>
    <w:rsid w:val="004F397A"/>
    <w:rsid w:val="004F7325"/>
    <w:rsid w:val="004F7E0B"/>
    <w:rsid w:val="0050282C"/>
    <w:rsid w:val="00503EB1"/>
    <w:rsid w:val="0050712D"/>
    <w:rsid w:val="00511AF6"/>
    <w:rsid w:val="00511B36"/>
    <w:rsid w:val="00511C2F"/>
    <w:rsid w:val="005147EC"/>
    <w:rsid w:val="0052123D"/>
    <w:rsid w:val="0053128F"/>
    <w:rsid w:val="00535D7A"/>
    <w:rsid w:val="005367FE"/>
    <w:rsid w:val="00545FF5"/>
    <w:rsid w:val="005720FF"/>
    <w:rsid w:val="005776BE"/>
    <w:rsid w:val="00592D7D"/>
    <w:rsid w:val="005A402D"/>
    <w:rsid w:val="005C0D45"/>
    <w:rsid w:val="005C2C62"/>
    <w:rsid w:val="005C7D4D"/>
    <w:rsid w:val="005D2B09"/>
    <w:rsid w:val="005E02D0"/>
    <w:rsid w:val="005E521C"/>
    <w:rsid w:val="005E5409"/>
    <w:rsid w:val="00605AD1"/>
    <w:rsid w:val="0061283F"/>
    <w:rsid w:val="00617ADC"/>
    <w:rsid w:val="00624DF5"/>
    <w:rsid w:val="0062690F"/>
    <w:rsid w:val="00633476"/>
    <w:rsid w:val="006337DE"/>
    <w:rsid w:val="00641580"/>
    <w:rsid w:val="00661F85"/>
    <w:rsid w:val="00676157"/>
    <w:rsid w:val="006920F1"/>
    <w:rsid w:val="006A132C"/>
    <w:rsid w:val="006A60F1"/>
    <w:rsid w:val="006B3C16"/>
    <w:rsid w:val="006C2B13"/>
    <w:rsid w:val="006C546E"/>
    <w:rsid w:val="006E77B5"/>
    <w:rsid w:val="006F19AB"/>
    <w:rsid w:val="007028D2"/>
    <w:rsid w:val="007072F7"/>
    <w:rsid w:val="0070739D"/>
    <w:rsid w:val="00707C37"/>
    <w:rsid w:val="00722371"/>
    <w:rsid w:val="00725320"/>
    <w:rsid w:val="0072641C"/>
    <w:rsid w:val="007329AB"/>
    <w:rsid w:val="00744821"/>
    <w:rsid w:val="00745061"/>
    <w:rsid w:val="007457A0"/>
    <w:rsid w:val="007518B5"/>
    <w:rsid w:val="00751D43"/>
    <w:rsid w:val="007535AB"/>
    <w:rsid w:val="00754938"/>
    <w:rsid w:val="007555BB"/>
    <w:rsid w:val="00763DE1"/>
    <w:rsid w:val="00764CD7"/>
    <w:rsid w:val="00766294"/>
    <w:rsid w:val="00767E95"/>
    <w:rsid w:val="00771F7A"/>
    <w:rsid w:val="0078597C"/>
    <w:rsid w:val="00791504"/>
    <w:rsid w:val="007930F2"/>
    <w:rsid w:val="00793FEF"/>
    <w:rsid w:val="00794C46"/>
    <w:rsid w:val="007A30A9"/>
    <w:rsid w:val="007B12D1"/>
    <w:rsid w:val="007B2399"/>
    <w:rsid w:val="007B30B1"/>
    <w:rsid w:val="007C0D42"/>
    <w:rsid w:val="007D0BF8"/>
    <w:rsid w:val="007E6688"/>
    <w:rsid w:val="007E7B01"/>
    <w:rsid w:val="007F16C3"/>
    <w:rsid w:val="007F1AF0"/>
    <w:rsid w:val="00804E10"/>
    <w:rsid w:val="0080514F"/>
    <w:rsid w:val="00820A8A"/>
    <w:rsid w:val="008231D0"/>
    <w:rsid w:val="00824191"/>
    <w:rsid w:val="00824703"/>
    <w:rsid w:val="00826CEA"/>
    <w:rsid w:val="00830E5B"/>
    <w:rsid w:val="008374CA"/>
    <w:rsid w:val="00844B42"/>
    <w:rsid w:val="008469AC"/>
    <w:rsid w:val="008533EB"/>
    <w:rsid w:val="00875394"/>
    <w:rsid w:val="008813EA"/>
    <w:rsid w:val="00885CD9"/>
    <w:rsid w:val="008860D8"/>
    <w:rsid w:val="00893E18"/>
    <w:rsid w:val="00895CD5"/>
    <w:rsid w:val="008A2697"/>
    <w:rsid w:val="008A519B"/>
    <w:rsid w:val="008A5AD9"/>
    <w:rsid w:val="008B16B9"/>
    <w:rsid w:val="008B2CF4"/>
    <w:rsid w:val="008B35BE"/>
    <w:rsid w:val="008B623A"/>
    <w:rsid w:val="008B7284"/>
    <w:rsid w:val="008C1A77"/>
    <w:rsid w:val="008C4169"/>
    <w:rsid w:val="008C5647"/>
    <w:rsid w:val="008D23E9"/>
    <w:rsid w:val="008D529F"/>
    <w:rsid w:val="008E332F"/>
    <w:rsid w:val="008E4E9C"/>
    <w:rsid w:val="008E5958"/>
    <w:rsid w:val="008F07F1"/>
    <w:rsid w:val="008F66C4"/>
    <w:rsid w:val="00912C0A"/>
    <w:rsid w:val="00914402"/>
    <w:rsid w:val="0091503F"/>
    <w:rsid w:val="009260AA"/>
    <w:rsid w:val="00927CB5"/>
    <w:rsid w:val="0093767C"/>
    <w:rsid w:val="00940A49"/>
    <w:rsid w:val="0094461B"/>
    <w:rsid w:val="00944902"/>
    <w:rsid w:val="00946920"/>
    <w:rsid w:val="00962FCE"/>
    <w:rsid w:val="009737B4"/>
    <w:rsid w:val="00976F88"/>
    <w:rsid w:val="009840BD"/>
    <w:rsid w:val="00987CA3"/>
    <w:rsid w:val="009955A1"/>
    <w:rsid w:val="00996313"/>
    <w:rsid w:val="009970E8"/>
    <w:rsid w:val="009A25D0"/>
    <w:rsid w:val="009A6A1C"/>
    <w:rsid w:val="009B3432"/>
    <w:rsid w:val="009C1399"/>
    <w:rsid w:val="009C17F8"/>
    <w:rsid w:val="009C301A"/>
    <w:rsid w:val="009D10FA"/>
    <w:rsid w:val="009D226D"/>
    <w:rsid w:val="009D5B32"/>
    <w:rsid w:val="009E278C"/>
    <w:rsid w:val="009F093E"/>
    <w:rsid w:val="009F18B3"/>
    <w:rsid w:val="009F46C3"/>
    <w:rsid w:val="00A038F6"/>
    <w:rsid w:val="00A06D65"/>
    <w:rsid w:val="00A07135"/>
    <w:rsid w:val="00A07EB9"/>
    <w:rsid w:val="00A118A3"/>
    <w:rsid w:val="00A12D44"/>
    <w:rsid w:val="00A14C76"/>
    <w:rsid w:val="00A155DB"/>
    <w:rsid w:val="00A21B55"/>
    <w:rsid w:val="00A22316"/>
    <w:rsid w:val="00A24747"/>
    <w:rsid w:val="00A30CE2"/>
    <w:rsid w:val="00A34598"/>
    <w:rsid w:val="00A34E34"/>
    <w:rsid w:val="00A36F67"/>
    <w:rsid w:val="00A44F1F"/>
    <w:rsid w:val="00A45193"/>
    <w:rsid w:val="00A4751F"/>
    <w:rsid w:val="00A47C7C"/>
    <w:rsid w:val="00A5137D"/>
    <w:rsid w:val="00A71319"/>
    <w:rsid w:val="00A75A9A"/>
    <w:rsid w:val="00A76504"/>
    <w:rsid w:val="00A87919"/>
    <w:rsid w:val="00A92A37"/>
    <w:rsid w:val="00AA358F"/>
    <w:rsid w:val="00AA3C1D"/>
    <w:rsid w:val="00AA4110"/>
    <w:rsid w:val="00AA5411"/>
    <w:rsid w:val="00AA67FA"/>
    <w:rsid w:val="00AA6BD2"/>
    <w:rsid w:val="00AA6E0F"/>
    <w:rsid w:val="00AB6FAA"/>
    <w:rsid w:val="00AB7ADB"/>
    <w:rsid w:val="00AC288D"/>
    <w:rsid w:val="00AC3FC5"/>
    <w:rsid w:val="00AD1A29"/>
    <w:rsid w:val="00AD452D"/>
    <w:rsid w:val="00AD4896"/>
    <w:rsid w:val="00AD4CEA"/>
    <w:rsid w:val="00AE4922"/>
    <w:rsid w:val="00AE6FEC"/>
    <w:rsid w:val="00AF4CF1"/>
    <w:rsid w:val="00B272AA"/>
    <w:rsid w:val="00B27652"/>
    <w:rsid w:val="00B35CFD"/>
    <w:rsid w:val="00B478BE"/>
    <w:rsid w:val="00B502F9"/>
    <w:rsid w:val="00B52943"/>
    <w:rsid w:val="00B551E0"/>
    <w:rsid w:val="00B56C18"/>
    <w:rsid w:val="00B674C7"/>
    <w:rsid w:val="00B761D1"/>
    <w:rsid w:val="00B774AA"/>
    <w:rsid w:val="00B77C05"/>
    <w:rsid w:val="00B937B3"/>
    <w:rsid w:val="00B96501"/>
    <w:rsid w:val="00BA0AA8"/>
    <w:rsid w:val="00BA1A36"/>
    <w:rsid w:val="00BA1E34"/>
    <w:rsid w:val="00BA3A11"/>
    <w:rsid w:val="00BA4F17"/>
    <w:rsid w:val="00BB76FF"/>
    <w:rsid w:val="00BC6B2B"/>
    <w:rsid w:val="00BD79DC"/>
    <w:rsid w:val="00BD7B24"/>
    <w:rsid w:val="00BF20AD"/>
    <w:rsid w:val="00BF25FC"/>
    <w:rsid w:val="00BF5332"/>
    <w:rsid w:val="00BF5630"/>
    <w:rsid w:val="00BF7812"/>
    <w:rsid w:val="00C0204A"/>
    <w:rsid w:val="00C04876"/>
    <w:rsid w:val="00C10F6F"/>
    <w:rsid w:val="00C22A69"/>
    <w:rsid w:val="00C22BE2"/>
    <w:rsid w:val="00C24317"/>
    <w:rsid w:val="00C370FE"/>
    <w:rsid w:val="00C44CBF"/>
    <w:rsid w:val="00C4598C"/>
    <w:rsid w:val="00C52AA7"/>
    <w:rsid w:val="00C646F2"/>
    <w:rsid w:val="00C6590C"/>
    <w:rsid w:val="00C7035C"/>
    <w:rsid w:val="00C81C48"/>
    <w:rsid w:val="00C836AB"/>
    <w:rsid w:val="00C91511"/>
    <w:rsid w:val="00C92970"/>
    <w:rsid w:val="00C92C10"/>
    <w:rsid w:val="00C94C0C"/>
    <w:rsid w:val="00C95207"/>
    <w:rsid w:val="00C95A1E"/>
    <w:rsid w:val="00CA01A2"/>
    <w:rsid w:val="00CA7602"/>
    <w:rsid w:val="00CA7DB4"/>
    <w:rsid w:val="00CC413D"/>
    <w:rsid w:val="00CC492A"/>
    <w:rsid w:val="00CC49C2"/>
    <w:rsid w:val="00CC4BAF"/>
    <w:rsid w:val="00CC5078"/>
    <w:rsid w:val="00CC72B0"/>
    <w:rsid w:val="00CD16DB"/>
    <w:rsid w:val="00CD6246"/>
    <w:rsid w:val="00CE1E20"/>
    <w:rsid w:val="00CE3094"/>
    <w:rsid w:val="00CE77CE"/>
    <w:rsid w:val="00CF5C94"/>
    <w:rsid w:val="00D00EB0"/>
    <w:rsid w:val="00D06022"/>
    <w:rsid w:val="00D10FC6"/>
    <w:rsid w:val="00D12FC3"/>
    <w:rsid w:val="00D2061E"/>
    <w:rsid w:val="00D22280"/>
    <w:rsid w:val="00D2615E"/>
    <w:rsid w:val="00D30C4E"/>
    <w:rsid w:val="00D31AA6"/>
    <w:rsid w:val="00D3501F"/>
    <w:rsid w:val="00D350E3"/>
    <w:rsid w:val="00D37CE3"/>
    <w:rsid w:val="00D50AB3"/>
    <w:rsid w:val="00D513E2"/>
    <w:rsid w:val="00D566A1"/>
    <w:rsid w:val="00D56FD8"/>
    <w:rsid w:val="00D62A5B"/>
    <w:rsid w:val="00D65089"/>
    <w:rsid w:val="00D65733"/>
    <w:rsid w:val="00D82D79"/>
    <w:rsid w:val="00D877AE"/>
    <w:rsid w:val="00DB104A"/>
    <w:rsid w:val="00DB27BC"/>
    <w:rsid w:val="00DD7639"/>
    <w:rsid w:val="00DE05E9"/>
    <w:rsid w:val="00DE078A"/>
    <w:rsid w:val="00DE3F00"/>
    <w:rsid w:val="00DE4D5A"/>
    <w:rsid w:val="00DF0802"/>
    <w:rsid w:val="00DF1839"/>
    <w:rsid w:val="00DF2414"/>
    <w:rsid w:val="00E02737"/>
    <w:rsid w:val="00E10DC9"/>
    <w:rsid w:val="00E12589"/>
    <w:rsid w:val="00E13C5B"/>
    <w:rsid w:val="00E172DA"/>
    <w:rsid w:val="00E30B01"/>
    <w:rsid w:val="00E348F4"/>
    <w:rsid w:val="00E361F7"/>
    <w:rsid w:val="00E43845"/>
    <w:rsid w:val="00E4478D"/>
    <w:rsid w:val="00E4541B"/>
    <w:rsid w:val="00E46469"/>
    <w:rsid w:val="00E46EBA"/>
    <w:rsid w:val="00E52B2E"/>
    <w:rsid w:val="00E559CF"/>
    <w:rsid w:val="00E56F78"/>
    <w:rsid w:val="00E61BE0"/>
    <w:rsid w:val="00E64411"/>
    <w:rsid w:val="00E675D8"/>
    <w:rsid w:val="00E71FDC"/>
    <w:rsid w:val="00E829FD"/>
    <w:rsid w:val="00E901A5"/>
    <w:rsid w:val="00EA2E78"/>
    <w:rsid w:val="00EA6E55"/>
    <w:rsid w:val="00EC49E7"/>
    <w:rsid w:val="00EE6526"/>
    <w:rsid w:val="00EF3B41"/>
    <w:rsid w:val="00EF7AEA"/>
    <w:rsid w:val="00F014F4"/>
    <w:rsid w:val="00F02387"/>
    <w:rsid w:val="00F17D46"/>
    <w:rsid w:val="00F22245"/>
    <w:rsid w:val="00F22834"/>
    <w:rsid w:val="00F251D1"/>
    <w:rsid w:val="00F30A0E"/>
    <w:rsid w:val="00F30F6D"/>
    <w:rsid w:val="00F340F4"/>
    <w:rsid w:val="00F34D81"/>
    <w:rsid w:val="00F44872"/>
    <w:rsid w:val="00F47600"/>
    <w:rsid w:val="00F51E53"/>
    <w:rsid w:val="00F62FE2"/>
    <w:rsid w:val="00F63D8E"/>
    <w:rsid w:val="00F655B6"/>
    <w:rsid w:val="00F7103A"/>
    <w:rsid w:val="00F76788"/>
    <w:rsid w:val="00F77827"/>
    <w:rsid w:val="00F861DB"/>
    <w:rsid w:val="00F86421"/>
    <w:rsid w:val="00F86686"/>
    <w:rsid w:val="00F90FD8"/>
    <w:rsid w:val="00F912DF"/>
    <w:rsid w:val="00F948E1"/>
    <w:rsid w:val="00FA530B"/>
    <w:rsid w:val="00FB5228"/>
    <w:rsid w:val="00FC4BB8"/>
    <w:rsid w:val="00FC63AC"/>
    <w:rsid w:val="00FC75AD"/>
    <w:rsid w:val="00FD0033"/>
    <w:rsid w:val="00FD02FB"/>
    <w:rsid w:val="00FD2F2F"/>
    <w:rsid w:val="00FD3E5C"/>
    <w:rsid w:val="00FE63E4"/>
    <w:rsid w:val="00FF589F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318A"/>
  <w15:chartTrackingRefBased/>
  <w15:docId w15:val="{33433AA8-7DCA-4F0B-B4E6-1DD3AEC9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6BE"/>
    <w:pPr>
      <w:spacing w:after="5" w:line="366" w:lineRule="auto"/>
      <w:ind w:left="10" w:hanging="10"/>
    </w:pPr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5776BE"/>
    <w:pPr>
      <w:keepNext/>
      <w:keepLines/>
      <w:spacing w:after="33"/>
      <w:ind w:left="10" w:hanging="10"/>
      <w:outlineLvl w:val="2"/>
    </w:pPr>
    <w:rPr>
      <w:rFonts w:ascii="Cambria" w:eastAsia="Cambria" w:hAnsi="Cambria" w:cs="Cambria"/>
      <w:b/>
      <w:color w:val="4F81BD"/>
      <w:sz w:val="2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5776BE"/>
    <w:pPr>
      <w:keepNext/>
      <w:keepLines/>
      <w:spacing w:after="33"/>
      <w:ind w:left="10" w:hanging="10"/>
      <w:outlineLvl w:val="3"/>
    </w:pPr>
    <w:rPr>
      <w:rFonts w:ascii="Cambria" w:eastAsia="Cambria" w:hAnsi="Cambria" w:cs="Cambria"/>
      <w:b/>
      <w:color w:val="4F81BD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76BE"/>
    <w:rPr>
      <w:rFonts w:ascii="Cambria" w:eastAsia="Cambria" w:hAnsi="Cambria" w:cs="Cambria"/>
      <w:b/>
      <w:color w:val="4F81BD"/>
      <w:sz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776BE"/>
    <w:rPr>
      <w:rFonts w:ascii="Cambria" w:eastAsia="Cambria" w:hAnsi="Cambria" w:cs="Cambria"/>
      <w:b/>
      <w:color w:val="4F81BD"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776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AC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C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1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883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883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883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3D60B1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03088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30885"/>
    <w:pPr>
      <w:spacing w:after="200" w:line="276" w:lineRule="auto"/>
      <w:ind w:left="720" w:firstLine="0"/>
      <w:contextualSpacing/>
    </w:pPr>
    <w:rPr>
      <w:rFonts w:cs="Times New Roman"/>
      <w:color w:val="auto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088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D2B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ref-title">
    <w:name w:val="ref-title"/>
    <w:basedOn w:val="DefaultParagraphFont"/>
    <w:rsid w:val="00707C37"/>
  </w:style>
  <w:style w:type="character" w:styleId="Emphasis">
    <w:name w:val="Emphasis"/>
    <w:basedOn w:val="DefaultParagraphFont"/>
    <w:uiPriority w:val="20"/>
    <w:qFormat/>
    <w:rsid w:val="00707C37"/>
    <w:rPr>
      <w:i/>
      <w:iCs/>
    </w:rPr>
  </w:style>
  <w:style w:type="character" w:customStyle="1" w:styleId="ref-vol">
    <w:name w:val="ref-vol"/>
    <w:basedOn w:val="DefaultParagraphFont"/>
    <w:rsid w:val="00707C37"/>
  </w:style>
  <w:style w:type="paragraph" w:styleId="Quote">
    <w:name w:val="Quote"/>
    <w:basedOn w:val="Normal"/>
    <w:next w:val="Normal"/>
    <w:link w:val="QuoteChar"/>
    <w:uiPriority w:val="29"/>
    <w:qFormat/>
    <w:rsid w:val="00830E5B"/>
    <w:pPr>
      <w:spacing w:before="200" w:after="1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30E5B"/>
    <w:rPr>
      <w:i/>
      <w:iCs/>
      <w:color w:val="404040" w:themeColor="text1" w:themeTint="BF"/>
    </w:rPr>
  </w:style>
  <w:style w:type="character" w:customStyle="1" w:styleId="BodyChar">
    <w:name w:val="Body Char"/>
    <w:basedOn w:val="DefaultParagraphFont"/>
    <w:link w:val="Body"/>
    <w:locked/>
    <w:rsid w:val="00BA3A11"/>
    <w:rPr>
      <w:rFonts w:ascii="Arial" w:hAnsi="Arial" w:cs="Arial Unicode MS"/>
      <w:color w:val="000000"/>
      <w:u w:color="000000"/>
    </w:rPr>
  </w:style>
  <w:style w:type="paragraph" w:customStyle="1" w:styleId="Body">
    <w:name w:val="Body"/>
    <w:link w:val="BodyChar"/>
    <w:rsid w:val="00BA3A11"/>
    <w:pPr>
      <w:spacing w:after="0" w:line="240" w:lineRule="auto"/>
    </w:pPr>
    <w:rPr>
      <w:rFonts w:ascii="Arial" w:hAnsi="Arial" w:cs="Arial Unicode MS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641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580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41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580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nhowsam@hotmail.co.uk" TargetMode="External"/><Relationship Id="rId18" Type="http://schemas.openxmlformats.org/officeDocument/2006/relationships/hyperlink" Target="mailto:david.torgerson@york.ac.uk" TargetMode="External"/><Relationship Id="rId26" Type="http://schemas.openxmlformats.org/officeDocument/2006/relationships/hyperlink" Target="https://www.qub.ac.uk/sites/TheNorthernIrelandNetworkforTrialsMethodologyResearch/FileStore/Filetoupload,903297,en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garry.tew@northumbria.ac.uk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jess.hugill-jones@york.ac.uk" TargetMode="External"/><Relationship Id="rId17" Type="http://schemas.openxmlformats.org/officeDocument/2006/relationships/hyperlink" Target="mailto:fi.rose@york.ac.uk" TargetMode="External"/><Relationship Id="rId25" Type="http://schemas.openxmlformats.org/officeDocument/2006/relationships/hyperlink" Target="https://www.isrctn.com/ISRCTN13567538" TargetMode="External"/><Relationship Id="rId33" Type="http://schemas.openxmlformats.org/officeDocument/2006/relationships/hyperlink" Target="https://osf.io/eu68f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irleyannepaul@hotmail.com" TargetMode="External"/><Relationship Id="rId20" Type="http://schemas.openxmlformats.org/officeDocument/2006/relationships/hyperlink" Target="mailto:laura.wiley@york.ac.uk" TargetMode="External"/><Relationship Id="rId29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therine.hewitt@york.ac.uk" TargetMode="External"/><Relationship Id="rId24" Type="http://schemas.openxmlformats.org/officeDocument/2006/relationships/hyperlink" Target="https://doi.org/10.1186/ISRCTN87127065" TargetMode="External"/><Relationship Id="rId32" Type="http://schemas.openxmlformats.org/officeDocument/2006/relationships/hyperlink" Target="https://doi.org/10.17605/OSF.IO/2CJZ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len.corbacho@york.ac.uk" TargetMode="External"/><Relationship Id="rId23" Type="http://schemas.openxmlformats.org/officeDocument/2006/relationships/hyperlink" Target="https://www.qub.ac.uk/sites/TheNorthernIrelandNetworkforTrialsMethodologyResearch/FileStore/Filetoupload,903297,en.pdf" TargetMode="External"/><Relationship Id="rId28" Type="http://schemas.openxmlformats.org/officeDocument/2006/relationships/image" Target="media/image1.jpg"/><Relationship Id="rId36" Type="http://schemas.openxmlformats.org/officeDocument/2006/relationships/theme" Target="theme/theme1.xml"/><Relationship Id="rId10" Type="http://schemas.openxmlformats.org/officeDocument/2006/relationships/hyperlink" Target="mailto:laurabissell16@hotmail.com" TargetMode="External"/><Relationship Id="rId19" Type="http://schemas.openxmlformats.org/officeDocument/2006/relationships/hyperlink" Target="mailto:lesley.ward@northumbria.co.uk" TargetMode="External"/><Relationship Id="rId31" Type="http://schemas.openxmlformats.org/officeDocument/2006/relationships/hyperlink" Target="https://osf.io/2cjz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nny.roche@york.ac.uk" TargetMode="External"/><Relationship Id="rId14" Type="http://schemas.openxmlformats.org/officeDocument/2006/relationships/hyperlink" Target="mailto:camila.maturana@york.ac.uk" TargetMode="External"/><Relationship Id="rId22" Type="http://schemas.openxmlformats.org/officeDocument/2006/relationships/hyperlink" Target="https://doi.org/10.1186/ISRCTN87127065" TargetMode="External"/><Relationship Id="rId27" Type="http://schemas.openxmlformats.org/officeDocument/2006/relationships/hyperlink" Target="https://www.qub.ac.uk/sites/TheNorthernIrelandNetworkforTrialsMethodologyResearch/SWATSWARInformation/Repositories/SWATStore/" TargetMode="External"/><Relationship Id="rId30" Type="http://schemas.openxmlformats.org/officeDocument/2006/relationships/image" Target="media/image3.emf"/><Relationship Id="rId35" Type="http://schemas.openxmlformats.org/officeDocument/2006/relationships/fontTable" Target="fontTable.xml"/><Relationship Id="rId8" Type="http://schemas.openxmlformats.org/officeDocument/2006/relationships/hyperlink" Target="mailto:caroline.fairhurst@york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FF018-D814-411E-98F9-F46F095D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20586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Roche, J.A.</dc:creator>
  <cp:keywords/>
  <dc:description/>
  <cp:lastModifiedBy>Sally Baker</cp:lastModifiedBy>
  <cp:revision>2</cp:revision>
  <dcterms:created xsi:type="dcterms:W3CDTF">2021-04-23T07:35:00Z</dcterms:created>
  <dcterms:modified xsi:type="dcterms:W3CDTF">2021-04-23T07:35:00Z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2021-04-09T14:45:47Z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6bdb4ce3-ddf2-4a1d-afaf-0eb5d094b20f</vt:lpwstr>
  </property>
  <property fmtid="{D5CDD505-2E9C-101B-9397-08002B2CF9AE}" pid="8" name="MSIP_Label_2bbab825-a111-45e4-86a1-18cee0005896_ContentBits">
    <vt:lpwstr>2</vt:lpwstr>
  </property>
</Properties>
</file>