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0516B" w14:textId="2194235F" w:rsidR="002E0B5D" w:rsidRPr="00126D01" w:rsidRDefault="002E0B5D" w:rsidP="00771B9F">
      <w:pPr>
        <w:spacing w:after="120" w:line="276" w:lineRule="auto"/>
        <w:rPr>
          <w:rFonts w:cstheme="minorHAnsi"/>
          <w:b/>
          <w:sz w:val="24"/>
          <w:szCs w:val="24"/>
        </w:rPr>
      </w:pPr>
      <w:r w:rsidRPr="00126D01">
        <w:rPr>
          <w:rFonts w:cstheme="minorHAnsi"/>
          <w:b/>
          <w:sz w:val="24"/>
          <w:szCs w:val="24"/>
        </w:rPr>
        <w:t>A scoping review of evidence on the use and effectiveness of decision aids in adult social care</w:t>
      </w:r>
    </w:p>
    <w:p w14:paraId="4B1DC628" w14:textId="77777777" w:rsidR="00126D01" w:rsidRPr="00126D01" w:rsidRDefault="00126D01" w:rsidP="00771B9F">
      <w:pPr>
        <w:spacing w:after="120" w:line="276" w:lineRule="auto"/>
        <w:rPr>
          <w:rFonts w:cstheme="minorHAnsi"/>
          <w:b/>
          <w:sz w:val="24"/>
          <w:szCs w:val="24"/>
        </w:rPr>
      </w:pPr>
    </w:p>
    <w:p w14:paraId="61B24124" w14:textId="5D56519C" w:rsidR="00D7778B" w:rsidRPr="00126D01" w:rsidRDefault="00126D01" w:rsidP="00771B9F">
      <w:pPr>
        <w:spacing w:after="120" w:line="276" w:lineRule="auto"/>
        <w:rPr>
          <w:rFonts w:cstheme="minorHAnsi"/>
          <w:sz w:val="24"/>
          <w:szCs w:val="24"/>
        </w:rPr>
      </w:pPr>
      <w:proofErr w:type="spellStart"/>
      <w:r w:rsidRPr="00126D01">
        <w:rPr>
          <w:rFonts w:cstheme="minorHAnsi"/>
          <w:sz w:val="24"/>
          <w:szCs w:val="24"/>
        </w:rPr>
        <w:t>Dr.</w:t>
      </w:r>
      <w:proofErr w:type="spellEnd"/>
      <w:r w:rsidRPr="00126D01">
        <w:rPr>
          <w:rFonts w:cstheme="minorHAnsi"/>
          <w:sz w:val="24"/>
          <w:szCs w:val="24"/>
        </w:rPr>
        <w:t xml:space="preserve"> </w:t>
      </w:r>
      <w:r w:rsidR="002E0B5D" w:rsidRPr="00126D01">
        <w:rPr>
          <w:rFonts w:cstheme="minorHAnsi"/>
          <w:sz w:val="24"/>
          <w:szCs w:val="24"/>
        </w:rPr>
        <w:t>Kate Baxter</w:t>
      </w:r>
      <w:r>
        <w:rPr>
          <w:rFonts w:cstheme="minorHAnsi"/>
          <w:sz w:val="24"/>
          <w:szCs w:val="24"/>
        </w:rPr>
        <w:t>*, Social Policy Research Unit, Department of Social Policy and Social Work, University of York</w:t>
      </w:r>
      <w:r w:rsidR="00D7778B" w:rsidRPr="00126D01">
        <w:rPr>
          <w:rFonts w:cstheme="minorHAnsi"/>
          <w:sz w:val="24"/>
          <w:szCs w:val="24"/>
        </w:rPr>
        <w:t xml:space="preserve">, </w:t>
      </w:r>
      <w:hyperlink r:id="rId7" w:history="1">
        <w:r w:rsidR="00D7778B" w:rsidRPr="00126D01">
          <w:rPr>
            <w:rStyle w:val="Hyperlink"/>
            <w:rFonts w:cstheme="minorHAnsi"/>
            <w:sz w:val="24"/>
            <w:szCs w:val="24"/>
            <w:shd w:val="clear" w:color="auto" w:fill="FFFFFF"/>
          </w:rPr>
          <w:t>https://orcid.org/0000-0002-3094-9546</w:t>
        </w:r>
      </w:hyperlink>
      <w:r w:rsidR="00D7778B" w:rsidRPr="00126D01">
        <w:rPr>
          <w:rStyle w:val="orcid-id-https"/>
          <w:rFonts w:cstheme="minorHAnsi"/>
          <w:sz w:val="24"/>
          <w:szCs w:val="24"/>
          <w:shd w:val="clear" w:color="auto" w:fill="FFFFFF"/>
        </w:rPr>
        <w:t xml:space="preserve"> </w:t>
      </w:r>
    </w:p>
    <w:p w14:paraId="76101FDB" w14:textId="492C9FBC" w:rsidR="00D7778B" w:rsidRPr="00126D01" w:rsidRDefault="00126D01" w:rsidP="00771B9F">
      <w:pPr>
        <w:spacing w:after="120" w:line="276" w:lineRule="auto"/>
        <w:rPr>
          <w:rFonts w:cstheme="minorHAnsi"/>
          <w:sz w:val="24"/>
          <w:szCs w:val="24"/>
        </w:rPr>
      </w:pPr>
      <w:proofErr w:type="spellStart"/>
      <w:r w:rsidRPr="00126D01">
        <w:rPr>
          <w:rFonts w:cstheme="minorHAnsi"/>
          <w:sz w:val="24"/>
          <w:szCs w:val="24"/>
        </w:rPr>
        <w:t>Dr.</w:t>
      </w:r>
      <w:proofErr w:type="spellEnd"/>
      <w:r w:rsidRPr="00126D01">
        <w:rPr>
          <w:rFonts w:cstheme="minorHAnsi"/>
          <w:sz w:val="24"/>
          <w:szCs w:val="24"/>
        </w:rPr>
        <w:t xml:space="preserve"> </w:t>
      </w:r>
      <w:r w:rsidR="002E0B5D" w:rsidRPr="00126D01">
        <w:rPr>
          <w:rFonts w:cstheme="minorHAnsi"/>
          <w:sz w:val="24"/>
          <w:szCs w:val="24"/>
        </w:rPr>
        <w:t>Rachel Mann</w:t>
      </w:r>
      <w:r>
        <w:rPr>
          <w:rFonts w:cstheme="minorHAnsi"/>
          <w:sz w:val="24"/>
          <w:szCs w:val="24"/>
        </w:rPr>
        <w:t>, formerly of Social Policy Research Unit, Department of Social Policy and Social Work, University of York</w:t>
      </w:r>
    </w:p>
    <w:p w14:paraId="01CDB51D" w14:textId="05780DB9" w:rsidR="00D7778B" w:rsidRPr="00126D01" w:rsidRDefault="00126D01" w:rsidP="00151C78">
      <w:pPr>
        <w:rPr>
          <w:rFonts w:eastAsia="Times New Roman" w:cstheme="minorHAnsi"/>
          <w:sz w:val="24"/>
          <w:szCs w:val="24"/>
          <w:lang w:eastAsia="en-GB"/>
        </w:rPr>
      </w:pPr>
      <w:r w:rsidRPr="00126D01">
        <w:rPr>
          <w:rFonts w:cstheme="minorHAnsi"/>
          <w:sz w:val="24"/>
          <w:szCs w:val="24"/>
        </w:rPr>
        <w:t xml:space="preserve">Professor </w:t>
      </w:r>
      <w:r w:rsidR="002E0B5D" w:rsidRPr="00126D01">
        <w:rPr>
          <w:rFonts w:cstheme="minorHAnsi"/>
          <w:sz w:val="24"/>
          <w:szCs w:val="24"/>
        </w:rPr>
        <w:t>Yvonne Birks</w:t>
      </w:r>
      <w:r w:rsidR="00151C78" w:rsidRPr="00126D01">
        <w:rPr>
          <w:rFonts w:cstheme="minorHAnsi"/>
          <w:sz w:val="24"/>
          <w:szCs w:val="24"/>
        </w:rPr>
        <w:t xml:space="preserve">, </w:t>
      </w:r>
      <w:r>
        <w:rPr>
          <w:rFonts w:cstheme="minorHAnsi"/>
          <w:sz w:val="24"/>
          <w:szCs w:val="24"/>
        </w:rPr>
        <w:t>Social Policy Research Unit, Department of Social Policy and Social Work, University of York</w:t>
      </w:r>
      <w:r w:rsidRPr="00126D01">
        <w:rPr>
          <w:rFonts w:cstheme="minorHAnsi"/>
          <w:sz w:val="24"/>
          <w:szCs w:val="24"/>
        </w:rPr>
        <w:t>,</w:t>
      </w:r>
      <w:r>
        <w:rPr>
          <w:rFonts w:cstheme="minorHAnsi"/>
          <w:sz w:val="24"/>
          <w:szCs w:val="24"/>
        </w:rPr>
        <w:t xml:space="preserve"> </w:t>
      </w:r>
      <w:hyperlink r:id="rId8" w:history="1">
        <w:r w:rsidRPr="00D646E0">
          <w:rPr>
            <w:rStyle w:val="Hyperlink"/>
            <w:rFonts w:eastAsia="Times New Roman" w:cstheme="minorHAnsi"/>
            <w:sz w:val="24"/>
            <w:szCs w:val="24"/>
            <w:lang w:eastAsia="en-GB"/>
          </w:rPr>
          <w:t>https://orcid.org/0000-0002-4235-5307</w:t>
        </w:r>
      </w:hyperlink>
      <w:r w:rsidR="00151C78" w:rsidRPr="00126D01">
        <w:rPr>
          <w:rFonts w:eastAsia="Times New Roman" w:cstheme="minorHAnsi"/>
          <w:sz w:val="24"/>
          <w:szCs w:val="24"/>
          <w:lang w:eastAsia="en-GB"/>
        </w:rPr>
        <w:t xml:space="preserve"> </w:t>
      </w:r>
    </w:p>
    <w:p w14:paraId="0AC0BFF2" w14:textId="77CF3A7C" w:rsidR="00FC0DBC" w:rsidRPr="00FC0DBC" w:rsidRDefault="00126D01" w:rsidP="00FC0DBC">
      <w:pPr>
        <w:spacing w:after="120" w:line="276" w:lineRule="auto"/>
        <w:rPr>
          <w:rFonts w:cstheme="minorHAnsi"/>
          <w:sz w:val="24"/>
          <w:szCs w:val="24"/>
          <w:shd w:val="clear" w:color="auto" w:fill="FFFFFF"/>
        </w:rPr>
      </w:pPr>
      <w:proofErr w:type="spellStart"/>
      <w:r w:rsidRPr="00126D01">
        <w:rPr>
          <w:rFonts w:cstheme="minorHAnsi"/>
          <w:sz w:val="24"/>
          <w:szCs w:val="24"/>
        </w:rPr>
        <w:t>Dr.</w:t>
      </w:r>
      <w:proofErr w:type="spellEnd"/>
      <w:r w:rsidRPr="00126D01">
        <w:rPr>
          <w:rFonts w:cstheme="minorHAnsi"/>
          <w:sz w:val="24"/>
          <w:szCs w:val="24"/>
        </w:rPr>
        <w:t xml:space="preserve"> </w:t>
      </w:r>
      <w:r w:rsidR="002E0B5D" w:rsidRPr="00126D01">
        <w:rPr>
          <w:rFonts w:cstheme="minorHAnsi"/>
          <w:sz w:val="24"/>
          <w:szCs w:val="24"/>
        </w:rPr>
        <w:t>Louise Overton</w:t>
      </w:r>
      <w:r w:rsidRPr="00126D01">
        <w:rPr>
          <w:rFonts w:cstheme="minorHAnsi"/>
          <w:sz w:val="24"/>
          <w:szCs w:val="24"/>
        </w:rPr>
        <w:t xml:space="preserve">, Department of Social Policy, Sociology and Criminology, </w:t>
      </w:r>
      <w:r w:rsidRPr="00126D01">
        <w:rPr>
          <w:rFonts w:cstheme="minorHAnsi"/>
          <w:sz w:val="24"/>
          <w:szCs w:val="24"/>
          <w:shd w:val="clear" w:color="auto" w:fill="FFFFFF"/>
        </w:rPr>
        <w:t>School of Social Policy, University of B</w:t>
      </w:r>
      <w:r>
        <w:rPr>
          <w:rFonts w:cstheme="minorHAnsi"/>
          <w:sz w:val="24"/>
          <w:szCs w:val="24"/>
          <w:shd w:val="clear" w:color="auto" w:fill="FFFFFF"/>
        </w:rPr>
        <w:t>irm</w:t>
      </w:r>
      <w:r w:rsidRPr="00126D01">
        <w:rPr>
          <w:rFonts w:cstheme="minorHAnsi"/>
          <w:sz w:val="24"/>
          <w:szCs w:val="24"/>
          <w:shd w:val="clear" w:color="auto" w:fill="FFFFFF"/>
        </w:rPr>
        <w:t>ingham</w:t>
      </w:r>
      <w:r w:rsidR="00FC0DBC">
        <w:rPr>
          <w:rFonts w:cstheme="minorHAnsi"/>
          <w:sz w:val="24"/>
          <w:szCs w:val="24"/>
          <w:shd w:val="clear" w:color="auto" w:fill="FFFFFF"/>
        </w:rPr>
        <w:t xml:space="preserve">, </w:t>
      </w:r>
      <w:hyperlink r:id="rId9" w:history="1">
        <w:r w:rsidR="00FC0DBC" w:rsidRPr="00E16D3E">
          <w:rPr>
            <w:rStyle w:val="Hyperlink"/>
            <w:rFonts w:cstheme="minorHAnsi"/>
            <w:sz w:val="24"/>
            <w:szCs w:val="24"/>
            <w:shd w:val="clear" w:color="auto" w:fill="FFFFFF"/>
          </w:rPr>
          <w:t>https://orcid.org/0000-0002-3757-4257</w:t>
        </w:r>
      </w:hyperlink>
      <w:r w:rsidR="00FC0DBC">
        <w:rPr>
          <w:rFonts w:cstheme="minorHAnsi"/>
          <w:sz w:val="24"/>
          <w:szCs w:val="24"/>
          <w:shd w:val="clear" w:color="auto" w:fill="FFFFFF"/>
        </w:rPr>
        <w:t xml:space="preserve"> </w:t>
      </w:r>
    </w:p>
    <w:p w14:paraId="435B106D" w14:textId="6C3EE1F4" w:rsidR="002E0B5D" w:rsidRPr="00126D01" w:rsidRDefault="002E0B5D" w:rsidP="00771B9F">
      <w:pPr>
        <w:spacing w:after="120" w:line="276" w:lineRule="auto"/>
        <w:rPr>
          <w:rFonts w:cstheme="minorHAnsi"/>
          <w:sz w:val="24"/>
          <w:szCs w:val="24"/>
        </w:rPr>
      </w:pPr>
      <w:bookmarkStart w:id="0" w:name="_GoBack"/>
      <w:bookmarkEnd w:id="0"/>
    </w:p>
    <w:p w14:paraId="1ED354DD" w14:textId="2C6B6C51" w:rsidR="00126D01" w:rsidRDefault="00126D01" w:rsidP="00771B9F">
      <w:pPr>
        <w:spacing w:after="120" w:line="276" w:lineRule="auto"/>
        <w:rPr>
          <w:rFonts w:cstheme="minorHAnsi"/>
          <w:sz w:val="24"/>
          <w:szCs w:val="24"/>
        </w:rPr>
      </w:pPr>
    </w:p>
    <w:p w14:paraId="30272496" w14:textId="3D303887" w:rsidR="00126D01" w:rsidRPr="00126D01" w:rsidRDefault="00126D01" w:rsidP="00771B9F">
      <w:pPr>
        <w:spacing w:after="120" w:line="276" w:lineRule="auto"/>
        <w:rPr>
          <w:rFonts w:cstheme="minorHAnsi"/>
          <w:sz w:val="24"/>
          <w:szCs w:val="24"/>
        </w:rPr>
      </w:pPr>
      <w:r>
        <w:rPr>
          <w:rFonts w:cstheme="minorHAnsi"/>
          <w:sz w:val="24"/>
          <w:szCs w:val="24"/>
        </w:rPr>
        <w:t>*Corresponding author</w:t>
      </w:r>
    </w:p>
    <w:p w14:paraId="2118CBDE" w14:textId="0CB1678D" w:rsidR="002E0B5D" w:rsidRPr="00126D01" w:rsidRDefault="002E0B5D" w:rsidP="00771B9F">
      <w:pPr>
        <w:spacing w:after="120" w:line="276" w:lineRule="auto"/>
        <w:rPr>
          <w:rFonts w:cstheme="minorHAnsi"/>
          <w:b/>
          <w:sz w:val="24"/>
          <w:szCs w:val="24"/>
          <w:u w:val="single"/>
        </w:rPr>
      </w:pPr>
    </w:p>
    <w:p w14:paraId="767CADCA" w14:textId="77777777" w:rsidR="00D14D03" w:rsidRDefault="00D14D03">
      <w:pPr>
        <w:rPr>
          <w:rFonts w:cstheme="minorHAnsi"/>
          <w:b/>
          <w:sz w:val="24"/>
          <w:szCs w:val="24"/>
        </w:rPr>
      </w:pPr>
      <w:r>
        <w:rPr>
          <w:rFonts w:cstheme="minorHAnsi"/>
          <w:b/>
          <w:sz w:val="24"/>
          <w:szCs w:val="24"/>
        </w:rPr>
        <w:br w:type="page"/>
      </w:r>
    </w:p>
    <w:p w14:paraId="24F902EE" w14:textId="2B4E50C0" w:rsidR="005414F7" w:rsidRPr="005414F7" w:rsidRDefault="005414F7">
      <w:pPr>
        <w:rPr>
          <w:rFonts w:cstheme="minorHAnsi"/>
          <w:b/>
          <w:sz w:val="24"/>
          <w:szCs w:val="24"/>
        </w:rPr>
      </w:pPr>
      <w:r w:rsidRPr="005414F7">
        <w:rPr>
          <w:rFonts w:cstheme="minorHAnsi"/>
          <w:b/>
          <w:sz w:val="24"/>
          <w:szCs w:val="24"/>
        </w:rPr>
        <w:lastRenderedPageBreak/>
        <w:t>Abstract</w:t>
      </w:r>
      <w:r w:rsidR="00BB01BF">
        <w:rPr>
          <w:rFonts w:cstheme="minorHAnsi"/>
          <w:b/>
          <w:sz w:val="24"/>
          <w:szCs w:val="24"/>
        </w:rPr>
        <w:t xml:space="preserve"> (250 words)</w:t>
      </w:r>
    </w:p>
    <w:p w14:paraId="33177C91" w14:textId="77777777" w:rsidR="00BB01BF" w:rsidRPr="00BB01BF" w:rsidRDefault="00BB01BF" w:rsidP="00BB01BF">
      <w:pPr>
        <w:rPr>
          <w:rFonts w:cstheme="minorHAnsi"/>
          <w:sz w:val="24"/>
          <w:szCs w:val="24"/>
        </w:rPr>
      </w:pPr>
      <w:r w:rsidRPr="00BB01BF">
        <w:rPr>
          <w:rFonts w:cstheme="minorHAnsi"/>
          <w:i/>
          <w:sz w:val="24"/>
          <w:szCs w:val="24"/>
        </w:rPr>
        <w:t>Context</w:t>
      </w:r>
      <w:r w:rsidRPr="00BB01BF">
        <w:rPr>
          <w:rFonts w:cstheme="minorHAnsi"/>
          <w:sz w:val="24"/>
          <w:szCs w:val="24"/>
        </w:rPr>
        <w:t>: Social care-related decisions can be complex but despite their widespread use in health care to help patients make similarly complex decisions, the use of decision aids in social care is not well examined.</w:t>
      </w:r>
    </w:p>
    <w:p w14:paraId="271297AD" w14:textId="77777777" w:rsidR="00BB01BF" w:rsidRPr="00BB01BF" w:rsidRDefault="00BB01BF" w:rsidP="00BB01BF">
      <w:pPr>
        <w:rPr>
          <w:rFonts w:cstheme="minorHAnsi"/>
          <w:sz w:val="24"/>
          <w:szCs w:val="24"/>
        </w:rPr>
      </w:pPr>
      <w:r w:rsidRPr="00BB01BF">
        <w:rPr>
          <w:rFonts w:cstheme="minorHAnsi"/>
          <w:i/>
          <w:sz w:val="24"/>
          <w:szCs w:val="24"/>
        </w:rPr>
        <w:t>Objective</w:t>
      </w:r>
      <w:r w:rsidRPr="00BB01BF">
        <w:rPr>
          <w:rFonts w:cstheme="minorHAnsi"/>
          <w:sz w:val="24"/>
          <w:szCs w:val="24"/>
        </w:rPr>
        <w:t xml:space="preserve">: To review the international research evidence on decision aids in adult social care and investigate the availability of such aids for planning later life care on adult social care-related websites in England. </w:t>
      </w:r>
    </w:p>
    <w:p w14:paraId="0F5188E4" w14:textId="77777777" w:rsidR="00BB01BF" w:rsidRPr="00BB01BF" w:rsidRDefault="00BB01BF" w:rsidP="00BB01BF">
      <w:pPr>
        <w:rPr>
          <w:rFonts w:cstheme="minorHAnsi"/>
          <w:sz w:val="24"/>
          <w:szCs w:val="24"/>
        </w:rPr>
      </w:pPr>
      <w:r w:rsidRPr="00BB01BF">
        <w:rPr>
          <w:rFonts w:cstheme="minorHAnsi"/>
          <w:i/>
          <w:sz w:val="24"/>
          <w:szCs w:val="24"/>
        </w:rPr>
        <w:t>Methods</w:t>
      </w:r>
      <w:r w:rsidRPr="00BB01BF">
        <w:rPr>
          <w:rFonts w:cstheme="minorHAnsi"/>
          <w:sz w:val="24"/>
          <w:szCs w:val="24"/>
        </w:rPr>
        <w:t>: Decision aid was defined broadly. Systematic searches for empirical research evidence published in English between 2000 and 2020. Searches were undertaken in January and February 2020. Websites of 11 UK social care-related voluntary and quasi-governmental organisations plus 53 English local councils searched for decision aids.</w:t>
      </w:r>
    </w:p>
    <w:p w14:paraId="45FD396B" w14:textId="77777777" w:rsidR="00BB01BF" w:rsidRPr="00BB01BF" w:rsidRDefault="00BB01BF" w:rsidP="00BB01BF">
      <w:pPr>
        <w:rPr>
          <w:rFonts w:cstheme="minorHAnsi"/>
          <w:sz w:val="24"/>
          <w:szCs w:val="24"/>
        </w:rPr>
      </w:pPr>
      <w:r w:rsidRPr="00BB01BF">
        <w:rPr>
          <w:rFonts w:cstheme="minorHAnsi"/>
          <w:i/>
          <w:sz w:val="24"/>
          <w:szCs w:val="24"/>
        </w:rPr>
        <w:t>Findings</w:t>
      </w:r>
      <w:r w:rsidRPr="00BB01BF">
        <w:rPr>
          <w:rFonts w:cstheme="minorHAnsi"/>
          <w:sz w:val="24"/>
          <w:szCs w:val="24"/>
        </w:rPr>
        <w:t>: Five papers published between 2001 and 2019 reported the development of five different decision aids. Two decision aids were web-based; three were paper-based or of unspecified formats. Two were assessed against international criteria for decision aids. Three further papers reported evaluations of the effectiveness of two of these aids.</w:t>
      </w:r>
    </w:p>
    <w:p w14:paraId="1E908641" w14:textId="77777777" w:rsidR="00BB01BF" w:rsidRPr="00BB01BF" w:rsidRDefault="00BB01BF" w:rsidP="00BB01BF">
      <w:pPr>
        <w:rPr>
          <w:rFonts w:cstheme="minorHAnsi"/>
          <w:sz w:val="24"/>
          <w:szCs w:val="24"/>
        </w:rPr>
      </w:pPr>
      <w:r w:rsidRPr="00BB01BF">
        <w:rPr>
          <w:rFonts w:cstheme="minorHAnsi"/>
          <w:sz w:val="24"/>
          <w:szCs w:val="24"/>
        </w:rPr>
        <w:t>Most social care-related websites searched did not offer any relevant decision tools.</w:t>
      </w:r>
    </w:p>
    <w:p w14:paraId="297B30EC" w14:textId="77777777" w:rsidR="00BB01BF" w:rsidRPr="00BB01BF" w:rsidRDefault="00BB01BF" w:rsidP="00BB01BF">
      <w:pPr>
        <w:rPr>
          <w:rFonts w:cstheme="minorHAnsi"/>
          <w:sz w:val="24"/>
          <w:szCs w:val="24"/>
        </w:rPr>
      </w:pPr>
      <w:r w:rsidRPr="00BB01BF">
        <w:rPr>
          <w:rFonts w:cstheme="minorHAnsi"/>
          <w:i/>
          <w:sz w:val="24"/>
          <w:szCs w:val="24"/>
        </w:rPr>
        <w:t>Limitations</w:t>
      </w:r>
      <w:r w:rsidRPr="00BB01BF">
        <w:rPr>
          <w:rFonts w:cstheme="minorHAnsi"/>
          <w:sz w:val="24"/>
          <w:szCs w:val="24"/>
        </w:rPr>
        <w:t>: Some papers described tools that were primarily research instruments. Relevant papers may have been missed due to technical challenges. Not all council websites were searched.</w:t>
      </w:r>
    </w:p>
    <w:p w14:paraId="7610A83F" w14:textId="4C7D3165" w:rsidR="00BB01BF" w:rsidRPr="00BB01BF" w:rsidRDefault="00BB01BF" w:rsidP="00BB01BF">
      <w:pPr>
        <w:rPr>
          <w:rFonts w:cstheme="minorHAnsi"/>
          <w:sz w:val="24"/>
          <w:szCs w:val="24"/>
        </w:rPr>
      </w:pPr>
      <w:r w:rsidRPr="00BB01BF">
        <w:rPr>
          <w:rFonts w:cstheme="minorHAnsi"/>
          <w:i/>
          <w:sz w:val="24"/>
          <w:szCs w:val="24"/>
        </w:rPr>
        <w:t>Implications</w:t>
      </w:r>
      <w:r w:rsidRPr="00BB01BF">
        <w:rPr>
          <w:rFonts w:cstheme="minorHAnsi"/>
          <w:sz w:val="24"/>
          <w:szCs w:val="24"/>
        </w:rPr>
        <w:t>: Future research to develop decision aids might benefit from drawing on earlier literature about people’s attitudes to and readiness to engage with care planning and how this translates into willingness to use decision aids. Combining decision aids with strengths- and asset-based approache</w:t>
      </w:r>
      <w:r w:rsidR="007E6F2E">
        <w:rPr>
          <w:rFonts w:cstheme="minorHAnsi"/>
          <w:sz w:val="24"/>
          <w:szCs w:val="24"/>
        </w:rPr>
        <w:t>s</w:t>
      </w:r>
      <w:r w:rsidRPr="00BB01BF">
        <w:rPr>
          <w:rFonts w:cstheme="minorHAnsi"/>
          <w:sz w:val="24"/>
          <w:szCs w:val="24"/>
        </w:rPr>
        <w:t xml:space="preserve"> in adult social care practice could be fruitful. </w:t>
      </w:r>
    </w:p>
    <w:p w14:paraId="781362E8" w14:textId="77777777" w:rsidR="00BB01BF" w:rsidRPr="00BB01BF" w:rsidRDefault="00BB01BF" w:rsidP="00BB01BF">
      <w:pPr>
        <w:rPr>
          <w:rFonts w:cstheme="minorHAnsi"/>
          <w:sz w:val="24"/>
          <w:szCs w:val="24"/>
        </w:rPr>
      </w:pPr>
    </w:p>
    <w:p w14:paraId="1AC65F63" w14:textId="784021A1" w:rsidR="00BB01BF" w:rsidRPr="00BB01BF" w:rsidRDefault="00BB01BF" w:rsidP="00BB01BF">
      <w:pPr>
        <w:rPr>
          <w:rFonts w:cstheme="minorHAnsi"/>
          <w:sz w:val="24"/>
          <w:szCs w:val="24"/>
        </w:rPr>
      </w:pPr>
      <w:r w:rsidRPr="00BB01BF">
        <w:rPr>
          <w:rFonts w:cstheme="minorHAnsi"/>
          <w:i/>
          <w:sz w:val="24"/>
          <w:szCs w:val="24"/>
        </w:rPr>
        <w:t>Key words</w:t>
      </w:r>
      <w:r w:rsidRPr="00BB01BF">
        <w:rPr>
          <w:rFonts w:cstheme="minorHAnsi"/>
          <w:sz w:val="24"/>
          <w:szCs w:val="24"/>
        </w:rPr>
        <w:t xml:space="preserve">: </w:t>
      </w:r>
      <w:r>
        <w:rPr>
          <w:rFonts w:cstheme="minorHAnsi"/>
          <w:sz w:val="24"/>
          <w:szCs w:val="24"/>
        </w:rPr>
        <w:t>care planning; decision aids; decision tools; later life care; scoping review; social care</w:t>
      </w:r>
    </w:p>
    <w:p w14:paraId="77A51C1E" w14:textId="2439E808" w:rsidR="00BB01BF" w:rsidRPr="00BB01BF" w:rsidRDefault="00BB01BF" w:rsidP="00BB01BF">
      <w:pPr>
        <w:rPr>
          <w:rFonts w:cstheme="minorHAnsi"/>
          <w:sz w:val="24"/>
          <w:szCs w:val="24"/>
        </w:rPr>
      </w:pPr>
      <w:r w:rsidRPr="00BB01BF">
        <w:rPr>
          <w:rFonts w:cstheme="minorHAnsi"/>
          <w:i/>
          <w:sz w:val="24"/>
          <w:szCs w:val="24"/>
        </w:rPr>
        <w:t>Acknowledgements and declarations</w:t>
      </w:r>
      <w:r w:rsidRPr="00BB01BF">
        <w:rPr>
          <w:rFonts w:cstheme="minorHAnsi"/>
          <w:sz w:val="24"/>
          <w:szCs w:val="24"/>
        </w:rPr>
        <w:t>: This paper presents independent research funded by the National Institute for Health Research (NIHR) School for Social Care Research (SSCR). The views expressed are those of the authors and not necessarily those of the NIHR SSCR, the National Institute for Health Research or the Department of Health and Social Care.</w:t>
      </w:r>
    </w:p>
    <w:p w14:paraId="438B8BAE" w14:textId="03EBD0C0" w:rsidR="00BB01BF" w:rsidRPr="00435E9A" w:rsidRDefault="00BB01BF" w:rsidP="00BB01BF">
      <w:pPr>
        <w:spacing w:after="120" w:line="276" w:lineRule="auto"/>
        <w:rPr>
          <w:rFonts w:cstheme="minorHAnsi"/>
          <w:sz w:val="24"/>
          <w:szCs w:val="24"/>
        </w:rPr>
      </w:pPr>
      <w:r w:rsidRPr="00BB01BF">
        <w:rPr>
          <w:rFonts w:cstheme="minorHAnsi"/>
          <w:i/>
          <w:sz w:val="24"/>
          <w:szCs w:val="24"/>
        </w:rPr>
        <w:t>Contact details of corresponding author</w:t>
      </w:r>
      <w:r>
        <w:rPr>
          <w:rFonts w:cstheme="minorHAnsi"/>
          <w:sz w:val="24"/>
          <w:szCs w:val="24"/>
        </w:rPr>
        <w:t xml:space="preserve">: </w:t>
      </w:r>
      <w:hyperlink r:id="rId10" w:history="1">
        <w:r w:rsidRPr="006F2073">
          <w:rPr>
            <w:rStyle w:val="Hyperlink"/>
            <w:rFonts w:cstheme="minorHAnsi"/>
            <w:sz w:val="24"/>
            <w:szCs w:val="24"/>
          </w:rPr>
          <w:t>kate.baxter@york.ac.uk</w:t>
        </w:r>
      </w:hyperlink>
      <w:r>
        <w:rPr>
          <w:rFonts w:cstheme="minorHAnsi"/>
          <w:sz w:val="24"/>
          <w:szCs w:val="24"/>
        </w:rPr>
        <w:t xml:space="preserve"> </w:t>
      </w:r>
    </w:p>
    <w:p w14:paraId="5A236D94" w14:textId="33D47939" w:rsidR="00B87DD2" w:rsidRDefault="00B87DD2">
      <w:pPr>
        <w:rPr>
          <w:rFonts w:cstheme="minorHAnsi"/>
          <w:b/>
          <w:sz w:val="24"/>
          <w:szCs w:val="24"/>
          <w:u w:val="single"/>
        </w:rPr>
      </w:pPr>
      <w:r>
        <w:rPr>
          <w:rFonts w:cstheme="minorHAnsi"/>
          <w:b/>
          <w:sz w:val="24"/>
          <w:szCs w:val="24"/>
          <w:u w:val="single"/>
        </w:rPr>
        <w:br w:type="page"/>
      </w:r>
    </w:p>
    <w:p w14:paraId="4F51CC2E" w14:textId="77777777" w:rsidR="002E0B5D" w:rsidRPr="00435E9A" w:rsidRDefault="002E0B5D" w:rsidP="00771B9F">
      <w:pPr>
        <w:spacing w:after="120" w:line="276" w:lineRule="auto"/>
        <w:rPr>
          <w:rFonts w:cstheme="minorHAnsi"/>
          <w:b/>
          <w:sz w:val="24"/>
          <w:szCs w:val="24"/>
        </w:rPr>
      </w:pPr>
      <w:r w:rsidRPr="00435E9A">
        <w:rPr>
          <w:rFonts w:cstheme="minorHAnsi"/>
          <w:b/>
          <w:sz w:val="24"/>
          <w:szCs w:val="24"/>
        </w:rPr>
        <w:lastRenderedPageBreak/>
        <w:t>Background</w:t>
      </w:r>
    </w:p>
    <w:p w14:paraId="1012D3F6"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In England, some people receive funding for all or part of their social care from their local area government (known as a local council) but many pay for their care from their own funds. These people are referred to as self-funders and are typically older people who have accumulated savings and assets over their working lives.</w:t>
      </w:r>
      <w:r>
        <w:rPr>
          <w:rFonts w:cstheme="minorHAnsi"/>
          <w:sz w:val="24"/>
          <w:szCs w:val="24"/>
        </w:rPr>
        <w:t xml:space="preserve"> </w:t>
      </w:r>
      <w:r w:rsidRPr="00435E9A">
        <w:rPr>
          <w:rFonts w:cstheme="minorHAnsi"/>
          <w:sz w:val="24"/>
          <w:szCs w:val="24"/>
        </w:rPr>
        <w:t>The range of such assets can vary from relatively modest savings up to considerable wealth.</w:t>
      </w:r>
    </w:p>
    <w:p w14:paraId="3D5A3047" w14:textId="6A1134EC" w:rsidR="002E0B5D" w:rsidRPr="00435E9A" w:rsidRDefault="002E0B5D" w:rsidP="00771B9F">
      <w:pPr>
        <w:spacing w:after="120" w:line="276" w:lineRule="auto"/>
        <w:rPr>
          <w:rFonts w:cstheme="minorHAnsi"/>
          <w:sz w:val="24"/>
          <w:szCs w:val="24"/>
        </w:rPr>
      </w:pPr>
      <w:bookmarkStart w:id="1" w:name="_Hlk45707717"/>
      <w:r w:rsidRPr="00435E9A">
        <w:rPr>
          <w:rFonts w:cstheme="minorHAnsi"/>
          <w:sz w:val="24"/>
          <w:szCs w:val="24"/>
        </w:rPr>
        <w:t xml:space="preserve">Making decisions about social care is a complex and emotional process for people of all ages, however it is paid for, but evidence suggests it is particularly difficult for </w:t>
      </w:r>
      <w:r w:rsidR="000F1F8C">
        <w:rPr>
          <w:rFonts w:cstheme="minorHAnsi"/>
          <w:sz w:val="24"/>
          <w:szCs w:val="24"/>
        </w:rPr>
        <w:t xml:space="preserve">older </w:t>
      </w:r>
      <w:r w:rsidRPr="00435E9A">
        <w:rPr>
          <w:rFonts w:cstheme="minorHAnsi"/>
          <w:sz w:val="24"/>
          <w:szCs w:val="24"/>
        </w:rPr>
        <w:t xml:space="preserve">self-funders and their family carers who often face such decisions with little or no formal guidance or advice </w:t>
      </w:r>
      <w:bookmarkEnd w:id="1"/>
      <w:r>
        <w:rPr>
          <w:rFonts w:cstheme="minorHAnsi"/>
          <w:noProof/>
          <w:sz w:val="24"/>
          <w:szCs w:val="24"/>
        </w:rPr>
        <w:t>(Henwood and Hudson, 2008; Putting People First Consortium</w:t>
      </w:r>
      <w:r w:rsidRPr="009B788E">
        <w:rPr>
          <w:rFonts w:cstheme="minorHAnsi"/>
          <w:i/>
          <w:noProof/>
          <w:sz w:val="24"/>
          <w:szCs w:val="24"/>
        </w:rPr>
        <w:t xml:space="preserve"> et al.</w:t>
      </w:r>
      <w:r>
        <w:rPr>
          <w:rFonts w:cstheme="minorHAnsi"/>
          <w:noProof/>
          <w:sz w:val="24"/>
          <w:szCs w:val="24"/>
        </w:rPr>
        <w:t>, 2011; Baxter</w:t>
      </w:r>
      <w:r w:rsidRPr="009B788E">
        <w:rPr>
          <w:rFonts w:cstheme="minorHAnsi"/>
          <w:i/>
          <w:noProof/>
          <w:sz w:val="24"/>
          <w:szCs w:val="24"/>
        </w:rPr>
        <w:t xml:space="preserve"> et al.</w:t>
      </w:r>
      <w:r>
        <w:rPr>
          <w:rFonts w:cstheme="minorHAnsi"/>
          <w:noProof/>
          <w:sz w:val="24"/>
          <w:szCs w:val="24"/>
        </w:rPr>
        <w:t>, 2017)</w:t>
      </w:r>
      <w:r w:rsidRPr="00435E9A">
        <w:rPr>
          <w:rFonts w:cstheme="minorHAnsi"/>
          <w:sz w:val="24"/>
          <w:szCs w:val="24"/>
        </w:rPr>
        <w:t xml:space="preserve">. A key challenge is knowing where to start in thinking about care needs and arranging care, or who to talk to about it </w:t>
      </w:r>
      <w:r w:rsidRPr="00435E9A">
        <w:rPr>
          <w:rFonts w:cstheme="minorHAnsi"/>
          <w:noProof/>
          <w:sz w:val="24"/>
          <w:szCs w:val="24"/>
        </w:rPr>
        <w:t>(Baxter</w:t>
      </w:r>
      <w:r w:rsidRPr="00435E9A">
        <w:rPr>
          <w:rFonts w:cstheme="minorHAnsi"/>
          <w:i/>
          <w:noProof/>
          <w:sz w:val="24"/>
          <w:szCs w:val="24"/>
        </w:rPr>
        <w:t xml:space="preserve"> et al.</w:t>
      </w:r>
      <w:r w:rsidRPr="00435E9A">
        <w:rPr>
          <w:rFonts w:cstheme="minorHAnsi"/>
          <w:noProof/>
          <w:sz w:val="24"/>
          <w:szCs w:val="24"/>
        </w:rPr>
        <w:t>, 2017)</w:t>
      </w:r>
      <w:r w:rsidRPr="00435E9A">
        <w:rPr>
          <w:rFonts w:cstheme="minorHAnsi"/>
          <w:sz w:val="24"/>
          <w:szCs w:val="24"/>
        </w:rPr>
        <w:t xml:space="preserve">. People who are eligible for funding from their local council are guided through the process by one or more professionals who assess care needs, suggest relevant care options and in many cases arrange for the delivery of that care and support from local providers. However, even with this professional support, the process can be confusing. Gathering information about different types of care and local care providers can help people understand the care system and build a picture of their options, but for members of the public who typically have little prior knowledge of social care, knowing where or how to find such information can be daunting </w:t>
      </w:r>
      <w:r w:rsidRPr="00435E9A">
        <w:rPr>
          <w:rFonts w:cstheme="minorHAnsi"/>
          <w:noProof/>
          <w:sz w:val="24"/>
          <w:szCs w:val="24"/>
        </w:rPr>
        <w:t>(Baxter</w:t>
      </w:r>
      <w:r w:rsidRPr="00435E9A">
        <w:rPr>
          <w:rFonts w:cstheme="minorHAnsi"/>
          <w:i/>
          <w:noProof/>
          <w:sz w:val="24"/>
          <w:szCs w:val="24"/>
        </w:rPr>
        <w:t xml:space="preserve"> et al.</w:t>
      </w:r>
      <w:r w:rsidRPr="00435E9A">
        <w:rPr>
          <w:rFonts w:cstheme="minorHAnsi"/>
          <w:noProof/>
          <w:sz w:val="24"/>
          <w:szCs w:val="24"/>
        </w:rPr>
        <w:t>, 2017)</w:t>
      </w:r>
      <w:r w:rsidRPr="00435E9A">
        <w:rPr>
          <w:rFonts w:cstheme="minorHAnsi"/>
          <w:sz w:val="24"/>
          <w:szCs w:val="24"/>
        </w:rPr>
        <w:t xml:space="preserve">. Searches can also result in an overwhelming amount of information from which it is difficult to identify high quality, relevant material. Financial issues are also known to be a major concern for self-funders </w:t>
      </w:r>
      <w:r>
        <w:rPr>
          <w:rFonts w:cstheme="minorHAnsi"/>
          <w:noProof/>
          <w:sz w:val="24"/>
          <w:szCs w:val="24"/>
        </w:rPr>
        <w:t>(Baxter</w:t>
      </w:r>
      <w:r w:rsidRPr="006F354A">
        <w:rPr>
          <w:rFonts w:cstheme="minorHAnsi"/>
          <w:i/>
          <w:noProof/>
          <w:sz w:val="24"/>
          <w:szCs w:val="24"/>
        </w:rPr>
        <w:t xml:space="preserve"> et al.</w:t>
      </w:r>
      <w:r>
        <w:rPr>
          <w:rFonts w:cstheme="minorHAnsi"/>
          <w:noProof/>
          <w:sz w:val="24"/>
          <w:szCs w:val="24"/>
        </w:rPr>
        <w:t>, 2017)</w:t>
      </w:r>
      <w:r w:rsidRPr="00435E9A">
        <w:rPr>
          <w:rFonts w:cstheme="minorHAnsi"/>
          <w:sz w:val="24"/>
          <w:szCs w:val="24"/>
        </w:rPr>
        <w:t xml:space="preserve"> but people can be reluctant to seek professional financial advice even though doing so can help them feel in control of their options for funding care </w:t>
      </w:r>
      <w:r w:rsidRPr="00435E9A">
        <w:rPr>
          <w:rFonts w:cstheme="minorHAnsi"/>
          <w:noProof/>
          <w:sz w:val="24"/>
          <w:szCs w:val="24"/>
        </w:rPr>
        <w:t>(Baxter</w:t>
      </w:r>
      <w:r w:rsidRPr="00435E9A">
        <w:rPr>
          <w:rFonts w:cstheme="minorHAnsi"/>
          <w:i/>
          <w:noProof/>
          <w:sz w:val="24"/>
          <w:szCs w:val="24"/>
        </w:rPr>
        <w:t xml:space="preserve"> et al.</w:t>
      </w:r>
      <w:r w:rsidRPr="00435E9A">
        <w:rPr>
          <w:rFonts w:cstheme="minorHAnsi"/>
          <w:noProof/>
          <w:sz w:val="24"/>
          <w:szCs w:val="24"/>
        </w:rPr>
        <w:t>, 2018)</w:t>
      </w:r>
      <w:r w:rsidRPr="00435E9A">
        <w:rPr>
          <w:rFonts w:cstheme="minorHAnsi"/>
          <w:sz w:val="24"/>
          <w:szCs w:val="24"/>
        </w:rPr>
        <w:t xml:space="preserve">. Not understanding the potential benefits of financial advice and not knowing what to expect from a consultation are key barriers to seeking such advice </w:t>
      </w:r>
      <w:r w:rsidRPr="00435E9A">
        <w:rPr>
          <w:rFonts w:cstheme="minorHAnsi"/>
          <w:noProof/>
          <w:sz w:val="24"/>
          <w:szCs w:val="24"/>
        </w:rPr>
        <w:t>(Heavey</w:t>
      </w:r>
      <w:r w:rsidRPr="00435E9A">
        <w:rPr>
          <w:rFonts w:cstheme="minorHAnsi"/>
          <w:i/>
          <w:noProof/>
          <w:sz w:val="24"/>
          <w:szCs w:val="24"/>
        </w:rPr>
        <w:t xml:space="preserve"> et al.</w:t>
      </w:r>
      <w:r w:rsidRPr="00435E9A">
        <w:rPr>
          <w:rFonts w:cstheme="minorHAnsi"/>
          <w:noProof/>
          <w:sz w:val="24"/>
          <w:szCs w:val="24"/>
        </w:rPr>
        <w:t>, 2019)</w:t>
      </w:r>
      <w:r w:rsidRPr="00435E9A">
        <w:rPr>
          <w:rFonts w:cstheme="minorHAnsi"/>
          <w:sz w:val="24"/>
          <w:szCs w:val="24"/>
        </w:rPr>
        <w:t>.</w:t>
      </w:r>
    </w:p>
    <w:p w14:paraId="47FAD834" w14:textId="2162CB5F"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Professional, regulated financial advisers who specialise in later life care usually offer a short, general discussion about a self-funder’s finances and care needs free of charge before either party commits to a longer-term, paid-for relationship. If self-funders or their </w:t>
      </w:r>
      <w:proofErr w:type="spellStart"/>
      <w:r w:rsidRPr="00435E9A">
        <w:rPr>
          <w:rFonts w:cstheme="minorHAnsi"/>
          <w:sz w:val="24"/>
          <w:szCs w:val="24"/>
        </w:rPr>
        <w:t>carers</w:t>
      </w:r>
      <w:proofErr w:type="spellEnd"/>
      <w:r w:rsidRPr="00435E9A">
        <w:rPr>
          <w:rFonts w:cstheme="minorHAnsi"/>
          <w:sz w:val="24"/>
          <w:szCs w:val="24"/>
        </w:rPr>
        <w:t xml:space="preserve"> were able to prepare better to have these conversations, they may be </w:t>
      </w:r>
      <w:r w:rsidR="007E6F2E">
        <w:rPr>
          <w:rFonts w:cstheme="minorHAnsi"/>
          <w:sz w:val="24"/>
          <w:szCs w:val="24"/>
        </w:rPr>
        <w:t>more inclined</w:t>
      </w:r>
      <w:r w:rsidRPr="00435E9A">
        <w:rPr>
          <w:rFonts w:cstheme="minorHAnsi"/>
          <w:sz w:val="24"/>
          <w:szCs w:val="24"/>
        </w:rPr>
        <w:t xml:space="preserve"> to engage and could also add value to such interactions by having more constructive conversations. One way in which individuals could prepare for such meetings whether financially or in terms of thinking through important criteria for care</w:t>
      </w:r>
      <w:r>
        <w:rPr>
          <w:rFonts w:cstheme="minorHAnsi"/>
          <w:sz w:val="24"/>
          <w:szCs w:val="24"/>
        </w:rPr>
        <w:t xml:space="preserve"> </w:t>
      </w:r>
      <w:r w:rsidRPr="00435E9A">
        <w:rPr>
          <w:rFonts w:cstheme="minorHAnsi"/>
          <w:sz w:val="24"/>
          <w:szCs w:val="24"/>
        </w:rPr>
        <w:t>could be working through a decision aid</w:t>
      </w:r>
      <w:r w:rsidR="00771B9F">
        <w:rPr>
          <w:rFonts w:cstheme="minorHAnsi"/>
          <w:sz w:val="24"/>
          <w:szCs w:val="24"/>
        </w:rPr>
        <w:t>,</w:t>
      </w:r>
      <w:r w:rsidRPr="00435E9A">
        <w:rPr>
          <w:rFonts w:cstheme="minorHAnsi"/>
          <w:sz w:val="24"/>
          <w:szCs w:val="24"/>
        </w:rPr>
        <w:t xml:space="preserve"> either independently or through a supported conversation. </w:t>
      </w:r>
    </w:p>
    <w:p w14:paraId="7D451682" w14:textId="42E4B531"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key aim of a decision aid is to improve the quality of a decision (see </w:t>
      </w:r>
      <w:hyperlink r:id="rId11" w:history="1">
        <w:r w:rsidRPr="00435E9A">
          <w:rPr>
            <w:rStyle w:val="Hyperlink"/>
            <w:rFonts w:cstheme="minorHAnsi"/>
            <w:sz w:val="24"/>
            <w:szCs w:val="24"/>
          </w:rPr>
          <w:t>http://ipdas.ohri.ca/what.html</w:t>
        </w:r>
      </w:hyperlink>
      <w:r w:rsidRPr="00435E9A">
        <w:rPr>
          <w:rFonts w:cstheme="minorHAnsi"/>
          <w:sz w:val="24"/>
          <w:szCs w:val="24"/>
        </w:rPr>
        <w:t xml:space="preserve">). Decision aids are tools designed to support people’s decisions by making them explicit, providing information on the options and any associated risks and benefits, and helping people clarify and so </w:t>
      </w:r>
      <w:r w:rsidR="00BE6BB3">
        <w:rPr>
          <w:rFonts w:cstheme="minorHAnsi"/>
          <w:sz w:val="24"/>
          <w:szCs w:val="24"/>
        </w:rPr>
        <w:t>consider</w:t>
      </w:r>
      <w:r w:rsidRPr="00435E9A">
        <w:rPr>
          <w:rFonts w:cstheme="minorHAnsi"/>
          <w:sz w:val="24"/>
          <w:szCs w:val="24"/>
        </w:rPr>
        <w:t xml:space="preserve"> their personal values and preferences </w:t>
      </w:r>
      <w:r w:rsidRPr="00435E9A">
        <w:rPr>
          <w:rFonts w:cstheme="minorHAnsi"/>
          <w:noProof/>
          <w:sz w:val="24"/>
          <w:szCs w:val="24"/>
        </w:rPr>
        <w:t>(</w:t>
      </w:r>
      <w:r w:rsidR="00771B9F">
        <w:rPr>
          <w:rFonts w:cstheme="minorHAnsi"/>
          <w:noProof/>
          <w:sz w:val="24"/>
          <w:szCs w:val="24"/>
        </w:rPr>
        <w:t xml:space="preserve">BMJ, </w:t>
      </w:r>
      <w:r w:rsidRPr="00435E9A">
        <w:rPr>
          <w:rFonts w:cstheme="minorHAnsi"/>
          <w:noProof/>
          <w:sz w:val="24"/>
          <w:szCs w:val="24"/>
        </w:rPr>
        <w:t>2013; Stacey</w:t>
      </w:r>
      <w:r w:rsidRPr="00435E9A">
        <w:rPr>
          <w:rFonts w:cstheme="minorHAnsi"/>
          <w:i/>
          <w:noProof/>
          <w:sz w:val="24"/>
          <w:szCs w:val="24"/>
        </w:rPr>
        <w:t xml:space="preserve"> et al.</w:t>
      </w:r>
      <w:r w:rsidRPr="00435E9A">
        <w:rPr>
          <w:rFonts w:cstheme="minorHAnsi"/>
          <w:noProof/>
          <w:sz w:val="24"/>
          <w:szCs w:val="24"/>
        </w:rPr>
        <w:t>, 2017)</w:t>
      </w:r>
      <w:r w:rsidRPr="00435E9A">
        <w:rPr>
          <w:rFonts w:cstheme="minorHAnsi"/>
          <w:sz w:val="24"/>
          <w:szCs w:val="24"/>
        </w:rPr>
        <w:t xml:space="preserve">. Decision aids can be used as ‘self-help’ tools worked through by an individual or in conjunction with a professional to facilitate shared </w:t>
      </w:r>
      <w:r w:rsidRPr="00435E9A">
        <w:rPr>
          <w:rFonts w:cstheme="minorHAnsi"/>
          <w:sz w:val="24"/>
          <w:szCs w:val="24"/>
        </w:rPr>
        <w:lastRenderedPageBreak/>
        <w:t xml:space="preserve">decision making. They can be presented in various formats including web-based, video-based or on paper; there is evidence in relation to screening for prostate cancer that these different formats perform similarly in terms of decision quality </w:t>
      </w:r>
      <w:r w:rsidRPr="00435E9A">
        <w:rPr>
          <w:rFonts w:cstheme="minorHAnsi"/>
          <w:noProof/>
          <w:sz w:val="24"/>
          <w:szCs w:val="24"/>
        </w:rPr>
        <w:t>(Baptista</w:t>
      </w:r>
      <w:r w:rsidRPr="00435E9A">
        <w:rPr>
          <w:rFonts w:cstheme="minorHAnsi"/>
          <w:i/>
          <w:noProof/>
          <w:sz w:val="24"/>
          <w:szCs w:val="24"/>
        </w:rPr>
        <w:t xml:space="preserve"> et al.</w:t>
      </w:r>
      <w:r w:rsidRPr="00435E9A">
        <w:rPr>
          <w:rFonts w:cstheme="minorHAnsi"/>
          <w:noProof/>
          <w:sz w:val="24"/>
          <w:szCs w:val="24"/>
        </w:rPr>
        <w:t>, 2018)</w:t>
      </w:r>
      <w:r w:rsidRPr="00435E9A">
        <w:rPr>
          <w:rFonts w:cstheme="minorHAnsi"/>
          <w:sz w:val="24"/>
          <w:szCs w:val="24"/>
        </w:rPr>
        <w:t xml:space="preserve">. </w:t>
      </w:r>
      <w:bookmarkStart w:id="2" w:name="_Hlk45707856"/>
      <w:r w:rsidRPr="00435E9A">
        <w:rPr>
          <w:rFonts w:cstheme="minorHAnsi"/>
          <w:sz w:val="24"/>
          <w:szCs w:val="24"/>
        </w:rPr>
        <w:t xml:space="preserve">Decision aids are used widely in health care to assist patients in making complex decisions about treatments and screening </w:t>
      </w:r>
      <w:r w:rsidRPr="00435E9A">
        <w:rPr>
          <w:rFonts w:cstheme="minorHAnsi"/>
          <w:noProof/>
          <w:sz w:val="24"/>
          <w:szCs w:val="24"/>
        </w:rPr>
        <w:t>(Stacey</w:t>
      </w:r>
      <w:r w:rsidRPr="00435E9A">
        <w:rPr>
          <w:rFonts w:cstheme="minorHAnsi"/>
          <w:i/>
          <w:noProof/>
          <w:sz w:val="24"/>
          <w:szCs w:val="24"/>
        </w:rPr>
        <w:t xml:space="preserve"> et al.</w:t>
      </w:r>
      <w:r w:rsidRPr="00435E9A">
        <w:rPr>
          <w:rFonts w:cstheme="minorHAnsi"/>
          <w:noProof/>
          <w:sz w:val="24"/>
          <w:szCs w:val="24"/>
        </w:rPr>
        <w:t>, 2017; Wieringa</w:t>
      </w:r>
      <w:r w:rsidRPr="00435E9A">
        <w:rPr>
          <w:rFonts w:cstheme="minorHAnsi"/>
          <w:i/>
          <w:noProof/>
          <w:sz w:val="24"/>
          <w:szCs w:val="24"/>
        </w:rPr>
        <w:t xml:space="preserve"> et al.</w:t>
      </w:r>
      <w:r w:rsidRPr="00435E9A">
        <w:rPr>
          <w:rFonts w:cstheme="minorHAnsi"/>
          <w:noProof/>
          <w:sz w:val="24"/>
          <w:szCs w:val="24"/>
        </w:rPr>
        <w:t>, 2019)</w:t>
      </w:r>
      <w:r w:rsidRPr="00435E9A">
        <w:rPr>
          <w:rFonts w:cstheme="minorHAnsi"/>
          <w:sz w:val="24"/>
          <w:szCs w:val="24"/>
        </w:rPr>
        <w:t xml:space="preserve">. Evidence suggests they can increase people’s knowledge and the accuracy of their perceptions of risk; decrease decisional conflict; and increase satisfaction with the decision, the decision-making process and/or preparation for making the decision </w:t>
      </w:r>
      <w:bookmarkEnd w:id="2"/>
      <w:r w:rsidRPr="00435E9A">
        <w:rPr>
          <w:rFonts w:cstheme="minorHAnsi"/>
          <w:noProof/>
          <w:sz w:val="24"/>
          <w:szCs w:val="24"/>
        </w:rPr>
        <w:t>(Stacey</w:t>
      </w:r>
      <w:r w:rsidRPr="00435E9A">
        <w:rPr>
          <w:rFonts w:cstheme="minorHAnsi"/>
          <w:i/>
          <w:noProof/>
          <w:sz w:val="24"/>
          <w:szCs w:val="24"/>
        </w:rPr>
        <w:t xml:space="preserve"> et al.</w:t>
      </w:r>
      <w:r w:rsidRPr="00435E9A">
        <w:rPr>
          <w:rFonts w:cstheme="minorHAnsi"/>
          <w:noProof/>
          <w:sz w:val="24"/>
          <w:szCs w:val="24"/>
        </w:rPr>
        <w:t>, 2017)</w:t>
      </w:r>
      <w:r w:rsidRPr="00435E9A">
        <w:rPr>
          <w:rFonts w:cstheme="minorHAnsi"/>
          <w:sz w:val="24"/>
          <w:szCs w:val="24"/>
        </w:rPr>
        <w:t>.</w:t>
      </w:r>
    </w:p>
    <w:p w14:paraId="5E7D6E57"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In 2003, the International Patient Decision Aid Standards (IPDAS) collaboration was founded to establish a shared evidence-based framework for enhancing the quality and effectiveness of patient decision aids. The resulting IPDAS criteria began as a 74-item checklist in 2006 and has since been adapted to create a minimum IPDAS criteria of 44 items </w:t>
      </w:r>
      <w:r w:rsidRPr="00435E9A">
        <w:rPr>
          <w:rFonts w:cstheme="minorHAnsi"/>
          <w:noProof/>
          <w:sz w:val="24"/>
          <w:szCs w:val="24"/>
        </w:rPr>
        <w:t>(Joseph-Williams</w:t>
      </w:r>
      <w:r w:rsidRPr="00435E9A">
        <w:rPr>
          <w:rFonts w:cstheme="minorHAnsi"/>
          <w:i/>
          <w:noProof/>
          <w:sz w:val="24"/>
          <w:szCs w:val="24"/>
        </w:rPr>
        <w:t xml:space="preserve"> et al.</w:t>
      </w:r>
      <w:r w:rsidRPr="00435E9A">
        <w:rPr>
          <w:rFonts w:cstheme="minorHAnsi"/>
          <w:noProof/>
          <w:sz w:val="24"/>
          <w:szCs w:val="24"/>
        </w:rPr>
        <w:t>, 2014)</w:t>
      </w:r>
      <w:r w:rsidRPr="00435E9A">
        <w:rPr>
          <w:rFonts w:cstheme="minorHAnsi"/>
          <w:sz w:val="24"/>
          <w:szCs w:val="24"/>
        </w:rPr>
        <w:t xml:space="preserve">. Decision aids that meet the criteria are seen as reliable sources for assisting decision-making. The minimum criteria are presented in three sections: six qualifying criteria that ensure the tool is in fact a decision aid; 10 certification criteria (including </w:t>
      </w:r>
      <w:r w:rsidRPr="00435E9A">
        <w:rPr>
          <w:rFonts w:cstheme="minorHAnsi"/>
          <w:sz w:val="24"/>
          <w:szCs w:val="24"/>
          <w:shd w:val="clear" w:color="auto" w:fill="FFFFFF"/>
        </w:rPr>
        <w:t xml:space="preserve">quality of the evidence synthesis process, disclosure of funding source, and a balanced presentation of options) </w:t>
      </w:r>
      <w:r w:rsidRPr="00435E9A">
        <w:rPr>
          <w:rFonts w:cstheme="minorHAnsi"/>
          <w:sz w:val="24"/>
          <w:szCs w:val="24"/>
        </w:rPr>
        <w:t xml:space="preserve">and 28 quality criteria which </w:t>
      </w:r>
      <w:r w:rsidRPr="00435E9A">
        <w:rPr>
          <w:rFonts w:cstheme="minorHAnsi"/>
          <w:sz w:val="24"/>
          <w:szCs w:val="24"/>
          <w:shd w:val="clear" w:color="auto" w:fill="FFFFFF"/>
        </w:rPr>
        <w:t xml:space="preserve">improve the experience of using the decision aid, but would not adversely affect an individual’s decision if not offered, for example, the provision of worksheets </w:t>
      </w:r>
      <w:r w:rsidRPr="00435E9A">
        <w:rPr>
          <w:rFonts w:cstheme="minorHAnsi"/>
          <w:noProof/>
          <w:sz w:val="24"/>
          <w:szCs w:val="24"/>
        </w:rPr>
        <w:t>(Joseph-Williams</w:t>
      </w:r>
      <w:r w:rsidRPr="00435E9A">
        <w:rPr>
          <w:rFonts w:cstheme="minorHAnsi"/>
          <w:i/>
          <w:noProof/>
          <w:sz w:val="24"/>
          <w:szCs w:val="24"/>
        </w:rPr>
        <w:t xml:space="preserve"> et al.</w:t>
      </w:r>
      <w:r w:rsidRPr="00435E9A">
        <w:rPr>
          <w:rFonts w:cstheme="minorHAnsi"/>
          <w:noProof/>
          <w:sz w:val="24"/>
          <w:szCs w:val="24"/>
        </w:rPr>
        <w:t>, 2014)</w:t>
      </w:r>
      <w:r w:rsidRPr="00435E9A">
        <w:rPr>
          <w:rFonts w:cstheme="minorHAnsi"/>
          <w:sz w:val="24"/>
          <w:szCs w:val="24"/>
          <w:shd w:val="clear" w:color="auto" w:fill="FFFFFF"/>
        </w:rPr>
        <w:t xml:space="preserve">. </w:t>
      </w:r>
    </w:p>
    <w:p w14:paraId="0CFED5DA" w14:textId="7209F76B"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Despite their widespread use in health care and the similarly complex decisions that people need to make in relation to social care, the use of decision aids in social care is not well examined. It seems reasonable that people needing social care might expect to find and benefit from resources to assist in their decision-making, especially self-funders and their carers who do not routinely receive professional support. This paper therefore reviews the international research evidence about decision aids in adult social care </w:t>
      </w:r>
      <w:r w:rsidR="007F5F27">
        <w:rPr>
          <w:rFonts w:cstheme="minorHAnsi"/>
          <w:sz w:val="24"/>
          <w:szCs w:val="24"/>
        </w:rPr>
        <w:t>in order to identify relevance to and lessons for the English system. It also</w:t>
      </w:r>
      <w:r w:rsidRPr="00435E9A">
        <w:rPr>
          <w:rFonts w:cstheme="minorHAnsi"/>
          <w:sz w:val="24"/>
          <w:szCs w:val="24"/>
        </w:rPr>
        <w:t xml:space="preserve"> investigates the availability of such aids on </w:t>
      </w:r>
      <w:r w:rsidR="007A3881">
        <w:rPr>
          <w:rFonts w:cstheme="minorHAnsi"/>
          <w:sz w:val="24"/>
          <w:szCs w:val="24"/>
        </w:rPr>
        <w:t xml:space="preserve">adult </w:t>
      </w:r>
      <w:r w:rsidRPr="00435E9A">
        <w:rPr>
          <w:rFonts w:cstheme="minorHAnsi"/>
          <w:sz w:val="24"/>
          <w:szCs w:val="24"/>
        </w:rPr>
        <w:t>social care-related websites in England</w:t>
      </w:r>
      <w:r>
        <w:rPr>
          <w:rFonts w:cstheme="minorHAnsi"/>
          <w:sz w:val="24"/>
          <w:szCs w:val="24"/>
        </w:rPr>
        <w:t>.</w:t>
      </w:r>
    </w:p>
    <w:p w14:paraId="275EC24C" w14:textId="77777777" w:rsidR="002E0B5D" w:rsidRPr="00435E9A" w:rsidRDefault="002E0B5D" w:rsidP="00771B9F">
      <w:pPr>
        <w:spacing w:after="120" w:line="276" w:lineRule="auto"/>
        <w:rPr>
          <w:rFonts w:cstheme="minorHAnsi"/>
          <w:sz w:val="24"/>
          <w:szCs w:val="24"/>
        </w:rPr>
      </w:pPr>
    </w:p>
    <w:p w14:paraId="795096A0" w14:textId="77777777" w:rsidR="002E0B5D" w:rsidRPr="00435E9A" w:rsidRDefault="002E0B5D" w:rsidP="00771B9F">
      <w:pPr>
        <w:spacing w:after="120" w:line="276" w:lineRule="auto"/>
        <w:rPr>
          <w:rFonts w:cstheme="minorHAnsi"/>
          <w:b/>
          <w:sz w:val="24"/>
          <w:szCs w:val="24"/>
          <w:u w:val="single"/>
        </w:rPr>
      </w:pPr>
      <w:r w:rsidRPr="00435E9A">
        <w:rPr>
          <w:rFonts w:cstheme="minorHAnsi"/>
          <w:b/>
          <w:sz w:val="24"/>
          <w:szCs w:val="24"/>
        </w:rPr>
        <w:t>Methods</w:t>
      </w:r>
    </w:p>
    <w:p w14:paraId="23AF8119" w14:textId="708D70C1"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This rapid scoping review comprised a </w:t>
      </w:r>
      <w:r w:rsidR="00593F0F">
        <w:rPr>
          <w:rFonts w:cstheme="minorHAnsi"/>
          <w:sz w:val="24"/>
          <w:szCs w:val="24"/>
        </w:rPr>
        <w:t xml:space="preserve">systematic </w:t>
      </w:r>
      <w:r w:rsidRPr="00435E9A">
        <w:rPr>
          <w:rFonts w:cstheme="minorHAnsi"/>
          <w:sz w:val="24"/>
          <w:szCs w:val="24"/>
        </w:rPr>
        <w:t>review of research litera</w:t>
      </w:r>
      <w:r w:rsidR="007B2DE7">
        <w:rPr>
          <w:rFonts w:cstheme="minorHAnsi"/>
          <w:sz w:val="24"/>
          <w:szCs w:val="24"/>
        </w:rPr>
        <w:t>t</w:t>
      </w:r>
      <w:r w:rsidRPr="00435E9A">
        <w:rPr>
          <w:rFonts w:cstheme="minorHAnsi"/>
          <w:sz w:val="24"/>
          <w:szCs w:val="24"/>
        </w:rPr>
        <w:t xml:space="preserve">ure and </w:t>
      </w:r>
      <w:r w:rsidR="00593F0F">
        <w:rPr>
          <w:rFonts w:cstheme="minorHAnsi"/>
          <w:sz w:val="24"/>
          <w:szCs w:val="24"/>
        </w:rPr>
        <w:t xml:space="preserve">search </w:t>
      </w:r>
      <w:r w:rsidRPr="00435E9A">
        <w:rPr>
          <w:rFonts w:cstheme="minorHAnsi"/>
          <w:sz w:val="24"/>
          <w:szCs w:val="24"/>
        </w:rPr>
        <w:t>of English social care-related websites to identify evidence of the development and effectiveness of decision aids in adult social care.</w:t>
      </w:r>
      <w:r w:rsidR="00593F0F">
        <w:rPr>
          <w:rFonts w:cstheme="minorHAnsi"/>
          <w:sz w:val="24"/>
          <w:szCs w:val="24"/>
        </w:rPr>
        <w:t xml:space="preserve"> The stages of the review followed those described in </w:t>
      </w:r>
      <w:r w:rsidR="00593F0F" w:rsidRPr="00435E9A">
        <w:rPr>
          <w:rFonts w:cstheme="minorHAnsi"/>
          <w:noProof/>
          <w:sz w:val="24"/>
          <w:szCs w:val="24"/>
        </w:rPr>
        <w:t>Arksey and O'Malley</w:t>
      </w:r>
      <w:r w:rsidR="00593F0F">
        <w:rPr>
          <w:rFonts w:cstheme="minorHAnsi"/>
          <w:noProof/>
          <w:sz w:val="24"/>
          <w:szCs w:val="24"/>
        </w:rPr>
        <w:t xml:space="preserve"> (</w:t>
      </w:r>
      <w:r w:rsidR="00593F0F" w:rsidRPr="00435E9A">
        <w:rPr>
          <w:rFonts w:cstheme="minorHAnsi"/>
          <w:noProof/>
          <w:sz w:val="24"/>
          <w:szCs w:val="24"/>
        </w:rPr>
        <w:t>2005)</w:t>
      </w:r>
      <w:r w:rsidR="00593F0F">
        <w:rPr>
          <w:rFonts w:cstheme="minorHAnsi"/>
          <w:noProof/>
          <w:sz w:val="24"/>
          <w:szCs w:val="24"/>
        </w:rPr>
        <w:t xml:space="preserve"> and are described in detail below.</w:t>
      </w:r>
    </w:p>
    <w:p w14:paraId="1EF8510F" w14:textId="1C8BD05B" w:rsidR="002E0B5D" w:rsidRPr="00435E9A" w:rsidRDefault="002E0B5D" w:rsidP="00771B9F">
      <w:pPr>
        <w:autoSpaceDE w:val="0"/>
        <w:autoSpaceDN w:val="0"/>
        <w:adjustRightInd w:val="0"/>
        <w:spacing w:after="120" w:line="276" w:lineRule="auto"/>
        <w:rPr>
          <w:rFonts w:cstheme="minorHAnsi"/>
          <w:sz w:val="24"/>
          <w:szCs w:val="24"/>
        </w:rPr>
      </w:pPr>
      <w:r w:rsidRPr="00435E9A">
        <w:rPr>
          <w:rFonts w:cstheme="minorHAnsi"/>
          <w:sz w:val="24"/>
          <w:szCs w:val="24"/>
        </w:rPr>
        <w:t>For the purpose</w:t>
      </w:r>
      <w:r w:rsidR="00A76B1E">
        <w:rPr>
          <w:rFonts w:cstheme="minorHAnsi"/>
          <w:sz w:val="24"/>
          <w:szCs w:val="24"/>
        </w:rPr>
        <w:t>s</w:t>
      </w:r>
      <w:r w:rsidRPr="00435E9A">
        <w:rPr>
          <w:rFonts w:cstheme="minorHAnsi"/>
          <w:sz w:val="24"/>
          <w:szCs w:val="24"/>
        </w:rPr>
        <w:t xml:space="preserve"> of this review</w:t>
      </w:r>
      <w:r w:rsidR="00A76B1E">
        <w:rPr>
          <w:rFonts w:cstheme="minorHAnsi"/>
          <w:sz w:val="24"/>
          <w:szCs w:val="24"/>
        </w:rPr>
        <w:t>,</w:t>
      </w:r>
      <w:r w:rsidRPr="00435E9A">
        <w:rPr>
          <w:rFonts w:cstheme="minorHAnsi"/>
          <w:sz w:val="24"/>
          <w:szCs w:val="24"/>
        </w:rPr>
        <w:t xml:space="preserve"> the term ‘decision aid’ was defined broadly to ensure inclusion of as much relevant evidence as possible. </w:t>
      </w:r>
      <w:r w:rsidR="00A76B1E">
        <w:rPr>
          <w:rFonts w:cstheme="minorHAnsi"/>
          <w:sz w:val="24"/>
          <w:szCs w:val="24"/>
        </w:rPr>
        <w:t>It</w:t>
      </w:r>
      <w:r w:rsidR="00A76B1E" w:rsidRPr="00435E9A">
        <w:rPr>
          <w:rFonts w:cstheme="minorHAnsi"/>
          <w:sz w:val="24"/>
          <w:szCs w:val="24"/>
        </w:rPr>
        <w:t xml:space="preserve"> </w:t>
      </w:r>
      <w:r w:rsidRPr="00435E9A">
        <w:rPr>
          <w:rFonts w:cstheme="minorHAnsi"/>
          <w:sz w:val="24"/>
          <w:szCs w:val="24"/>
        </w:rPr>
        <w:t>included any interactive tool that could be self-administered or completed with a professional, based in any format (</w:t>
      </w:r>
      <w:proofErr w:type="spellStart"/>
      <w:r w:rsidRPr="00435E9A">
        <w:rPr>
          <w:rFonts w:cstheme="minorHAnsi"/>
          <w:sz w:val="24"/>
          <w:szCs w:val="24"/>
        </w:rPr>
        <w:t>e.g</w:t>
      </w:r>
      <w:proofErr w:type="spellEnd"/>
      <w:r w:rsidRPr="00435E9A">
        <w:rPr>
          <w:rFonts w:cstheme="minorHAnsi"/>
          <w:sz w:val="24"/>
          <w:szCs w:val="24"/>
        </w:rPr>
        <w:t xml:space="preserve"> web</w:t>
      </w:r>
      <w:r w:rsidR="00A76B1E">
        <w:rPr>
          <w:rFonts w:cstheme="minorHAnsi"/>
          <w:sz w:val="24"/>
          <w:szCs w:val="24"/>
        </w:rPr>
        <w:t>, video</w:t>
      </w:r>
      <w:r w:rsidRPr="00435E9A">
        <w:rPr>
          <w:rFonts w:cstheme="minorHAnsi"/>
          <w:sz w:val="24"/>
          <w:szCs w:val="24"/>
        </w:rPr>
        <w:t xml:space="preserve">, telephone or paper). </w:t>
      </w:r>
      <w:r w:rsidR="00A76B1E">
        <w:rPr>
          <w:rFonts w:cstheme="minorHAnsi"/>
          <w:sz w:val="24"/>
          <w:szCs w:val="24"/>
        </w:rPr>
        <w:t xml:space="preserve">In terms of content, </w:t>
      </w:r>
      <w:r w:rsidRPr="00435E9A">
        <w:rPr>
          <w:rFonts w:cstheme="minorHAnsi"/>
          <w:sz w:val="24"/>
          <w:szCs w:val="24"/>
        </w:rPr>
        <w:t>decision aid</w:t>
      </w:r>
      <w:r w:rsidR="00AE787C">
        <w:rPr>
          <w:rFonts w:cstheme="minorHAnsi"/>
          <w:sz w:val="24"/>
          <w:szCs w:val="24"/>
        </w:rPr>
        <w:t>s of interest</w:t>
      </w:r>
      <w:r w:rsidRPr="00435E9A">
        <w:rPr>
          <w:rFonts w:cstheme="minorHAnsi"/>
          <w:sz w:val="24"/>
          <w:szCs w:val="24"/>
        </w:rPr>
        <w:t xml:space="preserve"> would aim to enable people to consider issues related to social care planning decisions and choices with regards to their current or future social care support needs. This includes (but is not limited to) the </w:t>
      </w:r>
      <w:r w:rsidRPr="00435E9A">
        <w:rPr>
          <w:rFonts w:cstheme="minorHAnsi"/>
          <w:sz w:val="24"/>
          <w:szCs w:val="24"/>
        </w:rPr>
        <w:lastRenderedPageBreak/>
        <w:t xml:space="preserve">broad domains related to planning care needs, for example: personal care and household tasks, e.g., when an older adult has Activity of Daily Living (ADL) limitations; potential emotional, financial, or informational support and advice; advice on location and type of housing need or care residence and type of services or facilities offered at this residence. </w:t>
      </w:r>
    </w:p>
    <w:p w14:paraId="374A7009" w14:textId="77777777" w:rsidR="002E0B5D" w:rsidRPr="00435E9A" w:rsidRDefault="002E0B5D" w:rsidP="00771B9F">
      <w:pPr>
        <w:autoSpaceDE w:val="0"/>
        <w:autoSpaceDN w:val="0"/>
        <w:adjustRightInd w:val="0"/>
        <w:spacing w:after="120" w:line="276" w:lineRule="auto"/>
        <w:rPr>
          <w:rFonts w:cstheme="minorHAnsi"/>
          <w:sz w:val="24"/>
          <w:szCs w:val="24"/>
        </w:rPr>
      </w:pPr>
    </w:p>
    <w:p w14:paraId="3DB8DCF7" w14:textId="77777777" w:rsidR="002E0B5D" w:rsidRPr="00435E9A" w:rsidRDefault="002E0B5D" w:rsidP="00771B9F">
      <w:pPr>
        <w:autoSpaceDE w:val="0"/>
        <w:autoSpaceDN w:val="0"/>
        <w:adjustRightInd w:val="0"/>
        <w:spacing w:after="120" w:line="276" w:lineRule="auto"/>
        <w:rPr>
          <w:rFonts w:cstheme="minorHAnsi"/>
          <w:b/>
          <w:i/>
          <w:sz w:val="24"/>
          <w:szCs w:val="24"/>
        </w:rPr>
      </w:pPr>
      <w:r w:rsidRPr="00435E9A">
        <w:rPr>
          <w:rFonts w:cstheme="minorHAnsi"/>
          <w:b/>
          <w:i/>
          <w:sz w:val="24"/>
          <w:szCs w:val="24"/>
        </w:rPr>
        <w:t>Review of research literature</w:t>
      </w:r>
    </w:p>
    <w:p w14:paraId="7801C572" w14:textId="77777777" w:rsidR="002E0B5D" w:rsidRPr="00435E9A" w:rsidRDefault="002E0B5D" w:rsidP="00771B9F">
      <w:pPr>
        <w:autoSpaceDE w:val="0"/>
        <w:autoSpaceDN w:val="0"/>
        <w:adjustRightInd w:val="0"/>
        <w:spacing w:after="120" w:line="276" w:lineRule="auto"/>
        <w:rPr>
          <w:rFonts w:cstheme="minorHAnsi"/>
          <w:i/>
          <w:sz w:val="24"/>
          <w:szCs w:val="24"/>
        </w:rPr>
      </w:pPr>
      <w:r w:rsidRPr="00435E9A">
        <w:rPr>
          <w:rFonts w:cstheme="minorHAnsi"/>
          <w:i/>
          <w:sz w:val="24"/>
          <w:szCs w:val="24"/>
        </w:rPr>
        <w:t>Search strategy</w:t>
      </w:r>
    </w:p>
    <w:p w14:paraId="77009ED2" w14:textId="71317167" w:rsidR="002E0B5D" w:rsidRPr="00435E9A" w:rsidRDefault="002E0B5D" w:rsidP="00771B9F">
      <w:pPr>
        <w:autoSpaceDE w:val="0"/>
        <w:autoSpaceDN w:val="0"/>
        <w:adjustRightInd w:val="0"/>
        <w:spacing w:after="120" w:line="276" w:lineRule="auto"/>
        <w:rPr>
          <w:rFonts w:cstheme="minorHAnsi"/>
          <w:sz w:val="24"/>
          <w:szCs w:val="24"/>
        </w:rPr>
      </w:pPr>
      <w:r w:rsidRPr="00435E9A">
        <w:rPr>
          <w:rFonts w:cstheme="minorHAnsi"/>
          <w:sz w:val="24"/>
          <w:szCs w:val="24"/>
        </w:rPr>
        <w:t xml:space="preserve">Search strategies were developed from terms </w:t>
      </w:r>
      <w:r w:rsidR="00AE787C">
        <w:rPr>
          <w:rFonts w:cstheme="minorHAnsi"/>
          <w:sz w:val="24"/>
          <w:szCs w:val="24"/>
        </w:rPr>
        <w:t>for</w:t>
      </w:r>
      <w:r w:rsidRPr="00435E9A">
        <w:rPr>
          <w:rFonts w:cstheme="minorHAnsi"/>
          <w:sz w:val="24"/>
          <w:szCs w:val="24"/>
        </w:rPr>
        <w:t xml:space="preserve"> decision aids used in a </w:t>
      </w:r>
      <w:r>
        <w:rPr>
          <w:rFonts w:cstheme="minorHAnsi"/>
          <w:sz w:val="24"/>
          <w:szCs w:val="24"/>
        </w:rPr>
        <w:t xml:space="preserve">Cochrane </w:t>
      </w:r>
      <w:r w:rsidRPr="00435E9A">
        <w:rPr>
          <w:rFonts w:cstheme="minorHAnsi"/>
          <w:sz w:val="24"/>
          <w:szCs w:val="24"/>
        </w:rPr>
        <w:t xml:space="preserve">systematic review of decision aids for people making decisions about health treatment or screening </w:t>
      </w:r>
      <w:r w:rsidR="00AE787C">
        <w:rPr>
          <w:rFonts w:cstheme="minorHAnsi"/>
          <w:sz w:val="24"/>
          <w:szCs w:val="24"/>
        </w:rPr>
        <w:t>(</w:t>
      </w:r>
      <w:r w:rsidR="00AE787C" w:rsidRPr="00435E9A">
        <w:rPr>
          <w:rFonts w:cstheme="minorHAnsi"/>
          <w:sz w:val="24"/>
          <w:szCs w:val="24"/>
        </w:rPr>
        <w:t xml:space="preserve">Stacey </w:t>
      </w:r>
      <w:r w:rsidR="00AE787C" w:rsidRPr="007B2DE7">
        <w:rPr>
          <w:rFonts w:cstheme="minorHAnsi"/>
          <w:i/>
          <w:sz w:val="24"/>
          <w:szCs w:val="24"/>
        </w:rPr>
        <w:t>et al</w:t>
      </w:r>
      <w:r w:rsidR="00AE787C" w:rsidRPr="00AE787C">
        <w:rPr>
          <w:rFonts w:cstheme="minorHAnsi"/>
          <w:sz w:val="24"/>
          <w:szCs w:val="24"/>
        </w:rPr>
        <w:t>,</w:t>
      </w:r>
      <w:r w:rsidR="00AE787C" w:rsidRPr="00435E9A">
        <w:rPr>
          <w:rFonts w:cstheme="minorHAnsi"/>
          <w:sz w:val="24"/>
          <w:szCs w:val="24"/>
        </w:rPr>
        <w:t xml:space="preserve"> </w:t>
      </w:r>
      <w:r w:rsidR="00AE787C" w:rsidRPr="00435E9A">
        <w:rPr>
          <w:rFonts w:cstheme="minorHAnsi"/>
          <w:noProof/>
          <w:sz w:val="24"/>
          <w:szCs w:val="24"/>
        </w:rPr>
        <w:t>2017)</w:t>
      </w:r>
      <w:r w:rsidR="00AE787C">
        <w:rPr>
          <w:rFonts w:cstheme="minorHAnsi"/>
          <w:noProof/>
          <w:sz w:val="24"/>
          <w:szCs w:val="24"/>
        </w:rPr>
        <w:t xml:space="preserve"> </w:t>
      </w:r>
      <w:r w:rsidRPr="00435E9A">
        <w:rPr>
          <w:rFonts w:cstheme="minorHAnsi"/>
          <w:sz w:val="24"/>
          <w:szCs w:val="24"/>
        </w:rPr>
        <w:t xml:space="preserve">and a systematic review </w:t>
      </w:r>
      <w:r>
        <w:rPr>
          <w:rFonts w:cstheme="minorHAnsi"/>
          <w:sz w:val="24"/>
          <w:szCs w:val="24"/>
        </w:rPr>
        <w:t xml:space="preserve">of health-related decision aids (van </w:t>
      </w:r>
      <w:proofErr w:type="spellStart"/>
      <w:r>
        <w:rPr>
          <w:rFonts w:cstheme="minorHAnsi"/>
          <w:sz w:val="24"/>
          <w:szCs w:val="24"/>
        </w:rPr>
        <w:t>Weert</w:t>
      </w:r>
      <w:proofErr w:type="spellEnd"/>
      <w:r>
        <w:rPr>
          <w:rFonts w:cstheme="minorHAnsi"/>
          <w:sz w:val="24"/>
          <w:szCs w:val="24"/>
        </w:rPr>
        <w:t xml:space="preserve"> </w:t>
      </w:r>
      <w:r w:rsidRPr="007B2DE7">
        <w:rPr>
          <w:rFonts w:cstheme="minorHAnsi"/>
          <w:i/>
          <w:sz w:val="24"/>
          <w:szCs w:val="24"/>
        </w:rPr>
        <w:t>et</w:t>
      </w:r>
      <w:r w:rsidR="007B2DE7" w:rsidRPr="007B2DE7">
        <w:rPr>
          <w:rFonts w:cstheme="minorHAnsi"/>
          <w:i/>
          <w:sz w:val="24"/>
          <w:szCs w:val="24"/>
        </w:rPr>
        <w:t xml:space="preserve"> </w:t>
      </w:r>
      <w:r w:rsidRPr="007B2DE7">
        <w:rPr>
          <w:rFonts w:cstheme="minorHAnsi"/>
          <w:i/>
          <w:sz w:val="24"/>
          <w:szCs w:val="24"/>
        </w:rPr>
        <w:t>al</w:t>
      </w:r>
      <w:r>
        <w:rPr>
          <w:rFonts w:cstheme="minorHAnsi"/>
          <w:sz w:val="24"/>
          <w:szCs w:val="24"/>
        </w:rPr>
        <w:t>, 2016)</w:t>
      </w:r>
      <w:r w:rsidRPr="00435E9A">
        <w:rPr>
          <w:rFonts w:cstheme="minorHAnsi"/>
          <w:sz w:val="24"/>
          <w:szCs w:val="24"/>
        </w:rPr>
        <w:t xml:space="preserve">. These terms were combined with social care-related terms and tested initially in Social Policy and Practice </w:t>
      </w:r>
      <w:r w:rsidR="00AE787C">
        <w:rPr>
          <w:rFonts w:cstheme="minorHAnsi"/>
          <w:sz w:val="24"/>
          <w:szCs w:val="24"/>
        </w:rPr>
        <w:t>to ensure they identified</w:t>
      </w:r>
      <w:r w:rsidRPr="00435E9A">
        <w:rPr>
          <w:rFonts w:cstheme="minorHAnsi"/>
          <w:sz w:val="24"/>
          <w:szCs w:val="24"/>
        </w:rPr>
        <w:t xml:space="preserve"> </w:t>
      </w:r>
      <w:r w:rsidR="00AE787C">
        <w:rPr>
          <w:rFonts w:cstheme="minorHAnsi"/>
          <w:sz w:val="24"/>
          <w:szCs w:val="24"/>
        </w:rPr>
        <w:t>potentially relevant</w:t>
      </w:r>
      <w:r w:rsidR="00AE787C" w:rsidRPr="00435E9A">
        <w:rPr>
          <w:rFonts w:cstheme="minorHAnsi"/>
          <w:sz w:val="24"/>
          <w:szCs w:val="24"/>
        </w:rPr>
        <w:t xml:space="preserve"> </w:t>
      </w:r>
      <w:r w:rsidRPr="00435E9A">
        <w:rPr>
          <w:rFonts w:cstheme="minorHAnsi"/>
          <w:sz w:val="24"/>
          <w:szCs w:val="24"/>
        </w:rPr>
        <w:t>papers. The final search strategies were replicated with minor variations according to different terminology and search functions in each database. The search strategies are available on request from the corresponding author. Searches were conducted between 27</w:t>
      </w:r>
      <w:r w:rsidRPr="00435E9A">
        <w:rPr>
          <w:rFonts w:cstheme="minorHAnsi"/>
          <w:sz w:val="24"/>
          <w:szCs w:val="24"/>
          <w:vertAlign w:val="superscript"/>
        </w:rPr>
        <w:t>th</w:t>
      </w:r>
      <w:r w:rsidRPr="00435E9A">
        <w:rPr>
          <w:rFonts w:cstheme="minorHAnsi"/>
          <w:sz w:val="24"/>
          <w:szCs w:val="24"/>
        </w:rPr>
        <w:t xml:space="preserve"> January and 4</w:t>
      </w:r>
      <w:r w:rsidRPr="00435E9A">
        <w:rPr>
          <w:rFonts w:cstheme="minorHAnsi"/>
          <w:sz w:val="24"/>
          <w:szCs w:val="24"/>
          <w:vertAlign w:val="superscript"/>
        </w:rPr>
        <w:t>th</w:t>
      </w:r>
      <w:r w:rsidRPr="00435E9A">
        <w:rPr>
          <w:rFonts w:cstheme="minorHAnsi"/>
          <w:sz w:val="24"/>
          <w:szCs w:val="24"/>
        </w:rPr>
        <w:t xml:space="preserve"> February 2020</w:t>
      </w:r>
      <w:r>
        <w:rPr>
          <w:rFonts w:cstheme="minorHAnsi"/>
          <w:sz w:val="24"/>
          <w:szCs w:val="24"/>
        </w:rPr>
        <w:t>.</w:t>
      </w:r>
    </w:p>
    <w:p w14:paraId="6DD9DA98" w14:textId="59FE4ADB" w:rsidR="002E0B5D" w:rsidRPr="00435E9A" w:rsidRDefault="002E0B5D" w:rsidP="00771B9F">
      <w:pPr>
        <w:spacing w:after="120" w:line="276" w:lineRule="auto"/>
        <w:rPr>
          <w:rFonts w:cstheme="minorHAnsi"/>
          <w:sz w:val="24"/>
          <w:szCs w:val="24"/>
        </w:rPr>
      </w:pPr>
      <w:r w:rsidRPr="00435E9A">
        <w:rPr>
          <w:rFonts w:cstheme="minorHAnsi"/>
          <w:sz w:val="24"/>
          <w:szCs w:val="24"/>
        </w:rPr>
        <w:t>The following databases were searched: ASSIA, Scopus, Social Services Abstracts, Social Policy and Practice and Social Care Online. All online databases were set to filter results by relevance.</w:t>
      </w:r>
    </w:p>
    <w:p w14:paraId="59A3E03E" w14:textId="0B8A9605" w:rsidR="002E0B5D" w:rsidRPr="00435E9A" w:rsidRDefault="002E0B5D" w:rsidP="00771B9F">
      <w:pPr>
        <w:spacing w:after="120" w:line="276" w:lineRule="auto"/>
        <w:rPr>
          <w:rFonts w:cstheme="minorHAnsi"/>
          <w:sz w:val="24"/>
          <w:szCs w:val="24"/>
        </w:rPr>
      </w:pPr>
      <w:r w:rsidRPr="00435E9A">
        <w:rPr>
          <w:rFonts w:cstheme="minorHAnsi"/>
          <w:sz w:val="24"/>
          <w:szCs w:val="24"/>
        </w:rPr>
        <w:t>Searches were restricted to English language publications since 2000. All study designs were included. Table 1 gives the inclusion/exclusion criteria.</w:t>
      </w:r>
    </w:p>
    <w:p w14:paraId="7EDEA16E" w14:textId="77777777" w:rsidR="002E0B5D" w:rsidRPr="00435E9A" w:rsidRDefault="002E0B5D" w:rsidP="00771B9F">
      <w:pPr>
        <w:autoSpaceDE w:val="0"/>
        <w:autoSpaceDN w:val="0"/>
        <w:adjustRightInd w:val="0"/>
        <w:spacing w:after="120" w:line="276" w:lineRule="auto"/>
        <w:rPr>
          <w:rFonts w:cstheme="minorHAnsi"/>
          <w:i/>
          <w:sz w:val="24"/>
          <w:szCs w:val="24"/>
        </w:rPr>
      </w:pPr>
      <w:r w:rsidRPr="00435E9A">
        <w:rPr>
          <w:rFonts w:cstheme="minorHAnsi"/>
          <w:i/>
          <w:sz w:val="24"/>
          <w:szCs w:val="24"/>
        </w:rPr>
        <w:t>Screening</w:t>
      </w:r>
    </w:p>
    <w:p w14:paraId="3DE40347" w14:textId="018AD0B8"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Citations retrieved from Social Policy </w:t>
      </w:r>
      <w:r w:rsidR="00797EED">
        <w:rPr>
          <w:rFonts w:cstheme="minorHAnsi"/>
          <w:sz w:val="24"/>
          <w:szCs w:val="24"/>
        </w:rPr>
        <w:t>and</w:t>
      </w:r>
      <w:r w:rsidRPr="00435E9A">
        <w:rPr>
          <w:rFonts w:cstheme="minorHAnsi"/>
          <w:sz w:val="24"/>
          <w:szCs w:val="24"/>
        </w:rPr>
        <w:t xml:space="preserve"> Practice, Scopus and Social Care Online were managed within EndNote X10. For technical reasons, screening of references in other databases took place online and only included papers were downloaded. </w:t>
      </w:r>
    </w:p>
    <w:p w14:paraId="6F5EA09E" w14:textId="5EA9E4DA" w:rsidR="002E0B5D" w:rsidRPr="00435E9A" w:rsidRDefault="002E0B5D" w:rsidP="00771B9F">
      <w:pPr>
        <w:spacing w:after="120" w:line="276" w:lineRule="auto"/>
        <w:rPr>
          <w:rFonts w:cstheme="minorHAnsi"/>
          <w:sz w:val="24"/>
          <w:szCs w:val="24"/>
        </w:rPr>
      </w:pPr>
      <w:r w:rsidRPr="00435E9A">
        <w:rPr>
          <w:rFonts w:cstheme="minorHAnsi"/>
          <w:sz w:val="24"/>
          <w:szCs w:val="24"/>
        </w:rPr>
        <w:t>Initial searches identified 26,382 references. After removal of duplicates and</w:t>
      </w:r>
      <w:r w:rsidR="007B2DE7">
        <w:rPr>
          <w:rFonts w:cstheme="minorHAnsi"/>
          <w:sz w:val="24"/>
          <w:szCs w:val="24"/>
        </w:rPr>
        <w:t>,</w:t>
      </w:r>
      <w:r w:rsidRPr="00435E9A">
        <w:rPr>
          <w:rFonts w:cstheme="minorHAnsi"/>
          <w:sz w:val="24"/>
          <w:szCs w:val="24"/>
        </w:rPr>
        <w:t xml:space="preserve"> </w:t>
      </w:r>
      <w:r w:rsidR="007B2DE7" w:rsidRPr="00435E9A">
        <w:rPr>
          <w:rFonts w:cstheme="minorHAnsi"/>
          <w:sz w:val="24"/>
          <w:szCs w:val="24"/>
        </w:rPr>
        <w:t xml:space="preserve">due to </w:t>
      </w:r>
      <w:r w:rsidR="00CA0053">
        <w:rPr>
          <w:rFonts w:cstheme="minorHAnsi"/>
          <w:sz w:val="24"/>
          <w:szCs w:val="24"/>
        </w:rPr>
        <w:t xml:space="preserve">further </w:t>
      </w:r>
      <w:r w:rsidR="007B2DE7" w:rsidRPr="00435E9A">
        <w:rPr>
          <w:rFonts w:cstheme="minorHAnsi"/>
          <w:sz w:val="24"/>
          <w:szCs w:val="24"/>
        </w:rPr>
        <w:t>technical issues</w:t>
      </w:r>
      <w:r w:rsidR="007B2DE7">
        <w:rPr>
          <w:rFonts w:cstheme="minorHAnsi"/>
          <w:sz w:val="24"/>
          <w:szCs w:val="24"/>
        </w:rPr>
        <w:t>,</w:t>
      </w:r>
      <w:r w:rsidR="007B2DE7" w:rsidRPr="00435E9A">
        <w:rPr>
          <w:rFonts w:cstheme="minorHAnsi"/>
          <w:sz w:val="24"/>
          <w:szCs w:val="24"/>
        </w:rPr>
        <w:t xml:space="preserve"> </w:t>
      </w:r>
      <w:r w:rsidR="00CA0053">
        <w:rPr>
          <w:rFonts w:cstheme="minorHAnsi"/>
          <w:sz w:val="24"/>
          <w:szCs w:val="24"/>
        </w:rPr>
        <w:t xml:space="preserve">downloading </w:t>
      </w:r>
      <w:r w:rsidRPr="00435E9A">
        <w:rPr>
          <w:rFonts w:cstheme="minorHAnsi"/>
          <w:sz w:val="24"/>
          <w:szCs w:val="24"/>
        </w:rPr>
        <w:t>of only the first 500 most relevant references from some databases</w:t>
      </w:r>
      <w:r w:rsidR="00CA0053" w:rsidRPr="00CA0053">
        <w:rPr>
          <w:rFonts w:cstheme="minorHAnsi"/>
          <w:sz w:val="24"/>
          <w:szCs w:val="24"/>
        </w:rPr>
        <w:t xml:space="preserve"> </w:t>
      </w:r>
      <w:r w:rsidR="00CA0053">
        <w:rPr>
          <w:rFonts w:cstheme="minorHAnsi"/>
          <w:sz w:val="24"/>
          <w:szCs w:val="24"/>
        </w:rPr>
        <w:t>to reference management software</w:t>
      </w:r>
      <w:r w:rsidRPr="00435E9A">
        <w:rPr>
          <w:rFonts w:cstheme="minorHAnsi"/>
          <w:sz w:val="24"/>
          <w:szCs w:val="24"/>
        </w:rPr>
        <w:t>, 9,825 titles were screened for relevance by RM. One hundred and fifty</w:t>
      </w:r>
      <w:r w:rsidR="007B2DE7">
        <w:rPr>
          <w:rFonts w:cstheme="minorHAnsi"/>
          <w:sz w:val="24"/>
          <w:szCs w:val="24"/>
        </w:rPr>
        <w:t>-</w:t>
      </w:r>
      <w:r w:rsidRPr="00435E9A">
        <w:rPr>
          <w:rFonts w:cstheme="minorHAnsi"/>
          <w:sz w:val="24"/>
          <w:szCs w:val="24"/>
        </w:rPr>
        <w:t>nine were identified as related to decision aids/tools or decision making, and adult social care.</w:t>
      </w:r>
    </w:p>
    <w:p w14:paraId="1C44C7D5" w14:textId="234F2BB8" w:rsidR="002E0B5D" w:rsidRPr="00435E9A" w:rsidRDefault="002E0B5D" w:rsidP="00771B9F">
      <w:pPr>
        <w:autoSpaceDE w:val="0"/>
        <w:autoSpaceDN w:val="0"/>
        <w:adjustRightInd w:val="0"/>
        <w:spacing w:after="120" w:line="276" w:lineRule="auto"/>
        <w:rPr>
          <w:rFonts w:cstheme="minorHAnsi"/>
          <w:sz w:val="24"/>
          <w:szCs w:val="24"/>
        </w:rPr>
      </w:pPr>
      <w:r w:rsidRPr="00435E9A">
        <w:rPr>
          <w:rFonts w:cstheme="minorHAnsi"/>
          <w:sz w:val="24"/>
          <w:szCs w:val="24"/>
        </w:rPr>
        <w:t>RM and KB assessed the titles and abstracts of these 159 papers for eligibility. Disagreements were resolved by consensus or adjudication by YB. Twenty</w:t>
      </w:r>
      <w:r w:rsidR="007B2DE7">
        <w:rPr>
          <w:rFonts w:cstheme="minorHAnsi"/>
          <w:sz w:val="24"/>
          <w:szCs w:val="24"/>
        </w:rPr>
        <w:t>-</w:t>
      </w:r>
      <w:r w:rsidRPr="00435E9A">
        <w:rPr>
          <w:rFonts w:cstheme="minorHAnsi"/>
          <w:sz w:val="24"/>
          <w:szCs w:val="24"/>
        </w:rPr>
        <w:t>three papers were included at this stage. The full texts of these 23 papers were subsequently assessed for inclusion by RM and KB.</w:t>
      </w:r>
    </w:p>
    <w:p w14:paraId="15B308BA" w14:textId="51AED76B" w:rsidR="002E0B5D" w:rsidRPr="00435E9A" w:rsidRDefault="002E0B5D" w:rsidP="00771B9F">
      <w:pPr>
        <w:spacing w:after="120" w:line="276" w:lineRule="auto"/>
        <w:rPr>
          <w:rFonts w:cstheme="minorHAnsi"/>
          <w:sz w:val="24"/>
          <w:szCs w:val="24"/>
        </w:rPr>
      </w:pPr>
      <w:r w:rsidRPr="00435E9A">
        <w:rPr>
          <w:rFonts w:cstheme="minorHAnsi"/>
          <w:sz w:val="24"/>
          <w:szCs w:val="24"/>
        </w:rPr>
        <w:t>Three of these 23 papers met the inclusion criteria (</w:t>
      </w:r>
      <w:proofErr w:type="spellStart"/>
      <w:r w:rsidRPr="00435E9A">
        <w:rPr>
          <w:rFonts w:cstheme="minorHAnsi"/>
          <w:sz w:val="24"/>
          <w:szCs w:val="24"/>
        </w:rPr>
        <w:t>Garvelink</w:t>
      </w:r>
      <w:proofErr w:type="spellEnd"/>
      <w:r w:rsidRPr="00435E9A">
        <w:rPr>
          <w:rFonts w:cstheme="minorHAnsi"/>
          <w:sz w:val="24"/>
          <w:szCs w:val="24"/>
        </w:rPr>
        <w:t xml:space="preserve"> et al, 2016; </w:t>
      </w:r>
      <w:proofErr w:type="spellStart"/>
      <w:r w:rsidRPr="00435E9A">
        <w:rPr>
          <w:rFonts w:cstheme="minorHAnsi"/>
          <w:sz w:val="24"/>
          <w:szCs w:val="24"/>
        </w:rPr>
        <w:t>Friedemann</w:t>
      </w:r>
      <w:proofErr w:type="spellEnd"/>
      <w:r w:rsidRPr="00435E9A">
        <w:rPr>
          <w:rFonts w:cstheme="minorHAnsi"/>
          <w:sz w:val="24"/>
          <w:szCs w:val="24"/>
        </w:rPr>
        <w:t xml:space="preserve"> et al, 2004;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During full text screening, it became apparent that the decision aid development work described by </w:t>
      </w:r>
      <w:proofErr w:type="spellStart"/>
      <w:r w:rsidRPr="00435E9A">
        <w:rPr>
          <w:rFonts w:cstheme="minorHAnsi"/>
          <w:sz w:val="24"/>
          <w:szCs w:val="24"/>
        </w:rPr>
        <w:t>Garvelink</w:t>
      </w:r>
      <w:proofErr w:type="spellEnd"/>
      <w:r w:rsidRPr="00435E9A">
        <w:rPr>
          <w:rFonts w:cstheme="minorHAnsi"/>
          <w:sz w:val="24"/>
          <w:szCs w:val="24"/>
        </w:rPr>
        <w:t xml:space="preserve"> et al (2016) referred to a study </w:t>
      </w:r>
      <w:r w:rsidRPr="00435E9A">
        <w:rPr>
          <w:rFonts w:cstheme="minorHAnsi"/>
          <w:sz w:val="24"/>
          <w:szCs w:val="24"/>
        </w:rPr>
        <w:lastRenderedPageBreak/>
        <w:t>protocol (</w:t>
      </w:r>
      <w:proofErr w:type="spellStart"/>
      <w:r w:rsidR="00F14C23" w:rsidRPr="007E213F">
        <w:rPr>
          <w:rFonts w:cstheme="minorHAnsi"/>
          <w:sz w:val="24"/>
          <w:szCs w:val="24"/>
          <w:shd w:val="clear" w:color="auto" w:fill="FFFFFF"/>
        </w:rPr>
        <w:t>Légaré</w:t>
      </w:r>
      <w:proofErr w:type="spellEnd"/>
      <w:r w:rsidR="00F14C23" w:rsidRPr="00435E9A">
        <w:rPr>
          <w:rFonts w:cstheme="minorHAnsi"/>
          <w:sz w:val="24"/>
          <w:szCs w:val="24"/>
        </w:rPr>
        <w:t xml:space="preserve"> </w:t>
      </w:r>
      <w:r w:rsidRPr="00435E9A">
        <w:rPr>
          <w:rFonts w:cstheme="minorHAnsi"/>
          <w:sz w:val="24"/>
          <w:szCs w:val="24"/>
        </w:rPr>
        <w:t>et al 2015) for a cluster randomised controlled trial (RCT) with the decision aid embedded within the trial. A search for papers about the RCT identified a fourth paper (not the RCT) that met the inclusion criteria (</w:t>
      </w:r>
      <w:proofErr w:type="spellStart"/>
      <w:r w:rsidRPr="00435E9A">
        <w:rPr>
          <w:rFonts w:cstheme="minorHAnsi"/>
          <w:sz w:val="24"/>
          <w:szCs w:val="24"/>
        </w:rPr>
        <w:t>Garvelink</w:t>
      </w:r>
      <w:proofErr w:type="spellEnd"/>
      <w:r w:rsidRPr="00435E9A">
        <w:rPr>
          <w:rFonts w:cstheme="minorHAnsi"/>
          <w:sz w:val="24"/>
          <w:szCs w:val="24"/>
        </w:rPr>
        <w:t xml:space="preserve"> et al, 2017). </w:t>
      </w:r>
    </w:p>
    <w:p w14:paraId="106292F4" w14:textId="1CB3B5EA"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Five papers </w:t>
      </w:r>
      <w:r w:rsidR="00CA0053">
        <w:rPr>
          <w:rFonts w:cstheme="minorHAnsi"/>
          <w:sz w:val="24"/>
          <w:szCs w:val="24"/>
        </w:rPr>
        <w:t xml:space="preserve">that were </w:t>
      </w:r>
      <w:r w:rsidRPr="00435E9A">
        <w:rPr>
          <w:rFonts w:cstheme="minorHAnsi"/>
          <w:sz w:val="24"/>
          <w:szCs w:val="24"/>
        </w:rPr>
        <w:t xml:space="preserve">excluded because they did not report empirical research (Philipson et al, 2019; </w:t>
      </w:r>
      <w:proofErr w:type="spellStart"/>
      <w:r w:rsidRPr="00435E9A">
        <w:rPr>
          <w:rFonts w:cstheme="minorHAnsi"/>
          <w:sz w:val="24"/>
          <w:szCs w:val="24"/>
        </w:rPr>
        <w:t>Alexcih</w:t>
      </w:r>
      <w:proofErr w:type="spellEnd"/>
      <w:r w:rsidRPr="00435E9A">
        <w:rPr>
          <w:rFonts w:cstheme="minorHAnsi"/>
          <w:sz w:val="24"/>
          <w:szCs w:val="24"/>
        </w:rPr>
        <w:t xml:space="preserve">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Blakeway</w:t>
      </w:r>
      <w:proofErr w:type="spellEnd"/>
      <w:r w:rsidRPr="00435E9A">
        <w:rPr>
          <w:rFonts w:cstheme="minorHAnsi"/>
          <w:sz w:val="24"/>
          <w:szCs w:val="24"/>
        </w:rPr>
        <w:t xml:space="preserve">, 2012; Kane et al, 2007; Kohn, 2004; </w:t>
      </w:r>
      <w:proofErr w:type="spellStart"/>
      <w:r w:rsidRPr="00435E9A">
        <w:rPr>
          <w:rFonts w:cstheme="minorHAnsi"/>
          <w:sz w:val="24"/>
          <w:szCs w:val="24"/>
        </w:rPr>
        <w:t>Polniaszek</w:t>
      </w:r>
      <w:proofErr w:type="spellEnd"/>
      <w:r w:rsidRPr="00435E9A">
        <w:rPr>
          <w:rFonts w:cstheme="minorHAnsi"/>
          <w:sz w:val="24"/>
          <w:szCs w:val="24"/>
        </w:rPr>
        <w:t xml:space="preserve"> </w:t>
      </w:r>
      <w:r w:rsidR="00797EED">
        <w:rPr>
          <w:rFonts w:cstheme="minorHAnsi"/>
          <w:sz w:val="24"/>
          <w:szCs w:val="24"/>
        </w:rPr>
        <w:t>and</w:t>
      </w:r>
      <w:r w:rsidRPr="00435E9A">
        <w:rPr>
          <w:rFonts w:cstheme="minorHAnsi"/>
          <w:sz w:val="24"/>
          <w:szCs w:val="24"/>
        </w:rPr>
        <w:t xml:space="preserve"> Klinger,</w:t>
      </w:r>
      <w:r w:rsidR="00CA0053">
        <w:rPr>
          <w:rFonts w:cstheme="minorHAnsi"/>
          <w:sz w:val="24"/>
          <w:szCs w:val="24"/>
        </w:rPr>
        <w:t xml:space="preserve"> </w:t>
      </w:r>
      <w:r w:rsidRPr="00435E9A">
        <w:rPr>
          <w:rFonts w:cstheme="minorHAnsi"/>
          <w:sz w:val="24"/>
          <w:szCs w:val="24"/>
        </w:rPr>
        <w:t xml:space="preserve">2004) listed and described </w:t>
      </w:r>
      <w:bookmarkStart w:id="3" w:name="_Hlk42770381"/>
      <w:r w:rsidRPr="00435E9A">
        <w:rPr>
          <w:rFonts w:cstheme="minorHAnsi"/>
          <w:sz w:val="24"/>
          <w:szCs w:val="24"/>
        </w:rPr>
        <w:t>web-based resources aimed at helping people plan later life care</w:t>
      </w:r>
      <w:bookmarkEnd w:id="3"/>
      <w:r w:rsidRPr="00435E9A">
        <w:rPr>
          <w:rFonts w:cstheme="minorHAnsi"/>
          <w:sz w:val="24"/>
          <w:szCs w:val="24"/>
        </w:rPr>
        <w:t xml:space="preserve">. These included an interactive, self-administered decision aid called ‘Long-Term Care </w:t>
      </w:r>
      <w:proofErr w:type="spellStart"/>
      <w:r w:rsidRPr="00435E9A">
        <w:rPr>
          <w:rFonts w:cstheme="minorHAnsi"/>
          <w:sz w:val="24"/>
          <w:szCs w:val="24"/>
        </w:rPr>
        <w:t>Counselor</w:t>
      </w:r>
      <w:proofErr w:type="spellEnd"/>
      <w:r w:rsidRPr="00435E9A">
        <w:rPr>
          <w:rFonts w:cstheme="minorHAnsi"/>
          <w:sz w:val="24"/>
          <w:szCs w:val="24"/>
        </w:rPr>
        <w:t>’ (LTCC) developed by the National Council on Ageing as part of the Centres for Medicare and Medicaid Services Long Term Care Initiative in the USA (</w:t>
      </w:r>
      <w:proofErr w:type="spellStart"/>
      <w:r w:rsidRPr="00435E9A">
        <w:rPr>
          <w:rFonts w:cstheme="minorHAnsi"/>
          <w:sz w:val="24"/>
          <w:szCs w:val="24"/>
        </w:rPr>
        <w:t>Polniaszek</w:t>
      </w:r>
      <w:proofErr w:type="spellEnd"/>
      <w:r w:rsidRPr="00435E9A">
        <w:rPr>
          <w:rFonts w:cstheme="minorHAnsi"/>
          <w:sz w:val="24"/>
          <w:szCs w:val="24"/>
        </w:rPr>
        <w:t xml:space="preserve"> </w:t>
      </w:r>
      <w:r w:rsidR="00797EED">
        <w:rPr>
          <w:rFonts w:cstheme="minorHAnsi"/>
          <w:sz w:val="24"/>
          <w:szCs w:val="24"/>
        </w:rPr>
        <w:t>and</w:t>
      </w:r>
      <w:r w:rsidRPr="00435E9A">
        <w:rPr>
          <w:rFonts w:cstheme="minorHAnsi"/>
          <w:sz w:val="24"/>
          <w:szCs w:val="24"/>
        </w:rPr>
        <w:t xml:space="preserve"> Klinger, 2004; </w:t>
      </w:r>
      <w:hyperlink r:id="rId12" w:history="1">
        <w:r w:rsidRPr="00435E9A">
          <w:rPr>
            <w:rStyle w:val="Hyperlink"/>
            <w:rFonts w:cstheme="minorHAnsi"/>
            <w:color w:val="auto"/>
            <w:sz w:val="24"/>
            <w:szCs w:val="24"/>
          </w:rPr>
          <w:t>https://longtermcare.acl.gov/</w:t>
        </w:r>
      </w:hyperlink>
      <w:r w:rsidRPr="00435E9A">
        <w:rPr>
          <w:rFonts w:cstheme="minorHAnsi"/>
          <w:sz w:val="24"/>
          <w:szCs w:val="24"/>
        </w:rPr>
        <w:t>) and a decision aid developed by a US Minnesota State Board on Ageing (Kane et al, 2007) called the ‘Long-Term Care Choices Navigator (</w:t>
      </w:r>
      <w:hyperlink r:id="rId13" w:history="1">
        <w:r w:rsidRPr="00435E9A">
          <w:rPr>
            <w:rStyle w:val="Hyperlink"/>
            <w:rFonts w:cstheme="minorHAnsi"/>
            <w:color w:val="auto"/>
            <w:sz w:val="24"/>
            <w:szCs w:val="24"/>
          </w:rPr>
          <w:t>https://longtermcarechoices.minnesotahelp.info/</w:t>
        </w:r>
      </w:hyperlink>
      <w:r w:rsidRPr="00435E9A">
        <w:rPr>
          <w:rFonts w:cstheme="minorHAnsi"/>
          <w:sz w:val="24"/>
          <w:szCs w:val="24"/>
        </w:rPr>
        <w:t xml:space="preserve">’.) The other three papers (Philipson et al, 2019; </w:t>
      </w:r>
      <w:proofErr w:type="spellStart"/>
      <w:r w:rsidRPr="00435E9A">
        <w:rPr>
          <w:rFonts w:cstheme="minorHAnsi"/>
          <w:sz w:val="24"/>
          <w:szCs w:val="24"/>
        </w:rPr>
        <w:t>Alexcih</w:t>
      </w:r>
      <w:proofErr w:type="spellEnd"/>
      <w:r w:rsidRPr="00435E9A">
        <w:rPr>
          <w:rFonts w:cstheme="minorHAnsi"/>
          <w:sz w:val="24"/>
          <w:szCs w:val="24"/>
        </w:rPr>
        <w:t xml:space="preserve">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Blakeway</w:t>
      </w:r>
      <w:proofErr w:type="spellEnd"/>
      <w:r w:rsidRPr="00435E9A">
        <w:rPr>
          <w:rFonts w:cstheme="minorHAnsi"/>
          <w:sz w:val="24"/>
          <w:szCs w:val="24"/>
        </w:rPr>
        <w:t xml:space="preserve">, 2012; Kohn, 2004) </w:t>
      </w:r>
      <w:r w:rsidR="006A44A3">
        <w:rPr>
          <w:rFonts w:cstheme="minorHAnsi"/>
          <w:sz w:val="24"/>
          <w:szCs w:val="24"/>
        </w:rPr>
        <w:t xml:space="preserve">each </w:t>
      </w:r>
      <w:r w:rsidRPr="00435E9A">
        <w:rPr>
          <w:rFonts w:cstheme="minorHAnsi"/>
          <w:sz w:val="24"/>
          <w:szCs w:val="24"/>
        </w:rPr>
        <w:t>summarised internet-based resources for planning later life care</w:t>
      </w:r>
      <w:r w:rsidR="006A44A3">
        <w:rPr>
          <w:rFonts w:cstheme="minorHAnsi"/>
          <w:sz w:val="24"/>
          <w:szCs w:val="24"/>
        </w:rPr>
        <w:t>;</w:t>
      </w:r>
      <w:r w:rsidRPr="00435E9A">
        <w:rPr>
          <w:rFonts w:cstheme="minorHAnsi"/>
          <w:sz w:val="24"/>
          <w:szCs w:val="24"/>
        </w:rPr>
        <w:t xml:space="preserve"> gathering information about care facilities</w:t>
      </w:r>
      <w:r w:rsidR="006A44A3">
        <w:rPr>
          <w:rFonts w:cstheme="minorHAnsi"/>
          <w:sz w:val="24"/>
          <w:szCs w:val="24"/>
        </w:rPr>
        <w:t>;</w:t>
      </w:r>
      <w:r w:rsidRPr="00435E9A">
        <w:rPr>
          <w:rFonts w:cstheme="minorHAnsi"/>
          <w:sz w:val="24"/>
          <w:szCs w:val="24"/>
        </w:rPr>
        <w:t xml:space="preserve"> and availability of care services. </w:t>
      </w:r>
    </w:p>
    <w:p w14:paraId="30AC43C7" w14:textId="7F1F4C04"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An online search for a web-based decision tool described by </w:t>
      </w:r>
      <w:proofErr w:type="spellStart"/>
      <w:r w:rsidRPr="00435E9A">
        <w:rPr>
          <w:rFonts w:cstheme="minorHAnsi"/>
          <w:sz w:val="24"/>
          <w:szCs w:val="24"/>
        </w:rPr>
        <w:t>Alexcih</w:t>
      </w:r>
      <w:proofErr w:type="spellEnd"/>
      <w:r w:rsidRPr="00435E9A">
        <w:rPr>
          <w:rFonts w:cstheme="minorHAnsi"/>
          <w:sz w:val="24"/>
          <w:szCs w:val="24"/>
        </w:rPr>
        <w:t xml:space="preserve">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Blakeway</w:t>
      </w:r>
      <w:proofErr w:type="spellEnd"/>
      <w:r w:rsidRPr="00435E9A">
        <w:rPr>
          <w:rFonts w:cstheme="minorHAnsi"/>
          <w:sz w:val="24"/>
          <w:szCs w:val="24"/>
        </w:rPr>
        <w:t xml:space="preserve"> (2012) as “currently in development” revealed one further study that met the review inclusion criteria (Hoffman et al</w:t>
      </w:r>
      <w:r w:rsidR="006A44A3">
        <w:rPr>
          <w:rFonts w:cstheme="minorHAnsi"/>
          <w:sz w:val="24"/>
          <w:szCs w:val="24"/>
        </w:rPr>
        <w:t>,</w:t>
      </w:r>
      <w:r w:rsidRPr="00435E9A">
        <w:rPr>
          <w:rFonts w:cstheme="minorHAnsi"/>
          <w:sz w:val="24"/>
          <w:szCs w:val="24"/>
        </w:rPr>
        <w:t xml:space="preserve"> 2019; </w:t>
      </w:r>
      <w:hyperlink r:id="rId14" w:history="1">
        <w:r w:rsidRPr="00435E9A">
          <w:rPr>
            <w:rStyle w:val="Hyperlink"/>
            <w:rFonts w:cstheme="minorHAnsi"/>
            <w:color w:val="auto"/>
            <w:sz w:val="24"/>
            <w:szCs w:val="24"/>
          </w:rPr>
          <w:t>https://longtermcare.dartmouth.edu/</w:t>
        </w:r>
      </w:hyperlink>
      <w:r w:rsidRPr="00435E9A">
        <w:rPr>
          <w:rFonts w:cstheme="minorHAnsi"/>
          <w:sz w:val="24"/>
          <w:szCs w:val="24"/>
        </w:rPr>
        <w:t xml:space="preserve">). </w:t>
      </w:r>
    </w:p>
    <w:p w14:paraId="5BB0F86A" w14:textId="10E03233"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Therefore, five studies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w:t>
      </w:r>
      <w:proofErr w:type="spellStart"/>
      <w:r w:rsidRPr="00435E9A">
        <w:rPr>
          <w:rFonts w:cstheme="minorHAnsi"/>
          <w:sz w:val="24"/>
          <w:szCs w:val="24"/>
        </w:rPr>
        <w:t>Friedemann</w:t>
      </w:r>
      <w:proofErr w:type="spellEnd"/>
      <w:r w:rsidRPr="00435E9A">
        <w:rPr>
          <w:rFonts w:cstheme="minorHAnsi"/>
          <w:sz w:val="24"/>
          <w:szCs w:val="24"/>
        </w:rPr>
        <w:t xml:space="preserve"> et al 2004; </w:t>
      </w:r>
      <w:proofErr w:type="spellStart"/>
      <w:r w:rsidRPr="00435E9A">
        <w:rPr>
          <w:rFonts w:cstheme="minorHAnsi"/>
          <w:sz w:val="24"/>
          <w:szCs w:val="24"/>
        </w:rPr>
        <w:t>Garvelink</w:t>
      </w:r>
      <w:proofErr w:type="spellEnd"/>
      <w:r w:rsidRPr="00435E9A">
        <w:rPr>
          <w:rFonts w:cstheme="minorHAnsi"/>
          <w:sz w:val="24"/>
          <w:szCs w:val="24"/>
        </w:rPr>
        <w:t xml:space="preserve"> et al 2016; </w:t>
      </w:r>
      <w:proofErr w:type="spellStart"/>
      <w:r w:rsidRPr="00435E9A">
        <w:rPr>
          <w:rFonts w:cstheme="minorHAnsi"/>
          <w:sz w:val="24"/>
          <w:szCs w:val="24"/>
        </w:rPr>
        <w:t>Garvelink</w:t>
      </w:r>
      <w:proofErr w:type="spellEnd"/>
      <w:r w:rsidRPr="00435E9A">
        <w:rPr>
          <w:rFonts w:cstheme="minorHAnsi"/>
          <w:sz w:val="24"/>
          <w:szCs w:val="24"/>
        </w:rPr>
        <w:t xml:space="preserve"> et al 2017; Hoffman et al, 2019) were included in the review following initial searches.</w:t>
      </w:r>
    </w:p>
    <w:p w14:paraId="2F36F385" w14:textId="77777777" w:rsidR="002E0B5D" w:rsidRPr="00435E9A" w:rsidRDefault="002E0B5D" w:rsidP="00771B9F">
      <w:pPr>
        <w:autoSpaceDE w:val="0"/>
        <w:autoSpaceDN w:val="0"/>
        <w:adjustRightInd w:val="0"/>
        <w:spacing w:after="120" w:line="276" w:lineRule="auto"/>
        <w:rPr>
          <w:rFonts w:cstheme="minorHAnsi"/>
          <w:sz w:val="24"/>
          <w:szCs w:val="24"/>
          <w:u w:val="single"/>
        </w:rPr>
      </w:pPr>
    </w:p>
    <w:p w14:paraId="6A28F634" w14:textId="77777777" w:rsidR="002E0B5D" w:rsidRPr="00435E9A" w:rsidRDefault="002E0B5D" w:rsidP="00771B9F">
      <w:pPr>
        <w:autoSpaceDE w:val="0"/>
        <w:autoSpaceDN w:val="0"/>
        <w:adjustRightInd w:val="0"/>
        <w:spacing w:after="120" w:line="276" w:lineRule="auto"/>
        <w:rPr>
          <w:rFonts w:cstheme="minorHAnsi"/>
          <w:i/>
          <w:sz w:val="24"/>
          <w:szCs w:val="24"/>
        </w:rPr>
      </w:pPr>
      <w:r w:rsidRPr="00435E9A">
        <w:rPr>
          <w:rFonts w:cstheme="minorHAnsi"/>
          <w:i/>
          <w:sz w:val="24"/>
          <w:szCs w:val="24"/>
        </w:rPr>
        <w:t xml:space="preserve">Forward citation tracking and </w:t>
      </w:r>
      <w:proofErr w:type="spellStart"/>
      <w:r w:rsidRPr="00435E9A">
        <w:rPr>
          <w:rFonts w:cstheme="minorHAnsi"/>
          <w:i/>
          <w:sz w:val="24"/>
          <w:szCs w:val="24"/>
        </w:rPr>
        <w:t>handsearching</w:t>
      </w:r>
      <w:proofErr w:type="spellEnd"/>
      <w:r w:rsidRPr="00435E9A">
        <w:rPr>
          <w:rFonts w:cstheme="minorHAnsi"/>
          <w:i/>
          <w:sz w:val="24"/>
          <w:szCs w:val="24"/>
        </w:rPr>
        <w:t xml:space="preserve"> for additional evidence</w:t>
      </w:r>
    </w:p>
    <w:p w14:paraId="407A0E45" w14:textId="35568868" w:rsidR="002E0B5D" w:rsidRPr="00435E9A" w:rsidRDefault="002E0B5D" w:rsidP="00771B9F">
      <w:pPr>
        <w:spacing w:after="120" w:line="276" w:lineRule="auto"/>
        <w:rPr>
          <w:rFonts w:cstheme="minorHAnsi"/>
          <w:sz w:val="24"/>
          <w:szCs w:val="24"/>
        </w:rPr>
      </w:pPr>
      <w:r w:rsidRPr="00435E9A">
        <w:rPr>
          <w:rFonts w:cstheme="minorHAnsi"/>
          <w:sz w:val="24"/>
          <w:szCs w:val="24"/>
        </w:rPr>
        <w:t>Forward citation tracking of the five included papers via Web of Science (</w:t>
      </w:r>
      <w:proofErr w:type="spellStart"/>
      <w:r w:rsidRPr="00435E9A">
        <w:rPr>
          <w:rFonts w:cstheme="minorHAnsi"/>
          <w:sz w:val="24"/>
          <w:szCs w:val="24"/>
        </w:rPr>
        <w:t>WoS</w:t>
      </w:r>
      <w:proofErr w:type="spellEnd"/>
      <w:r w:rsidRPr="00435E9A">
        <w:rPr>
          <w:rFonts w:cstheme="minorHAnsi"/>
          <w:sz w:val="24"/>
          <w:szCs w:val="24"/>
        </w:rPr>
        <w:t>) Cited Reference Search facility was undertaken to identify additional papers. The reference lists of these five papers were also hand-searched. Cited reference searches and hand-searching were conducted on 16</w:t>
      </w:r>
      <w:r w:rsidRPr="00435E9A">
        <w:rPr>
          <w:rFonts w:cstheme="minorHAnsi"/>
          <w:sz w:val="24"/>
          <w:szCs w:val="24"/>
          <w:vertAlign w:val="superscript"/>
        </w:rPr>
        <w:t>th</w:t>
      </w:r>
      <w:r w:rsidRPr="00435E9A">
        <w:rPr>
          <w:rFonts w:cstheme="minorHAnsi"/>
          <w:sz w:val="24"/>
          <w:szCs w:val="24"/>
        </w:rPr>
        <w:t xml:space="preserve"> March 2020.</w:t>
      </w:r>
    </w:p>
    <w:p w14:paraId="25823DB1" w14:textId="0B779AC3" w:rsidR="002E0B5D" w:rsidRPr="00435E9A" w:rsidRDefault="002E0B5D" w:rsidP="00771B9F">
      <w:pPr>
        <w:spacing w:after="120" w:line="276" w:lineRule="auto"/>
        <w:rPr>
          <w:rFonts w:cstheme="minorHAnsi"/>
          <w:sz w:val="24"/>
          <w:szCs w:val="24"/>
        </w:rPr>
      </w:pPr>
      <w:r w:rsidRPr="00435E9A">
        <w:rPr>
          <w:rFonts w:cstheme="minorHAnsi"/>
          <w:sz w:val="24"/>
          <w:szCs w:val="24"/>
        </w:rPr>
        <w:t>Twenty</w:t>
      </w:r>
      <w:r w:rsidR="00B366D0">
        <w:rPr>
          <w:rFonts w:cstheme="minorHAnsi"/>
          <w:sz w:val="24"/>
          <w:szCs w:val="24"/>
        </w:rPr>
        <w:t>-</w:t>
      </w:r>
      <w:r w:rsidRPr="00435E9A">
        <w:rPr>
          <w:rFonts w:cstheme="minorHAnsi"/>
          <w:sz w:val="24"/>
          <w:szCs w:val="24"/>
        </w:rPr>
        <w:t>one potentially relevant papers were identified from the forward citation search and none from the hand-searching. Titles and abstracts then full texts were screened using the eligibility criteria described in Table 1. Two papers were included (</w:t>
      </w:r>
      <w:proofErr w:type="spellStart"/>
      <w:r w:rsidRPr="00435E9A">
        <w:rPr>
          <w:rFonts w:cstheme="minorHAnsi"/>
          <w:sz w:val="24"/>
          <w:szCs w:val="24"/>
        </w:rPr>
        <w:t>Pinquart</w:t>
      </w:r>
      <w:proofErr w:type="spellEnd"/>
      <w:r w:rsidRPr="00435E9A">
        <w:rPr>
          <w:rFonts w:cstheme="minorHAnsi"/>
          <w:sz w:val="24"/>
          <w:szCs w:val="24"/>
        </w:rPr>
        <w:t xml:space="preserve"> </w:t>
      </w:r>
      <w:r w:rsidR="00797EED">
        <w:rPr>
          <w:rFonts w:cstheme="minorHAnsi"/>
          <w:sz w:val="24"/>
          <w:szCs w:val="24"/>
        </w:rPr>
        <w:t>and</w:t>
      </w:r>
      <w:r w:rsidRPr="00435E9A">
        <w:rPr>
          <w:rFonts w:cstheme="minorHAnsi"/>
          <w:sz w:val="24"/>
          <w:szCs w:val="24"/>
        </w:rPr>
        <w:t xml:space="preserve"> Sorensen, 2002a; Sorensen et al, 2012); both assessed the effectiveness of the PFCN tool developed in Sorensen et al (2001) in terms of subjective well-being, depression and anxiety.</w:t>
      </w:r>
    </w:p>
    <w:p w14:paraId="6ABAA07A" w14:textId="7D2B7DF7"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None of the above methods identified the ‘DOLCE’ randomised controlled trial referred to by </w:t>
      </w:r>
      <w:proofErr w:type="spellStart"/>
      <w:r w:rsidRPr="00435E9A">
        <w:rPr>
          <w:rFonts w:cstheme="minorHAnsi"/>
          <w:sz w:val="24"/>
          <w:szCs w:val="24"/>
        </w:rPr>
        <w:t>Garvelink</w:t>
      </w:r>
      <w:proofErr w:type="spellEnd"/>
      <w:r w:rsidRPr="00435E9A">
        <w:rPr>
          <w:rFonts w:cstheme="minorHAnsi"/>
          <w:sz w:val="24"/>
          <w:szCs w:val="24"/>
        </w:rPr>
        <w:t xml:space="preserve"> et al (2016), for which their decision guide about location of care was developed. A final online search identified a paper by </w:t>
      </w:r>
      <w:proofErr w:type="spellStart"/>
      <w:r w:rsidRPr="00435E9A">
        <w:rPr>
          <w:rFonts w:cstheme="minorHAnsi"/>
          <w:sz w:val="24"/>
          <w:szCs w:val="24"/>
        </w:rPr>
        <w:t>Adekpedjou</w:t>
      </w:r>
      <w:proofErr w:type="spellEnd"/>
      <w:r w:rsidRPr="00435E9A">
        <w:rPr>
          <w:rFonts w:cstheme="minorHAnsi"/>
          <w:sz w:val="24"/>
          <w:szCs w:val="24"/>
        </w:rPr>
        <w:t xml:space="preserve"> et al (20</w:t>
      </w:r>
      <w:r w:rsidR="005C3417">
        <w:rPr>
          <w:rFonts w:cstheme="minorHAnsi"/>
          <w:sz w:val="24"/>
          <w:szCs w:val="24"/>
        </w:rPr>
        <w:t>20</w:t>
      </w:r>
      <w:r w:rsidRPr="00435E9A">
        <w:rPr>
          <w:rFonts w:cstheme="minorHAnsi"/>
          <w:sz w:val="24"/>
          <w:szCs w:val="24"/>
        </w:rPr>
        <w:t xml:space="preserve">) on </w:t>
      </w:r>
      <w:proofErr w:type="spellStart"/>
      <w:r w:rsidRPr="00435E9A">
        <w:rPr>
          <w:rFonts w:cstheme="minorHAnsi"/>
          <w:sz w:val="24"/>
          <w:szCs w:val="24"/>
        </w:rPr>
        <w:t>ResearchGate</w:t>
      </w:r>
      <w:proofErr w:type="spellEnd"/>
      <w:r w:rsidRPr="00435E9A">
        <w:rPr>
          <w:rFonts w:cstheme="minorHAnsi"/>
          <w:sz w:val="24"/>
          <w:szCs w:val="24"/>
        </w:rPr>
        <w:t xml:space="preserve"> which described a trial investigating the effectiveness of an intervention to </w:t>
      </w:r>
      <w:r w:rsidRPr="00435E9A">
        <w:rPr>
          <w:rFonts w:cstheme="minorHAnsi"/>
          <w:sz w:val="24"/>
          <w:szCs w:val="24"/>
        </w:rPr>
        <w:lastRenderedPageBreak/>
        <w:t xml:space="preserve">engage care-givers in health-related housing decisions for older adults. The intervention included the use of the decision guide developed by </w:t>
      </w:r>
      <w:proofErr w:type="spellStart"/>
      <w:r w:rsidRPr="00435E9A">
        <w:rPr>
          <w:rFonts w:cstheme="minorHAnsi"/>
          <w:sz w:val="24"/>
          <w:szCs w:val="24"/>
        </w:rPr>
        <w:t>Garvelink</w:t>
      </w:r>
      <w:proofErr w:type="spellEnd"/>
      <w:r w:rsidRPr="00435E9A">
        <w:rPr>
          <w:rFonts w:cstheme="minorHAnsi"/>
          <w:sz w:val="24"/>
          <w:szCs w:val="24"/>
        </w:rPr>
        <w:t xml:space="preserve"> et al (2016). </w:t>
      </w:r>
    </w:p>
    <w:p w14:paraId="14AB5532"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Thus three additional papers were included that reported on the effectiveness of two of the decision aids described in the original five included papers.</w:t>
      </w:r>
    </w:p>
    <w:p w14:paraId="0BF00FB9" w14:textId="77777777" w:rsidR="002E0B5D" w:rsidRDefault="002E0B5D" w:rsidP="00771B9F">
      <w:pPr>
        <w:spacing w:after="120" w:line="276" w:lineRule="auto"/>
        <w:rPr>
          <w:rFonts w:cstheme="minorHAnsi"/>
          <w:sz w:val="24"/>
          <w:szCs w:val="24"/>
        </w:rPr>
      </w:pPr>
      <w:r w:rsidRPr="00435E9A">
        <w:rPr>
          <w:rFonts w:cstheme="minorHAnsi"/>
          <w:sz w:val="24"/>
          <w:szCs w:val="24"/>
        </w:rPr>
        <w:t>Figure 1 displays a flow chart of the review screening process.</w:t>
      </w:r>
    </w:p>
    <w:p w14:paraId="1397D44C" w14:textId="77777777" w:rsidR="002E0B5D" w:rsidRPr="00435E9A" w:rsidRDefault="002E0B5D" w:rsidP="00771B9F">
      <w:pPr>
        <w:spacing w:after="120" w:line="276" w:lineRule="auto"/>
        <w:rPr>
          <w:rFonts w:cstheme="minorHAnsi"/>
          <w:sz w:val="24"/>
          <w:szCs w:val="24"/>
        </w:rPr>
      </w:pPr>
    </w:p>
    <w:p w14:paraId="42B821E7"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Quality appraisal</w:t>
      </w:r>
    </w:p>
    <w:p w14:paraId="2CF980E6" w14:textId="0E74F1EF" w:rsidR="002E0B5D" w:rsidRPr="00435E9A" w:rsidRDefault="002E0B5D" w:rsidP="00771B9F">
      <w:pPr>
        <w:spacing w:after="120" w:line="276" w:lineRule="auto"/>
        <w:rPr>
          <w:rFonts w:cstheme="minorHAnsi"/>
          <w:sz w:val="24"/>
          <w:szCs w:val="24"/>
        </w:rPr>
      </w:pPr>
      <w:r w:rsidRPr="00435E9A">
        <w:rPr>
          <w:rFonts w:cstheme="minorHAnsi"/>
          <w:sz w:val="24"/>
          <w:szCs w:val="24"/>
        </w:rPr>
        <w:t>As this was a rapid scoping review aimed at identifying the size and range of research evidence available, quality appraisal of studies was not undertaken.</w:t>
      </w:r>
    </w:p>
    <w:p w14:paraId="7AD2B332" w14:textId="77777777" w:rsidR="002E0B5D" w:rsidRPr="00435E9A" w:rsidRDefault="002E0B5D" w:rsidP="00771B9F">
      <w:pPr>
        <w:spacing w:after="120" w:line="276" w:lineRule="auto"/>
        <w:rPr>
          <w:rFonts w:cstheme="minorHAnsi"/>
          <w:sz w:val="24"/>
          <w:szCs w:val="24"/>
        </w:rPr>
      </w:pPr>
    </w:p>
    <w:p w14:paraId="0031757C"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Data extraction</w:t>
      </w:r>
    </w:p>
    <w:p w14:paraId="0474D451"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RM extracted data from all included studies according to the following themes:</w:t>
      </w:r>
    </w:p>
    <w:p w14:paraId="1101D8BC" w14:textId="53BBD2AD" w:rsidR="002E0B5D" w:rsidRPr="00435E9A" w:rsidRDefault="002E0B5D" w:rsidP="00771B9F">
      <w:pPr>
        <w:pStyle w:val="ListParagraph"/>
        <w:numPr>
          <w:ilvl w:val="0"/>
          <w:numId w:val="2"/>
        </w:numPr>
        <w:spacing w:after="120" w:line="276" w:lineRule="auto"/>
        <w:rPr>
          <w:rFonts w:cstheme="minorHAnsi"/>
          <w:sz w:val="24"/>
          <w:szCs w:val="24"/>
        </w:rPr>
      </w:pPr>
      <w:r w:rsidRPr="00435E9A">
        <w:rPr>
          <w:rFonts w:cstheme="minorHAnsi"/>
          <w:sz w:val="24"/>
          <w:szCs w:val="24"/>
        </w:rPr>
        <w:t xml:space="preserve">the purpose of </w:t>
      </w:r>
      <w:r w:rsidR="006A44A3">
        <w:rPr>
          <w:rFonts w:cstheme="minorHAnsi"/>
          <w:sz w:val="24"/>
          <w:szCs w:val="24"/>
        </w:rPr>
        <w:t xml:space="preserve">the </w:t>
      </w:r>
      <w:r w:rsidRPr="00435E9A">
        <w:rPr>
          <w:rFonts w:cstheme="minorHAnsi"/>
          <w:sz w:val="24"/>
          <w:szCs w:val="24"/>
        </w:rPr>
        <w:t xml:space="preserve">decision aid; </w:t>
      </w:r>
    </w:p>
    <w:p w14:paraId="0EE453B7" w14:textId="4EFAEEEE" w:rsidR="002E0B5D" w:rsidRPr="00435E9A" w:rsidRDefault="006A44A3" w:rsidP="00771B9F">
      <w:pPr>
        <w:pStyle w:val="ListParagraph"/>
        <w:numPr>
          <w:ilvl w:val="0"/>
          <w:numId w:val="2"/>
        </w:numPr>
        <w:spacing w:after="120" w:line="276" w:lineRule="auto"/>
        <w:rPr>
          <w:rFonts w:cstheme="minorHAnsi"/>
          <w:sz w:val="24"/>
          <w:szCs w:val="24"/>
        </w:rPr>
      </w:pPr>
      <w:r>
        <w:rPr>
          <w:rFonts w:cstheme="minorHAnsi"/>
          <w:sz w:val="24"/>
          <w:szCs w:val="24"/>
        </w:rPr>
        <w:t>the target audience</w:t>
      </w:r>
      <w:r w:rsidR="002E0B5D" w:rsidRPr="00435E9A">
        <w:rPr>
          <w:rFonts w:cstheme="minorHAnsi"/>
          <w:sz w:val="24"/>
          <w:szCs w:val="24"/>
        </w:rPr>
        <w:t xml:space="preserve">; </w:t>
      </w:r>
    </w:p>
    <w:p w14:paraId="686C559A" w14:textId="0BACFC54" w:rsidR="002E0B5D" w:rsidRPr="00435E9A" w:rsidRDefault="002E0B5D" w:rsidP="00771B9F">
      <w:pPr>
        <w:pStyle w:val="ListParagraph"/>
        <w:numPr>
          <w:ilvl w:val="0"/>
          <w:numId w:val="2"/>
        </w:numPr>
        <w:spacing w:after="120" w:line="276" w:lineRule="auto"/>
        <w:rPr>
          <w:rFonts w:cstheme="minorHAnsi"/>
          <w:sz w:val="24"/>
          <w:szCs w:val="24"/>
        </w:rPr>
      </w:pPr>
      <w:r w:rsidRPr="00435E9A">
        <w:rPr>
          <w:rFonts w:cstheme="minorHAnsi"/>
          <w:sz w:val="24"/>
          <w:szCs w:val="24"/>
        </w:rPr>
        <w:t xml:space="preserve">the format of the decision aid; </w:t>
      </w:r>
    </w:p>
    <w:p w14:paraId="1F1CED65" w14:textId="0658CA28" w:rsidR="002E0B5D" w:rsidRPr="00435E9A" w:rsidRDefault="002E0B5D" w:rsidP="00771B9F">
      <w:pPr>
        <w:pStyle w:val="ListParagraph"/>
        <w:numPr>
          <w:ilvl w:val="0"/>
          <w:numId w:val="2"/>
        </w:numPr>
        <w:spacing w:after="120" w:line="276" w:lineRule="auto"/>
        <w:rPr>
          <w:rFonts w:cstheme="minorHAnsi"/>
          <w:sz w:val="24"/>
          <w:szCs w:val="24"/>
        </w:rPr>
      </w:pPr>
      <w:r w:rsidRPr="00435E9A">
        <w:rPr>
          <w:rFonts w:cstheme="minorHAnsi"/>
          <w:sz w:val="24"/>
          <w:szCs w:val="24"/>
        </w:rPr>
        <w:t>the topics covered;</w:t>
      </w:r>
    </w:p>
    <w:p w14:paraId="33CC01D3" w14:textId="20DA8004" w:rsidR="002E0B5D" w:rsidRPr="00435E9A" w:rsidRDefault="002E0B5D" w:rsidP="00771B9F">
      <w:pPr>
        <w:pStyle w:val="ListParagraph"/>
        <w:numPr>
          <w:ilvl w:val="0"/>
          <w:numId w:val="2"/>
        </w:numPr>
        <w:spacing w:after="120" w:line="276" w:lineRule="auto"/>
        <w:rPr>
          <w:rFonts w:cstheme="minorHAnsi"/>
          <w:sz w:val="24"/>
          <w:szCs w:val="24"/>
        </w:rPr>
      </w:pPr>
      <w:r w:rsidRPr="00435E9A">
        <w:rPr>
          <w:rFonts w:cstheme="minorHAnsi"/>
          <w:sz w:val="24"/>
          <w:szCs w:val="24"/>
        </w:rPr>
        <w:t>evidence of effectiveness and how this was measured;</w:t>
      </w:r>
    </w:p>
    <w:p w14:paraId="346ED618" w14:textId="77777777" w:rsidR="002E0B5D" w:rsidRPr="00435E9A" w:rsidRDefault="002E0B5D" w:rsidP="00771B9F">
      <w:pPr>
        <w:pStyle w:val="ListParagraph"/>
        <w:numPr>
          <w:ilvl w:val="0"/>
          <w:numId w:val="2"/>
        </w:numPr>
        <w:spacing w:after="120" w:line="276" w:lineRule="auto"/>
        <w:rPr>
          <w:rFonts w:cstheme="minorHAnsi"/>
          <w:sz w:val="24"/>
          <w:szCs w:val="24"/>
        </w:rPr>
      </w:pPr>
      <w:proofErr w:type="gramStart"/>
      <w:r w:rsidRPr="00435E9A">
        <w:rPr>
          <w:rFonts w:cstheme="minorHAnsi"/>
          <w:sz w:val="24"/>
          <w:szCs w:val="24"/>
        </w:rPr>
        <w:t>the</w:t>
      </w:r>
      <w:proofErr w:type="gramEnd"/>
      <w:r w:rsidRPr="00435E9A">
        <w:rPr>
          <w:rFonts w:cstheme="minorHAnsi"/>
          <w:sz w:val="24"/>
          <w:szCs w:val="24"/>
        </w:rPr>
        <w:t xml:space="preserve"> use of theory and/or the IPDAS guidelines in the development of the decision aid.</w:t>
      </w:r>
    </w:p>
    <w:p w14:paraId="1B18136A" w14:textId="77777777" w:rsidR="002E0B5D" w:rsidRPr="00435E9A" w:rsidRDefault="002E0B5D" w:rsidP="00771B9F">
      <w:pPr>
        <w:spacing w:after="120" w:line="276" w:lineRule="auto"/>
        <w:rPr>
          <w:rFonts w:cstheme="minorHAnsi"/>
          <w:sz w:val="24"/>
          <w:szCs w:val="24"/>
        </w:rPr>
      </w:pPr>
    </w:p>
    <w:p w14:paraId="05AD81EF" w14:textId="77777777" w:rsidR="002E0B5D" w:rsidRPr="00435E9A" w:rsidRDefault="002E0B5D" w:rsidP="00771B9F">
      <w:pPr>
        <w:spacing w:after="120" w:line="276" w:lineRule="auto"/>
        <w:rPr>
          <w:rFonts w:cstheme="minorHAnsi"/>
          <w:b/>
          <w:i/>
          <w:sz w:val="24"/>
          <w:szCs w:val="24"/>
        </w:rPr>
      </w:pPr>
      <w:r w:rsidRPr="00435E9A">
        <w:rPr>
          <w:rFonts w:cstheme="minorHAnsi"/>
          <w:b/>
          <w:i/>
          <w:sz w:val="24"/>
          <w:szCs w:val="24"/>
        </w:rPr>
        <w:t>Review of English social care-related websites</w:t>
      </w:r>
    </w:p>
    <w:p w14:paraId="6C5E58AE"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second part of the review explored the extent to which decision aids were available and accessible to assist older people (including self-funders) and their carers to think about social care and paying for care in England. </w:t>
      </w:r>
    </w:p>
    <w:p w14:paraId="7A7D0784" w14:textId="769DBC93"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adult social care sections of the websites of one third of local councils in England (53/152), weighted by region and randomly selected, were searched for decision aids relevant to older adults and social care. In addition, </w:t>
      </w:r>
      <w:r w:rsidR="00F45446">
        <w:rPr>
          <w:rFonts w:cstheme="minorHAnsi"/>
          <w:sz w:val="24"/>
          <w:szCs w:val="24"/>
        </w:rPr>
        <w:t xml:space="preserve">the </w:t>
      </w:r>
      <w:r w:rsidRPr="00435E9A">
        <w:rPr>
          <w:rFonts w:cstheme="minorHAnsi"/>
          <w:sz w:val="24"/>
          <w:szCs w:val="24"/>
        </w:rPr>
        <w:t>main search function tool of each website was used to search for variations of the following terms: ‘decision aid/tool’, ‘planning long term care’, ‘planning social care/social support’. The first five pages of results were screened for evidence of or links to decision aids and other information about planning social care.</w:t>
      </w:r>
    </w:p>
    <w:p w14:paraId="299639FB" w14:textId="1C585987"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In addition, 11 third sector and quasi-governmental websites such as Age UK and the Money and Pensions Service (MAPS) were purposively selected and explored using the main homepage search function </w:t>
      </w:r>
      <w:r w:rsidR="00797EED">
        <w:rPr>
          <w:rFonts w:cstheme="minorHAnsi"/>
          <w:sz w:val="24"/>
          <w:szCs w:val="24"/>
        </w:rPr>
        <w:t>and</w:t>
      </w:r>
      <w:r w:rsidR="00797EED" w:rsidRPr="00435E9A">
        <w:rPr>
          <w:rFonts w:cstheme="minorHAnsi"/>
          <w:sz w:val="24"/>
          <w:szCs w:val="24"/>
        </w:rPr>
        <w:t xml:space="preserve"> </w:t>
      </w:r>
      <w:r w:rsidRPr="00435E9A">
        <w:rPr>
          <w:rFonts w:cstheme="minorHAnsi"/>
          <w:sz w:val="24"/>
          <w:szCs w:val="24"/>
        </w:rPr>
        <w:t xml:space="preserve">the basic search terms described above. </w:t>
      </w:r>
    </w:p>
    <w:p w14:paraId="033B22BC"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These searches were undertaken between 20</w:t>
      </w:r>
      <w:r w:rsidRPr="00435E9A">
        <w:rPr>
          <w:rFonts w:cstheme="minorHAnsi"/>
          <w:sz w:val="24"/>
          <w:szCs w:val="24"/>
          <w:vertAlign w:val="superscript"/>
        </w:rPr>
        <w:t>th</w:t>
      </w:r>
      <w:r w:rsidRPr="00435E9A">
        <w:rPr>
          <w:rFonts w:cstheme="minorHAnsi"/>
          <w:sz w:val="24"/>
          <w:szCs w:val="24"/>
        </w:rPr>
        <w:t xml:space="preserve"> February and 10</w:t>
      </w:r>
      <w:r w:rsidRPr="00435E9A">
        <w:rPr>
          <w:rFonts w:cstheme="minorHAnsi"/>
          <w:sz w:val="24"/>
          <w:szCs w:val="24"/>
          <w:vertAlign w:val="superscript"/>
        </w:rPr>
        <w:t>th</w:t>
      </w:r>
      <w:r w:rsidRPr="00435E9A">
        <w:rPr>
          <w:rFonts w:cstheme="minorHAnsi"/>
          <w:sz w:val="24"/>
          <w:szCs w:val="24"/>
        </w:rPr>
        <w:t xml:space="preserve"> March 2020.</w:t>
      </w:r>
    </w:p>
    <w:p w14:paraId="0EB043E4" w14:textId="77777777" w:rsidR="002E0B5D" w:rsidRPr="00435E9A" w:rsidRDefault="002E0B5D" w:rsidP="00771B9F">
      <w:pPr>
        <w:spacing w:after="120" w:line="276" w:lineRule="auto"/>
        <w:rPr>
          <w:rFonts w:cstheme="minorHAnsi"/>
          <w:sz w:val="24"/>
          <w:szCs w:val="24"/>
        </w:rPr>
      </w:pPr>
    </w:p>
    <w:p w14:paraId="1B294126" w14:textId="77777777" w:rsidR="002E0B5D" w:rsidRPr="00435E9A" w:rsidRDefault="002E0B5D" w:rsidP="00771B9F">
      <w:pPr>
        <w:spacing w:after="120" w:line="276" w:lineRule="auto"/>
        <w:rPr>
          <w:rFonts w:cstheme="minorHAnsi"/>
          <w:b/>
          <w:sz w:val="24"/>
          <w:szCs w:val="24"/>
        </w:rPr>
      </w:pPr>
      <w:r w:rsidRPr="00435E9A">
        <w:rPr>
          <w:rFonts w:cstheme="minorHAnsi"/>
          <w:b/>
          <w:sz w:val="24"/>
          <w:szCs w:val="24"/>
        </w:rPr>
        <w:t>Findings</w:t>
      </w:r>
    </w:p>
    <w:p w14:paraId="18B50594"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The following sections describe the included papers and give a narrative overview of the evidence, focussing on the key areas of interest detailed in the Methods. This is followed by an analysis of the decision aids on social care-related websites.</w:t>
      </w:r>
    </w:p>
    <w:p w14:paraId="73A3D023"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Description of studies</w:t>
      </w:r>
    </w:p>
    <w:p w14:paraId="6E74B297" w14:textId="2623FC9E"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Tables 2 and 3 give a brief description of the </w:t>
      </w:r>
      <w:r w:rsidR="00B80B57">
        <w:rPr>
          <w:rFonts w:cstheme="minorHAnsi"/>
          <w:sz w:val="24"/>
          <w:szCs w:val="24"/>
        </w:rPr>
        <w:t xml:space="preserve">original </w:t>
      </w:r>
      <w:r w:rsidRPr="00435E9A">
        <w:rPr>
          <w:rFonts w:cstheme="minorHAnsi"/>
          <w:sz w:val="24"/>
          <w:szCs w:val="24"/>
        </w:rPr>
        <w:t>five papers included in the review and the data extracted from them, respectively, listed in order of publication date.</w:t>
      </w:r>
    </w:p>
    <w:p w14:paraId="0DF45002" w14:textId="046F48EB" w:rsidR="002E0B5D" w:rsidRPr="00435E9A" w:rsidRDefault="002E0B5D" w:rsidP="00771B9F">
      <w:pPr>
        <w:spacing w:after="120" w:line="276" w:lineRule="auto"/>
        <w:rPr>
          <w:rFonts w:cstheme="minorHAnsi"/>
          <w:sz w:val="24"/>
          <w:szCs w:val="24"/>
        </w:rPr>
      </w:pPr>
      <w:r w:rsidRPr="00435E9A">
        <w:rPr>
          <w:rFonts w:cstheme="minorHAnsi"/>
          <w:sz w:val="24"/>
          <w:szCs w:val="24"/>
        </w:rPr>
        <w:t>All five papers reported studies conducted in North America. Broadly, the decision aids were designed to support older adults and their family members (Hoffmann</w:t>
      </w:r>
      <w:r w:rsidR="00797EED">
        <w:rPr>
          <w:rFonts w:cstheme="minorHAnsi"/>
          <w:sz w:val="24"/>
          <w:szCs w:val="24"/>
        </w:rPr>
        <w:t xml:space="preserve"> et al, 2019;</w:t>
      </w:r>
      <w:r w:rsidRPr="00435E9A">
        <w:rPr>
          <w:rFonts w:cstheme="minorHAnsi"/>
          <w:sz w:val="24"/>
          <w:szCs w:val="24"/>
        </w:rPr>
        <w:t xml:space="preserve"> </w:t>
      </w:r>
      <w:proofErr w:type="spellStart"/>
      <w:r w:rsidRPr="00435E9A">
        <w:rPr>
          <w:rFonts w:cstheme="minorHAnsi"/>
          <w:sz w:val="24"/>
          <w:szCs w:val="24"/>
        </w:rPr>
        <w:t>Garvelink</w:t>
      </w:r>
      <w:proofErr w:type="spellEnd"/>
      <w:r w:rsidR="00797EED">
        <w:rPr>
          <w:rFonts w:cstheme="minorHAnsi"/>
          <w:sz w:val="24"/>
          <w:szCs w:val="24"/>
        </w:rPr>
        <w:t xml:space="preserve"> et al, 2016;</w:t>
      </w:r>
      <w:r w:rsidRPr="00435E9A">
        <w:rPr>
          <w:rFonts w:cstheme="minorHAnsi"/>
          <w:sz w:val="24"/>
          <w:szCs w:val="24"/>
        </w:rPr>
        <w:t>, Sorensen</w:t>
      </w:r>
      <w:r w:rsidR="00797EED">
        <w:rPr>
          <w:rFonts w:cstheme="minorHAnsi"/>
          <w:sz w:val="24"/>
          <w:szCs w:val="24"/>
        </w:rPr>
        <w:t xml:space="preserve"> and </w:t>
      </w:r>
      <w:proofErr w:type="spellStart"/>
      <w:r w:rsidR="00797EED">
        <w:rPr>
          <w:rFonts w:cstheme="minorHAnsi"/>
          <w:sz w:val="24"/>
          <w:szCs w:val="24"/>
        </w:rPr>
        <w:t>Pinquart</w:t>
      </w:r>
      <w:proofErr w:type="spellEnd"/>
      <w:r w:rsidR="00797EED">
        <w:rPr>
          <w:rFonts w:cstheme="minorHAnsi"/>
          <w:sz w:val="24"/>
          <w:szCs w:val="24"/>
        </w:rPr>
        <w:t>, 2001</w:t>
      </w:r>
      <w:r w:rsidRPr="00435E9A">
        <w:rPr>
          <w:rFonts w:cstheme="minorHAnsi"/>
          <w:sz w:val="24"/>
          <w:szCs w:val="24"/>
        </w:rPr>
        <w:t>), and professionals (</w:t>
      </w:r>
      <w:proofErr w:type="spellStart"/>
      <w:r w:rsidRPr="00435E9A">
        <w:rPr>
          <w:rFonts w:cstheme="minorHAnsi"/>
          <w:sz w:val="24"/>
          <w:szCs w:val="24"/>
        </w:rPr>
        <w:t>Friedemann</w:t>
      </w:r>
      <w:proofErr w:type="spellEnd"/>
      <w:r w:rsidRPr="00435E9A">
        <w:rPr>
          <w:rFonts w:cstheme="minorHAnsi"/>
          <w:sz w:val="24"/>
          <w:szCs w:val="24"/>
        </w:rPr>
        <w:t xml:space="preserve"> et al, 2004) prepare and plan for their future social care needs (Hoffmann et al, 2019; </w:t>
      </w:r>
      <w:proofErr w:type="spellStart"/>
      <w:r w:rsidRPr="00435E9A">
        <w:rPr>
          <w:rFonts w:cstheme="minorHAnsi"/>
          <w:sz w:val="24"/>
          <w:szCs w:val="24"/>
        </w:rPr>
        <w:t>Friedemann</w:t>
      </w:r>
      <w:proofErr w:type="spellEnd"/>
      <w:r w:rsidRPr="00435E9A">
        <w:rPr>
          <w:rFonts w:cstheme="minorHAnsi"/>
          <w:sz w:val="24"/>
          <w:szCs w:val="24"/>
        </w:rPr>
        <w:t xml:space="preserve"> et al, 2004;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2001) or support decision making with regard to the future location of their care (</w:t>
      </w:r>
      <w:proofErr w:type="spellStart"/>
      <w:r w:rsidRPr="00435E9A">
        <w:rPr>
          <w:rFonts w:cstheme="minorHAnsi"/>
          <w:sz w:val="24"/>
          <w:szCs w:val="24"/>
        </w:rPr>
        <w:t>Garvelink</w:t>
      </w:r>
      <w:proofErr w:type="spellEnd"/>
      <w:r w:rsidRPr="00435E9A">
        <w:rPr>
          <w:rFonts w:cstheme="minorHAnsi"/>
          <w:sz w:val="24"/>
          <w:szCs w:val="24"/>
        </w:rPr>
        <w:t xml:space="preserve"> et al, 2016; </w:t>
      </w:r>
      <w:proofErr w:type="spellStart"/>
      <w:r w:rsidRPr="00435E9A">
        <w:rPr>
          <w:rFonts w:cstheme="minorHAnsi"/>
          <w:sz w:val="24"/>
          <w:szCs w:val="24"/>
        </w:rPr>
        <w:t>Garvelink</w:t>
      </w:r>
      <w:proofErr w:type="spellEnd"/>
      <w:r w:rsidRPr="00435E9A">
        <w:rPr>
          <w:rFonts w:cstheme="minorHAnsi"/>
          <w:sz w:val="24"/>
          <w:szCs w:val="24"/>
        </w:rPr>
        <w:t xml:space="preserve"> et al, 2017). </w:t>
      </w:r>
    </w:p>
    <w:p w14:paraId="70AE07A8" w14:textId="2F7BBB5B"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two earliest papers </w:t>
      </w:r>
      <w:bookmarkStart w:id="4" w:name="_Hlk42767139"/>
      <w:r w:rsidRPr="00435E9A">
        <w:rPr>
          <w:rFonts w:cstheme="minorHAnsi"/>
          <w:sz w:val="24"/>
          <w:szCs w:val="24"/>
        </w:rPr>
        <w:t xml:space="preserve">(Sorensen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00797EED">
        <w:rPr>
          <w:rFonts w:cstheme="minorHAnsi"/>
          <w:sz w:val="24"/>
          <w:szCs w:val="24"/>
        </w:rPr>
        <w:t>,</w:t>
      </w:r>
      <w:r w:rsidRPr="00435E9A">
        <w:rPr>
          <w:rFonts w:cstheme="minorHAnsi"/>
          <w:sz w:val="24"/>
          <w:szCs w:val="24"/>
        </w:rPr>
        <w:t xml:space="preserve"> 2001</w:t>
      </w:r>
      <w:r w:rsidR="00797EED">
        <w:rPr>
          <w:rFonts w:cstheme="minorHAnsi"/>
          <w:sz w:val="24"/>
          <w:szCs w:val="24"/>
        </w:rPr>
        <w:t>;</w:t>
      </w:r>
      <w:r w:rsidRPr="00435E9A">
        <w:rPr>
          <w:rFonts w:cstheme="minorHAnsi"/>
          <w:sz w:val="24"/>
          <w:szCs w:val="24"/>
        </w:rPr>
        <w:t xml:space="preserve"> </w:t>
      </w:r>
      <w:proofErr w:type="spellStart"/>
      <w:r w:rsidRPr="00435E9A">
        <w:rPr>
          <w:rFonts w:cstheme="minorHAnsi"/>
          <w:sz w:val="24"/>
          <w:szCs w:val="24"/>
        </w:rPr>
        <w:t>Friedemann</w:t>
      </w:r>
      <w:proofErr w:type="spellEnd"/>
      <w:r w:rsidRPr="00435E9A">
        <w:rPr>
          <w:rFonts w:cstheme="minorHAnsi"/>
          <w:sz w:val="24"/>
          <w:szCs w:val="24"/>
        </w:rPr>
        <w:t xml:space="preserve"> et al</w:t>
      </w:r>
      <w:r w:rsidR="00797EED">
        <w:rPr>
          <w:rFonts w:cstheme="minorHAnsi"/>
          <w:sz w:val="24"/>
          <w:szCs w:val="24"/>
        </w:rPr>
        <w:t>,</w:t>
      </w:r>
      <w:r w:rsidRPr="00435E9A">
        <w:rPr>
          <w:rFonts w:cstheme="minorHAnsi"/>
          <w:sz w:val="24"/>
          <w:szCs w:val="24"/>
        </w:rPr>
        <w:t xml:space="preserve"> 2004) </w:t>
      </w:r>
      <w:bookmarkEnd w:id="4"/>
      <w:r w:rsidRPr="00435E9A">
        <w:rPr>
          <w:rFonts w:cstheme="minorHAnsi"/>
          <w:sz w:val="24"/>
          <w:szCs w:val="24"/>
        </w:rPr>
        <w:t xml:space="preserve">both developed what were primarily research measures with the potential for use in practice to aid decision-making about care. The main purpose of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Pinquart’s</w:t>
      </w:r>
      <w:proofErr w:type="spellEnd"/>
      <w:r w:rsidRPr="00435E9A">
        <w:rPr>
          <w:rFonts w:cstheme="minorHAnsi"/>
          <w:sz w:val="24"/>
          <w:szCs w:val="24"/>
        </w:rPr>
        <w:t xml:space="preserve"> instrument, known as the PFCN (Preparation for Future Care Needs), was to increase knowledge about people’s activities in preparation for long-term care in later life. </w:t>
      </w:r>
      <w:proofErr w:type="spellStart"/>
      <w:r w:rsidRPr="00435E9A">
        <w:rPr>
          <w:rFonts w:cstheme="minorHAnsi"/>
          <w:sz w:val="24"/>
          <w:szCs w:val="24"/>
        </w:rPr>
        <w:t>Friedemann</w:t>
      </w:r>
      <w:proofErr w:type="spellEnd"/>
      <w:r w:rsidRPr="00435E9A">
        <w:rPr>
          <w:rFonts w:cstheme="minorHAnsi"/>
          <w:sz w:val="24"/>
          <w:szCs w:val="24"/>
        </w:rPr>
        <w:t xml:space="preserve"> et </w:t>
      </w:r>
      <w:proofErr w:type="spellStart"/>
      <w:r w:rsidRPr="00435E9A">
        <w:rPr>
          <w:rFonts w:cstheme="minorHAnsi"/>
          <w:sz w:val="24"/>
          <w:szCs w:val="24"/>
        </w:rPr>
        <w:t>al’s</w:t>
      </w:r>
      <w:proofErr w:type="spellEnd"/>
      <w:r w:rsidRPr="00435E9A">
        <w:rPr>
          <w:rFonts w:cstheme="minorHAnsi"/>
          <w:sz w:val="24"/>
          <w:szCs w:val="24"/>
        </w:rPr>
        <w:t xml:space="preserve"> measure, called the LTCP (Long Term Care Planning) instrument, aimed to assess different types of preparation activities, including making concrete plans. The later papers </w:t>
      </w:r>
      <w:bookmarkStart w:id="5" w:name="_Hlk42767254"/>
      <w:r w:rsidRPr="00435E9A">
        <w:rPr>
          <w:rFonts w:cstheme="minorHAnsi"/>
          <w:sz w:val="24"/>
          <w:szCs w:val="24"/>
        </w:rPr>
        <w:t>(</w:t>
      </w:r>
      <w:proofErr w:type="spellStart"/>
      <w:r w:rsidRPr="00435E9A">
        <w:rPr>
          <w:rFonts w:cstheme="minorHAnsi"/>
          <w:sz w:val="24"/>
          <w:szCs w:val="24"/>
        </w:rPr>
        <w:t>Garvelink</w:t>
      </w:r>
      <w:proofErr w:type="spellEnd"/>
      <w:r w:rsidRPr="00435E9A">
        <w:rPr>
          <w:rFonts w:cstheme="minorHAnsi"/>
          <w:sz w:val="24"/>
          <w:szCs w:val="24"/>
        </w:rPr>
        <w:t xml:space="preserve"> et al, 2016; </w:t>
      </w:r>
      <w:proofErr w:type="spellStart"/>
      <w:r w:rsidRPr="00435E9A">
        <w:rPr>
          <w:rFonts w:cstheme="minorHAnsi"/>
          <w:sz w:val="24"/>
          <w:szCs w:val="24"/>
        </w:rPr>
        <w:t>Garvelink</w:t>
      </w:r>
      <w:proofErr w:type="spellEnd"/>
      <w:r w:rsidRPr="00435E9A">
        <w:rPr>
          <w:rFonts w:cstheme="minorHAnsi"/>
          <w:sz w:val="24"/>
          <w:szCs w:val="24"/>
        </w:rPr>
        <w:t xml:space="preserve"> et al, 2017; Hoffmann et al, 2019) </w:t>
      </w:r>
      <w:bookmarkEnd w:id="5"/>
      <w:r w:rsidRPr="00435E9A">
        <w:rPr>
          <w:rFonts w:cstheme="minorHAnsi"/>
          <w:sz w:val="24"/>
          <w:szCs w:val="24"/>
        </w:rPr>
        <w:t xml:space="preserve">each developed decision aids or guides specifically to support older people make decisions about long-term care. Hoffmann et </w:t>
      </w:r>
      <w:proofErr w:type="spellStart"/>
      <w:r w:rsidRPr="00435E9A">
        <w:rPr>
          <w:rFonts w:cstheme="minorHAnsi"/>
          <w:sz w:val="24"/>
          <w:szCs w:val="24"/>
        </w:rPr>
        <w:t>al’s</w:t>
      </w:r>
      <w:proofErr w:type="spellEnd"/>
      <w:r w:rsidRPr="00435E9A">
        <w:rPr>
          <w:rFonts w:cstheme="minorHAnsi"/>
          <w:sz w:val="24"/>
          <w:szCs w:val="24"/>
        </w:rPr>
        <w:t xml:space="preserve"> aid was called Planning for Long-term Care and </w:t>
      </w:r>
      <w:proofErr w:type="spellStart"/>
      <w:r w:rsidRPr="00435E9A">
        <w:rPr>
          <w:rFonts w:cstheme="minorHAnsi"/>
          <w:sz w:val="24"/>
          <w:szCs w:val="24"/>
        </w:rPr>
        <w:t>Garvelink</w:t>
      </w:r>
      <w:proofErr w:type="spellEnd"/>
      <w:r w:rsidRPr="00435E9A">
        <w:rPr>
          <w:rFonts w:cstheme="minorHAnsi"/>
          <w:sz w:val="24"/>
          <w:szCs w:val="24"/>
        </w:rPr>
        <w:t xml:space="preserve"> et </w:t>
      </w:r>
      <w:proofErr w:type="spellStart"/>
      <w:r w:rsidRPr="00435E9A">
        <w:rPr>
          <w:rFonts w:cstheme="minorHAnsi"/>
          <w:sz w:val="24"/>
          <w:szCs w:val="24"/>
        </w:rPr>
        <w:t>al’s</w:t>
      </w:r>
      <w:proofErr w:type="spellEnd"/>
      <w:r w:rsidRPr="00435E9A">
        <w:rPr>
          <w:rFonts w:cstheme="minorHAnsi"/>
          <w:sz w:val="24"/>
          <w:szCs w:val="24"/>
        </w:rPr>
        <w:t xml:space="preserve"> (2017) web-based aid was called SPINACH (</w:t>
      </w:r>
      <w:proofErr w:type="spellStart"/>
      <w:r w:rsidRPr="00435E9A">
        <w:rPr>
          <w:rFonts w:cstheme="minorHAnsi"/>
          <w:sz w:val="24"/>
          <w:szCs w:val="24"/>
        </w:rPr>
        <w:t>SupPortIng</w:t>
      </w:r>
      <w:proofErr w:type="spellEnd"/>
      <w:r w:rsidRPr="00435E9A">
        <w:rPr>
          <w:rFonts w:cstheme="minorHAnsi"/>
          <w:sz w:val="24"/>
          <w:szCs w:val="24"/>
        </w:rPr>
        <w:t xml:space="preserve"> </w:t>
      </w:r>
      <w:proofErr w:type="spellStart"/>
      <w:r w:rsidRPr="00435E9A">
        <w:rPr>
          <w:rFonts w:cstheme="minorHAnsi"/>
          <w:sz w:val="24"/>
          <w:szCs w:val="24"/>
        </w:rPr>
        <w:t>seNiors</w:t>
      </w:r>
      <w:proofErr w:type="spellEnd"/>
      <w:r w:rsidRPr="00435E9A">
        <w:rPr>
          <w:rFonts w:cstheme="minorHAnsi"/>
          <w:sz w:val="24"/>
          <w:szCs w:val="24"/>
        </w:rPr>
        <w:t xml:space="preserve"> And Caregivers to stay mobile at Home); </w:t>
      </w:r>
      <w:proofErr w:type="spellStart"/>
      <w:r w:rsidRPr="00435E9A">
        <w:rPr>
          <w:rFonts w:cstheme="minorHAnsi"/>
          <w:sz w:val="24"/>
          <w:szCs w:val="24"/>
        </w:rPr>
        <w:t>Garvelink</w:t>
      </w:r>
      <w:proofErr w:type="spellEnd"/>
      <w:r w:rsidRPr="00435E9A">
        <w:rPr>
          <w:rFonts w:cstheme="minorHAnsi"/>
          <w:sz w:val="24"/>
          <w:szCs w:val="24"/>
        </w:rPr>
        <w:t xml:space="preserve"> et </w:t>
      </w:r>
      <w:proofErr w:type="spellStart"/>
      <w:r w:rsidRPr="00435E9A">
        <w:rPr>
          <w:rFonts w:cstheme="minorHAnsi"/>
          <w:sz w:val="24"/>
          <w:szCs w:val="24"/>
        </w:rPr>
        <w:t>al’s</w:t>
      </w:r>
      <w:proofErr w:type="spellEnd"/>
      <w:r w:rsidRPr="00435E9A">
        <w:rPr>
          <w:rFonts w:cstheme="minorHAnsi"/>
          <w:sz w:val="24"/>
          <w:szCs w:val="24"/>
        </w:rPr>
        <w:t xml:space="preserve"> (2016) decision aid </w:t>
      </w:r>
      <w:r w:rsidR="00797EED">
        <w:rPr>
          <w:rFonts w:cstheme="minorHAnsi"/>
          <w:sz w:val="24"/>
          <w:szCs w:val="24"/>
        </w:rPr>
        <w:t>was not</w:t>
      </w:r>
      <w:r w:rsidRPr="00435E9A">
        <w:rPr>
          <w:rFonts w:cstheme="minorHAnsi"/>
          <w:sz w:val="24"/>
          <w:szCs w:val="24"/>
        </w:rPr>
        <w:t xml:space="preserve"> name</w:t>
      </w:r>
      <w:r w:rsidR="00797EED">
        <w:rPr>
          <w:rFonts w:cstheme="minorHAnsi"/>
          <w:sz w:val="24"/>
          <w:szCs w:val="24"/>
        </w:rPr>
        <w:t>d</w:t>
      </w:r>
      <w:r w:rsidRPr="00435E9A">
        <w:rPr>
          <w:rFonts w:cstheme="minorHAnsi"/>
          <w:sz w:val="24"/>
          <w:szCs w:val="24"/>
        </w:rPr>
        <w:t xml:space="preserve">. </w:t>
      </w:r>
    </w:p>
    <w:p w14:paraId="5F68BB4E" w14:textId="175586F5"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and </w:t>
      </w:r>
      <w:proofErr w:type="spellStart"/>
      <w:r w:rsidRPr="00435E9A">
        <w:rPr>
          <w:rFonts w:cstheme="minorHAnsi"/>
          <w:sz w:val="24"/>
          <w:szCs w:val="24"/>
        </w:rPr>
        <w:t>Friedemann</w:t>
      </w:r>
      <w:proofErr w:type="spellEnd"/>
      <w:r w:rsidRPr="00435E9A">
        <w:rPr>
          <w:rFonts w:cstheme="minorHAnsi"/>
          <w:sz w:val="24"/>
          <w:szCs w:val="24"/>
        </w:rPr>
        <w:t xml:space="preserve"> </w:t>
      </w:r>
      <w:r w:rsidR="00797EED">
        <w:rPr>
          <w:rFonts w:cstheme="minorHAnsi"/>
          <w:sz w:val="24"/>
          <w:szCs w:val="24"/>
        </w:rPr>
        <w:t xml:space="preserve">et al </w:t>
      </w:r>
      <w:r w:rsidRPr="00435E9A">
        <w:rPr>
          <w:rFonts w:cstheme="minorHAnsi"/>
          <w:sz w:val="24"/>
          <w:szCs w:val="24"/>
        </w:rPr>
        <w:t>(2004) generated items for their measures through focus groups and researcher consensus; they also conducted psychometric testing to measure the validity, reliability and stability of the constructed scales.</w:t>
      </w:r>
      <w:r w:rsidR="00B80B57">
        <w:rPr>
          <w:rFonts w:cstheme="minorHAnsi"/>
          <w:sz w:val="24"/>
          <w:szCs w:val="24"/>
        </w:rPr>
        <w:t xml:space="preserve"> </w:t>
      </w:r>
      <w:r w:rsidRPr="00435E9A">
        <w:rPr>
          <w:rFonts w:cstheme="minorHAnsi"/>
          <w:sz w:val="24"/>
          <w:szCs w:val="24"/>
        </w:rPr>
        <w:t xml:space="preserve">The two </w:t>
      </w:r>
      <w:proofErr w:type="spellStart"/>
      <w:r w:rsidRPr="00435E9A">
        <w:rPr>
          <w:rFonts w:cstheme="minorHAnsi"/>
          <w:sz w:val="24"/>
          <w:szCs w:val="24"/>
        </w:rPr>
        <w:t>Garvelink</w:t>
      </w:r>
      <w:proofErr w:type="spellEnd"/>
      <w:r w:rsidRPr="00435E9A">
        <w:rPr>
          <w:rFonts w:cstheme="minorHAnsi"/>
          <w:sz w:val="24"/>
          <w:szCs w:val="24"/>
        </w:rPr>
        <w:t xml:space="preserve"> and the Hoffmann studies used an iterative, multi-phase process comprising focus groups and qualitative interviews to develop their decision aids. Researchers agreed relevant items which were subsequently field tested with older adults for acceptability and usability.</w:t>
      </w:r>
    </w:p>
    <w:p w14:paraId="4FE6822A"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Target audiences</w:t>
      </w:r>
    </w:p>
    <w:p w14:paraId="591C7580" w14:textId="744959C1"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recommend their measure be used with older people as those aged less than 60 were unlikely to have sufficient current care needs to be interested in planning for future needs. </w:t>
      </w:r>
      <w:proofErr w:type="spellStart"/>
      <w:r w:rsidRPr="00435E9A">
        <w:rPr>
          <w:rFonts w:cstheme="minorHAnsi"/>
          <w:sz w:val="24"/>
          <w:szCs w:val="24"/>
        </w:rPr>
        <w:t>Friedemann</w:t>
      </w:r>
      <w:proofErr w:type="spellEnd"/>
      <w:r w:rsidRPr="00435E9A">
        <w:rPr>
          <w:rFonts w:cstheme="minorHAnsi"/>
          <w:sz w:val="24"/>
          <w:szCs w:val="24"/>
        </w:rPr>
        <w:t xml:space="preserve"> et al (2004), however, suggest their tool be used by gerontologists and other professionals with people in their ‘middle and later years’ to </w:t>
      </w:r>
      <w:r w:rsidRPr="00435E9A">
        <w:rPr>
          <w:rFonts w:cstheme="minorHAnsi"/>
          <w:sz w:val="24"/>
          <w:szCs w:val="24"/>
        </w:rPr>
        <w:lastRenderedPageBreak/>
        <w:t xml:space="preserve">help diagnose the strengths and gaps in their approaches to long-term care planning, or as part of educational interventions related to long-term care planning. The remaining three decision aids were targeted at older people or their caregivers and, in the case of </w:t>
      </w:r>
      <w:proofErr w:type="spellStart"/>
      <w:r w:rsidRPr="00435E9A">
        <w:rPr>
          <w:rFonts w:cstheme="minorHAnsi"/>
          <w:sz w:val="24"/>
          <w:szCs w:val="24"/>
        </w:rPr>
        <w:t>Garvelink</w:t>
      </w:r>
      <w:proofErr w:type="spellEnd"/>
      <w:r w:rsidRPr="00435E9A">
        <w:rPr>
          <w:rFonts w:cstheme="minorHAnsi"/>
          <w:sz w:val="24"/>
          <w:szCs w:val="24"/>
        </w:rPr>
        <w:t xml:space="preserve"> et al (2016), administrators and other professionals working in home care teams. </w:t>
      </w:r>
    </w:p>
    <w:p w14:paraId="33D48D16"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Format of the decision aids</w:t>
      </w:r>
    </w:p>
    <w:p w14:paraId="7C3559CF" w14:textId="7725C915"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format of the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and </w:t>
      </w:r>
      <w:proofErr w:type="spellStart"/>
      <w:r w:rsidRPr="00435E9A">
        <w:rPr>
          <w:rFonts w:cstheme="minorHAnsi"/>
          <w:sz w:val="24"/>
          <w:szCs w:val="24"/>
        </w:rPr>
        <w:t>Friedemann</w:t>
      </w:r>
      <w:proofErr w:type="spellEnd"/>
      <w:r w:rsidRPr="00435E9A">
        <w:rPr>
          <w:rFonts w:cstheme="minorHAnsi"/>
          <w:sz w:val="24"/>
          <w:szCs w:val="24"/>
        </w:rPr>
        <w:t xml:space="preserve"> et al (2004) measures is not clear; both are likely to be paper questionnaires. The former is reproduced at the end of the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article and the authors suggest that if it is used in an interview format then response options should be shown in large print on response cards. The </w:t>
      </w:r>
      <w:proofErr w:type="spellStart"/>
      <w:r w:rsidRPr="00435E9A">
        <w:rPr>
          <w:rFonts w:cstheme="minorHAnsi"/>
          <w:sz w:val="24"/>
          <w:szCs w:val="24"/>
        </w:rPr>
        <w:t>Garvelink</w:t>
      </w:r>
      <w:proofErr w:type="spellEnd"/>
      <w:r w:rsidRPr="00435E9A">
        <w:rPr>
          <w:rFonts w:cstheme="minorHAnsi"/>
          <w:sz w:val="24"/>
          <w:szCs w:val="24"/>
        </w:rPr>
        <w:t xml:space="preserve"> et al (2016) decision guide is produced in a 10-page coloured paper booklet in English and French, with examples of four pages reproduced in the paper. </w:t>
      </w:r>
    </w:p>
    <w:p w14:paraId="25C34BB8" w14:textId="69B71915" w:rsidR="002E0B5D" w:rsidRPr="00435E9A" w:rsidRDefault="002E0B5D" w:rsidP="00771B9F">
      <w:pPr>
        <w:spacing w:after="120" w:line="276" w:lineRule="auto"/>
        <w:rPr>
          <w:rFonts w:cstheme="minorHAnsi"/>
          <w:sz w:val="24"/>
          <w:szCs w:val="24"/>
        </w:rPr>
      </w:pPr>
      <w:proofErr w:type="spellStart"/>
      <w:r w:rsidRPr="00435E9A">
        <w:rPr>
          <w:rFonts w:cstheme="minorHAnsi"/>
          <w:sz w:val="24"/>
          <w:szCs w:val="24"/>
        </w:rPr>
        <w:t>Garvelink</w:t>
      </w:r>
      <w:proofErr w:type="spellEnd"/>
      <w:r w:rsidRPr="00435E9A">
        <w:rPr>
          <w:rFonts w:cstheme="minorHAnsi"/>
          <w:sz w:val="24"/>
          <w:szCs w:val="24"/>
        </w:rPr>
        <w:t xml:space="preserve"> et al (2017) and Hoffman et al (2019) are both web-based interactive decision aids. Hoffman et al describe information as being presented at an ‘overview’ level with hyperlinks to additional detail</w:t>
      </w:r>
      <w:r w:rsidR="00827299">
        <w:rPr>
          <w:rFonts w:cstheme="minorHAnsi"/>
          <w:sz w:val="24"/>
          <w:szCs w:val="24"/>
        </w:rPr>
        <w:t xml:space="preserve"> and</w:t>
      </w:r>
      <w:r w:rsidR="005F408F">
        <w:rPr>
          <w:rFonts w:cstheme="minorHAnsi"/>
          <w:sz w:val="24"/>
          <w:szCs w:val="24"/>
        </w:rPr>
        <w:t xml:space="preserve"> </w:t>
      </w:r>
      <w:r w:rsidRPr="00435E9A">
        <w:rPr>
          <w:rFonts w:cstheme="minorHAnsi"/>
          <w:sz w:val="24"/>
          <w:szCs w:val="24"/>
        </w:rPr>
        <w:t xml:space="preserve">an option to print a summary of the decision process </w:t>
      </w:r>
      <w:r w:rsidR="00827299">
        <w:rPr>
          <w:rFonts w:cstheme="minorHAnsi"/>
          <w:sz w:val="24"/>
          <w:szCs w:val="24"/>
        </w:rPr>
        <w:t xml:space="preserve">a user has </w:t>
      </w:r>
      <w:r w:rsidRPr="00435E9A">
        <w:rPr>
          <w:rFonts w:cstheme="minorHAnsi"/>
          <w:sz w:val="24"/>
          <w:szCs w:val="24"/>
        </w:rPr>
        <w:t xml:space="preserve">followed. </w:t>
      </w:r>
      <w:proofErr w:type="spellStart"/>
      <w:r w:rsidRPr="00435E9A">
        <w:rPr>
          <w:rFonts w:cstheme="minorHAnsi"/>
          <w:sz w:val="24"/>
          <w:szCs w:val="24"/>
        </w:rPr>
        <w:t>Garvelink</w:t>
      </w:r>
      <w:proofErr w:type="spellEnd"/>
      <w:r w:rsidRPr="00435E9A">
        <w:rPr>
          <w:rFonts w:cstheme="minorHAnsi"/>
          <w:sz w:val="24"/>
          <w:szCs w:val="24"/>
        </w:rPr>
        <w:t xml:space="preserve"> et al (2017) describe the SPINACH decision aid as three web pages: the first is the homepage where users can choose between English and French and which of the remaining pages to visit; the second page contains videos of a decision coach discussing how a decision should be made followed by fifteen stakeholders talking about older people’s housing options; and the third page contains links to local resources and other websites, and an option to add comments. The stakeholder videos were scripted, based on research interviews with 29 older people, carers and professionals about important factors to consider in staying independent at home. Stakeholders included an older person, family caregivers, and professionals such as health and care workers and therapists. </w:t>
      </w:r>
    </w:p>
    <w:p w14:paraId="503C8C83"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Theories and guidelines used in developing the decision aids</w:t>
      </w:r>
    </w:p>
    <w:p w14:paraId="3DE7600C" w14:textId="31283354" w:rsidR="002E0B5D" w:rsidRPr="00435E9A" w:rsidRDefault="002E0B5D" w:rsidP="00771B9F">
      <w:pPr>
        <w:spacing w:after="120" w:line="276" w:lineRule="auto"/>
        <w:rPr>
          <w:rFonts w:cstheme="minorHAnsi"/>
          <w:sz w:val="24"/>
          <w:szCs w:val="24"/>
        </w:rPr>
      </w:pPr>
      <w:proofErr w:type="spellStart"/>
      <w:r w:rsidRPr="00435E9A">
        <w:rPr>
          <w:rFonts w:cstheme="minorHAnsi"/>
          <w:sz w:val="24"/>
          <w:szCs w:val="24"/>
        </w:rPr>
        <w:t>Friedemann</w:t>
      </w:r>
      <w:proofErr w:type="spellEnd"/>
      <w:r w:rsidRPr="00435E9A">
        <w:rPr>
          <w:rFonts w:cstheme="minorHAnsi"/>
          <w:sz w:val="24"/>
          <w:szCs w:val="24"/>
        </w:rPr>
        <w:t xml:space="preserve"> et al (2004) give a detailed description of the construction of the domains and individual items in their LTCP instrument. The theory behind the approach was developed by </w:t>
      </w:r>
      <w:proofErr w:type="spellStart"/>
      <w:r w:rsidRPr="00827299">
        <w:rPr>
          <w:rFonts w:cstheme="minorHAnsi"/>
          <w:sz w:val="24"/>
          <w:szCs w:val="24"/>
        </w:rPr>
        <w:t>Friedemann</w:t>
      </w:r>
      <w:proofErr w:type="spellEnd"/>
      <w:r w:rsidRPr="00435E9A">
        <w:rPr>
          <w:rFonts w:cstheme="minorHAnsi"/>
          <w:sz w:val="24"/>
          <w:szCs w:val="24"/>
        </w:rPr>
        <w:t xml:space="preserve"> (1995). It builds a model of interactions between the environment, the person and their health in nursing care. For the purposes of the 2004 study, the key concepts are control and acceptance. Control is defined as actions necessary to prevent or modify the potential ill effects of changes that may occur in the future. Acceptance is </w:t>
      </w:r>
      <w:r w:rsidR="006A156A">
        <w:rPr>
          <w:rFonts w:cstheme="minorHAnsi"/>
          <w:sz w:val="24"/>
          <w:szCs w:val="24"/>
        </w:rPr>
        <w:t xml:space="preserve">defined as </w:t>
      </w:r>
      <w:r w:rsidRPr="00435E9A">
        <w:rPr>
          <w:rFonts w:cstheme="minorHAnsi"/>
          <w:sz w:val="24"/>
          <w:szCs w:val="24"/>
        </w:rPr>
        <w:t>a willingness to use available resources to adapt to new circumstances</w:t>
      </w:r>
      <w:r w:rsidR="006A156A">
        <w:rPr>
          <w:rFonts w:cstheme="minorHAnsi"/>
          <w:sz w:val="24"/>
          <w:szCs w:val="24"/>
        </w:rPr>
        <w:t xml:space="preserve">, rather than </w:t>
      </w:r>
      <w:r w:rsidR="006A156A" w:rsidRPr="00435E9A">
        <w:rPr>
          <w:rFonts w:cstheme="minorHAnsi"/>
          <w:sz w:val="24"/>
          <w:szCs w:val="24"/>
        </w:rPr>
        <w:t>a passive acceptance of change</w:t>
      </w:r>
      <w:r w:rsidRPr="00435E9A">
        <w:rPr>
          <w:rFonts w:cstheme="minorHAnsi"/>
          <w:sz w:val="24"/>
          <w:szCs w:val="24"/>
        </w:rPr>
        <w:t xml:space="preserve">. </w:t>
      </w:r>
      <w:proofErr w:type="spellStart"/>
      <w:r w:rsidRPr="00435E9A">
        <w:rPr>
          <w:rFonts w:cstheme="minorHAnsi"/>
          <w:sz w:val="24"/>
          <w:szCs w:val="24"/>
        </w:rPr>
        <w:t>Friedemann</w:t>
      </w:r>
      <w:proofErr w:type="spellEnd"/>
      <w:r w:rsidRPr="00435E9A">
        <w:rPr>
          <w:rFonts w:cstheme="minorHAnsi"/>
          <w:sz w:val="24"/>
          <w:szCs w:val="24"/>
        </w:rPr>
        <w:t xml:space="preserve"> et al (2004) used these concepts to shape the domains in their tool, namely behaviour in relation to (1) finances, (2) wellness and function, and (3) the social and environmental situation; and attitudes to each, including willingness to adapt or ask for help. These are described further </w:t>
      </w:r>
      <w:r w:rsidR="008F50AD">
        <w:rPr>
          <w:rFonts w:cstheme="minorHAnsi"/>
          <w:sz w:val="24"/>
          <w:szCs w:val="24"/>
        </w:rPr>
        <w:t>in the section ‘Decision Aids’ Domains’</w:t>
      </w:r>
      <w:r w:rsidR="006A156A">
        <w:rPr>
          <w:rFonts w:cstheme="minorHAnsi"/>
          <w:sz w:val="24"/>
          <w:szCs w:val="24"/>
        </w:rPr>
        <w:t xml:space="preserve"> below</w:t>
      </w:r>
      <w:r w:rsidR="008F50AD">
        <w:rPr>
          <w:rFonts w:cstheme="minorHAnsi"/>
          <w:sz w:val="24"/>
          <w:szCs w:val="24"/>
        </w:rPr>
        <w:t>.</w:t>
      </w:r>
    </w:p>
    <w:p w14:paraId="705C79C2"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Hoffman et al (2019) described the use of decision and cognitive sciences, ‘human computer interaction’ and health services research in the development of their study and tool. They </w:t>
      </w:r>
      <w:r w:rsidRPr="00435E9A">
        <w:rPr>
          <w:rFonts w:cstheme="minorHAnsi"/>
          <w:sz w:val="24"/>
          <w:szCs w:val="24"/>
        </w:rPr>
        <w:lastRenderedPageBreak/>
        <w:t xml:space="preserve">specifically described how the Ottawa Decision Support Framework (O’Connor et al, 1998) influenced their decision to address the varying needs of individuals over time and the varying roles that different individuals play in the decision-making process. They also recognised the different needs of people planning for care for the future compared to those facing crisis/imminent care, especially in relation to finances.  </w:t>
      </w:r>
    </w:p>
    <w:p w14:paraId="26B7F9AB" w14:textId="7BC643D4" w:rsidR="002E0B5D" w:rsidRPr="00435E9A" w:rsidRDefault="002E0B5D" w:rsidP="00771B9F">
      <w:pPr>
        <w:spacing w:after="120" w:line="276" w:lineRule="auto"/>
        <w:rPr>
          <w:rFonts w:cstheme="minorHAnsi"/>
          <w:sz w:val="24"/>
          <w:szCs w:val="24"/>
        </w:rPr>
      </w:pPr>
      <w:r w:rsidRPr="00435E9A">
        <w:rPr>
          <w:rFonts w:cstheme="minorHAnsi"/>
          <w:sz w:val="24"/>
          <w:szCs w:val="24"/>
        </w:rPr>
        <w:t>Three studies did not explicitly discuss the use of theory in the development of their decision aids (</w:t>
      </w:r>
      <w:proofErr w:type="spellStart"/>
      <w:r w:rsidRPr="00435E9A">
        <w:rPr>
          <w:rFonts w:cstheme="minorHAnsi"/>
          <w:sz w:val="24"/>
          <w:szCs w:val="24"/>
        </w:rPr>
        <w:t>Garvelink</w:t>
      </w:r>
      <w:proofErr w:type="spellEnd"/>
      <w:r w:rsidRPr="00435E9A">
        <w:rPr>
          <w:rFonts w:cstheme="minorHAnsi"/>
          <w:sz w:val="24"/>
          <w:szCs w:val="24"/>
        </w:rPr>
        <w:t xml:space="preserve"> et al, 2017; </w:t>
      </w:r>
      <w:proofErr w:type="spellStart"/>
      <w:r w:rsidRPr="00435E9A">
        <w:rPr>
          <w:rFonts w:cstheme="minorHAnsi"/>
          <w:sz w:val="24"/>
          <w:szCs w:val="24"/>
        </w:rPr>
        <w:t>Garvelink</w:t>
      </w:r>
      <w:proofErr w:type="spellEnd"/>
      <w:r w:rsidRPr="00435E9A">
        <w:rPr>
          <w:rFonts w:cstheme="minorHAnsi"/>
          <w:sz w:val="24"/>
          <w:szCs w:val="24"/>
        </w:rPr>
        <w:t xml:space="preserve"> et al, 2016;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although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briefly mentioned being influenced by decision-making, problem-solving and everyday planning models, but did not </w:t>
      </w:r>
      <w:r w:rsidR="006A156A">
        <w:rPr>
          <w:rFonts w:cstheme="minorHAnsi"/>
          <w:sz w:val="24"/>
          <w:szCs w:val="24"/>
        </w:rPr>
        <w:t>report</w:t>
      </w:r>
      <w:r w:rsidR="006A156A" w:rsidRPr="00435E9A">
        <w:rPr>
          <w:rFonts w:cstheme="minorHAnsi"/>
          <w:sz w:val="24"/>
          <w:szCs w:val="24"/>
        </w:rPr>
        <w:t xml:space="preserve"> </w:t>
      </w:r>
      <w:r w:rsidRPr="00435E9A">
        <w:rPr>
          <w:rFonts w:cstheme="minorHAnsi"/>
          <w:sz w:val="24"/>
          <w:szCs w:val="24"/>
        </w:rPr>
        <w:t>details.</w:t>
      </w:r>
    </w:p>
    <w:p w14:paraId="7AF1E810" w14:textId="500DC5AF"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Two studies assessed the quality of the decision aid against the IPDAS criteria (Hoffmann et al, 2019; </w:t>
      </w:r>
      <w:proofErr w:type="spellStart"/>
      <w:r w:rsidRPr="00435E9A">
        <w:rPr>
          <w:rFonts w:cstheme="minorHAnsi"/>
          <w:sz w:val="24"/>
          <w:szCs w:val="24"/>
        </w:rPr>
        <w:t>Garvelink</w:t>
      </w:r>
      <w:proofErr w:type="spellEnd"/>
      <w:r w:rsidRPr="00435E9A">
        <w:rPr>
          <w:rFonts w:cstheme="minorHAnsi"/>
          <w:sz w:val="24"/>
          <w:szCs w:val="24"/>
        </w:rPr>
        <w:t xml:space="preserve"> et al 2016). </w:t>
      </w:r>
      <w:proofErr w:type="spellStart"/>
      <w:r w:rsidR="006A156A" w:rsidRPr="00435E9A">
        <w:rPr>
          <w:rFonts w:cstheme="minorHAnsi"/>
          <w:sz w:val="24"/>
          <w:szCs w:val="24"/>
        </w:rPr>
        <w:t>Garvelink</w:t>
      </w:r>
      <w:proofErr w:type="spellEnd"/>
      <w:r w:rsidR="006A156A" w:rsidRPr="00435E9A">
        <w:rPr>
          <w:rFonts w:cstheme="minorHAnsi"/>
          <w:sz w:val="24"/>
          <w:szCs w:val="24"/>
        </w:rPr>
        <w:t xml:space="preserve"> et al (2016) found that their </w:t>
      </w:r>
      <w:r w:rsidR="00641F81">
        <w:rPr>
          <w:rFonts w:cstheme="minorHAnsi"/>
          <w:sz w:val="24"/>
          <w:szCs w:val="24"/>
        </w:rPr>
        <w:t>tool</w:t>
      </w:r>
      <w:r w:rsidR="006A156A" w:rsidRPr="00435E9A">
        <w:rPr>
          <w:rFonts w:cstheme="minorHAnsi"/>
          <w:sz w:val="24"/>
          <w:szCs w:val="24"/>
        </w:rPr>
        <w:t xml:space="preserve"> met only eight of the twelve IPDAS criteria and consequently labelled </w:t>
      </w:r>
      <w:r w:rsidR="00641F81">
        <w:rPr>
          <w:rFonts w:cstheme="minorHAnsi"/>
          <w:sz w:val="24"/>
          <w:szCs w:val="24"/>
        </w:rPr>
        <w:t xml:space="preserve">it </w:t>
      </w:r>
      <w:r w:rsidR="006A156A" w:rsidRPr="00435E9A">
        <w:rPr>
          <w:rFonts w:cstheme="minorHAnsi"/>
          <w:sz w:val="24"/>
          <w:szCs w:val="24"/>
        </w:rPr>
        <w:t xml:space="preserve">a decision guide </w:t>
      </w:r>
      <w:r w:rsidR="00641F81">
        <w:rPr>
          <w:rFonts w:cstheme="minorHAnsi"/>
          <w:sz w:val="24"/>
          <w:szCs w:val="24"/>
        </w:rPr>
        <w:t>rather than aid</w:t>
      </w:r>
      <w:r w:rsidR="006A156A" w:rsidRPr="00435E9A">
        <w:rPr>
          <w:rFonts w:cstheme="minorHAnsi"/>
          <w:sz w:val="24"/>
          <w:szCs w:val="24"/>
        </w:rPr>
        <w:t>.</w:t>
      </w:r>
      <w:r w:rsidR="00641F81">
        <w:rPr>
          <w:rFonts w:cstheme="minorHAnsi"/>
          <w:sz w:val="24"/>
          <w:szCs w:val="24"/>
        </w:rPr>
        <w:t xml:space="preserve"> </w:t>
      </w:r>
      <w:proofErr w:type="spellStart"/>
      <w:r w:rsidRPr="00435E9A">
        <w:rPr>
          <w:rFonts w:cstheme="minorHAnsi"/>
          <w:sz w:val="24"/>
          <w:szCs w:val="24"/>
        </w:rPr>
        <w:t>Garvelink</w:t>
      </w:r>
      <w:proofErr w:type="spellEnd"/>
      <w:r w:rsidRPr="00435E9A">
        <w:rPr>
          <w:rFonts w:cstheme="minorHAnsi"/>
          <w:sz w:val="24"/>
          <w:szCs w:val="24"/>
        </w:rPr>
        <w:t xml:space="preserve"> et al (2017) presented no evidence of using the IPDAS or any other criteria. The remaining two studies (</w:t>
      </w:r>
      <w:proofErr w:type="spellStart"/>
      <w:r w:rsidRPr="00435E9A">
        <w:rPr>
          <w:rFonts w:cstheme="minorHAnsi"/>
          <w:sz w:val="24"/>
          <w:szCs w:val="24"/>
        </w:rPr>
        <w:t>Friedemann</w:t>
      </w:r>
      <w:proofErr w:type="spellEnd"/>
      <w:r w:rsidRPr="00435E9A">
        <w:rPr>
          <w:rFonts w:cstheme="minorHAnsi"/>
          <w:sz w:val="24"/>
          <w:szCs w:val="24"/>
        </w:rPr>
        <w:t xml:space="preserve"> et al, 2004;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developed decision aids prior to publication of the IPDAS criteria. </w:t>
      </w:r>
    </w:p>
    <w:p w14:paraId="2D60B0F0"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The decision aids’ domains</w:t>
      </w:r>
    </w:p>
    <w:p w14:paraId="7170BC3A"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All of the decision aids aimed to support people with planning for long-term care in later life, with </w:t>
      </w:r>
      <w:bookmarkStart w:id="6" w:name="_Hlk42768624"/>
      <w:proofErr w:type="spellStart"/>
      <w:r w:rsidRPr="00435E9A">
        <w:rPr>
          <w:rFonts w:cstheme="minorHAnsi"/>
          <w:sz w:val="24"/>
          <w:szCs w:val="24"/>
        </w:rPr>
        <w:t>Garvelink</w:t>
      </w:r>
      <w:proofErr w:type="spellEnd"/>
      <w:r w:rsidRPr="00435E9A">
        <w:rPr>
          <w:rFonts w:cstheme="minorHAnsi"/>
          <w:sz w:val="24"/>
          <w:szCs w:val="24"/>
        </w:rPr>
        <w:t xml:space="preserve"> et al (2016) </w:t>
      </w:r>
      <w:bookmarkEnd w:id="6"/>
      <w:r w:rsidRPr="00435E9A">
        <w:rPr>
          <w:rFonts w:cstheme="minorHAnsi"/>
          <w:sz w:val="24"/>
          <w:szCs w:val="24"/>
        </w:rPr>
        <w:t xml:space="preserve">focusing specifically on location of care and </w:t>
      </w:r>
      <w:proofErr w:type="spellStart"/>
      <w:r w:rsidRPr="00435E9A">
        <w:rPr>
          <w:rFonts w:cstheme="minorHAnsi"/>
          <w:sz w:val="24"/>
          <w:szCs w:val="24"/>
        </w:rPr>
        <w:t>Garvelink</w:t>
      </w:r>
      <w:proofErr w:type="spellEnd"/>
      <w:r w:rsidRPr="00435E9A">
        <w:rPr>
          <w:rFonts w:cstheme="minorHAnsi"/>
          <w:sz w:val="24"/>
          <w:szCs w:val="24"/>
        </w:rPr>
        <w:t xml:space="preserve"> et al (2017) on home care. </w:t>
      </w:r>
    </w:p>
    <w:p w14:paraId="0CF2037F" w14:textId="48696121"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domains covered by the two </w:t>
      </w:r>
      <w:proofErr w:type="spellStart"/>
      <w:r w:rsidRPr="00435E9A">
        <w:rPr>
          <w:rFonts w:cstheme="minorHAnsi"/>
          <w:sz w:val="24"/>
          <w:szCs w:val="24"/>
        </w:rPr>
        <w:t>Garvelink</w:t>
      </w:r>
      <w:proofErr w:type="spellEnd"/>
      <w:r w:rsidRPr="00435E9A">
        <w:rPr>
          <w:rFonts w:cstheme="minorHAnsi"/>
          <w:sz w:val="24"/>
          <w:szCs w:val="24"/>
        </w:rPr>
        <w:t xml:space="preserve"> papers are not clear. </w:t>
      </w:r>
      <w:proofErr w:type="spellStart"/>
      <w:r w:rsidRPr="00435E9A">
        <w:rPr>
          <w:rFonts w:cstheme="minorHAnsi"/>
          <w:sz w:val="24"/>
          <w:szCs w:val="24"/>
        </w:rPr>
        <w:t>Garvelink</w:t>
      </w:r>
      <w:proofErr w:type="spellEnd"/>
      <w:r w:rsidRPr="00435E9A">
        <w:rPr>
          <w:rFonts w:cstheme="minorHAnsi"/>
          <w:sz w:val="24"/>
          <w:szCs w:val="24"/>
        </w:rPr>
        <w:t xml:space="preserve"> et al (2016) described the end product as comprising ‘six steps to involve elderly people, caregivers and healthcare professionals in the decision</w:t>
      </w:r>
      <w:r w:rsidR="008F50AD">
        <w:rPr>
          <w:rFonts w:cstheme="minorHAnsi"/>
          <w:sz w:val="24"/>
          <w:szCs w:val="24"/>
        </w:rPr>
        <w:t>-</w:t>
      </w:r>
      <w:r w:rsidRPr="00435E9A">
        <w:rPr>
          <w:rFonts w:cstheme="minorHAnsi"/>
          <w:sz w:val="24"/>
          <w:szCs w:val="24"/>
        </w:rPr>
        <w:t xml:space="preserve">making process about location of care’ (p11) but gave no detail about what these steps </w:t>
      </w:r>
      <w:r w:rsidR="008F50AD">
        <w:rPr>
          <w:rFonts w:cstheme="minorHAnsi"/>
          <w:sz w:val="24"/>
          <w:szCs w:val="24"/>
        </w:rPr>
        <w:t>entailed</w:t>
      </w:r>
      <w:r w:rsidRPr="00435E9A">
        <w:rPr>
          <w:rFonts w:cstheme="minorHAnsi"/>
          <w:sz w:val="24"/>
          <w:szCs w:val="24"/>
        </w:rPr>
        <w:t xml:space="preserve">. </w:t>
      </w:r>
      <w:proofErr w:type="spellStart"/>
      <w:r w:rsidRPr="00435E9A">
        <w:rPr>
          <w:rFonts w:cstheme="minorHAnsi"/>
          <w:sz w:val="24"/>
          <w:szCs w:val="24"/>
        </w:rPr>
        <w:t>Garvelink</w:t>
      </w:r>
      <w:proofErr w:type="spellEnd"/>
      <w:r w:rsidRPr="00435E9A">
        <w:rPr>
          <w:rFonts w:cstheme="minorHAnsi"/>
          <w:sz w:val="24"/>
          <w:szCs w:val="24"/>
        </w:rPr>
        <w:t xml:space="preserve"> et al (2017) stated that their research had ‘uncovered numerous decisional needs, including the need to start thinking about this decision early on, safety issues inside and outside the home, and the importance of social supports and psychological or mental well-being’ (p12). No more detail is provided and it is not clear whether these are all or only some of the domains covered in the final decision aid.</w:t>
      </w:r>
    </w:p>
    <w:p w14:paraId="545371F8" w14:textId="0F894F93" w:rsidR="004B2456" w:rsidRPr="00435E9A" w:rsidRDefault="002E0B5D" w:rsidP="004B2456">
      <w:pPr>
        <w:spacing w:after="120" w:line="276" w:lineRule="auto"/>
        <w:rPr>
          <w:rFonts w:cstheme="minorHAnsi"/>
          <w:sz w:val="24"/>
          <w:szCs w:val="24"/>
        </w:rPr>
      </w:pPr>
      <w:r w:rsidRPr="00435E9A">
        <w:rPr>
          <w:rFonts w:cstheme="minorHAnsi"/>
          <w:sz w:val="24"/>
          <w:szCs w:val="24"/>
        </w:rPr>
        <w:t xml:space="preserve">The three remaining papers described the domains of their decision aids in detail. </w:t>
      </w:r>
      <w:r w:rsidR="00FC4FEB">
        <w:rPr>
          <w:rFonts w:cstheme="minorHAnsi"/>
          <w:sz w:val="24"/>
          <w:szCs w:val="24"/>
        </w:rPr>
        <w:t xml:space="preserve">Column six (Topics covered) of </w:t>
      </w:r>
      <w:r w:rsidRPr="00435E9A">
        <w:rPr>
          <w:rFonts w:cstheme="minorHAnsi"/>
          <w:sz w:val="24"/>
          <w:szCs w:val="24"/>
        </w:rPr>
        <w:t xml:space="preserve">Table </w:t>
      </w:r>
      <w:r w:rsidR="00FC4FEB">
        <w:rPr>
          <w:rFonts w:cstheme="minorHAnsi"/>
          <w:sz w:val="24"/>
          <w:szCs w:val="24"/>
        </w:rPr>
        <w:t>3</w:t>
      </w:r>
      <w:r w:rsidR="00FC4FEB" w:rsidRPr="00435E9A">
        <w:rPr>
          <w:rFonts w:cstheme="minorHAnsi"/>
          <w:sz w:val="24"/>
          <w:szCs w:val="24"/>
        </w:rPr>
        <w:t xml:space="preserve"> </w:t>
      </w:r>
      <w:r w:rsidRPr="00435E9A">
        <w:rPr>
          <w:rFonts w:cstheme="minorHAnsi"/>
          <w:sz w:val="24"/>
          <w:szCs w:val="24"/>
        </w:rPr>
        <w:t>presents these domains, illustrating how these are shared across decision aids.</w:t>
      </w:r>
      <w:r w:rsidR="004B2456" w:rsidRPr="004B2456">
        <w:rPr>
          <w:rFonts w:cstheme="minorHAnsi"/>
          <w:sz w:val="24"/>
          <w:szCs w:val="24"/>
        </w:rPr>
        <w:t xml:space="preserve"> </w:t>
      </w:r>
      <w:r w:rsidR="004B2456" w:rsidRPr="00435E9A">
        <w:rPr>
          <w:rFonts w:cstheme="minorHAnsi"/>
          <w:sz w:val="24"/>
          <w:szCs w:val="24"/>
        </w:rPr>
        <w:t xml:space="preserve">All three decision aids contain a section aimed at helping people gather information and consider what is important to them before taking practical steps to formulate a plan. The similarity between the Sorensen </w:t>
      </w:r>
      <w:r w:rsidR="004B2456">
        <w:rPr>
          <w:rFonts w:cstheme="minorHAnsi"/>
          <w:sz w:val="24"/>
          <w:szCs w:val="24"/>
        </w:rPr>
        <w:t>and</w:t>
      </w:r>
      <w:r w:rsidR="004B2456" w:rsidRPr="00435E9A">
        <w:rPr>
          <w:rFonts w:cstheme="minorHAnsi"/>
          <w:sz w:val="24"/>
          <w:szCs w:val="24"/>
        </w:rPr>
        <w:t xml:space="preserve"> </w:t>
      </w:r>
      <w:proofErr w:type="spellStart"/>
      <w:r w:rsidR="004B2456" w:rsidRPr="00435E9A">
        <w:rPr>
          <w:rFonts w:cstheme="minorHAnsi"/>
          <w:sz w:val="24"/>
          <w:szCs w:val="24"/>
        </w:rPr>
        <w:t>Pinquart</w:t>
      </w:r>
      <w:proofErr w:type="spellEnd"/>
      <w:r w:rsidR="004B2456" w:rsidRPr="00435E9A">
        <w:rPr>
          <w:rFonts w:cstheme="minorHAnsi"/>
          <w:sz w:val="24"/>
          <w:szCs w:val="24"/>
        </w:rPr>
        <w:t xml:space="preserve"> PFCN instrument and </w:t>
      </w:r>
      <w:r w:rsidR="004B2456">
        <w:rPr>
          <w:rFonts w:cstheme="minorHAnsi"/>
          <w:sz w:val="24"/>
          <w:szCs w:val="24"/>
        </w:rPr>
        <w:t xml:space="preserve">Hoffmann et </w:t>
      </w:r>
      <w:proofErr w:type="spellStart"/>
      <w:r w:rsidR="004B2456">
        <w:rPr>
          <w:rFonts w:cstheme="minorHAnsi"/>
          <w:sz w:val="24"/>
          <w:szCs w:val="24"/>
        </w:rPr>
        <w:t>al’s</w:t>
      </w:r>
      <w:proofErr w:type="spellEnd"/>
      <w:r w:rsidR="004B2456">
        <w:rPr>
          <w:rFonts w:cstheme="minorHAnsi"/>
          <w:sz w:val="24"/>
          <w:szCs w:val="24"/>
        </w:rPr>
        <w:t xml:space="preserve"> </w:t>
      </w:r>
      <w:proofErr w:type="gramStart"/>
      <w:r w:rsidR="004B2456" w:rsidRPr="00435E9A">
        <w:rPr>
          <w:rFonts w:cstheme="minorHAnsi"/>
          <w:sz w:val="24"/>
          <w:szCs w:val="24"/>
        </w:rPr>
        <w:t>Planning</w:t>
      </w:r>
      <w:proofErr w:type="gramEnd"/>
      <w:r w:rsidR="004B2456" w:rsidRPr="00435E9A">
        <w:rPr>
          <w:rFonts w:cstheme="minorHAnsi"/>
          <w:sz w:val="24"/>
          <w:szCs w:val="24"/>
        </w:rPr>
        <w:t xml:space="preserve"> for Long Term Care website is striking, each encouraging people to gather informa</w:t>
      </w:r>
      <w:r w:rsidR="004B2456">
        <w:rPr>
          <w:rFonts w:cstheme="minorHAnsi"/>
          <w:sz w:val="24"/>
          <w:szCs w:val="24"/>
        </w:rPr>
        <w:t>ti</w:t>
      </w:r>
      <w:r w:rsidR="004B2456" w:rsidRPr="00435E9A">
        <w:rPr>
          <w:rFonts w:cstheme="minorHAnsi"/>
          <w:sz w:val="24"/>
          <w:szCs w:val="24"/>
        </w:rPr>
        <w:t xml:space="preserve">on, consider their personal preferences and </w:t>
      </w:r>
      <w:r w:rsidR="004B2456">
        <w:rPr>
          <w:rFonts w:cstheme="minorHAnsi"/>
          <w:sz w:val="24"/>
          <w:szCs w:val="24"/>
        </w:rPr>
        <w:t>formulate</w:t>
      </w:r>
      <w:r w:rsidR="004B2456" w:rsidRPr="00435E9A">
        <w:rPr>
          <w:rFonts w:cstheme="minorHAnsi"/>
          <w:sz w:val="24"/>
          <w:szCs w:val="24"/>
        </w:rPr>
        <w:t xml:space="preserve"> a plan.</w:t>
      </w:r>
    </w:p>
    <w:p w14:paraId="3DE52B80" w14:textId="07B6E59B"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PFCN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2001) and LTCP (</w:t>
      </w:r>
      <w:proofErr w:type="spellStart"/>
      <w:r w:rsidRPr="00435E9A">
        <w:rPr>
          <w:rFonts w:cstheme="minorHAnsi"/>
          <w:sz w:val="24"/>
          <w:szCs w:val="24"/>
        </w:rPr>
        <w:t>Friedemann</w:t>
      </w:r>
      <w:proofErr w:type="spellEnd"/>
      <w:r w:rsidRPr="00435E9A">
        <w:rPr>
          <w:rFonts w:cstheme="minorHAnsi"/>
          <w:sz w:val="24"/>
          <w:szCs w:val="24"/>
        </w:rPr>
        <w:t xml:space="preserve"> et al, 2004), both developed primarily as research instruments but available for use as decision aids, each include a section on people’s attitudes towards care. These sections are aimed at understanding whether or not people are prepared to think about the possibility of needing care in the </w:t>
      </w:r>
      <w:r w:rsidRPr="00435E9A">
        <w:rPr>
          <w:rFonts w:cstheme="minorHAnsi"/>
          <w:sz w:val="24"/>
          <w:szCs w:val="24"/>
        </w:rPr>
        <w:lastRenderedPageBreak/>
        <w:t xml:space="preserve">future and, should the need arise, whether they are likely to engage in planning or take any other relevant actions. </w:t>
      </w:r>
    </w:p>
    <w:p w14:paraId="016036C9"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Evaluation of decision aids</w:t>
      </w:r>
    </w:p>
    <w:p w14:paraId="632276B6" w14:textId="1FDDD5AF"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None of the </w:t>
      </w:r>
      <w:r w:rsidR="008F50AD">
        <w:rPr>
          <w:rFonts w:cstheme="minorHAnsi"/>
          <w:sz w:val="24"/>
          <w:szCs w:val="24"/>
        </w:rPr>
        <w:t xml:space="preserve">original </w:t>
      </w:r>
      <w:r w:rsidRPr="00435E9A">
        <w:rPr>
          <w:rFonts w:cstheme="minorHAnsi"/>
          <w:sz w:val="24"/>
          <w:szCs w:val="24"/>
        </w:rPr>
        <w:t xml:space="preserve">five </w:t>
      </w:r>
      <w:r w:rsidR="008F50AD">
        <w:rPr>
          <w:rFonts w:cstheme="minorHAnsi"/>
          <w:sz w:val="24"/>
          <w:szCs w:val="24"/>
        </w:rPr>
        <w:t>papers</w:t>
      </w:r>
      <w:r w:rsidRPr="00435E9A">
        <w:rPr>
          <w:rFonts w:cstheme="minorHAnsi"/>
          <w:sz w:val="24"/>
          <w:szCs w:val="24"/>
        </w:rPr>
        <w:t xml:space="preserve"> that met the review inclusion criteria evaluated the effectiveness of the decision aid they developed. However, the three additional studies identified through citation searching offer some insights into effectiveness. Table </w:t>
      </w:r>
      <w:r w:rsidR="00AF5665">
        <w:rPr>
          <w:rFonts w:cstheme="minorHAnsi"/>
          <w:sz w:val="24"/>
          <w:szCs w:val="24"/>
        </w:rPr>
        <w:t>4</w:t>
      </w:r>
      <w:r w:rsidR="00AF5665" w:rsidRPr="00435E9A">
        <w:rPr>
          <w:rFonts w:cstheme="minorHAnsi"/>
          <w:sz w:val="24"/>
          <w:szCs w:val="24"/>
        </w:rPr>
        <w:t xml:space="preserve"> </w:t>
      </w:r>
      <w:r w:rsidRPr="00435E9A">
        <w:rPr>
          <w:rFonts w:cstheme="minorHAnsi"/>
          <w:sz w:val="24"/>
          <w:szCs w:val="24"/>
        </w:rPr>
        <w:t xml:space="preserve">describes the studies and findings. </w:t>
      </w:r>
    </w:p>
    <w:p w14:paraId="3C311F14" w14:textId="123BDBAA" w:rsidR="002E0B5D" w:rsidRPr="00435E9A" w:rsidRDefault="002E0B5D" w:rsidP="00771B9F">
      <w:pPr>
        <w:autoSpaceDE w:val="0"/>
        <w:autoSpaceDN w:val="0"/>
        <w:adjustRightInd w:val="0"/>
        <w:spacing w:after="120" w:line="276" w:lineRule="auto"/>
        <w:rPr>
          <w:rFonts w:cstheme="minorHAnsi"/>
          <w:sz w:val="24"/>
          <w:szCs w:val="24"/>
        </w:rPr>
      </w:pPr>
      <w:r w:rsidRPr="00435E9A">
        <w:rPr>
          <w:rFonts w:cstheme="minorHAnsi"/>
          <w:sz w:val="24"/>
          <w:szCs w:val="24"/>
        </w:rPr>
        <w:t xml:space="preserve">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(2002a) measured the association between the PFCN instrument (developed in Sorensen </w:t>
      </w:r>
      <w:r w:rsidR="00797EED">
        <w:rPr>
          <w:rFonts w:cstheme="minorHAnsi"/>
          <w:sz w:val="24"/>
          <w:szCs w:val="24"/>
        </w:rPr>
        <w:t>and</w:t>
      </w:r>
      <w:r w:rsidRPr="00435E9A">
        <w:rPr>
          <w:rFonts w:cstheme="minorHAnsi"/>
          <w:sz w:val="24"/>
          <w:szCs w:val="24"/>
        </w:rPr>
        <w:t xml:space="preserve"> </w:t>
      </w:r>
      <w:proofErr w:type="spellStart"/>
      <w:r w:rsidRPr="00435E9A">
        <w:rPr>
          <w:rFonts w:cstheme="minorHAnsi"/>
          <w:sz w:val="24"/>
          <w:szCs w:val="24"/>
        </w:rPr>
        <w:t>Pinquart</w:t>
      </w:r>
      <w:proofErr w:type="spellEnd"/>
      <w:r w:rsidRPr="00435E9A">
        <w:rPr>
          <w:rFonts w:cstheme="minorHAnsi"/>
          <w:sz w:val="24"/>
          <w:szCs w:val="24"/>
        </w:rPr>
        <w:t xml:space="preserve">, 2001) and subjective well-being in a cross-sectional study in Germany. They found that for older adults, although being aware of the </w:t>
      </w:r>
      <w:r w:rsidR="00285DE1" w:rsidRPr="00435E9A">
        <w:rPr>
          <w:rFonts w:cstheme="minorHAnsi"/>
          <w:sz w:val="24"/>
          <w:szCs w:val="24"/>
        </w:rPr>
        <w:t>necessity</w:t>
      </w:r>
      <w:r w:rsidRPr="00435E9A">
        <w:rPr>
          <w:rFonts w:cstheme="minorHAnsi"/>
          <w:sz w:val="24"/>
          <w:szCs w:val="24"/>
        </w:rPr>
        <w:t xml:space="preserve"> to plan for future care needs was associated with increased worry</w:t>
      </w:r>
      <w:r w:rsidR="00285DE1">
        <w:rPr>
          <w:rFonts w:cstheme="minorHAnsi"/>
          <w:sz w:val="24"/>
          <w:szCs w:val="24"/>
        </w:rPr>
        <w:t>,</w:t>
      </w:r>
      <w:r w:rsidRPr="00435E9A">
        <w:rPr>
          <w:rFonts w:cstheme="minorHAnsi"/>
          <w:sz w:val="24"/>
          <w:szCs w:val="24"/>
        </w:rPr>
        <w:t xml:space="preserve"> anxiety and higher levels of depressive symptoms, gathering information and </w:t>
      </w:r>
      <w:r w:rsidR="00285DE1">
        <w:rPr>
          <w:rFonts w:cstheme="minorHAnsi"/>
          <w:sz w:val="24"/>
          <w:szCs w:val="24"/>
        </w:rPr>
        <w:t xml:space="preserve">making </w:t>
      </w:r>
      <w:r w:rsidRPr="00435E9A">
        <w:rPr>
          <w:rFonts w:cstheme="minorHAnsi"/>
          <w:sz w:val="24"/>
          <w:szCs w:val="24"/>
        </w:rPr>
        <w:t>concrete plan</w:t>
      </w:r>
      <w:r w:rsidR="00285DE1">
        <w:rPr>
          <w:rFonts w:cstheme="minorHAnsi"/>
          <w:sz w:val="24"/>
          <w:szCs w:val="24"/>
        </w:rPr>
        <w:t>s</w:t>
      </w:r>
      <w:r w:rsidRPr="00435E9A">
        <w:rPr>
          <w:rFonts w:cstheme="minorHAnsi"/>
          <w:sz w:val="24"/>
          <w:szCs w:val="24"/>
        </w:rPr>
        <w:t xml:space="preserve"> for care were associated with less worry and anxiety and higher satisfaction. Sorensen </w:t>
      </w:r>
      <w:r w:rsidR="00285DE1">
        <w:rPr>
          <w:rFonts w:cstheme="minorHAnsi"/>
          <w:sz w:val="24"/>
          <w:szCs w:val="24"/>
        </w:rPr>
        <w:t xml:space="preserve">et al </w:t>
      </w:r>
      <w:r w:rsidRPr="00435E9A">
        <w:rPr>
          <w:rFonts w:cstheme="minorHAnsi"/>
          <w:sz w:val="24"/>
          <w:szCs w:val="24"/>
        </w:rPr>
        <w:t xml:space="preserve">(2012) similarly evaluated the relationship between mental well-being and preparation for care using the PFCN instrument in the USA. </w:t>
      </w:r>
      <w:r w:rsidR="00A819E3">
        <w:rPr>
          <w:rFonts w:cstheme="minorHAnsi"/>
          <w:sz w:val="24"/>
          <w:szCs w:val="24"/>
        </w:rPr>
        <w:t>They also found that p</w:t>
      </w:r>
      <w:r w:rsidR="00637AFA">
        <w:rPr>
          <w:rFonts w:cstheme="minorHAnsi"/>
          <w:sz w:val="24"/>
          <w:szCs w:val="24"/>
        </w:rPr>
        <w:t>eople who had made c</w:t>
      </w:r>
      <w:r w:rsidRPr="00435E9A">
        <w:rPr>
          <w:rFonts w:cstheme="minorHAnsi"/>
          <w:sz w:val="24"/>
          <w:szCs w:val="24"/>
        </w:rPr>
        <w:t xml:space="preserve">oncrete </w:t>
      </w:r>
      <w:r w:rsidR="00637AFA">
        <w:rPr>
          <w:rFonts w:cstheme="minorHAnsi"/>
          <w:sz w:val="24"/>
          <w:szCs w:val="24"/>
        </w:rPr>
        <w:t xml:space="preserve">care </w:t>
      </w:r>
      <w:r w:rsidRPr="00435E9A">
        <w:rPr>
          <w:rFonts w:cstheme="minorHAnsi"/>
          <w:sz w:val="24"/>
          <w:szCs w:val="24"/>
        </w:rPr>
        <w:t>plan</w:t>
      </w:r>
      <w:r w:rsidR="00637AFA">
        <w:rPr>
          <w:rFonts w:cstheme="minorHAnsi"/>
          <w:sz w:val="24"/>
          <w:szCs w:val="24"/>
        </w:rPr>
        <w:t xml:space="preserve">s at baseline were less likely to develop </w:t>
      </w:r>
      <w:r w:rsidR="00637AFA" w:rsidRPr="00435E9A">
        <w:rPr>
          <w:rFonts w:cstheme="minorHAnsi"/>
          <w:sz w:val="24"/>
          <w:szCs w:val="24"/>
        </w:rPr>
        <w:t>depression two years later</w:t>
      </w:r>
      <w:r w:rsidR="00637AFA">
        <w:rPr>
          <w:rFonts w:cstheme="minorHAnsi"/>
          <w:sz w:val="24"/>
          <w:szCs w:val="24"/>
        </w:rPr>
        <w:t xml:space="preserve"> compared to people who had avoided planning</w:t>
      </w:r>
      <w:r w:rsidRPr="00435E9A">
        <w:rPr>
          <w:rFonts w:cstheme="minorHAnsi"/>
          <w:sz w:val="24"/>
          <w:szCs w:val="24"/>
        </w:rPr>
        <w:t>.</w:t>
      </w:r>
    </w:p>
    <w:p w14:paraId="438203FA" w14:textId="1C5B4DD4" w:rsidR="002E0B5D" w:rsidRPr="00435E9A" w:rsidRDefault="002E0B5D" w:rsidP="00771B9F">
      <w:pPr>
        <w:autoSpaceDE w:val="0"/>
        <w:autoSpaceDN w:val="0"/>
        <w:adjustRightInd w:val="0"/>
        <w:spacing w:after="120" w:line="276" w:lineRule="auto"/>
        <w:rPr>
          <w:rFonts w:cstheme="minorHAnsi"/>
          <w:sz w:val="24"/>
          <w:szCs w:val="24"/>
        </w:rPr>
      </w:pPr>
      <w:proofErr w:type="spellStart"/>
      <w:r w:rsidRPr="00435E9A">
        <w:rPr>
          <w:rFonts w:cstheme="minorHAnsi"/>
          <w:sz w:val="24"/>
          <w:szCs w:val="24"/>
        </w:rPr>
        <w:t>Adekpedjou</w:t>
      </w:r>
      <w:proofErr w:type="spellEnd"/>
      <w:r w:rsidRPr="00435E9A">
        <w:rPr>
          <w:rFonts w:cstheme="minorHAnsi"/>
          <w:sz w:val="24"/>
          <w:szCs w:val="24"/>
        </w:rPr>
        <w:t xml:space="preserve"> et al (20</w:t>
      </w:r>
      <w:r w:rsidR="005C3417">
        <w:rPr>
          <w:rFonts w:cstheme="minorHAnsi"/>
          <w:sz w:val="24"/>
          <w:szCs w:val="24"/>
        </w:rPr>
        <w:t>20</w:t>
      </w:r>
      <w:r w:rsidRPr="00435E9A">
        <w:rPr>
          <w:rFonts w:cstheme="minorHAnsi"/>
          <w:sz w:val="24"/>
          <w:szCs w:val="24"/>
        </w:rPr>
        <w:t xml:space="preserve">) evaluated the effect of training home care teams in shared decision-making on the proportion of caregivers taking an active role in decision-making in a randomised controlled trial. The shared decision-making intervention included the </w:t>
      </w:r>
      <w:proofErr w:type="spellStart"/>
      <w:r w:rsidRPr="00435E9A">
        <w:rPr>
          <w:rFonts w:cstheme="minorHAnsi"/>
          <w:sz w:val="24"/>
          <w:szCs w:val="24"/>
        </w:rPr>
        <w:t>Garvelink</w:t>
      </w:r>
      <w:proofErr w:type="spellEnd"/>
      <w:r w:rsidRPr="00435E9A">
        <w:rPr>
          <w:rFonts w:cstheme="minorHAnsi"/>
          <w:sz w:val="24"/>
          <w:szCs w:val="24"/>
        </w:rPr>
        <w:t xml:space="preserve"> (2016) guide to support caregivers, health professionals and older people in decision making about location of care. The evaluation found that the proportion of caregivers reporting an active role in decision making increased by 18% in the intervention compared to the control group.</w:t>
      </w:r>
    </w:p>
    <w:p w14:paraId="6DDF731F" w14:textId="77777777" w:rsidR="002E0B5D" w:rsidRPr="00435E9A" w:rsidRDefault="002E0B5D" w:rsidP="00771B9F">
      <w:pPr>
        <w:spacing w:after="120" w:line="276" w:lineRule="auto"/>
        <w:rPr>
          <w:rFonts w:cstheme="minorHAnsi"/>
          <w:sz w:val="24"/>
          <w:szCs w:val="24"/>
        </w:rPr>
      </w:pPr>
    </w:p>
    <w:p w14:paraId="30505C48" w14:textId="77777777" w:rsidR="002E0B5D" w:rsidRPr="00435E9A" w:rsidRDefault="002E0B5D" w:rsidP="00771B9F">
      <w:pPr>
        <w:spacing w:after="120" w:line="276" w:lineRule="auto"/>
        <w:rPr>
          <w:rFonts w:cstheme="minorHAnsi"/>
          <w:b/>
          <w:i/>
          <w:sz w:val="24"/>
          <w:szCs w:val="24"/>
        </w:rPr>
      </w:pPr>
      <w:r w:rsidRPr="00435E9A">
        <w:rPr>
          <w:rFonts w:cstheme="minorHAnsi"/>
          <w:b/>
          <w:i/>
          <w:sz w:val="24"/>
          <w:szCs w:val="24"/>
        </w:rPr>
        <w:t>Decision aids offered on social care-related websites in England</w:t>
      </w:r>
    </w:p>
    <w:p w14:paraId="15F0FEEA" w14:textId="34043069"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search of 11 third sector and quasi-governmental </w:t>
      </w:r>
      <w:r w:rsidR="00A819E3">
        <w:rPr>
          <w:rFonts w:cstheme="minorHAnsi"/>
          <w:sz w:val="24"/>
          <w:szCs w:val="24"/>
        </w:rPr>
        <w:t xml:space="preserve">UK </w:t>
      </w:r>
      <w:r w:rsidRPr="00435E9A">
        <w:rPr>
          <w:rFonts w:cstheme="minorHAnsi"/>
          <w:sz w:val="24"/>
          <w:szCs w:val="24"/>
        </w:rPr>
        <w:t xml:space="preserve">websites and 53 English local council websites revealed one interactive housing and care tool called Housing Options for Older People (HOOP), </w:t>
      </w:r>
      <w:r w:rsidR="00A819E3">
        <w:rPr>
          <w:rFonts w:cstheme="minorHAnsi"/>
          <w:sz w:val="24"/>
          <w:szCs w:val="24"/>
        </w:rPr>
        <w:t xml:space="preserve">various </w:t>
      </w:r>
      <w:r w:rsidRPr="00435E9A">
        <w:rPr>
          <w:rFonts w:cstheme="minorHAnsi"/>
          <w:sz w:val="24"/>
          <w:szCs w:val="24"/>
        </w:rPr>
        <w:t xml:space="preserve">cost calculators to help people understand eligibility for and the costs of care, and an interactive tool to help plan support and well-being. Table </w:t>
      </w:r>
      <w:r w:rsidR="00AF5665">
        <w:rPr>
          <w:rFonts w:cstheme="minorHAnsi"/>
          <w:sz w:val="24"/>
          <w:szCs w:val="24"/>
        </w:rPr>
        <w:t>5</w:t>
      </w:r>
      <w:r w:rsidR="00AF5665" w:rsidRPr="00435E9A">
        <w:rPr>
          <w:rFonts w:cstheme="minorHAnsi"/>
          <w:sz w:val="24"/>
          <w:szCs w:val="24"/>
        </w:rPr>
        <w:t xml:space="preserve"> </w:t>
      </w:r>
      <w:r w:rsidRPr="00435E9A">
        <w:rPr>
          <w:rFonts w:cstheme="minorHAnsi"/>
          <w:sz w:val="24"/>
          <w:szCs w:val="24"/>
        </w:rPr>
        <w:t>shows the distribution across websites.</w:t>
      </w:r>
      <w:r w:rsidR="00764F7B">
        <w:rPr>
          <w:rFonts w:cstheme="minorHAnsi"/>
          <w:sz w:val="24"/>
          <w:szCs w:val="24"/>
        </w:rPr>
        <w:t xml:space="preserve"> We found no formal evidence about the development or evaluation of these tools.</w:t>
      </w:r>
    </w:p>
    <w:p w14:paraId="597018CB" w14:textId="4F950401"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HOOP is an interactive self-help tool that encourages users to consider their current home and how they live in it. It assists people in accessing information on a range of housing, care and well-being-related matters. Users of the tool are prompted to highlight issues of concern to them now or in the future, or of no concern. The sections cover: size and space; cost; condition; comfort and design; security and safety; location; managing to live independently; and quality of life. Results are summarised with a description of and links to </w:t>
      </w:r>
      <w:r w:rsidRPr="00435E9A">
        <w:rPr>
          <w:rFonts w:cstheme="minorHAnsi"/>
          <w:sz w:val="24"/>
          <w:szCs w:val="24"/>
        </w:rPr>
        <w:lastRenderedPageBreak/>
        <w:t>further information, for example concerns about the costs of care lead to a description of and link to specialist financial advi</w:t>
      </w:r>
      <w:r w:rsidR="00764F7B">
        <w:rPr>
          <w:rFonts w:cstheme="minorHAnsi"/>
          <w:sz w:val="24"/>
          <w:szCs w:val="24"/>
        </w:rPr>
        <w:t>s</w:t>
      </w:r>
      <w:r w:rsidRPr="00435E9A">
        <w:rPr>
          <w:rFonts w:cstheme="minorHAnsi"/>
          <w:sz w:val="24"/>
          <w:szCs w:val="24"/>
        </w:rPr>
        <w:t>ers</w:t>
      </w:r>
      <w:r w:rsidR="00A819E3">
        <w:rPr>
          <w:rFonts w:cstheme="minorHAnsi"/>
          <w:sz w:val="24"/>
          <w:szCs w:val="24"/>
        </w:rPr>
        <w:t xml:space="preserve"> registered with the Society of Later Life Advisers (SOLLA)</w:t>
      </w:r>
      <w:r w:rsidRPr="00435E9A">
        <w:rPr>
          <w:rFonts w:cstheme="minorHAnsi"/>
          <w:sz w:val="24"/>
          <w:szCs w:val="24"/>
        </w:rPr>
        <w:t xml:space="preserve">. Results can be saved or printed for future reference. The tool is provided by the Elderly Accommodation Council (EAC) and sponsored by Legal and General. </w:t>
      </w:r>
    </w:p>
    <w:p w14:paraId="3C741005" w14:textId="565D3B65" w:rsidR="002E0B5D" w:rsidRPr="00435E9A" w:rsidRDefault="002E0B5D" w:rsidP="00771B9F">
      <w:pPr>
        <w:spacing w:after="120" w:line="276" w:lineRule="auto"/>
        <w:rPr>
          <w:rFonts w:cstheme="minorHAnsi"/>
          <w:sz w:val="24"/>
          <w:szCs w:val="24"/>
        </w:rPr>
      </w:pPr>
      <w:r w:rsidRPr="00435E9A">
        <w:rPr>
          <w:rFonts w:cstheme="minorHAnsi"/>
          <w:sz w:val="24"/>
          <w:szCs w:val="24"/>
        </w:rPr>
        <w:t>Online cost calculators aimed to help people understand costs of care and/or their eligibility for local council help with funding care. For example, some calculators estimated costs of care based on criteria such as region, home or residential care, type of need (e.g</w:t>
      </w:r>
      <w:r w:rsidR="00A819E3">
        <w:rPr>
          <w:rFonts w:cstheme="minorHAnsi"/>
          <w:sz w:val="24"/>
          <w:szCs w:val="24"/>
        </w:rPr>
        <w:t>.</w:t>
      </w:r>
      <w:r w:rsidRPr="00435E9A">
        <w:rPr>
          <w:rFonts w:cstheme="minorHAnsi"/>
          <w:sz w:val="24"/>
          <w:szCs w:val="24"/>
        </w:rPr>
        <w:t xml:space="preserve"> frailty or dementia) or expected length of time needing care (e.g.</w:t>
      </w:r>
      <w:r w:rsidRPr="00435E9A">
        <w:rPr>
          <w:rFonts w:cstheme="minorHAnsi"/>
        </w:rPr>
        <w:t xml:space="preserve"> </w:t>
      </w:r>
      <w:hyperlink r:id="rId15" w:history="1">
        <w:r w:rsidRPr="00435E9A">
          <w:rPr>
            <w:rStyle w:val="Hyperlink"/>
            <w:rFonts w:cstheme="minorHAnsi"/>
            <w:sz w:val="24"/>
            <w:szCs w:val="24"/>
          </w:rPr>
          <w:t>https://ukcareguide.co.uk/care-home-costs/</w:t>
        </w:r>
      </w:hyperlink>
      <w:r w:rsidRPr="00435E9A">
        <w:rPr>
          <w:rFonts w:cstheme="minorHAnsi"/>
          <w:sz w:val="24"/>
          <w:szCs w:val="24"/>
        </w:rPr>
        <w:t xml:space="preserve">). Others calculated costs of care and also whether someone might be a self-funder or eligible for help meeting care costs (e.g. </w:t>
      </w:r>
      <w:hyperlink r:id="rId16" w:history="1">
        <w:r w:rsidRPr="00435E9A">
          <w:rPr>
            <w:rStyle w:val="Hyperlink"/>
            <w:rFonts w:cstheme="minorHAnsi"/>
            <w:sz w:val="24"/>
            <w:szCs w:val="24"/>
          </w:rPr>
          <w:t>https://www.which.co.uk/later-life-care/financing-care/cost-of-care-and-eligibility-checker/</w:t>
        </w:r>
      </w:hyperlink>
      <w:r w:rsidRPr="00435E9A">
        <w:rPr>
          <w:rFonts w:cstheme="minorHAnsi"/>
          <w:sz w:val="24"/>
          <w:szCs w:val="24"/>
        </w:rPr>
        <w:t>).</w:t>
      </w:r>
    </w:p>
    <w:p w14:paraId="4B975559" w14:textId="77777777" w:rsidR="002E0B5D" w:rsidRPr="00435E9A" w:rsidRDefault="002E0B5D" w:rsidP="00771B9F">
      <w:pPr>
        <w:spacing w:after="120" w:line="276" w:lineRule="auto"/>
        <w:rPr>
          <w:rFonts w:cstheme="minorHAnsi"/>
          <w:sz w:val="24"/>
          <w:szCs w:val="24"/>
        </w:rPr>
      </w:pPr>
      <w:r w:rsidRPr="00435E9A">
        <w:rPr>
          <w:rFonts w:cstheme="minorHAnsi"/>
          <w:sz w:val="24"/>
          <w:szCs w:val="24"/>
        </w:rPr>
        <w:t>One of the local council websites reviewed provided an interactive tool for planning and creating a health and well-being plan. This was aimed at all adults over 18 years of age and was not tailored to older adults planning future care and support needs.</w:t>
      </w:r>
    </w:p>
    <w:p w14:paraId="07B226C1" w14:textId="77777777" w:rsidR="002E0B5D" w:rsidRPr="00435E9A" w:rsidRDefault="002E0B5D" w:rsidP="00771B9F">
      <w:pPr>
        <w:spacing w:after="120" w:line="276" w:lineRule="auto"/>
        <w:rPr>
          <w:rFonts w:cstheme="minorHAnsi"/>
          <w:sz w:val="24"/>
          <w:szCs w:val="24"/>
        </w:rPr>
      </w:pPr>
    </w:p>
    <w:p w14:paraId="58857169" w14:textId="77777777" w:rsidR="002E0B5D" w:rsidRPr="00435E9A" w:rsidRDefault="002E0B5D" w:rsidP="00771B9F">
      <w:pPr>
        <w:spacing w:after="120" w:line="276" w:lineRule="auto"/>
        <w:rPr>
          <w:rFonts w:cstheme="minorHAnsi"/>
          <w:b/>
          <w:sz w:val="24"/>
          <w:szCs w:val="24"/>
        </w:rPr>
      </w:pPr>
      <w:r w:rsidRPr="00435E9A">
        <w:rPr>
          <w:rFonts w:cstheme="minorHAnsi"/>
          <w:b/>
          <w:sz w:val="24"/>
          <w:szCs w:val="24"/>
        </w:rPr>
        <w:t>Discussion</w:t>
      </w:r>
    </w:p>
    <w:p w14:paraId="125CA4EF" w14:textId="3690446B"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This rapid scoping review sought international research evidence on the development, use and effectiveness of decision aids in adult social care and investigated the availability of such aids for planning later life care on </w:t>
      </w:r>
      <w:r w:rsidR="006A22C7">
        <w:rPr>
          <w:rFonts w:cstheme="minorHAnsi"/>
          <w:sz w:val="24"/>
          <w:szCs w:val="24"/>
        </w:rPr>
        <w:t xml:space="preserve">adult </w:t>
      </w:r>
      <w:r w:rsidRPr="00435E9A">
        <w:rPr>
          <w:rFonts w:cstheme="minorHAnsi"/>
          <w:sz w:val="24"/>
          <w:szCs w:val="24"/>
        </w:rPr>
        <w:t xml:space="preserve">social care-related websites in England. </w:t>
      </w:r>
    </w:p>
    <w:p w14:paraId="07302BDC" w14:textId="06CFE460"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review identified </w:t>
      </w:r>
      <w:r w:rsidR="0069051B">
        <w:rPr>
          <w:rFonts w:cstheme="minorHAnsi"/>
          <w:sz w:val="24"/>
          <w:szCs w:val="24"/>
        </w:rPr>
        <w:t>a paucity of evidence about the development or effectiveness of such decision aids. F</w:t>
      </w:r>
      <w:r w:rsidRPr="00435E9A">
        <w:rPr>
          <w:rFonts w:cstheme="minorHAnsi"/>
          <w:sz w:val="24"/>
          <w:szCs w:val="24"/>
        </w:rPr>
        <w:t xml:space="preserve">ive papers described the development of five different decision aids (three in the USA and two in Canada) and three papers assessed the effectiveness of two of those decision aids. The investigation of English </w:t>
      </w:r>
      <w:r w:rsidR="006A22C7">
        <w:rPr>
          <w:rFonts w:cstheme="minorHAnsi"/>
          <w:sz w:val="24"/>
          <w:szCs w:val="24"/>
        </w:rPr>
        <w:t xml:space="preserve">adult </w:t>
      </w:r>
      <w:r w:rsidRPr="00435E9A">
        <w:rPr>
          <w:rFonts w:cstheme="minorHAnsi"/>
          <w:sz w:val="24"/>
          <w:szCs w:val="24"/>
        </w:rPr>
        <w:t xml:space="preserve">social care-related websites found </w:t>
      </w:r>
      <w:r w:rsidR="004D1579">
        <w:rPr>
          <w:rFonts w:cstheme="minorHAnsi"/>
          <w:sz w:val="24"/>
          <w:szCs w:val="24"/>
        </w:rPr>
        <w:t>very few examples of</w:t>
      </w:r>
      <w:r w:rsidRPr="00435E9A">
        <w:rPr>
          <w:rFonts w:cstheme="minorHAnsi"/>
          <w:sz w:val="24"/>
          <w:szCs w:val="24"/>
        </w:rPr>
        <w:t xml:space="preserve"> resources </w:t>
      </w:r>
      <w:r w:rsidR="004D1579">
        <w:rPr>
          <w:rFonts w:cstheme="minorHAnsi"/>
          <w:sz w:val="24"/>
          <w:szCs w:val="24"/>
        </w:rPr>
        <w:t>that could</w:t>
      </w:r>
      <w:r w:rsidRPr="00435E9A">
        <w:rPr>
          <w:rFonts w:cstheme="minorHAnsi"/>
          <w:sz w:val="24"/>
          <w:szCs w:val="24"/>
        </w:rPr>
        <w:t xml:space="preserve"> be categorised as decision aid</w:t>
      </w:r>
      <w:r w:rsidR="004D1579">
        <w:rPr>
          <w:rFonts w:cstheme="minorHAnsi"/>
          <w:sz w:val="24"/>
          <w:szCs w:val="24"/>
        </w:rPr>
        <w:t>s</w:t>
      </w:r>
      <w:r w:rsidRPr="00435E9A">
        <w:rPr>
          <w:rFonts w:cstheme="minorHAnsi"/>
          <w:sz w:val="24"/>
          <w:szCs w:val="24"/>
        </w:rPr>
        <w:t>.</w:t>
      </w:r>
    </w:p>
    <w:p w14:paraId="343523E3" w14:textId="5419A4E9" w:rsidR="007E3ADC" w:rsidRDefault="004D1579" w:rsidP="00771B9F">
      <w:pPr>
        <w:spacing w:after="120" w:line="276" w:lineRule="auto"/>
        <w:rPr>
          <w:rFonts w:cstheme="minorHAnsi"/>
          <w:sz w:val="24"/>
          <w:szCs w:val="24"/>
        </w:rPr>
      </w:pPr>
      <w:r>
        <w:rPr>
          <w:rFonts w:cstheme="minorHAnsi"/>
          <w:sz w:val="24"/>
          <w:szCs w:val="24"/>
        </w:rPr>
        <w:t>Those</w:t>
      </w:r>
      <w:r w:rsidR="0069051B">
        <w:rPr>
          <w:rFonts w:cstheme="minorHAnsi"/>
          <w:sz w:val="24"/>
          <w:szCs w:val="24"/>
        </w:rPr>
        <w:t xml:space="preserve"> decision aids </w:t>
      </w:r>
      <w:r>
        <w:rPr>
          <w:rFonts w:cstheme="minorHAnsi"/>
          <w:sz w:val="24"/>
          <w:szCs w:val="24"/>
        </w:rPr>
        <w:t xml:space="preserve">that were </w:t>
      </w:r>
      <w:r w:rsidR="0069051B">
        <w:rPr>
          <w:rFonts w:cstheme="minorHAnsi"/>
          <w:sz w:val="24"/>
          <w:szCs w:val="24"/>
        </w:rPr>
        <w:t xml:space="preserve">identified in </w:t>
      </w:r>
      <w:r>
        <w:rPr>
          <w:rFonts w:cstheme="minorHAnsi"/>
          <w:sz w:val="24"/>
          <w:szCs w:val="24"/>
        </w:rPr>
        <w:t xml:space="preserve">either research </w:t>
      </w:r>
      <w:r w:rsidR="0069051B">
        <w:rPr>
          <w:rFonts w:cstheme="minorHAnsi"/>
          <w:sz w:val="24"/>
          <w:szCs w:val="24"/>
        </w:rPr>
        <w:t xml:space="preserve">papers </w:t>
      </w:r>
      <w:r>
        <w:rPr>
          <w:rFonts w:cstheme="minorHAnsi"/>
          <w:sz w:val="24"/>
          <w:szCs w:val="24"/>
        </w:rPr>
        <w:t>or</w:t>
      </w:r>
      <w:r w:rsidR="00394FA2">
        <w:rPr>
          <w:rFonts w:cstheme="minorHAnsi"/>
          <w:sz w:val="24"/>
          <w:szCs w:val="24"/>
        </w:rPr>
        <w:t xml:space="preserve"> </w:t>
      </w:r>
      <w:r w:rsidR="0069051B">
        <w:rPr>
          <w:rFonts w:cstheme="minorHAnsi"/>
          <w:sz w:val="24"/>
          <w:szCs w:val="24"/>
        </w:rPr>
        <w:t xml:space="preserve">on websites </w:t>
      </w:r>
      <w:r w:rsidR="0069051B" w:rsidRPr="00435E9A">
        <w:rPr>
          <w:rFonts w:cstheme="minorHAnsi"/>
          <w:sz w:val="24"/>
          <w:szCs w:val="24"/>
        </w:rPr>
        <w:t xml:space="preserve">were interactive in that they encouraged the decision maker to follow key steps and answer a number of questions. </w:t>
      </w:r>
      <w:r w:rsidR="002E0B5D" w:rsidRPr="00435E9A">
        <w:rPr>
          <w:rFonts w:cstheme="minorHAnsi"/>
          <w:sz w:val="24"/>
          <w:szCs w:val="24"/>
        </w:rPr>
        <w:t>Target audiences were older people and/or their family caregivers</w:t>
      </w:r>
      <w:r w:rsidR="007F4002">
        <w:rPr>
          <w:rFonts w:cstheme="minorHAnsi"/>
          <w:sz w:val="24"/>
          <w:szCs w:val="24"/>
        </w:rPr>
        <w:t>.</w:t>
      </w:r>
      <w:r w:rsidR="002E0B5D" w:rsidRPr="00435E9A">
        <w:rPr>
          <w:rFonts w:cstheme="minorHAnsi"/>
          <w:sz w:val="24"/>
          <w:szCs w:val="24"/>
        </w:rPr>
        <w:t xml:space="preserve"> </w:t>
      </w:r>
      <w:r w:rsidR="007F4002">
        <w:rPr>
          <w:rFonts w:cstheme="minorHAnsi"/>
          <w:sz w:val="24"/>
          <w:szCs w:val="24"/>
        </w:rPr>
        <w:t xml:space="preserve">There was some overlap in the content of the decision aids, </w:t>
      </w:r>
      <w:r w:rsidR="007F4002" w:rsidRPr="00435E9A">
        <w:rPr>
          <w:rFonts w:cstheme="minorHAnsi"/>
          <w:sz w:val="24"/>
          <w:szCs w:val="24"/>
        </w:rPr>
        <w:t xml:space="preserve">including gathering information, considering personal preferences and </w:t>
      </w:r>
      <w:r>
        <w:rPr>
          <w:rFonts w:cstheme="minorHAnsi"/>
          <w:sz w:val="24"/>
          <w:szCs w:val="24"/>
        </w:rPr>
        <w:t>encourag</w:t>
      </w:r>
      <w:r w:rsidR="006A22C7">
        <w:rPr>
          <w:rFonts w:cstheme="minorHAnsi"/>
          <w:sz w:val="24"/>
          <w:szCs w:val="24"/>
        </w:rPr>
        <w:t>ing</w:t>
      </w:r>
      <w:r w:rsidR="007F4002" w:rsidRPr="00435E9A">
        <w:rPr>
          <w:rFonts w:cstheme="minorHAnsi"/>
          <w:sz w:val="24"/>
          <w:szCs w:val="24"/>
        </w:rPr>
        <w:t xml:space="preserve"> plan</w:t>
      </w:r>
      <w:r w:rsidR="006A22C7">
        <w:rPr>
          <w:rFonts w:cstheme="minorHAnsi"/>
          <w:sz w:val="24"/>
          <w:szCs w:val="24"/>
        </w:rPr>
        <w:t>ning</w:t>
      </w:r>
      <w:r w:rsidR="007F4002" w:rsidRPr="00435E9A">
        <w:rPr>
          <w:rFonts w:cstheme="minorHAnsi"/>
          <w:sz w:val="24"/>
          <w:szCs w:val="24"/>
        </w:rPr>
        <w:t>.</w:t>
      </w:r>
      <w:r w:rsidR="007F4002">
        <w:rPr>
          <w:rFonts w:cstheme="minorHAnsi"/>
          <w:sz w:val="24"/>
          <w:szCs w:val="24"/>
        </w:rPr>
        <w:t xml:space="preserve"> </w:t>
      </w:r>
      <w:r w:rsidR="007E3ADC">
        <w:rPr>
          <w:rFonts w:cstheme="minorHAnsi"/>
          <w:sz w:val="24"/>
          <w:szCs w:val="24"/>
        </w:rPr>
        <w:t xml:space="preserve">There </w:t>
      </w:r>
      <w:r w:rsidR="0069051B">
        <w:rPr>
          <w:rFonts w:cstheme="minorHAnsi"/>
          <w:sz w:val="24"/>
          <w:szCs w:val="24"/>
        </w:rPr>
        <w:t>was</w:t>
      </w:r>
      <w:r w:rsidR="007E3ADC">
        <w:rPr>
          <w:rFonts w:cstheme="minorHAnsi"/>
          <w:sz w:val="24"/>
          <w:szCs w:val="24"/>
        </w:rPr>
        <w:t xml:space="preserve"> very limited evidence on the effectiveness of any of the decision aids identified. </w:t>
      </w:r>
      <w:r w:rsidR="00EF46D9">
        <w:rPr>
          <w:rFonts w:cstheme="minorHAnsi"/>
          <w:sz w:val="24"/>
          <w:szCs w:val="24"/>
        </w:rPr>
        <w:t xml:space="preserve">The evidence that does exist </w:t>
      </w:r>
      <w:r w:rsidR="007E3ADC">
        <w:rPr>
          <w:rFonts w:cstheme="minorHAnsi"/>
          <w:sz w:val="24"/>
          <w:szCs w:val="24"/>
        </w:rPr>
        <w:t xml:space="preserve">suggests some increase in </w:t>
      </w:r>
      <w:r w:rsidR="00013FB8">
        <w:rPr>
          <w:rFonts w:cstheme="minorHAnsi"/>
          <w:sz w:val="24"/>
          <w:szCs w:val="24"/>
        </w:rPr>
        <w:t xml:space="preserve">numbers of </w:t>
      </w:r>
      <w:r w:rsidR="007E3ADC">
        <w:rPr>
          <w:rFonts w:cstheme="minorHAnsi"/>
          <w:sz w:val="24"/>
          <w:szCs w:val="24"/>
        </w:rPr>
        <w:t xml:space="preserve">care-givers reporting an active role </w:t>
      </w:r>
      <w:r>
        <w:rPr>
          <w:rFonts w:cstheme="minorHAnsi"/>
          <w:sz w:val="24"/>
          <w:szCs w:val="24"/>
        </w:rPr>
        <w:t xml:space="preserve">in decision-making following use of one of the decision aids </w:t>
      </w:r>
      <w:r w:rsidR="007E3ADC">
        <w:rPr>
          <w:rFonts w:cstheme="minorHAnsi"/>
          <w:sz w:val="24"/>
          <w:szCs w:val="24"/>
        </w:rPr>
        <w:t>(</w:t>
      </w:r>
      <w:proofErr w:type="spellStart"/>
      <w:r w:rsidR="007E3ADC" w:rsidRPr="00435E9A">
        <w:rPr>
          <w:rFonts w:cstheme="minorHAnsi"/>
          <w:sz w:val="24"/>
          <w:szCs w:val="24"/>
        </w:rPr>
        <w:t>Garvelink</w:t>
      </w:r>
      <w:proofErr w:type="spellEnd"/>
      <w:r w:rsidR="007E3ADC">
        <w:rPr>
          <w:rFonts w:cstheme="minorHAnsi"/>
          <w:sz w:val="24"/>
          <w:szCs w:val="24"/>
        </w:rPr>
        <w:t xml:space="preserve"> et al, </w:t>
      </w:r>
      <w:r w:rsidR="007E3ADC" w:rsidRPr="00435E9A">
        <w:rPr>
          <w:rFonts w:cstheme="minorHAnsi"/>
          <w:sz w:val="24"/>
          <w:szCs w:val="24"/>
        </w:rPr>
        <w:t xml:space="preserve">2016) </w:t>
      </w:r>
      <w:r w:rsidR="007E3ADC">
        <w:rPr>
          <w:rFonts w:cstheme="minorHAnsi"/>
          <w:sz w:val="24"/>
          <w:szCs w:val="24"/>
        </w:rPr>
        <w:t xml:space="preserve">but mixed messages about the effect on anxiety </w:t>
      </w:r>
      <w:r w:rsidR="00EF46D9">
        <w:rPr>
          <w:rFonts w:cstheme="minorHAnsi"/>
          <w:sz w:val="24"/>
          <w:szCs w:val="24"/>
        </w:rPr>
        <w:t>of awareness of</w:t>
      </w:r>
      <w:r w:rsidR="00013FB8">
        <w:rPr>
          <w:rFonts w:cstheme="minorHAnsi"/>
          <w:sz w:val="24"/>
          <w:szCs w:val="24"/>
        </w:rPr>
        <w:t>,</w:t>
      </w:r>
      <w:r w:rsidR="00EF46D9">
        <w:rPr>
          <w:rFonts w:cstheme="minorHAnsi"/>
          <w:sz w:val="24"/>
          <w:szCs w:val="24"/>
        </w:rPr>
        <w:t xml:space="preserve"> and making p</w:t>
      </w:r>
      <w:r w:rsidR="00394FA2">
        <w:rPr>
          <w:rFonts w:cstheme="minorHAnsi"/>
          <w:sz w:val="24"/>
          <w:szCs w:val="24"/>
        </w:rPr>
        <w:t>l</w:t>
      </w:r>
      <w:r w:rsidR="00EF46D9">
        <w:rPr>
          <w:rFonts w:cstheme="minorHAnsi"/>
          <w:sz w:val="24"/>
          <w:szCs w:val="24"/>
        </w:rPr>
        <w:t>ans for</w:t>
      </w:r>
      <w:r w:rsidR="00013FB8">
        <w:rPr>
          <w:rFonts w:cstheme="minorHAnsi"/>
          <w:sz w:val="24"/>
          <w:szCs w:val="24"/>
        </w:rPr>
        <w:t>,</w:t>
      </w:r>
      <w:r w:rsidR="007E3ADC">
        <w:rPr>
          <w:rFonts w:cstheme="minorHAnsi"/>
          <w:sz w:val="24"/>
          <w:szCs w:val="24"/>
        </w:rPr>
        <w:t xml:space="preserve"> future care needs </w:t>
      </w:r>
      <w:r w:rsidR="007E3ADC" w:rsidRPr="00435E9A">
        <w:rPr>
          <w:rFonts w:cstheme="minorHAnsi"/>
          <w:sz w:val="24"/>
          <w:szCs w:val="24"/>
        </w:rPr>
        <w:t xml:space="preserve">(Sorensen </w:t>
      </w:r>
      <w:r w:rsidR="00797EED">
        <w:rPr>
          <w:rFonts w:cstheme="minorHAnsi"/>
          <w:sz w:val="24"/>
          <w:szCs w:val="24"/>
        </w:rPr>
        <w:t>and</w:t>
      </w:r>
      <w:r w:rsidR="007E3ADC" w:rsidRPr="00435E9A">
        <w:rPr>
          <w:rFonts w:cstheme="minorHAnsi"/>
          <w:sz w:val="24"/>
          <w:szCs w:val="24"/>
        </w:rPr>
        <w:t xml:space="preserve"> </w:t>
      </w:r>
      <w:proofErr w:type="spellStart"/>
      <w:r w:rsidR="007E3ADC" w:rsidRPr="00435E9A">
        <w:rPr>
          <w:rFonts w:cstheme="minorHAnsi"/>
          <w:sz w:val="24"/>
          <w:szCs w:val="24"/>
        </w:rPr>
        <w:t>Pinquart</w:t>
      </w:r>
      <w:proofErr w:type="spellEnd"/>
      <w:r w:rsidR="007E3ADC" w:rsidRPr="00435E9A">
        <w:rPr>
          <w:rFonts w:cstheme="minorHAnsi"/>
          <w:sz w:val="24"/>
          <w:szCs w:val="24"/>
        </w:rPr>
        <w:t xml:space="preserve">, 2002a; Sorensen, 2012). </w:t>
      </w:r>
    </w:p>
    <w:p w14:paraId="09E9B00E" w14:textId="3E6DFD75" w:rsidR="00EF46D9" w:rsidRDefault="002E0B5D" w:rsidP="00771B9F">
      <w:pPr>
        <w:spacing w:after="120" w:line="276" w:lineRule="auto"/>
        <w:rPr>
          <w:rFonts w:cstheme="minorHAnsi"/>
          <w:sz w:val="24"/>
          <w:szCs w:val="24"/>
        </w:rPr>
      </w:pPr>
      <w:r w:rsidRPr="00435E9A">
        <w:rPr>
          <w:rFonts w:cstheme="minorHAnsi"/>
          <w:sz w:val="24"/>
          <w:szCs w:val="24"/>
        </w:rPr>
        <w:t>Although the IPDAS criteria define and judge the quality of decision aid</w:t>
      </w:r>
      <w:r>
        <w:rPr>
          <w:rFonts w:cstheme="minorHAnsi"/>
          <w:sz w:val="24"/>
          <w:szCs w:val="24"/>
        </w:rPr>
        <w:t>s</w:t>
      </w:r>
      <w:r w:rsidRPr="00435E9A">
        <w:rPr>
          <w:rFonts w:cstheme="minorHAnsi"/>
          <w:sz w:val="24"/>
          <w:szCs w:val="24"/>
        </w:rPr>
        <w:t xml:space="preserve"> against at least 44 items </w:t>
      </w:r>
      <w:r w:rsidRPr="00435E9A">
        <w:rPr>
          <w:rFonts w:cstheme="minorHAnsi"/>
          <w:noProof/>
          <w:sz w:val="24"/>
          <w:szCs w:val="24"/>
        </w:rPr>
        <w:t>(Joseph-Williams</w:t>
      </w:r>
      <w:r w:rsidRPr="00435E9A">
        <w:rPr>
          <w:rFonts w:cstheme="minorHAnsi"/>
          <w:i/>
          <w:noProof/>
          <w:sz w:val="24"/>
          <w:szCs w:val="24"/>
        </w:rPr>
        <w:t xml:space="preserve"> et al.</w:t>
      </w:r>
      <w:r w:rsidRPr="00435E9A">
        <w:rPr>
          <w:rFonts w:cstheme="minorHAnsi"/>
          <w:noProof/>
          <w:sz w:val="24"/>
          <w:szCs w:val="24"/>
        </w:rPr>
        <w:t>, 2014)</w:t>
      </w:r>
      <w:r w:rsidRPr="00435E9A">
        <w:rPr>
          <w:rFonts w:cstheme="minorHAnsi"/>
          <w:sz w:val="24"/>
          <w:szCs w:val="24"/>
        </w:rPr>
        <w:t xml:space="preserve">, we took a more flexible approach given our remit to scope the research evidence base. For the purposes of this review, we defined a decision aid in broad terms in line with the IPDAS collaboration’s general statement that a decision aid </w:t>
      </w:r>
      <w:r w:rsidRPr="00435E9A">
        <w:rPr>
          <w:rFonts w:cstheme="minorHAnsi"/>
          <w:sz w:val="24"/>
          <w:szCs w:val="24"/>
        </w:rPr>
        <w:lastRenderedPageBreak/>
        <w:t xml:space="preserve">should improve the quality of a decision (see </w:t>
      </w:r>
      <w:hyperlink r:id="rId17" w:history="1">
        <w:r w:rsidRPr="00435E9A">
          <w:rPr>
            <w:rStyle w:val="Hyperlink"/>
            <w:rFonts w:cstheme="minorHAnsi"/>
            <w:sz w:val="24"/>
            <w:szCs w:val="24"/>
          </w:rPr>
          <w:t>http://ipdas.ohri.ca/what.html</w:t>
        </w:r>
      </w:hyperlink>
      <w:r w:rsidRPr="00435E9A">
        <w:rPr>
          <w:rFonts w:cstheme="minorHAnsi"/>
          <w:sz w:val="24"/>
          <w:szCs w:val="24"/>
        </w:rPr>
        <w:t>). We therefore included research instruments that could also be used in practice as decision tools, a decision aid that failed to meet the IPDAS criteria, and decision aids that were developed prior to or were not tested against th</w:t>
      </w:r>
      <w:r w:rsidR="006A22C7">
        <w:rPr>
          <w:rFonts w:cstheme="minorHAnsi"/>
          <w:sz w:val="24"/>
          <w:szCs w:val="24"/>
        </w:rPr>
        <w:t>es</w:t>
      </w:r>
      <w:r w:rsidRPr="00435E9A">
        <w:rPr>
          <w:rFonts w:cstheme="minorHAnsi"/>
          <w:sz w:val="24"/>
          <w:szCs w:val="24"/>
        </w:rPr>
        <w:t xml:space="preserve">e criteria. The HOOP decision tool and cost calculators identified through the searches </w:t>
      </w:r>
      <w:r w:rsidR="00940418">
        <w:rPr>
          <w:rFonts w:cstheme="minorHAnsi"/>
          <w:sz w:val="24"/>
          <w:szCs w:val="24"/>
        </w:rPr>
        <w:t xml:space="preserve">of English </w:t>
      </w:r>
      <w:r w:rsidR="00940418" w:rsidRPr="00435E9A">
        <w:rPr>
          <w:rFonts w:cstheme="minorHAnsi"/>
          <w:sz w:val="24"/>
          <w:szCs w:val="24"/>
        </w:rPr>
        <w:t>website</w:t>
      </w:r>
      <w:r w:rsidR="006A22C7">
        <w:rPr>
          <w:rFonts w:cstheme="minorHAnsi"/>
          <w:sz w:val="24"/>
          <w:szCs w:val="24"/>
        </w:rPr>
        <w:t>s</w:t>
      </w:r>
      <w:r w:rsidR="00940418" w:rsidRPr="00435E9A">
        <w:rPr>
          <w:rFonts w:cstheme="minorHAnsi"/>
          <w:sz w:val="24"/>
          <w:szCs w:val="24"/>
        </w:rPr>
        <w:t xml:space="preserve"> </w:t>
      </w:r>
      <w:r w:rsidR="00940418">
        <w:rPr>
          <w:rFonts w:cstheme="minorHAnsi"/>
          <w:sz w:val="24"/>
          <w:szCs w:val="24"/>
        </w:rPr>
        <w:t xml:space="preserve">would also have been excluded if we had </w:t>
      </w:r>
      <w:r w:rsidR="006A22C7">
        <w:rPr>
          <w:rFonts w:cstheme="minorHAnsi"/>
          <w:sz w:val="24"/>
          <w:szCs w:val="24"/>
        </w:rPr>
        <w:t>taken a more stringent approach</w:t>
      </w:r>
      <w:r w:rsidRPr="00435E9A">
        <w:rPr>
          <w:rFonts w:cstheme="minorHAnsi"/>
          <w:sz w:val="24"/>
          <w:szCs w:val="24"/>
        </w:rPr>
        <w:t>.</w:t>
      </w:r>
      <w:r w:rsidR="005E1833">
        <w:rPr>
          <w:rFonts w:cstheme="minorHAnsi"/>
          <w:sz w:val="24"/>
          <w:szCs w:val="24"/>
        </w:rPr>
        <w:t xml:space="preserve"> </w:t>
      </w:r>
      <w:r w:rsidR="00940418">
        <w:rPr>
          <w:rFonts w:cstheme="minorHAnsi"/>
          <w:sz w:val="24"/>
          <w:szCs w:val="24"/>
        </w:rPr>
        <w:t>T</w:t>
      </w:r>
      <w:r w:rsidR="005E1833">
        <w:rPr>
          <w:rFonts w:cstheme="minorHAnsi"/>
          <w:sz w:val="24"/>
          <w:szCs w:val="24"/>
        </w:rPr>
        <w:t>his review also identified</w:t>
      </w:r>
      <w:r w:rsidR="00940418">
        <w:rPr>
          <w:rFonts w:cstheme="minorHAnsi"/>
          <w:sz w:val="24"/>
          <w:szCs w:val="24"/>
        </w:rPr>
        <w:t xml:space="preserve"> several papers containing</w:t>
      </w:r>
      <w:r w:rsidR="005E1833">
        <w:rPr>
          <w:rFonts w:cstheme="minorHAnsi"/>
          <w:sz w:val="24"/>
          <w:szCs w:val="24"/>
        </w:rPr>
        <w:t xml:space="preserve"> </w:t>
      </w:r>
      <w:r w:rsidR="00940418">
        <w:rPr>
          <w:rFonts w:cstheme="minorHAnsi"/>
          <w:sz w:val="24"/>
          <w:szCs w:val="24"/>
        </w:rPr>
        <w:t xml:space="preserve">lists of </w:t>
      </w:r>
      <w:r w:rsidR="005E1833">
        <w:rPr>
          <w:rFonts w:cstheme="minorHAnsi"/>
          <w:sz w:val="24"/>
          <w:szCs w:val="24"/>
        </w:rPr>
        <w:t xml:space="preserve">resources aimed at helping people make choices about </w:t>
      </w:r>
      <w:r w:rsidR="003412D1">
        <w:rPr>
          <w:rFonts w:cstheme="minorHAnsi"/>
          <w:sz w:val="24"/>
          <w:szCs w:val="24"/>
        </w:rPr>
        <w:t xml:space="preserve">later life </w:t>
      </w:r>
      <w:r w:rsidR="005E1833">
        <w:rPr>
          <w:rFonts w:cstheme="minorHAnsi"/>
          <w:sz w:val="24"/>
          <w:szCs w:val="24"/>
        </w:rPr>
        <w:t>care</w:t>
      </w:r>
      <w:r w:rsidR="003412D1">
        <w:rPr>
          <w:rFonts w:cstheme="minorHAnsi"/>
          <w:sz w:val="24"/>
          <w:szCs w:val="24"/>
        </w:rPr>
        <w:t xml:space="preserve">, but </w:t>
      </w:r>
      <w:r w:rsidR="00940418">
        <w:rPr>
          <w:rFonts w:cstheme="minorHAnsi"/>
          <w:sz w:val="24"/>
          <w:szCs w:val="24"/>
        </w:rPr>
        <w:t>excluded these from the review due to lack of</w:t>
      </w:r>
      <w:r w:rsidR="003412D1">
        <w:rPr>
          <w:rFonts w:cstheme="minorHAnsi"/>
          <w:sz w:val="24"/>
          <w:szCs w:val="24"/>
        </w:rPr>
        <w:t xml:space="preserve"> research evidence about their development or evaluation. </w:t>
      </w:r>
      <w:r w:rsidR="006A22C7">
        <w:rPr>
          <w:rFonts w:cstheme="minorHAnsi"/>
          <w:sz w:val="24"/>
          <w:szCs w:val="24"/>
        </w:rPr>
        <w:t>However, t</w:t>
      </w:r>
      <w:r w:rsidR="00940418">
        <w:rPr>
          <w:rFonts w:cstheme="minorHAnsi"/>
          <w:sz w:val="24"/>
          <w:szCs w:val="24"/>
        </w:rPr>
        <w:t xml:space="preserve">he </w:t>
      </w:r>
      <w:r w:rsidR="006A22C7">
        <w:rPr>
          <w:rFonts w:cstheme="minorHAnsi"/>
          <w:sz w:val="24"/>
          <w:szCs w:val="24"/>
        </w:rPr>
        <w:t>existence of</w:t>
      </w:r>
      <w:r w:rsidR="00940418">
        <w:rPr>
          <w:rFonts w:cstheme="minorHAnsi"/>
          <w:sz w:val="24"/>
          <w:szCs w:val="24"/>
        </w:rPr>
        <w:t xml:space="preserve"> these resources </w:t>
      </w:r>
      <w:r w:rsidR="003412D1">
        <w:rPr>
          <w:rFonts w:cstheme="minorHAnsi"/>
          <w:sz w:val="24"/>
          <w:szCs w:val="24"/>
        </w:rPr>
        <w:t xml:space="preserve">suggests that there is an appetite for such </w:t>
      </w:r>
      <w:r w:rsidR="0097725F">
        <w:rPr>
          <w:rFonts w:cstheme="minorHAnsi"/>
          <w:sz w:val="24"/>
          <w:szCs w:val="24"/>
        </w:rPr>
        <w:t>aids to decision-making</w:t>
      </w:r>
      <w:r w:rsidR="003412D1">
        <w:rPr>
          <w:rFonts w:cstheme="minorHAnsi"/>
          <w:sz w:val="24"/>
          <w:szCs w:val="24"/>
        </w:rPr>
        <w:t xml:space="preserve"> </w:t>
      </w:r>
      <w:r w:rsidR="0097725F">
        <w:rPr>
          <w:rFonts w:cstheme="minorHAnsi"/>
          <w:sz w:val="24"/>
          <w:szCs w:val="24"/>
        </w:rPr>
        <w:t xml:space="preserve">but </w:t>
      </w:r>
      <w:r w:rsidR="00013FB8">
        <w:rPr>
          <w:rFonts w:cstheme="minorHAnsi"/>
          <w:sz w:val="24"/>
          <w:szCs w:val="24"/>
        </w:rPr>
        <w:t>it is concerning that</w:t>
      </w:r>
      <w:r w:rsidR="0097725F">
        <w:rPr>
          <w:rFonts w:cstheme="minorHAnsi"/>
          <w:sz w:val="24"/>
          <w:szCs w:val="24"/>
        </w:rPr>
        <w:t xml:space="preserve">, for the majority, </w:t>
      </w:r>
      <w:r w:rsidR="003412D1">
        <w:rPr>
          <w:rFonts w:cstheme="minorHAnsi"/>
          <w:sz w:val="24"/>
          <w:szCs w:val="24"/>
        </w:rPr>
        <w:t>the</w:t>
      </w:r>
      <w:r w:rsidR="00940418">
        <w:rPr>
          <w:rFonts w:cstheme="minorHAnsi"/>
          <w:sz w:val="24"/>
          <w:szCs w:val="24"/>
        </w:rPr>
        <w:t>ir</w:t>
      </w:r>
      <w:r w:rsidR="003412D1">
        <w:rPr>
          <w:rFonts w:cstheme="minorHAnsi"/>
          <w:sz w:val="24"/>
          <w:szCs w:val="24"/>
        </w:rPr>
        <w:t xml:space="preserve"> quality is unproven.</w:t>
      </w:r>
    </w:p>
    <w:p w14:paraId="60AF00DA" w14:textId="77777777" w:rsidR="008A0E86" w:rsidRDefault="008A0E86" w:rsidP="008A0E86">
      <w:pPr>
        <w:spacing w:after="120" w:line="276" w:lineRule="auto"/>
        <w:rPr>
          <w:rFonts w:cstheme="minorHAnsi"/>
          <w:i/>
          <w:sz w:val="24"/>
          <w:szCs w:val="24"/>
        </w:rPr>
      </w:pPr>
      <w:r w:rsidRPr="00435E9A">
        <w:rPr>
          <w:rFonts w:cstheme="minorHAnsi"/>
          <w:i/>
          <w:sz w:val="24"/>
          <w:szCs w:val="24"/>
        </w:rPr>
        <w:t xml:space="preserve">Implications for research </w:t>
      </w:r>
    </w:p>
    <w:p w14:paraId="2C08768F" w14:textId="5D8F9798" w:rsidR="00E5304A" w:rsidRDefault="00E5304A" w:rsidP="00E5304A">
      <w:pPr>
        <w:spacing w:after="120" w:line="276" w:lineRule="auto"/>
        <w:rPr>
          <w:rFonts w:cstheme="minorHAnsi"/>
          <w:sz w:val="24"/>
          <w:szCs w:val="24"/>
        </w:rPr>
      </w:pPr>
      <w:r>
        <w:rPr>
          <w:rFonts w:cstheme="minorHAnsi"/>
          <w:sz w:val="24"/>
          <w:szCs w:val="24"/>
        </w:rPr>
        <w:t xml:space="preserve">By using </w:t>
      </w:r>
      <w:r w:rsidR="00F61449">
        <w:rPr>
          <w:rFonts w:cstheme="minorHAnsi"/>
          <w:sz w:val="24"/>
          <w:szCs w:val="24"/>
        </w:rPr>
        <w:t xml:space="preserve">a </w:t>
      </w:r>
      <w:r>
        <w:rPr>
          <w:rFonts w:cstheme="minorHAnsi"/>
          <w:sz w:val="24"/>
          <w:szCs w:val="24"/>
        </w:rPr>
        <w:t>wide-ranging definition of a decision aid, t</w:t>
      </w:r>
      <w:r w:rsidRPr="00E5304A">
        <w:rPr>
          <w:rFonts w:cstheme="minorHAnsi"/>
          <w:sz w:val="24"/>
          <w:szCs w:val="24"/>
        </w:rPr>
        <w:t xml:space="preserve">his review has </w:t>
      </w:r>
      <w:r>
        <w:rPr>
          <w:rFonts w:cstheme="minorHAnsi"/>
          <w:sz w:val="24"/>
          <w:szCs w:val="24"/>
        </w:rPr>
        <w:t>identified</w:t>
      </w:r>
      <w:r w:rsidRPr="00E5304A">
        <w:rPr>
          <w:rFonts w:cstheme="minorHAnsi"/>
          <w:sz w:val="24"/>
          <w:szCs w:val="24"/>
        </w:rPr>
        <w:t xml:space="preserve"> two broad </w:t>
      </w:r>
      <w:r w:rsidR="000F1F8C" w:rsidRPr="00E5304A">
        <w:rPr>
          <w:rFonts w:cstheme="minorHAnsi"/>
          <w:sz w:val="24"/>
          <w:szCs w:val="24"/>
        </w:rPr>
        <w:t xml:space="preserve">empirical </w:t>
      </w:r>
      <w:r w:rsidRPr="00E5304A">
        <w:rPr>
          <w:rFonts w:cstheme="minorHAnsi"/>
          <w:sz w:val="24"/>
          <w:szCs w:val="24"/>
        </w:rPr>
        <w:t xml:space="preserve">areas relating to decision tools in adult social care. The first, older, literature relates to measures of </w:t>
      </w:r>
      <w:bookmarkStart w:id="7" w:name="_Hlk45712630"/>
      <w:r w:rsidRPr="00E5304A">
        <w:rPr>
          <w:rFonts w:cstheme="minorHAnsi"/>
          <w:sz w:val="24"/>
          <w:szCs w:val="24"/>
        </w:rPr>
        <w:t xml:space="preserve">people’s attitudes to and readiness to engage with care planning </w:t>
      </w:r>
      <w:bookmarkEnd w:id="7"/>
      <w:r w:rsidRPr="00E5304A">
        <w:rPr>
          <w:rFonts w:cstheme="minorHAnsi"/>
          <w:sz w:val="24"/>
          <w:szCs w:val="24"/>
        </w:rPr>
        <w:t xml:space="preserve">and the possibility of needing care in the future (Sorensen </w:t>
      </w:r>
      <w:r w:rsidR="00797EED">
        <w:rPr>
          <w:rFonts w:cstheme="minorHAnsi"/>
          <w:sz w:val="24"/>
          <w:szCs w:val="24"/>
        </w:rPr>
        <w:t>and</w:t>
      </w:r>
      <w:r w:rsidRPr="00E5304A">
        <w:rPr>
          <w:rFonts w:cstheme="minorHAnsi"/>
          <w:sz w:val="24"/>
          <w:szCs w:val="24"/>
        </w:rPr>
        <w:t xml:space="preserve"> </w:t>
      </w:r>
      <w:proofErr w:type="spellStart"/>
      <w:r w:rsidRPr="00E5304A">
        <w:rPr>
          <w:rFonts w:cstheme="minorHAnsi"/>
          <w:sz w:val="24"/>
          <w:szCs w:val="24"/>
        </w:rPr>
        <w:t>Pinquart</w:t>
      </w:r>
      <w:proofErr w:type="spellEnd"/>
      <w:r w:rsidRPr="00E5304A">
        <w:rPr>
          <w:rFonts w:cstheme="minorHAnsi"/>
          <w:sz w:val="24"/>
          <w:szCs w:val="24"/>
        </w:rPr>
        <w:t xml:space="preserve"> 2001 and </w:t>
      </w:r>
      <w:proofErr w:type="spellStart"/>
      <w:r w:rsidRPr="00E5304A">
        <w:rPr>
          <w:rFonts w:cstheme="minorHAnsi"/>
          <w:sz w:val="24"/>
          <w:szCs w:val="24"/>
        </w:rPr>
        <w:t>Friedemann</w:t>
      </w:r>
      <w:proofErr w:type="spellEnd"/>
      <w:r w:rsidRPr="00E5304A">
        <w:rPr>
          <w:rFonts w:cstheme="minorHAnsi"/>
          <w:sz w:val="24"/>
          <w:szCs w:val="24"/>
        </w:rPr>
        <w:t xml:space="preserve"> et al 2004). The second, and more recent, area comprises the development of </w:t>
      </w:r>
      <w:bookmarkStart w:id="8" w:name="_Hlk45712648"/>
      <w:r w:rsidRPr="00E5304A">
        <w:rPr>
          <w:rFonts w:cstheme="minorHAnsi"/>
          <w:sz w:val="24"/>
          <w:szCs w:val="24"/>
        </w:rPr>
        <w:t xml:space="preserve">decision aids aimed at assisting people in making decisions </w:t>
      </w:r>
      <w:r w:rsidR="00EF6849">
        <w:rPr>
          <w:rFonts w:cstheme="minorHAnsi"/>
          <w:sz w:val="24"/>
          <w:szCs w:val="24"/>
        </w:rPr>
        <w:t>that are current</w:t>
      </w:r>
      <w:r w:rsidR="00EF6849" w:rsidRPr="00E5304A">
        <w:rPr>
          <w:rFonts w:cstheme="minorHAnsi"/>
          <w:sz w:val="24"/>
          <w:szCs w:val="24"/>
        </w:rPr>
        <w:t xml:space="preserve"> </w:t>
      </w:r>
      <w:bookmarkEnd w:id="8"/>
      <w:r w:rsidRPr="00E5304A">
        <w:rPr>
          <w:rFonts w:cstheme="minorHAnsi"/>
          <w:sz w:val="24"/>
          <w:szCs w:val="24"/>
        </w:rPr>
        <w:t>(</w:t>
      </w:r>
      <w:proofErr w:type="spellStart"/>
      <w:r w:rsidRPr="00E5304A">
        <w:rPr>
          <w:rFonts w:cstheme="minorHAnsi"/>
          <w:sz w:val="24"/>
          <w:szCs w:val="24"/>
        </w:rPr>
        <w:t>Garvelink</w:t>
      </w:r>
      <w:proofErr w:type="spellEnd"/>
      <w:r w:rsidRPr="00E5304A">
        <w:rPr>
          <w:rFonts w:cstheme="minorHAnsi"/>
          <w:sz w:val="24"/>
          <w:szCs w:val="24"/>
        </w:rPr>
        <w:t xml:space="preserve"> et al, 2016, 2017; Hoffmann et al, 2019). </w:t>
      </w:r>
      <w:r>
        <w:rPr>
          <w:rFonts w:cstheme="minorHAnsi"/>
          <w:sz w:val="24"/>
          <w:szCs w:val="24"/>
        </w:rPr>
        <w:t>However, w</w:t>
      </w:r>
      <w:r w:rsidRPr="00E5304A">
        <w:rPr>
          <w:rFonts w:cstheme="minorHAnsi"/>
          <w:sz w:val="24"/>
          <w:szCs w:val="24"/>
        </w:rPr>
        <w:t xml:space="preserve">e found no evidence of any links between the earlier and later literature. </w:t>
      </w:r>
      <w:r>
        <w:rPr>
          <w:rFonts w:cstheme="minorHAnsi"/>
          <w:sz w:val="24"/>
          <w:szCs w:val="24"/>
        </w:rPr>
        <w:t>Specifically</w:t>
      </w:r>
      <w:r w:rsidRPr="00E5304A">
        <w:rPr>
          <w:rFonts w:cstheme="minorHAnsi"/>
          <w:sz w:val="24"/>
          <w:szCs w:val="24"/>
        </w:rPr>
        <w:t xml:space="preserve">, there </w:t>
      </w:r>
      <w:r>
        <w:rPr>
          <w:rFonts w:cstheme="minorHAnsi"/>
          <w:sz w:val="24"/>
          <w:szCs w:val="24"/>
        </w:rPr>
        <w:t>is</w:t>
      </w:r>
      <w:r w:rsidRPr="00E5304A">
        <w:rPr>
          <w:rFonts w:cstheme="minorHAnsi"/>
          <w:sz w:val="24"/>
          <w:szCs w:val="24"/>
        </w:rPr>
        <w:t xml:space="preserve"> no evidence that a positive attitude to thinking about care and a willingness to engage in doing so, as measured by the PFCN and LTCP instruments, translate</w:t>
      </w:r>
      <w:r>
        <w:rPr>
          <w:rFonts w:cstheme="minorHAnsi"/>
          <w:sz w:val="24"/>
          <w:szCs w:val="24"/>
        </w:rPr>
        <w:t>s</w:t>
      </w:r>
      <w:r w:rsidRPr="00E5304A">
        <w:rPr>
          <w:rFonts w:cstheme="minorHAnsi"/>
          <w:sz w:val="24"/>
          <w:szCs w:val="24"/>
        </w:rPr>
        <w:t xml:space="preserve"> into willingness to use a decision tool. This does not mean that there is no link, but that it has not been investigated. </w:t>
      </w:r>
      <w:r w:rsidR="00EA5AD6">
        <w:rPr>
          <w:rFonts w:cstheme="minorHAnsi"/>
          <w:sz w:val="24"/>
          <w:szCs w:val="24"/>
        </w:rPr>
        <w:t xml:space="preserve">There are also quite stark differences in the ways in which the earlier measures and the later decision tools were developed, the former typically underpinned by psychometric properties and the latter driven by guidelines such as those from IPDAS. </w:t>
      </w:r>
      <w:r w:rsidRPr="00E5304A">
        <w:rPr>
          <w:rFonts w:cstheme="minorHAnsi"/>
          <w:sz w:val="24"/>
          <w:szCs w:val="24"/>
        </w:rPr>
        <w:t>Th</w:t>
      </w:r>
      <w:r w:rsidR="00EA5AD6">
        <w:rPr>
          <w:rFonts w:cstheme="minorHAnsi"/>
          <w:sz w:val="24"/>
          <w:szCs w:val="24"/>
        </w:rPr>
        <w:t xml:space="preserve">ese </w:t>
      </w:r>
      <w:r w:rsidR="00EF6849">
        <w:rPr>
          <w:rFonts w:cstheme="minorHAnsi"/>
          <w:sz w:val="24"/>
          <w:szCs w:val="24"/>
        </w:rPr>
        <w:t>disparities</w:t>
      </w:r>
      <w:r w:rsidRPr="00E5304A">
        <w:rPr>
          <w:rFonts w:cstheme="minorHAnsi"/>
          <w:sz w:val="24"/>
          <w:szCs w:val="24"/>
        </w:rPr>
        <w:t xml:space="preserve"> suggest a lack of connection between the academic interest in </w:t>
      </w:r>
      <w:r w:rsidR="00EA5AD6">
        <w:rPr>
          <w:rFonts w:cstheme="minorHAnsi"/>
          <w:sz w:val="24"/>
          <w:szCs w:val="24"/>
        </w:rPr>
        <w:t xml:space="preserve">people’s </w:t>
      </w:r>
      <w:r w:rsidRPr="00E5304A">
        <w:rPr>
          <w:rFonts w:cstheme="minorHAnsi"/>
          <w:sz w:val="24"/>
          <w:szCs w:val="24"/>
        </w:rPr>
        <w:t xml:space="preserve">attitudes to and engagement with planning for social care, and the development of practical tools for use in real-world settings. </w:t>
      </w:r>
      <w:r w:rsidR="00E104AA">
        <w:rPr>
          <w:rFonts w:cstheme="minorHAnsi"/>
          <w:sz w:val="24"/>
          <w:szCs w:val="24"/>
        </w:rPr>
        <w:t xml:space="preserve">Given evidence that </w:t>
      </w:r>
      <w:r w:rsidR="00E104AA" w:rsidRPr="00FB22FF">
        <w:rPr>
          <w:rFonts w:cstheme="minorHAnsi"/>
          <w:sz w:val="24"/>
          <w:szCs w:val="24"/>
        </w:rPr>
        <w:t>people are reluctant to plan for social care or paying for care (Dixon</w:t>
      </w:r>
      <w:r w:rsidR="00E104AA" w:rsidRPr="00FB22FF">
        <w:rPr>
          <w:rFonts w:cstheme="minorHAnsi"/>
          <w:i/>
          <w:sz w:val="24"/>
          <w:szCs w:val="24"/>
        </w:rPr>
        <w:t xml:space="preserve"> et al.</w:t>
      </w:r>
      <w:r w:rsidR="00E104AA" w:rsidRPr="00FB22FF">
        <w:rPr>
          <w:rFonts w:cstheme="minorHAnsi"/>
          <w:sz w:val="24"/>
          <w:szCs w:val="24"/>
        </w:rPr>
        <w:t xml:space="preserve">, 2019; </w:t>
      </w:r>
      <w:proofErr w:type="spellStart"/>
      <w:r w:rsidR="00E104AA" w:rsidRPr="00FB22FF">
        <w:rPr>
          <w:rFonts w:cstheme="minorHAnsi"/>
          <w:sz w:val="24"/>
          <w:szCs w:val="24"/>
        </w:rPr>
        <w:t>Heavey</w:t>
      </w:r>
      <w:proofErr w:type="spellEnd"/>
      <w:r w:rsidR="00E104AA" w:rsidRPr="00FB22FF">
        <w:rPr>
          <w:rFonts w:cstheme="minorHAnsi"/>
          <w:i/>
          <w:sz w:val="24"/>
          <w:szCs w:val="24"/>
        </w:rPr>
        <w:t xml:space="preserve"> et al.</w:t>
      </w:r>
      <w:r w:rsidR="00E104AA" w:rsidRPr="00FB22FF">
        <w:rPr>
          <w:rFonts w:cstheme="minorHAnsi"/>
          <w:sz w:val="24"/>
          <w:szCs w:val="24"/>
        </w:rPr>
        <w:t>, 2019)</w:t>
      </w:r>
      <w:r w:rsidR="00E104AA">
        <w:rPr>
          <w:rFonts w:cstheme="minorHAnsi"/>
          <w:sz w:val="24"/>
          <w:szCs w:val="24"/>
        </w:rPr>
        <w:t xml:space="preserve">, </w:t>
      </w:r>
      <w:bookmarkStart w:id="9" w:name="_Hlk45712586"/>
      <w:r w:rsidR="00E104AA">
        <w:rPr>
          <w:rFonts w:cstheme="minorHAnsi"/>
          <w:sz w:val="24"/>
          <w:szCs w:val="24"/>
        </w:rPr>
        <w:t>f</w:t>
      </w:r>
      <w:r w:rsidR="00EA5AD6">
        <w:rPr>
          <w:rFonts w:cstheme="minorHAnsi"/>
          <w:sz w:val="24"/>
          <w:szCs w:val="24"/>
        </w:rPr>
        <w:t xml:space="preserve">uture research to develop decision aids might benefit from drawing on both </w:t>
      </w:r>
      <w:r w:rsidR="00320107">
        <w:rPr>
          <w:rFonts w:cstheme="minorHAnsi"/>
          <w:sz w:val="24"/>
          <w:szCs w:val="24"/>
        </w:rPr>
        <w:t>fields</w:t>
      </w:r>
      <w:bookmarkEnd w:id="9"/>
      <w:r w:rsidR="00EA5AD6">
        <w:rPr>
          <w:rFonts w:cstheme="minorHAnsi"/>
          <w:sz w:val="24"/>
          <w:szCs w:val="24"/>
        </w:rPr>
        <w:t xml:space="preserve">. </w:t>
      </w:r>
    </w:p>
    <w:p w14:paraId="18031227" w14:textId="1FC1F966" w:rsidR="00695A63" w:rsidRDefault="00F33E60" w:rsidP="00F33E60">
      <w:pPr>
        <w:spacing w:after="120" w:line="276" w:lineRule="auto"/>
        <w:rPr>
          <w:rFonts w:cstheme="minorHAnsi"/>
          <w:sz w:val="24"/>
          <w:szCs w:val="24"/>
        </w:rPr>
      </w:pPr>
      <w:r w:rsidRPr="008A1961">
        <w:rPr>
          <w:rFonts w:cstheme="minorHAnsi"/>
          <w:sz w:val="24"/>
          <w:szCs w:val="24"/>
        </w:rPr>
        <w:t xml:space="preserve">For the three </w:t>
      </w:r>
      <w:r>
        <w:rPr>
          <w:rFonts w:cstheme="minorHAnsi"/>
          <w:sz w:val="24"/>
          <w:szCs w:val="24"/>
        </w:rPr>
        <w:t xml:space="preserve">archetypal </w:t>
      </w:r>
      <w:r w:rsidRPr="008A1961">
        <w:rPr>
          <w:rFonts w:cstheme="minorHAnsi"/>
          <w:sz w:val="24"/>
          <w:szCs w:val="24"/>
        </w:rPr>
        <w:t>decision tools reported in included papers</w:t>
      </w:r>
      <w:r>
        <w:rPr>
          <w:rFonts w:cstheme="minorHAnsi"/>
          <w:sz w:val="24"/>
          <w:szCs w:val="24"/>
        </w:rPr>
        <w:t xml:space="preserve"> </w:t>
      </w:r>
      <w:r w:rsidRPr="00E5304A">
        <w:rPr>
          <w:rFonts w:cstheme="minorHAnsi"/>
          <w:sz w:val="24"/>
          <w:szCs w:val="24"/>
        </w:rPr>
        <w:t>(</w:t>
      </w:r>
      <w:proofErr w:type="spellStart"/>
      <w:r w:rsidRPr="00E5304A">
        <w:rPr>
          <w:rFonts w:cstheme="minorHAnsi"/>
          <w:sz w:val="24"/>
          <w:szCs w:val="24"/>
        </w:rPr>
        <w:t>Garvelink</w:t>
      </w:r>
      <w:proofErr w:type="spellEnd"/>
      <w:r w:rsidRPr="00E5304A">
        <w:rPr>
          <w:rFonts w:cstheme="minorHAnsi"/>
          <w:sz w:val="24"/>
          <w:szCs w:val="24"/>
        </w:rPr>
        <w:t xml:space="preserve"> et al, 2016, 2017; Hoffmann et al, 2019)</w:t>
      </w:r>
      <w:r w:rsidRPr="008A1961">
        <w:rPr>
          <w:rFonts w:cstheme="minorHAnsi"/>
          <w:sz w:val="24"/>
          <w:szCs w:val="24"/>
        </w:rPr>
        <w:t xml:space="preserve">, we found only one related evaluation but this shed little light on the effectiveness of the decision tool itself as the evaluation was of a wider shared decision-making intervention of which the tool was just one part. Similarly, we found no evidence of robust development or evaluation of the (albeit limited range of) tools available on adult social care websites in the UK. This lack of </w:t>
      </w:r>
      <w:r>
        <w:rPr>
          <w:rFonts w:cstheme="minorHAnsi"/>
          <w:sz w:val="24"/>
          <w:szCs w:val="24"/>
        </w:rPr>
        <w:t xml:space="preserve">evidence of </w:t>
      </w:r>
      <w:r w:rsidRPr="008A1961">
        <w:rPr>
          <w:rFonts w:cstheme="minorHAnsi"/>
          <w:sz w:val="24"/>
          <w:szCs w:val="24"/>
        </w:rPr>
        <w:t xml:space="preserve">formal development and evaluation is in </w:t>
      </w:r>
      <w:r>
        <w:rPr>
          <w:rFonts w:cstheme="minorHAnsi"/>
          <w:sz w:val="24"/>
          <w:szCs w:val="24"/>
        </w:rPr>
        <w:t xml:space="preserve">stark </w:t>
      </w:r>
      <w:r w:rsidRPr="008A1961">
        <w:rPr>
          <w:rFonts w:cstheme="minorHAnsi"/>
          <w:sz w:val="24"/>
          <w:szCs w:val="24"/>
        </w:rPr>
        <w:t>contrast to health care</w:t>
      </w:r>
      <w:r w:rsidR="00334B2B">
        <w:rPr>
          <w:rFonts w:cstheme="minorHAnsi"/>
          <w:sz w:val="24"/>
          <w:szCs w:val="24"/>
        </w:rPr>
        <w:t xml:space="preserve"> and illustrates how far research and development of decision aids for use in social care has to travel; the IPDAS collaboration to enhance the quality and effectiveness of patient decision aids was established in 2003</w:t>
      </w:r>
      <w:r w:rsidR="00EF6849">
        <w:rPr>
          <w:rFonts w:cstheme="minorHAnsi"/>
          <w:sz w:val="24"/>
          <w:szCs w:val="24"/>
        </w:rPr>
        <w:t xml:space="preserve"> but seemingly has yet to be adopted at scale by social care researchers</w:t>
      </w:r>
      <w:r w:rsidR="00334B2B">
        <w:rPr>
          <w:rFonts w:cstheme="minorHAnsi"/>
          <w:sz w:val="24"/>
          <w:szCs w:val="24"/>
        </w:rPr>
        <w:t xml:space="preserve">. </w:t>
      </w:r>
      <w:r w:rsidR="000B4F78">
        <w:rPr>
          <w:rFonts w:cstheme="minorHAnsi"/>
          <w:sz w:val="24"/>
          <w:szCs w:val="24"/>
        </w:rPr>
        <w:t xml:space="preserve">We suggest decision </w:t>
      </w:r>
      <w:r w:rsidR="000B4F78">
        <w:rPr>
          <w:rFonts w:cstheme="minorHAnsi"/>
          <w:sz w:val="24"/>
          <w:szCs w:val="24"/>
        </w:rPr>
        <w:lastRenderedPageBreak/>
        <w:t xml:space="preserve">aids developed for use in adult social care follow the IPDAS guidelines and are evaluated in robust trials. The purpose of decision aids is to improve the quality of decisions and it is this decision quality along with people’s preparedness for making decisions which needs to be evaluated. </w:t>
      </w:r>
      <w:r w:rsidR="00695A63">
        <w:rPr>
          <w:rFonts w:cstheme="minorHAnsi"/>
          <w:sz w:val="24"/>
          <w:szCs w:val="24"/>
        </w:rPr>
        <w:t xml:space="preserve">There are validated measures designed to evaluate the impact of decision aids in health care (see for example Bennet et al, 2010; </w:t>
      </w:r>
      <w:proofErr w:type="spellStart"/>
      <w:r w:rsidR="00F14C23" w:rsidRPr="007E213F">
        <w:rPr>
          <w:rFonts w:cstheme="minorHAnsi"/>
          <w:sz w:val="24"/>
          <w:szCs w:val="24"/>
          <w:shd w:val="clear" w:color="auto" w:fill="FFFFFF"/>
        </w:rPr>
        <w:t>Légaré</w:t>
      </w:r>
      <w:proofErr w:type="spellEnd"/>
      <w:r w:rsidR="00F14C23">
        <w:rPr>
          <w:rFonts w:cstheme="minorHAnsi"/>
          <w:sz w:val="24"/>
          <w:szCs w:val="24"/>
        </w:rPr>
        <w:t xml:space="preserve"> </w:t>
      </w:r>
      <w:r w:rsidR="00695A63">
        <w:rPr>
          <w:rFonts w:cstheme="minorHAnsi"/>
          <w:sz w:val="24"/>
          <w:szCs w:val="24"/>
        </w:rPr>
        <w:t>et al, 2010; O’Connor, 1995). The</w:t>
      </w:r>
      <w:r w:rsidR="0061057B">
        <w:rPr>
          <w:rFonts w:cstheme="minorHAnsi"/>
          <w:sz w:val="24"/>
          <w:szCs w:val="24"/>
        </w:rPr>
        <w:t>se measures</w:t>
      </w:r>
      <w:r w:rsidR="00695A63">
        <w:rPr>
          <w:rFonts w:cstheme="minorHAnsi"/>
          <w:sz w:val="24"/>
          <w:szCs w:val="24"/>
        </w:rPr>
        <w:t xml:space="preserve"> ask, </w:t>
      </w:r>
      <w:r w:rsidR="0061057B">
        <w:rPr>
          <w:rFonts w:cstheme="minorHAnsi"/>
          <w:sz w:val="24"/>
          <w:szCs w:val="24"/>
        </w:rPr>
        <w:t>amongst other things</w:t>
      </w:r>
      <w:r w:rsidR="00695A63">
        <w:rPr>
          <w:rFonts w:cstheme="minorHAnsi"/>
          <w:sz w:val="24"/>
          <w:szCs w:val="24"/>
        </w:rPr>
        <w:t xml:space="preserve">, whether people feel better prepared to make a decision after using the aid, if it has helped people to organise their thoughts or prepared them for their next discussion with their doctor. </w:t>
      </w:r>
      <w:r w:rsidR="000B4F78">
        <w:rPr>
          <w:rFonts w:cstheme="minorHAnsi"/>
          <w:sz w:val="24"/>
          <w:szCs w:val="24"/>
        </w:rPr>
        <w:t xml:space="preserve">The challenge </w:t>
      </w:r>
      <w:r w:rsidR="00695A63">
        <w:rPr>
          <w:rFonts w:cstheme="minorHAnsi"/>
          <w:sz w:val="24"/>
          <w:szCs w:val="24"/>
        </w:rPr>
        <w:t xml:space="preserve">is to test and validate these or similar measures for social care. </w:t>
      </w:r>
    </w:p>
    <w:p w14:paraId="3AA06758" w14:textId="2BA2856F" w:rsidR="00334B2B" w:rsidRDefault="00334B2B" w:rsidP="00F33E60">
      <w:pPr>
        <w:spacing w:after="120" w:line="276" w:lineRule="auto"/>
        <w:rPr>
          <w:rFonts w:cstheme="minorHAnsi"/>
          <w:sz w:val="24"/>
          <w:szCs w:val="24"/>
        </w:rPr>
      </w:pPr>
      <w:r>
        <w:rPr>
          <w:rFonts w:cstheme="minorHAnsi"/>
          <w:sz w:val="24"/>
          <w:szCs w:val="24"/>
        </w:rPr>
        <w:t xml:space="preserve">One area for </w:t>
      </w:r>
      <w:r w:rsidR="00EF6849">
        <w:rPr>
          <w:rFonts w:cstheme="minorHAnsi"/>
          <w:sz w:val="24"/>
          <w:szCs w:val="24"/>
        </w:rPr>
        <w:t xml:space="preserve">social care </w:t>
      </w:r>
      <w:r>
        <w:rPr>
          <w:rFonts w:cstheme="minorHAnsi"/>
          <w:sz w:val="24"/>
          <w:szCs w:val="24"/>
        </w:rPr>
        <w:t xml:space="preserve">research to consider in developing decision aids </w:t>
      </w:r>
      <w:r w:rsidR="003876B5">
        <w:rPr>
          <w:rFonts w:cstheme="minorHAnsi"/>
          <w:sz w:val="24"/>
          <w:szCs w:val="24"/>
        </w:rPr>
        <w:t xml:space="preserve">is how to measure and elucidate the risks and benefits associated with different options. Decision aids in health are often used to assist choices about treatment or screening options. The risks and benefits of different options are typically quantifiable, for example, the proportion of people experiencing a side effect from taking a drug. </w:t>
      </w:r>
      <w:r w:rsidR="003876B5" w:rsidRPr="008A1961">
        <w:rPr>
          <w:rFonts w:cstheme="minorHAnsi"/>
          <w:sz w:val="24"/>
          <w:szCs w:val="24"/>
        </w:rPr>
        <w:t>There are also experts in health conditions who can help a patient work through the options and make an informed choice.</w:t>
      </w:r>
      <w:r w:rsidR="003876B5">
        <w:rPr>
          <w:rFonts w:cstheme="minorHAnsi"/>
          <w:sz w:val="24"/>
          <w:szCs w:val="24"/>
        </w:rPr>
        <w:t xml:space="preserve"> </w:t>
      </w:r>
      <w:r w:rsidR="003876B5" w:rsidRPr="008A1961">
        <w:rPr>
          <w:rFonts w:cstheme="minorHAnsi"/>
          <w:sz w:val="24"/>
          <w:szCs w:val="24"/>
        </w:rPr>
        <w:t xml:space="preserve">In social care, </w:t>
      </w:r>
      <w:r w:rsidR="00914031">
        <w:rPr>
          <w:rFonts w:cstheme="minorHAnsi"/>
          <w:sz w:val="24"/>
          <w:szCs w:val="24"/>
        </w:rPr>
        <w:t xml:space="preserve">research needs to consider whether </w:t>
      </w:r>
      <w:r w:rsidR="003876B5" w:rsidRPr="008A1961">
        <w:rPr>
          <w:rFonts w:cstheme="minorHAnsi"/>
          <w:sz w:val="24"/>
          <w:szCs w:val="24"/>
        </w:rPr>
        <w:t xml:space="preserve">the risks and benefits </w:t>
      </w:r>
      <w:r w:rsidR="00914031">
        <w:rPr>
          <w:rFonts w:cstheme="minorHAnsi"/>
          <w:sz w:val="24"/>
          <w:szCs w:val="24"/>
        </w:rPr>
        <w:t>are</w:t>
      </w:r>
      <w:r w:rsidR="003876B5" w:rsidRPr="008A1961">
        <w:rPr>
          <w:rFonts w:cstheme="minorHAnsi"/>
          <w:sz w:val="24"/>
          <w:szCs w:val="24"/>
        </w:rPr>
        <w:t xml:space="preserve"> quantifiable in the same way</w:t>
      </w:r>
      <w:r w:rsidR="003876B5">
        <w:rPr>
          <w:rFonts w:cstheme="minorHAnsi"/>
          <w:sz w:val="24"/>
          <w:szCs w:val="24"/>
        </w:rPr>
        <w:t>. For example</w:t>
      </w:r>
      <w:r w:rsidR="00914031">
        <w:rPr>
          <w:rFonts w:cstheme="minorHAnsi"/>
          <w:sz w:val="24"/>
          <w:szCs w:val="24"/>
        </w:rPr>
        <w:t>, can</w:t>
      </w:r>
      <w:r w:rsidR="003876B5">
        <w:rPr>
          <w:rFonts w:cstheme="minorHAnsi"/>
          <w:sz w:val="24"/>
          <w:szCs w:val="24"/>
        </w:rPr>
        <w:t xml:space="preserve"> a decision aid quantify the risks and benefits associated with home care compared to a care home</w:t>
      </w:r>
      <w:r w:rsidR="00326FD5">
        <w:rPr>
          <w:rFonts w:cstheme="minorHAnsi"/>
          <w:sz w:val="24"/>
          <w:szCs w:val="24"/>
        </w:rPr>
        <w:t>, or paying for care from income and savings compared to purchase of a financial product</w:t>
      </w:r>
      <w:r w:rsidR="003876B5">
        <w:rPr>
          <w:rFonts w:cstheme="minorHAnsi"/>
          <w:sz w:val="24"/>
          <w:szCs w:val="24"/>
        </w:rPr>
        <w:t xml:space="preserve">? In addition, while </w:t>
      </w:r>
      <w:r w:rsidR="00914031">
        <w:rPr>
          <w:rFonts w:cstheme="minorHAnsi"/>
          <w:sz w:val="24"/>
          <w:szCs w:val="24"/>
        </w:rPr>
        <w:t xml:space="preserve">social care </w:t>
      </w:r>
      <w:r w:rsidR="003876B5">
        <w:rPr>
          <w:rFonts w:cstheme="minorHAnsi"/>
          <w:sz w:val="24"/>
          <w:szCs w:val="24"/>
        </w:rPr>
        <w:t>p</w:t>
      </w:r>
      <w:r w:rsidR="003876B5" w:rsidRPr="008A1961">
        <w:rPr>
          <w:rFonts w:cstheme="minorHAnsi"/>
          <w:sz w:val="24"/>
          <w:szCs w:val="24"/>
        </w:rPr>
        <w:t xml:space="preserve">rofessionals may be able to offer information about systems and </w:t>
      </w:r>
      <w:r w:rsidR="00326FD5">
        <w:rPr>
          <w:rFonts w:cstheme="minorHAnsi"/>
          <w:sz w:val="24"/>
          <w:szCs w:val="24"/>
        </w:rPr>
        <w:t xml:space="preserve">available </w:t>
      </w:r>
      <w:r w:rsidR="003876B5" w:rsidRPr="008A1961">
        <w:rPr>
          <w:rFonts w:cstheme="minorHAnsi"/>
          <w:sz w:val="24"/>
          <w:szCs w:val="24"/>
        </w:rPr>
        <w:t>support</w:t>
      </w:r>
      <w:r w:rsidR="003876B5">
        <w:rPr>
          <w:rFonts w:cstheme="minorHAnsi"/>
          <w:sz w:val="24"/>
          <w:szCs w:val="24"/>
        </w:rPr>
        <w:t xml:space="preserve">, </w:t>
      </w:r>
      <w:r w:rsidR="00914031">
        <w:rPr>
          <w:rFonts w:cstheme="minorHAnsi"/>
          <w:sz w:val="24"/>
          <w:szCs w:val="24"/>
        </w:rPr>
        <w:t xml:space="preserve">what would be the most productive role for them in a shared decision-making scenario? </w:t>
      </w:r>
      <w:r w:rsidR="00914031" w:rsidRPr="008A1961">
        <w:rPr>
          <w:rFonts w:cstheme="minorHAnsi"/>
          <w:sz w:val="24"/>
          <w:szCs w:val="24"/>
        </w:rPr>
        <w:t>Th</w:t>
      </w:r>
      <w:r w:rsidR="00914031">
        <w:rPr>
          <w:rFonts w:cstheme="minorHAnsi"/>
          <w:sz w:val="24"/>
          <w:szCs w:val="24"/>
        </w:rPr>
        <w:t>ese unknowns</w:t>
      </w:r>
      <w:r w:rsidR="00914031" w:rsidRPr="008A1961">
        <w:rPr>
          <w:rFonts w:cstheme="minorHAnsi"/>
          <w:sz w:val="24"/>
          <w:szCs w:val="24"/>
        </w:rPr>
        <w:t xml:space="preserve"> mean that the experience of working through a decision aid in social care </w:t>
      </w:r>
      <w:r w:rsidR="00914031">
        <w:rPr>
          <w:rFonts w:cstheme="minorHAnsi"/>
          <w:sz w:val="24"/>
          <w:szCs w:val="24"/>
        </w:rPr>
        <w:t>may well</w:t>
      </w:r>
      <w:r w:rsidR="00914031" w:rsidRPr="008A1961">
        <w:rPr>
          <w:rFonts w:cstheme="minorHAnsi"/>
          <w:sz w:val="24"/>
          <w:szCs w:val="24"/>
        </w:rPr>
        <w:t xml:space="preserve"> be very different to health</w:t>
      </w:r>
      <w:r w:rsidR="00914031">
        <w:rPr>
          <w:rFonts w:cstheme="minorHAnsi"/>
          <w:sz w:val="24"/>
          <w:szCs w:val="24"/>
        </w:rPr>
        <w:t xml:space="preserve"> care</w:t>
      </w:r>
      <w:r w:rsidR="00914031" w:rsidRPr="008A1961">
        <w:rPr>
          <w:rFonts w:cstheme="minorHAnsi"/>
          <w:sz w:val="24"/>
          <w:szCs w:val="24"/>
        </w:rPr>
        <w:t xml:space="preserve">. The lack of </w:t>
      </w:r>
      <w:r w:rsidR="00914031">
        <w:rPr>
          <w:rFonts w:cstheme="minorHAnsi"/>
          <w:sz w:val="24"/>
          <w:szCs w:val="24"/>
        </w:rPr>
        <w:t xml:space="preserve">research evidence about </w:t>
      </w:r>
      <w:r w:rsidR="00914031" w:rsidRPr="008A1961">
        <w:rPr>
          <w:rFonts w:cstheme="minorHAnsi"/>
          <w:sz w:val="24"/>
          <w:szCs w:val="24"/>
        </w:rPr>
        <w:t>decision aids relating to social care in the UK suggests this is an area that social care researchers need to address.</w:t>
      </w:r>
    </w:p>
    <w:p w14:paraId="03C363C2" w14:textId="3F5478CE" w:rsidR="00500213" w:rsidRPr="00914031" w:rsidRDefault="00500213" w:rsidP="00500213">
      <w:pPr>
        <w:spacing w:after="120" w:line="276" w:lineRule="auto"/>
        <w:rPr>
          <w:rFonts w:cstheme="minorHAnsi"/>
          <w:sz w:val="24"/>
          <w:szCs w:val="24"/>
        </w:rPr>
      </w:pPr>
      <w:r>
        <w:rPr>
          <w:rFonts w:cstheme="minorHAnsi"/>
          <w:sz w:val="24"/>
          <w:szCs w:val="24"/>
        </w:rPr>
        <w:t xml:space="preserve">Furthermore, </w:t>
      </w:r>
      <w:r w:rsidRPr="00914031">
        <w:rPr>
          <w:rFonts w:cstheme="minorHAnsi"/>
          <w:sz w:val="24"/>
          <w:szCs w:val="24"/>
        </w:rPr>
        <w:t xml:space="preserve">it is important </w:t>
      </w:r>
      <w:r>
        <w:rPr>
          <w:rFonts w:cstheme="minorHAnsi"/>
          <w:sz w:val="24"/>
          <w:szCs w:val="24"/>
        </w:rPr>
        <w:t xml:space="preserve">for researchers </w:t>
      </w:r>
      <w:r w:rsidRPr="00914031">
        <w:rPr>
          <w:rFonts w:cstheme="minorHAnsi"/>
          <w:sz w:val="24"/>
          <w:szCs w:val="24"/>
        </w:rPr>
        <w:t xml:space="preserve">to bear in mind the target audience. The decision tools described in this review </w:t>
      </w:r>
      <w:r>
        <w:rPr>
          <w:rFonts w:cstheme="minorHAnsi"/>
          <w:sz w:val="24"/>
          <w:szCs w:val="24"/>
        </w:rPr>
        <w:t>we</w:t>
      </w:r>
      <w:r w:rsidRPr="00914031">
        <w:rPr>
          <w:rFonts w:cstheme="minorHAnsi"/>
          <w:sz w:val="24"/>
          <w:szCs w:val="24"/>
        </w:rPr>
        <w:t xml:space="preserve">re all aimed at older people or people approaching older age. They </w:t>
      </w:r>
      <w:r>
        <w:rPr>
          <w:rFonts w:cstheme="minorHAnsi"/>
          <w:sz w:val="24"/>
          <w:szCs w:val="24"/>
        </w:rPr>
        <w:t>we</w:t>
      </w:r>
      <w:r w:rsidRPr="00914031">
        <w:rPr>
          <w:rFonts w:cstheme="minorHAnsi"/>
          <w:sz w:val="24"/>
          <w:szCs w:val="24"/>
        </w:rPr>
        <w:t xml:space="preserve">re produced as websites, </w:t>
      </w:r>
      <w:r>
        <w:rPr>
          <w:rFonts w:cstheme="minorHAnsi"/>
          <w:sz w:val="24"/>
          <w:szCs w:val="24"/>
        </w:rPr>
        <w:t xml:space="preserve">on </w:t>
      </w:r>
      <w:r w:rsidRPr="00914031">
        <w:rPr>
          <w:rFonts w:cstheme="minorHAnsi"/>
          <w:sz w:val="24"/>
          <w:szCs w:val="24"/>
        </w:rPr>
        <w:t xml:space="preserve">paper or both. There is some evidence </w:t>
      </w:r>
      <w:r w:rsidR="001D7511" w:rsidRPr="00435E9A">
        <w:rPr>
          <w:rFonts w:cstheme="minorHAnsi"/>
          <w:noProof/>
          <w:sz w:val="24"/>
          <w:szCs w:val="24"/>
        </w:rPr>
        <w:t>(Baptista</w:t>
      </w:r>
      <w:r w:rsidR="001D7511" w:rsidRPr="00435E9A">
        <w:rPr>
          <w:rFonts w:cstheme="minorHAnsi"/>
          <w:i/>
          <w:noProof/>
          <w:sz w:val="24"/>
          <w:szCs w:val="24"/>
        </w:rPr>
        <w:t xml:space="preserve"> et al.</w:t>
      </w:r>
      <w:r w:rsidR="001D7511" w:rsidRPr="00435E9A">
        <w:rPr>
          <w:rFonts w:cstheme="minorHAnsi"/>
          <w:noProof/>
          <w:sz w:val="24"/>
          <w:szCs w:val="24"/>
        </w:rPr>
        <w:t>, 2018)</w:t>
      </w:r>
      <w:r w:rsidR="001D7511">
        <w:rPr>
          <w:rFonts w:cstheme="minorHAnsi"/>
          <w:noProof/>
          <w:sz w:val="24"/>
          <w:szCs w:val="24"/>
        </w:rPr>
        <w:t xml:space="preserve"> </w:t>
      </w:r>
      <w:r w:rsidRPr="00914031">
        <w:rPr>
          <w:rFonts w:cstheme="minorHAnsi"/>
          <w:sz w:val="24"/>
          <w:szCs w:val="24"/>
        </w:rPr>
        <w:t xml:space="preserve">to suggest that the form of media makes little difference to </w:t>
      </w:r>
      <w:r>
        <w:rPr>
          <w:rFonts w:cstheme="minorHAnsi"/>
          <w:sz w:val="24"/>
          <w:szCs w:val="24"/>
        </w:rPr>
        <w:t xml:space="preserve">the </w:t>
      </w:r>
      <w:r w:rsidRPr="00914031">
        <w:rPr>
          <w:rFonts w:cstheme="minorHAnsi"/>
          <w:sz w:val="24"/>
          <w:szCs w:val="24"/>
        </w:rPr>
        <w:t>use</w:t>
      </w:r>
      <w:r>
        <w:rPr>
          <w:rFonts w:cstheme="minorHAnsi"/>
          <w:sz w:val="24"/>
          <w:szCs w:val="24"/>
        </w:rPr>
        <w:t xml:space="preserve"> or </w:t>
      </w:r>
      <w:r w:rsidRPr="00914031">
        <w:rPr>
          <w:rFonts w:cstheme="minorHAnsi"/>
          <w:sz w:val="24"/>
          <w:szCs w:val="24"/>
        </w:rPr>
        <w:t>outcomes</w:t>
      </w:r>
      <w:r>
        <w:rPr>
          <w:rFonts w:cstheme="minorHAnsi"/>
          <w:sz w:val="24"/>
          <w:szCs w:val="24"/>
        </w:rPr>
        <w:t xml:space="preserve"> of decision aids in health care</w:t>
      </w:r>
      <w:r w:rsidRPr="00914031">
        <w:rPr>
          <w:rFonts w:cstheme="minorHAnsi"/>
          <w:sz w:val="24"/>
          <w:szCs w:val="24"/>
        </w:rPr>
        <w:t xml:space="preserve">, but this has not been tested in an older population making decisions about social care. </w:t>
      </w:r>
      <w:r w:rsidR="00FD22B8">
        <w:rPr>
          <w:rFonts w:cstheme="minorHAnsi"/>
          <w:sz w:val="24"/>
          <w:szCs w:val="24"/>
        </w:rPr>
        <w:t xml:space="preserve">Moreover, </w:t>
      </w:r>
      <w:proofErr w:type="spellStart"/>
      <w:r w:rsidR="00FD22B8">
        <w:rPr>
          <w:rFonts w:cstheme="minorHAnsi"/>
          <w:sz w:val="24"/>
          <w:szCs w:val="24"/>
        </w:rPr>
        <w:t>Tomko</w:t>
      </w:r>
      <w:proofErr w:type="spellEnd"/>
      <w:r w:rsidR="00FD22B8">
        <w:rPr>
          <w:rFonts w:cstheme="minorHAnsi"/>
          <w:sz w:val="24"/>
          <w:szCs w:val="24"/>
        </w:rPr>
        <w:t xml:space="preserve"> et al (2015) concluded</w:t>
      </w:r>
      <w:r w:rsidR="00600FF0">
        <w:rPr>
          <w:rFonts w:cstheme="minorHAnsi"/>
          <w:sz w:val="24"/>
          <w:szCs w:val="24"/>
        </w:rPr>
        <w:t>,</w:t>
      </w:r>
      <w:r w:rsidR="00FD22B8">
        <w:rPr>
          <w:rFonts w:cstheme="minorHAnsi"/>
          <w:sz w:val="24"/>
          <w:szCs w:val="24"/>
        </w:rPr>
        <w:t xml:space="preserve"> in their comparison of a web versus paper-based </w:t>
      </w:r>
      <w:r w:rsidR="00600FF0">
        <w:rPr>
          <w:rFonts w:cstheme="minorHAnsi"/>
          <w:sz w:val="24"/>
          <w:szCs w:val="24"/>
        </w:rPr>
        <w:t xml:space="preserve">decision aid for prostate cancer screening of 40-75 year olds, </w:t>
      </w:r>
      <w:r w:rsidR="00FD22B8">
        <w:rPr>
          <w:rFonts w:cstheme="minorHAnsi"/>
          <w:sz w:val="24"/>
          <w:szCs w:val="24"/>
        </w:rPr>
        <w:t xml:space="preserve">that when it is not possible to provide people with a decision aid in their preferred media, paper will be used more </w:t>
      </w:r>
      <w:r w:rsidR="00600FF0">
        <w:rPr>
          <w:rFonts w:cstheme="minorHAnsi"/>
          <w:sz w:val="24"/>
          <w:szCs w:val="24"/>
        </w:rPr>
        <w:t>commonly th</w:t>
      </w:r>
      <w:r w:rsidR="00560063">
        <w:rPr>
          <w:rFonts w:cstheme="minorHAnsi"/>
          <w:sz w:val="24"/>
          <w:szCs w:val="24"/>
        </w:rPr>
        <w:t>a</w:t>
      </w:r>
      <w:r w:rsidR="00600FF0">
        <w:rPr>
          <w:rFonts w:cstheme="minorHAnsi"/>
          <w:sz w:val="24"/>
          <w:szCs w:val="24"/>
        </w:rPr>
        <w:t>n</w:t>
      </w:r>
      <w:r w:rsidR="00FD22B8">
        <w:rPr>
          <w:rFonts w:cstheme="minorHAnsi"/>
          <w:sz w:val="24"/>
          <w:szCs w:val="24"/>
        </w:rPr>
        <w:t xml:space="preserve"> web-based materials. </w:t>
      </w:r>
      <w:r w:rsidR="00326FD5" w:rsidRPr="00914031">
        <w:rPr>
          <w:rFonts w:cstheme="minorHAnsi"/>
          <w:sz w:val="24"/>
          <w:szCs w:val="24"/>
        </w:rPr>
        <w:t>Th</w:t>
      </w:r>
      <w:r w:rsidR="00600FF0">
        <w:rPr>
          <w:rFonts w:cstheme="minorHAnsi"/>
          <w:sz w:val="24"/>
          <w:szCs w:val="24"/>
        </w:rPr>
        <w:t>us, th</w:t>
      </w:r>
      <w:r w:rsidR="00326FD5" w:rsidRPr="00914031">
        <w:rPr>
          <w:rFonts w:cstheme="minorHAnsi"/>
          <w:sz w:val="24"/>
          <w:szCs w:val="24"/>
        </w:rPr>
        <w:t xml:space="preserve">e target population needs to be at the heart of development. </w:t>
      </w:r>
      <w:r w:rsidR="00326FD5">
        <w:rPr>
          <w:rFonts w:cstheme="minorHAnsi"/>
          <w:sz w:val="24"/>
          <w:szCs w:val="24"/>
        </w:rPr>
        <w:t>However, i</w:t>
      </w:r>
      <w:r w:rsidRPr="00914031">
        <w:rPr>
          <w:rFonts w:cstheme="minorHAnsi"/>
          <w:sz w:val="24"/>
          <w:szCs w:val="24"/>
        </w:rPr>
        <w:t xml:space="preserve">n developing decision aids going forward, there is a balance </w:t>
      </w:r>
      <w:r>
        <w:rPr>
          <w:rFonts w:cstheme="minorHAnsi"/>
          <w:sz w:val="24"/>
          <w:szCs w:val="24"/>
        </w:rPr>
        <w:t xml:space="preserve">to be considered </w:t>
      </w:r>
      <w:r w:rsidRPr="00914031">
        <w:rPr>
          <w:rFonts w:cstheme="minorHAnsi"/>
          <w:sz w:val="24"/>
          <w:szCs w:val="24"/>
        </w:rPr>
        <w:t xml:space="preserve">between </w:t>
      </w:r>
      <w:r w:rsidR="00326FD5">
        <w:rPr>
          <w:rFonts w:cstheme="minorHAnsi"/>
          <w:sz w:val="24"/>
          <w:szCs w:val="24"/>
        </w:rPr>
        <w:t>creating</w:t>
      </w:r>
      <w:r w:rsidRPr="00914031">
        <w:rPr>
          <w:rFonts w:cstheme="minorHAnsi"/>
          <w:sz w:val="24"/>
          <w:szCs w:val="24"/>
        </w:rPr>
        <w:t xml:space="preserve"> a decision aid </w:t>
      </w:r>
      <w:r w:rsidR="00326FD5">
        <w:rPr>
          <w:rFonts w:cstheme="minorHAnsi"/>
          <w:sz w:val="24"/>
          <w:szCs w:val="24"/>
        </w:rPr>
        <w:t xml:space="preserve">that is </w:t>
      </w:r>
      <w:r w:rsidRPr="00914031">
        <w:rPr>
          <w:rFonts w:cstheme="minorHAnsi"/>
          <w:sz w:val="24"/>
          <w:szCs w:val="24"/>
        </w:rPr>
        <w:t>accessible to an individual older person, who might prefer paper, and making it available to as many individuals as possible, which might necessitate online versions.</w:t>
      </w:r>
    </w:p>
    <w:p w14:paraId="21DE9A50" w14:textId="6EC5D49E" w:rsidR="00500213" w:rsidRDefault="00500213" w:rsidP="00500213">
      <w:pPr>
        <w:spacing w:after="120" w:line="276" w:lineRule="auto"/>
        <w:rPr>
          <w:rFonts w:cstheme="minorHAnsi"/>
          <w:i/>
          <w:sz w:val="24"/>
          <w:szCs w:val="24"/>
        </w:rPr>
      </w:pPr>
      <w:r w:rsidRPr="00435E9A">
        <w:rPr>
          <w:rFonts w:cstheme="minorHAnsi"/>
          <w:i/>
          <w:sz w:val="24"/>
          <w:szCs w:val="24"/>
        </w:rPr>
        <w:t xml:space="preserve">Implications for </w:t>
      </w:r>
      <w:r>
        <w:rPr>
          <w:rFonts w:cstheme="minorHAnsi"/>
          <w:i/>
          <w:sz w:val="24"/>
          <w:szCs w:val="24"/>
        </w:rPr>
        <w:t xml:space="preserve">adult social care </w:t>
      </w:r>
      <w:r w:rsidRPr="00435E9A">
        <w:rPr>
          <w:rFonts w:cstheme="minorHAnsi"/>
          <w:i/>
          <w:sz w:val="24"/>
          <w:szCs w:val="24"/>
        </w:rPr>
        <w:t>practice</w:t>
      </w:r>
    </w:p>
    <w:p w14:paraId="62192DAF" w14:textId="6E97DE68" w:rsidR="00596D88" w:rsidRDefault="00500213" w:rsidP="00500213">
      <w:pPr>
        <w:spacing w:after="120" w:line="276" w:lineRule="auto"/>
        <w:rPr>
          <w:rFonts w:cstheme="minorHAnsi"/>
          <w:sz w:val="24"/>
          <w:szCs w:val="24"/>
        </w:rPr>
      </w:pPr>
      <w:r w:rsidRPr="00500213">
        <w:rPr>
          <w:rFonts w:cstheme="minorHAnsi"/>
          <w:sz w:val="24"/>
          <w:szCs w:val="24"/>
        </w:rPr>
        <w:t xml:space="preserve">None of the research papers included in the review reported on studies undertaken or decision aids used in England. Indeed, all the decision aids were developed and, other than </w:t>
      </w:r>
      <w:r w:rsidRPr="00500213">
        <w:rPr>
          <w:rFonts w:cstheme="minorHAnsi"/>
          <w:sz w:val="24"/>
          <w:szCs w:val="24"/>
        </w:rPr>
        <w:lastRenderedPageBreak/>
        <w:t xml:space="preserve">the </w:t>
      </w:r>
      <w:proofErr w:type="spellStart"/>
      <w:r w:rsidRPr="00500213">
        <w:rPr>
          <w:rFonts w:cstheme="minorHAnsi"/>
          <w:sz w:val="24"/>
          <w:szCs w:val="24"/>
        </w:rPr>
        <w:t>Pinquart</w:t>
      </w:r>
      <w:proofErr w:type="spellEnd"/>
      <w:r w:rsidRPr="00500213">
        <w:rPr>
          <w:rFonts w:cstheme="minorHAnsi"/>
          <w:sz w:val="24"/>
          <w:szCs w:val="24"/>
        </w:rPr>
        <w:t xml:space="preserve"> and Sorensen (2002a) study, evaluated in North America. This suggests that North American countries have</w:t>
      </w:r>
      <w:r w:rsidR="009216ED">
        <w:rPr>
          <w:rFonts w:cstheme="minorHAnsi"/>
          <w:sz w:val="24"/>
          <w:szCs w:val="24"/>
        </w:rPr>
        <w:t xml:space="preserve"> gone some way to</w:t>
      </w:r>
      <w:r w:rsidRPr="00500213">
        <w:rPr>
          <w:rFonts w:cstheme="minorHAnsi"/>
          <w:sz w:val="24"/>
          <w:szCs w:val="24"/>
        </w:rPr>
        <w:t xml:space="preserve"> recognis</w:t>
      </w:r>
      <w:r w:rsidR="009216ED">
        <w:rPr>
          <w:rFonts w:cstheme="minorHAnsi"/>
          <w:sz w:val="24"/>
          <w:szCs w:val="24"/>
        </w:rPr>
        <w:t>ing</w:t>
      </w:r>
      <w:r w:rsidRPr="00500213">
        <w:rPr>
          <w:rFonts w:cstheme="minorHAnsi"/>
          <w:sz w:val="24"/>
          <w:szCs w:val="24"/>
        </w:rPr>
        <w:t xml:space="preserve"> the importance of people planning for social care needs in later life and are proactively providing resources to facilitate this. In doing </w:t>
      </w:r>
      <w:r w:rsidR="00FB3EAD">
        <w:rPr>
          <w:rFonts w:cstheme="minorHAnsi"/>
          <w:sz w:val="24"/>
          <w:szCs w:val="24"/>
        </w:rPr>
        <w:t>s</w:t>
      </w:r>
      <w:r w:rsidRPr="00500213">
        <w:rPr>
          <w:rFonts w:cstheme="minorHAnsi"/>
          <w:sz w:val="24"/>
          <w:szCs w:val="24"/>
        </w:rPr>
        <w:t xml:space="preserve">o, they are assisting and empowering people to make considered decisions around future care needs. </w:t>
      </w:r>
      <w:r w:rsidR="009216ED">
        <w:rPr>
          <w:rFonts w:cstheme="minorHAnsi"/>
          <w:sz w:val="24"/>
          <w:szCs w:val="24"/>
        </w:rPr>
        <w:t xml:space="preserve">People in England do not appear to be receiving the same assistance, despite </w:t>
      </w:r>
      <w:r w:rsidR="00255E6F">
        <w:rPr>
          <w:rFonts w:cstheme="minorHAnsi"/>
          <w:sz w:val="24"/>
          <w:szCs w:val="24"/>
        </w:rPr>
        <w:t xml:space="preserve">also having </w:t>
      </w:r>
      <w:r w:rsidR="009216ED">
        <w:rPr>
          <w:rFonts w:cstheme="minorHAnsi"/>
          <w:sz w:val="24"/>
          <w:szCs w:val="24"/>
        </w:rPr>
        <w:t>an ageing population and</w:t>
      </w:r>
      <w:r w:rsidR="009216ED" w:rsidRPr="00500213">
        <w:rPr>
          <w:rFonts w:cstheme="minorHAnsi"/>
          <w:sz w:val="24"/>
          <w:szCs w:val="24"/>
        </w:rPr>
        <w:t xml:space="preserve"> the need to consider care</w:t>
      </w:r>
      <w:r w:rsidR="009216ED">
        <w:rPr>
          <w:rFonts w:cstheme="minorHAnsi"/>
          <w:sz w:val="24"/>
          <w:szCs w:val="24"/>
        </w:rPr>
        <w:t>, and the costs of care,</w:t>
      </w:r>
      <w:r w:rsidR="009216ED" w:rsidRPr="00500213">
        <w:rPr>
          <w:rFonts w:cstheme="minorHAnsi"/>
          <w:sz w:val="24"/>
          <w:szCs w:val="24"/>
        </w:rPr>
        <w:t xml:space="preserve"> in later life. </w:t>
      </w:r>
      <w:r w:rsidR="009216ED">
        <w:rPr>
          <w:rFonts w:cstheme="minorHAnsi"/>
          <w:sz w:val="24"/>
          <w:szCs w:val="24"/>
        </w:rPr>
        <w:t>Furthermore, w</w:t>
      </w:r>
      <w:r w:rsidR="009216ED" w:rsidRPr="00435E9A">
        <w:rPr>
          <w:rFonts w:cstheme="minorHAnsi"/>
          <w:sz w:val="24"/>
          <w:szCs w:val="24"/>
        </w:rPr>
        <w:t xml:space="preserve">hile the decision aids </w:t>
      </w:r>
      <w:r w:rsidR="009216ED">
        <w:rPr>
          <w:rFonts w:cstheme="minorHAnsi"/>
          <w:sz w:val="24"/>
          <w:szCs w:val="24"/>
        </w:rPr>
        <w:t xml:space="preserve">identified in this review </w:t>
      </w:r>
      <w:r w:rsidR="009216ED" w:rsidRPr="00435E9A">
        <w:rPr>
          <w:rFonts w:cstheme="minorHAnsi"/>
          <w:sz w:val="24"/>
          <w:szCs w:val="24"/>
        </w:rPr>
        <w:t>facilitate users to think about care and its costs in a structured way, none explicitly focus on preparing people to have better quality or more constructive conversations with professionals.</w:t>
      </w:r>
      <w:r w:rsidR="009216ED">
        <w:rPr>
          <w:rFonts w:cstheme="minorHAnsi"/>
          <w:sz w:val="24"/>
          <w:szCs w:val="24"/>
        </w:rPr>
        <w:t xml:space="preserve"> </w:t>
      </w:r>
      <w:r w:rsidR="00EE31A1">
        <w:rPr>
          <w:rFonts w:cstheme="minorHAnsi"/>
          <w:sz w:val="24"/>
          <w:szCs w:val="24"/>
        </w:rPr>
        <w:t>This is a key omission if an aim of such decision tools is to enhance the quality of decision making.</w:t>
      </w:r>
    </w:p>
    <w:p w14:paraId="533C1E50" w14:textId="2003C86F" w:rsidR="00C8666D" w:rsidRDefault="00C8666D" w:rsidP="00500213">
      <w:pPr>
        <w:spacing w:after="120" w:line="276" w:lineRule="auto"/>
        <w:rPr>
          <w:rFonts w:cstheme="minorHAnsi"/>
          <w:sz w:val="24"/>
          <w:szCs w:val="24"/>
        </w:rPr>
      </w:pPr>
      <w:r>
        <w:rPr>
          <w:rFonts w:cstheme="minorHAnsi"/>
          <w:sz w:val="24"/>
          <w:szCs w:val="24"/>
        </w:rPr>
        <w:t xml:space="preserve">It could be argued that the state-funded social care system in England reduces the relevance of decision tools developed in other countries. However, the tools identified focus on future care needs, including but not limited to planning for the costs of care. Even where paying for care is considered, in comparing the social care system in England with the United States (see </w:t>
      </w:r>
      <w:r w:rsidRPr="00811BCC">
        <w:rPr>
          <w:rFonts w:cstheme="minorHAnsi"/>
          <w:sz w:val="24"/>
          <w:szCs w:val="24"/>
        </w:rPr>
        <w:t xml:space="preserve">Robertson, Gregory and </w:t>
      </w:r>
      <w:proofErr w:type="spellStart"/>
      <w:r w:rsidRPr="00811BCC">
        <w:rPr>
          <w:rFonts w:cstheme="minorHAnsi"/>
          <w:sz w:val="24"/>
          <w:szCs w:val="24"/>
        </w:rPr>
        <w:t>Jabbal</w:t>
      </w:r>
      <w:proofErr w:type="spellEnd"/>
      <w:r w:rsidRPr="00811BCC">
        <w:rPr>
          <w:rFonts w:cstheme="minorHAnsi"/>
          <w:sz w:val="24"/>
          <w:szCs w:val="24"/>
        </w:rPr>
        <w:t>, 2014</w:t>
      </w:r>
      <w:r>
        <w:rPr>
          <w:rFonts w:cstheme="minorHAnsi"/>
          <w:sz w:val="24"/>
          <w:szCs w:val="24"/>
        </w:rPr>
        <w:t xml:space="preserve">) there are in fact many similarities; importantly, in both countries people are expected to pay for social care from their own resources until they are depleted to the point where the person becomes eligible for the safety net of local council funding or Medicaid, respectively. Thus tools to facilitate the decision-making processes about care and paying for care developed in the USA </w:t>
      </w:r>
      <w:r w:rsidR="007249E1">
        <w:rPr>
          <w:rFonts w:cstheme="minorHAnsi"/>
          <w:sz w:val="24"/>
          <w:szCs w:val="24"/>
        </w:rPr>
        <w:t>may be</w:t>
      </w:r>
      <w:r>
        <w:rPr>
          <w:rFonts w:cstheme="minorHAnsi"/>
          <w:sz w:val="24"/>
          <w:szCs w:val="24"/>
        </w:rPr>
        <w:t xml:space="preserve"> relevant in England. In addition, an evaluation of the Preparation for Future Care Needs tool that was developed in the United States took place in Germany (</w:t>
      </w:r>
      <w:proofErr w:type="spellStart"/>
      <w:r w:rsidRPr="00C4131F">
        <w:rPr>
          <w:rFonts w:cstheme="minorHAnsi"/>
          <w:sz w:val="24"/>
          <w:szCs w:val="24"/>
        </w:rPr>
        <w:t>Pinquart</w:t>
      </w:r>
      <w:proofErr w:type="spellEnd"/>
      <w:r w:rsidRPr="00C4131F">
        <w:rPr>
          <w:rFonts w:cstheme="minorHAnsi"/>
          <w:sz w:val="24"/>
          <w:szCs w:val="24"/>
        </w:rPr>
        <w:t xml:space="preserve"> and Sor</w:t>
      </w:r>
      <w:r>
        <w:rPr>
          <w:rFonts w:cstheme="minorHAnsi"/>
          <w:sz w:val="24"/>
          <w:szCs w:val="24"/>
        </w:rPr>
        <w:t xml:space="preserve">ensen, </w:t>
      </w:r>
      <w:r w:rsidRPr="00C4131F">
        <w:rPr>
          <w:rFonts w:cstheme="minorHAnsi"/>
          <w:sz w:val="24"/>
          <w:szCs w:val="24"/>
        </w:rPr>
        <w:t>2002a</w:t>
      </w:r>
      <w:r>
        <w:rPr>
          <w:rFonts w:cstheme="minorHAnsi"/>
          <w:sz w:val="24"/>
          <w:szCs w:val="24"/>
        </w:rPr>
        <w:t>), suggesting that the concept of decision tools to assist with planning for social care is pertinent more widely.</w:t>
      </w:r>
    </w:p>
    <w:p w14:paraId="5424A506" w14:textId="14C53BA9" w:rsidR="000D2F20" w:rsidRPr="000D2F20" w:rsidRDefault="00F019F7" w:rsidP="000D2F20">
      <w:pPr>
        <w:spacing w:after="120" w:line="276" w:lineRule="auto"/>
        <w:rPr>
          <w:rFonts w:cstheme="minorHAnsi"/>
          <w:sz w:val="24"/>
          <w:szCs w:val="24"/>
        </w:rPr>
      </w:pPr>
      <w:r w:rsidRPr="000D2F20">
        <w:rPr>
          <w:rFonts w:cstheme="minorHAnsi"/>
          <w:sz w:val="24"/>
          <w:szCs w:val="24"/>
        </w:rPr>
        <w:t xml:space="preserve">The </w:t>
      </w:r>
      <w:r w:rsidR="00C42384" w:rsidRPr="000D2F20">
        <w:rPr>
          <w:rFonts w:cstheme="minorHAnsi"/>
          <w:sz w:val="24"/>
          <w:szCs w:val="24"/>
        </w:rPr>
        <w:t>absence</w:t>
      </w:r>
      <w:r w:rsidRPr="000D2F20">
        <w:rPr>
          <w:rFonts w:cstheme="minorHAnsi"/>
          <w:sz w:val="24"/>
          <w:szCs w:val="24"/>
        </w:rPr>
        <w:t xml:space="preserve"> of decision aids in social care is </w:t>
      </w:r>
      <w:r w:rsidR="00A76B1E">
        <w:rPr>
          <w:rFonts w:cstheme="minorHAnsi"/>
          <w:sz w:val="24"/>
          <w:szCs w:val="24"/>
        </w:rPr>
        <w:t>strikingly different</w:t>
      </w:r>
      <w:r w:rsidRPr="000D2F20">
        <w:rPr>
          <w:rFonts w:cstheme="minorHAnsi"/>
          <w:sz w:val="24"/>
          <w:szCs w:val="24"/>
        </w:rPr>
        <w:t xml:space="preserve"> to health care. </w:t>
      </w:r>
      <w:r w:rsidR="00682D51">
        <w:rPr>
          <w:rFonts w:cstheme="minorHAnsi"/>
          <w:sz w:val="24"/>
          <w:szCs w:val="24"/>
        </w:rPr>
        <w:t>The range of decision aids available suggests it</w:t>
      </w:r>
      <w:r w:rsidR="00C42384" w:rsidRPr="000D2F20">
        <w:rPr>
          <w:rFonts w:cstheme="minorHAnsi"/>
          <w:sz w:val="24"/>
          <w:szCs w:val="24"/>
        </w:rPr>
        <w:t xml:space="preserve"> is generally accepted that patients face complex choices about treatments or screening and that they </w:t>
      </w:r>
      <w:r w:rsidR="00DE38E6">
        <w:rPr>
          <w:rFonts w:cstheme="minorHAnsi"/>
          <w:sz w:val="24"/>
          <w:szCs w:val="24"/>
        </w:rPr>
        <w:t xml:space="preserve">can </w:t>
      </w:r>
      <w:r w:rsidR="00C42384" w:rsidRPr="00682D51">
        <w:rPr>
          <w:rFonts w:cstheme="minorHAnsi"/>
          <w:sz w:val="24"/>
          <w:szCs w:val="24"/>
        </w:rPr>
        <w:t xml:space="preserve">benefit from </w:t>
      </w:r>
      <w:r w:rsidR="00682D51">
        <w:rPr>
          <w:rFonts w:cstheme="minorHAnsi"/>
          <w:sz w:val="24"/>
          <w:szCs w:val="24"/>
        </w:rPr>
        <w:t xml:space="preserve">the use of decision aids, often as part of </w:t>
      </w:r>
      <w:r w:rsidR="00C42384" w:rsidRPr="00682D51">
        <w:rPr>
          <w:rFonts w:cstheme="minorHAnsi"/>
          <w:sz w:val="24"/>
          <w:szCs w:val="24"/>
        </w:rPr>
        <w:t>a shared decision-making process</w:t>
      </w:r>
      <w:r w:rsidR="00C42384" w:rsidRPr="000D2F20">
        <w:rPr>
          <w:rFonts w:cstheme="minorHAnsi"/>
          <w:sz w:val="24"/>
          <w:szCs w:val="24"/>
        </w:rPr>
        <w:t xml:space="preserve">. </w:t>
      </w:r>
      <w:r w:rsidR="00596D88" w:rsidRPr="00435E9A">
        <w:rPr>
          <w:rFonts w:cstheme="minorHAnsi"/>
          <w:sz w:val="24"/>
          <w:szCs w:val="24"/>
        </w:rPr>
        <w:t>O</w:t>
      </w:r>
      <w:r w:rsidR="00596D88">
        <w:rPr>
          <w:rFonts w:cstheme="minorHAnsi"/>
          <w:sz w:val="24"/>
          <w:szCs w:val="24"/>
        </w:rPr>
        <w:t>f the papers included in this review, o</w:t>
      </w:r>
      <w:r w:rsidR="00596D88" w:rsidRPr="00435E9A">
        <w:rPr>
          <w:rFonts w:cstheme="minorHAnsi"/>
          <w:sz w:val="24"/>
          <w:szCs w:val="24"/>
        </w:rPr>
        <w:t xml:space="preserve">nly </w:t>
      </w:r>
      <w:proofErr w:type="spellStart"/>
      <w:r w:rsidR="00596D88" w:rsidRPr="00435E9A">
        <w:rPr>
          <w:rFonts w:cstheme="minorHAnsi"/>
          <w:sz w:val="24"/>
          <w:szCs w:val="24"/>
        </w:rPr>
        <w:t>Adekpedjou</w:t>
      </w:r>
      <w:proofErr w:type="spellEnd"/>
      <w:r w:rsidR="00596D88" w:rsidRPr="00435E9A">
        <w:rPr>
          <w:rFonts w:cstheme="minorHAnsi"/>
          <w:sz w:val="24"/>
          <w:szCs w:val="24"/>
        </w:rPr>
        <w:t xml:space="preserve"> et al (20</w:t>
      </w:r>
      <w:r w:rsidR="005C3417">
        <w:rPr>
          <w:rFonts w:cstheme="minorHAnsi"/>
          <w:sz w:val="24"/>
          <w:szCs w:val="24"/>
        </w:rPr>
        <w:t>20</w:t>
      </w:r>
      <w:r w:rsidR="00596D88" w:rsidRPr="00435E9A">
        <w:rPr>
          <w:rFonts w:cstheme="minorHAnsi"/>
          <w:sz w:val="24"/>
          <w:szCs w:val="24"/>
        </w:rPr>
        <w:t>) evaluates shared decision-making</w:t>
      </w:r>
      <w:r w:rsidR="00596D88">
        <w:rPr>
          <w:rFonts w:cstheme="minorHAnsi"/>
          <w:sz w:val="24"/>
          <w:szCs w:val="24"/>
        </w:rPr>
        <w:t>. Moreover</w:t>
      </w:r>
      <w:r w:rsidR="00C42384" w:rsidRPr="000D2F20">
        <w:rPr>
          <w:rFonts w:cstheme="minorHAnsi"/>
          <w:sz w:val="24"/>
          <w:szCs w:val="24"/>
        </w:rPr>
        <w:t xml:space="preserve">, </w:t>
      </w:r>
      <w:r w:rsidR="0081703B" w:rsidRPr="000D2F20">
        <w:rPr>
          <w:rFonts w:cstheme="minorHAnsi"/>
          <w:sz w:val="24"/>
          <w:szCs w:val="24"/>
        </w:rPr>
        <w:t xml:space="preserve">the complexity of decisions </w:t>
      </w:r>
      <w:r w:rsidR="003D6D83" w:rsidRPr="000D2F20">
        <w:rPr>
          <w:rFonts w:cstheme="minorHAnsi"/>
          <w:sz w:val="24"/>
          <w:szCs w:val="24"/>
        </w:rPr>
        <w:t>in social care</w:t>
      </w:r>
      <w:r w:rsidR="003D6D83" w:rsidRPr="0081703B">
        <w:rPr>
          <w:rFonts w:cstheme="minorHAnsi"/>
          <w:sz w:val="24"/>
          <w:szCs w:val="24"/>
        </w:rPr>
        <w:t xml:space="preserve"> </w:t>
      </w:r>
      <w:r w:rsidR="0081703B" w:rsidRPr="000D2F20">
        <w:rPr>
          <w:rFonts w:cstheme="minorHAnsi"/>
          <w:sz w:val="24"/>
          <w:szCs w:val="24"/>
        </w:rPr>
        <w:t>does</w:t>
      </w:r>
      <w:r w:rsidR="003D6D83">
        <w:rPr>
          <w:rFonts w:cstheme="minorHAnsi"/>
          <w:sz w:val="24"/>
          <w:szCs w:val="24"/>
        </w:rPr>
        <w:t xml:space="preserve"> </w:t>
      </w:r>
      <w:r w:rsidR="0081703B" w:rsidRPr="000D2F20">
        <w:rPr>
          <w:rFonts w:cstheme="minorHAnsi"/>
          <w:sz w:val="24"/>
          <w:szCs w:val="24"/>
        </w:rPr>
        <w:t>not appear to be recognised</w:t>
      </w:r>
      <w:r w:rsidR="0081703B">
        <w:rPr>
          <w:rFonts w:cstheme="minorHAnsi"/>
          <w:sz w:val="24"/>
          <w:szCs w:val="24"/>
        </w:rPr>
        <w:t>.</w:t>
      </w:r>
      <w:r w:rsidR="003D6D83">
        <w:rPr>
          <w:rFonts w:cstheme="minorHAnsi"/>
          <w:sz w:val="24"/>
          <w:szCs w:val="24"/>
        </w:rPr>
        <w:t xml:space="preserve"> </w:t>
      </w:r>
      <w:r w:rsidR="00547090">
        <w:rPr>
          <w:rFonts w:cstheme="minorHAnsi"/>
          <w:sz w:val="24"/>
          <w:szCs w:val="24"/>
        </w:rPr>
        <w:t xml:space="preserve">Older people and their families make choices about long-term care without the </w:t>
      </w:r>
      <w:r w:rsidR="003D6D83">
        <w:rPr>
          <w:rFonts w:cstheme="minorHAnsi"/>
          <w:sz w:val="24"/>
          <w:szCs w:val="24"/>
        </w:rPr>
        <w:t xml:space="preserve">same level of </w:t>
      </w:r>
      <w:r w:rsidR="00547090">
        <w:rPr>
          <w:rFonts w:cstheme="minorHAnsi"/>
          <w:sz w:val="24"/>
          <w:szCs w:val="24"/>
        </w:rPr>
        <w:t xml:space="preserve">formal decision-making support that </w:t>
      </w:r>
      <w:r w:rsidR="00596D88">
        <w:rPr>
          <w:rFonts w:cstheme="minorHAnsi"/>
          <w:sz w:val="24"/>
          <w:szCs w:val="24"/>
        </w:rPr>
        <w:t>is available for patients with a wide range of conditions</w:t>
      </w:r>
      <w:r w:rsidR="00547090">
        <w:rPr>
          <w:rFonts w:cstheme="minorHAnsi"/>
          <w:sz w:val="24"/>
          <w:szCs w:val="24"/>
        </w:rPr>
        <w:t xml:space="preserve">. </w:t>
      </w:r>
      <w:r w:rsidR="00596D88">
        <w:rPr>
          <w:rFonts w:cstheme="minorHAnsi"/>
          <w:sz w:val="24"/>
          <w:szCs w:val="24"/>
        </w:rPr>
        <w:t>S</w:t>
      </w:r>
      <w:r w:rsidR="00547090">
        <w:rPr>
          <w:rFonts w:cstheme="minorHAnsi"/>
          <w:sz w:val="24"/>
          <w:szCs w:val="24"/>
        </w:rPr>
        <w:t>elf-funders</w:t>
      </w:r>
      <w:r w:rsidR="00596D88">
        <w:rPr>
          <w:rFonts w:cstheme="minorHAnsi"/>
          <w:sz w:val="24"/>
          <w:szCs w:val="24"/>
        </w:rPr>
        <w:t xml:space="preserve"> in particular </w:t>
      </w:r>
      <w:r w:rsidR="00547090">
        <w:rPr>
          <w:rFonts w:cstheme="minorHAnsi"/>
          <w:sz w:val="24"/>
          <w:szCs w:val="24"/>
        </w:rPr>
        <w:t>lack formal support.</w:t>
      </w:r>
      <w:r w:rsidR="00C42384" w:rsidRPr="000D2F20">
        <w:rPr>
          <w:rFonts w:cstheme="minorHAnsi"/>
          <w:sz w:val="24"/>
          <w:szCs w:val="24"/>
        </w:rPr>
        <w:t xml:space="preserve"> </w:t>
      </w:r>
      <w:r w:rsidR="000D2F20" w:rsidRPr="000D2F20">
        <w:rPr>
          <w:rFonts w:cstheme="minorHAnsi"/>
          <w:sz w:val="24"/>
          <w:szCs w:val="24"/>
        </w:rPr>
        <w:t xml:space="preserve">Nevertheless, </w:t>
      </w:r>
      <w:r w:rsidR="00D32A92">
        <w:rPr>
          <w:rFonts w:cstheme="minorHAnsi"/>
          <w:sz w:val="24"/>
          <w:szCs w:val="24"/>
        </w:rPr>
        <w:t xml:space="preserve">there are practices in social care that </w:t>
      </w:r>
      <w:r w:rsidR="00D32A92" w:rsidRPr="000D2F20">
        <w:rPr>
          <w:rFonts w:cstheme="minorHAnsi"/>
          <w:sz w:val="24"/>
          <w:szCs w:val="24"/>
        </w:rPr>
        <w:t>contain elements of a shared decision-making process.</w:t>
      </w:r>
      <w:r w:rsidR="00D32A92">
        <w:rPr>
          <w:rFonts w:cstheme="minorHAnsi"/>
          <w:sz w:val="24"/>
          <w:szCs w:val="24"/>
        </w:rPr>
        <w:t xml:space="preserve"> These practices, known as </w:t>
      </w:r>
      <w:r w:rsidR="00547090">
        <w:rPr>
          <w:rFonts w:cstheme="minorHAnsi"/>
          <w:sz w:val="24"/>
          <w:szCs w:val="24"/>
        </w:rPr>
        <w:t>strength</w:t>
      </w:r>
      <w:r w:rsidR="00596D88">
        <w:rPr>
          <w:rFonts w:cstheme="minorHAnsi"/>
          <w:sz w:val="24"/>
          <w:szCs w:val="24"/>
        </w:rPr>
        <w:t>s</w:t>
      </w:r>
      <w:r w:rsidR="00547090">
        <w:rPr>
          <w:rFonts w:cstheme="minorHAnsi"/>
          <w:sz w:val="24"/>
          <w:szCs w:val="24"/>
        </w:rPr>
        <w:t>- or asset-based approaches</w:t>
      </w:r>
      <w:r w:rsidR="00D32A92">
        <w:rPr>
          <w:rFonts w:cstheme="minorHAnsi"/>
          <w:sz w:val="24"/>
          <w:szCs w:val="24"/>
        </w:rPr>
        <w:t xml:space="preserve">, aim to build on an individual’s strengths and capabilities and those of their networks in order to achieve their goals. This is a complex area with many models. One model is </w:t>
      </w:r>
      <w:r w:rsidR="000D2F20" w:rsidRPr="000D2F20">
        <w:rPr>
          <w:rFonts w:cstheme="minorHAnsi"/>
          <w:sz w:val="24"/>
          <w:szCs w:val="24"/>
        </w:rPr>
        <w:t>the ‘three conversations’ approach (</w:t>
      </w:r>
      <w:hyperlink r:id="rId18" w:history="1">
        <w:r w:rsidR="000D2F20" w:rsidRPr="000D2F20">
          <w:rPr>
            <w:rStyle w:val="Hyperlink"/>
            <w:rFonts w:cstheme="minorHAnsi"/>
            <w:color w:val="auto"/>
            <w:sz w:val="24"/>
            <w:szCs w:val="24"/>
          </w:rPr>
          <w:t>http://partners4change.co.uk/the-three-conversations/</w:t>
        </w:r>
      </w:hyperlink>
      <w:r w:rsidR="000D2F20" w:rsidRPr="000D2F20">
        <w:rPr>
          <w:rFonts w:cstheme="minorHAnsi"/>
          <w:sz w:val="24"/>
          <w:szCs w:val="24"/>
        </w:rPr>
        <w:t>)</w:t>
      </w:r>
      <w:r w:rsidR="00D32A92">
        <w:rPr>
          <w:rFonts w:cstheme="minorHAnsi"/>
          <w:sz w:val="24"/>
          <w:szCs w:val="24"/>
        </w:rPr>
        <w:t xml:space="preserve"> which </w:t>
      </w:r>
      <w:r w:rsidR="000D2F20" w:rsidRPr="000D2F20">
        <w:rPr>
          <w:rFonts w:cstheme="minorHAnsi"/>
          <w:sz w:val="24"/>
          <w:szCs w:val="24"/>
        </w:rPr>
        <w:t xml:space="preserve">comprises three distinct </w:t>
      </w:r>
      <w:r w:rsidR="00547090" w:rsidRPr="000D2F20">
        <w:rPr>
          <w:rFonts w:cstheme="minorHAnsi"/>
          <w:sz w:val="24"/>
          <w:szCs w:val="24"/>
        </w:rPr>
        <w:t>discussions</w:t>
      </w:r>
      <w:r w:rsidR="000D2F20" w:rsidRPr="000D2F20">
        <w:rPr>
          <w:rFonts w:cstheme="minorHAnsi"/>
          <w:sz w:val="24"/>
          <w:szCs w:val="24"/>
        </w:rPr>
        <w:t xml:space="preserve"> between social care professionals and people needing support, focusing on people’s strengths and community assets, and their long-term outcomes, with conversations built around ‘what a good life looks like’ (ibid.). </w:t>
      </w:r>
      <w:r w:rsidR="00D32A92">
        <w:rPr>
          <w:rFonts w:cstheme="minorHAnsi"/>
          <w:sz w:val="24"/>
          <w:szCs w:val="24"/>
        </w:rPr>
        <w:t>To our knowledge, t</w:t>
      </w:r>
      <w:r w:rsidR="000D2F20" w:rsidRPr="000D2F20">
        <w:rPr>
          <w:rFonts w:cstheme="minorHAnsi"/>
          <w:sz w:val="24"/>
          <w:szCs w:val="24"/>
        </w:rPr>
        <w:t xml:space="preserve">his </w:t>
      </w:r>
      <w:r w:rsidR="00547090">
        <w:rPr>
          <w:rFonts w:cstheme="minorHAnsi"/>
          <w:sz w:val="24"/>
          <w:szCs w:val="24"/>
        </w:rPr>
        <w:t xml:space="preserve">and similar </w:t>
      </w:r>
      <w:r w:rsidR="000D2F20" w:rsidRPr="000D2F20">
        <w:rPr>
          <w:rFonts w:cstheme="minorHAnsi"/>
          <w:sz w:val="24"/>
          <w:szCs w:val="24"/>
        </w:rPr>
        <w:t>approach</w:t>
      </w:r>
      <w:r w:rsidR="00547090">
        <w:rPr>
          <w:rFonts w:cstheme="minorHAnsi"/>
          <w:sz w:val="24"/>
          <w:szCs w:val="24"/>
        </w:rPr>
        <w:t>es</w:t>
      </w:r>
      <w:r w:rsidR="000D2F20" w:rsidRPr="000D2F20">
        <w:rPr>
          <w:rFonts w:cstheme="minorHAnsi"/>
          <w:sz w:val="24"/>
          <w:szCs w:val="24"/>
        </w:rPr>
        <w:t xml:space="preserve"> do not currently encompass </w:t>
      </w:r>
      <w:r w:rsidR="000D2F20" w:rsidRPr="000D2F20">
        <w:rPr>
          <w:rFonts w:cstheme="minorHAnsi"/>
          <w:sz w:val="24"/>
          <w:szCs w:val="24"/>
        </w:rPr>
        <w:lastRenderedPageBreak/>
        <w:t>the use of decision aids</w:t>
      </w:r>
      <w:r w:rsidR="0081703B">
        <w:rPr>
          <w:rFonts w:cstheme="minorHAnsi"/>
          <w:sz w:val="24"/>
          <w:szCs w:val="24"/>
        </w:rPr>
        <w:t>. However,</w:t>
      </w:r>
      <w:r w:rsidR="000D2F20" w:rsidRPr="000D2F20">
        <w:rPr>
          <w:rFonts w:cstheme="minorHAnsi"/>
          <w:sz w:val="24"/>
          <w:szCs w:val="24"/>
        </w:rPr>
        <w:t xml:space="preserve"> </w:t>
      </w:r>
      <w:r w:rsidR="00547090">
        <w:rPr>
          <w:rFonts w:cstheme="minorHAnsi"/>
          <w:sz w:val="24"/>
          <w:szCs w:val="24"/>
        </w:rPr>
        <w:t xml:space="preserve">as </w:t>
      </w:r>
      <w:r w:rsidR="00596D88">
        <w:rPr>
          <w:rFonts w:cstheme="minorHAnsi"/>
          <w:sz w:val="24"/>
          <w:szCs w:val="24"/>
        </w:rPr>
        <w:t>a key purpose</w:t>
      </w:r>
      <w:r w:rsidR="000D2F20" w:rsidRPr="000D2F20">
        <w:rPr>
          <w:rFonts w:cstheme="minorHAnsi"/>
          <w:sz w:val="24"/>
          <w:szCs w:val="24"/>
        </w:rPr>
        <w:t xml:space="preserve"> of decision aids </w:t>
      </w:r>
      <w:r w:rsidR="0081703B">
        <w:rPr>
          <w:rFonts w:cstheme="minorHAnsi"/>
          <w:sz w:val="24"/>
          <w:szCs w:val="24"/>
        </w:rPr>
        <w:t>is to help</w:t>
      </w:r>
      <w:r w:rsidR="000D2F20" w:rsidRPr="000D2F20">
        <w:rPr>
          <w:rFonts w:cstheme="minorHAnsi"/>
          <w:sz w:val="24"/>
          <w:szCs w:val="24"/>
        </w:rPr>
        <w:t xml:space="preserve"> people clarify </w:t>
      </w:r>
      <w:r w:rsidR="0081703B">
        <w:rPr>
          <w:rFonts w:cstheme="minorHAnsi"/>
          <w:sz w:val="24"/>
          <w:szCs w:val="24"/>
        </w:rPr>
        <w:t xml:space="preserve">their </w:t>
      </w:r>
      <w:r w:rsidR="000D2F20" w:rsidRPr="000D2F20">
        <w:rPr>
          <w:rFonts w:cstheme="minorHAnsi"/>
          <w:sz w:val="24"/>
          <w:szCs w:val="24"/>
        </w:rPr>
        <w:t xml:space="preserve">personal values and preferences </w:t>
      </w:r>
      <w:r w:rsidR="000D2F20" w:rsidRPr="000D2F20">
        <w:rPr>
          <w:rFonts w:cstheme="minorHAnsi"/>
          <w:noProof/>
          <w:sz w:val="24"/>
          <w:szCs w:val="24"/>
        </w:rPr>
        <w:t>(BMJ, 2013; Stacey</w:t>
      </w:r>
      <w:r w:rsidR="000D2F20" w:rsidRPr="000D2F20">
        <w:rPr>
          <w:rFonts w:cstheme="minorHAnsi"/>
          <w:i/>
          <w:noProof/>
          <w:sz w:val="24"/>
          <w:szCs w:val="24"/>
        </w:rPr>
        <w:t xml:space="preserve"> et al.</w:t>
      </w:r>
      <w:r w:rsidR="000D2F20" w:rsidRPr="000D2F20">
        <w:rPr>
          <w:rFonts w:cstheme="minorHAnsi"/>
          <w:noProof/>
          <w:sz w:val="24"/>
          <w:szCs w:val="24"/>
        </w:rPr>
        <w:t>, 2017</w:t>
      </w:r>
      <w:r w:rsidR="000D2F20" w:rsidRPr="000D2F20">
        <w:rPr>
          <w:rFonts w:cstheme="minorHAnsi"/>
          <w:sz w:val="24"/>
          <w:szCs w:val="24"/>
        </w:rPr>
        <w:t xml:space="preserve">), </w:t>
      </w:r>
      <w:r w:rsidR="003D0AA8">
        <w:rPr>
          <w:rFonts w:cstheme="minorHAnsi"/>
          <w:sz w:val="24"/>
          <w:szCs w:val="24"/>
        </w:rPr>
        <w:t xml:space="preserve">in other words what encompasses </w:t>
      </w:r>
      <w:r w:rsidR="00D32A92">
        <w:rPr>
          <w:rFonts w:cstheme="minorHAnsi"/>
          <w:sz w:val="24"/>
          <w:szCs w:val="24"/>
        </w:rPr>
        <w:t xml:space="preserve">personal goals and </w:t>
      </w:r>
      <w:r w:rsidR="003D0AA8">
        <w:rPr>
          <w:rFonts w:cstheme="minorHAnsi"/>
          <w:sz w:val="24"/>
          <w:szCs w:val="24"/>
        </w:rPr>
        <w:t xml:space="preserve">a ‘good life’, </w:t>
      </w:r>
      <w:r w:rsidR="000D2F20" w:rsidRPr="000D2F20">
        <w:rPr>
          <w:rFonts w:cstheme="minorHAnsi"/>
          <w:sz w:val="24"/>
          <w:szCs w:val="24"/>
        </w:rPr>
        <w:t xml:space="preserve">marrying the two approaches may be fruitful. </w:t>
      </w:r>
    </w:p>
    <w:p w14:paraId="451C66D5" w14:textId="77777777" w:rsidR="002E0B5D" w:rsidRPr="00435E9A" w:rsidRDefault="002E0B5D" w:rsidP="00771B9F">
      <w:pPr>
        <w:spacing w:after="120" w:line="276" w:lineRule="auto"/>
        <w:rPr>
          <w:rFonts w:cstheme="minorHAnsi"/>
          <w:i/>
          <w:sz w:val="24"/>
          <w:szCs w:val="24"/>
        </w:rPr>
      </w:pPr>
      <w:r w:rsidRPr="00435E9A">
        <w:rPr>
          <w:rFonts w:cstheme="minorHAnsi"/>
          <w:i/>
          <w:sz w:val="24"/>
          <w:szCs w:val="24"/>
        </w:rPr>
        <w:t>Limitations</w:t>
      </w:r>
    </w:p>
    <w:p w14:paraId="08401547" w14:textId="7498C004" w:rsidR="00941E8E" w:rsidRDefault="002E0B5D" w:rsidP="00771B9F">
      <w:pPr>
        <w:spacing w:after="120" w:line="276" w:lineRule="auto"/>
        <w:rPr>
          <w:rFonts w:cstheme="minorHAnsi"/>
          <w:sz w:val="24"/>
          <w:szCs w:val="24"/>
        </w:rPr>
      </w:pPr>
      <w:r w:rsidRPr="00435E9A">
        <w:rPr>
          <w:rFonts w:cstheme="minorHAnsi"/>
          <w:sz w:val="24"/>
          <w:szCs w:val="24"/>
        </w:rPr>
        <w:t xml:space="preserve">This rapid </w:t>
      </w:r>
      <w:r w:rsidR="009C1DEB">
        <w:rPr>
          <w:rFonts w:cstheme="minorHAnsi"/>
          <w:sz w:val="24"/>
          <w:szCs w:val="24"/>
        </w:rPr>
        <w:t xml:space="preserve">scoping </w:t>
      </w:r>
      <w:r w:rsidRPr="00435E9A">
        <w:rPr>
          <w:rFonts w:cstheme="minorHAnsi"/>
          <w:sz w:val="24"/>
          <w:szCs w:val="24"/>
        </w:rPr>
        <w:t xml:space="preserve">review aimed for a wide coverage of papers. </w:t>
      </w:r>
      <w:r w:rsidR="009C1DEB">
        <w:rPr>
          <w:rFonts w:cstheme="minorHAnsi"/>
          <w:sz w:val="24"/>
          <w:szCs w:val="24"/>
        </w:rPr>
        <w:t xml:space="preserve">As such, some papers were included that stretch the definition of a decision aid. </w:t>
      </w:r>
      <w:r w:rsidR="003D0AA8">
        <w:rPr>
          <w:rFonts w:cstheme="minorHAnsi"/>
          <w:sz w:val="24"/>
          <w:szCs w:val="24"/>
        </w:rPr>
        <w:t>Conversely</w:t>
      </w:r>
      <w:r w:rsidR="009C1DEB">
        <w:rPr>
          <w:rFonts w:cstheme="minorHAnsi"/>
          <w:sz w:val="24"/>
          <w:szCs w:val="24"/>
        </w:rPr>
        <w:t xml:space="preserve">, </w:t>
      </w:r>
      <w:r w:rsidR="00941E8E">
        <w:rPr>
          <w:rFonts w:cstheme="minorHAnsi"/>
          <w:sz w:val="24"/>
          <w:szCs w:val="24"/>
        </w:rPr>
        <w:t>a small number of</w:t>
      </w:r>
      <w:r w:rsidRPr="00435E9A">
        <w:rPr>
          <w:rFonts w:cstheme="minorHAnsi"/>
          <w:sz w:val="24"/>
          <w:szCs w:val="24"/>
        </w:rPr>
        <w:t xml:space="preserve"> </w:t>
      </w:r>
      <w:r w:rsidR="009C1DEB">
        <w:rPr>
          <w:rFonts w:cstheme="minorHAnsi"/>
          <w:sz w:val="24"/>
          <w:szCs w:val="24"/>
        </w:rPr>
        <w:t>relevant</w:t>
      </w:r>
      <w:r w:rsidRPr="00435E9A">
        <w:rPr>
          <w:rFonts w:cstheme="minorHAnsi"/>
          <w:sz w:val="24"/>
          <w:szCs w:val="24"/>
        </w:rPr>
        <w:t xml:space="preserve"> papers were identified through forward citation </w:t>
      </w:r>
      <w:r w:rsidR="00941E8E">
        <w:rPr>
          <w:rFonts w:cstheme="minorHAnsi"/>
          <w:sz w:val="24"/>
          <w:szCs w:val="24"/>
        </w:rPr>
        <w:t xml:space="preserve">and internet </w:t>
      </w:r>
      <w:r w:rsidRPr="00435E9A">
        <w:rPr>
          <w:rFonts w:cstheme="minorHAnsi"/>
          <w:sz w:val="24"/>
          <w:szCs w:val="24"/>
        </w:rPr>
        <w:t xml:space="preserve">searching </w:t>
      </w:r>
      <w:r w:rsidR="009C1DEB">
        <w:rPr>
          <w:rFonts w:cstheme="minorHAnsi"/>
          <w:sz w:val="24"/>
          <w:szCs w:val="24"/>
        </w:rPr>
        <w:t>but</w:t>
      </w:r>
      <w:r w:rsidRPr="00435E9A">
        <w:rPr>
          <w:rFonts w:cstheme="minorHAnsi"/>
          <w:sz w:val="24"/>
          <w:szCs w:val="24"/>
        </w:rPr>
        <w:t xml:space="preserve"> were not picked up through the formal searches</w:t>
      </w:r>
      <w:r w:rsidR="00941E8E">
        <w:rPr>
          <w:rFonts w:cstheme="minorHAnsi"/>
          <w:sz w:val="24"/>
          <w:szCs w:val="24"/>
        </w:rPr>
        <w:t>; some relevant papers may therefore have been missed</w:t>
      </w:r>
      <w:r w:rsidRPr="00435E9A">
        <w:rPr>
          <w:rFonts w:cstheme="minorHAnsi"/>
          <w:sz w:val="24"/>
          <w:szCs w:val="24"/>
        </w:rPr>
        <w:t xml:space="preserve">. </w:t>
      </w:r>
    </w:p>
    <w:p w14:paraId="6DA1DFE1" w14:textId="34807CAA"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Due to technical issues, </w:t>
      </w:r>
      <w:r w:rsidR="00941E8E">
        <w:rPr>
          <w:rFonts w:cstheme="minorHAnsi"/>
          <w:sz w:val="24"/>
          <w:szCs w:val="24"/>
        </w:rPr>
        <w:t>only 500 citations each could be downloaded from three</w:t>
      </w:r>
      <w:r w:rsidRPr="00435E9A">
        <w:rPr>
          <w:rFonts w:cstheme="minorHAnsi"/>
          <w:sz w:val="24"/>
          <w:szCs w:val="24"/>
        </w:rPr>
        <w:t xml:space="preserve"> </w:t>
      </w:r>
      <w:r w:rsidR="00941E8E">
        <w:rPr>
          <w:rFonts w:cstheme="minorHAnsi"/>
          <w:sz w:val="24"/>
          <w:szCs w:val="24"/>
        </w:rPr>
        <w:t xml:space="preserve">of the </w:t>
      </w:r>
      <w:r w:rsidRPr="00435E9A">
        <w:rPr>
          <w:rFonts w:cstheme="minorHAnsi"/>
          <w:sz w:val="24"/>
          <w:szCs w:val="24"/>
        </w:rPr>
        <w:t xml:space="preserve">databases </w:t>
      </w:r>
      <w:r w:rsidR="00941E8E">
        <w:rPr>
          <w:rFonts w:cstheme="minorHAnsi"/>
          <w:sz w:val="24"/>
          <w:szCs w:val="24"/>
        </w:rPr>
        <w:t>searched.</w:t>
      </w:r>
      <w:r w:rsidRPr="00435E9A">
        <w:rPr>
          <w:rFonts w:cstheme="minorHAnsi"/>
          <w:sz w:val="24"/>
          <w:szCs w:val="24"/>
        </w:rPr>
        <w:t xml:space="preserve"> </w:t>
      </w:r>
      <w:r w:rsidR="003D0AA8">
        <w:rPr>
          <w:rFonts w:cstheme="minorHAnsi"/>
          <w:sz w:val="24"/>
          <w:szCs w:val="24"/>
        </w:rPr>
        <w:t>Before downloading, t</w:t>
      </w:r>
      <w:r w:rsidRPr="00435E9A">
        <w:rPr>
          <w:rFonts w:cstheme="minorHAnsi"/>
          <w:sz w:val="24"/>
          <w:szCs w:val="24"/>
        </w:rPr>
        <w:t xml:space="preserve">he search results were sorted by relevance and checked to ensure </w:t>
      </w:r>
      <w:r w:rsidR="00941E8E">
        <w:rPr>
          <w:rFonts w:cstheme="minorHAnsi"/>
          <w:sz w:val="24"/>
          <w:szCs w:val="24"/>
        </w:rPr>
        <w:t>they</w:t>
      </w:r>
      <w:r w:rsidRPr="00435E9A">
        <w:rPr>
          <w:rFonts w:cstheme="minorHAnsi"/>
          <w:sz w:val="24"/>
          <w:szCs w:val="24"/>
        </w:rPr>
        <w:t xml:space="preserve"> contained </w:t>
      </w:r>
      <w:r w:rsidR="00941E8E">
        <w:rPr>
          <w:rFonts w:cstheme="minorHAnsi"/>
          <w:sz w:val="24"/>
          <w:szCs w:val="24"/>
        </w:rPr>
        <w:t xml:space="preserve">potentially </w:t>
      </w:r>
      <w:r w:rsidR="003D0AA8">
        <w:rPr>
          <w:rFonts w:cstheme="minorHAnsi"/>
          <w:sz w:val="24"/>
          <w:szCs w:val="24"/>
        </w:rPr>
        <w:t>pertinent</w:t>
      </w:r>
      <w:r w:rsidR="00941E8E">
        <w:rPr>
          <w:rFonts w:cstheme="minorHAnsi"/>
          <w:sz w:val="24"/>
          <w:szCs w:val="24"/>
        </w:rPr>
        <w:t xml:space="preserve"> </w:t>
      </w:r>
      <w:r w:rsidRPr="00435E9A">
        <w:rPr>
          <w:rFonts w:cstheme="minorHAnsi"/>
          <w:sz w:val="24"/>
          <w:szCs w:val="24"/>
        </w:rPr>
        <w:t xml:space="preserve">papers, </w:t>
      </w:r>
      <w:r w:rsidR="00941E8E">
        <w:rPr>
          <w:rFonts w:cstheme="minorHAnsi"/>
          <w:sz w:val="24"/>
          <w:szCs w:val="24"/>
        </w:rPr>
        <w:t xml:space="preserve">but </w:t>
      </w:r>
      <w:r w:rsidRPr="00435E9A">
        <w:rPr>
          <w:rFonts w:cstheme="minorHAnsi"/>
          <w:sz w:val="24"/>
          <w:szCs w:val="24"/>
        </w:rPr>
        <w:t xml:space="preserve">it is possible that some papers </w:t>
      </w:r>
      <w:r w:rsidR="00941E8E">
        <w:rPr>
          <w:rFonts w:cstheme="minorHAnsi"/>
          <w:sz w:val="24"/>
          <w:szCs w:val="24"/>
        </w:rPr>
        <w:t xml:space="preserve">that </w:t>
      </w:r>
      <w:r w:rsidR="003D0AA8">
        <w:rPr>
          <w:rFonts w:cstheme="minorHAnsi"/>
          <w:sz w:val="24"/>
          <w:szCs w:val="24"/>
        </w:rPr>
        <w:t xml:space="preserve">would </w:t>
      </w:r>
      <w:r w:rsidR="00941E8E">
        <w:rPr>
          <w:rFonts w:cstheme="minorHAnsi"/>
          <w:sz w:val="24"/>
          <w:szCs w:val="24"/>
        </w:rPr>
        <w:t xml:space="preserve">have been included </w:t>
      </w:r>
      <w:r w:rsidRPr="00435E9A">
        <w:rPr>
          <w:rFonts w:cstheme="minorHAnsi"/>
          <w:sz w:val="24"/>
          <w:szCs w:val="24"/>
        </w:rPr>
        <w:t xml:space="preserve">were not </w:t>
      </w:r>
      <w:r w:rsidR="00941E8E">
        <w:rPr>
          <w:rFonts w:cstheme="minorHAnsi"/>
          <w:sz w:val="24"/>
          <w:szCs w:val="24"/>
        </w:rPr>
        <w:t>downloaded</w:t>
      </w:r>
      <w:r w:rsidRPr="00435E9A">
        <w:rPr>
          <w:rFonts w:cstheme="minorHAnsi"/>
          <w:sz w:val="24"/>
          <w:szCs w:val="24"/>
        </w:rPr>
        <w:t xml:space="preserve">. </w:t>
      </w:r>
    </w:p>
    <w:p w14:paraId="7616A728" w14:textId="3F5D99A8" w:rsidR="002E0B5D" w:rsidRPr="00435E9A" w:rsidRDefault="002E0B5D" w:rsidP="00771B9F">
      <w:pPr>
        <w:spacing w:after="120" w:line="276" w:lineRule="auto"/>
        <w:rPr>
          <w:rFonts w:cstheme="minorHAnsi"/>
          <w:sz w:val="24"/>
          <w:szCs w:val="24"/>
        </w:rPr>
      </w:pPr>
      <w:r w:rsidRPr="00435E9A">
        <w:rPr>
          <w:rFonts w:cstheme="minorHAnsi"/>
          <w:sz w:val="24"/>
          <w:szCs w:val="24"/>
        </w:rPr>
        <w:t xml:space="preserve">The review of local council adult social care and third sector websites was not comprehensive; </w:t>
      </w:r>
      <w:r w:rsidR="00941E8E">
        <w:rPr>
          <w:rFonts w:cstheme="minorHAnsi"/>
          <w:sz w:val="24"/>
          <w:szCs w:val="24"/>
        </w:rPr>
        <w:t>due to time constraints</w:t>
      </w:r>
      <w:r w:rsidR="00FE638D">
        <w:rPr>
          <w:rFonts w:cstheme="minorHAnsi"/>
          <w:sz w:val="24"/>
          <w:szCs w:val="24"/>
        </w:rPr>
        <w:t>,</w:t>
      </w:r>
      <w:r w:rsidR="00941E8E">
        <w:rPr>
          <w:rFonts w:cstheme="minorHAnsi"/>
          <w:sz w:val="24"/>
          <w:szCs w:val="24"/>
        </w:rPr>
        <w:t xml:space="preserve"> </w:t>
      </w:r>
      <w:r w:rsidR="003D0AA8">
        <w:rPr>
          <w:rFonts w:cstheme="minorHAnsi"/>
          <w:sz w:val="24"/>
          <w:szCs w:val="24"/>
        </w:rPr>
        <w:t xml:space="preserve">searches were limited </w:t>
      </w:r>
      <w:r w:rsidR="00941E8E">
        <w:rPr>
          <w:rFonts w:cstheme="minorHAnsi"/>
          <w:sz w:val="24"/>
          <w:szCs w:val="24"/>
        </w:rPr>
        <w:t>to</w:t>
      </w:r>
      <w:r w:rsidRPr="00435E9A">
        <w:rPr>
          <w:rFonts w:cstheme="minorHAnsi"/>
          <w:sz w:val="24"/>
          <w:szCs w:val="24"/>
        </w:rPr>
        <w:t xml:space="preserve"> one third of council websites and 11 third sector sites. </w:t>
      </w:r>
      <w:r w:rsidR="00941E8E">
        <w:rPr>
          <w:rFonts w:cstheme="minorHAnsi"/>
          <w:sz w:val="24"/>
          <w:szCs w:val="24"/>
        </w:rPr>
        <w:t>S</w:t>
      </w:r>
      <w:r w:rsidRPr="00435E9A">
        <w:rPr>
          <w:rFonts w:cstheme="minorHAnsi"/>
          <w:sz w:val="24"/>
          <w:szCs w:val="24"/>
        </w:rPr>
        <w:t xml:space="preserve">ome </w:t>
      </w:r>
      <w:r w:rsidR="00941E8E">
        <w:rPr>
          <w:rFonts w:cstheme="minorHAnsi"/>
          <w:sz w:val="24"/>
          <w:szCs w:val="24"/>
        </w:rPr>
        <w:t xml:space="preserve">online </w:t>
      </w:r>
      <w:r w:rsidRPr="00435E9A">
        <w:rPr>
          <w:rFonts w:cstheme="minorHAnsi"/>
          <w:sz w:val="24"/>
          <w:szCs w:val="24"/>
        </w:rPr>
        <w:t xml:space="preserve">decision aids </w:t>
      </w:r>
      <w:r w:rsidR="00560063">
        <w:rPr>
          <w:rFonts w:cstheme="minorHAnsi"/>
          <w:sz w:val="24"/>
          <w:szCs w:val="24"/>
        </w:rPr>
        <w:t>may</w:t>
      </w:r>
      <w:r w:rsidR="00941E8E">
        <w:rPr>
          <w:rFonts w:cstheme="minorHAnsi"/>
          <w:sz w:val="24"/>
          <w:szCs w:val="24"/>
        </w:rPr>
        <w:t xml:space="preserve"> therefore</w:t>
      </w:r>
      <w:r w:rsidRPr="00435E9A">
        <w:rPr>
          <w:rFonts w:cstheme="minorHAnsi"/>
          <w:sz w:val="24"/>
          <w:szCs w:val="24"/>
        </w:rPr>
        <w:t xml:space="preserve"> not </w:t>
      </w:r>
      <w:r w:rsidR="00941E8E">
        <w:rPr>
          <w:rFonts w:cstheme="minorHAnsi"/>
          <w:sz w:val="24"/>
          <w:szCs w:val="24"/>
        </w:rPr>
        <w:t xml:space="preserve">have been </w:t>
      </w:r>
      <w:r w:rsidRPr="00435E9A">
        <w:rPr>
          <w:rFonts w:cstheme="minorHAnsi"/>
          <w:sz w:val="24"/>
          <w:szCs w:val="24"/>
        </w:rPr>
        <w:t xml:space="preserve">identified. </w:t>
      </w:r>
    </w:p>
    <w:p w14:paraId="5E17A370" w14:textId="77777777" w:rsidR="002E0B5D" w:rsidRPr="00435E9A" w:rsidRDefault="002E0B5D" w:rsidP="00771B9F">
      <w:pPr>
        <w:spacing w:after="120" w:line="276" w:lineRule="auto"/>
        <w:rPr>
          <w:rFonts w:cstheme="minorHAnsi"/>
          <w:sz w:val="24"/>
          <w:szCs w:val="24"/>
        </w:rPr>
      </w:pPr>
    </w:p>
    <w:p w14:paraId="4BE5EDE8" w14:textId="77777777" w:rsidR="002E0B5D" w:rsidRDefault="002E0B5D">
      <w:pPr>
        <w:rPr>
          <w:rFonts w:cstheme="minorHAnsi"/>
          <w:b/>
          <w:sz w:val="24"/>
          <w:szCs w:val="24"/>
        </w:rPr>
      </w:pPr>
      <w:r w:rsidRPr="00435E9A">
        <w:rPr>
          <w:rFonts w:cstheme="minorHAnsi"/>
          <w:b/>
          <w:sz w:val="24"/>
          <w:szCs w:val="24"/>
        </w:rPr>
        <w:br w:type="page"/>
      </w:r>
    </w:p>
    <w:p w14:paraId="386E8522" w14:textId="6AE75A7B" w:rsidR="002E0B5D" w:rsidRPr="00435E9A" w:rsidRDefault="002E0B5D" w:rsidP="00771B9F">
      <w:pPr>
        <w:spacing w:after="120" w:line="276" w:lineRule="auto"/>
        <w:rPr>
          <w:rFonts w:cstheme="minorHAnsi"/>
          <w:b/>
          <w:sz w:val="24"/>
          <w:szCs w:val="24"/>
        </w:rPr>
      </w:pPr>
      <w:r w:rsidRPr="00435E9A">
        <w:rPr>
          <w:rFonts w:cstheme="minorHAnsi"/>
          <w:b/>
          <w:sz w:val="24"/>
          <w:szCs w:val="24"/>
        </w:rPr>
        <w:lastRenderedPageBreak/>
        <w:t>Table 1: Inclusion and e</w:t>
      </w:r>
      <w:r w:rsidR="00381EBA">
        <w:rPr>
          <w:rFonts w:cstheme="minorHAnsi"/>
          <w:b/>
          <w:sz w:val="24"/>
          <w:szCs w:val="24"/>
        </w:rPr>
        <w:t>x</w:t>
      </w:r>
      <w:r w:rsidRPr="00435E9A">
        <w:rPr>
          <w:rFonts w:cstheme="minorHAnsi"/>
          <w:b/>
          <w:sz w:val="24"/>
          <w:szCs w:val="24"/>
        </w:rPr>
        <w:t>clusion criteria</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7"/>
        <w:gridCol w:w="2894"/>
        <w:gridCol w:w="3565"/>
      </w:tblGrid>
      <w:tr w:rsidR="002E0B5D" w:rsidRPr="00435E9A" w14:paraId="33323772" w14:textId="77777777" w:rsidTr="00771B9F">
        <w:tc>
          <w:tcPr>
            <w:tcW w:w="2557" w:type="dxa"/>
          </w:tcPr>
          <w:p w14:paraId="02F62A65" w14:textId="77777777" w:rsidR="002E0B5D" w:rsidRPr="00435E9A" w:rsidRDefault="002E0B5D" w:rsidP="00771B9F">
            <w:pPr>
              <w:rPr>
                <w:rFonts w:cstheme="minorHAnsi"/>
                <w:b/>
              </w:rPr>
            </w:pPr>
            <w:r w:rsidRPr="00435E9A">
              <w:rPr>
                <w:rFonts w:cstheme="minorHAnsi"/>
                <w:b/>
              </w:rPr>
              <w:t>Criteria</w:t>
            </w:r>
          </w:p>
        </w:tc>
        <w:tc>
          <w:tcPr>
            <w:tcW w:w="2894" w:type="dxa"/>
          </w:tcPr>
          <w:p w14:paraId="38C50B48" w14:textId="77777777" w:rsidR="002E0B5D" w:rsidRPr="00435E9A" w:rsidRDefault="002E0B5D" w:rsidP="00771B9F">
            <w:pPr>
              <w:rPr>
                <w:rFonts w:cstheme="minorHAnsi"/>
                <w:b/>
              </w:rPr>
            </w:pPr>
            <w:r w:rsidRPr="00435E9A">
              <w:rPr>
                <w:rFonts w:cstheme="minorHAnsi"/>
                <w:b/>
              </w:rPr>
              <w:t xml:space="preserve">Inclusion </w:t>
            </w:r>
          </w:p>
        </w:tc>
        <w:tc>
          <w:tcPr>
            <w:tcW w:w="3565" w:type="dxa"/>
          </w:tcPr>
          <w:p w14:paraId="7A4E9189" w14:textId="77777777" w:rsidR="002E0B5D" w:rsidRPr="00435E9A" w:rsidRDefault="002E0B5D" w:rsidP="00771B9F">
            <w:pPr>
              <w:rPr>
                <w:rFonts w:cstheme="minorHAnsi"/>
                <w:b/>
              </w:rPr>
            </w:pPr>
            <w:r w:rsidRPr="00435E9A">
              <w:rPr>
                <w:rFonts w:cstheme="minorHAnsi"/>
                <w:b/>
              </w:rPr>
              <w:t xml:space="preserve">Exclusion </w:t>
            </w:r>
          </w:p>
        </w:tc>
      </w:tr>
      <w:tr w:rsidR="002E0B5D" w:rsidRPr="00435E9A" w14:paraId="6DFD8028" w14:textId="77777777" w:rsidTr="0029012E">
        <w:tc>
          <w:tcPr>
            <w:tcW w:w="2557" w:type="dxa"/>
            <w:tcBorders>
              <w:bottom w:val="nil"/>
            </w:tcBorders>
          </w:tcPr>
          <w:p w14:paraId="2885E1DD" w14:textId="77777777" w:rsidR="002E0B5D" w:rsidRPr="00435E9A" w:rsidRDefault="002E0B5D" w:rsidP="00771B9F">
            <w:pPr>
              <w:rPr>
                <w:rFonts w:cstheme="minorHAnsi"/>
              </w:rPr>
            </w:pPr>
            <w:r w:rsidRPr="00435E9A">
              <w:rPr>
                <w:rFonts w:cstheme="minorHAnsi"/>
              </w:rPr>
              <w:t>Publication year</w:t>
            </w:r>
          </w:p>
        </w:tc>
        <w:tc>
          <w:tcPr>
            <w:tcW w:w="2894" w:type="dxa"/>
            <w:tcBorders>
              <w:bottom w:val="nil"/>
            </w:tcBorders>
          </w:tcPr>
          <w:p w14:paraId="6D2F5970" w14:textId="77777777" w:rsidR="002E0B5D" w:rsidRDefault="002E0B5D" w:rsidP="00771B9F">
            <w:pPr>
              <w:pStyle w:val="ListParagraph"/>
              <w:numPr>
                <w:ilvl w:val="0"/>
                <w:numId w:val="14"/>
              </w:numPr>
              <w:rPr>
                <w:rFonts w:cstheme="minorHAnsi"/>
              </w:rPr>
            </w:pPr>
            <w:r w:rsidRPr="00435E9A">
              <w:rPr>
                <w:rFonts w:cstheme="minorHAnsi"/>
              </w:rPr>
              <w:t>2000 to 2020</w:t>
            </w:r>
          </w:p>
          <w:p w14:paraId="33369FC5" w14:textId="0729E47E" w:rsidR="00DB7018" w:rsidRPr="00DB7018" w:rsidRDefault="00DB7018" w:rsidP="00DB7018">
            <w:pPr>
              <w:rPr>
                <w:rFonts w:cstheme="minorHAnsi"/>
              </w:rPr>
            </w:pPr>
          </w:p>
        </w:tc>
        <w:tc>
          <w:tcPr>
            <w:tcW w:w="3565" w:type="dxa"/>
            <w:tcBorders>
              <w:bottom w:val="nil"/>
            </w:tcBorders>
          </w:tcPr>
          <w:p w14:paraId="519C2327" w14:textId="77777777" w:rsidR="002E0B5D" w:rsidRPr="00435E9A" w:rsidRDefault="002E0B5D" w:rsidP="00771B9F">
            <w:pPr>
              <w:pStyle w:val="ListParagraph"/>
              <w:numPr>
                <w:ilvl w:val="0"/>
                <w:numId w:val="15"/>
              </w:numPr>
              <w:rPr>
                <w:rFonts w:cstheme="minorHAnsi"/>
              </w:rPr>
            </w:pPr>
            <w:r w:rsidRPr="00435E9A">
              <w:rPr>
                <w:rFonts w:cstheme="minorHAnsi"/>
              </w:rPr>
              <w:t>Published pre-2000</w:t>
            </w:r>
          </w:p>
        </w:tc>
      </w:tr>
      <w:tr w:rsidR="002E0B5D" w:rsidRPr="00435E9A" w14:paraId="122AB627" w14:textId="77777777" w:rsidTr="0029012E">
        <w:tc>
          <w:tcPr>
            <w:tcW w:w="2557" w:type="dxa"/>
            <w:tcBorders>
              <w:top w:val="nil"/>
              <w:bottom w:val="nil"/>
            </w:tcBorders>
          </w:tcPr>
          <w:p w14:paraId="312A7B70" w14:textId="77777777" w:rsidR="002E0B5D" w:rsidRPr="00435E9A" w:rsidRDefault="002E0B5D" w:rsidP="00771B9F">
            <w:pPr>
              <w:rPr>
                <w:rFonts w:cstheme="minorHAnsi"/>
              </w:rPr>
            </w:pPr>
            <w:r w:rsidRPr="00435E9A">
              <w:rPr>
                <w:rFonts w:cstheme="minorHAnsi"/>
              </w:rPr>
              <w:t>Publication type</w:t>
            </w:r>
          </w:p>
        </w:tc>
        <w:tc>
          <w:tcPr>
            <w:tcW w:w="2894" w:type="dxa"/>
            <w:tcBorders>
              <w:top w:val="nil"/>
              <w:bottom w:val="nil"/>
            </w:tcBorders>
          </w:tcPr>
          <w:p w14:paraId="45CE49BC" w14:textId="77777777" w:rsidR="002E0B5D" w:rsidRPr="00435E9A" w:rsidRDefault="002E0B5D" w:rsidP="00771B9F">
            <w:pPr>
              <w:pStyle w:val="ListParagraph"/>
              <w:numPr>
                <w:ilvl w:val="0"/>
                <w:numId w:val="14"/>
              </w:numPr>
              <w:rPr>
                <w:rFonts w:cstheme="minorHAnsi"/>
              </w:rPr>
            </w:pPr>
            <w:r w:rsidRPr="00435E9A">
              <w:rPr>
                <w:rFonts w:cstheme="minorHAnsi"/>
              </w:rPr>
              <w:t>Peer reviewed journal papers</w:t>
            </w:r>
          </w:p>
          <w:p w14:paraId="7E08850A" w14:textId="77777777" w:rsidR="002E0B5D" w:rsidRDefault="002E0B5D" w:rsidP="00771B9F">
            <w:pPr>
              <w:pStyle w:val="ListParagraph"/>
              <w:numPr>
                <w:ilvl w:val="0"/>
                <w:numId w:val="14"/>
              </w:numPr>
              <w:rPr>
                <w:rFonts w:cstheme="minorHAnsi"/>
              </w:rPr>
            </w:pPr>
            <w:r w:rsidRPr="00435E9A">
              <w:rPr>
                <w:rFonts w:cstheme="minorHAnsi"/>
              </w:rPr>
              <w:t>Grey literature e.g.</w:t>
            </w:r>
            <w:r w:rsidR="00570EF3">
              <w:rPr>
                <w:rFonts w:cstheme="minorHAnsi"/>
              </w:rPr>
              <w:t xml:space="preserve"> </w:t>
            </w:r>
            <w:r w:rsidRPr="00435E9A">
              <w:rPr>
                <w:rFonts w:cstheme="minorHAnsi"/>
              </w:rPr>
              <w:t>research reports from academic units</w:t>
            </w:r>
          </w:p>
          <w:p w14:paraId="15EF872B" w14:textId="159B3337" w:rsidR="00DB7018" w:rsidRPr="00DB7018" w:rsidRDefault="00DB7018" w:rsidP="00DB7018">
            <w:pPr>
              <w:rPr>
                <w:rFonts w:cstheme="minorHAnsi"/>
              </w:rPr>
            </w:pPr>
          </w:p>
        </w:tc>
        <w:tc>
          <w:tcPr>
            <w:tcW w:w="3565" w:type="dxa"/>
            <w:tcBorders>
              <w:top w:val="nil"/>
              <w:bottom w:val="nil"/>
            </w:tcBorders>
          </w:tcPr>
          <w:p w14:paraId="2121363E" w14:textId="284DCD5E" w:rsidR="002E0B5D" w:rsidRPr="00435E9A" w:rsidRDefault="002E0B5D" w:rsidP="00771B9F">
            <w:pPr>
              <w:pStyle w:val="ListParagraph"/>
              <w:numPr>
                <w:ilvl w:val="0"/>
                <w:numId w:val="15"/>
              </w:numPr>
              <w:rPr>
                <w:rFonts w:cstheme="minorHAnsi"/>
              </w:rPr>
            </w:pPr>
            <w:r w:rsidRPr="00435E9A">
              <w:rPr>
                <w:rFonts w:cstheme="minorHAnsi"/>
              </w:rPr>
              <w:t>Other grey literature e.g. theses and conference proc</w:t>
            </w:r>
            <w:r w:rsidR="00570EF3">
              <w:rPr>
                <w:rFonts w:cstheme="minorHAnsi"/>
              </w:rPr>
              <w:t>e</w:t>
            </w:r>
            <w:r w:rsidRPr="00435E9A">
              <w:rPr>
                <w:rFonts w:cstheme="minorHAnsi"/>
              </w:rPr>
              <w:t>edings</w:t>
            </w:r>
          </w:p>
        </w:tc>
      </w:tr>
      <w:tr w:rsidR="002E0B5D" w:rsidRPr="00435E9A" w14:paraId="68063A26" w14:textId="77777777" w:rsidTr="0029012E">
        <w:tc>
          <w:tcPr>
            <w:tcW w:w="2557" w:type="dxa"/>
            <w:tcBorders>
              <w:top w:val="nil"/>
              <w:bottom w:val="nil"/>
            </w:tcBorders>
          </w:tcPr>
          <w:p w14:paraId="0B9AB08A" w14:textId="77777777" w:rsidR="002E0B5D" w:rsidRPr="00435E9A" w:rsidRDefault="002E0B5D" w:rsidP="00771B9F">
            <w:pPr>
              <w:rPr>
                <w:rFonts w:cstheme="minorHAnsi"/>
              </w:rPr>
            </w:pPr>
            <w:r w:rsidRPr="00435E9A">
              <w:rPr>
                <w:rFonts w:cstheme="minorHAnsi"/>
              </w:rPr>
              <w:t>Type of article</w:t>
            </w:r>
          </w:p>
        </w:tc>
        <w:tc>
          <w:tcPr>
            <w:tcW w:w="2894" w:type="dxa"/>
            <w:tcBorders>
              <w:top w:val="nil"/>
              <w:bottom w:val="nil"/>
            </w:tcBorders>
          </w:tcPr>
          <w:p w14:paraId="487364B7" w14:textId="616AAA00" w:rsidR="002E0B5D" w:rsidRPr="00435E9A" w:rsidRDefault="002E0B5D" w:rsidP="00771B9F">
            <w:pPr>
              <w:pStyle w:val="ListParagraph"/>
              <w:numPr>
                <w:ilvl w:val="0"/>
                <w:numId w:val="14"/>
              </w:numPr>
              <w:rPr>
                <w:rFonts w:cstheme="minorHAnsi"/>
              </w:rPr>
            </w:pPr>
            <w:r w:rsidRPr="00435E9A">
              <w:rPr>
                <w:rFonts w:cstheme="minorHAnsi"/>
              </w:rPr>
              <w:t xml:space="preserve">Empirical research </w:t>
            </w:r>
          </w:p>
          <w:p w14:paraId="18642AE7" w14:textId="77777777" w:rsidR="002E0B5D" w:rsidRDefault="002E0B5D" w:rsidP="00771B9F">
            <w:pPr>
              <w:pStyle w:val="ListParagraph"/>
              <w:numPr>
                <w:ilvl w:val="0"/>
                <w:numId w:val="14"/>
              </w:numPr>
              <w:rPr>
                <w:rFonts w:cstheme="minorHAnsi"/>
              </w:rPr>
            </w:pPr>
            <w:r w:rsidRPr="00435E9A">
              <w:rPr>
                <w:rFonts w:cstheme="minorHAnsi"/>
              </w:rPr>
              <w:t>Reviews of empiri</w:t>
            </w:r>
            <w:r w:rsidR="00570EF3">
              <w:rPr>
                <w:rFonts w:cstheme="minorHAnsi"/>
              </w:rPr>
              <w:t>c</w:t>
            </w:r>
            <w:r w:rsidRPr="00435E9A">
              <w:rPr>
                <w:rFonts w:cstheme="minorHAnsi"/>
              </w:rPr>
              <w:t>al research</w:t>
            </w:r>
          </w:p>
          <w:p w14:paraId="0DEB9E5E" w14:textId="002EA45D" w:rsidR="00DB7018" w:rsidRPr="00DB7018" w:rsidRDefault="00DB7018" w:rsidP="00DB7018">
            <w:pPr>
              <w:rPr>
                <w:rFonts w:cstheme="minorHAnsi"/>
              </w:rPr>
            </w:pPr>
          </w:p>
        </w:tc>
        <w:tc>
          <w:tcPr>
            <w:tcW w:w="3565" w:type="dxa"/>
            <w:tcBorders>
              <w:top w:val="nil"/>
              <w:bottom w:val="nil"/>
            </w:tcBorders>
          </w:tcPr>
          <w:p w14:paraId="2327467B" w14:textId="65E046F0" w:rsidR="002E0B5D" w:rsidRDefault="002E0B5D" w:rsidP="00771B9F">
            <w:pPr>
              <w:pStyle w:val="ListParagraph"/>
              <w:numPr>
                <w:ilvl w:val="0"/>
                <w:numId w:val="15"/>
              </w:numPr>
              <w:rPr>
                <w:rFonts w:cstheme="minorHAnsi"/>
              </w:rPr>
            </w:pPr>
            <w:r w:rsidRPr="00435E9A">
              <w:rPr>
                <w:rFonts w:cstheme="minorHAnsi"/>
              </w:rPr>
              <w:t>Policy papers or opinion pieces</w:t>
            </w:r>
          </w:p>
          <w:p w14:paraId="680E61F1" w14:textId="4806CAF2" w:rsidR="00570EF3" w:rsidRPr="00435E9A" w:rsidRDefault="00570EF3" w:rsidP="00771B9F">
            <w:pPr>
              <w:pStyle w:val="ListParagraph"/>
              <w:numPr>
                <w:ilvl w:val="0"/>
                <w:numId w:val="15"/>
              </w:numPr>
              <w:rPr>
                <w:rFonts w:cstheme="minorHAnsi"/>
              </w:rPr>
            </w:pPr>
            <w:r>
              <w:rPr>
                <w:rFonts w:cstheme="minorHAnsi"/>
              </w:rPr>
              <w:t>Theoretical papers</w:t>
            </w:r>
          </w:p>
          <w:p w14:paraId="34C7975A" w14:textId="77777777" w:rsidR="002E0B5D" w:rsidRPr="00435E9A" w:rsidRDefault="002E0B5D" w:rsidP="00771B9F">
            <w:pPr>
              <w:rPr>
                <w:rFonts w:cstheme="minorHAnsi"/>
              </w:rPr>
            </w:pPr>
          </w:p>
        </w:tc>
      </w:tr>
      <w:tr w:rsidR="002E0B5D" w:rsidRPr="00435E9A" w14:paraId="53319DFB" w14:textId="77777777" w:rsidTr="0029012E">
        <w:tc>
          <w:tcPr>
            <w:tcW w:w="2557" w:type="dxa"/>
            <w:tcBorders>
              <w:top w:val="nil"/>
              <w:bottom w:val="nil"/>
            </w:tcBorders>
          </w:tcPr>
          <w:p w14:paraId="51F1B791" w14:textId="77777777" w:rsidR="002E0B5D" w:rsidRPr="00435E9A" w:rsidRDefault="002E0B5D" w:rsidP="00771B9F">
            <w:pPr>
              <w:rPr>
                <w:rFonts w:cstheme="minorHAnsi"/>
              </w:rPr>
            </w:pPr>
            <w:r w:rsidRPr="00435E9A">
              <w:rPr>
                <w:rFonts w:cstheme="minorHAnsi"/>
              </w:rPr>
              <w:t>Location</w:t>
            </w:r>
          </w:p>
        </w:tc>
        <w:tc>
          <w:tcPr>
            <w:tcW w:w="2894" w:type="dxa"/>
            <w:tcBorders>
              <w:top w:val="nil"/>
              <w:bottom w:val="nil"/>
            </w:tcBorders>
          </w:tcPr>
          <w:p w14:paraId="7EDCD8BE" w14:textId="77777777" w:rsidR="002E0B5D" w:rsidRDefault="002E0B5D" w:rsidP="00771B9F">
            <w:pPr>
              <w:pStyle w:val="ListParagraph"/>
              <w:numPr>
                <w:ilvl w:val="0"/>
                <w:numId w:val="14"/>
              </w:numPr>
              <w:rPr>
                <w:rFonts w:cstheme="minorHAnsi"/>
              </w:rPr>
            </w:pPr>
            <w:r w:rsidRPr="00435E9A">
              <w:rPr>
                <w:rFonts w:cstheme="minorHAnsi"/>
              </w:rPr>
              <w:t>Data from any country</w:t>
            </w:r>
          </w:p>
          <w:p w14:paraId="411C27DE" w14:textId="17BE695D" w:rsidR="00DB7018" w:rsidRPr="00DB7018" w:rsidRDefault="00DB7018" w:rsidP="00DB7018">
            <w:pPr>
              <w:rPr>
                <w:rFonts w:cstheme="minorHAnsi"/>
              </w:rPr>
            </w:pPr>
          </w:p>
        </w:tc>
        <w:tc>
          <w:tcPr>
            <w:tcW w:w="3565" w:type="dxa"/>
            <w:tcBorders>
              <w:top w:val="nil"/>
              <w:bottom w:val="nil"/>
            </w:tcBorders>
          </w:tcPr>
          <w:p w14:paraId="70324297" w14:textId="77777777" w:rsidR="002E0B5D" w:rsidRPr="00435E9A" w:rsidRDefault="002E0B5D" w:rsidP="00771B9F">
            <w:pPr>
              <w:pStyle w:val="ListParagraph"/>
              <w:numPr>
                <w:ilvl w:val="0"/>
                <w:numId w:val="15"/>
              </w:numPr>
              <w:rPr>
                <w:rFonts w:cstheme="minorHAnsi"/>
              </w:rPr>
            </w:pPr>
            <w:r w:rsidRPr="00435E9A">
              <w:rPr>
                <w:rFonts w:cstheme="minorHAnsi"/>
              </w:rPr>
              <w:t>None</w:t>
            </w:r>
          </w:p>
        </w:tc>
      </w:tr>
      <w:tr w:rsidR="002E0B5D" w:rsidRPr="00435E9A" w14:paraId="5BB05EBD" w14:textId="77777777" w:rsidTr="0029012E">
        <w:tc>
          <w:tcPr>
            <w:tcW w:w="2557" w:type="dxa"/>
            <w:tcBorders>
              <w:top w:val="nil"/>
              <w:bottom w:val="nil"/>
            </w:tcBorders>
          </w:tcPr>
          <w:p w14:paraId="31867B3A" w14:textId="77777777" w:rsidR="002E0B5D" w:rsidRPr="00435E9A" w:rsidRDefault="002E0B5D" w:rsidP="00771B9F">
            <w:pPr>
              <w:rPr>
                <w:rFonts w:cstheme="minorHAnsi"/>
              </w:rPr>
            </w:pPr>
            <w:r w:rsidRPr="00435E9A">
              <w:rPr>
                <w:rFonts w:cstheme="minorHAnsi"/>
              </w:rPr>
              <w:t>Publication language</w:t>
            </w:r>
          </w:p>
        </w:tc>
        <w:tc>
          <w:tcPr>
            <w:tcW w:w="2894" w:type="dxa"/>
            <w:tcBorders>
              <w:top w:val="nil"/>
              <w:bottom w:val="nil"/>
            </w:tcBorders>
          </w:tcPr>
          <w:p w14:paraId="5C8B905E" w14:textId="77777777" w:rsidR="002E0B5D" w:rsidRDefault="002E0B5D" w:rsidP="00771B9F">
            <w:pPr>
              <w:pStyle w:val="ListParagraph"/>
              <w:numPr>
                <w:ilvl w:val="0"/>
                <w:numId w:val="14"/>
              </w:numPr>
              <w:rPr>
                <w:rFonts w:cstheme="minorHAnsi"/>
              </w:rPr>
            </w:pPr>
            <w:r w:rsidRPr="00435E9A">
              <w:rPr>
                <w:rFonts w:cstheme="minorHAnsi"/>
              </w:rPr>
              <w:t>English</w:t>
            </w:r>
          </w:p>
          <w:p w14:paraId="0F324022" w14:textId="2591919A" w:rsidR="00DB7018" w:rsidRPr="00DB7018" w:rsidRDefault="00DB7018" w:rsidP="00DB7018">
            <w:pPr>
              <w:rPr>
                <w:rFonts w:cstheme="minorHAnsi"/>
              </w:rPr>
            </w:pPr>
          </w:p>
        </w:tc>
        <w:tc>
          <w:tcPr>
            <w:tcW w:w="3565" w:type="dxa"/>
            <w:tcBorders>
              <w:top w:val="nil"/>
              <w:bottom w:val="nil"/>
            </w:tcBorders>
          </w:tcPr>
          <w:p w14:paraId="15D30696" w14:textId="77777777" w:rsidR="002E0B5D" w:rsidRPr="00435E9A" w:rsidRDefault="002E0B5D" w:rsidP="00771B9F">
            <w:pPr>
              <w:pStyle w:val="ListParagraph"/>
              <w:numPr>
                <w:ilvl w:val="0"/>
                <w:numId w:val="15"/>
              </w:numPr>
              <w:rPr>
                <w:rFonts w:cstheme="minorHAnsi"/>
              </w:rPr>
            </w:pPr>
            <w:r w:rsidRPr="00435E9A">
              <w:rPr>
                <w:rFonts w:cstheme="minorHAnsi"/>
              </w:rPr>
              <w:t>Languages other than English</w:t>
            </w:r>
          </w:p>
        </w:tc>
      </w:tr>
      <w:tr w:rsidR="002E0B5D" w:rsidRPr="00435E9A" w14:paraId="208F4CE6" w14:textId="77777777" w:rsidTr="0029012E">
        <w:tc>
          <w:tcPr>
            <w:tcW w:w="2557" w:type="dxa"/>
            <w:tcBorders>
              <w:top w:val="nil"/>
              <w:bottom w:val="nil"/>
            </w:tcBorders>
          </w:tcPr>
          <w:p w14:paraId="182F65FC" w14:textId="77777777" w:rsidR="002E0B5D" w:rsidRPr="00435E9A" w:rsidRDefault="002E0B5D" w:rsidP="00771B9F">
            <w:pPr>
              <w:rPr>
                <w:rFonts w:cstheme="minorHAnsi"/>
              </w:rPr>
            </w:pPr>
            <w:r w:rsidRPr="00435E9A">
              <w:rPr>
                <w:rFonts w:cstheme="minorHAnsi"/>
              </w:rPr>
              <w:t>Population group</w:t>
            </w:r>
          </w:p>
        </w:tc>
        <w:tc>
          <w:tcPr>
            <w:tcW w:w="2894" w:type="dxa"/>
            <w:tcBorders>
              <w:top w:val="nil"/>
              <w:bottom w:val="nil"/>
            </w:tcBorders>
          </w:tcPr>
          <w:p w14:paraId="43F3851A" w14:textId="77777777" w:rsidR="002E0B5D" w:rsidRDefault="002E0B5D" w:rsidP="00771B9F">
            <w:pPr>
              <w:pStyle w:val="ListParagraph"/>
              <w:numPr>
                <w:ilvl w:val="0"/>
                <w:numId w:val="14"/>
              </w:numPr>
              <w:rPr>
                <w:rFonts w:cstheme="minorHAnsi"/>
              </w:rPr>
            </w:pPr>
            <w:r w:rsidRPr="00435E9A">
              <w:rPr>
                <w:rFonts w:cstheme="minorHAnsi"/>
              </w:rPr>
              <w:t>People aged 18 or over</w:t>
            </w:r>
          </w:p>
          <w:p w14:paraId="6D68288B" w14:textId="6BFF808D" w:rsidR="00DB7018" w:rsidRPr="00DB7018" w:rsidRDefault="00DB7018" w:rsidP="00DB7018">
            <w:pPr>
              <w:rPr>
                <w:rFonts w:cstheme="minorHAnsi"/>
              </w:rPr>
            </w:pPr>
          </w:p>
        </w:tc>
        <w:tc>
          <w:tcPr>
            <w:tcW w:w="3565" w:type="dxa"/>
            <w:tcBorders>
              <w:top w:val="nil"/>
              <w:bottom w:val="nil"/>
            </w:tcBorders>
          </w:tcPr>
          <w:p w14:paraId="4FE85EF2" w14:textId="77777777" w:rsidR="002E0B5D" w:rsidRPr="00435E9A" w:rsidRDefault="002E0B5D" w:rsidP="00771B9F">
            <w:pPr>
              <w:pStyle w:val="ListParagraph"/>
              <w:numPr>
                <w:ilvl w:val="0"/>
                <w:numId w:val="15"/>
              </w:numPr>
              <w:rPr>
                <w:rFonts w:cstheme="minorHAnsi"/>
              </w:rPr>
            </w:pPr>
            <w:r w:rsidRPr="00435E9A">
              <w:rPr>
                <w:rFonts w:cstheme="minorHAnsi"/>
              </w:rPr>
              <w:t>Focus on children only</w:t>
            </w:r>
          </w:p>
        </w:tc>
      </w:tr>
      <w:tr w:rsidR="002E0B5D" w:rsidRPr="00435E9A" w14:paraId="14C6B2C0" w14:textId="77777777" w:rsidTr="0029012E">
        <w:tc>
          <w:tcPr>
            <w:tcW w:w="2557" w:type="dxa"/>
            <w:tcBorders>
              <w:top w:val="nil"/>
            </w:tcBorders>
          </w:tcPr>
          <w:p w14:paraId="3485C502" w14:textId="77777777" w:rsidR="002E0B5D" w:rsidRPr="00435E9A" w:rsidRDefault="002E0B5D" w:rsidP="00771B9F">
            <w:pPr>
              <w:rPr>
                <w:rFonts w:cstheme="minorHAnsi"/>
              </w:rPr>
            </w:pPr>
            <w:r w:rsidRPr="00435E9A">
              <w:rPr>
                <w:rFonts w:cstheme="minorHAnsi"/>
              </w:rPr>
              <w:t>Subject of evidence</w:t>
            </w:r>
          </w:p>
        </w:tc>
        <w:tc>
          <w:tcPr>
            <w:tcW w:w="2894" w:type="dxa"/>
            <w:tcBorders>
              <w:top w:val="nil"/>
            </w:tcBorders>
          </w:tcPr>
          <w:p w14:paraId="5C598F1B" w14:textId="3A829B18" w:rsidR="002E0B5D" w:rsidRPr="00435E9A" w:rsidRDefault="002E0B5D" w:rsidP="00771B9F">
            <w:pPr>
              <w:pStyle w:val="ListParagraph"/>
              <w:numPr>
                <w:ilvl w:val="0"/>
                <w:numId w:val="12"/>
              </w:numPr>
              <w:rPr>
                <w:rFonts w:cstheme="minorHAnsi"/>
              </w:rPr>
            </w:pPr>
            <w:r w:rsidRPr="00435E9A">
              <w:rPr>
                <w:rFonts w:cstheme="minorHAnsi"/>
              </w:rPr>
              <w:t>Decision aids in adult social care</w:t>
            </w:r>
            <w:r w:rsidR="00570EF3">
              <w:rPr>
                <w:rFonts w:cstheme="minorHAnsi"/>
              </w:rPr>
              <w:t>/long-term care, including planning for and understanding</w:t>
            </w:r>
            <w:r w:rsidR="00570EF3" w:rsidRPr="00435E9A" w:rsidDel="00570EF3">
              <w:rPr>
                <w:rFonts w:cstheme="minorHAnsi"/>
              </w:rPr>
              <w:t xml:space="preserve"> </w:t>
            </w:r>
            <w:r w:rsidRPr="00435E9A">
              <w:rPr>
                <w:rFonts w:cstheme="minorHAnsi"/>
              </w:rPr>
              <w:t>finances, care needs, type</w:t>
            </w:r>
            <w:r w:rsidR="00570EF3">
              <w:rPr>
                <w:rFonts w:cstheme="minorHAnsi"/>
              </w:rPr>
              <w:t xml:space="preserve">, </w:t>
            </w:r>
            <w:r w:rsidRPr="00435E9A">
              <w:rPr>
                <w:rFonts w:cstheme="minorHAnsi"/>
              </w:rPr>
              <w:t>quality</w:t>
            </w:r>
            <w:r w:rsidR="00570EF3">
              <w:rPr>
                <w:rFonts w:cstheme="minorHAnsi"/>
              </w:rPr>
              <w:t xml:space="preserve"> or </w:t>
            </w:r>
            <w:r w:rsidRPr="00435E9A">
              <w:rPr>
                <w:rFonts w:cstheme="minorHAnsi"/>
              </w:rPr>
              <w:t>location of care</w:t>
            </w:r>
          </w:p>
        </w:tc>
        <w:tc>
          <w:tcPr>
            <w:tcW w:w="3565" w:type="dxa"/>
            <w:tcBorders>
              <w:top w:val="nil"/>
            </w:tcBorders>
          </w:tcPr>
          <w:p w14:paraId="72D3E947" w14:textId="77777777" w:rsidR="002E0B5D" w:rsidRPr="00435E9A" w:rsidRDefault="002E0B5D" w:rsidP="00771B9F">
            <w:pPr>
              <w:pStyle w:val="ListParagraph"/>
              <w:numPr>
                <w:ilvl w:val="0"/>
                <w:numId w:val="11"/>
              </w:numPr>
              <w:rPr>
                <w:rFonts w:cstheme="minorHAnsi"/>
              </w:rPr>
            </w:pPr>
            <w:r w:rsidRPr="00435E9A">
              <w:rPr>
                <w:rFonts w:cstheme="minorHAnsi"/>
              </w:rPr>
              <w:t>Decision aids with focus on:</w:t>
            </w:r>
          </w:p>
          <w:p w14:paraId="46A94D44" w14:textId="77777777" w:rsidR="002E0B5D" w:rsidRPr="00435E9A" w:rsidRDefault="002E0B5D" w:rsidP="00771B9F">
            <w:pPr>
              <w:pStyle w:val="ListParagraph"/>
              <w:numPr>
                <w:ilvl w:val="0"/>
                <w:numId w:val="13"/>
              </w:numPr>
              <w:rPr>
                <w:rFonts w:cstheme="minorHAnsi"/>
              </w:rPr>
            </w:pPr>
            <w:r w:rsidRPr="00435E9A">
              <w:rPr>
                <w:rFonts w:cstheme="minorHAnsi"/>
              </w:rPr>
              <w:t>health care/services or medical conditions</w:t>
            </w:r>
          </w:p>
          <w:p w14:paraId="680608EF" w14:textId="77777777" w:rsidR="002E0B5D" w:rsidRPr="00435E9A" w:rsidRDefault="002E0B5D" w:rsidP="00771B9F">
            <w:pPr>
              <w:pStyle w:val="ListParagraph"/>
              <w:numPr>
                <w:ilvl w:val="0"/>
                <w:numId w:val="13"/>
              </w:numPr>
              <w:rPr>
                <w:rFonts w:cstheme="minorHAnsi"/>
              </w:rPr>
            </w:pPr>
            <w:r w:rsidRPr="00435E9A">
              <w:rPr>
                <w:rFonts w:cstheme="minorHAnsi"/>
              </w:rPr>
              <w:t>housing/homelessness</w:t>
            </w:r>
          </w:p>
          <w:p w14:paraId="4A91B3DB" w14:textId="77777777" w:rsidR="002E0B5D" w:rsidRPr="00435E9A" w:rsidRDefault="002E0B5D" w:rsidP="00771B9F">
            <w:pPr>
              <w:pStyle w:val="ListParagraph"/>
              <w:numPr>
                <w:ilvl w:val="0"/>
                <w:numId w:val="13"/>
              </w:numPr>
              <w:rPr>
                <w:rFonts w:cstheme="minorHAnsi"/>
              </w:rPr>
            </w:pPr>
            <w:r w:rsidRPr="00435E9A">
              <w:rPr>
                <w:rFonts w:cstheme="minorHAnsi"/>
              </w:rPr>
              <w:t>welfare/benefit/employment schemes</w:t>
            </w:r>
          </w:p>
          <w:p w14:paraId="52ADBC23" w14:textId="77777777" w:rsidR="002E0B5D" w:rsidRPr="00435E9A" w:rsidRDefault="002E0B5D" w:rsidP="00771B9F">
            <w:pPr>
              <w:pStyle w:val="ListParagraph"/>
              <w:numPr>
                <w:ilvl w:val="0"/>
                <w:numId w:val="13"/>
              </w:numPr>
              <w:rPr>
                <w:rFonts w:cstheme="minorHAnsi"/>
              </w:rPr>
            </w:pPr>
            <w:r w:rsidRPr="00435E9A">
              <w:rPr>
                <w:rFonts w:cstheme="minorHAnsi"/>
              </w:rPr>
              <w:t>‘big data’/system-level data</w:t>
            </w:r>
          </w:p>
          <w:p w14:paraId="6E1773E9" w14:textId="77777777" w:rsidR="002E0B5D" w:rsidRPr="00435E9A" w:rsidRDefault="002E0B5D" w:rsidP="00771B9F">
            <w:pPr>
              <w:pStyle w:val="ListParagraph"/>
              <w:numPr>
                <w:ilvl w:val="0"/>
                <w:numId w:val="11"/>
              </w:numPr>
              <w:rPr>
                <w:rFonts w:cstheme="minorHAnsi"/>
              </w:rPr>
            </w:pPr>
            <w:r w:rsidRPr="00435E9A">
              <w:rPr>
                <w:rFonts w:cstheme="minorHAnsi"/>
              </w:rPr>
              <w:t>Decision aids for predicting eligibility for care or reducing variation in professionals’ decisions</w:t>
            </w:r>
          </w:p>
        </w:tc>
      </w:tr>
    </w:tbl>
    <w:p w14:paraId="25C42207" w14:textId="77777777" w:rsidR="002E0B5D" w:rsidRPr="00435E9A" w:rsidRDefault="002E0B5D" w:rsidP="00771B9F">
      <w:pPr>
        <w:spacing w:after="120" w:line="276" w:lineRule="auto"/>
        <w:rPr>
          <w:rFonts w:cstheme="minorHAnsi"/>
          <w:sz w:val="24"/>
          <w:szCs w:val="24"/>
        </w:rPr>
      </w:pPr>
    </w:p>
    <w:p w14:paraId="705A3BCF" w14:textId="77777777" w:rsidR="002E0B5D" w:rsidRDefault="002E0B5D">
      <w:pPr>
        <w:rPr>
          <w:rFonts w:cstheme="minorHAnsi"/>
          <w:b/>
          <w:sz w:val="24"/>
          <w:szCs w:val="24"/>
          <w:highlight w:val="yellow"/>
        </w:rPr>
      </w:pPr>
      <w:r>
        <w:rPr>
          <w:rFonts w:cstheme="minorHAnsi"/>
          <w:b/>
          <w:sz w:val="24"/>
          <w:szCs w:val="24"/>
          <w:highlight w:val="yellow"/>
        </w:rPr>
        <w:br w:type="page"/>
      </w:r>
    </w:p>
    <w:p w14:paraId="50B56929" w14:textId="77777777" w:rsidR="002E0B5D" w:rsidRPr="00030F57" w:rsidRDefault="002E0B5D">
      <w:pPr>
        <w:rPr>
          <w:rFonts w:cstheme="minorHAnsi"/>
          <w:b/>
          <w:sz w:val="24"/>
          <w:szCs w:val="24"/>
        </w:rPr>
      </w:pPr>
      <w:r w:rsidRPr="00030F57">
        <w:rPr>
          <w:rFonts w:cstheme="minorHAnsi"/>
          <w:b/>
          <w:sz w:val="24"/>
          <w:szCs w:val="24"/>
        </w:rPr>
        <w:lastRenderedPageBreak/>
        <w:t>F</w:t>
      </w:r>
      <w:r>
        <w:rPr>
          <w:rFonts w:cstheme="minorHAnsi"/>
          <w:b/>
          <w:sz w:val="24"/>
          <w:szCs w:val="24"/>
        </w:rPr>
        <w:t>igure 1: F</w:t>
      </w:r>
      <w:r w:rsidRPr="00030F57">
        <w:rPr>
          <w:rFonts w:cstheme="minorHAnsi"/>
          <w:b/>
          <w:sz w:val="24"/>
          <w:szCs w:val="24"/>
        </w:rPr>
        <w:t>lowchart of screening process</w:t>
      </w:r>
    </w:p>
    <w:p w14:paraId="5A903890"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59264" behindDoc="0" locked="0" layoutInCell="1" allowOverlap="1" wp14:anchorId="70C6D517" wp14:editId="16E9D12A">
                <wp:simplePos x="0" y="0"/>
                <wp:positionH relativeFrom="column">
                  <wp:posOffset>1760220</wp:posOffset>
                </wp:positionH>
                <wp:positionV relativeFrom="paragraph">
                  <wp:posOffset>223520</wp:posOffset>
                </wp:positionV>
                <wp:extent cx="1799590" cy="899795"/>
                <wp:effectExtent l="0" t="0" r="10160" b="14605"/>
                <wp:wrapNone/>
                <wp:docPr id="1" name="Text Box 1"/>
                <wp:cNvGraphicFramePr/>
                <a:graphic xmlns:a="http://schemas.openxmlformats.org/drawingml/2006/main">
                  <a:graphicData uri="http://schemas.microsoft.com/office/word/2010/wordprocessingShape">
                    <wps:wsp>
                      <wps:cNvSpPr txBox="1"/>
                      <wps:spPr>
                        <a:xfrm>
                          <a:off x="0" y="0"/>
                          <a:ext cx="1799590" cy="899795"/>
                        </a:xfrm>
                        <a:prstGeom prst="rect">
                          <a:avLst/>
                        </a:prstGeom>
                        <a:solidFill>
                          <a:schemeClr val="lt1"/>
                        </a:solidFill>
                        <a:ln w="6350">
                          <a:solidFill>
                            <a:prstClr val="black"/>
                          </a:solidFill>
                        </a:ln>
                      </wps:spPr>
                      <wps:txbx>
                        <w:txbxContent>
                          <w:p w14:paraId="54706087" w14:textId="2CC16588" w:rsidR="00B004F3" w:rsidRDefault="00B004F3">
                            <w:r>
                              <w:t>Initial database searching</w:t>
                            </w:r>
                          </w:p>
                          <w:p w14:paraId="76340151" w14:textId="4D8E551B" w:rsidR="00B004F3" w:rsidRDefault="00B004F3">
                            <w:r>
                              <w:t>n=26,382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6D517" id="_x0000_t202" coordsize="21600,21600" o:spt="202" path="m,l,21600r21600,l21600,xe">
                <v:stroke joinstyle="miter"/>
                <v:path gradientshapeok="t" o:connecttype="rect"/>
              </v:shapetype>
              <v:shape id="Text Box 1" o:spid="_x0000_s1026" type="#_x0000_t202" style="position:absolute;margin-left:138.6pt;margin-top:17.6pt;width:141.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" fillcolor="white [3201]" strokeweight=".5pt">
                <v:textbox>
                  <w:txbxContent>
                    <w:p w14:paraId="54706087" w14:textId="2CC16588" w:rsidR="00B004F3" w:rsidRDefault="00B004F3">
                      <w:r>
                        <w:t>Initial database searching</w:t>
                      </w:r>
                    </w:p>
                    <w:p w14:paraId="76340151" w14:textId="4D8E551B" w:rsidR="00B004F3" w:rsidRDefault="00B004F3">
                      <w:r>
                        <w:t>n=26,382</w:t>
                      </w:r>
                    </w:p>
                  </w:txbxContent>
                </v:textbox>
              </v:shape>
            </w:pict>
          </mc:Fallback>
        </mc:AlternateContent>
      </w:r>
    </w:p>
    <w:p w14:paraId="69D6D104" w14:textId="77777777" w:rsidR="002E0B5D" w:rsidRDefault="002E0B5D">
      <w:pPr>
        <w:rPr>
          <w:rFonts w:cstheme="minorHAnsi"/>
          <w:b/>
          <w:sz w:val="24"/>
          <w:szCs w:val="24"/>
        </w:rPr>
      </w:pPr>
    </w:p>
    <w:p w14:paraId="711D6516"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3360" behindDoc="0" locked="0" layoutInCell="1" allowOverlap="1" wp14:anchorId="2309EAD6" wp14:editId="4E82DE85">
                <wp:simplePos x="0" y="0"/>
                <wp:positionH relativeFrom="column">
                  <wp:posOffset>3781425</wp:posOffset>
                </wp:positionH>
                <wp:positionV relativeFrom="paragraph">
                  <wp:posOffset>189865</wp:posOffset>
                </wp:positionV>
                <wp:extent cx="1724025" cy="1476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724025" cy="1476375"/>
                        </a:xfrm>
                        <a:prstGeom prst="rect">
                          <a:avLst/>
                        </a:prstGeom>
                        <a:solidFill>
                          <a:schemeClr val="lt1"/>
                        </a:solidFill>
                        <a:ln w="6350">
                          <a:solidFill>
                            <a:prstClr val="black"/>
                          </a:solidFill>
                        </a:ln>
                      </wps:spPr>
                      <wps:txbx>
                        <w:txbxContent>
                          <w:p w14:paraId="20B1562C" w14:textId="77777777" w:rsidR="00B004F3" w:rsidRDefault="00B004F3">
                            <w:r>
                              <w:t>Exclusions</w:t>
                            </w:r>
                          </w:p>
                          <w:p w14:paraId="4E4395AC" w14:textId="555A77D7" w:rsidR="00B004F3" w:rsidRDefault="00B004F3">
                            <w:r>
                              <w:t xml:space="preserve">n=16,488 not downloadable from three databases </w:t>
                            </w:r>
                            <w:r w:rsidRPr="00C17E76">
                              <w:rPr>
                                <w:u w:val="single"/>
                              </w:rPr>
                              <w:t>and</w:t>
                            </w:r>
                            <w:r>
                              <w:t xml:space="preserve"> not ranked as 500 most relevant</w:t>
                            </w:r>
                          </w:p>
                          <w:p w14:paraId="11D1D076" w14:textId="5E9F2717" w:rsidR="00B004F3" w:rsidRDefault="00B004F3">
                            <w:r>
                              <w:t>n=69 duplicates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9EAD6" id="Text Box 5" o:spid="_x0000_s1027" type="#_x0000_t202" style="position:absolute;margin-left:297.75pt;margin-top:14.95pt;width:135.75pt;height:11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" fillcolor="white [3201]" strokeweight=".5pt">
                <v:textbox>
                  <w:txbxContent>
                    <w:p w14:paraId="20B1562C" w14:textId="77777777" w:rsidR="00B004F3" w:rsidRDefault="00B004F3">
                      <w:r>
                        <w:t>Exclusions</w:t>
                      </w:r>
                    </w:p>
                    <w:p w14:paraId="4E4395AC" w14:textId="555A77D7" w:rsidR="00B004F3" w:rsidRDefault="00B004F3">
                      <w:r>
                        <w:t xml:space="preserve">n=16,488 not downloadable from three databases </w:t>
                      </w:r>
                      <w:r w:rsidRPr="00C17E76">
                        <w:rPr>
                          <w:u w:val="single"/>
                        </w:rPr>
                        <w:t>and</w:t>
                      </w:r>
                      <w:r>
                        <w:t xml:space="preserve"> not ranked as 500 most relevant</w:t>
                      </w:r>
                    </w:p>
                    <w:p w14:paraId="11D1D076" w14:textId="5E9F2717" w:rsidR="00B004F3" w:rsidRDefault="00B004F3">
                      <w:r>
                        <w:t>n=69 duplicates</w:t>
                      </w:r>
                    </w:p>
                  </w:txbxContent>
                </v:textbox>
              </v:shape>
            </w:pict>
          </mc:Fallback>
        </mc:AlternateContent>
      </w:r>
    </w:p>
    <w:p w14:paraId="0FBBE6A5"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9504" behindDoc="0" locked="0" layoutInCell="1" allowOverlap="1" wp14:anchorId="0D9F78CC" wp14:editId="39E9F3D7">
                <wp:simplePos x="0" y="0"/>
                <wp:positionH relativeFrom="column">
                  <wp:posOffset>2674620</wp:posOffset>
                </wp:positionH>
                <wp:positionV relativeFrom="paragraph">
                  <wp:posOffset>215900</wp:posOffset>
                </wp:positionV>
                <wp:extent cx="0" cy="586105"/>
                <wp:effectExtent l="76200" t="0" r="57150" b="61595"/>
                <wp:wrapNone/>
                <wp:docPr id="11" name="Straight Arrow Connector 11"/>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63E93AEE" id="_x0000_t32" coordsize="21600,21600" o:spt="32" o:oned="t" path="m,l21600,21600e" filled="f">
                <v:path arrowok="t" fillok="f" o:connecttype="none"/>
                <o:lock v:ext="edit" shapetype="t"/>
              </v:shapetype>
              <v:shape id="Straight Arrow Connector 11" o:spid="_x0000_s1026" type="#_x0000_t32" style="position:absolute;margin-left:210.6pt;margin-top:17pt;width:0;height:46.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" strokecolor="black [3200]" strokeweight=".5pt">
                <v:stroke endarrow="block" joinstyle="miter"/>
              </v:shape>
            </w:pict>
          </mc:Fallback>
        </mc:AlternateContent>
      </w:r>
    </w:p>
    <w:p w14:paraId="368BFFEA"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5648" behindDoc="0" locked="0" layoutInCell="1" allowOverlap="1" wp14:anchorId="5F3C4EC1" wp14:editId="27A61F2D">
                <wp:simplePos x="0" y="0"/>
                <wp:positionH relativeFrom="column">
                  <wp:posOffset>2676525</wp:posOffset>
                </wp:positionH>
                <wp:positionV relativeFrom="paragraph">
                  <wp:posOffset>156845</wp:posOffset>
                </wp:positionV>
                <wp:extent cx="11049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1104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3B23BE88" id="Straight Arrow Connector 19" o:spid="_x0000_s1026" type="#_x0000_t32" style="position:absolute;margin-left:210.75pt;margin-top:12.35pt;width:8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" strokecolor="black [3200]" strokeweight=".5pt">
                <v:stroke endarrow="block" joinstyle="miter"/>
              </v:shape>
            </w:pict>
          </mc:Fallback>
        </mc:AlternateContent>
      </w:r>
    </w:p>
    <w:p w14:paraId="33E581C9"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4384" behindDoc="0" locked="0" layoutInCell="1" allowOverlap="1" wp14:anchorId="2B06CBC1" wp14:editId="3EC36CC0">
                <wp:simplePos x="0" y="0"/>
                <wp:positionH relativeFrom="column">
                  <wp:posOffset>1748790</wp:posOffset>
                </wp:positionH>
                <wp:positionV relativeFrom="paragraph">
                  <wp:posOffset>197485</wp:posOffset>
                </wp:positionV>
                <wp:extent cx="1800000" cy="900000"/>
                <wp:effectExtent l="0" t="0" r="10160" b="14605"/>
                <wp:wrapNone/>
                <wp:docPr id="6" name="Text Box 6"/>
                <wp:cNvGraphicFramePr/>
                <a:graphic xmlns:a="http://schemas.openxmlformats.org/drawingml/2006/main">
                  <a:graphicData uri="http://schemas.microsoft.com/office/word/2010/wordprocessingShape">
                    <wps:wsp>
                      <wps:cNvSpPr txBox="1"/>
                      <wps:spPr>
                        <a:xfrm>
                          <a:off x="0" y="0"/>
                          <a:ext cx="1800000" cy="900000"/>
                        </a:xfrm>
                        <a:prstGeom prst="rect">
                          <a:avLst/>
                        </a:prstGeom>
                        <a:solidFill>
                          <a:schemeClr val="lt1"/>
                        </a:solidFill>
                        <a:ln w="6350">
                          <a:solidFill>
                            <a:prstClr val="black"/>
                          </a:solidFill>
                        </a:ln>
                      </wps:spPr>
                      <wps:txbx>
                        <w:txbxContent>
                          <w:p w14:paraId="0EBC2BF6" w14:textId="77777777" w:rsidR="00B004F3" w:rsidRDefault="00B004F3">
                            <w:r>
                              <w:t>Initial title screening for relevance</w:t>
                            </w:r>
                          </w:p>
                          <w:p w14:paraId="63EF232E" w14:textId="41FF68B2" w:rsidR="00B004F3" w:rsidRDefault="00B004F3">
                            <w:r>
                              <w:t>n=9,825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CBC1" id="Text Box 6" o:spid="_x0000_s1028" type="#_x0000_t202" style="position:absolute;margin-left:137.7pt;margin-top:15.55pt;width:141.75pt;height:7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" fillcolor="white [3201]" strokeweight=".5pt">
                <v:textbox>
                  <w:txbxContent>
                    <w:p w14:paraId="0EBC2BF6" w14:textId="77777777" w:rsidR="00B004F3" w:rsidRDefault="00B004F3">
                      <w:r>
                        <w:t>Initial title screening for relevance</w:t>
                      </w:r>
                    </w:p>
                    <w:p w14:paraId="63EF232E" w14:textId="41FF68B2" w:rsidR="00B004F3" w:rsidRDefault="00B004F3">
                      <w:r>
                        <w:t>n=9,825</w:t>
                      </w:r>
                    </w:p>
                  </w:txbxContent>
                </v:textbox>
              </v:shape>
            </w:pict>
          </mc:Fallback>
        </mc:AlternateContent>
      </w:r>
    </w:p>
    <w:p w14:paraId="06B0C454" w14:textId="77777777" w:rsidR="002E0B5D" w:rsidRDefault="002E0B5D">
      <w:pPr>
        <w:rPr>
          <w:rFonts w:cstheme="minorHAnsi"/>
          <w:b/>
          <w:sz w:val="24"/>
          <w:szCs w:val="24"/>
        </w:rPr>
      </w:pPr>
    </w:p>
    <w:p w14:paraId="466888DB" w14:textId="77777777" w:rsidR="002E0B5D" w:rsidRDefault="002E0B5D">
      <w:pPr>
        <w:rPr>
          <w:rFonts w:cstheme="minorHAnsi"/>
          <w:b/>
          <w:sz w:val="24"/>
          <w:szCs w:val="24"/>
        </w:rPr>
      </w:pPr>
    </w:p>
    <w:p w14:paraId="33571832"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0528" behindDoc="0" locked="0" layoutInCell="1" allowOverlap="1" wp14:anchorId="6A2FE015" wp14:editId="49B479C4">
                <wp:simplePos x="0" y="0"/>
                <wp:positionH relativeFrom="column">
                  <wp:posOffset>2672715</wp:posOffset>
                </wp:positionH>
                <wp:positionV relativeFrom="paragraph">
                  <wp:posOffset>160020</wp:posOffset>
                </wp:positionV>
                <wp:extent cx="0" cy="586105"/>
                <wp:effectExtent l="76200" t="0" r="57150" b="61595"/>
                <wp:wrapNone/>
                <wp:docPr id="12" name="Straight Arrow Connector 12"/>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118F3490" id="Straight Arrow Connector 12" o:spid="_x0000_s1026" type="#_x0000_t32" style="position:absolute;margin-left:210.45pt;margin-top:12.6pt;width:0;height:46.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" strokecolor="black [3200]" strokeweight=".5pt">
                <v:stroke endarrow="block" joinstyle="miter"/>
              </v:shape>
            </w:pict>
          </mc:Fallback>
        </mc:AlternateContent>
      </w:r>
      <w:r>
        <w:rPr>
          <w:rFonts w:cstheme="minorHAnsi"/>
          <w:b/>
          <w:noProof/>
          <w:sz w:val="24"/>
          <w:szCs w:val="24"/>
          <w:lang w:eastAsia="en-GB"/>
        </w:rPr>
        <mc:AlternateContent>
          <mc:Choice Requires="wps">
            <w:drawing>
              <wp:anchor distT="0" distB="0" distL="114300" distR="114300" simplePos="0" relativeHeight="251665408" behindDoc="0" locked="0" layoutInCell="1" allowOverlap="1" wp14:anchorId="2BB042E0" wp14:editId="240249B8">
                <wp:simplePos x="0" y="0"/>
                <wp:positionH relativeFrom="column">
                  <wp:posOffset>3941445</wp:posOffset>
                </wp:positionH>
                <wp:positionV relativeFrom="paragraph">
                  <wp:posOffset>252730</wp:posOffset>
                </wp:positionV>
                <wp:extent cx="1400175" cy="523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400175" cy="523875"/>
                        </a:xfrm>
                        <a:prstGeom prst="rect">
                          <a:avLst/>
                        </a:prstGeom>
                        <a:solidFill>
                          <a:schemeClr val="lt1"/>
                        </a:solidFill>
                        <a:ln w="6350">
                          <a:solidFill>
                            <a:prstClr val="black"/>
                          </a:solidFill>
                        </a:ln>
                      </wps:spPr>
                      <wps:txbx>
                        <w:txbxContent>
                          <w:p w14:paraId="009FADF3" w14:textId="77777777" w:rsidR="00B004F3" w:rsidRDefault="00B004F3">
                            <w:r>
                              <w:t>Excluded title screen</w:t>
                            </w:r>
                          </w:p>
                          <w:p w14:paraId="08E0F88E" w14:textId="7F304FF1" w:rsidR="00B004F3" w:rsidRDefault="00B004F3">
                            <w:r>
                              <w:t>n=9,666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B042E0" id="Text Box 7" o:spid="_x0000_s1029" type="#_x0000_t202" style="position:absolute;margin-left:310.35pt;margin-top:19.9pt;width:110.2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" fillcolor="white [3201]" strokeweight=".5pt">
                <v:textbox>
                  <w:txbxContent>
                    <w:p w14:paraId="009FADF3" w14:textId="77777777" w:rsidR="00B004F3" w:rsidRDefault="00B004F3">
                      <w:r>
                        <w:t>Excluded title screen</w:t>
                      </w:r>
                    </w:p>
                    <w:p w14:paraId="08E0F88E" w14:textId="7F304FF1" w:rsidR="00B004F3" w:rsidRDefault="00B004F3">
                      <w:r>
                        <w:t>n=9,666</w:t>
                      </w:r>
                    </w:p>
                  </w:txbxContent>
                </v:textbox>
              </v:shape>
            </w:pict>
          </mc:Fallback>
        </mc:AlternateContent>
      </w:r>
    </w:p>
    <w:p w14:paraId="2F47F973"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6672" behindDoc="0" locked="0" layoutInCell="1" allowOverlap="1" wp14:anchorId="06D2D01E" wp14:editId="6086D22F">
                <wp:simplePos x="0" y="0"/>
                <wp:positionH relativeFrom="column">
                  <wp:posOffset>2676525</wp:posOffset>
                </wp:positionH>
                <wp:positionV relativeFrom="paragraph">
                  <wp:posOffset>130810</wp:posOffset>
                </wp:positionV>
                <wp:extent cx="1257300" cy="0"/>
                <wp:effectExtent l="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7CE815CF" id="Straight Arrow Connector 21" o:spid="_x0000_s1026" type="#_x0000_t32" style="position:absolute;margin-left:210.75pt;margin-top:10.3pt;width:99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" strokecolor="black [3200]" strokeweight=".5pt">
                <v:stroke endarrow="block" joinstyle="miter"/>
              </v:shape>
            </w:pict>
          </mc:Fallback>
        </mc:AlternateContent>
      </w:r>
    </w:p>
    <w:p w14:paraId="77398EF6"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1312" behindDoc="0" locked="0" layoutInCell="1" allowOverlap="1" wp14:anchorId="2F3A3343" wp14:editId="66CD512D">
                <wp:simplePos x="0" y="0"/>
                <wp:positionH relativeFrom="column">
                  <wp:posOffset>1758315</wp:posOffset>
                </wp:positionH>
                <wp:positionV relativeFrom="paragraph">
                  <wp:posOffset>171450</wp:posOffset>
                </wp:positionV>
                <wp:extent cx="1800000" cy="900000"/>
                <wp:effectExtent l="0" t="0" r="10160" b="14605"/>
                <wp:wrapNone/>
                <wp:docPr id="3" name="Text Box 3"/>
                <wp:cNvGraphicFramePr/>
                <a:graphic xmlns:a="http://schemas.openxmlformats.org/drawingml/2006/main">
                  <a:graphicData uri="http://schemas.microsoft.com/office/word/2010/wordprocessingShape">
                    <wps:wsp>
                      <wps:cNvSpPr txBox="1"/>
                      <wps:spPr>
                        <a:xfrm>
                          <a:off x="0" y="0"/>
                          <a:ext cx="1800000" cy="900000"/>
                        </a:xfrm>
                        <a:prstGeom prst="rect">
                          <a:avLst/>
                        </a:prstGeom>
                        <a:solidFill>
                          <a:schemeClr val="lt1"/>
                        </a:solidFill>
                        <a:ln w="6350">
                          <a:solidFill>
                            <a:prstClr val="black"/>
                          </a:solidFill>
                        </a:ln>
                      </wps:spPr>
                      <wps:txbx>
                        <w:txbxContent>
                          <w:p w14:paraId="1A3BC04A" w14:textId="77777777" w:rsidR="00B004F3" w:rsidRDefault="00B004F3">
                            <w:r>
                              <w:t>Abstracts assessed for eligibility</w:t>
                            </w:r>
                          </w:p>
                          <w:p w14:paraId="014C966D" w14:textId="61DC55D2" w:rsidR="00B004F3" w:rsidRDefault="00B004F3">
                            <w:r>
                              <w:t>n=159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3343" id="Text Box 3" o:spid="_x0000_s1030" type="#_x0000_t202" style="position:absolute;margin-left:138.45pt;margin-top:13.5pt;width:141.7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" fillcolor="white [3201]" strokeweight=".5pt">
                <v:textbox>
                  <w:txbxContent>
                    <w:p w14:paraId="1A3BC04A" w14:textId="77777777" w:rsidR="00B004F3" w:rsidRDefault="00B004F3">
                      <w:r>
                        <w:t>Abstracts assessed for eligibility</w:t>
                      </w:r>
                    </w:p>
                    <w:p w14:paraId="014C966D" w14:textId="61DC55D2" w:rsidR="00B004F3" w:rsidRDefault="00B004F3">
                      <w:r>
                        <w:t>n=159</w:t>
                      </w:r>
                    </w:p>
                  </w:txbxContent>
                </v:textbox>
              </v:shape>
            </w:pict>
          </mc:Fallback>
        </mc:AlternateContent>
      </w:r>
    </w:p>
    <w:p w14:paraId="762E5991" w14:textId="77777777" w:rsidR="002E0B5D" w:rsidRDefault="002E0B5D">
      <w:pPr>
        <w:rPr>
          <w:rFonts w:cstheme="minorHAnsi"/>
          <w:b/>
          <w:sz w:val="24"/>
          <w:szCs w:val="24"/>
        </w:rPr>
      </w:pPr>
    </w:p>
    <w:p w14:paraId="6B2F0696" w14:textId="77777777" w:rsidR="002E0B5D" w:rsidRDefault="002E0B5D">
      <w:pPr>
        <w:rPr>
          <w:rFonts w:cstheme="minorHAnsi"/>
          <w:b/>
          <w:sz w:val="24"/>
          <w:szCs w:val="24"/>
        </w:rPr>
      </w:pPr>
    </w:p>
    <w:p w14:paraId="061C8C86"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1552" behindDoc="0" locked="0" layoutInCell="1" allowOverlap="1" wp14:anchorId="6DB02242" wp14:editId="191F21EF">
                <wp:simplePos x="0" y="0"/>
                <wp:positionH relativeFrom="column">
                  <wp:posOffset>2672715</wp:posOffset>
                </wp:positionH>
                <wp:positionV relativeFrom="paragraph">
                  <wp:posOffset>146050</wp:posOffset>
                </wp:positionV>
                <wp:extent cx="0" cy="586105"/>
                <wp:effectExtent l="76200" t="0" r="57150" b="61595"/>
                <wp:wrapNone/>
                <wp:docPr id="13" name="Straight Arrow Connector 13"/>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53606FCB" id="Straight Arrow Connector 13" o:spid="_x0000_s1026" type="#_x0000_t32" style="position:absolute;margin-left:210.45pt;margin-top:11.5pt;width:0;height:46.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" strokecolor="black [3200]" strokeweight=".5pt">
                <v:stroke endarrow="block" joinstyle="miter"/>
              </v:shape>
            </w:pict>
          </mc:Fallback>
        </mc:AlternateContent>
      </w:r>
      <w:r>
        <w:rPr>
          <w:rFonts w:cstheme="minorHAnsi"/>
          <w:b/>
          <w:noProof/>
          <w:sz w:val="24"/>
          <w:szCs w:val="24"/>
          <w:lang w:eastAsia="en-GB"/>
        </w:rPr>
        <mc:AlternateContent>
          <mc:Choice Requires="wps">
            <w:drawing>
              <wp:anchor distT="0" distB="0" distL="114300" distR="114300" simplePos="0" relativeHeight="251662336" behindDoc="0" locked="0" layoutInCell="1" allowOverlap="1" wp14:anchorId="5A658D4A" wp14:editId="04EA23F5">
                <wp:simplePos x="0" y="0"/>
                <wp:positionH relativeFrom="column">
                  <wp:posOffset>3933825</wp:posOffset>
                </wp:positionH>
                <wp:positionV relativeFrom="paragraph">
                  <wp:posOffset>163830</wp:posOffset>
                </wp:positionV>
                <wp:extent cx="1400175" cy="542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400175" cy="542925"/>
                        </a:xfrm>
                        <a:prstGeom prst="rect">
                          <a:avLst/>
                        </a:prstGeom>
                        <a:solidFill>
                          <a:schemeClr val="lt1"/>
                        </a:solidFill>
                        <a:ln w="6350">
                          <a:solidFill>
                            <a:prstClr val="black"/>
                          </a:solidFill>
                        </a:ln>
                      </wps:spPr>
                      <wps:txbx>
                        <w:txbxContent>
                          <w:p w14:paraId="3DFFB382" w14:textId="77777777" w:rsidR="00B004F3" w:rsidRDefault="00B004F3">
                            <w:r>
                              <w:t>Excluded abstracts</w:t>
                            </w:r>
                          </w:p>
                          <w:p w14:paraId="15964B96" w14:textId="4FF10B31" w:rsidR="00B004F3" w:rsidRDefault="00B004F3">
                            <w:r>
                              <w:t xml:space="preserve">n=136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D4A" id="Text Box 4" o:spid="_x0000_s1031" type="#_x0000_t202" style="position:absolute;margin-left:309.75pt;margin-top:12.9pt;width:110.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" fillcolor="white [3201]" strokeweight=".5pt">
                <v:textbox>
                  <w:txbxContent>
                    <w:p w14:paraId="3DFFB382" w14:textId="77777777" w:rsidR="00B004F3" w:rsidRDefault="00B004F3">
                      <w:r>
                        <w:t>Excluded abstracts</w:t>
                      </w:r>
                    </w:p>
                    <w:p w14:paraId="15964B96" w14:textId="4FF10B31" w:rsidR="00B004F3" w:rsidRDefault="00B004F3">
                      <w:r>
                        <w:t xml:space="preserve">n=136 </w:t>
                      </w:r>
                    </w:p>
                  </w:txbxContent>
                </v:textbox>
              </v:shape>
            </w:pict>
          </mc:Fallback>
        </mc:AlternateContent>
      </w:r>
    </w:p>
    <w:p w14:paraId="1047B70A"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7696" behindDoc="0" locked="0" layoutInCell="1" allowOverlap="1" wp14:anchorId="257219D7" wp14:editId="25560A8C">
                <wp:simplePos x="0" y="0"/>
                <wp:positionH relativeFrom="column">
                  <wp:posOffset>2676525</wp:posOffset>
                </wp:positionH>
                <wp:positionV relativeFrom="paragraph">
                  <wp:posOffset>105410</wp:posOffset>
                </wp:positionV>
                <wp:extent cx="125730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1257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57ADEBCA" id="Straight Arrow Connector 22" o:spid="_x0000_s1026" type="#_x0000_t32" style="position:absolute;margin-left:210.75pt;margin-top:8.3pt;width:9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" strokecolor="black [3200]" strokeweight=".5pt">
                <v:stroke endarrow="block" joinstyle="miter"/>
              </v:shape>
            </w:pict>
          </mc:Fallback>
        </mc:AlternateContent>
      </w:r>
    </w:p>
    <w:p w14:paraId="2A45C39D"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6432" behindDoc="0" locked="0" layoutInCell="1" allowOverlap="1" wp14:anchorId="70DF7499" wp14:editId="47890652">
                <wp:simplePos x="0" y="0"/>
                <wp:positionH relativeFrom="column">
                  <wp:posOffset>1760220</wp:posOffset>
                </wp:positionH>
                <wp:positionV relativeFrom="paragraph">
                  <wp:posOffset>147955</wp:posOffset>
                </wp:positionV>
                <wp:extent cx="1800000" cy="900000"/>
                <wp:effectExtent l="0" t="0" r="10160" b="14605"/>
                <wp:wrapNone/>
                <wp:docPr id="8" name="Text Box 8"/>
                <wp:cNvGraphicFramePr/>
                <a:graphic xmlns:a="http://schemas.openxmlformats.org/drawingml/2006/main">
                  <a:graphicData uri="http://schemas.microsoft.com/office/word/2010/wordprocessingShape">
                    <wps:wsp>
                      <wps:cNvSpPr txBox="1"/>
                      <wps:spPr>
                        <a:xfrm>
                          <a:off x="0" y="0"/>
                          <a:ext cx="1800000" cy="900000"/>
                        </a:xfrm>
                        <a:prstGeom prst="rect">
                          <a:avLst/>
                        </a:prstGeom>
                        <a:solidFill>
                          <a:schemeClr val="lt1"/>
                        </a:solidFill>
                        <a:ln w="6350">
                          <a:solidFill>
                            <a:prstClr val="black"/>
                          </a:solidFill>
                        </a:ln>
                      </wps:spPr>
                      <wps:txbx>
                        <w:txbxContent>
                          <w:p w14:paraId="0C076347" w14:textId="1260EE0C" w:rsidR="00B004F3" w:rsidRDefault="00B004F3">
                            <w:r>
                              <w:t>Full texts assessed for eligibility</w:t>
                            </w:r>
                          </w:p>
                          <w:p w14:paraId="12786354" w14:textId="31EA4E1B" w:rsidR="00B004F3" w:rsidRDefault="00B004F3">
                            <w:r>
                              <w:t>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F7499" id="Text Box 8" o:spid="_x0000_s1032" type="#_x0000_t202" style="position:absolute;margin-left:138.6pt;margin-top:11.65pt;width:141.7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" fillcolor="white [3201]" strokeweight=".5pt">
                <v:textbox>
                  <w:txbxContent>
                    <w:p w14:paraId="0C076347" w14:textId="1260EE0C" w:rsidR="00B004F3" w:rsidRDefault="00B004F3">
                      <w:r>
                        <w:t>Full texts assessed for eligibility</w:t>
                      </w:r>
                    </w:p>
                    <w:p w14:paraId="12786354" w14:textId="31EA4E1B" w:rsidR="00B004F3" w:rsidRDefault="00B004F3">
                      <w:r>
                        <w:t>n=23</w:t>
                      </w:r>
                    </w:p>
                  </w:txbxContent>
                </v:textbox>
              </v:shape>
            </w:pict>
          </mc:Fallback>
        </mc:AlternateContent>
      </w:r>
    </w:p>
    <w:p w14:paraId="516E34BA" w14:textId="77777777" w:rsidR="002E0B5D" w:rsidRDefault="002E0B5D">
      <w:pPr>
        <w:rPr>
          <w:rFonts w:cstheme="minorHAnsi"/>
          <w:b/>
          <w:sz w:val="24"/>
          <w:szCs w:val="24"/>
        </w:rPr>
      </w:pPr>
    </w:p>
    <w:p w14:paraId="0BE9A37B" w14:textId="77777777" w:rsidR="002E0B5D" w:rsidRDefault="002E0B5D">
      <w:pPr>
        <w:rPr>
          <w:rFonts w:cstheme="minorHAnsi"/>
          <w:b/>
          <w:sz w:val="24"/>
          <w:szCs w:val="24"/>
        </w:rPr>
      </w:pPr>
    </w:p>
    <w:p w14:paraId="1D316C58"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7456" behindDoc="0" locked="0" layoutInCell="1" allowOverlap="1" wp14:anchorId="6EC451A0" wp14:editId="7C7C5F28">
                <wp:simplePos x="0" y="0"/>
                <wp:positionH relativeFrom="margin">
                  <wp:posOffset>3815080</wp:posOffset>
                </wp:positionH>
                <wp:positionV relativeFrom="paragraph">
                  <wp:posOffset>40640</wp:posOffset>
                </wp:positionV>
                <wp:extent cx="16859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685925" cy="1114425"/>
                        </a:xfrm>
                        <a:prstGeom prst="rect">
                          <a:avLst/>
                        </a:prstGeom>
                        <a:solidFill>
                          <a:schemeClr val="lt1"/>
                        </a:solidFill>
                        <a:ln w="6350">
                          <a:solidFill>
                            <a:prstClr val="black"/>
                          </a:solidFill>
                        </a:ln>
                      </wps:spPr>
                      <wps:txbx>
                        <w:txbxContent>
                          <w:p w14:paraId="71D82D53" w14:textId="77777777" w:rsidR="00B004F3" w:rsidRDefault="00B004F3">
                            <w:r>
                              <w:t>Excluded full text n=18</w:t>
                            </w:r>
                          </w:p>
                          <w:p w14:paraId="0D4FB3EE" w14:textId="59130598" w:rsidR="00B004F3" w:rsidRDefault="00B004F3" w:rsidP="00771B9F">
                            <w:pPr>
                              <w:spacing w:after="0"/>
                            </w:pPr>
                            <w:r>
                              <w:t>Not research (n=5)</w:t>
                            </w:r>
                          </w:p>
                          <w:p w14:paraId="45B65ECB" w14:textId="7D84BC06" w:rsidR="00B004F3" w:rsidRDefault="00B004F3" w:rsidP="00771B9F">
                            <w:pPr>
                              <w:spacing w:after="0"/>
                            </w:pPr>
                            <w:r>
                              <w:t>Not decision aid (n=9)</w:t>
                            </w:r>
                          </w:p>
                          <w:p w14:paraId="005F6778" w14:textId="49B69BD3" w:rsidR="00B004F3" w:rsidRDefault="00B004F3" w:rsidP="00771B9F">
                            <w:pPr>
                              <w:spacing w:after="0"/>
                            </w:pPr>
                            <w:r>
                              <w:t>Not adult social care (n=3)</w:t>
                            </w:r>
                          </w:p>
                          <w:p w14:paraId="67111246" w14:textId="5C33C919" w:rsidR="00B004F3" w:rsidRDefault="00B004F3" w:rsidP="00771B9F">
                            <w:pPr>
                              <w:spacing w:after="0"/>
                            </w:pPr>
                            <w:r>
                              <w:t>Not available (n=1)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51A0" id="Text Box 9" o:spid="_x0000_s1033" type="#_x0000_t202" style="position:absolute;margin-left:300.4pt;margin-top:3.2pt;width:132.75pt;height:8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" fillcolor="white [3201]" strokeweight=".5pt">
                <v:textbox>
                  <w:txbxContent>
                    <w:p w14:paraId="71D82D53" w14:textId="77777777" w:rsidR="00B004F3" w:rsidRDefault="00B004F3">
                      <w:r>
                        <w:t>Excluded full text n=18</w:t>
                      </w:r>
                    </w:p>
                    <w:p w14:paraId="0D4FB3EE" w14:textId="59130598" w:rsidR="00B004F3" w:rsidRDefault="00B004F3" w:rsidP="00771B9F">
                      <w:pPr>
                        <w:spacing w:after="0"/>
                      </w:pPr>
                      <w:r>
                        <w:t>Not research (n=5)</w:t>
                      </w:r>
                    </w:p>
                    <w:p w14:paraId="45B65ECB" w14:textId="7D84BC06" w:rsidR="00B004F3" w:rsidRDefault="00B004F3" w:rsidP="00771B9F">
                      <w:pPr>
                        <w:spacing w:after="0"/>
                      </w:pPr>
                      <w:r>
                        <w:t>Not decision aid (n=9)</w:t>
                      </w:r>
                    </w:p>
                    <w:p w14:paraId="005F6778" w14:textId="49B69BD3" w:rsidR="00B004F3" w:rsidRDefault="00B004F3" w:rsidP="00771B9F">
                      <w:pPr>
                        <w:spacing w:after="0"/>
                      </w:pPr>
                      <w:r>
                        <w:t>Not adult social care (n=3)</w:t>
                      </w:r>
                    </w:p>
                    <w:p w14:paraId="67111246" w14:textId="5C33C919" w:rsidR="00B004F3" w:rsidRDefault="00B004F3" w:rsidP="00771B9F">
                      <w:pPr>
                        <w:spacing w:after="0"/>
                      </w:pPr>
                      <w:r>
                        <w:t>Not available (n=1)</w:t>
                      </w:r>
                    </w:p>
                  </w:txbxContent>
                </v:textbox>
                <w10:wrap anchorx="margin"/>
              </v:shape>
            </w:pict>
          </mc:Fallback>
        </mc:AlternateContent>
      </w:r>
      <w:r>
        <w:rPr>
          <w:rFonts w:cstheme="minorHAnsi"/>
          <w:b/>
          <w:noProof/>
          <w:sz w:val="24"/>
          <w:szCs w:val="24"/>
          <w:lang w:eastAsia="en-GB"/>
        </w:rPr>
        <mc:AlternateContent>
          <mc:Choice Requires="wps">
            <w:drawing>
              <wp:anchor distT="0" distB="0" distL="114300" distR="114300" simplePos="0" relativeHeight="251672576" behindDoc="0" locked="0" layoutInCell="1" allowOverlap="1" wp14:anchorId="4A5B816F" wp14:editId="33815B90">
                <wp:simplePos x="0" y="0"/>
                <wp:positionH relativeFrom="column">
                  <wp:posOffset>2676525</wp:posOffset>
                </wp:positionH>
                <wp:positionV relativeFrom="paragraph">
                  <wp:posOffset>138429</wp:posOffset>
                </wp:positionV>
                <wp:extent cx="0" cy="1386205"/>
                <wp:effectExtent l="76200" t="0" r="57150" b="61595"/>
                <wp:wrapNone/>
                <wp:docPr id="15" name="Straight Arrow Connector 15"/>
                <wp:cNvGraphicFramePr/>
                <a:graphic xmlns:a="http://schemas.openxmlformats.org/drawingml/2006/main">
                  <a:graphicData uri="http://schemas.microsoft.com/office/word/2010/wordprocessingShape">
                    <wps:wsp>
                      <wps:cNvCnPr/>
                      <wps:spPr>
                        <a:xfrm>
                          <a:off x="0" y="0"/>
                          <a:ext cx="0" cy="1386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488E8DF5" id="Straight Arrow Connector 15" o:spid="_x0000_s1026" type="#_x0000_t32" style="position:absolute;margin-left:210.75pt;margin-top:10.9pt;width:0;height:109.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" strokecolor="black [3200]" strokeweight=".5pt">
                <v:stroke endarrow="block" joinstyle="miter"/>
              </v:shape>
            </w:pict>
          </mc:Fallback>
        </mc:AlternateContent>
      </w:r>
    </w:p>
    <w:p w14:paraId="0C162A76"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4624" behindDoc="0" locked="0" layoutInCell="1" allowOverlap="1" wp14:anchorId="04A26DCC" wp14:editId="665ACD59">
                <wp:simplePos x="0" y="0"/>
                <wp:positionH relativeFrom="column">
                  <wp:posOffset>2676525</wp:posOffset>
                </wp:positionH>
                <wp:positionV relativeFrom="paragraph">
                  <wp:posOffset>307975</wp:posOffset>
                </wp:positionV>
                <wp:extent cx="11049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1104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3F5ECF3F" id="Straight Arrow Connector 18" o:spid="_x0000_s1026" type="#_x0000_t32" style="position:absolute;margin-left:210.75pt;margin-top:24.25pt;width:8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" strokecolor="black [3200]" strokeweight=".5pt">
                <v:stroke endarrow="block" joinstyle="miter"/>
              </v:shape>
            </w:pict>
          </mc:Fallback>
        </mc:AlternateContent>
      </w:r>
      <w:r>
        <w:rPr>
          <w:rFonts w:cstheme="minorHAnsi"/>
          <w:b/>
          <w:noProof/>
          <w:sz w:val="24"/>
          <w:szCs w:val="24"/>
          <w:lang w:eastAsia="en-GB"/>
        </w:rPr>
        <mc:AlternateContent>
          <mc:Choice Requires="wps">
            <w:drawing>
              <wp:anchor distT="0" distB="0" distL="114300" distR="114300" simplePos="0" relativeHeight="251660288" behindDoc="0" locked="0" layoutInCell="1" allowOverlap="1" wp14:anchorId="4484CFE9" wp14:editId="3628EBCC">
                <wp:simplePos x="0" y="0"/>
                <wp:positionH relativeFrom="column">
                  <wp:posOffset>388620</wp:posOffset>
                </wp:positionH>
                <wp:positionV relativeFrom="paragraph">
                  <wp:posOffset>195580</wp:posOffset>
                </wp:positionV>
                <wp:extent cx="1609725" cy="809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609725" cy="809625"/>
                        </a:xfrm>
                        <a:prstGeom prst="rect">
                          <a:avLst/>
                        </a:prstGeom>
                        <a:solidFill>
                          <a:schemeClr val="lt1"/>
                        </a:solidFill>
                        <a:ln w="6350">
                          <a:solidFill>
                            <a:prstClr val="black"/>
                          </a:solidFill>
                        </a:ln>
                      </wps:spPr>
                      <wps:txbx>
                        <w:txbxContent>
                          <w:p w14:paraId="635458C3" w14:textId="77777777" w:rsidR="00B004F3" w:rsidRDefault="00B004F3">
                            <w:r>
                              <w:t>Forward citation and hand-searching</w:t>
                            </w:r>
                          </w:p>
                          <w:p w14:paraId="35DE2009" w14:textId="4EF6B7FD" w:rsidR="00B004F3" w:rsidRDefault="00B004F3">
                            <w:r>
                              <w:t>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4CFE9" id="Text Box 2" o:spid="_x0000_s1034" type="#_x0000_t202" style="position:absolute;margin-left:30.6pt;margin-top:15.4pt;width:126.75pt;height: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" fillcolor="white [3201]" strokeweight=".5pt">
                <v:textbox>
                  <w:txbxContent>
                    <w:p w14:paraId="635458C3" w14:textId="77777777" w:rsidR="00B004F3" w:rsidRDefault="00B004F3">
                      <w:r>
                        <w:t>Forward citation and hand-searching</w:t>
                      </w:r>
                    </w:p>
                    <w:p w14:paraId="35DE2009" w14:textId="4EF6B7FD" w:rsidR="00B004F3" w:rsidRDefault="00B004F3">
                      <w:r>
                        <w:t>n=3</w:t>
                      </w:r>
                    </w:p>
                  </w:txbxContent>
                </v:textbox>
              </v:shape>
            </w:pict>
          </mc:Fallback>
        </mc:AlternateContent>
      </w:r>
    </w:p>
    <w:p w14:paraId="4967B713"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73600" behindDoc="0" locked="0" layoutInCell="1" allowOverlap="1" wp14:anchorId="5AEAB5E4" wp14:editId="7950E249">
                <wp:simplePos x="0" y="0"/>
                <wp:positionH relativeFrom="column">
                  <wp:posOffset>2000250</wp:posOffset>
                </wp:positionH>
                <wp:positionV relativeFrom="paragraph">
                  <wp:posOffset>234315</wp:posOffset>
                </wp:positionV>
                <wp:extent cx="67627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 w14:anchorId="6C24AA13" id="Straight Arrow Connector 16" o:spid="_x0000_s1026" type="#_x0000_t32" style="position:absolute;margin-left:157.5pt;margin-top:18.45pt;width:53.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" strokecolor="black [3200]" strokeweight=".5pt">
                <v:stroke endarrow="block" joinstyle="miter"/>
              </v:shape>
            </w:pict>
          </mc:Fallback>
        </mc:AlternateContent>
      </w:r>
    </w:p>
    <w:p w14:paraId="2AE73550" w14:textId="77777777" w:rsidR="002E0B5D" w:rsidRDefault="002E0B5D">
      <w:pPr>
        <w:rPr>
          <w:rFonts w:cstheme="minorHAnsi"/>
          <w:b/>
          <w:sz w:val="24"/>
          <w:szCs w:val="24"/>
        </w:rPr>
      </w:pPr>
    </w:p>
    <w:p w14:paraId="02F4F6A3" w14:textId="77777777" w:rsidR="002E0B5D" w:rsidRDefault="002E0B5D">
      <w:pPr>
        <w:rPr>
          <w:rFonts w:cstheme="minorHAnsi"/>
          <w:b/>
          <w:sz w:val="24"/>
          <w:szCs w:val="24"/>
        </w:rPr>
      </w:pPr>
    </w:p>
    <w:p w14:paraId="0AA68404" w14:textId="77777777" w:rsidR="002E0B5D" w:rsidRDefault="002E0B5D">
      <w:pPr>
        <w:rPr>
          <w:rFonts w:cstheme="minorHAnsi"/>
          <w:b/>
          <w:sz w:val="24"/>
          <w:szCs w:val="24"/>
        </w:rPr>
      </w:pPr>
      <w:r>
        <w:rPr>
          <w:rFonts w:cstheme="minorHAnsi"/>
          <w:b/>
          <w:noProof/>
          <w:sz w:val="24"/>
          <w:szCs w:val="24"/>
          <w:lang w:eastAsia="en-GB"/>
        </w:rPr>
        <mc:AlternateContent>
          <mc:Choice Requires="wps">
            <w:drawing>
              <wp:anchor distT="0" distB="0" distL="114300" distR="114300" simplePos="0" relativeHeight="251668480" behindDoc="0" locked="0" layoutInCell="1" allowOverlap="1" wp14:anchorId="2F061164" wp14:editId="16D6015F">
                <wp:simplePos x="0" y="0"/>
                <wp:positionH relativeFrom="column">
                  <wp:posOffset>1885950</wp:posOffset>
                </wp:positionH>
                <wp:positionV relativeFrom="paragraph">
                  <wp:posOffset>12701</wp:posOffset>
                </wp:positionV>
                <wp:extent cx="1800000" cy="571500"/>
                <wp:effectExtent l="0" t="0" r="10160" b="19050"/>
                <wp:wrapNone/>
                <wp:docPr id="10" name="Text Box 10"/>
                <wp:cNvGraphicFramePr/>
                <a:graphic xmlns:a="http://schemas.openxmlformats.org/drawingml/2006/main">
                  <a:graphicData uri="http://schemas.microsoft.com/office/word/2010/wordprocessingShape">
                    <wps:wsp>
                      <wps:cNvSpPr txBox="1"/>
                      <wps:spPr>
                        <a:xfrm>
                          <a:off x="0" y="0"/>
                          <a:ext cx="1800000" cy="571500"/>
                        </a:xfrm>
                        <a:prstGeom prst="rect">
                          <a:avLst/>
                        </a:prstGeom>
                        <a:solidFill>
                          <a:schemeClr val="lt1"/>
                        </a:solidFill>
                        <a:ln w="6350">
                          <a:solidFill>
                            <a:prstClr val="black"/>
                          </a:solidFill>
                        </a:ln>
                      </wps:spPr>
                      <wps:txbx>
                        <w:txbxContent>
                          <w:p w14:paraId="31434855" w14:textId="77777777" w:rsidR="00B004F3" w:rsidRDefault="00B004F3">
                            <w:r>
                              <w:t>Included in review</w:t>
                            </w:r>
                          </w:p>
                          <w:p w14:paraId="7D3AAAC9" w14:textId="26F37AB7" w:rsidR="00B004F3" w:rsidRDefault="00B004F3">
                            <w:r>
                              <w:t>n=8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1164" id="Text Box 10" o:spid="_x0000_s1035" type="#_x0000_t202" style="position:absolute;margin-left:148.5pt;margin-top:1pt;width:141.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" fillcolor="white [3201]" strokeweight=".5pt">
                <v:textbox>
                  <w:txbxContent>
                    <w:p w14:paraId="31434855" w14:textId="77777777" w:rsidR="00B004F3" w:rsidRDefault="00B004F3">
                      <w:r>
                        <w:t>Included in review</w:t>
                      </w:r>
                    </w:p>
                    <w:p w14:paraId="7D3AAAC9" w14:textId="26F37AB7" w:rsidR="00B004F3" w:rsidRDefault="00B004F3">
                      <w:r>
                        <w:t>n=8</w:t>
                      </w:r>
                    </w:p>
                  </w:txbxContent>
                </v:textbox>
              </v:shape>
            </w:pict>
          </mc:Fallback>
        </mc:AlternateContent>
      </w:r>
    </w:p>
    <w:p w14:paraId="312334CB" w14:textId="77777777" w:rsidR="002E0B5D" w:rsidRDefault="002E0B5D">
      <w:pPr>
        <w:rPr>
          <w:rFonts w:cstheme="minorHAnsi"/>
          <w:b/>
          <w:sz w:val="24"/>
          <w:szCs w:val="24"/>
        </w:rPr>
      </w:pPr>
    </w:p>
    <w:p w14:paraId="2EAD2814" w14:textId="77777777" w:rsidR="002E0B5D" w:rsidRDefault="002E0B5D">
      <w:pPr>
        <w:rPr>
          <w:rFonts w:cstheme="minorHAnsi"/>
          <w:b/>
          <w:sz w:val="24"/>
          <w:szCs w:val="24"/>
        </w:rPr>
      </w:pPr>
    </w:p>
    <w:p w14:paraId="6031C7F2" w14:textId="77777777" w:rsidR="002E0B5D" w:rsidRDefault="002E0B5D" w:rsidP="00771B9F">
      <w:pPr>
        <w:spacing w:after="0" w:line="240" w:lineRule="auto"/>
        <w:rPr>
          <w:rFonts w:eastAsia="Times New Roman" w:cstheme="minorHAnsi"/>
          <w:b/>
        </w:rPr>
      </w:pPr>
    </w:p>
    <w:p w14:paraId="3D749600" w14:textId="77777777" w:rsidR="002E0B5D" w:rsidRDefault="002E0B5D" w:rsidP="00771B9F"/>
    <w:p w14:paraId="3CAB5F7B" w14:textId="77777777" w:rsidR="002E0B5D" w:rsidRDefault="002E0B5D" w:rsidP="00771B9F">
      <w:pPr>
        <w:rPr>
          <w:b/>
        </w:rPr>
        <w:sectPr w:rsidR="002E0B5D">
          <w:footerReference w:type="default" r:id="rId19"/>
          <w:pgSz w:w="11906" w:h="16838"/>
          <w:pgMar w:top="1440" w:right="1440" w:bottom="1440" w:left="1440" w:header="708" w:footer="708" w:gutter="0"/>
          <w:cols w:space="708"/>
          <w:docGrid w:linePitch="360"/>
        </w:sectPr>
      </w:pPr>
    </w:p>
    <w:p w14:paraId="28077C65" w14:textId="65984E6F" w:rsidR="00DB7018" w:rsidRDefault="00DB7018" w:rsidP="00771B9F">
      <w:pPr>
        <w:rPr>
          <w:b/>
        </w:rPr>
      </w:pPr>
      <w:r w:rsidRPr="0020409D">
        <w:rPr>
          <w:rFonts w:eastAsia="Times New Roman" w:cstheme="minorHAnsi"/>
          <w:b/>
        </w:rPr>
        <w:lastRenderedPageBreak/>
        <w:t xml:space="preserve">Table 2: Characteristics of </w:t>
      </w:r>
      <w:r>
        <w:rPr>
          <w:rFonts w:eastAsia="Times New Roman" w:cstheme="minorHAnsi"/>
          <w:b/>
        </w:rPr>
        <w:t xml:space="preserve">papers describing development of decision aids </w:t>
      </w:r>
      <w:r w:rsidRPr="0020409D">
        <w:rPr>
          <w:rFonts w:eastAsia="Times New Roman" w:cstheme="minorHAnsi"/>
          <w:b/>
        </w:rPr>
        <w:t>(by publication date)</w:t>
      </w:r>
    </w:p>
    <w:tbl>
      <w:tblPr>
        <w:tblStyle w:val="TableGrid"/>
        <w:tblpPr w:leftFromText="180" w:rightFromText="180" w:horzAnchor="margin" w:tblpX="-426" w:tblpY="495"/>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5"/>
        <w:gridCol w:w="6662"/>
        <w:gridCol w:w="4961"/>
      </w:tblGrid>
      <w:tr w:rsidR="00DB7018" w:rsidRPr="00DB7018" w14:paraId="3E4C8D25" w14:textId="77777777" w:rsidTr="00634698">
        <w:tc>
          <w:tcPr>
            <w:tcW w:w="1276" w:type="dxa"/>
            <w:tcBorders>
              <w:top w:val="single" w:sz="4" w:space="0" w:color="auto"/>
              <w:bottom w:val="single" w:sz="4" w:space="0" w:color="auto"/>
            </w:tcBorders>
          </w:tcPr>
          <w:p w14:paraId="6E3DB84D" w14:textId="77777777" w:rsidR="00DB7018" w:rsidRPr="00DB7018" w:rsidRDefault="00DB7018" w:rsidP="001A7DB1">
            <w:pPr>
              <w:rPr>
                <w:rFonts w:ascii="Calibri" w:eastAsia="Calibri" w:hAnsi="Calibri" w:cs="Calibri"/>
                <w:b/>
                <w:sz w:val="16"/>
                <w:szCs w:val="16"/>
              </w:rPr>
            </w:pPr>
            <w:r w:rsidRPr="00DB7018">
              <w:rPr>
                <w:rFonts w:ascii="Calibri" w:eastAsia="Calibri" w:hAnsi="Calibri" w:cs="Calibri"/>
                <w:b/>
                <w:sz w:val="16"/>
                <w:szCs w:val="16"/>
              </w:rPr>
              <w:t>Author</w:t>
            </w:r>
          </w:p>
          <w:p w14:paraId="50D45E34" w14:textId="77777777" w:rsidR="00DB7018" w:rsidRPr="00DB7018" w:rsidRDefault="00DB7018" w:rsidP="001A7DB1">
            <w:pPr>
              <w:rPr>
                <w:rFonts w:ascii="Calibri" w:eastAsia="Calibri" w:hAnsi="Calibri" w:cs="Calibri"/>
                <w:b/>
                <w:sz w:val="16"/>
                <w:szCs w:val="16"/>
              </w:rPr>
            </w:pPr>
            <w:r w:rsidRPr="00DB7018">
              <w:rPr>
                <w:rFonts w:ascii="Calibri" w:eastAsia="Calibri" w:hAnsi="Calibri" w:cs="Calibri"/>
                <w:b/>
                <w:sz w:val="16"/>
                <w:szCs w:val="16"/>
              </w:rPr>
              <w:t>Year</w:t>
            </w:r>
          </w:p>
          <w:p w14:paraId="7E2ED105" w14:textId="77777777" w:rsidR="00DB7018" w:rsidRPr="00DB7018" w:rsidRDefault="00DB7018" w:rsidP="001A7DB1">
            <w:pPr>
              <w:rPr>
                <w:rFonts w:ascii="Calibri" w:eastAsia="Calibri" w:hAnsi="Calibri" w:cs="Calibri"/>
                <w:b/>
                <w:sz w:val="16"/>
                <w:szCs w:val="16"/>
              </w:rPr>
            </w:pPr>
            <w:r w:rsidRPr="00DB7018">
              <w:rPr>
                <w:rFonts w:ascii="Calibri" w:eastAsia="Calibri" w:hAnsi="Calibri" w:cs="Calibri"/>
                <w:b/>
                <w:sz w:val="16"/>
                <w:szCs w:val="16"/>
              </w:rPr>
              <w:t>Country</w:t>
            </w:r>
          </w:p>
        </w:tc>
        <w:tc>
          <w:tcPr>
            <w:tcW w:w="1985" w:type="dxa"/>
            <w:tcBorders>
              <w:top w:val="single" w:sz="4" w:space="0" w:color="auto"/>
              <w:bottom w:val="single" w:sz="4" w:space="0" w:color="auto"/>
            </w:tcBorders>
          </w:tcPr>
          <w:p w14:paraId="6515AEBD" w14:textId="77777777" w:rsidR="00DB7018" w:rsidRPr="00DB7018" w:rsidRDefault="00DB7018" w:rsidP="001A7DB1">
            <w:pPr>
              <w:rPr>
                <w:rFonts w:ascii="Calibri" w:eastAsia="Calibri" w:hAnsi="Calibri" w:cs="Calibri"/>
                <w:b/>
                <w:sz w:val="16"/>
                <w:szCs w:val="16"/>
              </w:rPr>
            </w:pPr>
            <w:r w:rsidRPr="00DB7018">
              <w:rPr>
                <w:rFonts w:ascii="Calibri" w:eastAsia="Calibri" w:hAnsi="Calibri" w:cs="Calibri"/>
                <w:b/>
                <w:sz w:val="16"/>
                <w:szCs w:val="16"/>
              </w:rPr>
              <w:t>Aims</w:t>
            </w:r>
          </w:p>
        </w:tc>
        <w:tc>
          <w:tcPr>
            <w:tcW w:w="6662" w:type="dxa"/>
            <w:tcBorders>
              <w:top w:val="single" w:sz="4" w:space="0" w:color="auto"/>
              <w:bottom w:val="single" w:sz="4" w:space="0" w:color="auto"/>
            </w:tcBorders>
          </w:tcPr>
          <w:p w14:paraId="0BDD87AB" w14:textId="77777777" w:rsidR="00DB7018" w:rsidRPr="00DB7018" w:rsidRDefault="00DB7018" w:rsidP="001A7DB1">
            <w:pPr>
              <w:rPr>
                <w:rFonts w:ascii="Calibri" w:eastAsia="Calibri" w:hAnsi="Calibri" w:cs="Calibri"/>
                <w:b/>
                <w:sz w:val="16"/>
                <w:szCs w:val="16"/>
              </w:rPr>
            </w:pPr>
            <w:r w:rsidRPr="00DB7018">
              <w:rPr>
                <w:rFonts w:ascii="Calibri" w:eastAsia="Calibri" w:hAnsi="Calibri" w:cs="Calibri"/>
                <w:b/>
                <w:sz w:val="16"/>
                <w:szCs w:val="16"/>
              </w:rPr>
              <w:t>Method and participant characteristics</w:t>
            </w:r>
          </w:p>
        </w:tc>
        <w:tc>
          <w:tcPr>
            <w:tcW w:w="4961" w:type="dxa"/>
            <w:tcBorders>
              <w:top w:val="single" w:sz="4" w:space="0" w:color="auto"/>
              <w:bottom w:val="single" w:sz="4" w:space="0" w:color="auto"/>
            </w:tcBorders>
          </w:tcPr>
          <w:p w14:paraId="4CAA5A07" w14:textId="77777777" w:rsidR="00DB7018" w:rsidRPr="00DB7018" w:rsidRDefault="00DB7018" w:rsidP="001A7DB1">
            <w:pPr>
              <w:rPr>
                <w:rFonts w:ascii="Calibri" w:eastAsia="Calibri" w:hAnsi="Calibri" w:cs="Calibri"/>
                <w:b/>
                <w:sz w:val="16"/>
                <w:szCs w:val="16"/>
              </w:rPr>
            </w:pPr>
            <w:r w:rsidRPr="00DB7018">
              <w:rPr>
                <w:rFonts w:ascii="Calibri" w:eastAsia="Calibri" w:hAnsi="Calibri" w:cs="Calibri"/>
                <w:b/>
                <w:sz w:val="16"/>
                <w:szCs w:val="16"/>
              </w:rPr>
              <w:t>Study findings</w:t>
            </w:r>
          </w:p>
        </w:tc>
      </w:tr>
      <w:tr w:rsidR="00DB7018" w:rsidRPr="00DB7018" w14:paraId="4AD64849" w14:textId="77777777" w:rsidTr="00634698">
        <w:tc>
          <w:tcPr>
            <w:tcW w:w="1276" w:type="dxa"/>
            <w:tcBorders>
              <w:top w:val="single" w:sz="4" w:space="0" w:color="auto"/>
            </w:tcBorders>
          </w:tcPr>
          <w:p w14:paraId="19CF8CAD"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 xml:space="preserve">Sorensen &amp; </w:t>
            </w:r>
            <w:proofErr w:type="spellStart"/>
            <w:r w:rsidRPr="00DB7018">
              <w:rPr>
                <w:rFonts w:ascii="Calibri" w:eastAsia="Calibri" w:hAnsi="Calibri" w:cs="Calibri"/>
                <w:sz w:val="16"/>
                <w:szCs w:val="16"/>
              </w:rPr>
              <w:t>Pinquart</w:t>
            </w:r>
            <w:proofErr w:type="spellEnd"/>
          </w:p>
          <w:p w14:paraId="4A548038"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2001</w:t>
            </w:r>
          </w:p>
          <w:p w14:paraId="26C7C71A"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USA</w:t>
            </w:r>
          </w:p>
        </w:tc>
        <w:tc>
          <w:tcPr>
            <w:tcW w:w="1985" w:type="dxa"/>
            <w:tcBorders>
              <w:top w:val="single" w:sz="4" w:space="0" w:color="auto"/>
            </w:tcBorders>
          </w:tcPr>
          <w:p w14:paraId="592DF35B"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To develop a measure of older adults’ preparation for future care needs</w:t>
            </w:r>
          </w:p>
        </w:tc>
        <w:tc>
          <w:tcPr>
            <w:tcW w:w="6662" w:type="dxa"/>
            <w:tcBorders>
              <w:top w:val="single" w:sz="4" w:space="0" w:color="auto"/>
            </w:tcBorders>
          </w:tcPr>
          <w:p w14:paraId="52DDCBC4"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Three phase design.</w:t>
            </w:r>
          </w:p>
          <w:p w14:paraId="21DEF2A6"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1</w:t>
            </w:r>
            <w:r w:rsidRPr="00DB7018">
              <w:rPr>
                <w:rFonts w:ascii="Calibri" w:eastAsia="Calibri" w:hAnsi="Calibri" w:cs="Calibri"/>
                <w:sz w:val="16"/>
                <w:szCs w:val="16"/>
              </w:rPr>
              <w:t xml:space="preserve">: Item generation via qualitative interviews with older people in USA and Eastern Germany. Qualitative analysis. </w:t>
            </w:r>
          </w:p>
          <w:p w14:paraId="010F98FC" w14:textId="58F5C6C8"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2</w:t>
            </w:r>
            <w:r w:rsidRPr="00DB7018">
              <w:rPr>
                <w:rFonts w:ascii="Calibri" w:eastAsia="Calibri" w:hAnsi="Calibri" w:cs="Calibri"/>
                <w:sz w:val="16"/>
                <w:szCs w:val="16"/>
              </w:rPr>
              <w:t>: Factor analysis of 242 questionnaires sent to 600 community dwelling adults. Sample: female 54%; age range 65-96 years (mean 75 years); ethnicity not reported.</w:t>
            </w:r>
          </w:p>
          <w:p w14:paraId="030CC3A8" w14:textId="77777777" w:rsid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3</w:t>
            </w:r>
            <w:r w:rsidRPr="00DB7018">
              <w:rPr>
                <w:rFonts w:ascii="Calibri" w:eastAsia="Calibri" w:hAnsi="Calibri" w:cs="Calibri"/>
                <w:sz w:val="16"/>
                <w:szCs w:val="16"/>
              </w:rPr>
              <w:t xml:space="preserve">: Scale validation using confirmatory factor analysis, reliability and stability coefficients from 590 </w:t>
            </w:r>
            <w:r w:rsidR="00C203D9">
              <w:rPr>
                <w:rFonts w:ascii="Calibri" w:eastAsia="Calibri" w:hAnsi="Calibri" w:cs="Calibri"/>
                <w:sz w:val="16"/>
                <w:szCs w:val="16"/>
              </w:rPr>
              <w:t xml:space="preserve">(/1600) </w:t>
            </w:r>
            <w:r w:rsidRPr="00DB7018">
              <w:rPr>
                <w:rFonts w:ascii="Calibri" w:eastAsia="Calibri" w:hAnsi="Calibri" w:cs="Calibri"/>
                <w:sz w:val="16"/>
                <w:szCs w:val="16"/>
              </w:rPr>
              <w:t xml:space="preserve">questionnaires </w:t>
            </w:r>
            <w:r w:rsidR="00C203D9">
              <w:rPr>
                <w:rFonts w:ascii="Calibri" w:eastAsia="Calibri" w:hAnsi="Calibri" w:cs="Calibri"/>
                <w:sz w:val="16"/>
                <w:szCs w:val="16"/>
              </w:rPr>
              <w:t>from</w:t>
            </w:r>
            <w:r w:rsidRPr="00DB7018">
              <w:rPr>
                <w:rFonts w:ascii="Calibri" w:eastAsia="Calibri" w:hAnsi="Calibri" w:cs="Calibri"/>
                <w:sz w:val="16"/>
                <w:szCs w:val="16"/>
              </w:rPr>
              <w:t xml:space="preserve"> community dwelling adults. Sample</w:t>
            </w:r>
            <w:r w:rsidR="00C203D9">
              <w:rPr>
                <w:rFonts w:ascii="Calibri" w:eastAsia="Calibri" w:hAnsi="Calibri" w:cs="Calibri"/>
                <w:sz w:val="16"/>
                <w:szCs w:val="16"/>
              </w:rPr>
              <w:t xml:space="preserve">: </w:t>
            </w:r>
            <w:r w:rsidRPr="00DB7018">
              <w:rPr>
                <w:rFonts w:ascii="Calibri" w:eastAsia="Calibri" w:hAnsi="Calibri" w:cs="Calibri"/>
                <w:sz w:val="16"/>
                <w:szCs w:val="16"/>
              </w:rPr>
              <w:t>female 45%, age range 64-92 years (mean 74 years); ethnicity not reported.</w:t>
            </w:r>
          </w:p>
          <w:p w14:paraId="4E6CA462" w14:textId="1197AE77" w:rsidR="001A7DB1" w:rsidRPr="00DB7018" w:rsidRDefault="001A7DB1" w:rsidP="001A7DB1">
            <w:pPr>
              <w:rPr>
                <w:rFonts w:ascii="Calibri" w:eastAsia="Calibri" w:hAnsi="Calibri" w:cs="Calibri"/>
                <w:sz w:val="16"/>
                <w:szCs w:val="16"/>
              </w:rPr>
            </w:pPr>
          </w:p>
        </w:tc>
        <w:tc>
          <w:tcPr>
            <w:tcW w:w="4961" w:type="dxa"/>
            <w:tcBorders>
              <w:top w:val="single" w:sz="4" w:space="0" w:color="auto"/>
            </w:tcBorders>
          </w:tcPr>
          <w:p w14:paraId="38EB1D38"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1</w:t>
            </w:r>
            <w:r w:rsidRPr="00DB7018">
              <w:rPr>
                <w:rFonts w:ascii="Calibri" w:eastAsia="Calibri" w:hAnsi="Calibri" w:cs="Calibri"/>
                <w:sz w:val="16"/>
                <w:szCs w:val="16"/>
              </w:rPr>
              <w:t>: Items generated from respondents developed into 4 domains.</w:t>
            </w:r>
          </w:p>
          <w:p w14:paraId="2ECCB593"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2</w:t>
            </w:r>
            <w:r w:rsidRPr="00DB7018">
              <w:rPr>
                <w:rFonts w:ascii="Calibri" w:eastAsia="Calibri" w:hAnsi="Calibri" w:cs="Calibri"/>
                <w:sz w:val="16"/>
                <w:szCs w:val="16"/>
              </w:rPr>
              <w:t>:  Findings not reported.</w:t>
            </w:r>
          </w:p>
          <w:p w14:paraId="7E5EA622" w14:textId="77777777" w:rsidR="00DB7018" w:rsidRPr="00DB7018" w:rsidRDefault="00DB7018" w:rsidP="001A7DB1">
            <w:pPr>
              <w:rPr>
                <w:rFonts w:ascii="Calibri" w:eastAsia="Calibri" w:hAnsi="Calibri" w:cs="Times New Roman"/>
              </w:rPr>
            </w:pPr>
            <w:r w:rsidRPr="00DB7018">
              <w:rPr>
                <w:rFonts w:ascii="Calibri" w:eastAsia="Calibri" w:hAnsi="Calibri" w:cs="Calibri"/>
                <w:i/>
                <w:sz w:val="16"/>
                <w:szCs w:val="16"/>
              </w:rPr>
              <w:t>Phase 3</w:t>
            </w:r>
            <w:r w:rsidRPr="00DB7018">
              <w:rPr>
                <w:rFonts w:ascii="Calibri" w:eastAsia="Calibri" w:hAnsi="Calibri" w:cs="Calibri"/>
                <w:sz w:val="16"/>
                <w:szCs w:val="16"/>
              </w:rPr>
              <w:t>: Scale validation:</w:t>
            </w:r>
            <w:r w:rsidRPr="00DB7018">
              <w:rPr>
                <w:rFonts w:ascii="Calibri" w:eastAsia="Calibri" w:hAnsi="Calibri" w:cs="Times New Roman"/>
              </w:rPr>
              <w:t xml:space="preserve"> </w:t>
            </w:r>
          </w:p>
          <w:p w14:paraId="10186F79"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 xml:space="preserve">Reliability coefficients for the total scale .72 and .87. </w:t>
            </w:r>
          </w:p>
          <w:p w14:paraId="14793805"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 xml:space="preserve">Stability over 3 months .32 to .72.  </w:t>
            </w:r>
          </w:p>
          <w:p w14:paraId="0966E11A"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Between 14.6% and 56.7% of the variance explained by items in a five-factor structure.</w:t>
            </w:r>
          </w:p>
        </w:tc>
      </w:tr>
      <w:tr w:rsidR="00DB7018" w:rsidRPr="00DB7018" w14:paraId="531A078C" w14:textId="77777777" w:rsidTr="00634698">
        <w:tc>
          <w:tcPr>
            <w:tcW w:w="1276" w:type="dxa"/>
          </w:tcPr>
          <w:p w14:paraId="199FE7F2" w14:textId="77777777" w:rsidR="00DB7018" w:rsidRPr="00DB7018" w:rsidRDefault="00DB7018" w:rsidP="001A7DB1">
            <w:pPr>
              <w:rPr>
                <w:rFonts w:ascii="Calibri" w:eastAsia="Calibri" w:hAnsi="Calibri" w:cs="Calibri"/>
                <w:sz w:val="16"/>
                <w:szCs w:val="16"/>
              </w:rPr>
            </w:pPr>
            <w:proofErr w:type="spellStart"/>
            <w:r w:rsidRPr="00DB7018">
              <w:rPr>
                <w:rFonts w:ascii="Calibri" w:eastAsia="Calibri" w:hAnsi="Calibri" w:cs="Calibri"/>
                <w:sz w:val="16"/>
                <w:szCs w:val="16"/>
              </w:rPr>
              <w:t>Friedemann</w:t>
            </w:r>
            <w:proofErr w:type="spellEnd"/>
            <w:r w:rsidRPr="00DB7018">
              <w:rPr>
                <w:rFonts w:ascii="Calibri" w:eastAsia="Calibri" w:hAnsi="Calibri" w:cs="Calibri"/>
                <w:sz w:val="16"/>
                <w:szCs w:val="16"/>
              </w:rPr>
              <w:t xml:space="preserve"> et al</w:t>
            </w:r>
          </w:p>
          <w:p w14:paraId="2691F712"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2004</w:t>
            </w:r>
          </w:p>
          <w:p w14:paraId="48C0444E"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USA</w:t>
            </w:r>
          </w:p>
        </w:tc>
        <w:tc>
          <w:tcPr>
            <w:tcW w:w="1985" w:type="dxa"/>
          </w:tcPr>
          <w:p w14:paraId="13094B37"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To develop and test an instrument to measure long-term-care planning behaviour</w:t>
            </w:r>
          </w:p>
        </w:tc>
        <w:tc>
          <w:tcPr>
            <w:tcW w:w="6662" w:type="dxa"/>
          </w:tcPr>
          <w:p w14:paraId="66973F84"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Two phase design.</w:t>
            </w:r>
          </w:p>
          <w:p w14:paraId="536C902E"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1</w:t>
            </w:r>
            <w:r w:rsidRPr="00DB7018">
              <w:rPr>
                <w:rFonts w:ascii="Calibri" w:eastAsia="Calibri" w:hAnsi="Calibri" w:cs="Calibri"/>
                <w:sz w:val="16"/>
                <w:szCs w:val="16"/>
              </w:rPr>
              <w:t xml:space="preserve">: Item generation from 60 researcher-formulated activity statements in focus groups with 18 older people.  </w:t>
            </w:r>
          </w:p>
          <w:p w14:paraId="06E41DC4"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2</w:t>
            </w:r>
            <w:r w:rsidRPr="00DB7018">
              <w:rPr>
                <w:rFonts w:ascii="Calibri" w:eastAsia="Calibri" w:hAnsi="Calibri" w:cs="Calibri"/>
                <w:sz w:val="16"/>
                <w:szCs w:val="16"/>
              </w:rPr>
              <w:t>: Exploratory principle axis factoring (PAF) Confirmatory factor analyses (CFA) of telephone questionnaires administered to 150 people aged 55–70 years; female</w:t>
            </w:r>
            <w:r w:rsidRPr="00DB7018" w:rsidDel="00BC38A9">
              <w:rPr>
                <w:rFonts w:ascii="Calibri" w:eastAsia="Calibri" w:hAnsi="Calibri" w:cs="Calibri"/>
                <w:sz w:val="16"/>
                <w:szCs w:val="16"/>
              </w:rPr>
              <w:t xml:space="preserve"> </w:t>
            </w:r>
            <w:r w:rsidRPr="00DB7018">
              <w:rPr>
                <w:rFonts w:ascii="Calibri" w:eastAsia="Calibri" w:hAnsi="Calibri" w:cs="Calibri"/>
                <w:sz w:val="16"/>
                <w:szCs w:val="16"/>
              </w:rPr>
              <w:t>62%; 58% Hispanic; 11% African American or Black; 30% non-Hispanic White; 1% American Indian</w:t>
            </w:r>
          </w:p>
          <w:p w14:paraId="78568EA3" w14:textId="77777777" w:rsidR="00DB7018" w:rsidRPr="00DB7018" w:rsidRDefault="00DB7018" w:rsidP="001A7DB1">
            <w:pPr>
              <w:rPr>
                <w:rFonts w:ascii="Calibri" w:eastAsia="Calibri" w:hAnsi="Calibri" w:cs="Calibri"/>
                <w:sz w:val="16"/>
                <w:szCs w:val="16"/>
              </w:rPr>
            </w:pPr>
          </w:p>
        </w:tc>
        <w:tc>
          <w:tcPr>
            <w:tcW w:w="4961" w:type="dxa"/>
          </w:tcPr>
          <w:p w14:paraId="2BAB0A63" w14:textId="77777777" w:rsidR="00DB7018" w:rsidRPr="00DB7018" w:rsidRDefault="00DB7018" w:rsidP="001A7DB1">
            <w:pPr>
              <w:numPr>
                <w:ilvl w:val="0"/>
                <w:numId w:val="26"/>
              </w:numPr>
              <w:contextualSpacing/>
              <w:rPr>
                <w:rFonts w:ascii="Calibri" w:eastAsia="Calibri" w:hAnsi="Calibri" w:cs="Calibri"/>
                <w:sz w:val="16"/>
                <w:szCs w:val="16"/>
              </w:rPr>
            </w:pPr>
            <w:r w:rsidRPr="00DB7018">
              <w:rPr>
                <w:rFonts w:ascii="Calibri" w:eastAsia="Calibri" w:hAnsi="Calibri" w:cs="Calibri"/>
                <w:sz w:val="16"/>
                <w:szCs w:val="16"/>
              </w:rPr>
              <w:t>PAF found eigenvalues greater than 1 explaining 52% of the variance.</w:t>
            </w:r>
          </w:p>
          <w:p w14:paraId="5BBA4584" w14:textId="77777777" w:rsidR="00DB7018" w:rsidRPr="00DB7018" w:rsidRDefault="00DB7018" w:rsidP="001A7DB1">
            <w:pPr>
              <w:numPr>
                <w:ilvl w:val="0"/>
                <w:numId w:val="26"/>
              </w:numPr>
              <w:contextualSpacing/>
              <w:rPr>
                <w:rFonts w:ascii="Calibri" w:eastAsia="Calibri" w:hAnsi="Calibri" w:cs="Calibri"/>
                <w:sz w:val="16"/>
                <w:szCs w:val="16"/>
              </w:rPr>
            </w:pPr>
            <w:r w:rsidRPr="00DB7018">
              <w:rPr>
                <w:rFonts w:ascii="Calibri" w:eastAsia="Calibri" w:hAnsi="Calibri" w:cs="Calibri"/>
                <w:sz w:val="16"/>
                <w:szCs w:val="16"/>
              </w:rPr>
              <w:t xml:space="preserve">CFA supported a five-factor structure with a comparative fit index of 0.987.  </w:t>
            </w:r>
          </w:p>
          <w:p w14:paraId="1409B2B8" w14:textId="77777777" w:rsidR="00DB7018" w:rsidRPr="00DB7018" w:rsidRDefault="00DB7018" w:rsidP="001A7DB1">
            <w:pPr>
              <w:numPr>
                <w:ilvl w:val="0"/>
                <w:numId w:val="26"/>
              </w:numPr>
              <w:contextualSpacing/>
              <w:rPr>
                <w:rFonts w:ascii="Calibri" w:eastAsia="Calibri" w:hAnsi="Calibri" w:cs="Calibri"/>
                <w:sz w:val="16"/>
                <w:szCs w:val="16"/>
              </w:rPr>
            </w:pPr>
            <w:r w:rsidRPr="00DB7018">
              <w:rPr>
                <w:rFonts w:ascii="Calibri" w:eastAsia="Calibri" w:hAnsi="Calibri" w:cs="Calibri"/>
                <w:sz w:val="16"/>
                <w:szCs w:val="16"/>
              </w:rPr>
              <w:t>Reliability ranged from 0.71 to 0.88.</w:t>
            </w:r>
          </w:p>
        </w:tc>
      </w:tr>
      <w:tr w:rsidR="00DB7018" w:rsidRPr="00DB7018" w14:paraId="796DC4BE" w14:textId="77777777" w:rsidTr="00634698">
        <w:tc>
          <w:tcPr>
            <w:tcW w:w="1276" w:type="dxa"/>
          </w:tcPr>
          <w:p w14:paraId="28A0635F" w14:textId="77777777" w:rsidR="00DB7018" w:rsidRPr="00DB7018" w:rsidRDefault="00DB7018" w:rsidP="001A7DB1">
            <w:pPr>
              <w:rPr>
                <w:rFonts w:ascii="Calibri" w:eastAsia="Calibri" w:hAnsi="Calibri" w:cs="Calibri"/>
                <w:sz w:val="16"/>
                <w:szCs w:val="16"/>
              </w:rPr>
            </w:pPr>
            <w:proofErr w:type="spellStart"/>
            <w:r w:rsidRPr="00DB7018">
              <w:rPr>
                <w:rFonts w:ascii="Calibri" w:eastAsia="Calibri" w:hAnsi="Calibri" w:cs="Calibri"/>
                <w:sz w:val="16"/>
                <w:szCs w:val="16"/>
              </w:rPr>
              <w:t>Garvelink</w:t>
            </w:r>
            <w:proofErr w:type="spellEnd"/>
            <w:r w:rsidRPr="00DB7018">
              <w:rPr>
                <w:rFonts w:ascii="Calibri" w:eastAsia="Calibri" w:hAnsi="Calibri" w:cs="Calibri"/>
                <w:sz w:val="16"/>
                <w:szCs w:val="16"/>
              </w:rPr>
              <w:t xml:space="preserve"> et al</w:t>
            </w:r>
          </w:p>
          <w:p w14:paraId="2C11015D"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2016</w:t>
            </w:r>
          </w:p>
          <w:p w14:paraId="236E1C10"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Canada</w:t>
            </w:r>
          </w:p>
        </w:tc>
        <w:tc>
          <w:tcPr>
            <w:tcW w:w="1985" w:type="dxa"/>
          </w:tcPr>
          <w:p w14:paraId="52374C08"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To develop a decision aid to support older people in making decisions about location of care</w:t>
            </w:r>
          </w:p>
        </w:tc>
        <w:tc>
          <w:tcPr>
            <w:tcW w:w="6662" w:type="dxa"/>
          </w:tcPr>
          <w:p w14:paraId="2E6CADEB" w14:textId="77777777"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 xml:space="preserve">Iterative 3-phase design. </w:t>
            </w:r>
          </w:p>
          <w:p w14:paraId="1A58D023" w14:textId="1C8BF292"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i/>
                <w:sz w:val="16"/>
                <w:szCs w:val="16"/>
              </w:rPr>
              <w:t>Phase 1</w:t>
            </w:r>
            <w:r w:rsidRPr="00DB7018">
              <w:rPr>
                <w:rFonts w:ascii="Calibri" w:eastAsia="Calibri" w:hAnsi="Calibri" w:cs="Calibri"/>
                <w:sz w:val="16"/>
                <w:szCs w:val="16"/>
              </w:rPr>
              <w:t>: Qualitative interviews with 6 caregivers of older people recently fac</w:t>
            </w:r>
            <w:r w:rsidR="00C203D9">
              <w:rPr>
                <w:rFonts w:ascii="Calibri" w:eastAsia="Calibri" w:hAnsi="Calibri" w:cs="Calibri"/>
                <w:sz w:val="16"/>
                <w:szCs w:val="16"/>
              </w:rPr>
              <w:t>ing</w:t>
            </w:r>
            <w:r w:rsidRPr="00DB7018">
              <w:rPr>
                <w:rFonts w:ascii="Calibri" w:eastAsia="Calibri" w:hAnsi="Calibri" w:cs="Calibri"/>
                <w:sz w:val="16"/>
                <w:szCs w:val="16"/>
              </w:rPr>
              <w:t xml:space="preserve"> decision about location of care; search for existing decision aids and summary of reviews.</w:t>
            </w:r>
          </w:p>
          <w:p w14:paraId="5C35984B" w14:textId="3FE57AC5"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i/>
                <w:sz w:val="16"/>
                <w:szCs w:val="16"/>
              </w:rPr>
              <w:t>Phase 2</w:t>
            </w:r>
            <w:r w:rsidRPr="00DB7018">
              <w:rPr>
                <w:rFonts w:ascii="Calibri" w:eastAsia="Calibri" w:hAnsi="Calibri" w:cs="Calibri"/>
                <w:sz w:val="16"/>
                <w:szCs w:val="16"/>
              </w:rPr>
              <w:t xml:space="preserve">: Usability testing of prototype guide. Sample: 5 caregivers; aged 57-68 years (median 68 years); all female. </w:t>
            </w:r>
          </w:p>
          <w:p w14:paraId="0F205D53" w14:textId="30236566"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i/>
                <w:sz w:val="16"/>
                <w:szCs w:val="16"/>
              </w:rPr>
              <w:t>Phase 3</w:t>
            </w:r>
            <w:r w:rsidRPr="00DB7018">
              <w:rPr>
                <w:rFonts w:ascii="Calibri" w:eastAsia="Calibri" w:hAnsi="Calibri" w:cs="Calibri"/>
                <w:sz w:val="16"/>
                <w:szCs w:val="16"/>
              </w:rPr>
              <w:t xml:space="preserve">: Final guide usability test. Sample: 4 older adults; mean age 82 years; all female. Ethnicity not reported. </w:t>
            </w:r>
          </w:p>
          <w:p w14:paraId="67A8F817" w14:textId="19ECE53F"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Usability assessment in Phases 2 and 3 included summary of open-ended comments.</w:t>
            </w:r>
          </w:p>
        </w:tc>
        <w:tc>
          <w:tcPr>
            <w:tcW w:w="4961" w:type="dxa"/>
          </w:tcPr>
          <w:p w14:paraId="58427A5F"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 xml:space="preserve">Usability assessed by sample of 4 as: </w:t>
            </w:r>
          </w:p>
          <w:p w14:paraId="095D7D8F"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 xml:space="preserve">Clear information on all pages (median 4/4 agreed; range per page 2/4 to 4/4) </w:t>
            </w:r>
          </w:p>
          <w:p w14:paraId="62A691C4"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Correct length (4/4 participants agreed)</w:t>
            </w:r>
          </w:p>
          <w:p w14:paraId="2B32FC99"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Right length (4/4 agreed)</w:t>
            </w:r>
          </w:p>
          <w:p w14:paraId="5E113EBD"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Right amount of information (3/4 agreed)</w:t>
            </w:r>
          </w:p>
          <w:p w14:paraId="56A0CB99"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 xml:space="preserve">Acceptable balance of information (3/4 agreed); </w:t>
            </w:r>
          </w:p>
          <w:p w14:paraId="6E35671B" w14:textId="77777777" w:rsid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Helpful for decision-making (4/4 agreed)</w:t>
            </w:r>
          </w:p>
          <w:p w14:paraId="71AF9ED8" w14:textId="10C4EFEF" w:rsidR="001A7DB1" w:rsidRPr="00DB7018" w:rsidRDefault="001A7DB1" w:rsidP="001A7DB1">
            <w:pPr>
              <w:contextualSpacing/>
              <w:rPr>
                <w:rFonts w:ascii="Calibri" w:eastAsia="Calibri" w:hAnsi="Calibri" w:cs="Calibri"/>
                <w:sz w:val="16"/>
                <w:szCs w:val="16"/>
              </w:rPr>
            </w:pPr>
          </w:p>
        </w:tc>
      </w:tr>
      <w:tr w:rsidR="00DB7018" w:rsidRPr="00DB7018" w14:paraId="2E00C5E8" w14:textId="77777777" w:rsidTr="00634698">
        <w:tc>
          <w:tcPr>
            <w:tcW w:w="1276" w:type="dxa"/>
          </w:tcPr>
          <w:p w14:paraId="0321AC08" w14:textId="77777777" w:rsidR="00DB7018" w:rsidRPr="00DB7018" w:rsidRDefault="00DB7018" w:rsidP="001A7DB1">
            <w:pPr>
              <w:rPr>
                <w:rFonts w:ascii="Calibri" w:eastAsia="Calibri" w:hAnsi="Calibri" w:cs="Calibri"/>
                <w:sz w:val="16"/>
                <w:szCs w:val="16"/>
              </w:rPr>
            </w:pPr>
            <w:proofErr w:type="spellStart"/>
            <w:r w:rsidRPr="00DB7018">
              <w:rPr>
                <w:rFonts w:ascii="Calibri" w:eastAsia="Calibri" w:hAnsi="Calibri" w:cs="Calibri"/>
                <w:sz w:val="16"/>
                <w:szCs w:val="16"/>
              </w:rPr>
              <w:t>Garvelink</w:t>
            </w:r>
            <w:proofErr w:type="spellEnd"/>
            <w:r w:rsidRPr="00DB7018">
              <w:rPr>
                <w:rFonts w:ascii="Calibri" w:eastAsia="Calibri" w:hAnsi="Calibri" w:cs="Calibri"/>
                <w:sz w:val="16"/>
                <w:szCs w:val="16"/>
              </w:rPr>
              <w:t xml:space="preserve"> et al </w:t>
            </w:r>
          </w:p>
          <w:p w14:paraId="3DD15DE3"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2017</w:t>
            </w:r>
          </w:p>
          <w:p w14:paraId="240BA30A"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Canada</w:t>
            </w:r>
          </w:p>
        </w:tc>
        <w:tc>
          <w:tcPr>
            <w:tcW w:w="1985" w:type="dxa"/>
          </w:tcPr>
          <w:p w14:paraId="6D7A6B61"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To develop and test the acceptability of an interactive website presenting information about options for staying independent at home</w:t>
            </w:r>
          </w:p>
        </w:tc>
        <w:tc>
          <w:tcPr>
            <w:tcW w:w="6662" w:type="dxa"/>
          </w:tcPr>
          <w:p w14:paraId="0C7663A6"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 xml:space="preserve">Iterative 3-phase design. </w:t>
            </w:r>
          </w:p>
          <w:p w14:paraId="34D99113" w14:textId="61A3A617"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1</w:t>
            </w:r>
            <w:r w:rsidRPr="00DB7018">
              <w:rPr>
                <w:rFonts w:ascii="Calibri" w:eastAsia="Calibri" w:hAnsi="Calibri" w:cs="Calibri"/>
                <w:sz w:val="16"/>
                <w:szCs w:val="16"/>
              </w:rPr>
              <w:t xml:space="preserve">: Qualitative interviews with 4 older people, 3 caregivers, </w:t>
            </w:r>
            <w:proofErr w:type="gramStart"/>
            <w:r w:rsidRPr="00DB7018">
              <w:rPr>
                <w:rFonts w:ascii="Calibri" w:eastAsia="Calibri" w:hAnsi="Calibri" w:cs="Calibri"/>
                <w:sz w:val="16"/>
                <w:szCs w:val="16"/>
              </w:rPr>
              <w:t>22</w:t>
            </w:r>
            <w:proofErr w:type="gramEnd"/>
            <w:r w:rsidRPr="00DB7018">
              <w:rPr>
                <w:rFonts w:ascii="Calibri" w:eastAsia="Calibri" w:hAnsi="Calibri" w:cs="Calibri"/>
                <w:sz w:val="16"/>
                <w:szCs w:val="16"/>
              </w:rPr>
              <w:t xml:space="preserve"> professionals. </w:t>
            </w:r>
          </w:p>
          <w:p w14:paraId="199F6178" w14:textId="62F1F9ED" w:rsidR="00DB7018" w:rsidRP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2</w:t>
            </w:r>
            <w:r w:rsidRPr="00DB7018">
              <w:rPr>
                <w:rFonts w:ascii="Calibri" w:eastAsia="Calibri" w:hAnsi="Calibri" w:cs="Calibri"/>
                <w:sz w:val="16"/>
                <w:szCs w:val="16"/>
              </w:rPr>
              <w:t>: 30 videos of experts (e.g</w:t>
            </w:r>
            <w:r w:rsidR="001A7DB1">
              <w:rPr>
                <w:rFonts w:ascii="Calibri" w:eastAsia="Calibri" w:hAnsi="Calibri" w:cs="Calibri"/>
                <w:sz w:val="16"/>
                <w:szCs w:val="16"/>
              </w:rPr>
              <w:t xml:space="preserve">. </w:t>
            </w:r>
            <w:r w:rsidRPr="00DB7018">
              <w:rPr>
                <w:rFonts w:ascii="Calibri" w:eastAsia="Calibri" w:hAnsi="Calibri" w:cs="Calibri"/>
                <w:sz w:val="16"/>
                <w:szCs w:val="16"/>
              </w:rPr>
              <w:t>family doctor, home care nurse, and social worker) presenting options and guidance for decision-making process</w:t>
            </w:r>
            <w:r w:rsidR="00C203D9">
              <w:rPr>
                <w:rFonts w:ascii="Calibri" w:eastAsia="Calibri" w:hAnsi="Calibri" w:cs="Calibri"/>
                <w:sz w:val="16"/>
                <w:szCs w:val="16"/>
              </w:rPr>
              <w:t>. I</w:t>
            </w:r>
            <w:r w:rsidRPr="00DB7018">
              <w:rPr>
                <w:rFonts w:ascii="Calibri" w:eastAsia="Calibri" w:hAnsi="Calibri" w:cs="Calibri"/>
                <w:sz w:val="16"/>
                <w:szCs w:val="16"/>
              </w:rPr>
              <w:t xml:space="preserve">ntegrated into interactive website. </w:t>
            </w:r>
          </w:p>
          <w:p w14:paraId="42D57288" w14:textId="77777777" w:rsidR="00DB7018" w:rsidRDefault="00DB7018" w:rsidP="001A7DB1">
            <w:pPr>
              <w:rPr>
                <w:rFonts w:ascii="Calibri" w:eastAsia="Calibri" w:hAnsi="Calibri" w:cs="Calibri"/>
                <w:sz w:val="16"/>
                <w:szCs w:val="16"/>
              </w:rPr>
            </w:pPr>
            <w:r w:rsidRPr="00DB7018">
              <w:rPr>
                <w:rFonts w:ascii="Calibri" w:eastAsia="Calibri" w:hAnsi="Calibri" w:cs="Calibri"/>
                <w:i/>
                <w:sz w:val="16"/>
                <w:szCs w:val="16"/>
              </w:rPr>
              <w:t>Phase 3</w:t>
            </w:r>
            <w:r w:rsidRPr="00DB7018">
              <w:rPr>
                <w:rFonts w:ascii="Calibri" w:eastAsia="Calibri" w:hAnsi="Calibri" w:cs="Calibri"/>
                <w:sz w:val="16"/>
                <w:szCs w:val="16"/>
              </w:rPr>
              <w:t>: Evaluation of acceptability of website. Sample comprised: 7 older females (mean age 75 years); 7 caregivers; 6 professionals. Ethnicity not reported.</w:t>
            </w:r>
          </w:p>
          <w:p w14:paraId="126AEAB9" w14:textId="335E46F8" w:rsidR="001A7DB1" w:rsidRPr="00DB7018" w:rsidRDefault="001A7DB1" w:rsidP="001A7DB1">
            <w:pPr>
              <w:rPr>
                <w:rFonts w:ascii="Calibri" w:eastAsia="Calibri" w:hAnsi="Calibri" w:cs="Calibri"/>
                <w:sz w:val="16"/>
                <w:szCs w:val="16"/>
              </w:rPr>
            </w:pPr>
          </w:p>
        </w:tc>
        <w:tc>
          <w:tcPr>
            <w:tcW w:w="4961" w:type="dxa"/>
          </w:tcPr>
          <w:p w14:paraId="2ABB828A" w14:textId="77777777"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Evaluation of acceptability:</w:t>
            </w:r>
          </w:p>
          <w:p w14:paraId="768BBEF9" w14:textId="77777777" w:rsidR="00DB7018" w:rsidRPr="00DB7018" w:rsidRDefault="00DB7018" w:rsidP="001A7DB1">
            <w:pPr>
              <w:numPr>
                <w:ilvl w:val="0"/>
                <w:numId w:val="11"/>
              </w:numPr>
              <w:autoSpaceDE w:val="0"/>
              <w:autoSpaceDN w:val="0"/>
              <w:adjustRightInd w:val="0"/>
              <w:contextualSpacing/>
              <w:rPr>
                <w:rFonts w:ascii="Calibri" w:eastAsia="Calibri" w:hAnsi="Calibri" w:cs="Calibri"/>
                <w:sz w:val="16"/>
                <w:szCs w:val="16"/>
              </w:rPr>
            </w:pPr>
            <w:r w:rsidRPr="00DB7018">
              <w:rPr>
                <w:rFonts w:ascii="Calibri" w:eastAsia="Calibri" w:hAnsi="Calibri" w:cs="Calibri"/>
                <w:sz w:val="16"/>
                <w:szCs w:val="16"/>
              </w:rPr>
              <w:t>Clarity of the videos scored 3.6 out of 4</w:t>
            </w:r>
          </w:p>
          <w:p w14:paraId="6A2A444D" w14:textId="77777777" w:rsidR="00DB7018" w:rsidRPr="00DB7018" w:rsidRDefault="00DB7018" w:rsidP="001A7DB1">
            <w:pPr>
              <w:numPr>
                <w:ilvl w:val="0"/>
                <w:numId w:val="11"/>
              </w:numPr>
              <w:autoSpaceDE w:val="0"/>
              <w:autoSpaceDN w:val="0"/>
              <w:adjustRightInd w:val="0"/>
              <w:contextualSpacing/>
              <w:rPr>
                <w:rFonts w:ascii="Calibri" w:eastAsia="Calibri" w:hAnsi="Calibri" w:cs="Calibri"/>
                <w:sz w:val="16"/>
                <w:szCs w:val="16"/>
              </w:rPr>
            </w:pPr>
            <w:r w:rsidRPr="00DB7018">
              <w:rPr>
                <w:rFonts w:ascii="Calibri" w:eastAsia="Calibri" w:hAnsi="Calibri" w:cs="Calibri"/>
                <w:sz w:val="16"/>
                <w:szCs w:val="16"/>
              </w:rPr>
              <w:t>Length of individual videos about right (17/21 participants)</w:t>
            </w:r>
          </w:p>
          <w:p w14:paraId="728B22E6" w14:textId="77777777" w:rsidR="00DB7018" w:rsidRPr="00DB7018" w:rsidRDefault="00DB7018" w:rsidP="001A7DB1">
            <w:pPr>
              <w:numPr>
                <w:ilvl w:val="0"/>
                <w:numId w:val="11"/>
              </w:numPr>
              <w:autoSpaceDE w:val="0"/>
              <w:autoSpaceDN w:val="0"/>
              <w:adjustRightInd w:val="0"/>
              <w:contextualSpacing/>
              <w:rPr>
                <w:rFonts w:ascii="Calibri" w:eastAsia="Calibri" w:hAnsi="Calibri" w:cs="Calibri"/>
                <w:sz w:val="16"/>
                <w:szCs w:val="16"/>
              </w:rPr>
            </w:pPr>
            <w:r w:rsidRPr="00DB7018">
              <w:rPr>
                <w:rFonts w:ascii="Calibri" w:eastAsia="Calibri" w:hAnsi="Calibri" w:cs="Calibri"/>
                <w:sz w:val="16"/>
                <w:szCs w:val="16"/>
              </w:rPr>
              <w:t>Amount of information in videos about right (17/21 participants)</w:t>
            </w:r>
          </w:p>
          <w:p w14:paraId="5EC6C518" w14:textId="77777777" w:rsidR="00DB7018" w:rsidRPr="00DB7018" w:rsidRDefault="00DB7018" w:rsidP="001A7DB1">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Length of videos taken as a whole (13/21 participants)</w:t>
            </w:r>
            <w:r w:rsidRPr="00DB7018" w:rsidDel="00DA565E">
              <w:rPr>
                <w:rFonts w:ascii="Calibri" w:eastAsia="Calibri" w:hAnsi="Calibri" w:cs="Calibri"/>
                <w:sz w:val="16"/>
                <w:szCs w:val="16"/>
              </w:rPr>
              <w:t xml:space="preserve"> </w:t>
            </w:r>
          </w:p>
          <w:p w14:paraId="0613506B" w14:textId="4750B17A" w:rsidR="00DB7018" w:rsidRPr="00DB7018" w:rsidRDefault="00DB7018" w:rsidP="00634698">
            <w:pPr>
              <w:numPr>
                <w:ilvl w:val="0"/>
                <w:numId w:val="11"/>
              </w:numPr>
              <w:contextualSpacing/>
              <w:rPr>
                <w:rFonts w:ascii="Calibri" w:eastAsia="Calibri" w:hAnsi="Calibri" w:cs="Calibri"/>
                <w:sz w:val="16"/>
                <w:szCs w:val="16"/>
              </w:rPr>
            </w:pPr>
            <w:r w:rsidRPr="00DB7018">
              <w:rPr>
                <w:rFonts w:ascii="Calibri" w:eastAsia="Calibri" w:hAnsi="Calibri" w:cs="Calibri"/>
                <w:sz w:val="16"/>
                <w:szCs w:val="16"/>
              </w:rPr>
              <w:t>Module was helpful (16/21)</w:t>
            </w:r>
            <w:r w:rsidR="00634698">
              <w:rPr>
                <w:rFonts w:ascii="Calibri" w:eastAsia="Calibri" w:hAnsi="Calibri" w:cs="Calibri"/>
                <w:sz w:val="16"/>
                <w:szCs w:val="16"/>
              </w:rPr>
              <w:t xml:space="preserve">; </w:t>
            </w:r>
            <w:r w:rsidRPr="00DB7018">
              <w:rPr>
                <w:rFonts w:ascii="Calibri" w:eastAsia="Calibri" w:hAnsi="Calibri" w:cs="Calibri"/>
                <w:sz w:val="16"/>
                <w:szCs w:val="16"/>
              </w:rPr>
              <w:t>acceptable (18/21)</w:t>
            </w:r>
          </w:p>
        </w:tc>
      </w:tr>
      <w:tr w:rsidR="00DB7018" w:rsidRPr="00DB7018" w14:paraId="3BFDBF9B" w14:textId="77777777" w:rsidTr="00634698">
        <w:tc>
          <w:tcPr>
            <w:tcW w:w="1276" w:type="dxa"/>
            <w:tcBorders>
              <w:bottom w:val="single" w:sz="4" w:space="0" w:color="auto"/>
            </w:tcBorders>
          </w:tcPr>
          <w:p w14:paraId="6EB50F20"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Hoffman et al</w:t>
            </w:r>
          </w:p>
          <w:p w14:paraId="33122128"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2019</w:t>
            </w:r>
          </w:p>
          <w:p w14:paraId="598ECFF9"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USA</w:t>
            </w:r>
          </w:p>
        </w:tc>
        <w:tc>
          <w:tcPr>
            <w:tcW w:w="1985" w:type="dxa"/>
            <w:tcBorders>
              <w:bottom w:val="single" w:sz="4" w:space="0" w:color="auto"/>
            </w:tcBorders>
          </w:tcPr>
          <w:p w14:paraId="56CD787E"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To develop and field-test a long-term care decision aid website for older adults</w:t>
            </w:r>
          </w:p>
        </w:tc>
        <w:tc>
          <w:tcPr>
            <w:tcW w:w="6662" w:type="dxa"/>
            <w:tcBorders>
              <w:bottom w:val="single" w:sz="4" w:space="0" w:color="auto"/>
            </w:tcBorders>
          </w:tcPr>
          <w:p w14:paraId="23946F57" w14:textId="77777777"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Iterative 3-phase design.</w:t>
            </w:r>
          </w:p>
          <w:p w14:paraId="10800FDC" w14:textId="1AFA86BA"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 xml:space="preserve">Phase1: scoping review, search for existing evidence, </w:t>
            </w:r>
            <w:proofErr w:type="gramStart"/>
            <w:r w:rsidRPr="00DB7018">
              <w:rPr>
                <w:rFonts w:ascii="Calibri" w:eastAsia="Calibri" w:hAnsi="Calibri" w:cs="Calibri"/>
                <w:sz w:val="16"/>
                <w:szCs w:val="16"/>
              </w:rPr>
              <w:t>initial</w:t>
            </w:r>
            <w:proofErr w:type="gramEnd"/>
            <w:r w:rsidRPr="00DB7018">
              <w:rPr>
                <w:rFonts w:ascii="Calibri" w:eastAsia="Calibri" w:hAnsi="Calibri" w:cs="Calibri"/>
                <w:sz w:val="16"/>
                <w:szCs w:val="16"/>
              </w:rPr>
              <w:t xml:space="preserve"> design of decision aid by stakeholder</w:t>
            </w:r>
            <w:r w:rsidR="001A7DB1">
              <w:rPr>
                <w:rFonts w:ascii="Calibri" w:eastAsia="Calibri" w:hAnsi="Calibri" w:cs="Calibri"/>
                <w:sz w:val="16"/>
                <w:szCs w:val="16"/>
              </w:rPr>
              <w:t xml:space="preserve"> panel.</w:t>
            </w:r>
          </w:p>
          <w:p w14:paraId="1BED27B1" w14:textId="77777777"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 xml:space="preserve">Phase 2: Design of ‘storyboard’; iterative cycles of cognitive interviews with users. </w:t>
            </w:r>
          </w:p>
          <w:p w14:paraId="741870B0" w14:textId="627CAA57" w:rsidR="00DB7018" w:rsidRPr="00DB7018" w:rsidRDefault="00DB7018" w:rsidP="001A7DB1">
            <w:pPr>
              <w:autoSpaceDE w:val="0"/>
              <w:autoSpaceDN w:val="0"/>
              <w:adjustRightInd w:val="0"/>
              <w:rPr>
                <w:rFonts w:ascii="Calibri" w:eastAsia="Calibri" w:hAnsi="Calibri" w:cs="Calibri"/>
                <w:sz w:val="16"/>
                <w:szCs w:val="16"/>
              </w:rPr>
            </w:pPr>
            <w:r w:rsidRPr="00DB7018">
              <w:rPr>
                <w:rFonts w:ascii="Calibri" w:eastAsia="Calibri" w:hAnsi="Calibri" w:cs="Calibri"/>
                <w:sz w:val="16"/>
                <w:szCs w:val="16"/>
              </w:rPr>
              <w:t>Phase 3: Field test of decision aid web site. Sample: 12 older adults (female 83%;, aged 61-89 years (67% aged over 80 years)</w:t>
            </w:r>
            <w:r w:rsidRPr="00DB7018" w:rsidDel="00107043">
              <w:rPr>
                <w:rFonts w:ascii="Calibri" w:eastAsia="Calibri" w:hAnsi="Calibri" w:cs="Calibri"/>
                <w:sz w:val="16"/>
                <w:szCs w:val="16"/>
              </w:rPr>
              <w:t xml:space="preserve"> </w:t>
            </w:r>
            <w:r w:rsidRPr="00DB7018">
              <w:rPr>
                <w:rFonts w:ascii="Calibri" w:eastAsia="Calibri" w:hAnsi="Calibri" w:cs="Calibri"/>
                <w:sz w:val="16"/>
                <w:szCs w:val="16"/>
              </w:rPr>
              <w:t>; White/Caucasian 92%; somewhat comfortable with computers (42%</w:t>
            </w:r>
            <w:r w:rsidR="001A7DB1">
              <w:rPr>
                <w:rFonts w:ascii="Calibri" w:eastAsia="Calibri" w:hAnsi="Calibri" w:cs="Calibri"/>
                <w:sz w:val="16"/>
                <w:szCs w:val="16"/>
              </w:rPr>
              <w:t>)</w:t>
            </w:r>
            <w:r w:rsidRPr="00DB7018">
              <w:rPr>
                <w:rFonts w:ascii="Calibri" w:eastAsia="Calibri" w:hAnsi="Calibri" w:cs="Calibri"/>
                <w:sz w:val="16"/>
                <w:szCs w:val="16"/>
              </w:rPr>
              <w:t xml:space="preserve">. Acceptable utility defined as &gt; 80% of participants answering at least </w:t>
            </w:r>
            <w:r w:rsidR="001A7DB1">
              <w:rPr>
                <w:rFonts w:ascii="Calibri" w:eastAsia="Calibri" w:hAnsi="Calibri" w:cs="Calibri"/>
                <w:sz w:val="16"/>
                <w:szCs w:val="16"/>
              </w:rPr>
              <w:t>3/5</w:t>
            </w:r>
            <w:r w:rsidRPr="00DB7018">
              <w:rPr>
                <w:rFonts w:ascii="Calibri" w:eastAsia="Calibri" w:hAnsi="Calibri" w:cs="Calibri"/>
                <w:sz w:val="16"/>
                <w:szCs w:val="16"/>
              </w:rPr>
              <w:t xml:space="preserve"> knowledge items correctly, and responding ‘yes’ to at least </w:t>
            </w:r>
            <w:r w:rsidR="001A7DB1">
              <w:rPr>
                <w:rFonts w:ascii="Calibri" w:eastAsia="Calibri" w:hAnsi="Calibri" w:cs="Calibri"/>
                <w:sz w:val="16"/>
                <w:szCs w:val="16"/>
              </w:rPr>
              <w:t>3/4</w:t>
            </w:r>
            <w:r w:rsidRPr="00DB7018">
              <w:rPr>
                <w:rFonts w:ascii="Calibri" w:eastAsia="Calibri" w:hAnsi="Calibri" w:cs="Calibri"/>
                <w:sz w:val="16"/>
                <w:szCs w:val="16"/>
              </w:rPr>
              <w:t xml:space="preserve"> decisional conflict scale items.</w:t>
            </w:r>
          </w:p>
        </w:tc>
        <w:tc>
          <w:tcPr>
            <w:tcW w:w="4961" w:type="dxa"/>
            <w:tcBorders>
              <w:bottom w:val="single" w:sz="4" w:space="0" w:color="auto"/>
            </w:tcBorders>
          </w:tcPr>
          <w:p w14:paraId="68A80366" w14:textId="77777777" w:rsidR="00DB7018" w:rsidRPr="00DB7018" w:rsidRDefault="00DB7018" w:rsidP="001A7DB1">
            <w:pPr>
              <w:rPr>
                <w:rFonts w:ascii="Calibri" w:eastAsia="Calibri" w:hAnsi="Calibri" w:cs="Calibri"/>
                <w:sz w:val="16"/>
                <w:szCs w:val="16"/>
              </w:rPr>
            </w:pPr>
            <w:r w:rsidRPr="00DB7018">
              <w:rPr>
                <w:rFonts w:ascii="Calibri" w:eastAsia="Calibri" w:hAnsi="Calibri" w:cs="Calibri"/>
                <w:sz w:val="16"/>
                <w:szCs w:val="16"/>
              </w:rPr>
              <w:t>Field test:</w:t>
            </w:r>
          </w:p>
          <w:p w14:paraId="10975CD0" w14:textId="77777777" w:rsidR="00DB7018" w:rsidRPr="00DB7018" w:rsidRDefault="00DB7018" w:rsidP="001A7DB1">
            <w:pPr>
              <w:numPr>
                <w:ilvl w:val="0"/>
                <w:numId w:val="27"/>
              </w:numPr>
              <w:contextualSpacing/>
              <w:rPr>
                <w:rFonts w:ascii="Calibri" w:eastAsia="Calibri" w:hAnsi="Calibri" w:cs="Calibri"/>
                <w:sz w:val="16"/>
                <w:szCs w:val="16"/>
              </w:rPr>
            </w:pPr>
            <w:r w:rsidRPr="00DB7018">
              <w:rPr>
                <w:rFonts w:ascii="Calibri" w:eastAsia="Calibri" w:hAnsi="Calibri" w:cs="Calibri"/>
                <w:sz w:val="16"/>
                <w:szCs w:val="16"/>
              </w:rPr>
              <w:t xml:space="preserve">11/12 participants scored &gt;60% correct on knowledge items (mean 83%) and reported moderate/low decisional conflict. </w:t>
            </w:r>
          </w:p>
          <w:p w14:paraId="19D05B9A" w14:textId="77777777" w:rsidR="00DB7018" w:rsidRPr="00DB7018" w:rsidRDefault="00DB7018" w:rsidP="001A7DB1">
            <w:pPr>
              <w:numPr>
                <w:ilvl w:val="0"/>
                <w:numId w:val="27"/>
              </w:numPr>
              <w:contextualSpacing/>
              <w:rPr>
                <w:rFonts w:ascii="Calibri" w:eastAsia="Calibri" w:hAnsi="Calibri" w:cs="Calibri"/>
                <w:sz w:val="16"/>
                <w:szCs w:val="16"/>
              </w:rPr>
            </w:pPr>
            <w:r w:rsidRPr="00DB7018">
              <w:rPr>
                <w:rFonts w:ascii="Calibri" w:eastAsia="Calibri" w:hAnsi="Calibri" w:cs="Times New Roman"/>
                <w:sz w:val="16"/>
                <w:szCs w:val="16"/>
              </w:rPr>
              <w:t>8/12(</w:t>
            </w:r>
            <w:r w:rsidRPr="00DB7018">
              <w:rPr>
                <w:rFonts w:ascii="Calibri" w:eastAsia="Calibri" w:hAnsi="Calibri" w:cs="Calibri"/>
                <w:sz w:val="16"/>
                <w:szCs w:val="16"/>
              </w:rPr>
              <w:t xml:space="preserve">67%) selected ’yes’ on 3 or more decisional conflict scale items. </w:t>
            </w:r>
          </w:p>
          <w:p w14:paraId="6956D3B9" w14:textId="77777777" w:rsidR="00DB7018" w:rsidRPr="00DB7018" w:rsidRDefault="00DB7018" w:rsidP="001A7DB1">
            <w:pPr>
              <w:numPr>
                <w:ilvl w:val="0"/>
                <w:numId w:val="27"/>
              </w:numPr>
              <w:contextualSpacing/>
              <w:rPr>
                <w:rFonts w:ascii="Calibri" w:eastAsia="Calibri" w:hAnsi="Calibri" w:cs="Calibri"/>
                <w:sz w:val="16"/>
                <w:szCs w:val="16"/>
              </w:rPr>
            </w:pPr>
            <w:r w:rsidRPr="00DB7018">
              <w:rPr>
                <w:rFonts w:ascii="Calibri" w:eastAsia="Calibri" w:hAnsi="Calibri" w:cs="Calibri"/>
                <w:sz w:val="16"/>
                <w:szCs w:val="16"/>
              </w:rPr>
              <w:t>10/12 (83%) rated the decision aid acceptable on 6/9 items</w:t>
            </w:r>
          </w:p>
          <w:p w14:paraId="43054390" w14:textId="77777777" w:rsidR="00DB7018" w:rsidRPr="00DB7018" w:rsidRDefault="00DB7018" w:rsidP="001A7DB1">
            <w:pPr>
              <w:numPr>
                <w:ilvl w:val="0"/>
                <w:numId w:val="27"/>
              </w:numPr>
              <w:contextualSpacing/>
              <w:rPr>
                <w:rFonts w:ascii="Calibri" w:eastAsia="Calibri" w:hAnsi="Calibri" w:cs="Calibri"/>
                <w:sz w:val="16"/>
                <w:szCs w:val="16"/>
              </w:rPr>
            </w:pPr>
            <w:r w:rsidRPr="00DB7018">
              <w:rPr>
                <w:rFonts w:ascii="Calibri" w:eastAsia="Calibri" w:hAnsi="Calibri" w:cs="Calibri"/>
                <w:sz w:val="16"/>
                <w:szCs w:val="16"/>
              </w:rPr>
              <w:t xml:space="preserve">All were able to use the website, spent an average of 26.3 minutes </w:t>
            </w:r>
          </w:p>
        </w:tc>
      </w:tr>
    </w:tbl>
    <w:p w14:paraId="12CC7D3C" w14:textId="3727B0FD" w:rsidR="003E59F1" w:rsidRDefault="00A05B04" w:rsidP="003E59F1">
      <w:pPr>
        <w:rPr>
          <w:b/>
        </w:rPr>
      </w:pPr>
      <w:r w:rsidRPr="0020409D">
        <w:rPr>
          <w:b/>
        </w:rPr>
        <w:lastRenderedPageBreak/>
        <w:t xml:space="preserve">Table 3: </w:t>
      </w:r>
      <w:r>
        <w:rPr>
          <w:b/>
        </w:rPr>
        <w:t>Review d</w:t>
      </w:r>
      <w:r w:rsidRPr="0020409D">
        <w:rPr>
          <w:b/>
        </w:rPr>
        <w:t xml:space="preserve">ata extracted from </w:t>
      </w:r>
      <w:r>
        <w:rPr>
          <w:b/>
        </w:rPr>
        <w:t>papers describing development of decision aids</w:t>
      </w:r>
      <w:r w:rsidRPr="0020409D">
        <w:rPr>
          <w:b/>
        </w:rPr>
        <w:t xml:space="preserve"> (by publication date)</w:t>
      </w:r>
    </w:p>
    <w:tbl>
      <w:tblPr>
        <w:tblStyle w:val="TableGrid"/>
        <w:tblpPr w:leftFromText="181" w:rightFromText="181" w:vertAnchor="text" w:horzAnchor="margin"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1367"/>
        <w:gridCol w:w="1512"/>
        <w:gridCol w:w="1790"/>
        <w:gridCol w:w="1650"/>
        <w:gridCol w:w="3160"/>
        <w:gridCol w:w="1091"/>
        <w:gridCol w:w="2390"/>
      </w:tblGrid>
      <w:tr w:rsidR="003E59F1" w14:paraId="1747657F" w14:textId="77777777" w:rsidTr="003E59F1">
        <w:tc>
          <w:tcPr>
            <w:tcW w:w="349" w:type="pct"/>
            <w:tcBorders>
              <w:top w:val="single" w:sz="4" w:space="0" w:color="auto"/>
              <w:bottom w:val="single" w:sz="4" w:space="0" w:color="auto"/>
            </w:tcBorders>
          </w:tcPr>
          <w:p w14:paraId="0F435CFD" w14:textId="77777777" w:rsidR="003E59F1" w:rsidRPr="00BC7E08" w:rsidRDefault="003E59F1" w:rsidP="00FB4D18">
            <w:pPr>
              <w:rPr>
                <w:rFonts w:cstheme="minorHAnsi"/>
                <w:b/>
                <w:sz w:val="16"/>
                <w:szCs w:val="16"/>
              </w:rPr>
            </w:pPr>
            <w:r w:rsidRPr="00BC7E08">
              <w:rPr>
                <w:rFonts w:cstheme="minorHAnsi"/>
                <w:b/>
                <w:sz w:val="16"/>
                <w:szCs w:val="16"/>
              </w:rPr>
              <w:t>Author</w:t>
            </w:r>
          </w:p>
          <w:p w14:paraId="2653154D" w14:textId="77777777" w:rsidR="003E59F1" w:rsidRPr="00A82E00" w:rsidRDefault="003E59F1" w:rsidP="00FB4D18">
            <w:pPr>
              <w:rPr>
                <w:rFonts w:cstheme="minorHAnsi"/>
                <w:b/>
                <w:sz w:val="16"/>
                <w:szCs w:val="16"/>
              </w:rPr>
            </w:pPr>
            <w:r w:rsidRPr="00A82E00">
              <w:rPr>
                <w:rFonts w:cstheme="minorHAnsi"/>
                <w:b/>
                <w:sz w:val="16"/>
                <w:szCs w:val="16"/>
              </w:rPr>
              <w:t>Year</w:t>
            </w:r>
          </w:p>
          <w:p w14:paraId="5C64F813" w14:textId="77777777" w:rsidR="003E59F1" w:rsidRPr="00BC7E08" w:rsidRDefault="003E59F1" w:rsidP="00FB4D18">
            <w:pPr>
              <w:rPr>
                <w:rFonts w:cstheme="minorHAnsi"/>
                <w:b/>
                <w:sz w:val="16"/>
                <w:szCs w:val="16"/>
              </w:rPr>
            </w:pPr>
            <w:r>
              <w:rPr>
                <w:rFonts w:cstheme="minorHAnsi"/>
                <w:b/>
                <w:sz w:val="16"/>
                <w:szCs w:val="16"/>
              </w:rPr>
              <w:t>Country</w:t>
            </w:r>
          </w:p>
        </w:tc>
        <w:tc>
          <w:tcPr>
            <w:tcW w:w="493" w:type="pct"/>
            <w:tcBorders>
              <w:top w:val="single" w:sz="4" w:space="0" w:color="auto"/>
              <w:bottom w:val="single" w:sz="4" w:space="0" w:color="auto"/>
            </w:tcBorders>
          </w:tcPr>
          <w:p w14:paraId="288DC739" w14:textId="77777777" w:rsidR="003E59F1" w:rsidRDefault="003E59F1" w:rsidP="00FB4D18">
            <w:pPr>
              <w:rPr>
                <w:rFonts w:cstheme="minorHAnsi"/>
                <w:b/>
                <w:sz w:val="16"/>
                <w:szCs w:val="16"/>
              </w:rPr>
            </w:pPr>
            <w:r w:rsidRPr="00384FD2">
              <w:rPr>
                <w:rFonts w:cstheme="minorHAnsi"/>
                <w:b/>
                <w:sz w:val="16"/>
                <w:szCs w:val="16"/>
              </w:rPr>
              <w:t xml:space="preserve">Name of </w:t>
            </w:r>
            <w:r>
              <w:rPr>
                <w:rFonts w:cstheme="minorHAnsi"/>
                <w:b/>
                <w:sz w:val="16"/>
                <w:szCs w:val="16"/>
              </w:rPr>
              <w:t>decision aid</w:t>
            </w:r>
          </w:p>
          <w:p w14:paraId="622092C6" w14:textId="77777777" w:rsidR="003E59F1" w:rsidRPr="00384FD2" w:rsidRDefault="003E59F1" w:rsidP="00FB4D18">
            <w:pPr>
              <w:rPr>
                <w:rFonts w:cstheme="minorHAnsi"/>
                <w:b/>
                <w:sz w:val="16"/>
                <w:szCs w:val="16"/>
              </w:rPr>
            </w:pPr>
            <w:r>
              <w:rPr>
                <w:rFonts w:cstheme="minorHAnsi"/>
                <w:b/>
                <w:sz w:val="16"/>
                <w:szCs w:val="16"/>
              </w:rPr>
              <w:t>(</w:t>
            </w:r>
            <w:r w:rsidRPr="00384FD2">
              <w:rPr>
                <w:rFonts w:cstheme="minorHAnsi"/>
                <w:b/>
                <w:i/>
                <w:sz w:val="16"/>
                <w:szCs w:val="16"/>
              </w:rPr>
              <w:t>number of items)</w:t>
            </w:r>
          </w:p>
        </w:tc>
        <w:tc>
          <w:tcPr>
            <w:tcW w:w="545" w:type="pct"/>
            <w:tcBorders>
              <w:top w:val="single" w:sz="4" w:space="0" w:color="auto"/>
              <w:bottom w:val="single" w:sz="4" w:space="0" w:color="auto"/>
            </w:tcBorders>
          </w:tcPr>
          <w:p w14:paraId="16AB9132" w14:textId="77777777" w:rsidR="003E59F1" w:rsidRPr="00384FD2" w:rsidRDefault="003E59F1" w:rsidP="00FB4D18">
            <w:pPr>
              <w:rPr>
                <w:rFonts w:cstheme="minorHAnsi"/>
                <w:b/>
                <w:sz w:val="16"/>
                <w:szCs w:val="16"/>
              </w:rPr>
            </w:pPr>
            <w:r>
              <w:rPr>
                <w:rFonts w:cstheme="minorHAnsi"/>
                <w:b/>
                <w:sz w:val="16"/>
                <w:szCs w:val="16"/>
              </w:rPr>
              <w:t>Purpose</w:t>
            </w:r>
          </w:p>
        </w:tc>
        <w:tc>
          <w:tcPr>
            <w:tcW w:w="644" w:type="pct"/>
            <w:tcBorders>
              <w:top w:val="single" w:sz="4" w:space="0" w:color="auto"/>
              <w:bottom w:val="single" w:sz="4" w:space="0" w:color="auto"/>
            </w:tcBorders>
          </w:tcPr>
          <w:p w14:paraId="4EEDE7C8" w14:textId="77777777" w:rsidR="003E59F1" w:rsidRPr="00384FD2" w:rsidRDefault="003E59F1" w:rsidP="00FB4D18">
            <w:pPr>
              <w:rPr>
                <w:rFonts w:cstheme="minorHAnsi"/>
                <w:b/>
                <w:sz w:val="16"/>
                <w:szCs w:val="16"/>
              </w:rPr>
            </w:pPr>
            <w:r>
              <w:rPr>
                <w:rFonts w:cstheme="minorHAnsi"/>
                <w:b/>
                <w:sz w:val="16"/>
                <w:szCs w:val="16"/>
              </w:rPr>
              <w:t>Target audience</w:t>
            </w:r>
          </w:p>
        </w:tc>
        <w:tc>
          <w:tcPr>
            <w:tcW w:w="594" w:type="pct"/>
            <w:tcBorders>
              <w:top w:val="single" w:sz="4" w:space="0" w:color="auto"/>
              <w:bottom w:val="single" w:sz="4" w:space="0" w:color="auto"/>
            </w:tcBorders>
          </w:tcPr>
          <w:p w14:paraId="17E1BB7A" w14:textId="77777777" w:rsidR="003E59F1" w:rsidRPr="00384FD2" w:rsidRDefault="003E59F1" w:rsidP="00FB4D18">
            <w:pPr>
              <w:rPr>
                <w:rFonts w:cstheme="minorHAnsi"/>
                <w:b/>
                <w:sz w:val="16"/>
                <w:szCs w:val="16"/>
              </w:rPr>
            </w:pPr>
            <w:r w:rsidRPr="00384FD2">
              <w:rPr>
                <w:rFonts w:cstheme="minorHAnsi"/>
                <w:b/>
                <w:sz w:val="16"/>
                <w:szCs w:val="16"/>
              </w:rPr>
              <w:t xml:space="preserve">Format </w:t>
            </w:r>
            <w:r>
              <w:rPr>
                <w:rFonts w:cstheme="minorHAnsi"/>
                <w:b/>
                <w:sz w:val="16"/>
                <w:szCs w:val="16"/>
              </w:rPr>
              <w:t>and</w:t>
            </w:r>
            <w:r w:rsidRPr="00384FD2">
              <w:rPr>
                <w:rFonts w:cstheme="minorHAnsi"/>
                <w:b/>
                <w:sz w:val="16"/>
                <w:szCs w:val="16"/>
              </w:rPr>
              <w:t xml:space="preserve"> presentation of </w:t>
            </w:r>
            <w:r>
              <w:rPr>
                <w:rFonts w:cstheme="minorHAnsi"/>
                <w:b/>
                <w:sz w:val="16"/>
                <w:szCs w:val="16"/>
              </w:rPr>
              <w:t>decision aid</w:t>
            </w:r>
          </w:p>
        </w:tc>
        <w:tc>
          <w:tcPr>
            <w:tcW w:w="1135" w:type="pct"/>
            <w:tcBorders>
              <w:top w:val="single" w:sz="4" w:space="0" w:color="auto"/>
              <w:bottom w:val="single" w:sz="4" w:space="0" w:color="auto"/>
            </w:tcBorders>
          </w:tcPr>
          <w:p w14:paraId="49E1E64D" w14:textId="77777777" w:rsidR="003E59F1" w:rsidRPr="00384FD2" w:rsidRDefault="003E59F1" w:rsidP="00FB4D18">
            <w:pPr>
              <w:rPr>
                <w:rFonts w:cstheme="minorHAnsi"/>
                <w:b/>
                <w:sz w:val="16"/>
                <w:szCs w:val="16"/>
              </w:rPr>
            </w:pPr>
            <w:r w:rsidRPr="00384FD2">
              <w:rPr>
                <w:rFonts w:cstheme="minorHAnsi"/>
                <w:b/>
                <w:sz w:val="16"/>
                <w:szCs w:val="16"/>
              </w:rPr>
              <w:t xml:space="preserve">Topics </w:t>
            </w:r>
            <w:r>
              <w:rPr>
                <w:rFonts w:cstheme="minorHAnsi"/>
                <w:b/>
                <w:sz w:val="16"/>
                <w:szCs w:val="16"/>
              </w:rPr>
              <w:t>covered</w:t>
            </w:r>
          </w:p>
        </w:tc>
        <w:tc>
          <w:tcPr>
            <w:tcW w:w="381" w:type="pct"/>
            <w:tcBorders>
              <w:top w:val="single" w:sz="4" w:space="0" w:color="auto"/>
              <w:bottom w:val="single" w:sz="4" w:space="0" w:color="auto"/>
            </w:tcBorders>
          </w:tcPr>
          <w:p w14:paraId="7A4CED8A" w14:textId="77777777" w:rsidR="003E59F1" w:rsidRPr="00384FD2" w:rsidRDefault="003E59F1" w:rsidP="00FB4D18">
            <w:pPr>
              <w:rPr>
                <w:rFonts w:cstheme="minorHAnsi"/>
                <w:b/>
                <w:sz w:val="16"/>
                <w:szCs w:val="16"/>
              </w:rPr>
            </w:pPr>
            <w:r>
              <w:rPr>
                <w:rFonts w:cstheme="minorHAnsi"/>
                <w:b/>
                <w:sz w:val="16"/>
                <w:szCs w:val="16"/>
              </w:rPr>
              <w:t xml:space="preserve">Evidence of </w:t>
            </w:r>
            <w:r w:rsidRPr="00384FD2">
              <w:rPr>
                <w:rFonts w:cstheme="minorHAnsi"/>
                <w:b/>
                <w:sz w:val="16"/>
                <w:szCs w:val="16"/>
              </w:rPr>
              <w:t>effectiveness</w:t>
            </w:r>
          </w:p>
        </w:tc>
        <w:tc>
          <w:tcPr>
            <w:tcW w:w="859" w:type="pct"/>
            <w:tcBorders>
              <w:top w:val="single" w:sz="4" w:space="0" w:color="auto"/>
              <w:bottom w:val="single" w:sz="4" w:space="0" w:color="auto"/>
            </w:tcBorders>
          </w:tcPr>
          <w:p w14:paraId="7441B19A" w14:textId="77777777" w:rsidR="003E59F1" w:rsidRPr="006B6FBB" w:rsidRDefault="003E59F1" w:rsidP="00FB4D18">
            <w:pPr>
              <w:rPr>
                <w:rFonts w:cstheme="minorHAnsi"/>
                <w:b/>
                <w:sz w:val="16"/>
                <w:szCs w:val="16"/>
              </w:rPr>
            </w:pPr>
            <w:r>
              <w:rPr>
                <w:rFonts w:cstheme="minorHAnsi"/>
                <w:b/>
                <w:sz w:val="16"/>
                <w:szCs w:val="16"/>
              </w:rPr>
              <w:t xml:space="preserve">Use of </w:t>
            </w:r>
            <w:r w:rsidRPr="006B6FBB">
              <w:rPr>
                <w:rFonts w:cstheme="minorHAnsi"/>
                <w:b/>
                <w:sz w:val="16"/>
                <w:szCs w:val="16"/>
              </w:rPr>
              <w:t>theory</w:t>
            </w:r>
            <w:r>
              <w:rPr>
                <w:rFonts w:cstheme="minorHAnsi"/>
                <w:b/>
                <w:sz w:val="16"/>
                <w:szCs w:val="16"/>
              </w:rPr>
              <w:t xml:space="preserve"> or </w:t>
            </w:r>
            <w:r w:rsidRPr="006B6FBB">
              <w:rPr>
                <w:b/>
                <w:sz w:val="16"/>
                <w:szCs w:val="16"/>
              </w:rPr>
              <w:t>IPDAS criteria</w:t>
            </w:r>
          </w:p>
        </w:tc>
      </w:tr>
      <w:tr w:rsidR="003E59F1" w14:paraId="7B703210" w14:textId="77777777" w:rsidTr="003E59F1">
        <w:tc>
          <w:tcPr>
            <w:tcW w:w="349" w:type="pct"/>
            <w:tcBorders>
              <w:top w:val="single" w:sz="4" w:space="0" w:color="auto"/>
            </w:tcBorders>
          </w:tcPr>
          <w:p w14:paraId="290D790D" w14:textId="77777777" w:rsidR="003E59F1" w:rsidRPr="00BC7E08" w:rsidRDefault="003E59F1" w:rsidP="003E59F1">
            <w:pPr>
              <w:rPr>
                <w:rFonts w:cstheme="minorHAnsi"/>
                <w:sz w:val="16"/>
                <w:szCs w:val="16"/>
              </w:rPr>
            </w:pPr>
            <w:r w:rsidRPr="00BC7E08">
              <w:rPr>
                <w:rFonts w:cstheme="minorHAnsi"/>
                <w:sz w:val="16"/>
                <w:szCs w:val="16"/>
              </w:rPr>
              <w:t xml:space="preserve">Sorensen and </w:t>
            </w:r>
            <w:proofErr w:type="spellStart"/>
            <w:r w:rsidRPr="00BC7E08">
              <w:rPr>
                <w:rFonts w:cstheme="minorHAnsi"/>
                <w:sz w:val="16"/>
                <w:szCs w:val="16"/>
              </w:rPr>
              <w:t>Pinquart</w:t>
            </w:r>
            <w:proofErr w:type="spellEnd"/>
          </w:p>
          <w:p w14:paraId="04E9BF3E" w14:textId="77777777" w:rsidR="003E59F1" w:rsidRPr="00A82E00" w:rsidRDefault="003E59F1" w:rsidP="003E59F1">
            <w:pPr>
              <w:rPr>
                <w:rFonts w:cstheme="minorHAnsi"/>
                <w:sz w:val="16"/>
                <w:szCs w:val="16"/>
              </w:rPr>
            </w:pPr>
            <w:r w:rsidRPr="00A82E00">
              <w:rPr>
                <w:rFonts w:cstheme="minorHAnsi"/>
                <w:sz w:val="16"/>
                <w:szCs w:val="16"/>
              </w:rPr>
              <w:t>2001</w:t>
            </w:r>
          </w:p>
          <w:p w14:paraId="165A66FF" w14:textId="77777777" w:rsidR="003E59F1" w:rsidRPr="00BC7E08" w:rsidRDefault="003E59F1" w:rsidP="003E59F1">
            <w:pPr>
              <w:rPr>
                <w:rFonts w:cstheme="minorHAnsi"/>
                <w:sz w:val="16"/>
                <w:szCs w:val="16"/>
              </w:rPr>
            </w:pPr>
            <w:r w:rsidRPr="00A82E00">
              <w:rPr>
                <w:rFonts w:cstheme="minorHAnsi"/>
                <w:sz w:val="16"/>
                <w:szCs w:val="16"/>
              </w:rPr>
              <w:t>USA</w:t>
            </w:r>
          </w:p>
        </w:tc>
        <w:tc>
          <w:tcPr>
            <w:tcW w:w="493" w:type="pct"/>
            <w:tcBorders>
              <w:top w:val="single" w:sz="4" w:space="0" w:color="auto"/>
            </w:tcBorders>
          </w:tcPr>
          <w:p w14:paraId="252E0454" w14:textId="77777777" w:rsidR="003E59F1" w:rsidRPr="00384FD2" w:rsidRDefault="003E59F1" w:rsidP="003E59F1">
            <w:pPr>
              <w:rPr>
                <w:rFonts w:cstheme="minorHAnsi"/>
                <w:sz w:val="16"/>
                <w:szCs w:val="16"/>
              </w:rPr>
            </w:pPr>
            <w:r w:rsidRPr="00384FD2">
              <w:rPr>
                <w:rFonts w:cstheme="minorHAnsi"/>
                <w:sz w:val="16"/>
                <w:szCs w:val="16"/>
              </w:rPr>
              <w:t>Preparation for Future Care Needs (PFCN) instrument</w:t>
            </w:r>
          </w:p>
          <w:p w14:paraId="7168CD20" w14:textId="77777777" w:rsidR="003E59F1" w:rsidRPr="00384FD2" w:rsidRDefault="003E59F1" w:rsidP="003E59F1">
            <w:pPr>
              <w:rPr>
                <w:rFonts w:cstheme="minorHAnsi"/>
                <w:sz w:val="16"/>
                <w:szCs w:val="16"/>
              </w:rPr>
            </w:pPr>
          </w:p>
          <w:p w14:paraId="5C9230D2" w14:textId="77777777" w:rsidR="003E59F1" w:rsidRPr="00384FD2" w:rsidRDefault="003E59F1" w:rsidP="003E59F1">
            <w:pPr>
              <w:rPr>
                <w:rFonts w:cstheme="minorHAnsi"/>
                <w:i/>
                <w:sz w:val="16"/>
                <w:szCs w:val="16"/>
              </w:rPr>
            </w:pPr>
            <w:r>
              <w:rPr>
                <w:rFonts w:cstheme="minorHAnsi"/>
                <w:i/>
                <w:sz w:val="16"/>
                <w:szCs w:val="16"/>
              </w:rPr>
              <w:t>(29</w:t>
            </w:r>
            <w:r w:rsidRPr="00384FD2">
              <w:rPr>
                <w:rFonts w:cstheme="minorHAnsi"/>
                <w:i/>
                <w:sz w:val="16"/>
                <w:szCs w:val="16"/>
              </w:rPr>
              <w:t xml:space="preserve"> items)</w:t>
            </w:r>
          </w:p>
          <w:p w14:paraId="6F67CD37" w14:textId="77777777" w:rsidR="003E59F1" w:rsidRPr="00384FD2" w:rsidRDefault="003E59F1" w:rsidP="003E59F1">
            <w:pPr>
              <w:rPr>
                <w:rFonts w:cstheme="minorHAnsi"/>
                <w:sz w:val="16"/>
                <w:szCs w:val="16"/>
              </w:rPr>
            </w:pPr>
          </w:p>
        </w:tc>
        <w:tc>
          <w:tcPr>
            <w:tcW w:w="545" w:type="pct"/>
            <w:tcBorders>
              <w:top w:val="single" w:sz="4" w:space="0" w:color="auto"/>
            </w:tcBorders>
          </w:tcPr>
          <w:p w14:paraId="7C38AA84" w14:textId="77777777" w:rsidR="003E59F1" w:rsidRPr="00384FD2" w:rsidRDefault="003E59F1" w:rsidP="003E59F1">
            <w:pPr>
              <w:rPr>
                <w:rFonts w:cstheme="minorHAnsi"/>
                <w:sz w:val="16"/>
                <w:szCs w:val="16"/>
              </w:rPr>
            </w:pPr>
            <w:r w:rsidRPr="00384FD2">
              <w:rPr>
                <w:rFonts w:cstheme="minorHAnsi"/>
                <w:sz w:val="16"/>
                <w:szCs w:val="16"/>
              </w:rPr>
              <w:t>A measure to help older adults prepare for future care needs</w:t>
            </w:r>
          </w:p>
        </w:tc>
        <w:tc>
          <w:tcPr>
            <w:tcW w:w="644" w:type="pct"/>
            <w:tcBorders>
              <w:top w:val="single" w:sz="4" w:space="0" w:color="auto"/>
            </w:tcBorders>
          </w:tcPr>
          <w:p w14:paraId="24F28DC1" w14:textId="77777777" w:rsidR="003E59F1" w:rsidRPr="00384FD2" w:rsidRDefault="003E59F1" w:rsidP="003E59F1">
            <w:pPr>
              <w:rPr>
                <w:rFonts w:cstheme="minorHAnsi"/>
                <w:sz w:val="16"/>
                <w:szCs w:val="16"/>
              </w:rPr>
            </w:pPr>
            <w:r w:rsidRPr="00384FD2">
              <w:rPr>
                <w:rFonts w:cstheme="minorHAnsi"/>
                <w:sz w:val="16"/>
                <w:szCs w:val="16"/>
              </w:rPr>
              <w:t xml:space="preserve">Unclear. For use as a questionnaire or in an interview, with older </w:t>
            </w:r>
            <w:r>
              <w:rPr>
                <w:rFonts w:cstheme="minorHAnsi"/>
                <w:sz w:val="16"/>
                <w:szCs w:val="16"/>
              </w:rPr>
              <w:t>people</w:t>
            </w:r>
            <w:r w:rsidRPr="00384FD2">
              <w:rPr>
                <w:rFonts w:cstheme="minorHAnsi"/>
                <w:sz w:val="16"/>
                <w:szCs w:val="16"/>
              </w:rPr>
              <w:t xml:space="preserve"> needing help or care to consider preparation for future care needs</w:t>
            </w:r>
          </w:p>
        </w:tc>
        <w:tc>
          <w:tcPr>
            <w:tcW w:w="594" w:type="pct"/>
            <w:tcBorders>
              <w:top w:val="single" w:sz="4" w:space="0" w:color="auto"/>
            </w:tcBorders>
          </w:tcPr>
          <w:p w14:paraId="0834EC13" w14:textId="77777777" w:rsidR="003E59F1" w:rsidRPr="00384FD2" w:rsidRDefault="003E59F1" w:rsidP="003E59F1">
            <w:pPr>
              <w:rPr>
                <w:rFonts w:cstheme="minorHAnsi"/>
                <w:sz w:val="16"/>
                <w:szCs w:val="16"/>
              </w:rPr>
            </w:pPr>
            <w:r>
              <w:rPr>
                <w:rFonts w:cstheme="minorHAnsi"/>
                <w:sz w:val="16"/>
                <w:szCs w:val="16"/>
              </w:rPr>
              <w:t>Unclear. Probably paper-based tool. (</w:t>
            </w:r>
            <w:r w:rsidRPr="00384FD2">
              <w:rPr>
                <w:rFonts w:cstheme="minorHAnsi"/>
                <w:sz w:val="16"/>
                <w:szCs w:val="16"/>
              </w:rPr>
              <w:t xml:space="preserve">The measure is printed in Appendix of </w:t>
            </w:r>
            <w:r>
              <w:rPr>
                <w:rFonts w:cstheme="minorHAnsi"/>
                <w:sz w:val="16"/>
                <w:szCs w:val="16"/>
              </w:rPr>
              <w:t>article)</w:t>
            </w:r>
          </w:p>
        </w:tc>
        <w:tc>
          <w:tcPr>
            <w:tcW w:w="1135" w:type="pct"/>
            <w:tcBorders>
              <w:top w:val="single" w:sz="4" w:space="0" w:color="auto"/>
            </w:tcBorders>
          </w:tcPr>
          <w:p w14:paraId="715148E6" w14:textId="77777777" w:rsidR="003E59F1" w:rsidRDefault="003E59F1" w:rsidP="003E59F1">
            <w:pPr>
              <w:pStyle w:val="ListParagraph"/>
              <w:numPr>
                <w:ilvl w:val="0"/>
                <w:numId w:val="11"/>
              </w:numPr>
              <w:rPr>
                <w:rFonts w:cstheme="minorHAnsi"/>
                <w:sz w:val="16"/>
                <w:szCs w:val="16"/>
              </w:rPr>
            </w:pPr>
            <w:r w:rsidRPr="00A82E00">
              <w:rPr>
                <w:rFonts w:cstheme="minorHAnsi"/>
                <w:sz w:val="16"/>
                <w:szCs w:val="16"/>
              </w:rPr>
              <w:t>Becoming aware</w:t>
            </w:r>
          </w:p>
          <w:p w14:paraId="5666A201" w14:textId="77777777" w:rsidR="003E59F1" w:rsidRDefault="003E59F1" w:rsidP="003E59F1">
            <w:pPr>
              <w:pStyle w:val="ListParagraph"/>
              <w:numPr>
                <w:ilvl w:val="0"/>
                <w:numId w:val="11"/>
              </w:numPr>
              <w:rPr>
                <w:rFonts w:cstheme="minorHAnsi"/>
                <w:sz w:val="16"/>
                <w:szCs w:val="16"/>
              </w:rPr>
            </w:pPr>
            <w:r w:rsidRPr="00A82E00">
              <w:rPr>
                <w:rFonts w:cstheme="minorHAnsi"/>
                <w:sz w:val="16"/>
                <w:szCs w:val="16"/>
              </w:rPr>
              <w:t>Avoidance of preparation</w:t>
            </w:r>
          </w:p>
          <w:p w14:paraId="3A61E358" w14:textId="77777777" w:rsidR="003E59F1" w:rsidRDefault="003E59F1" w:rsidP="003E59F1">
            <w:pPr>
              <w:pStyle w:val="ListParagraph"/>
              <w:numPr>
                <w:ilvl w:val="0"/>
                <w:numId w:val="11"/>
              </w:numPr>
              <w:rPr>
                <w:rFonts w:cstheme="minorHAnsi"/>
                <w:sz w:val="16"/>
                <w:szCs w:val="16"/>
              </w:rPr>
            </w:pPr>
            <w:r w:rsidRPr="00A82E00">
              <w:rPr>
                <w:rFonts w:cstheme="minorHAnsi"/>
                <w:sz w:val="16"/>
                <w:szCs w:val="16"/>
              </w:rPr>
              <w:t>Gathering information</w:t>
            </w:r>
          </w:p>
          <w:p w14:paraId="585B7EC9" w14:textId="77777777" w:rsidR="003E59F1" w:rsidRDefault="003E59F1" w:rsidP="003E59F1">
            <w:pPr>
              <w:pStyle w:val="ListParagraph"/>
              <w:numPr>
                <w:ilvl w:val="0"/>
                <w:numId w:val="11"/>
              </w:numPr>
              <w:rPr>
                <w:rFonts w:cstheme="minorHAnsi"/>
                <w:sz w:val="16"/>
                <w:szCs w:val="16"/>
              </w:rPr>
            </w:pPr>
            <w:r w:rsidRPr="00A82E00">
              <w:rPr>
                <w:rFonts w:cstheme="minorHAnsi"/>
                <w:sz w:val="16"/>
                <w:szCs w:val="16"/>
              </w:rPr>
              <w:t>Deciding on preferences</w:t>
            </w:r>
          </w:p>
          <w:p w14:paraId="491BBA5D" w14:textId="77777777" w:rsidR="003E59F1" w:rsidRDefault="003E59F1" w:rsidP="003E59F1">
            <w:pPr>
              <w:pStyle w:val="ListParagraph"/>
              <w:numPr>
                <w:ilvl w:val="0"/>
                <w:numId w:val="11"/>
              </w:numPr>
              <w:rPr>
                <w:rFonts w:cstheme="minorHAnsi"/>
                <w:sz w:val="16"/>
                <w:szCs w:val="16"/>
              </w:rPr>
            </w:pPr>
            <w:r w:rsidRPr="00A82E00">
              <w:rPr>
                <w:rFonts w:cstheme="minorHAnsi"/>
                <w:sz w:val="16"/>
                <w:szCs w:val="16"/>
              </w:rPr>
              <w:t>Concrete planning</w:t>
            </w:r>
          </w:p>
          <w:p w14:paraId="47C9575A" w14:textId="77777777" w:rsidR="003E59F1" w:rsidRPr="00A82E00" w:rsidRDefault="003E59F1" w:rsidP="003E59F1">
            <w:pPr>
              <w:pStyle w:val="ListParagraph"/>
              <w:numPr>
                <w:ilvl w:val="0"/>
                <w:numId w:val="11"/>
              </w:numPr>
              <w:rPr>
                <w:rFonts w:cstheme="minorHAnsi"/>
                <w:sz w:val="16"/>
                <w:szCs w:val="16"/>
              </w:rPr>
            </w:pPr>
            <w:r>
              <w:rPr>
                <w:rFonts w:cstheme="minorHAnsi"/>
                <w:sz w:val="16"/>
                <w:szCs w:val="16"/>
              </w:rPr>
              <w:t>A</w:t>
            </w:r>
            <w:r w:rsidRPr="00A82E00">
              <w:rPr>
                <w:rFonts w:cstheme="minorHAnsi"/>
                <w:sz w:val="16"/>
                <w:szCs w:val="16"/>
              </w:rPr>
              <w:t>ttitudes to planning</w:t>
            </w:r>
            <w:r>
              <w:rPr>
                <w:rFonts w:cstheme="minorHAnsi"/>
                <w:sz w:val="16"/>
                <w:szCs w:val="16"/>
              </w:rPr>
              <w:t xml:space="preserve"> </w:t>
            </w:r>
            <w:r>
              <w:rPr>
                <w:rFonts w:ascii="Calibri" w:eastAsia="Calibri" w:hAnsi="Calibri" w:cs="Calibri"/>
                <w:sz w:val="16"/>
                <w:szCs w:val="16"/>
              </w:rPr>
              <w:t>(</w:t>
            </w:r>
            <w:r w:rsidRPr="003D78AA">
              <w:rPr>
                <w:rFonts w:ascii="Calibri" w:eastAsia="Calibri" w:hAnsi="Calibri" w:cs="Calibri"/>
                <w:sz w:val="16"/>
                <w:szCs w:val="16"/>
              </w:rPr>
              <w:t>expectations of whether care will be needed in the futur</w:t>
            </w:r>
            <w:r>
              <w:rPr>
                <w:rFonts w:ascii="Calibri" w:eastAsia="Calibri" w:hAnsi="Calibri" w:cs="Calibri"/>
                <w:sz w:val="16"/>
                <w:szCs w:val="16"/>
              </w:rPr>
              <w:t xml:space="preserve">e; </w:t>
            </w:r>
            <w:r w:rsidRPr="003D78AA">
              <w:rPr>
                <w:rFonts w:ascii="Calibri" w:eastAsia="Calibri" w:hAnsi="Calibri" w:cs="Calibri"/>
                <w:sz w:val="16"/>
                <w:szCs w:val="16"/>
              </w:rPr>
              <w:t>expectation of never needing long-term care</w:t>
            </w:r>
            <w:r>
              <w:rPr>
                <w:rFonts w:ascii="Calibri" w:eastAsia="Calibri" w:hAnsi="Calibri" w:cs="Calibri"/>
                <w:sz w:val="16"/>
                <w:szCs w:val="16"/>
              </w:rPr>
              <w:t xml:space="preserve">; </w:t>
            </w:r>
            <w:r w:rsidRPr="003D78AA">
              <w:rPr>
                <w:rFonts w:ascii="Calibri" w:eastAsia="Calibri" w:hAnsi="Calibri" w:cs="Calibri"/>
                <w:sz w:val="16"/>
                <w:szCs w:val="16"/>
              </w:rPr>
              <w:t>perceived value of planning</w:t>
            </w:r>
            <w:r>
              <w:rPr>
                <w:rFonts w:ascii="Calibri" w:eastAsia="Calibri" w:hAnsi="Calibri" w:cs="Calibri"/>
                <w:sz w:val="16"/>
                <w:szCs w:val="16"/>
              </w:rPr>
              <w:t>)</w:t>
            </w:r>
          </w:p>
        </w:tc>
        <w:tc>
          <w:tcPr>
            <w:tcW w:w="381" w:type="pct"/>
            <w:tcBorders>
              <w:top w:val="single" w:sz="4" w:space="0" w:color="auto"/>
            </w:tcBorders>
          </w:tcPr>
          <w:p w14:paraId="1229022C" w14:textId="77777777" w:rsidR="003E59F1" w:rsidRPr="00384FD2" w:rsidRDefault="003E59F1" w:rsidP="003E59F1">
            <w:pPr>
              <w:rPr>
                <w:rFonts w:cstheme="minorHAnsi"/>
                <w:sz w:val="16"/>
                <w:szCs w:val="16"/>
              </w:rPr>
            </w:pPr>
            <w:r>
              <w:rPr>
                <w:rFonts w:cstheme="minorHAnsi"/>
                <w:sz w:val="16"/>
                <w:szCs w:val="16"/>
              </w:rPr>
              <w:t>None</w:t>
            </w:r>
          </w:p>
        </w:tc>
        <w:tc>
          <w:tcPr>
            <w:tcW w:w="859" w:type="pct"/>
            <w:tcBorders>
              <w:top w:val="single" w:sz="4" w:space="0" w:color="auto"/>
            </w:tcBorders>
          </w:tcPr>
          <w:p w14:paraId="4A4509BB" w14:textId="77777777" w:rsidR="003E59F1" w:rsidRDefault="003E59F1" w:rsidP="003E59F1">
            <w:pPr>
              <w:rPr>
                <w:rFonts w:cstheme="minorHAnsi"/>
                <w:sz w:val="16"/>
                <w:szCs w:val="16"/>
              </w:rPr>
            </w:pPr>
            <w:r w:rsidRPr="00384FD2">
              <w:rPr>
                <w:rFonts w:cstheme="minorHAnsi"/>
                <w:sz w:val="16"/>
                <w:szCs w:val="16"/>
              </w:rPr>
              <w:t>No</w:t>
            </w:r>
            <w:r>
              <w:rPr>
                <w:rFonts w:cstheme="minorHAnsi"/>
                <w:sz w:val="16"/>
                <w:szCs w:val="16"/>
              </w:rPr>
              <w:t xml:space="preserve"> theory </w:t>
            </w:r>
            <w:r w:rsidRPr="00384FD2">
              <w:rPr>
                <w:rFonts w:cstheme="minorHAnsi"/>
                <w:sz w:val="16"/>
                <w:szCs w:val="16"/>
              </w:rPr>
              <w:t>cited</w:t>
            </w:r>
          </w:p>
          <w:p w14:paraId="55932A2B" w14:textId="77777777" w:rsidR="003E59F1" w:rsidRDefault="003E59F1" w:rsidP="003E59F1">
            <w:pPr>
              <w:rPr>
                <w:rFonts w:cstheme="minorHAnsi"/>
                <w:sz w:val="16"/>
                <w:szCs w:val="16"/>
              </w:rPr>
            </w:pPr>
          </w:p>
          <w:p w14:paraId="09C5884B" w14:textId="77777777" w:rsidR="003E59F1" w:rsidRPr="00384FD2" w:rsidRDefault="003E59F1" w:rsidP="003E59F1">
            <w:pPr>
              <w:rPr>
                <w:rFonts w:cstheme="minorHAnsi"/>
                <w:sz w:val="16"/>
                <w:szCs w:val="16"/>
              </w:rPr>
            </w:pPr>
            <w:r>
              <w:rPr>
                <w:rFonts w:cstheme="minorHAnsi"/>
                <w:sz w:val="16"/>
                <w:szCs w:val="16"/>
              </w:rPr>
              <w:t>Measure developed before IPDAS criteria published</w:t>
            </w:r>
          </w:p>
          <w:p w14:paraId="7A0A6276" w14:textId="77777777" w:rsidR="003E59F1" w:rsidRPr="00384FD2" w:rsidRDefault="003E59F1" w:rsidP="003E59F1">
            <w:pPr>
              <w:rPr>
                <w:rFonts w:cstheme="minorHAnsi"/>
                <w:sz w:val="16"/>
                <w:szCs w:val="16"/>
              </w:rPr>
            </w:pPr>
          </w:p>
        </w:tc>
      </w:tr>
      <w:tr w:rsidR="003E59F1" w14:paraId="2101DBDF" w14:textId="77777777" w:rsidTr="003E59F1">
        <w:tc>
          <w:tcPr>
            <w:tcW w:w="349" w:type="pct"/>
          </w:tcPr>
          <w:p w14:paraId="1A3D90EB" w14:textId="77777777" w:rsidR="003E59F1" w:rsidRPr="00BC7E08" w:rsidRDefault="003E59F1" w:rsidP="003E59F1">
            <w:pPr>
              <w:rPr>
                <w:rFonts w:cstheme="minorHAnsi"/>
                <w:sz w:val="16"/>
                <w:szCs w:val="16"/>
              </w:rPr>
            </w:pPr>
            <w:proofErr w:type="spellStart"/>
            <w:r w:rsidRPr="00BC7E08">
              <w:rPr>
                <w:rFonts w:cstheme="minorHAnsi"/>
                <w:sz w:val="16"/>
                <w:szCs w:val="16"/>
              </w:rPr>
              <w:t>Friedemann</w:t>
            </w:r>
            <w:proofErr w:type="spellEnd"/>
            <w:r w:rsidRPr="00BC7E08">
              <w:rPr>
                <w:rFonts w:cstheme="minorHAnsi"/>
                <w:sz w:val="16"/>
                <w:szCs w:val="16"/>
              </w:rPr>
              <w:t xml:space="preserve">  et al</w:t>
            </w:r>
          </w:p>
          <w:p w14:paraId="46ED39A6" w14:textId="77777777" w:rsidR="003E59F1" w:rsidRPr="00A82E00" w:rsidRDefault="003E59F1" w:rsidP="003E59F1">
            <w:pPr>
              <w:rPr>
                <w:rFonts w:cstheme="minorHAnsi"/>
                <w:sz w:val="16"/>
                <w:szCs w:val="16"/>
              </w:rPr>
            </w:pPr>
            <w:r w:rsidRPr="00A82E00">
              <w:rPr>
                <w:rFonts w:cstheme="minorHAnsi"/>
                <w:sz w:val="16"/>
                <w:szCs w:val="16"/>
              </w:rPr>
              <w:t>2004</w:t>
            </w:r>
          </w:p>
          <w:p w14:paraId="15C96A93" w14:textId="77777777" w:rsidR="003E59F1" w:rsidRPr="00BC7E08" w:rsidRDefault="003E59F1" w:rsidP="003E59F1">
            <w:pPr>
              <w:rPr>
                <w:rFonts w:cstheme="minorHAnsi"/>
                <w:sz w:val="16"/>
                <w:szCs w:val="16"/>
              </w:rPr>
            </w:pPr>
            <w:r w:rsidRPr="00A82E00">
              <w:rPr>
                <w:rFonts w:cstheme="minorHAnsi"/>
                <w:sz w:val="16"/>
                <w:szCs w:val="16"/>
              </w:rPr>
              <w:t>USA</w:t>
            </w:r>
          </w:p>
        </w:tc>
        <w:tc>
          <w:tcPr>
            <w:tcW w:w="493" w:type="pct"/>
          </w:tcPr>
          <w:p w14:paraId="6B0A5800" w14:textId="77777777" w:rsidR="003E59F1" w:rsidRPr="00384FD2" w:rsidRDefault="003E59F1" w:rsidP="003E59F1">
            <w:pPr>
              <w:rPr>
                <w:rFonts w:cstheme="minorHAnsi"/>
                <w:sz w:val="16"/>
                <w:szCs w:val="16"/>
              </w:rPr>
            </w:pPr>
            <w:r w:rsidRPr="00384FD2">
              <w:rPr>
                <w:rFonts w:cstheme="minorHAnsi"/>
                <w:sz w:val="16"/>
                <w:szCs w:val="16"/>
              </w:rPr>
              <w:t>Long-term Care Planning (LTCP) instrument</w:t>
            </w:r>
          </w:p>
          <w:p w14:paraId="06DEE699" w14:textId="77777777" w:rsidR="003E59F1" w:rsidRPr="00384FD2" w:rsidRDefault="003E59F1" w:rsidP="003E59F1">
            <w:pPr>
              <w:rPr>
                <w:rFonts w:cstheme="minorHAnsi"/>
                <w:sz w:val="16"/>
                <w:szCs w:val="16"/>
              </w:rPr>
            </w:pPr>
          </w:p>
          <w:p w14:paraId="304132F5" w14:textId="77777777" w:rsidR="003E59F1" w:rsidRPr="00384FD2" w:rsidRDefault="003E59F1" w:rsidP="003E59F1">
            <w:pPr>
              <w:rPr>
                <w:rFonts w:cstheme="minorHAnsi"/>
                <w:i/>
                <w:sz w:val="16"/>
                <w:szCs w:val="16"/>
              </w:rPr>
            </w:pPr>
            <w:r w:rsidRPr="00384FD2">
              <w:rPr>
                <w:rFonts w:cstheme="minorHAnsi"/>
                <w:i/>
                <w:sz w:val="16"/>
                <w:szCs w:val="16"/>
              </w:rPr>
              <w:t>(23 items)</w:t>
            </w:r>
          </w:p>
        </w:tc>
        <w:tc>
          <w:tcPr>
            <w:tcW w:w="545" w:type="pct"/>
          </w:tcPr>
          <w:p w14:paraId="504C9D65" w14:textId="77777777" w:rsidR="003E59F1" w:rsidRPr="00384FD2" w:rsidRDefault="003E59F1" w:rsidP="003E59F1">
            <w:pPr>
              <w:rPr>
                <w:rFonts w:cstheme="minorHAnsi"/>
                <w:sz w:val="16"/>
                <w:szCs w:val="16"/>
              </w:rPr>
            </w:pPr>
            <w:r w:rsidRPr="00384FD2">
              <w:rPr>
                <w:rFonts w:cstheme="minorHAnsi"/>
                <w:sz w:val="16"/>
                <w:szCs w:val="16"/>
              </w:rPr>
              <w:t>Instrument to examine how people approach planning for the time of life when formal or informal long-term care may be necessary</w:t>
            </w:r>
          </w:p>
        </w:tc>
        <w:tc>
          <w:tcPr>
            <w:tcW w:w="644" w:type="pct"/>
          </w:tcPr>
          <w:p w14:paraId="263F14F8" w14:textId="77777777" w:rsidR="003E59F1" w:rsidRPr="00384FD2" w:rsidRDefault="003E59F1" w:rsidP="003E59F1">
            <w:pPr>
              <w:rPr>
                <w:rFonts w:cstheme="minorHAnsi"/>
                <w:sz w:val="16"/>
                <w:szCs w:val="16"/>
              </w:rPr>
            </w:pPr>
            <w:r w:rsidRPr="00384FD2">
              <w:rPr>
                <w:rFonts w:cstheme="minorHAnsi"/>
                <w:sz w:val="16"/>
                <w:szCs w:val="16"/>
              </w:rPr>
              <w:t xml:space="preserve">For use in research and by clinicians/care professionals involved in planning long term care tasks. </w:t>
            </w:r>
            <w:r>
              <w:rPr>
                <w:rFonts w:cstheme="minorHAnsi"/>
                <w:sz w:val="16"/>
                <w:szCs w:val="16"/>
              </w:rPr>
              <w:t>As a diagnostic inventory for Gerontol</w:t>
            </w:r>
            <w:r w:rsidRPr="00384FD2">
              <w:rPr>
                <w:rFonts w:cstheme="minorHAnsi"/>
                <w:sz w:val="16"/>
                <w:szCs w:val="16"/>
              </w:rPr>
              <w:t>ogists.</w:t>
            </w:r>
          </w:p>
        </w:tc>
        <w:tc>
          <w:tcPr>
            <w:tcW w:w="594" w:type="pct"/>
          </w:tcPr>
          <w:p w14:paraId="5D14296F" w14:textId="77777777" w:rsidR="003E59F1" w:rsidRPr="00384FD2" w:rsidRDefault="003E59F1" w:rsidP="003E59F1">
            <w:pPr>
              <w:rPr>
                <w:rFonts w:cstheme="minorHAnsi"/>
                <w:sz w:val="16"/>
                <w:szCs w:val="16"/>
              </w:rPr>
            </w:pPr>
            <w:r w:rsidRPr="00384FD2">
              <w:rPr>
                <w:rFonts w:cstheme="minorHAnsi"/>
                <w:sz w:val="16"/>
                <w:szCs w:val="16"/>
              </w:rPr>
              <w:t>Unclear.</w:t>
            </w:r>
          </w:p>
        </w:tc>
        <w:tc>
          <w:tcPr>
            <w:tcW w:w="1135" w:type="pct"/>
          </w:tcPr>
          <w:p w14:paraId="69868221" w14:textId="77777777" w:rsidR="003E59F1" w:rsidRDefault="003E59F1" w:rsidP="003E59F1">
            <w:pPr>
              <w:rPr>
                <w:rFonts w:cstheme="minorHAnsi"/>
                <w:sz w:val="16"/>
                <w:szCs w:val="16"/>
              </w:rPr>
            </w:pPr>
            <w:r>
              <w:rPr>
                <w:rFonts w:cstheme="minorHAnsi"/>
                <w:sz w:val="16"/>
                <w:szCs w:val="16"/>
              </w:rPr>
              <w:t>L</w:t>
            </w:r>
            <w:r w:rsidRPr="00384FD2">
              <w:rPr>
                <w:rFonts w:cstheme="minorHAnsi"/>
                <w:sz w:val="16"/>
                <w:szCs w:val="16"/>
              </w:rPr>
              <w:t>ong-term care planning behaviour in three areas:</w:t>
            </w:r>
          </w:p>
          <w:p w14:paraId="683B2106" w14:textId="77777777" w:rsidR="003E59F1" w:rsidRPr="00A82E00" w:rsidRDefault="003E59F1" w:rsidP="003E59F1">
            <w:pPr>
              <w:pStyle w:val="ListParagraph"/>
              <w:numPr>
                <w:ilvl w:val="0"/>
                <w:numId w:val="19"/>
              </w:numPr>
              <w:rPr>
                <w:rFonts w:cstheme="minorHAnsi"/>
                <w:sz w:val="16"/>
                <w:szCs w:val="16"/>
              </w:rPr>
            </w:pPr>
            <w:r w:rsidRPr="00A82E00">
              <w:rPr>
                <w:rFonts w:cstheme="minorHAnsi"/>
                <w:sz w:val="16"/>
                <w:szCs w:val="16"/>
              </w:rPr>
              <w:t>Financial</w:t>
            </w:r>
          </w:p>
          <w:p w14:paraId="3F6ED8BE" w14:textId="77777777" w:rsidR="003E59F1" w:rsidRDefault="003E59F1" w:rsidP="003E59F1">
            <w:pPr>
              <w:pStyle w:val="ListParagraph"/>
              <w:numPr>
                <w:ilvl w:val="0"/>
                <w:numId w:val="19"/>
              </w:numPr>
              <w:rPr>
                <w:rFonts w:cstheme="minorHAnsi"/>
                <w:sz w:val="16"/>
                <w:szCs w:val="16"/>
              </w:rPr>
            </w:pPr>
            <w:r w:rsidRPr="00A82E00">
              <w:rPr>
                <w:rFonts w:cstheme="minorHAnsi"/>
                <w:sz w:val="16"/>
                <w:szCs w:val="16"/>
              </w:rPr>
              <w:t>Wellness and functional ability</w:t>
            </w:r>
          </w:p>
          <w:p w14:paraId="1A7DCAA4" w14:textId="77777777" w:rsidR="003E59F1" w:rsidRDefault="003E59F1" w:rsidP="003E59F1">
            <w:pPr>
              <w:pStyle w:val="ListParagraph"/>
              <w:numPr>
                <w:ilvl w:val="0"/>
                <w:numId w:val="19"/>
              </w:numPr>
              <w:rPr>
                <w:rFonts w:cstheme="minorHAnsi"/>
                <w:sz w:val="16"/>
                <w:szCs w:val="16"/>
              </w:rPr>
            </w:pPr>
            <w:r w:rsidRPr="00A82E00">
              <w:rPr>
                <w:rFonts w:cstheme="minorHAnsi"/>
                <w:sz w:val="16"/>
                <w:szCs w:val="16"/>
              </w:rPr>
              <w:t xml:space="preserve">Social and environment; </w:t>
            </w:r>
          </w:p>
          <w:p w14:paraId="66D3B258" w14:textId="77777777" w:rsidR="003E59F1" w:rsidRPr="00A82E00" w:rsidRDefault="003E59F1" w:rsidP="003E59F1">
            <w:pPr>
              <w:ind w:left="36"/>
              <w:rPr>
                <w:rFonts w:cstheme="minorHAnsi"/>
                <w:sz w:val="16"/>
                <w:szCs w:val="16"/>
              </w:rPr>
            </w:pPr>
          </w:p>
          <w:p w14:paraId="626DBFB8" w14:textId="77777777" w:rsidR="003E59F1" w:rsidRPr="00A82E00" w:rsidRDefault="003E59F1" w:rsidP="003E59F1">
            <w:pPr>
              <w:ind w:left="36"/>
              <w:rPr>
                <w:rFonts w:cstheme="minorHAnsi"/>
                <w:sz w:val="16"/>
                <w:szCs w:val="16"/>
              </w:rPr>
            </w:pPr>
            <w:r>
              <w:rPr>
                <w:rFonts w:cstheme="minorHAnsi"/>
                <w:sz w:val="16"/>
                <w:szCs w:val="16"/>
              </w:rPr>
              <w:t>plus</w:t>
            </w:r>
            <w:r w:rsidRPr="00A82E00">
              <w:rPr>
                <w:rFonts w:cstheme="minorHAnsi"/>
                <w:sz w:val="16"/>
                <w:szCs w:val="16"/>
              </w:rPr>
              <w:t xml:space="preserve"> planning attitude </w:t>
            </w:r>
            <w:r>
              <w:rPr>
                <w:rFonts w:cstheme="minorHAnsi"/>
                <w:sz w:val="16"/>
                <w:szCs w:val="16"/>
              </w:rPr>
              <w:t xml:space="preserve">(i.e. </w:t>
            </w:r>
            <w:r w:rsidRPr="00A82E00">
              <w:rPr>
                <w:rFonts w:cstheme="minorHAnsi"/>
                <w:sz w:val="16"/>
                <w:szCs w:val="16"/>
              </w:rPr>
              <w:t>acceptance and non-acceptance of the need to change</w:t>
            </w:r>
            <w:r>
              <w:rPr>
                <w:rFonts w:cstheme="minorHAnsi"/>
                <w:sz w:val="16"/>
                <w:szCs w:val="16"/>
              </w:rPr>
              <w:t>)</w:t>
            </w:r>
          </w:p>
        </w:tc>
        <w:tc>
          <w:tcPr>
            <w:tcW w:w="381" w:type="pct"/>
          </w:tcPr>
          <w:p w14:paraId="2760E94F" w14:textId="77777777" w:rsidR="003E59F1" w:rsidRPr="00384FD2" w:rsidRDefault="003E59F1" w:rsidP="003E59F1">
            <w:pPr>
              <w:rPr>
                <w:rFonts w:cstheme="minorHAnsi"/>
                <w:sz w:val="16"/>
                <w:szCs w:val="16"/>
              </w:rPr>
            </w:pPr>
            <w:r w:rsidRPr="00384FD2">
              <w:rPr>
                <w:rFonts w:cstheme="minorHAnsi"/>
                <w:sz w:val="16"/>
                <w:szCs w:val="16"/>
              </w:rPr>
              <w:t>No</w:t>
            </w:r>
            <w:r>
              <w:rPr>
                <w:rFonts w:cstheme="minorHAnsi"/>
                <w:sz w:val="16"/>
                <w:szCs w:val="16"/>
              </w:rPr>
              <w:t>ne</w:t>
            </w:r>
          </w:p>
        </w:tc>
        <w:tc>
          <w:tcPr>
            <w:tcW w:w="859" w:type="pct"/>
          </w:tcPr>
          <w:p w14:paraId="4BE35204" w14:textId="77777777" w:rsidR="003E59F1" w:rsidRDefault="003E59F1" w:rsidP="003E59F1">
            <w:pPr>
              <w:rPr>
                <w:rFonts w:cstheme="minorHAnsi"/>
                <w:sz w:val="16"/>
                <w:szCs w:val="16"/>
              </w:rPr>
            </w:pPr>
            <w:r>
              <w:rPr>
                <w:rFonts w:cstheme="minorHAnsi"/>
                <w:sz w:val="16"/>
                <w:szCs w:val="16"/>
              </w:rPr>
              <w:t>Cites t</w:t>
            </w:r>
            <w:r w:rsidRPr="00384FD2">
              <w:rPr>
                <w:rFonts w:cstheme="minorHAnsi"/>
                <w:sz w:val="16"/>
                <w:szCs w:val="16"/>
              </w:rPr>
              <w:t>he lead authors’ ‘Framework of Systemic Organisation‘ (</w:t>
            </w:r>
            <w:proofErr w:type="spellStart"/>
            <w:r>
              <w:rPr>
                <w:rFonts w:cstheme="minorHAnsi"/>
                <w:sz w:val="16"/>
                <w:szCs w:val="16"/>
              </w:rPr>
              <w:t>Friedemann</w:t>
            </w:r>
            <w:proofErr w:type="spellEnd"/>
            <w:r>
              <w:rPr>
                <w:rFonts w:cstheme="minorHAnsi"/>
                <w:sz w:val="16"/>
                <w:szCs w:val="16"/>
              </w:rPr>
              <w:t xml:space="preserve">, </w:t>
            </w:r>
            <w:r w:rsidRPr="00384FD2">
              <w:rPr>
                <w:rFonts w:cstheme="minorHAnsi"/>
                <w:sz w:val="16"/>
                <w:szCs w:val="16"/>
              </w:rPr>
              <w:t>1995)</w:t>
            </w:r>
          </w:p>
          <w:p w14:paraId="6ACE46E1" w14:textId="77777777" w:rsidR="003E59F1" w:rsidRDefault="003E59F1" w:rsidP="003E59F1">
            <w:pPr>
              <w:rPr>
                <w:rFonts w:cstheme="minorHAnsi"/>
                <w:sz w:val="16"/>
                <w:szCs w:val="16"/>
              </w:rPr>
            </w:pPr>
          </w:p>
          <w:p w14:paraId="0682275E" w14:textId="77777777" w:rsidR="003E59F1" w:rsidRPr="00384FD2" w:rsidRDefault="003E59F1" w:rsidP="003E59F1">
            <w:pPr>
              <w:rPr>
                <w:rFonts w:cstheme="minorHAnsi"/>
                <w:sz w:val="16"/>
                <w:szCs w:val="16"/>
              </w:rPr>
            </w:pPr>
            <w:r>
              <w:rPr>
                <w:rFonts w:cstheme="minorHAnsi"/>
                <w:sz w:val="16"/>
                <w:szCs w:val="16"/>
              </w:rPr>
              <w:t>Instrument developed before IPDAS criteria published</w:t>
            </w:r>
          </w:p>
          <w:p w14:paraId="4A2CFDEA" w14:textId="77777777" w:rsidR="003E59F1" w:rsidRDefault="003E59F1" w:rsidP="003E59F1">
            <w:pPr>
              <w:rPr>
                <w:rFonts w:cstheme="minorHAnsi"/>
                <w:sz w:val="16"/>
                <w:szCs w:val="16"/>
              </w:rPr>
            </w:pPr>
          </w:p>
          <w:p w14:paraId="3B15DFC3" w14:textId="77777777" w:rsidR="003E59F1" w:rsidRDefault="003E59F1" w:rsidP="003E59F1">
            <w:pPr>
              <w:rPr>
                <w:rFonts w:cstheme="minorHAnsi"/>
                <w:sz w:val="16"/>
                <w:szCs w:val="16"/>
              </w:rPr>
            </w:pPr>
          </w:p>
          <w:p w14:paraId="513608F1" w14:textId="77777777" w:rsidR="003E59F1" w:rsidRPr="00384FD2" w:rsidRDefault="003E59F1" w:rsidP="003E59F1">
            <w:pPr>
              <w:rPr>
                <w:rFonts w:cstheme="minorHAnsi"/>
                <w:sz w:val="16"/>
                <w:szCs w:val="16"/>
              </w:rPr>
            </w:pPr>
          </w:p>
        </w:tc>
      </w:tr>
      <w:tr w:rsidR="003E59F1" w14:paraId="78F8C1AE" w14:textId="77777777" w:rsidTr="003E59F1">
        <w:tc>
          <w:tcPr>
            <w:tcW w:w="349" w:type="pct"/>
          </w:tcPr>
          <w:p w14:paraId="5F5CB714" w14:textId="77777777" w:rsidR="003E59F1" w:rsidRPr="00BC7E08" w:rsidRDefault="003E59F1" w:rsidP="003E59F1">
            <w:pPr>
              <w:rPr>
                <w:rFonts w:cstheme="minorHAnsi"/>
                <w:sz w:val="16"/>
                <w:szCs w:val="16"/>
              </w:rPr>
            </w:pPr>
            <w:proofErr w:type="spellStart"/>
            <w:r w:rsidRPr="00BC7E08">
              <w:rPr>
                <w:rFonts w:cstheme="minorHAnsi"/>
                <w:sz w:val="16"/>
                <w:szCs w:val="16"/>
              </w:rPr>
              <w:t>Garvelink</w:t>
            </w:r>
            <w:proofErr w:type="spellEnd"/>
            <w:r w:rsidRPr="00BC7E08">
              <w:rPr>
                <w:rFonts w:cstheme="minorHAnsi"/>
                <w:sz w:val="16"/>
                <w:szCs w:val="16"/>
              </w:rPr>
              <w:t xml:space="preserve"> et al</w:t>
            </w:r>
          </w:p>
          <w:p w14:paraId="02E85588" w14:textId="77777777" w:rsidR="003E59F1" w:rsidRPr="00A82E00" w:rsidRDefault="003E59F1" w:rsidP="003E59F1">
            <w:pPr>
              <w:rPr>
                <w:rFonts w:cstheme="minorHAnsi"/>
                <w:sz w:val="16"/>
                <w:szCs w:val="16"/>
              </w:rPr>
            </w:pPr>
            <w:r w:rsidRPr="00A82E00">
              <w:rPr>
                <w:rFonts w:cstheme="minorHAnsi"/>
                <w:sz w:val="16"/>
                <w:szCs w:val="16"/>
              </w:rPr>
              <w:t>2016</w:t>
            </w:r>
          </w:p>
          <w:p w14:paraId="2625FF06" w14:textId="77777777" w:rsidR="003E59F1" w:rsidRPr="00BC7E08" w:rsidRDefault="003E59F1" w:rsidP="003E59F1">
            <w:pPr>
              <w:rPr>
                <w:rFonts w:cstheme="minorHAnsi"/>
                <w:sz w:val="16"/>
                <w:szCs w:val="16"/>
              </w:rPr>
            </w:pPr>
            <w:r w:rsidRPr="00A82E00">
              <w:rPr>
                <w:rFonts w:cstheme="minorHAnsi"/>
                <w:sz w:val="16"/>
                <w:szCs w:val="16"/>
              </w:rPr>
              <w:t>Canada</w:t>
            </w:r>
          </w:p>
        </w:tc>
        <w:tc>
          <w:tcPr>
            <w:tcW w:w="493" w:type="pct"/>
          </w:tcPr>
          <w:p w14:paraId="1AB56100" w14:textId="77777777" w:rsidR="003E59F1" w:rsidRPr="00384FD2" w:rsidRDefault="003E59F1" w:rsidP="003E59F1">
            <w:pPr>
              <w:rPr>
                <w:rFonts w:cstheme="minorHAnsi"/>
                <w:sz w:val="16"/>
                <w:szCs w:val="16"/>
              </w:rPr>
            </w:pPr>
            <w:r w:rsidRPr="00384FD2">
              <w:rPr>
                <w:rFonts w:cstheme="minorHAnsi"/>
                <w:sz w:val="16"/>
                <w:szCs w:val="16"/>
              </w:rPr>
              <w:t>Not stated</w:t>
            </w:r>
          </w:p>
          <w:p w14:paraId="3B5702FC" w14:textId="77777777" w:rsidR="003E59F1" w:rsidRPr="00384FD2" w:rsidRDefault="003E59F1" w:rsidP="003E59F1">
            <w:pPr>
              <w:rPr>
                <w:rFonts w:cstheme="minorHAnsi"/>
                <w:sz w:val="16"/>
                <w:szCs w:val="16"/>
              </w:rPr>
            </w:pPr>
          </w:p>
          <w:p w14:paraId="141A4A0D" w14:textId="77777777" w:rsidR="003E59F1" w:rsidRPr="00384FD2" w:rsidRDefault="003E59F1" w:rsidP="003E59F1">
            <w:pPr>
              <w:rPr>
                <w:rFonts w:cstheme="minorHAnsi"/>
                <w:i/>
                <w:color w:val="000000"/>
                <w:sz w:val="16"/>
                <w:szCs w:val="16"/>
              </w:rPr>
            </w:pPr>
            <w:r w:rsidRPr="00384FD2">
              <w:rPr>
                <w:rFonts w:cstheme="minorHAnsi"/>
                <w:i/>
                <w:color w:val="000000"/>
                <w:sz w:val="16"/>
                <w:szCs w:val="16"/>
              </w:rPr>
              <w:t>(Unclear)</w:t>
            </w:r>
          </w:p>
          <w:p w14:paraId="4F9799A8" w14:textId="77777777" w:rsidR="003E59F1" w:rsidRPr="00384FD2" w:rsidRDefault="003E59F1" w:rsidP="003E59F1">
            <w:pPr>
              <w:rPr>
                <w:rFonts w:cstheme="minorHAnsi"/>
                <w:sz w:val="16"/>
                <w:szCs w:val="16"/>
              </w:rPr>
            </w:pPr>
          </w:p>
        </w:tc>
        <w:tc>
          <w:tcPr>
            <w:tcW w:w="545" w:type="pct"/>
          </w:tcPr>
          <w:p w14:paraId="05EEA012" w14:textId="77777777" w:rsidR="003E59F1" w:rsidRPr="00384FD2" w:rsidRDefault="003E59F1" w:rsidP="003E59F1">
            <w:pPr>
              <w:rPr>
                <w:rFonts w:cstheme="minorHAnsi"/>
                <w:sz w:val="16"/>
                <w:szCs w:val="16"/>
              </w:rPr>
            </w:pPr>
            <w:r w:rsidRPr="00384FD2">
              <w:rPr>
                <w:rFonts w:cstheme="minorHAnsi"/>
                <w:sz w:val="16"/>
                <w:szCs w:val="16"/>
              </w:rPr>
              <w:t xml:space="preserve">Decision guide to support caregivers, health professionals and </w:t>
            </w:r>
            <w:r>
              <w:rPr>
                <w:rFonts w:cstheme="minorHAnsi"/>
                <w:sz w:val="16"/>
                <w:szCs w:val="16"/>
              </w:rPr>
              <w:t>older people</w:t>
            </w:r>
            <w:r w:rsidRPr="00384FD2">
              <w:rPr>
                <w:rFonts w:cstheme="minorHAnsi"/>
                <w:sz w:val="16"/>
                <w:szCs w:val="16"/>
              </w:rPr>
              <w:t xml:space="preserve"> in decision making about location of care</w:t>
            </w:r>
          </w:p>
        </w:tc>
        <w:tc>
          <w:tcPr>
            <w:tcW w:w="644" w:type="pct"/>
          </w:tcPr>
          <w:p w14:paraId="2E7F8471" w14:textId="77777777" w:rsidR="003E59F1" w:rsidRPr="00384FD2" w:rsidRDefault="003E59F1" w:rsidP="003E59F1">
            <w:pPr>
              <w:rPr>
                <w:rFonts w:cstheme="minorHAnsi"/>
                <w:sz w:val="16"/>
                <w:szCs w:val="16"/>
              </w:rPr>
            </w:pPr>
            <w:r w:rsidRPr="00384FD2">
              <w:rPr>
                <w:rFonts w:cstheme="minorHAnsi"/>
                <w:sz w:val="16"/>
                <w:szCs w:val="16"/>
              </w:rPr>
              <w:t xml:space="preserve">Older </w:t>
            </w:r>
            <w:r>
              <w:rPr>
                <w:rFonts w:cstheme="minorHAnsi"/>
                <w:sz w:val="16"/>
                <w:szCs w:val="16"/>
              </w:rPr>
              <w:t>people</w:t>
            </w:r>
            <w:r w:rsidRPr="00384FD2">
              <w:rPr>
                <w:rFonts w:cstheme="minorHAnsi"/>
                <w:sz w:val="16"/>
                <w:szCs w:val="16"/>
              </w:rPr>
              <w:t xml:space="preserve">, caregivers </w:t>
            </w:r>
            <w:r>
              <w:rPr>
                <w:rFonts w:cstheme="minorHAnsi"/>
                <w:sz w:val="16"/>
                <w:szCs w:val="16"/>
              </w:rPr>
              <w:t>and</w:t>
            </w:r>
            <w:r w:rsidRPr="00384FD2">
              <w:rPr>
                <w:rFonts w:cstheme="minorHAnsi"/>
                <w:sz w:val="16"/>
                <w:szCs w:val="16"/>
              </w:rPr>
              <w:t xml:space="preserve"> clinicians/health professionals</w:t>
            </w:r>
          </w:p>
        </w:tc>
        <w:tc>
          <w:tcPr>
            <w:tcW w:w="594" w:type="pct"/>
          </w:tcPr>
          <w:p w14:paraId="6D08BBD7" w14:textId="77777777" w:rsidR="003E59F1" w:rsidRPr="00384FD2" w:rsidRDefault="003E59F1" w:rsidP="003E59F1">
            <w:pPr>
              <w:rPr>
                <w:rFonts w:cstheme="minorHAnsi"/>
                <w:sz w:val="16"/>
                <w:szCs w:val="16"/>
              </w:rPr>
            </w:pPr>
            <w:r w:rsidRPr="00384FD2">
              <w:rPr>
                <w:rFonts w:cstheme="minorHAnsi"/>
                <w:sz w:val="16"/>
                <w:szCs w:val="16"/>
              </w:rPr>
              <w:t>10-page coloured booklet printed on A3 sized paper in English and French language</w:t>
            </w:r>
          </w:p>
        </w:tc>
        <w:tc>
          <w:tcPr>
            <w:tcW w:w="1135" w:type="pct"/>
          </w:tcPr>
          <w:p w14:paraId="031B0A51" w14:textId="77777777" w:rsidR="003E59F1" w:rsidRPr="00384FD2" w:rsidRDefault="003E59F1" w:rsidP="003E59F1">
            <w:pPr>
              <w:rPr>
                <w:rFonts w:cstheme="minorHAnsi"/>
                <w:sz w:val="16"/>
                <w:szCs w:val="16"/>
              </w:rPr>
            </w:pPr>
            <w:r>
              <w:rPr>
                <w:rFonts w:cstheme="minorHAnsi"/>
                <w:sz w:val="16"/>
                <w:szCs w:val="16"/>
              </w:rPr>
              <w:t>L</w:t>
            </w:r>
            <w:r w:rsidRPr="00384FD2">
              <w:rPr>
                <w:rFonts w:cstheme="minorHAnsi"/>
                <w:sz w:val="16"/>
                <w:szCs w:val="16"/>
              </w:rPr>
              <w:t>ocation of care</w:t>
            </w:r>
          </w:p>
        </w:tc>
        <w:tc>
          <w:tcPr>
            <w:tcW w:w="381" w:type="pct"/>
          </w:tcPr>
          <w:p w14:paraId="3F67656C" w14:textId="77777777" w:rsidR="003E59F1" w:rsidRPr="00384FD2" w:rsidRDefault="003E59F1" w:rsidP="003E59F1">
            <w:pPr>
              <w:rPr>
                <w:rFonts w:cstheme="minorHAnsi"/>
                <w:sz w:val="16"/>
                <w:szCs w:val="16"/>
              </w:rPr>
            </w:pPr>
            <w:r w:rsidRPr="00384FD2">
              <w:rPr>
                <w:rFonts w:cstheme="minorHAnsi"/>
                <w:sz w:val="16"/>
                <w:szCs w:val="16"/>
              </w:rPr>
              <w:t>No</w:t>
            </w:r>
            <w:r>
              <w:rPr>
                <w:rFonts w:cstheme="minorHAnsi"/>
                <w:sz w:val="16"/>
                <w:szCs w:val="16"/>
              </w:rPr>
              <w:t>ne</w:t>
            </w:r>
          </w:p>
          <w:p w14:paraId="7CAAA937" w14:textId="77777777" w:rsidR="003E59F1" w:rsidRPr="00384FD2" w:rsidRDefault="003E59F1" w:rsidP="003E59F1">
            <w:pPr>
              <w:rPr>
                <w:rFonts w:cstheme="minorHAnsi"/>
                <w:sz w:val="16"/>
                <w:szCs w:val="16"/>
              </w:rPr>
            </w:pPr>
          </w:p>
        </w:tc>
        <w:tc>
          <w:tcPr>
            <w:tcW w:w="859" w:type="pct"/>
          </w:tcPr>
          <w:p w14:paraId="3A2A90AD" w14:textId="77777777" w:rsidR="003E59F1" w:rsidRDefault="003E59F1" w:rsidP="003E59F1">
            <w:pPr>
              <w:rPr>
                <w:rFonts w:cstheme="minorHAnsi"/>
                <w:sz w:val="16"/>
                <w:szCs w:val="16"/>
              </w:rPr>
            </w:pPr>
            <w:r w:rsidRPr="00384FD2">
              <w:rPr>
                <w:rFonts w:cstheme="minorHAnsi"/>
                <w:sz w:val="16"/>
                <w:szCs w:val="16"/>
              </w:rPr>
              <w:t>No</w:t>
            </w:r>
            <w:r>
              <w:rPr>
                <w:rFonts w:cstheme="minorHAnsi"/>
                <w:sz w:val="16"/>
                <w:szCs w:val="16"/>
              </w:rPr>
              <w:t xml:space="preserve"> theory </w:t>
            </w:r>
            <w:r w:rsidRPr="00384FD2">
              <w:rPr>
                <w:rFonts w:cstheme="minorHAnsi"/>
                <w:sz w:val="16"/>
                <w:szCs w:val="16"/>
              </w:rPr>
              <w:t>cited</w:t>
            </w:r>
          </w:p>
          <w:p w14:paraId="0DFD13B1" w14:textId="77777777" w:rsidR="003E59F1" w:rsidRDefault="003E59F1" w:rsidP="003E59F1">
            <w:pPr>
              <w:rPr>
                <w:rFonts w:cstheme="minorHAnsi"/>
                <w:sz w:val="16"/>
                <w:szCs w:val="16"/>
              </w:rPr>
            </w:pPr>
          </w:p>
          <w:p w14:paraId="40E934C8" w14:textId="77777777" w:rsidR="003E59F1" w:rsidRDefault="003E59F1" w:rsidP="003E59F1">
            <w:pPr>
              <w:rPr>
                <w:rFonts w:cstheme="minorHAnsi"/>
                <w:sz w:val="16"/>
                <w:szCs w:val="16"/>
              </w:rPr>
            </w:pPr>
          </w:p>
          <w:p w14:paraId="4D9AC16F" w14:textId="77777777" w:rsidR="003E59F1" w:rsidRDefault="003E59F1" w:rsidP="003E59F1">
            <w:pPr>
              <w:rPr>
                <w:rFonts w:cstheme="minorHAnsi"/>
                <w:sz w:val="16"/>
                <w:szCs w:val="16"/>
              </w:rPr>
            </w:pPr>
            <w:r>
              <w:rPr>
                <w:rFonts w:cstheme="minorHAnsi"/>
                <w:sz w:val="16"/>
                <w:szCs w:val="16"/>
              </w:rPr>
              <w:t>Assessed against the IPDAS criteria</w:t>
            </w:r>
          </w:p>
          <w:p w14:paraId="44FBA4ED" w14:textId="77777777" w:rsidR="003E59F1" w:rsidRPr="00384FD2" w:rsidRDefault="003E59F1" w:rsidP="003E59F1">
            <w:pPr>
              <w:rPr>
                <w:rFonts w:cstheme="minorHAnsi"/>
                <w:sz w:val="16"/>
                <w:szCs w:val="16"/>
              </w:rPr>
            </w:pPr>
          </w:p>
          <w:p w14:paraId="04F2FDA1" w14:textId="77777777" w:rsidR="003E59F1" w:rsidRPr="00384FD2" w:rsidRDefault="003E59F1" w:rsidP="003E59F1">
            <w:pPr>
              <w:rPr>
                <w:rFonts w:cstheme="minorHAnsi"/>
                <w:sz w:val="16"/>
                <w:szCs w:val="16"/>
              </w:rPr>
            </w:pPr>
          </w:p>
        </w:tc>
      </w:tr>
      <w:tr w:rsidR="003E59F1" w14:paraId="391C0230" w14:textId="77777777" w:rsidTr="003E59F1">
        <w:tc>
          <w:tcPr>
            <w:tcW w:w="349" w:type="pct"/>
          </w:tcPr>
          <w:p w14:paraId="7A2B3940" w14:textId="77777777" w:rsidR="003E59F1" w:rsidRPr="00BC7E08" w:rsidRDefault="003E59F1" w:rsidP="003E59F1">
            <w:pPr>
              <w:rPr>
                <w:rFonts w:cstheme="minorHAnsi"/>
                <w:sz w:val="16"/>
                <w:szCs w:val="16"/>
              </w:rPr>
            </w:pPr>
            <w:proofErr w:type="spellStart"/>
            <w:r w:rsidRPr="00BC7E08">
              <w:rPr>
                <w:rFonts w:cstheme="minorHAnsi"/>
                <w:sz w:val="16"/>
                <w:szCs w:val="16"/>
              </w:rPr>
              <w:t>Garvelink</w:t>
            </w:r>
            <w:proofErr w:type="spellEnd"/>
            <w:r w:rsidRPr="00BC7E08">
              <w:rPr>
                <w:rFonts w:cstheme="minorHAnsi"/>
                <w:sz w:val="16"/>
                <w:szCs w:val="16"/>
              </w:rPr>
              <w:t xml:space="preserve"> et al </w:t>
            </w:r>
          </w:p>
          <w:p w14:paraId="674054FE" w14:textId="77777777" w:rsidR="003E59F1" w:rsidRPr="00A82E00" w:rsidRDefault="003E59F1" w:rsidP="003E59F1">
            <w:pPr>
              <w:rPr>
                <w:rFonts w:cstheme="minorHAnsi"/>
                <w:sz w:val="16"/>
                <w:szCs w:val="16"/>
              </w:rPr>
            </w:pPr>
            <w:r w:rsidRPr="00A82E00">
              <w:rPr>
                <w:rFonts w:cstheme="minorHAnsi"/>
                <w:sz w:val="16"/>
                <w:szCs w:val="16"/>
              </w:rPr>
              <w:t>2017</w:t>
            </w:r>
          </w:p>
          <w:p w14:paraId="2A098125" w14:textId="77777777" w:rsidR="003E59F1" w:rsidRPr="00BC7E08" w:rsidRDefault="003E59F1" w:rsidP="003E59F1">
            <w:pPr>
              <w:rPr>
                <w:rFonts w:cstheme="minorHAnsi"/>
                <w:sz w:val="16"/>
                <w:szCs w:val="16"/>
              </w:rPr>
            </w:pPr>
            <w:r w:rsidRPr="00A82E00">
              <w:rPr>
                <w:rFonts w:cstheme="minorHAnsi"/>
                <w:sz w:val="16"/>
                <w:szCs w:val="16"/>
              </w:rPr>
              <w:t>Canada</w:t>
            </w:r>
          </w:p>
        </w:tc>
        <w:tc>
          <w:tcPr>
            <w:tcW w:w="493" w:type="pct"/>
          </w:tcPr>
          <w:p w14:paraId="49AC3F5C" w14:textId="77777777" w:rsidR="003E59F1" w:rsidRPr="00086B1D" w:rsidRDefault="003E59F1" w:rsidP="003E59F1">
            <w:pPr>
              <w:rPr>
                <w:rFonts w:cstheme="minorHAnsi"/>
                <w:sz w:val="16"/>
                <w:szCs w:val="16"/>
              </w:rPr>
            </w:pPr>
            <w:proofErr w:type="spellStart"/>
            <w:r w:rsidRPr="00086B1D">
              <w:rPr>
                <w:rFonts w:cstheme="minorHAnsi"/>
                <w:sz w:val="16"/>
                <w:szCs w:val="16"/>
              </w:rPr>
              <w:t>SupPortIng</w:t>
            </w:r>
            <w:proofErr w:type="spellEnd"/>
            <w:r w:rsidRPr="00086B1D">
              <w:rPr>
                <w:rFonts w:cstheme="minorHAnsi"/>
                <w:sz w:val="16"/>
                <w:szCs w:val="16"/>
              </w:rPr>
              <w:t xml:space="preserve"> </w:t>
            </w:r>
            <w:proofErr w:type="spellStart"/>
            <w:r w:rsidRPr="00086B1D">
              <w:rPr>
                <w:rFonts w:cstheme="minorHAnsi"/>
                <w:sz w:val="16"/>
                <w:szCs w:val="16"/>
              </w:rPr>
              <w:t>seNiors</w:t>
            </w:r>
            <w:proofErr w:type="spellEnd"/>
            <w:r w:rsidRPr="00086B1D">
              <w:rPr>
                <w:rFonts w:cstheme="minorHAnsi"/>
                <w:sz w:val="16"/>
                <w:szCs w:val="16"/>
              </w:rPr>
              <w:t xml:space="preserve"> And Caregivers to</w:t>
            </w:r>
          </w:p>
          <w:p w14:paraId="70077ADF" w14:textId="77777777" w:rsidR="003E59F1" w:rsidRDefault="003E59F1" w:rsidP="003E59F1">
            <w:pPr>
              <w:rPr>
                <w:rFonts w:cstheme="minorHAnsi"/>
                <w:sz w:val="16"/>
                <w:szCs w:val="16"/>
              </w:rPr>
            </w:pPr>
            <w:r w:rsidRPr="00086B1D">
              <w:rPr>
                <w:rFonts w:cstheme="minorHAnsi"/>
                <w:sz w:val="16"/>
                <w:szCs w:val="16"/>
              </w:rPr>
              <w:t>stay mobile at Home (SPINACH)</w:t>
            </w:r>
          </w:p>
          <w:p w14:paraId="6A019DAB" w14:textId="77777777" w:rsidR="003E59F1" w:rsidRPr="00384FD2" w:rsidRDefault="003E59F1" w:rsidP="003E59F1">
            <w:pPr>
              <w:rPr>
                <w:rFonts w:cstheme="minorHAnsi"/>
                <w:sz w:val="16"/>
                <w:szCs w:val="16"/>
              </w:rPr>
            </w:pPr>
          </w:p>
          <w:p w14:paraId="5B0A8F3F" w14:textId="77777777" w:rsidR="003E59F1" w:rsidRPr="00384FD2" w:rsidRDefault="003E59F1" w:rsidP="003E59F1">
            <w:pPr>
              <w:rPr>
                <w:rFonts w:cstheme="minorHAnsi"/>
                <w:i/>
                <w:color w:val="000000"/>
                <w:sz w:val="16"/>
                <w:szCs w:val="16"/>
              </w:rPr>
            </w:pPr>
            <w:r w:rsidRPr="00384FD2">
              <w:rPr>
                <w:rFonts w:cstheme="minorHAnsi"/>
                <w:i/>
                <w:color w:val="000000"/>
                <w:sz w:val="16"/>
                <w:szCs w:val="16"/>
              </w:rPr>
              <w:t>(</w:t>
            </w:r>
            <w:r>
              <w:rPr>
                <w:rFonts w:cstheme="minorHAnsi"/>
                <w:i/>
                <w:color w:val="000000"/>
                <w:sz w:val="16"/>
                <w:szCs w:val="16"/>
              </w:rPr>
              <w:t>3 web-pages</w:t>
            </w:r>
            <w:r w:rsidRPr="00384FD2">
              <w:rPr>
                <w:rFonts w:cstheme="minorHAnsi"/>
                <w:i/>
                <w:color w:val="000000"/>
                <w:sz w:val="16"/>
                <w:szCs w:val="16"/>
              </w:rPr>
              <w:t>)</w:t>
            </w:r>
          </w:p>
          <w:p w14:paraId="3F2653D4" w14:textId="77777777" w:rsidR="003E59F1" w:rsidRPr="00384FD2" w:rsidRDefault="003E59F1" w:rsidP="003E59F1">
            <w:pPr>
              <w:rPr>
                <w:rFonts w:cstheme="minorHAnsi"/>
                <w:sz w:val="16"/>
                <w:szCs w:val="16"/>
              </w:rPr>
            </w:pPr>
          </w:p>
        </w:tc>
        <w:tc>
          <w:tcPr>
            <w:tcW w:w="545" w:type="pct"/>
          </w:tcPr>
          <w:p w14:paraId="3C6AD417" w14:textId="77777777" w:rsidR="003E59F1" w:rsidRPr="00384FD2" w:rsidRDefault="003E59F1" w:rsidP="003E59F1">
            <w:pPr>
              <w:rPr>
                <w:rFonts w:cstheme="minorHAnsi"/>
                <w:sz w:val="16"/>
                <w:szCs w:val="16"/>
              </w:rPr>
            </w:pPr>
            <w:r w:rsidRPr="00384FD2">
              <w:rPr>
                <w:rFonts w:cstheme="minorHAnsi"/>
                <w:sz w:val="16"/>
                <w:szCs w:val="16"/>
              </w:rPr>
              <w:t xml:space="preserve">Decision guide to support caregivers, health professionals and </w:t>
            </w:r>
            <w:r>
              <w:rPr>
                <w:rFonts w:cstheme="minorHAnsi"/>
                <w:sz w:val="16"/>
                <w:szCs w:val="16"/>
              </w:rPr>
              <w:t>older people</w:t>
            </w:r>
            <w:r w:rsidRPr="00384FD2">
              <w:rPr>
                <w:rFonts w:cstheme="minorHAnsi"/>
                <w:sz w:val="16"/>
                <w:szCs w:val="16"/>
              </w:rPr>
              <w:t xml:space="preserve"> in decision making about</w:t>
            </w:r>
            <w:r>
              <w:rPr>
                <w:rFonts w:cstheme="minorHAnsi"/>
                <w:sz w:val="16"/>
                <w:szCs w:val="16"/>
              </w:rPr>
              <w:t xml:space="preserve"> home care</w:t>
            </w:r>
          </w:p>
        </w:tc>
        <w:tc>
          <w:tcPr>
            <w:tcW w:w="644" w:type="pct"/>
          </w:tcPr>
          <w:p w14:paraId="69575BA8" w14:textId="77777777" w:rsidR="003E59F1" w:rsidRPr="00384FD2" w:rsidRDefault="003E59F1" w:rsidP="003E59F1">
            <w:pPr>
              <w:rPr>
                <w:rFonts w:cstheme="minorHAnsi"/>
                <w:sz w:val="16"/>
                <w:szCs w:val="16"/>
              </w:rPr>
            </w:pPr>
            <w:r w:rsidRPr="00384FD2">
              <w:rPr>
                <w:rFonts w:cstheme="minorHAnsi"/>
                <w:sz w:val="16"/>
                <w:szCs w:val="16"/>
              </w:rPr>
              <w:t xml:space="preserve">Older </w:t>
            </w:r>
            <w:r>
              <w:rPr>
                <w:rFonts w:cstheme="minorHAnsi"/>
                <w:sz w:val="16"/>
                <w:szCs w:val="16"/>
              </w:rPr>
              <w:t xml:space="preserve">people and </w:t>
            </w:r>
            <w:r w:rsidRPr="00384FD2">
              <w:rPr>
                <w:rFonts w:cstheme="minorHAnsi"/>
                <w:sz w:val="16"/>
                <w:szCs w:val="16"/>
              </w:rPr>
              <w:t>caregivers</w:t>
            </w:r>
          </w:p>
        </w:tc>
        <w:tc>
          <w:tcPr>
            <w:tcW w:w="594" w:type="pct"/>
          </w:tcPr>
          <w:p w14:paraId="57642C0C" w14:textId="77777777" w:rsidR="003E59F1" w:rsidRPr="00384FD2" w:rsidRDefault="003E59F1" w:rsidP="003E59F1">
            <w:pPr>
              <w:rPr>
                <w:rFonts w:cstheme="minorHAnsi"/>
                <w:sz w:val="16"/>
                <w:szCs w:val="16"/>
              </w:rPr>
            </w:pPr>
            <w:r w:rsidRPr="00384FD2">
              <w:rPr>
                <w:rFonts w:cstheme="minorHAnsi"/>
                <w:sz w:val="16"/>
                <w:szCs w:val="16"/>
              </w:rPr>
              <w:t>Internet based interactive resource</w:t>
            </w:r>
          </w:p>
        </w:tc>
        <w:tc>
          <w:tcPr>
            <w:tcW w:w="1135" w:type="pct"/>
          </w:tcPr>
          <w:p w14:paraId="38FAB767" w14:textId="77777777" w:rsidR="003E59F1" w:rsidRDefault="003E59F1" w:rsidP="003E59F1">
            <w:pPr>
              <w:rPr>
                <w:rFonts w:cstheme="minorHAnsi"/>
                <w:sz w:val="16"/>
                <w:szCs w:val="16"/>
              </w:rPr>
            </w:pPr>
            <w:r>
              <w:rPr>
                <w:rFonts w:cstheme="minorHAnsi"/>
                <w:sz w:val="16"/>
                <w:szCs w:val="16"/>
              </w:rPr>
              <w:t>Options for staying independent at home, including:</w:t>
            </w:r>
          </w:p>
          <w:p w14:paraId="055ACB9B" w14:textId="77777777" w:rsidR="003E59F1" w:rsidRDefault="003E59F1" w:rsidP="003E59F1">
            <w:pPr>
              <w:pStyle w:val="ListParagraph"/>
              <w:numPr>
                <w:ilvl w:val="0"/>
                <w:numId w:val="20"/>
              </w:numPr>
              <w:rPr>
                <w:rFonts w:cstheme="minorHAnsi"/>
                <w:sz w:val="16"/>
                <w:szCs w:val="16"/>
              </w:rPr>
            </w:pPr>
            <w:r w:rsidRPr="00A82E00">
              <w:rPr>
                <w:rFonts w:cstheme="minorHAnsi"/>
                <w:sz w:val="16"/>
                <w:szCs w:val="16"/>
              </w:rPr>
              <w:t>the importance of thinking early</w:t>
            </w:r>
          </w:p>
          <w:p w14:paraId="07419CFA" w14:textId="77777777" w:rsidR="003E59F1" w:rsidRDefault="003E59F1" w:rsidP="003E59F1">
            <w:pPr>
              <w:pStyle w:val="ListParagraph"/>
              <w:numPr>
                <w:ilvl w:val="0"/>
                <w:numId w:val="20"/>
              </w:numPr>
              <w:rPr>
                <w:rFonts w:cstheme="minorHAnsi"/>
                <w:sz w:val="16"/>
                <w:szCs w:val="16"/>
              </w:rPr>
            </w:pPr>
            <w:r w:rsidRPr="00A82E00">
              <w:rPr>
                <w:rFonts w:cstheme="minorHAnsi"/>
                <w:sz w:val="16"/>
                <w:szCs w:val="16"/>
              </w:rPr>
              <w:t>safety issues in and out of the home</w:t>
            </w:r>
          </w:p>
          <w:p w14:paraId="7B2FE7FA" w14:textId="77777777" w:rsidR="003E59F1" w:rsidRDefault="003E59F1" w:rsidP="003E59F1">
            <w:pPr>
              <w:pStyle w:val="ListParagraph"/>
              <w:numPr>
                <w:ilvl w:val="0"/>
                <w:numId w:val="20"/>
              </w:numPr>
              <w:rPr>
                <w:rFonts w:cstheme="minorHAnsi"/>
                <w:sz w:val="16"/>
                <w:szCs w:val="16"/>
              </w:rPr>
            </w:pPr>
            <w:r w:rsidRPr="00A82E00">
              <w:rPr>
                <w:rFonts w:cstheme="minorHAnsi"/>
                <w:sz w:val="16"/>
                <w:szCs w:val="16"/>
              </w:rPr>
              <w:t>social support</w:t>
            </w:r>
          </w:p>
          <w:p w14:paraId="77E354C2" w14:textId="77777777" w:rsidR="003E59F1" w:rsidRPr="00A82E00" w:rsidRDefault="003E59F1" w:rsidP="003E59F1">
            <w:pPr>
              <w:pStyle w:val="ListParagraph"/>
              <w:numPr>
                <w:ilvl w:val="0"/>
                <w:numId w:val="20"/>
              </w:numPr>
              <w:rPr>
                <w:rFonts w:cstheme="minorHAnsi"/>
                <w:sz w:val="16"/>
                <w:szCs w:val="16"/>
              </w:rPr>
            </w:pPr>
            <w:r w:rsidRPr="00A82E00">
              <w:rPr>
                <w:rFonts w:cstheme="minorHAnsi"/>
                <w:sz w:val="16"/>
                <w:szCs w:val="16"/>
              </w:rPr>
              <w:t>psychological and mental well-being</w:t>
            </w:r>
          </w:p>
        </w:tc>
        <w:tc>
          <w:tcPr>
            <w:tcW w:w="381" w:type="pct"/>
          </w:tcPr>
          <w:p w14:paraId="673788E4" w14:textId="77777777" w:rsidR="003E59F1" w:rsidRPr="00384FD2" w:rsidRDefault="003E59F1" w:rsidP="003E59F1">
            <w:pPr>
              <w:rPr>
                <w:rFonts w:cstheme="minorHAnsi"/>
                <w:sz w:val="16"/>
                <w:szCs w:val="16"/>
              </w:rPr>
            </w:pPr>
            <w:r>
              <w:rPr>
                <w:rFonts w:cstheme="minorHAnsi"/>
                <w:sz w:val="16"/>
                <w:szCs w:val="16"/>
              </w:rPr>
              <w:t>None</w:t>
            </w:r>
          </w:p>
        </w:tc>
        <w:tc>
          <w:tcPr>
            <w:tcW w:w="859" w:type="pct"/>
          </w:tcPr>
          <w:p w14:paraId="588B7AC1" w14:textId="77777777" w:rsidR="003E59F1" w:rsidRDefault="003E59F1" w:rsidP="003E59F1">
            <w:pPr>
              <w:rPr>
                <w:rFonts w:cstheme="minorHAnsi"/>
                <w:sz w:val="16"/>
                <w:szCs w:val="16"/>
              </w:rPr>
            </w:pPr>
            <w:r w:rsidRPr="00384FD2">
              <w:rPr>
                <w:rFonts w:cstheme="minorHAnsi"/>
                <w:sz w:val="16"/>
                <w:szCs w:val="16"/>
              </w:rPr>
              <w:t>No</w:t>
            </w:r>
            <w:r>
              <w:rPr>
                <w:rFonts w:cstheme="minorHAnsi"/>
                <w:sz w:val="16"/>
                <w:szCs w:val="16"/>
              </w:rPr>
              <w:t xml:space="preserve"> theory </w:t>
            </w:r>
            <w:r w:rsidRPr="00384FD2">
              <w:rPr>
                <w:rFonts w:cstheme="minorHAnsi"/>
                <w:sz w:val="16"/>
                <w:szCs w:val="16"/>
              </w:rPr>
              <w:t>cited</w:t>
            </w:r>
          </w:p>
          <w:p w14:paraId="79F1157A" w14:textId="77777777" w:rsidR="003E59F1" w:rsidRDefault="003E59F1" w:rsidP="003E59F1">
            <w:pPr>
              <w:rPr>
                <w:rFonts w:cstheme="minorHAnsi"/>
                <w:sz w:val="16"/>
                <w:szCs w:val="16"/>
              </w:rPr>
            </w:pPr>
          </w:p>
          <w:p w14:paraId="30D1E195" w14:textId="77777777" w:rsidR="003E59F1" w:rsidRDefault="003E59F1" w:rsidP="003E59F1">
            <w:pPr>
              <w:rPr>
                <w:rFonts w:cstheme="minorHAnsi"/>
                <w:sz w:val="16"/>
                <w:szCs w:val="16"/>
              </w:rPr>
            </w:pPr>
          </w:p>
          <w:p w14:paraId="7EC7D922" w14:textId="77777777" w:rsidR="003E59F1" w:rsidRDefault="003E59F1" w:rsidP="003E59F1">
            <w:pPr>
              <w:rPr>
                <w:rFonts w:cstheme="minorHAnsi"/>
                <w:sz w:val="16"/>
                <w:szCs w:val="16"/>
              </w:rPr>
            </w:pPr>
            <w:r>
              <w:rPr>
                <w:rFonts w:cstheme="minorHAnsi"/>
                <w:sz w:val="16"/>
                <w:szCs w:val="16"/>
              </w:rPr>
              <w:t>Not assessed against the IPDAS criteria</w:t>
            </w:r>
          </w:p>
          <w:p w14:paraId="53E1DC8B" w14:textId="77777777" w:rsidR="003E59F1" w:rsidRPr="00384FD2" w:rsidRDefault="003E59F1" w:rsidP="003E59F1">
            <w:pPr>
              <w:rPr>
                <w:rFonts w:cstheme="minorHAnsi"/>
                <w:sz w:val="16"/>
                <w:szCs w:val="16"/>
              </w:rPr>
            </w:pPr>
          </w:p>
          <w:p w14:paraId="1AD6AF9E" w14:textId="77777777" w:rsidR="003E59F1" w:rsidRPr="00384FD2" w:rsidRDefault="003E59F1" w:rsidP="003E59F1">
            <w:pPr>
              <w:rPr>
                <w:rFonts w:cstheme="minorHAnsi"/>
                <w:sz w:val="16"/>
                <w:szCs w:val="16"/>
              </w:rPr>
            </w:pPr>
          </w:p>
        </w:tc>
      </w:tr>
      <w:tr w:rsidR="003E59F1" w14:paraId="53176334" w14:textId="77777777" w:rsidTr="003E59F1">
        <w:tc>
          <w:tcPr>
            <w:tcW w:w="349" w:type="pct"/>
            <w:tcBorders>
              <w:bottom w:val="single" w:sz="4" w:space="0" w:color="auto"/>
            </w:tcBorders>
          </w:tcPr>
          <w:p w14:paraId="028CB15A" w14:textId="77777777" w:rsidR="003E59F1" w:rsidRPr="00BC7E08" w:rsidRDefault="003E59F1" w:rsidP="003E59F1">
            <w:pPr>
              <w:rPr>
                <w:rFonts w:cstheme="minorHAnsi"/>
                <w:sz w:val="16"/>
                <w:szCs w:val="16"/>
              </w:rPr>
            </w:pPr>
            <w:r w:rsidRPr="00BC7E08">
              <w:rPr>
                <w:rFonts w:cstheme="minorHAnsi"/>
                <w:sz w:val="16"/>
                <w:szCs w:val="16"/>
              </w:rPr>
              <w:t>Hoffman et al</w:t>
            </w:r>
          </w:p>
          <w:p w14:paraId="6A7C68DD" w14:textId="77777777" w:rsidR="003E59F1" w:rsidRPr="00A82E00" w:rsidRDefault="003E59F1" w:rsidP="003E59F1">
            <w:pPr>
              <w:rPr>
                <w:rFonts w:cstheme="minorHAnsi"/>
                <w:sz w:val="16"/>
                <w:szCs w:val="16"/>
              </w:rPr>
            </w:pPr>
            <w:r w:rsidRPr="00A82E00">
              <w:rPr>
                <w:rFonts w:cstheme="minorHAnsi"/>
                <w:sz w:val="16"/>
                <w:szCs w:val="16"/>
              </w:rPr>
              <w:t>2019</w:t>
            </w:r>
          </w:p>
          <w:p w14:paraId="41CFD5B5" w14:textId="77777777" w:rsidR="003E59F1" w:rsidRPr="00BC7E08" w:rsidRDefault="003E59F1" w:rsidP="003E59F1">
            <w:pPr>
              <w:rPr>
                <w:rFonts w:cstheme="minorHAnsi"/>
                <w:sz w:val="16"/>
                <w:szCs w:val="16"/>
              </w:rPr>
            </w:pPr>
            <w:r w:rsidRPr="00A82E00">
              <w:rPr>
                <w:rFonts w:cstheme="minorHAnsi"/>
                <w:sz w:val="16"/>
                <w:szCs w:val="16"/>
              </w:rPr>
              <w:lastRenderedPageBreak/>
              <w:t>USA</w:t>
            </w:r>
          </w:p>
        </w:tc>
        <w:tc>
          <w:tcPr>
            <w:tcW w:w="493" w:type="pct"/>
            <w:tcBorders>
              <w:bottom w:val="single" w:sz="4" w:space="0" w:color="auto"/>
            </w:tcBorders>
          </w:tcPr>
          <w:p w14:paraId="5D464F0D" w14:textId="77777777" w:rsidR="003E59F1" w:rsidRPr="00384FD2" w:rsidRDefault="003E59F1" w:rsidP="003E59F1">
            <w:pPr>
              <w:rPr>
                <w:rFonts w:cstheme="minorHAnsi"/>
                <w:color w:val="000000"/>
                <w:sz w:val="16"/>
                <w:szCs w:val="16"/>
              </w:rPr>
            </w:pPr>
            <w:r w:rsidRPr="00384FD2">
              <w:rPr>
                <w:rFonts w:cstheme="minorHAnsi"/>
                <w:color w:val="000000"/>
                <w:sz w:val="16"/>
                <w:szCs w:val="16"/>
              </w:rPr>
              <w:lastRenderedPageBreak/>
              <w:t>Planning for Long Term Care</w:t>
            </w:r>
            <w:r>
              <w:rPr>
                <w:rFonts w:cstheme="minorHAnsi"/>
                <w:color w:val="000000"/>
                <w:sz w:val="16"/>
                <w:szCs w:val="16"/>
              </w:rPr>
              <w:t xml:space="preserve">: </w:t>
            </w:r>
            <w:r w:rsidRPr="00EE21DD">
              <w:rPr>
                <w:rFonts w:cstheme="minorHAnsi"/>
                <w:color w:val="000000"/>
                <w:sz w:val="16"/>
                <w:szCs w:val="16"/>
              </w:rPr>
              <w:t xml:space="preserve">choosing the best </w:t>
            </w:r>
            <w:r w:rsidRPr="00EE21DD">
              <w:rPr>
                <w:rFonts w:cstheme="minorHAnsi"/>
                <w:color w:val="000000"/>
                <w:sz w:val="16"/>
                <w:szCs w:val="16"/>
              </w:rPr>
              <w:lastRenderedPageBreak/>
              <w:t>care and financial plan for your loved ones</w:t>
            </w:r>
          </w:p>
          <w:p w14:paraId="6D539ECE" w14:textId="77777777" w:rsidR="003E59F1" w:rsidRPr="00384FD2" w:rsidRDefault="003E59F1" w:rsidP="003E59F1">
            <w:pPr>
              <w:rPr>
                <w:rFonts w:cstheme="minorHAnsi"/>
                <w:color w:val="000000"/>
                <w:sz w:val="16"/>
                <w:szCs w:val="16"/>
              </w:rPr>
            </w:pPr>
          </w:p>
          <w:p w14:paraId="3C00330E" w14:textId="77777777" w:rsidR="003E59F1" w:rsidRPr="00384FD2" w:rsidRDefault="003E59F1" w:rsidP="003E59F1">
            <w:pPr>
              <w:rPr>
                <w:rFonts w:cstheme="minorHAnsi"/>
                <w:sz w:val="16"/>
                <w:szCs w:val="16"/>
              </w:rPr>
            </w:pPr>
            <w:r w:rsidRPr="00384FD2">
              <w:rPr>
                <w:rFonts w:cstheme="minorHAnsi"/>
                <w:i/>
                <w:color w:val="000000"/>
                <w:sz w:val="16"/>
                <w:szCs w:val="16"/>
              </w:rPr>
              <w:t>(Unclear)</w:t>
            </w:r>
          </w:p>
        </w:tc>
        <w:tc>
          <w:tcPr>
            <w:tcW w:w="545" w:type="pct"/>
            <w:tcBorders>
              <w:bottom w:val="single" w:sz="4" w:space="0" w:color="auto"/>
            </w:tcBorders>
          </w:tcPr>
          <w:p w14:paraId="6EB3816A" w14:textId="77777777" w:rsidR="003E59F1" w:rsidRPr="00384FD2" w:rsidRDefault="003E59F1" w:rsidP="003E59F1">
            <w:pPr>
              <w:rPr>
                <w:rFonts w:cstheme="minorHAnsi"/>
                <w:sz w:val="16"/>
                <w:szCs w:val="16"/>
              </w:rPr>
            </w:pPr>
            <w:r w:rsidRPr="00384FD2">
              <w:rPr>
                <w:rFonts w:cstheme="minorHAnsi"/>
                <w:sz w:val="16"/>
                <w:szCs w:val="16"/>
              </w:rPr>
              <w:lastRenderedPageBreak/>
              <w:t xml:space="preserve">Decision aid to educate and support older </w:t>
            </w:r>
            <w:r>
              <w:rPr>
                <w:rFonts w:cstheme="minorHAnsi"/>
                <w:sz w:val="16"/>
                <w:szCs w:val="16"/>
              </w:rPr>
              <w:lastRenderedPageBreak/>
              <w:t>people</w:t>
            </w:r>
            <w:r w:rsidRPr="00384FD2">
              <w:rPr>
                <w:rFonts w:cstheme="minorHAnsi"/>
                <w:sz w:val="16"/>
                <w:szCs w:val="16"/>
              </w:rPr>
              <w:t xml:space="preserve"> and their family members in beginning a long-term care plan</w:t>
            </w:r>
          </w:p>
        </w:tc>
        <w:tc>
          <w:tcPr>
            <w:tcW w:w="644" w:type="pct"/>
            <w:tcBorders>
              <w:bottom w:val="single" w:sz="4" w:space="0" w:color="auto"/>
            </w:tcBorders>
          </w:tcPr>
          <w:p w14:paraId="7778BDD5" w14:textId="77777777" w:rsidR="003E59F1" w:rsidRPr="00384FD2" w:rsidRDefault="003E59F1" w:rsidP="003E59F1">
            <w:pPr>
              <w:rPr>
                <w:rFonts w:cstheme="minorHAnsi"/>
                <w:sz w:val="16"/>
                <w:szCs w:val="16"/>
              </w:rPr>
            </w:pPr>
            <w:r w:rsidRPr="00384FD2">
              <w:rPr>
                <w:rFonts w:cstheme="minorHAnsi"/>
                <w:sz w:val="16"/>
                <w:szCs w:val="16"/>
              </w:rPr>
              <w:lastRenderedPageBreak/>
              <w:t xml:space="preserve">Older </w:t>
            </w:r>
            <w:r>
              <w:rPr>
                <w:rFonts w:cstheme="minorHAnsi"/>
                <w:sz w:val="16"/>
                <w:szCs w:val="16"/>
              </w:rPr>
              <w:t>people</w:t>
            </w:r>
          </w:p>
        </w:tc>
        <w:tc>
          <w:tcPr>
            <w:tcW w:w="594" w:type="pct"/>
            <w:tcBorders>
              <w:bottom w:val="single" w:sz="4" w:space="0" w:color="auto"/>
            </w:tcBorders>
          </w:tcPr>
          <w:p w14:paraId="6E179E2B" w14:textId="77777777" w:rsidR="003E59F1" w:rsidRPr="00384FD2" w:rsidRDefault="003E59F1" w:rsidP="003E59F1">
            <w:pPr>
              <w:rPr>
                <w:rFonts w:cstheme="minorHAnsi"/>
                <w:sz w:val="16"/>
                <w:szCs w:val="16"/>
              </w:rPr>
            </w:pPr>
            <w:r w:rsidRPr="00384FD2">
              <w:rPr>
                <w:rFonts w:cstheme="minorHAnsi"/>
                <w:sz w:val="16"/>
                <w:szCs w:val="16"/>
              </w:rPr>
              <w:t>Internet based interactive resource</w:t>
            </w:r>
          </w:p>
        </w:tc>
        <w:tc>
          <w:tcPr>
            <w:tcW w:w="1135" w:type="pct"/>
            <w:tcBorders>
              <w:bottom w:val="single" w:sz="4" w:space="0" w:color="auto"/>
            </w:tcBorders>
          </w:tcPr>
          <w:p w14:paraId="1B1BD953" w14:textId="77777777" w:rsidR="003E59F1" w:rsidRDefault="003E59F1" w:rsidP="003E59F1">
            <w:pPr>
              <w:rPr>
                <w:rFonts w:cstheme="minorHAnsi"/>
                <w:sz w:val="16"/>
                <w:szCs w:val="16"/>
              </w:rPr>
            </w:pPr>
            <w:r>
              <w:rPr>
                <w:rFonts w:cstheme="minorHAnsi"/>
                <w:sz w:val="16"/>
                <w:szCs w:val="16"/>
              </w:rPr>
              <w:t>F</w:t>
            </w:r>
            <w:r w:rsidRPr="00384FD2">
              <w:rPr>
                <w:rFonts w:cstheme="minorHAnsi"/>
                <w:sz w:val="16"/>
                <w:szCs w:val="16"/>
              </w:rPr>
              <w:t>our interactive, modular decision-making steps:</w:t>
            </w:r>
          </w:p>
          <w:p w14:paraId="166D08D1" w14:textId="77777777" w:rsidR="003E59F1" w:rsidRDefault="003E59F1" w:rsidP="003E59F1">
            <w:pPr>
              <w:pStyle w:val="ListParagraph"/>
              <w:numPr>
                <w:ilvl w:val="0"/>
                <w:numId w:val="21"/>
              </w:numPr>
              <w:rPr>
                <w:rFonts w:cstheme="minorHAnsi"/>
                <w:sz w:val="16"/>
                <w:szCs w:val="16"/>
              </w:rPr>
            </w:pPr>
            <w:r w:rsidRPr="00A82E00">
              <w:rPr>
                <w:rFonts w:cstheme="minorHAnsi"/>
                <w:sz w:val="16"/>
                <w:szCs w:val="16"/>
              </w:rPr>
              <w:t>Get the Facts</w:t>
            </w:r>
          </w:p>
          <w:p w14:paraId="6FF7EE39" w14:textId="77777777" w:rsidR="003E59F1" w:rsidRDefault="003E59F1" w:rsidP="003E59F1">
            <w:pPr>
              <w:pStyle w:val="ListParagraph"/>
              <w:numPr>
                <w:ilvl w:val="0"/>
                <w:numId w:val="21"/>
              </w:numPr>
              <w:rPr>
                <w:rFonts w:cstheme="minorHAnsi"/>
                <w:sz w:val="16"/>
                <w:szCs w:val="16"/>
              </w:rPr>
            </w:pPr>
            <w:r w:rsidRPr="00A82E00">
              <w:rPr>
                <w:rFonts w:cstheme="minorHAnsi"/>
                <w:sz w:val="16"/>
                <w:szCs w:val="16"/>
              </w:rPr>
              <w:lastRenderedPageBreak/>
              <w:t>What Matters Most</w:t>
            </w:r>
          </w:p>
          <w:p w14:paraId="157AF8AC" w14:textId="77777777" w:rsidR="003E59F1" w:rsidRDefault="003E59F1" w:rsidP="003E59F1">
            <w:pPr>
              <w:pStyle w:val="ListParagraph"/>
              <w:numPr>
                <w:ilvl w:val="0"/>
                <w:numId w:val="21"/>
              </w:numPr>
              <w:rPr>
                <w:rFonts w:cstheme="minorHAnsi"/>
                <w:sz w:val="16"/>
                <w:szCs w:val="16"/>
              </w:rPr>
            </w:pPr>
            <w:r w:rsidRPr="00A82E00">
              <w:rPr>
                <w:rFonts w:cstheme="minorHAnsi"/>
                <w:sz w:val="16"/>
                <w:szCs w:val="16"/>
              </w:rPr>
              <w:t>Consider Your Resources</w:t>
            </w:r>
          </w:p>
          <w:p w14:paraId="29A28A9E" w14:textId="77777777" w:rsidR="003E59F1" w:rsidRDefault="003E59F1" w:rsidP="003E59F1">
            <w:pPr>
              <w:pStyle w:val="ListParagraph"/>
              <w:numPr>
                <w:ilvl w:val="0"/>
                <w:numId w:val="21"/>
              </w:numPr>
              <w:rPr>
                <w:rFonts w:cstheme="minorHAnsi"/>
                <w:sz w:val="16"/>
                <w:szCs w:val="16"/>
              </w:rPr>
            </w:pPr>
            <w:r w:rsidRPr="00A82E00">
              <w:rPr>
                <w:rFonts w:cstheme="minorHAnsi"/>
                <w:sz w:val="16"/>
                <w:szCs w:val="16"/>
              </w:rPr>
              <w:t>Make an Action Plan</w:t>
            </w:r>
          </w:p>
          <w:p w14:paraId="5BACA8B6" w14:textId="77777777" w:rsidR="003E59F1" w:rsidRPr="00A82E00" w:rsidRDefault="003E59F1" w:rsidP="003E59F1">
            <w:pPr>
              <w:ind w:left="38"/>
              <w:rPr>
                <w:rFonts w:cstheme="minorHAnsi"/>
                <w:sz w:val="16"/>
                <w:szCs w:val="16"/>
              </w:rPr>
            </w:pPr>
          </w:p>
          <w:p w14:paraId="09D13BBE" w14:textId="77777777" w:rsidR="003E59F1" w:rsidRPr="00A82E00" w:rsidRDefault="003E59F1" w:rsidP="003E59F1">
            <w:pPr>
              <w:ind w:left="38"/>
              <w:rPr>
                <w:rFonts w:cstheme="minorHAnsi"/>
                <w:sz w:val="16"/>
                <w:szCs w:val="16"/>
              </w:rPr>
            </w:pPr>
            <w:r>
              <w:rPr>
                <w:rFonts w:cstheme="minorHAnsi"/>
                <w:sz w:val="16"/>
                <w:szCs w:val="16"/>
              </w:rPr>
              <w:t xml:space="preserve">Provides </w:t>
            </w:r>
            <w:r w:rsidRPr="00A82E00">
              <w:rPr>
                <w:rFonts w:cstheme="minorHAnsi"/>
                <w:sz w:val="16"/>
                <w:szCs w:val="16"/>
              </w:rPr>
              <w:t xml:space="preserve">users </w:t>
            </w:r>
            <w:r>
              <w:rPr>
                <w:rFonts w:cstheme="minorHAnsi"/>
                <w:sz w:val="16"/>
                <w:szCs w:val="16"/>
              </w:rPr>
              <w:t>with a</w:t>
            </w:r>
            <w:r w:rsidRPr="00A82E00">
              <w:rPr>
                <w:rFonts w:cstheme="minorHAnsi"/>
                <w:sz w:val="16"/>
                <w:szCs w:val="16"/>
              </w:rPr>
              <w:t xml:space="preserve"> My Decision Summary printout.</w:t>
            </w:r>
          </w:p>
        </w:tc>
        <w:tc>
          <w:tcPr>
            <w:tcW w:w="381" w:type="pct"/>
            <w:tcBorders>
              <w:bottom w:val="single" w:sz="4" w:space="0" w:color="auto"/>
            </w:tcBorders>
          </w:tcPr>
          <w:p w14:paraId="3AED9189" w14:textId="77777777" w:rsidR="003E59F1" w:rsidRPr="00384FD2" w:rsidRDefault="003E59F1" w:rsidP="003E59F1">
            <w:pPr>
              <w:rPr>
                <w:rFonts w:cstheme="minorHAnsi"/>
                <w:sz w:val="16"/>
                <w:szCs w:val="16"/>
              </w:rPr>
            </w:pPr>
            <w:r w:rsidRPr="00384FD2">
              <w:rPr>
                <w:rFonts w:cstheme="minorHAnsi"/>
                <w:sz w:val="16"/>
                <w:szCs w:val="16"/>
              </w:rPr>
              <w:lastRenderedPageBreak/>
              <w:t>No</w:t>
            </w:r>
            <w:r>
              <w:rPr>
                <w:rFonts w:cstheme="minorHAnsi"/>
                <w:sz w:val="16"/>
                <w:szCs w:val="16"/>
              </w:rPr>
              <w:t>ne</w:t>
            </w:r>
          </w:p>
          <w:p w14:paraId="46F5005F" w14:textId="77777777" w:rsidR="003E59F1" w:rsidRPr="00384FD2" w:rsidRDefault="003E59F1" w:rsidP="003E59F1">
            <w:pPr>
              <w:rPr>
                <w:rFonts w:cstheme="minorHAnsi"/>
                <w:sz w:val="16"/>
                <w:szCs w:val="16"/>
              </w:rPr>
            </w:pPr>
          </w:p>
        </w:tc>
        <w:tc>
          <w:tcPr>
            <w:tcW w:w="859" w:type="pct"/>
            <w:tcBorders>
              <w:bottom w:val="single" w:sz="4" w:space="0" w:color="auto"/>
            </w:tcBorders>
          </w:tcPr>
          <w:p w14:paraId="401C20EA" w14:textId="77777777" w:rsidR="003E59F1" w:rsidRDefault="003E59F1" w:rsidP="003E59F1">
            <w:pPr>
              <w:rPr>
                <w:rFonts w:cstheme="minorHAnsi"/>
                <w:sz w:val="16"/>
                <w:szCs w:val="16"/>
              </w:rPr>
            </w:pPr>
            <w:r>
              <w:rPr>
                <w:rFonts w:cstheme="minorHAnsi"/>
                <w:sz w:val="16"/>
                <w:szCs w:val="16"/>
              </w:rPr>
              <w:t>U</w:t>
            </w:r>
            <w:r w:rsidRPr="00384FD2">
              <w:rPr>
                <w:rFonts w:cstheme="minorHAnsi"/>
                <w:sz w:val="16"/>
                <w:szCs w:val="16"/>
              </w:rPr>
              <w:t>se of</w:t>
            </w:r>
            <w:r>
              <w:rPr>
                <w:rFonts w:cstheme="minorHAnsi"/>
                <w:sz w:val="16"/>
                <w:szCs w:val="16"/>
              </w:rPr>
              <w:t xml:space="preserve"> decision and cognitive science theory cited and </w:t>
            </w:r>
            <w:r w:rsidRPr="00384FD2">
              <w:rPr>
                <w:rFonts w:cstheme="minorHAnsi"/>
                <w:sz w:val="16"/>
                <w:szCs w:val="16"/>
              </w:rPr>
              <w:lastRenderedPageBreak/>
              <w:t>adaptation of the Ottawa Decision Support Framework</w:t>
            </w:r>
          </w:p>
          <w:p w14:paraId="12279A23" w14:textId="77777777" w:rsidR="003E59F1" w:rsidRDefault="003E59F1" w:rsidP="003E59F1">
            <w:pPr>
              <w:rPr>
                <w:rFonts w:cstheme="minorHAnsi"/>
                <w:sz w:val="16"/>
                <w:szCs w:val="16"/>
              </w:rPr>
            </w:pPr>
          </w:p>
          <w:p w14:paraId="1450DE20" w14:textId="77777777" w:rsidR="003E59F1" w:rsidRDefault="003E59F1" w:rsidP="003E59F1">
            <w:pPr>
              <w:rPr>
                <w:rFonts w:cstheme="minorHAnsi"/>
                <w:sz w:val="16"/>
                <w:szCs w:val="16"/>
              </w:rPr>
            </w:pPr>
            <w:r>
              <w:rPr>
                <w:rFonts w:cstheme="minorHAnsi"/>
                <w:sz w:val="16"/>
                <w:szCs w:val="16"/>
              </w:rPr>
              <w:t>Assessed against the IPDAS criteria</w:t>
            </w:r>
          </w:p>
          <w:p w14:paraId="7D6627F2" w14:textId="77777777" w:rsidR="003E59F1" w:rsidRPr="00384FD2" w:rsidRDefault="003E59F1" w:rsidP="003E59F1">
            <w:pPr>
              <w:rPr>
                <w:rFonts w:cstheme="minorHAnsi"/>
                <w:sz w:val="16"/>
                <w:szCs w:val="16"/>
              </w:rPr>
            </w:pPr>
          </w:p>
        </w:tc>
      </w:tr>
    </w:tbl>
    <w:p w14:paraId="3659F919" w14:textId="77F8F651" w:rsidR="003E59F1" w:rsidRDefault="003E59F1" w:rsidP="003E59F1">
      <w:pPr>
        <w:rPr>
          <w:b/>
        </w:rPr>
      </w:pPr>
    </w:p>
    <w:p w14:paraId="36B045A2" w14:textId="76B4DF06" w:rsidR="002E0B5D" w:rsidRDefault="002E0B5D">
      <w:pPr>
        <w:rPr>
          <w:b/>
        </w:rPr>
      </w:pPr>
    </w:p>
    <w:p w14:paraId="489F07FC" w14:textId="77777777" w:rsidR="002E0B5D" w:rsidRPr="0020409D" w:rsidRDefault="002E0B5D" w:rsidP="00771B9F">
      <w:pPr>
        <w:rPr>
          <w:b/>
        </w:rPr>
      </w:pPr>
    </w:p>
    <w:p w14:paraId="44B76070" w14:textId="77777777" w:rsidR="00F66F9A" w:rsidRDefault="00F66F9A">
      <w:pPr>
        <w:rPr>
          <w:b/>
        </w:rPr>
      </w:pPr>
      <w:r>
        <w:rPr>
          <w:b/>
        </w:rPr>
        <w:br w:type="page"/>
      </w:r>
    </w:p>
    <w:p w14:paraId="254A35D9" w14:textId="5BE03E00" w:rsidR="002E0B5D" w:rsidRPr="0020409D" w:rsidRDefault="002E0B5D" w:rsidP="00771B9F">
      <w:pPr>
        <w:rPr>
          <w:b/>
        </w:rPr>
      </w:pPr>
      <w:r w:rsidRPr="0020409D">
        <w:rPr>
          <w:b/>
        </w:rPr>
        <w:lastRenderedPageBreak/>
        <w:t xml:space="preserve">Table </w:t>
      </w:r>
      <w:r w:rsidR="00AF5665">
        <w:rPr>
          <w:b/>
        </w:rPr>
        <w:t>4</w:t>
      </w:r>
      <w:r w:rsidRPr="0020409D">
        <w:rPr>
          <w:b/>
        </w:rPr>
        <w:t xml:space="preserve">: </w:t>
      </w:r>
      <w:r>
        <w:rPr>
          <w:b/>
        </w:rPr>
        <w:t xml:space="preserve">Characteristics of papers </w:t>
      </w:r>
      <w:r w:rsidRPr="0020409D">
        <w:rPr>
          <w:b/>
        </w:rPr>
        <w:t>assess</w:t>
      </w:r>
      <w:r>
        <w:rPr>
          <w:b/>
        </w:rPr>
        <w:t>ing</w:t>
      </w:r>
      <w:r w:rsidRPr="0020409D">
        <w:rPr>
          <w:b/>
        </w:rPr>
        <w:t xml:space="preserve"> effectiveness of </w:t>
      </w:r>
      <w:r w:rsidR="00D356AE">
        <w:rPr>
          <w:b/>
        </w:rPr>
        <w:t>included</w:t>
      </w:r>
      <w:r w:rsidR="00D356AE" w:rsidRPr="0020409D">
        <w:rPr>
          <w:b/>
        </w:rPr>
        <w:t xml:space="preserve"> </w:t>
      </w:r>
      <w:r w:rsidRPr="0020409D">
        <w:rPr>
          <w:b/>
        </w:rPr>
        <w:t>decision aid</w:t>
      </w:r>
      <w:r>
        <w:rPr>
          <w:b/>
        </w:rPr>
        <w:t>s</w:t>
      </w:r>
    </w:p>
    <w:tbl>
      <w:tblPr>
        <w:tblStyle w:val="TableGrid"/>
        <w:tblW w:w="1516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840"/>
        <w:gridCol w:w="4544"/>
        <w:gridCol w:w="2835"/>
        <w:gridCol w:w="4394"/>
      </w:tblGrid>
      <w:tr w:rsidR="00A82E00" w:rsidRPr="00112681" w14:paraId="07717E46" w14:textId="77777777" w:rsidTr="00946BEA">
        <w:tc>
          <w:tcPr>
            <w:tcW w:w="1555" w:type="dxa"/>
            <w:tcBorders>
              <w:top w:val="single" w:sz="4" w:space="0" w:color="auto"/>
              <w:bottom w:val="single" w:sz="4" w:space="0" w:color="auto"/>
            </w:tcBorders>
          </w:tcPr>
          <w:p w14:paraId="2B007EDB" w14:textId="77777777" w:rsidR="002E0B5D" w:rsidRPr="00B27151" w:rsidRDefault="002E0B5D" w:rsidP="00771B9F">
            <w:pPr>
              <w:rPr>
                <w:rFonts w:cstheme="minorHAnsi"/>
                <w:b/>
                <w:sz w:val="18"/>
                <w:szCs w:val="18"/>
              </w:rPr>
            </w:pPr>
            <w:r w:rsidRPr="00B27151">
              <w:rPr>
                <w:rFonts w:cstheme="minorHAnsi"/>
                <w:b/>
                <w:sz w:val="18"/>
                <w:szCs w:val="18"/>
              </w:rPr>
              <w:t>Authors</w:t>
            </w:r>
          </w:p>
          <w:p w14:paraId="4D0F53CD" w14:textId="47429D64" w:rsidR="002E0B5D" w:rsidRPr="00B27151" w:rsidRDefault="002E0B5D" w:rsidP="00771B9F">
            <w:pPr>
              <w:rPr>
                <w:rFonts w:cstheme="minorHAnsi"/>
                <w:b/>
                <w:sz w:val="18"/>
                <w:szCs w:val="18"/>
              </w:rPr>
            </w:pPr>
            <w:r w:rsidRPr="00B27151">
              <w:rPr>
                <w:rFonts w:cstheme="minorHAnsi"/>
                <w:b/>
                <w:sz w:val="18"/>
                <w:szCs w:val="18"/>
              </w:rPr>
              <w:t>Year</w:t>
            </w:r>
          </w:p>
          <w:p w14:paraId="600EBACF" w14:textId="3AEF6790" w:rsidR="0066707D" w:rsidRPr="00A82E00" w:rsidRDefault="00B27151" w:rsidP="00771B9F">
            <w:pPr>
              <w:rPr>
                <w:rFonts w:cstheme="minorHAnsi"/>
                <w:b/>
                <w:sz w:val="18"/>
                <w:szCs w:val="18"/>
              </w:rPr>
            </w:pPr>
            <w:r w:rsidRPr="00A82E00">
              <w:rPr>
                <w:rFonts w:cstheme="minorHAnsi"/>
                <w:b/>
                <w:sz w:val="18"/>
                <w:szCs w:val="18"/>
              </w:rPr>
              <w:t>Country</w:t>
            </w:r>
          </w:p>
        </w:tc>
        <w:tc>
          <w:tcPr>
            <w:tcW w:w="1840" w:type="dxa"/>
            <w:tcBorders>
              <w:top w:val="single" w:sz="4" w:space="0" w:color="auto"/>
              <w:bottom w:val="single" w:sz="4" w:space="0" w:color="auto"/>
            </w:tcBorders>
          </w:tcPr>
          <w:p w14:paraId="30218126" w14:textId="77777777" w:rsidR="002E0B5D" w:rsidRPr="00112681" w:rsidRDefault="002E0B5D" w:rsidP="00771B9F">
            <w:pPr>
              <w:rPr>
                <w:rFonts w:cstheme="minorHAnsi"/>
                <w:b/>
                <w:sz w:val="18"/>
                <w:szCs w:val="18"/>
              </w:rPr>
            </w:pPr>
            <w:r w:rsidRPr="00112681">
              <w:rPr>
                <w:rFonts w:cstheme="minorHAnsi"/>
                <w:b/>
                <w:sz w:val="18"/>
                <w:szCs w:val="18"/>
              </w:rPr>
              <w:t>Aim of paper</w:t>
            </w:r>
          </w:p>
        </w:tc>
        <w:tc>
          <w:tcPr>
            <w:tcW w:w="4544" w:type="dxa"/>
            <w:tcBorders>
              <w:top w:val="single" w:sz="4" w:space="0" w:color="auto"/>
              <w:bottom w:val="single" w:sz="4" w:space="0" w:color="auto"/>
            </w:tcBorders>
          </w:tcPr>
          <w:p w14:paraId="10646281" w14:textId="77777777" w:rsidR="002E0B5D" w:rsidRPr="00112681" w:rsidRDefault="002E0B5D" w:rsidP="00771B9F">
            <w:pPr>
              <w:rPr>
                <w:rFonts w:cstheme="minorHAnsi"/>
                <w:b/>
                <w:sz w:val="18"/>
                <w:szCs w:val="18"/>
              </w:rPr>
            </w:pPr>
            <w:r w:rsidRPr="00112681">
              <w:rPr>
                <w:rFonts w:cstheme="minorHAnsi"/>
                <w:b/>
                <w:sz w:val="18"/>
                <w:szCs w:val="18"/>
              </w:rPr>
              <w:t>Methods</w:t>
            </w:r>
          </w:p>
        </w:tc>
        <w:tc>
          <w:tcPr>
            <w:tcW w:w="2835" w:type="dxa"/>
            <w:tcBorders>
              <w:top w:val="single" w:sz="4" w:space="0" w:color="auto"/>
              <w:bottom w:val="single" w:sz="4" w:space="0" w:color="auto"/>
            </w:tcBorders>
          </w:tcPr>
          <w:p w14:paraId="76239E37" w14:textId="77777777" w:rsidR="002E0B5D" w:rsidRPr="00112681" w:rsidRDefault="002E0B5D" w:rsidP="00771B9F">
            <w:pPr>
              <w:rPr>
                <w:rFonts w:cstheme="minorHAnsi"/>
                <w:b/>
                <w:sz w:val="18"/>
                <w:szCs w:val="18"/>
              </w:rPr>
            </w:pPr>
            <w:r w:rsidRPr="00112681">
              <w:rPr>
                <w:rFonts w:cstheme="minorHAnsi"/>
                <w:b/>
                <w:sz w:val="18"/>
                <w:szCs w:val="18"/>
              </w:rPr>
              <w:t>Participant characteristics</w:t>
            </w:r>
          </w:p>
        </w:tc>
        <w:tc>
          <w:tcPr>
            <w:tcW w:w="4394" w:type="dxa"/>
            <w:tcBorders>
              <w:top w:val="single" w:sz="4" w:space="0" w:color="auto"/>
              <w:bottom w:val="single" w:sz="4" w:space="0" w:color="auto"/>
            </w:tcBorders>
          </w:tcPr>
          <w:p w14:paraId="4F799C64" w14:textId="77777777" w:rsidR="002E0B5D" w:rsidRPr="00112681" w:rsidRDefault="002E0B5D" w:rsidP="00771B9F">
            <w:pPr>
              <w:rPr>
                <w:rFonts w:cstheme="minorHAnsi"/>
                <w:b/>
                <w:sz w:val="18"/>
                <w:szCs w:val="18"/>
              </w:rPr>
            </w:pPr>
            <w:r w:rsidRPr="00112681">
              <w:rPr>
                <w:rFonts w:cstheme="minorHAnsi"/>
                <w:b/>
                <w:sz w:val="18"/>
                <w:szCs w:val="18"/>
              </w:rPr>
              <w:t>Study findings</w:t>
            </w:r>
          </w:p>
        </w:tc>
      </w:tr>
      <w:tr w:rsidR="00A82E00" w:rsidRPr="00112681" w14:paraId="65563BFA" w14:textId="77777777" w:rsidTr="00946BEA">
        <w:tc>
          <w:tcPr>
            <w:tcW w:w="1555" w:type="dxa"/>
            <w:tcBorders>
              <w:top w:val="single" w:sz="4" w:space="0" w:color="auto"/>
            </w:tcBorders>
          </w:tcPr>
          <w:p w14:paraId="28060405" w14:textId="1BDB348B" w:rsidR="002E0B5D" w:rsidRPr="00B27151" w:rsidRDefault="002E0B5D" w:rsidP="00771B9F">
            <w:pPr>
              <w:rPr>
                <w:rFonts w:cstheme="minorHAnsi"/>
                <w:sz w:val="18"/>
                <w:szCs w:val="18"/>
              </w:rPr>
            </w:pPr>
            <w:proofErr w:type="spellStart"/>
            <w:r w:rsidRPr="00B27151">
              <w:rPr>
                <w:rFonts w:cstheme="minorHAnsi"/>
                <w:sz w:val="18"/>
                <w:szCs w:val="18"/>
              </w:rPr>
              <w:t>Pinquart</w:t>
            </w:r>
            <w:proofErr w:type="spellEnd"/>
            <w:r w:rsidRPr="00B27151">
              <w:rPr>
                <w:rFonts w:cstheme="minorHAnsi"/>
                <w:sz w:val="18"/>
                <w:szCs w:val="18"/>
              </w:rPr>
              <w:t xml:space="preserve"> </w:t>
            </w:r>
            <w:r w:rsidR="00797EED" w:rsidRPr="00B27151">
              <w:rPr>
                <w:rFonts w:cstheme="minorHAnsi"/>
                <w:sz w:val="18"/>
                <w:szCs w:val="18"/>
              </w:rPr>
              <w:t>and</w:t>
            </w:r>
            <w:r w:rsidRPr="00B27151">
              <w:rPr>
                <w:rFonts w:cstheme="minorHAnsi"/>
                <w:sz w:val="18"/>
                <w:szCs w:val="18"/>
              </w:rPr>
              <w:t xml:space="preserve"> Sorensen </w:t>
            </w:r>
          </w:p>
          <w:p w14:paraId="09D4FD53" w14:textId="5F80BA1C" w:rsidR="002E0B5D" w:rsidRPr="00B27151" w:rsidRDefault="002E0B5D" w:rsidP="00771B9F">
            <w:pPr>
              <w:rPr>
                <w:rFonts w:cstheme="minorHAnsi"/>
                <w:sz w:val="18"/>
                <w:szCs w:val="18"/>
              </w:rPr>
            </w:pPr>
            <w:r w:rsidRPr="00B27151">
              <w:rPr>
                <w:rFonts w:cstheme="minorHAnsi"/>
                <w:sz w:val="18"/>
                <w:szCs w:val="18"/>
              </w:rPr>
              <w:t>2002a</w:t>
            </w:r>
          </w:p>
          <w:p w14:paraId="0EDB3E53" w14:textId="77777777" w:rsidR="002E0B5D" w:rsidRDefault="002E0B5D" w:rsidP="00771B9F">
            <w:pPr>
              <w:rPr>
                <w:rFonts w:cstheme="minorHAnsi"/>
                <w:sz w:val="18"/>
                <w:szCs w:val="18"/>
              </w:rPr>
            </w:pPr>
            <w:r w:rsidRPr="00A82E00">
              <w:rPr>
                <w:rFonts w:cstheme="minorHAnsi"/>
                <w:sz w:val="18"/>
                <w:szCs w:val="18"/>
              </w:rPr>
              <w:t>Germany</w:t>
            </w:r>
          </w:p>
          <w:p w14:paraId="7648A3D5" w14:textId="77777777" w:rsidR="0066707D" w:rsidRDefault="0066707D" w:rsidP="00771B9F">
            <w:pPr>
              <w:rPr>
                <w:rFonts w:cstheme="minorHAnsi"/>
                <w:sz w:val="18"/>
                <w:szCs w:val="18"/>
              </w:rPr>
            </w:pPr>
          </w:p>
          <w:p w14:paraId="4B0713E5" w14:textId="2F524D66" w:rsidR="0066707D" w:rsidRPr="00A82E00" w:rsidRDefault="0066707D" w:rsidP="00771B9F">
            <w:pPr>
              <w:rPr>
                <w:rFonts w:cstheme="minorHAnsi"/>
                <w:sz w:val="18"/>
                <w:szCs w:val="18"/>
              </w:rPr>
            </w:pPr>
            <w:r>
              <w:rPr>
                <w:rFonts w:cstheme="minorHAnsi"/>
                <w:sz w:val="18"/>
                <w:szCs w:val="18"/>
              </w:rPr>
              <w:t>(</w:t>
            </w:r>
            <w:r w:rsidR="00946BEA">
              <w:rPr>
                <w:rFonts w:cstheme="minorHAnsi"/>
                <w:sz w:val="18"/>
                <w:szCs w:val="18"/>
              </w:rPr>
              <w:t xml:space="preserve">evaluated </w:t>
            </w:r>
            <w:r>
              <w:rPr>
                <w:rFonts w:cstheme="minorHAnsi"/>
                <w:sz w:val="18"/>
                <w:szCs w:val="18"/>
              </w:rPr>
              <w:t>PFCN, Sorensen et al, 2001)</w:t>
            </w:r>
          </w:p>
        </w:tc>
        <w:tc>
          <w:tcPr>
            <w:tcW w:w="1840" w:type="dxa"/>
            <w:tcBorders>
              <w:top w:val="single" w:sz="4" w:space="0" w:color="auto"/>
            </w:tcBorders>
          </w:tcPr>
          <w:p w14:paraId="6993219D" w14:textId="24F7F375" w:rsidR="00841DAF" w:rsidRPr="00112681" w:rsidRDefault="002E0B5D" w:rsidP="00841DAF">
            <w:pPr>
              <w:autoSpaceDE w:val="0"/>
              <w:autoSpaceDN w:val="0"/>
              <w:adjustRightInd w:val="0"/>
              <w:rPr>
                <w:rFonts w:cstheme="minorHAnsi"/>
                <w:sz w:val="18"/>
                <w:szCs w:val="18"/>
              </w:rPr>
            </w:pPr>
            <w:r w:rsidRPr="00112681">
              <w:rPr>
                <w:rFonts w:cstheme="minorHAnsi"/>
                <w:sz w:val="18"/>
                <w:szCs w:val="18"/>
              </w:rPr>
              <w:t xml:space="preserve">To </w:t>
            </w:r>
            <w:r w:rsidR="00841DAF" w:rsidRPr="00841DAF">
              <w:rPr>
                <w:rFonts w:cstheme="minorHAnsi"/>
                <w:sz w:val="18"/>
                <w:szCs w:val="18"/>
              </w:rPr>
              <w:t xml:space="preserve">investigate associations between different aspects of coping with risk of needing help or care in future and worry, depression and satisfaction with preparation for </w:t>
            </w:r>
            <w:r w:rsidR="00841DAF">
              <w:rPr>
                <w:rFonts w:cstheme="minorHAnsi"/>
                <w:sz w:val="18"/>
                <w:szCs w:val="18"/>
              </w:rPr>
              <w:t>future care needs (</w:t>
            </w:r>
            <w:r w:rsidR="00841DAF" w:rsidRPr="00841DAF">
              <w:rPr>
                <w:rFonts w:cstheme="minorHAnsi"/>
                <w:sz w:val="18"/>
                <w:szCs w:val="18"/>
              </w:rPr>
              <w:t>FCN</w:t>
            </w:r>
            <w:r w:rsidR="00841DAF">
              <w:rPr>
                <w:rFonts w:cstheme="minorHAnsi"/>
                <w:sz w:val="18"/>
                <w:szCs w:val="18"/>
              </w:rPr>
              <w:t>)</w:t>
            </w:r>
          </w:p>
        </w:tc>
        <w:tc>
          <w:tcPr>
            <w:tcW w:w="4544" w:type="dxa"/>
            <w:tcBorders>
              <w:top w:val="single" w:sz="4" w:space="0" w:color="auto"/>
            </w:tcBorders>
          </w:tcPr>
          <w:p w14:paraId="3466C8D5" w14:textId="3B481F28" w:rsidR="00972448" w:rsidRDefault="002E0B5D" w:rsidP="00771B9F">
            <w:pPr>
              <w:autoSpaceDE w:val="0"/>
              <w:autoSpaceDN w:val="0"/>
              <w:adjustRightInd w:val="0"/>
              <w:rPr>
                <w:rFonts w:cstheme="minorHAnsi"/>
                <w:sz w:val="18"/>
                <w:szCs w:val="18"/>
              </w:rPr>
            </w:pPr>
            <w:r w:rsidRPr="00112681">
              <w:rPr>
                <w:rFonts w:cstheme="minorHAnsi"/>
                <w:sz w:val="18"/>
                <w:szCs w:val="18"/>
              </w:rPr>
              <w:t>Cross-sectional study</w:t>
            </w:r>
            <w:r w:rsidR="00841DAF">
              <w:rPr>
                <w:rFonts w:cstheme="minorHAnsi"/>
                <w:sz w:val="18"/>
                <w:szCs w:val="18"/>
              </w:rPr>
              <w:t xml:space="preserve"> to test 4 hypotheses on the</w:t>
            </w:r>
            <w:r w:rsidRPr="00112681">
              <w:rPr>
                <w:rFonts w:cstheme="minorHAnsi"/>
                <w:sz w:val="18"/>
                <w:szCs w:val="18"/>
              </w:rPr>
              <w:t xml:space="preserve"> impact on subjective well-being </w:t>
            </w:r>
            <w:r w:rsidR="00806F39">
              <w:rPr>
                <w:rFonts w:cstheme="minorHAnsi"/>
                <w:sz w:val="18"/>
                <w:szCs w:val="18"/>
              </w:rPr>
              <w:t xml:space="preserve">(worry, depression, satisfaction) </w:t>
            </w:r>
            <w:r w:rsidR="00841DAF">
              <w:rPr>
                <w:rFonts w:cstheme="minorHAnsi"/>
                <w:sz w:val="18"/>
                <w:szCs w:val="18"/>
              </w:rPr>
              <w:t>of preparedness and planning for future care needs. M</w:t>
            </w:r>
            <w:r w:rsidRPr="00112681">
              <w:rPr>
                <w:rFonts w:cstheme="minorHAnsi"/>
                <w:sz w:val="18"/>
                <w:szCs w:val="18"/>
              </w:rPr>
              <w:t>easure</w:t>
            </w:r>
            <w:r w:rsidR="00841DAF">
              <w:rPr>
                <w:rFonts w:cstheme="minorHAnsi"/>
                <w:sz w:val="18"/>
                <w:szCs w:val="18"/>
              </w:rPr>
              <w:t>s included</w:t>
            </w:r>
            <w:r w:rsidR="00972448">
              <w:rPr>
                <w:rFonts w:cstheme="minorHAnsi"/>
                <w:sz w:val="18"/>
                <w:szCs w:val="18"/>
              </w:rPr>
              <w:t xml:space="preserve"> elements of the PFCN questionnaire;</w:t>
            </w:r>
            <w:r w:rsidRPr="00112681">
              <w:rPr>
                <w:rFonts w:cstheme="minorHAnsi"/>
                <w:sz w:val="18"/>
                <w:szCs w:val="18"/>
              </w:rPr>
              <w:t xml:space="preserve"> </w:t>
            </w:r>
            <w:proofErr w:type="spellStart"/>
            <w:r w:rsidRPr="00112681">
              <w:rPr>
                <w:rFonts w:cstheme="minorHAnsi"/>
                <w:sz w:val="18"/>
                <w:szCs w:val="18"/>
              </w:rPr>
              <w:t>Center</w:t>
            </w:r>
            <w:proofErr w:type="spellEnd"/>
            <w:r w:rsidRPr="00112681">
              <w:rPr>
                <w:rFonts w:cstheme="minorHAnsi"/>
                <w:sz w:val="18"/>
                <w:szCs w:val="18"/>
              </w:rPr>
              <w:t xml:space="preserve"> for Epidemiological Studies Depression Scale, short form; satisfaction with preparation for FCN, ADLs and IADLs</w:t>
            </w:r>
            <w:r w:rsidR="00841DAF">
              <w:rPr>
                <w:rFonts w:cstheme="minorHAnsi"/>
                <w:sz w:val="18"/>
                <w:szCs w:val="18"/>
              </w:rPr>
              <w:t>;</w:t>
            </w:r>
            <w:r w:rsidRPr="00112681">
              <w:rPr>
                <w:rFonts w:cstheme="minorHAnsi"/>
                <w:sz w:val="18"/>
                <w:szCs w:val="18"/>
              </w:rPr>
              <w:t xml:space="preserve"> perceived usefulness of </w:t>
            </w:r>
            <w:r w:rsidR="00972448">
              <w:rPr>
                <w:rFonts w:cstheme="minorHAnsi"/>
                <w:sz w:val="18"/>
                <w:szCs w:val="18"/>
              </w:rPr>
              <w:t>p</w:t>
            </w:r>
            <w:r w:rsidR="00972448" w:rsidRPr="00112681">
              <w:rPr>
                <w:rFonts w:cstheme="minorHAnsi"/>
                <w:sz w:val="18"/>
                <w:szCs w:val="18"/>
              </w:rPr>
              <w:t>lanning</w:t>
            </w:r>
            <w:r w:rsidRPr="00112681">
              <w:rPr>
                <w:rFonts w:cstheme="minorHAnsi"/>
                <w:sz w:val="18"/>
                <w:szCs w:val="18"/>
              </w:rPr>
              <w:t xml:space="preserve">. </w:t>
            </w:r>
          </w:p>
          <w:p w14:paraId="78A80714" w14:textId="77777777" w:rsidR="00914ED4" w:rsidRDefault="00914ED4" w:rsidP="00771B9F">
            <w:pPr>
              <w:autoSpaceDE w:val="0"/>
              <w:autoSpaceDN w:val="0"/>
              <w:adjustRightInd w:val="0"/>
              <w:rPr>
                <w:rFonts w:cstheme="minorHAnsi"/>
                <w:sz w:val="18"/>
                <w:szCs w:val="18"/>
              </w:rPr>
            </w:pPr>
          </w:p>
          <w:p w14:paraId="4C7D73AE" w14:textId="13CC90DB" w:rsidR="002E0B5D" w:rsidRPr="00112681" w:rsidRDefault="002E0B5D" w:rsidP="00771B9F">
            <w:pPr>
              <w:autoSpaceDE w:val="0"/>
              <w:autoSpaceDN w:val="0"/>
              <w:adjustRightInd w:val="0"/>
              <w:rPr>
                <w:rFonts w:cstheme="minorHAnsi"/>
                <w:sz w:val="18"/>
                <w:szCs w:val="18"/>
              </w:rPr>
            </w:pPr>
            <w:r w:rsidRPr="00112681">
              <w:rPr>
                <w:rFonts w:cstheme="minorHAnsi"/>
                <w:sz w:val="18"/>
                <w:szCs w:val="18"/>
              </w:rPr>
              <w:t xml:space="preserve">Questionnaires sent to 1,200 community-dwelling older adults (65 or older) in large cities and rural areas of Germany. </w:t>
            </w:r>
          </w:p>
        </w:tc>
        <w:tc>
          <w:tcPr>
            <w:tcW w:w="2835" w:type="dxa"/>
            <w:tcBorders>
              <w:top w:val="single" w:sz="4" w:space="0" w:color="auto"/>
            </w:tcBorders>
          </w:tcPr>
          <w:p w14:paraId="448C37F5" w14:textId="3BF36422" w:rsidR="00047A7A" w:rsidRDefault="002E0B5D" w:rsidP="00771B9F">
            <w:pPr>
              <w:autoSpaceDE w:val="0"/>
              <w:autoSpaceDN w:val="0"/>
              <w:adjustRightInd w:val="0"/>
              <w:rPr>
                <w:rFonts w:cstheme="minorHAnsi"/>
                <w:sz w:val="18"/>
                <w:szCs w:val="18"/>
              </w:rPr>
            </w:pPr>
            <w:r w:rsidRPr="00112681">
              <w:rPr>
                <w:rFonts w:cstheme="minorHAnsi"/>
                <w:sz w:val="18"/>
                <w:szCs w:val="18"/>
              </w:rPr>
              <w:t xml:space="preserve">607 questionnaires returned (response rate 45%). </w:t>
            </w:r>
          </w:p>
          <w:p w14:paraId="03CBA66B" w14:textId="117CEC5A" w:rsidR="002E0B5D" w:rsidRPr="00112681" w:rsidRDefault="00047A7A" w:rsidP="00771B9F">
            <w:pPr>
              <w:autoSpaceDE w:val="0"/>
              <w:autoSpaceDN w:val="0"/>
              <w:adjustRightInd w:val="0"/>
              <w:rPr>
                <w:rFonts w:cstheme="minorHAnsi"/>
                <w:iCs/>
                <w:sz w:val="18"/>
                <w:szCs w:val="18"/>
              </w:rPr>
            </w:pPr>
            <w:r>
              <w:rPr>
                <w:rFonts w:cstheme="minorHAnsi"/>
                <w:sz w:val="18"/>
                <w:szCs w:val="18"/>
              </w:rPr>
              <w:t>M</w:t>
            </w:r>
            <w:r w:rsidR="002E0B5D" w:rsidRPr="00112681">
              <w:rPr>
                <w:rFonts w:cstheme="minorHAnsi"/>
                <w:sz w:val="18"/>
                <w:szCs w:val="18"/>
              </w:rPr>
              <w:t>ean age 7</w:t>
            </w:r>
            <w:r>
              <w:rPr>
                <w:rFonts w:cstheme="minorHAnsi"/>
                <w:sz w:val="18"/>
                <w:szCs w:val="18"/>
              </w:rPr>
              <w:t>4</w:t>
            </w:r>
            <w:r w:rsidR="002E0B5D" w:rsidRPr="00112681">
              <w:rPr>
                <w:rFonts w:cstheme="minorHAnsi"/>
                <w:sz w:val="18"/>
                <w:szCs w:val="18"/>
              </w:rPr>
              <w:t xml:space="preserve"> years (</w:t>
            </w:r>
            <w:r>
              <w:rPr>
                <w:rFonts w:cstheme="minorHAnsi"/>
                <w:sz w:val="18"/>
                <w:szCs w:val="18"/>
              </w:rPr>
              <w:t xml:space="preserve">range </w:t>
            </w:r>
            <w:r w:rsidR="002E0B5D" w:rsidRPr="00112681">
              <w:rPr>
                <w:rFonts w:cstheme="minorHAnsi"/>
                <w:sz w:val="18"/>
                <w:szCs w:val="18"/>
              </w:rPr>
              <w:t>65</w:t>
            </w:r>
            <w:r>
              <w:rPr>
                <w:rFonts w:cstheme="minorHAnsi"/>
                <w:sz w:val="18"/>
                <w:szCs w:val="18"/>
              </w:rPr>
              <w:t>-</w:t>
            </w:r>
            <w:r w:rsidR="002E0B5D" w:rsidRPr="00112681">
              <w:rPr>
                <w:rFonts w:cstheme="minorHAnsi"/>
                <w:sz w:val="18"/>
                <w:szCs w:val="18"/>
              </w:rPr>
              <w:t xml:space="preserve"> </w:t>
            </w:r>
            <w:r>
              <w:rPr>
                <w:rFonts w:cstheme="minorHAnsi"/>
                <w:sz w:val="18"/>
                <w:szCs w:val="18"/>
              </w:rPr>
              <w:t>-</w:t>
            </w:r>
            <w:r w:rsidR="002E0B5D" w:rsidRPr="00112681">
              <w:rPr>
                <w:rFonts w:cstheme="minorHAnsi"/>
                <w:sz w:val="18"/>
                <w:szCs w:val="18"/>
              </w:rPr>
              <w:t>93 years)</w:t>
            </w:r>
            <w:r>
              <w:rPr>
                <w:rFonts w:cstheme="minorHAnsi"/>
                <w:sz w:val="18"/>
                <w:szCs w:val="18"/>
              </w:rPr>
              <w:t xml:space="preserve">; female </w:t>
            </w:r>
            <w:r w:rsidR="002E0B5D" w:rsidRPr="00112681">
              <w:rPr>
                <w:rFonts w:cstheme="minorHAnsi"/>
                <w:sz w:val="18"/>
                <w:szCs w:val="18"/>
              </w:rPr>
              <w:t xml:space="preserve">48%; </w:t>
            </w:r>
            <w:r>
              <w:rPr>
                <w:rFonts w:cstheme="minorHAnsi"/>
                <w:sz w:val="18"/>
                <w:szCs w:val="18"/>
              </w:rPr>
              <w:t xml:space="preserve">married </w:t>
            </w:r>
            <w:r w:rsidR="002E0B5D" w:rsidRPr="00112681">
              <w:rPr>
                <w:rFonts w:cstheme="minorHAnsi"/>
                <w:sz w:val="18"/>
                <w:szCs w:val="18"/>
              </w:rPr>
              <w:t xml:space="preserve">63%, </w:t>
            </w:r>
            <w:r w:rsidRPr="00112681">
              <w:rPr>
                <w:rFonts w:cstheme="minorHAnsi"/>
                <w:sz w:val="18"/>
                <w:szCs w:val="18"/>
              </w:rPr>
              <w:t xml:space="preserve">widowed </w:t>
            </w:r>
            <w:r w:rsidR="002E0B5D" w:rsidRPr="00112681">
              <w:rPr>
                <w:rFonts w:cstheme="minorHAnsi"/>
                <w:sz w:val="18"/>
                <w:szCs w:val="18"/>
              </w:rPr>
              <w:t>2</w:t>
            </w:r>
            <w:r>
              <w:rPr>
                <w:rFonts w:cstheme="minorHAnsi"/>
                <w:sz w:val="18"/>
                <w:szCs w:val="18"/>
              </w:rPr>
              <w:t>7</w:t>
            </w:r>
            <w:r w:rsidR="002E0B5D" w:rsidRPr="00112681">
              <w:rPr>
                <w:rFonts w:cstheme="minorHAnsi"/>
                <w:sz w:val="18"/>
                <w:szCs w:val="18"/>
              </w:rPr>
              <w:t xml:space="preserve">%; </w:t>
            </w:r>
            <w:r w:rsidRPr="00112681">
              <w:rPr>
                <w:rFonts w:cstheme="minorHAnsi"/>
                <w:sz w:val="18"/>
                <w:szCs w:val="18"/>
              </w:rPr>
              <w:t xml:space="preserve">divorced </w:t>
            </w:r>
            <w:r w:rsidR="002E0B5D" w:rsidRPr="00112681">
              <w:rPr>
                <w:rFonts w:cstheme="minorHAnsi"/>
                <w:sz w:val="18"/>
                <w:szCs w:val="18"/>
              </w:rPr>
              <w:t xml:space="preserve">5%, </w:t>
            </w:r>
            <w:r w:rsidRPr="00112681">
              <w:rPr>
                <w:rFonts w:cstheme="minorHAnsi"/>
                <w:sz w:val="18"/>
                <w:szCs w:val="18"/>
              </w:rPr>
              <w:t xml:space="preserve">never married </w:t>
            </w:r>
            <w:r>
              <w:rPr>
                <w:rFonts w:cstheme="minorHAnsi"/>
                <w:sz w:val="18"/>
                <w:szCs w:val="18"/>
              </w:rPr>
              <w:t>5</w:t>
            </w:r>
            <w:r w:rsidR="002E0B5D" w:rsidRPr="00112681">
              <w:rPr>
                <w:rFonts w:cstheme="minorHAnsi"/>
                <w:sz w:val="18"/>
                <w:szCs w:val="18"/>
              </w:rPr>
              <w:t>%</w:t>
            </w:r>
            <w:r>
              <w:rPr>
                <w:rFonts w:cstheme="minorHAnsi"/>
                <w:sz w:val="18"/>
                <w:szCs w:val="18"/>
              </w:rPr>
              <w:t>;</w:t>
            </w:r>
            <w:r w:rsidR="002E0B5D" w:rsidRPr="00112681">
              <w:rPr>
                <w:rFonts w:cstheme="minorHAnsi"/>
                <w:sz w:val="18"/>
                <w:szCs w:val="18"/>
              </w:rPr>
              <w:t xml:space="preserve"> </w:t>
            </w:r>
            <w:r w:rsidRPr="00112681">
              <w:rPr>
                <w:rFonts w:cstheme="minorHAnsi"/>
                <w:sz w:val="18"/>
                <w:szCs w:val="18"/>
              </w:rPr>
              <w:t xml:space="preserve">ethnicity </w:t>
            </w:r>
            <w:r w:rsidR="002E0B5D" w:rsidRPr="00112681">
              <w:rPr>
                <w:rFonts w:cstheme="minorHAnsi"/>
                <w:sz w:val="18"/>
                <w:szCs w:val="18"/>
              </w:rPr>
              <w:t>not reported.</w:t>
            </w:r>
          </w:p>
        </w:tc>
        <w:tc>
          <w:tcPr>
            <w:tcW w:w="4394" w:type="dxa"/>
            <w:tcBorders>
              <w:top w:val="single" w:sz="4" w:space="0" w:color="auto"/>
            </w:tcBorders>
          </w:tcPr>
          <w:p w14:paraId="1C0EABAA" w14:textId="0083EECC" w:rsidR="00D41116" w:rsidRPr="00D41116" w:rsidRDefault="002E0B5D" w:rsidP="00D41116">
            <w:pPr>
              <w:pStyle w:val="ListParagraph"/>
              <w:numPr>
                <w:ilvl w:val="0"/>
                <w:numId w:val="22"/>
              </w:numPr>
              <w:autoSpaceDE w:val="0"/>
              <w:autoSpaceDN w:val="0"/>
              <w:adjustRightInd w:val="0"/>
              <w:rPr>
                <w:rFonts w:cstheme="minorHAnsi"/>
                <w:sz w:val="18"/>
                <w:szCs w:val="18"/>
              </w:rPr>
            </w:pPr>
            <w:r w:rsidRPr="00A82E00">
              <w:rPr>
                <w:rFonts w:cstheme="minorHAnsi"/>
                <w:iCs/>
                <w:sz w:val="18"/>
                <w:szCs w:val="18"/>
              </w:rPr>
              <w:t xml:space="preserve">Becoming aware of FCN associated with higher levels of worrying and depression. </w:t>
            </w:r>
          </w:p>
          <w:p w14:paraId="142EA26B" w14:textId="77777777" w:rsidR="00D41116" w:rsidRPr="00D41116" w:rsidRDefault="002E0B5D" w:rsidP="00D41116">
            <w:pPr>
              <w:pStyle w:val="ListParagraph"/>
              <w:numPr>
                <w:ilvl w:val="0"/>
                <w:numId w:val="22"/>
              </w:numPr>
              <w:autoSpaceDE w:val="0"/>
              <w:autoSpaceDN w:val="0"/>
              <w:adjustRightInd w:val="0"/>
              <w:rPr>
                <w:rFonts w:cstheme="minorHAnsi"/>
                <w:sz w:val="18"/>
                <w:szCs w:val="18"/>
              </w:rPr>
            </w:pPr>
            <w:r w:rsidRPr="00A82E00">
              <w:rPr>
                <w:rFonts w:cstheme="minorHAnsi"/>
                <w:iCs/>
                <w:sz w:val="18"/>
                <w:szCs w:val="18"/>
              </w:rPr>
              <w:t xml:space="preserve">Gathering information and concrete planning predicted lower levels of worrying and depression and higher levels of satisfaction with preparations. </w:t>
            </w:r>
          </w:p>
          <w:p w14:paraId="5F5B86F7" w14:textId="77777777" w:rsidR="00D41116" w:rsidRPr="00D41116" w:rsidRDefault="002E0B5D" w:rsidP="00D41116">
            <w:pPr>
              <w:pStyle w:val="ListParagraph"/>
              <w:numPr>
                <w:ilvl w:val="0"/>
                <w:numId w:val="22"/>
              </w:numPr>
              <w:autoSpaceDE w:val="0"/>
              <w:autoSpaceDN w:val="0"/>
              <w:adjustRightInd w:val="0"/>
              <w:rPr>
                <w:rFonts w:cstheme="minorHAnsi"/>
                <w:sz w:val="18"/>
                <w:szCs w:val="18"/>
              </w:rPr>
            </w:pPr>
            <w:r w:rsidRPr="00A82E00">
              <w:rPr>
                <w:rFonts w:cstheme="minorHAnsi"/>
                <w:iCs/>
                <w:sz w:val="18"/>
                <w:szCs w:val="18"/>
              </w:rPr>
              <w:t xml:space="preserve">Avoiders had lowest levels of worries and depression, whereas planners were most satisfied with their preparation activities. </w:t>
            </w:r>
          </w:p>
          <w:p w14:paraId="36BBFFEF" w14:textId="5C19A854" w:rsidR="002E0B5D" w:rsidRPr="00A82E00" w:rsidRDefault="002E0B5D" w:rsidP="00A82E00">
            <w:pPr>
              <w:pStyle w:val="ListParagraph"/>
              <w:numPr>
                <w:ilvl w:val="0"/>
                <w:numId w:val="22"/>
              </w:numPr>
              <w:autoSpaceDE w:val="0"/>
              <w:autoSpaceDN w:val="0"/>
              <w:adjustRightInd w:val="0"/>
              <w:rPr>
                <w:rFonts w:cstheme="minorHAnsi"/>
                <w:sz w:val="18"/>
                <w:szCs w:val="18"/>
              </w:rPr>
            </w:pPr>
            <w:r w:rsidRPr="00A82E00">
              <w:rPr>
                <w:rFonts w:cstheme="minorHAnsi"/>
                <w:iCs/>
                <w:sz w:val="18"/>
                <w:szCs w:val="18"/>
              </w:rPr>
              <w:t>Thinking about future risks without making concrete plans was associated with the lowest levels of psychological wellbeing.</w:t>
            </w:r>
          </w:p>
        </w:tc>
      </w:tr>
      <w:tr w:rsidR="00A82E00" w:rsidRPr="00112681" w14:paraId="77DC07D4" w14:textId="77777777" w:rsidTr="00946BEA">
        <w:tc>
          <w:tcPr>
            <w:tcW w:w="1555" w:type="dxa"/>
          </w:tcPr>
          <w:p w14:paraId="3847E2F4" w14:textId="0EEC59C1" w:rsidR="002E0B5D" w:rsidRPr="00B27151" w:rsidRDefault="002E0B5D" w:rsidP="00771B9F">
            <w:pPr>
              <w:rPr>
                <w:rFonts w:cstheme="minorHAnsi"/>
                <w:sz w:val="18"/>
                <w:szCs w:val="18"/>
              </w:rPr>
            </w:pPr>
            <w:r w:rsidRPr="00B27151">
              <w:rPr>
                <w:rFonts w:cstheme="minorHAnsi"/>
                <w:sz w:val="18"/>
                <w:szCs w:val="18"/>
              </w:rPr>
              <w:t>Sorensen</w:t>
            </w:r>
            <w:r w:rsidR="00B27151">
              <w:rPr>
                <w:rFonts w:cstheme="minorHAnsi"/>
                <w:sz w:val="18"/>
                <w:szCs w:val="18"/>
              </w:rPr>
              <w:t xml:space="preserve"> et al</w:t>
            </w:r>
          </w:p>
          <w:p w14:paraId="38DA6B28" w14:textId="4739F198" w:rsidR="002E0B5D" w:rsidRPr="00A82E00" w:rsidRDefault="002E0B5D" w:rsidP="00771B9F">
            <w:pPr>
              <w:rPr>
                <w:rFonts w:cstheme="minorHAnsi"/>
                <w:sz w:val="18"/>
                <w:szCs w:val="18"/>
              </w:rPr>
            </w:pPr>
            <w:r w:rsidRPr="00B27151">
              <w:rPr>
                <w:rFonts w:cstheme="minorHAnsi"/>
                <w:sz w:val="18"/>
                <w:szCs w:val="18"/>
              </w:rPr>
              <w:t>2012</w:t>
            </w:r>
          </w:p>
          <w:p w14:paraId="246E6F94" w14:textId="77777777" w:rsidR="002E0B5D" w:rsidRDefault="002E0B5D" w:rsidP="00771B9F">
            <w:pPr>
              <w:rPr>
                <w:rFonts w:cstheme="minorHAnsi"/>
                <w:sz w:val="18"/>
                <w:szCs w:val="18"/>
              </w:rPr>
            </w:pPr>
            <w:r w:rsidRPr="00A82E00">
              <w:rPr>
                <w:rFonts w:cstheme="minorHAnsi"/>
                <w:sz w:val="18"/>
                <w:szCs w:val="18"/>
              </w:rPr>
              <w:t>USA</w:t>
            </w:r>
          </w:p>
          <w:p w14:paraId="1CFA44B5" w14:textId="77777777" w:rsidR="0066707D" w:rsidRDefault="0066707D" w:rsidP="00771B9F">
            <w:pPr>
              <w:rPr>
                <w:rFonts w:cstheme="minorHAnsi"/>
                <w:sz w:val="18"/>
                <w:szCs w:val="18"/>
              </w:rPr>
            </w:pPr>
          </w:p>
          <w:p w14:paraId="2E4DA012" w14:textId="6E0D123E" w:rsidR="0066707D" w:rsidRPr="00A82E00" w:rsidRDefault="0066707D" w:rsidP="00771B9F">
            <w:pPr>
              <w:rPr>
                <w:rFonts w:cstheme="minorHAnsi"/>
                <w:sz w:val="18"/>
                <w:szCs w:val="18"/>
              </w:rPr>
            </w:pPr>
            <w:r>
              <w:rPr>
                <w:rFonts w:cstheme="minorHAnsi"/>
                <w:sz w:val="18"/>
                <w:szCs w:val="18"/>
              </w:rPr>
              <w:t>(</w:t>
            </w:r>
            <w:r w:rsidR="00946BEA">
              <w:rPr>
                <w:rFonts w:cstheme="minorHAnsi"/>
                <w:sz w:val="18"/>
                <w:szCs w:val="18"/>
              </w:rPr>
              <w:t xml:space="preserve">evaluated </w:t>
            </w:r>
            <w:r>
              <w:rPr>
                <w:rFonts w:cstheme="minorHAnsi"/>
                <w:sz w:val="18"/>
                <w:szCs w:val="18"/>
              </w:rPr>
              <w:t>PFCN, Sorensen et al, 2001)</w:t>
            </w:r>
          </w:p>
        </w:tc>
        <w:tc>
          <w:tcPr>
            <w:tcW w:w="1840" w:type="dxa"/>
          </w:tcPr>
          <w:p w14:paraId="73029167" w14:textId="57439F00" w:rsidR="002E0B5D" w:rsidRPr="00112681" w:rsidRDefault="002E0B5D" w:rsidP="00771B9F">
            <w:pPr>
              <w:autoSpaceDE w:val="0"/>
              <w:autoSpaceDN w:val="0"/>
              <w:adjustRightInd w:val="0"/>
              <w:rPr>
                <w:rFonts w:cstheme="minorHAnsi"/>
                <w:sz w:val="18"/>
                <w:szCs w:val="18"/>
              </w:rPr>
            </w:pPr>
            <w:r w:rsidRPr="00112681">
              <w:rPr>
                <w:rFonts w:cstheme="minorHAnsi"/>
                <w:sz w:val="18"/>
                <w:szCs w:val="18"/>
              </w:rPr>
              <w:t xml:space="preserve">To </w:t>
            </w:r>
            <w:r w:rsidR="00E132C0">
              <w:rPr>
                <w:rFonts w:cstheme="minorHAnsi"/>
                <w:sz w:val="18"/>
                <w:szCs w:val="18"/>
              </w:rPr>
              <w:t>investigate</w:t>
            </w:r>
            <w:r w:rsidR="00E132C0" w:rsidRPr="00112681">
              <w:rPr>
                <w:rFonts w:cstheme="minorHAnsi"/>
                <w:sz w:val="18"/>
                <w:szCs w:val="18"/>
              </w:rPr>
              <w:t xml:space="preserve"> </w:t>
            </w:r>
            <w:r w:rsidRPr="00112681">
              <w:rPr>
                <w:rFonts w:cstheme="minorHAnsi"/>
                <w:sz w:val="18"/>
                <w:szCs w:val="18"/>
              </w:rPr>
              <w:t>relationship</w:t>
            </w:r>
            <w:r w:rsidRPr="00112681">
              <w:rPr>
                <w:rFonts w:cstheme="minorHAnsi"/>
                <w:iCs/>
                <w:sz w:val="18"/>
                <w:szCs w:val="18"/>
              </w:rPr>
              <w:t xml:space="preserve"> between planning for future care and subsequent mental health</w:t>
            </w:r>
          </w:p>
        </w:tc>
        <w:tc>
          <w:tcPr>
            <w:tcW w:w="4544" w:type="dxa"/>
          </w:tcPr>
          <w:p w14:paraId="72A03ADF" w14:textId="4EFC965F" w:rsidR="002E0B5D" w:rsidRDefault="002E0B5D" w:rsidP="00771B9F">
            <w:pPr>
              <w:autoSpaceDE w:val="0"/>
              <w:autoSpaceDN w:val="0"/>
              <w:adjustRightInd w:val="0"/>
              <w:rPr>
                <w:rFonts w:cstheme="minorHAnsi"/>
                <w:sz w:val="18"/>
                <w:szCs w:val="18"/>
              </w:rPr>
            </w:pPr>
            <w:r w:rsidRPr="00112681">
              <w:rPr>
                <w:rFonts w:cstheme="minorHAnsi"/>
                <w:sz w:val="18"/>
                <w:szCs w:val="18"/>
              </w:rPr>
              <w:t xml:space="preserve">Longitudinal study with 2-year follow-up that examined </w:t>
            </w:r>
            <w:r w:rsidR="00946BEA">
              <w:rPr>
                <w:rFonts w:cstheme="minorHAnsi"/>
                <w:sz w:val="18"/>
                <w:szCs w:val="18"/>
              </w:rPr>
              <w:t xml:space="preserve">the </w:t>
            </w:r>
            <w:r w:rsidRPr="00112681">
              <w:rPr>
                <w:rFonts w:cstheme="minorHAnsi"/>
                <w:sz w:val="18"/>
                <w:szCs w:val="18"/>
              </w:rPr>
              <w:t xml:space="preserve">relationship between preparations for future care using the PFCN questionnaire and depression and anxiety </w:t>
            </w:r>
            <w:r w:rsidR="00946BEA">
              <w:rPr>
                <w:rFonts w:cstheme="minorHAnsi"/>
                <w:sz w:val="18"/>
                <w:szCs w:val="18"/>
              </w:rPr>
              <w:t>(</w:t>
            </w:r>
            <w:r w:rsidRPr="00112681">
              <w:rPr>
                <w:rFonts w:cstheme="minorHAnsi"/>
                <w:sz w:val="18"/>
                <w:szCs w:val="18"/>
              </w:rPr>
              <w:t xml:space="preserve">measured by the Structured Clinical Interview for DSM-IV, the Hamilton Depression Rating Scale </w:t>
            </w:r>
            <w:r w:rsidR="00797EED">
              <w:rPr>
                <w:rFonts w:cstheme="minorHAnsi"/>
                <w:sz w:val="18"/>
                <w:szCs w:val="18"/>
              </w:rPr>
              <w:t>and</w:t>
            </w:r>
            <w:r w:rsidRPr="00112681">
              <w:rPr>
                <w:rFonts w:cstheme="minorHAnsi"/>
                <w:sz w:val="18"/>
                <w:szCs w:val="18"/>
              </w:rPr>
              <w:t xml:space="preserve"> the Clinical Anxiety Scale</w:t>
            </w:r>
            <w:r w:rsidR="00946BEA">
              <w:rPr>
                <w:rFonts w:cstheme="minorHAnsi"/>
                <w:sz w:val="18"/>
                <w:szCs w:val="18"/>
              </w:rPr>
              <w:t>)</w:t>
            </w:r>
            <w:r w:rsidRPr="00112681">
              <w:rPr>
                <w:rFonts w:cstheme="minorHAnsi"/>
                <w:sz w:val="18"/>
                <w:szCs w:val="18"/>
              </w:rPr>
              <w:t xml:space="preserve">. </w:t>
            </w:r>
          </w:p>
          <w:p w14:paraId="4E4918B9" w14:textId="77777777" w:rsidR="00914ED4" w:rsidRDefault="00914ED4" w:rsidP="00771B9F">
            <w:pPr>
              <w:autoSpaceDE w:val="0"/>
              <w:autoSpaceDN w:val="0"/>
              <w:adjustRightInd w:val="0"/>
              <w:rPr>
                <w:rFonts w:cstheme="minorHAnsi"/>
                <w:sz w:val="18"/>
                <w:szCs w:val="18"/>
              </w:rPr>
            </w:pPr>
          </w:p>
          <w:p w14:paraId="44910578" w14:textId="6124727D" w:rsidR="00B273FA" w:rsidRPr="00112681" w:rsidRDefault="00B273FA" w:rsidP="00771B9F">
            <w:pPr>
              <w:autoSpaceDE w:val="0"/>
              <w:autoSpaceDN w:val="0"/>
              <w:adjustRightInd w:val="0"/>
              <w:rPr>
                <w:rFonts w:cstheme="minorHAnsi"/>
                <w:sz w:val="18"/>
                <w:szCs w:val="18"/>
              </w:rPr>
            </w:pPr>
            <w:r>
              <w:rPr>
                <w:rFonts w:cstheme="minorHAnsi"/>
                <w:sz w:val="18"/>
                <w:szCs w:val="18"/>
              </w:rPr>
              <w:t xml:space="preserve">Assessments took place at primary care clinics. </w:t>
            </w:r>
          </w:p>
        </w:tc>
        <w:tc>
          <w:tcPr>
            <w:tcW w:w="2835" w:type="dxa"/>
          </w:tcPr>
          <w:p w14:paraId="3036514A" w14:textId="454310BF" w:rsidR="00047A7A" w:rsidRDefault="002E0B5D" w:rsidP="00771B9F">
            <w:pPr>
              <w:autoSpaceDE w:val="0"/>
              <w:autoSpaceDN w:val="0"/>
              <w:adjustRightInd w:val="0"/>
              <w:rPr>
                <w:rFonts w:cstheme="minorHAnsi"/>
                <w:sz w:val="18"/>
                <w:szCs w:val="18"/>
              </w:rPr>
            </w:pPr>
            <w:r w:rsidRPr="00112681">
              <w:rPr>
                <w:rFonts w:cstheme="minorHAnsi"/>
                <w:sz w:val="18"/>
                <w:szCs w:val="18"/>
              </w:rPr>
              <w:t xml:space="preserve">385 patients aged 65 and over attending primary care health facilities. </w:t>
            </w:r>
          </w:p>
          <w:p w14:paraId="1D30BFFE" w14:textId="32735134" w:rsidR="00047A7A" w:rsidRDefault="002E0B5D" w:rsidP="00771B9F">
            <w:pPr>
              <w:autoSpaceDE w:val="0"/>
              <w:autoSpaceDN w:val="0"/>
              <w:adjustRightInd w:val="0"/>
              <w:rPr>
                <w:rFonts w:cstheme="minorHAnsi"/>
                <w:sz w:val="18"/>
                <w:szCs w:val="18"/>
              </w:rPr>
            </w:pPr>
            <w:r w:rsidRPr="00112681">
              <w:rPr>
                <w:rFonts w:cstheme="minorHAnsi"/>
                <w:sz w:val="18"/>
                <w:szCs w:val="18"/>
              </w:rPr>
              <w:t xml:space="preserve">Mean age 79 years; </w:t>
            </w:r>
            <w:r w:rsidR="00047A7A" w:rsidRPr="00112681">
              <w:rPr>
                <w:rFonts w:cstheme="minorHAnsi"/>
                <w:sz w:val="18"/>
                <w:szCs w:val="18"/>
              </w:rPr>
              <w:t>female 61%;</w:t>
            </w:r>
            <w:r w:rsidR="00047A7A">
              <w:rPr>
                <w:rFonts w:cstheme="minorHAnsi"/>
                <w:sz w:val="18"/>
                <w:szCs w:val="18"/>
              </w:rPr>
              <w:t xml:space="preserve"> </w:t>
            </w:r>
            <w:r w:rsidRPr="00112681">
              <w:rPr>
                <w:rFonts w:cstheme="minorHAnsi"/>
                <w:sz w:val="18"/>
                <w:szCs w:val="18"/>
              </w:rPr>
              <w:t xml:space="preserve">white 96%; </w:t>
            </w:r>
            <w:r w:rsidR="00047A7A" w:rsidRPr="00112681">
              <w:rPr>
                <w:rFonts w:cstheme="minorHAnsi"/>
                <w:sz w:val="18"/>
                <w:szCs w:val="18"/>
              </w:rPr>
              <w:t xml:space="preserve">married </w:t>
            </w:r>
            <w:r w:rsidRPr="00112681">
              <w:rPr>
                <w:rFonts w:cstheme="minorHAnsi"/>
                <w:sz w:val="18"/>
                <w:szCs w:val="18"/>
              </w:rPr>
              <w:t>5</w:t>
            </w:r>
            <w:r w:rsidR="00047A7A">
              <w:rPr>
                <w:rFonts w:cstheme="minorHAnsi"/>
                <w:sz w:val="18"/>
                <w:szCs w:val="18"/>
              </w:rPr>
              <w:t>8</w:t>
            </w:r>
            <w:r w:rsidRPr="00112681">
              <w:rPr>
                <w:rFonts w:cstheme="minorHAnsi"/>
                <w:sz w:val="18"/>
                <w:szCs w:val="18"/>
              </w:rPr>
              <w:t xml:space="preserve">%; </w:t>
            </w:r>
            <w:r w:rsidR="00047A7A" w:rsidRPr="00112681">
              <w:rPr>
                <w:rFonts w:cstheme="minorHAnsi"/>
                <w:sz w:val="18"/>
                <w:szCs w:val="18"/>
              </w:rPr>
              <w:t xml:space="preserve">widowed </w:t>
            </w:r>
            <w:r w:rsidRPr="00112681">
              <w:rPr>
                <w:rFonts w:cstheme="minorHAnsi"/>
                <w:sz w:val="18"/>
                <w:szCs w:val="18"/>
              </w:rPr>
              <w:t xml:space="preserve">27%. </w:t>
            </w:r>
          </w:p>
          <w:p w14:paraId="1B67D59E" w14:textId="77777777" w:rsidR="002E0B5D" w:rsidRDefault="00D41116" w:rsidP="00771B9F">
            <w:pPr>
              <w:autoSpaceDE w:val="0"/>
              <w:autoSpaceDN w:val="0"/>
              <w:adjustRightInd w:val="0"/>
              <w:rPr>
                <w:rFonts w:cstheme="minorHAnsi"/>
                <w:sz w:val="18"/>
                <w:szCs w:val="18"/>
              </w:rPr>
            </w:pPr>
            <w:r w:rsidRPr="00112681">
              <w:rPr>
                <w:rFonts w:cstheme="minorHAnsi"/>
                <w:sz w:val="18"/>
                <w:szCs w:val="18"/>
              </w:rPr>
              <w:t>190 (57%) complete data on PFC</w:t>
            </w:r>
            <w:r>
              <w:rPr>
                <w:rFonts w:cstheme="minorHAnsi"/>
                <w:sz w:val="18"/>
                <w:szCs w:val="18"/>
              </w:rPr>
              <w:t>N</w:t>
            </w:r>
            <w:r w:rsidRPr="00112681">
              <w:rPr>
                <w:rFonts w:cstheme="minorHAnsi"/>
                <w:sz w:val="18"/>
                <w:szCs w:val="18"/>
              </w:rPr>
              <w:t xml:space="preserve"> measure and diagnostic interview at baseline and follow-up</w:t>
            </w:r>
            <w:r>
              <w:rPr>
                <w:rFonts w:cstheme="minorHAnsi"/>
                <w:sz w:val="18"/>
                <w:szCs w:val="18"/>
              </w:rPr>
              <w:t xml:space="preserve"> at 2 years.</w:t>
            </w:r>
          </w:p>
          <w:p w14:paraId="0A8B998C" w14:textId="1B475A81" w:rsidR="00946BEA" w:rsidRPr="00112681" w:rsidRDefault="00946BEA" w:rsidP="00771B9F">
            <w:pPr>
              <w:autoSpaceDE w:val="0"/>
              <w:autoSpaceDN w:val="0"/>
              <w:adjustRightInd w:val="0"/>
              <w:rPr>
                <w:rFonts w:cstheme="minorHAnsi"/>
                <w:sz w:val="18"/>
                <w:szCs w:val="18"/>
              </w:rPr>
            </w:pPr>
          </w:p>
        </w:tc>
        <w:tc>
          <w:tcPr>
            <w:tcW w:w="4394" w:type="dxa"/>
          </w:tcPr>
          <w:p w14:paraId="4B949ED7" w14:textId="15D6643B" w:rsidR="00D41116" w:rsidRDefault="00D41116" w:rsidP="00D41116">
            <w:pPr>
              <w:pStyle w:val="ListParagraph"/>
              <w:numPr>
                <w:ilvl w:val="0"/>
                <w:numId w:val="23"/>
              </w:numPr>
              <w:autoSpaceDE w:val="0"/>
              <w:autoSpaceDN w:val="0"/>
              <w:adjustRightInd w:val="0"/>
              <w:rPr>
                <w:rFonts w:cstheme="minorHAnsi"/>
                <w:sz w:val="18"/>
                <w:szCs w:val="18"/>
              </w:rPr>
            </w:pPr>
            <w:r w:rsidRPr="00A82E00">
              <w:rPr>
                <w:rFonts w:cstheme="minorHAnsi"/>
                <w:sz w:val="18"/>
                <w:szCs w:val="18"/>
              </w:rPr>
              <w:t xml:space="preserve">Major </w:t>
            </w:r>
            <w:r w:rsidR="002E0B5D" w:rsidRPr="00A82E00">
              <w:rPr>
                <w:rFonts w:cstheme="minorHAnsi"/>
                <w:sz w:val="18"/>
                <w:szCs w:val="18"/>
              </w:rPr>
              <w:t xml:space="preserve">depression present for 3% and minor depression 4%. </w:t>
            </w:r>
          </w:p>
          <w:p w14:paraId="7BC8D3EA" w14:textId="3064C2C3" w:rsidR="00D41116" w:rsidRDefault="002E0B5D" w:rsidP="00D41116">
            <w:pPr>
              <w:pStyle w:val="ListParagraph"/>
              <w:numPr>
                <w:ilvl w:val="0"/>
                <w:numId w:val="23"/>
              </w:numPr>
              <w:autoSpaceDE w:val="0"/>
              <w:autoSpaceDN w:val="0"/>
              <w:adjustRightInd w:val="0"/>
              <w:rPr>
                <w:rFonts w:cstheme="minorHAnsi"/>
                <w:sz w:val="18"/>
                <w:szCs w:val="18"/>
              </w:rPr>
            </w:pPr>
            <w:r w:rsidRPr="00A82E00">
              <w:rPr>
                <w:rFonts w:cstheme="minorHAnsi"/>
                <w:sz w:val="18"/>
                <w:szCs w:val="18"/>
              </w:rPr>
              <w:t xml:space="preserve">More baseline Concrete Planning significantly related to lower likelihood of being diagnosed with major or minor depression at two-year follow-up. </w:t>
            </w:r>
          </w:p>
          <w:p w14:paraId="288E583E" w14:textId="0A81D80A" w:rsidR="002E0B5D" w:rsidRPr="00A82E00" w:rsidRDefault="002E0B5D" w:rsidP="00A82E00">
            <w:pPr>
              <w:pStyle w:val="ListParagraph"/>
              <w:numPr>
                <w:ilvl w:val="0"/>
                <w:numId w:val="23"/>
              </w:numPr>
              <w:autoSpaceDE w:val="0"/>
              <w:autoSpaceDN w:val="0"/>
              <w:adjustRightInd w:val="0"/>
              <w:rPr>
                <w:rFonts w:cstheme="minorHAnsi"/>
                <w:sz w:val="18"/>
                <w:szCs w:val="18"/>
              </w:rPr>
            </w:pPr>
            <w:r w:rsidRPr="00A82E00">
              <w:rPr>
                <w:rFonts w:cstheme="minorHAnsi"/>
                <w:sz w:val="18"/>
                <w:szCs w:val="18"/>
              </w:rPr>
              <w:t xml:space="preserve">Avoidance independently associated with greater depression symptoms after two years, but not with </w:t>
            </w:r>
            <w:r w:rsidR="00D41116" w:rsidRPr="0097310D">
              <w:rPr>
                <w:rFonts w:cstheme="minorHAnsi"/>
                <w:sz w:val="18"/>
                <w:szCs w:val="18"/>
              </w:rPr>
              <w:t>anxiety symptoms</w:t>
            </w:r>
            <w:r w:rsidR="00D41116">
              <w:rPr>
                <w:rFonts w:cstheme="minorHAnsi"/>
                <w:sz w:val="18"/>
                <w:szCs w:val="18"/>
              </w:rPr>
              <w:t xml:space="preserve"> or diagnosis of </w:t>
            </w:r>
            <w:r w:rsidRPr="00A82E00">
              <w:rPr>
                <w:rFonts w:cstheme="minorHAnsi"/>
                <w:sz w:val="18"/>
                <w:szCs w:val="18"/>
              </w:rPr>
              <w:t>depression.</w:t>
            </w:r>
          </w:p>
        </w:tc>
      </w:tr>
      <w:tr w:rsidR="00A82E00" w:rsidRPr="00112681" w14:paraId="3A8A2F4D" w14:textId="77777777" w:rsidTr="00946BEA">
        <w:tc>
          <w:tcPr>
            <w:tcW w:w="1555" w:type="dxa"/>
            <w:tcBorders>
              <w:bottom w:val="single" w:sz="4" w:space="0" w:color="auto"/>
            </w:tcBorders>
          </w:tcPr>
          <w:p w14:paraId="446F1797" w14:textId="77777777" w:rsidR="00B27151" w:rsidRDefault="002E0B5D" w:rsidP="00771B9F">
            <w:pPr>
              <w:rPr>
                <w:rFonts w:cstheme="minorHAnsi"/>
                <w:sz w:val="18"/>
                <w:szCs w:val="18"/>
              </w:rPr>
            </w:pPr>
            <w:proofErr w:type="spellStart"/>
            <w:r w:rsidRPr="00B27151">
              <w:rPr>
                <w:rFonts w:cstheme="minorHAnsi"/>
                <w:sz w:val="18"/>
                <w:szCs w:val="18"/>
              </w:rPr>
              <w:t>Adekpedjou</w:t>
            </w:r>
            <w:proofErr w:type="spellEnd"/>
            <w:r w:rsidRPr="00B27151">
              <w:rPr>
                <w:rFonts w:cstheme="minorHAnsi"/>
                <w:sz w:val="18"/>
                <w:szCs w:val="18"/>
              </w:rPr>
              <w:t xml:space="preserve"> et al </w:t>
            </w:r>
          </w:p>
          <w:p w14:paraId="4F2550E4" w14:textId="694A43B7" w:rsidR="002E0B5D" w:rsidRPr="00B27151" w:rsidRDefault="002E0B5D" w:rsidP="00771B9F">
            <w:pPr>
              <w:rPr>
                <w:rFonts w:cstheme="minorHAnsi"/>
                <w:sz w:val="18"/>
                <w:szCs w:val="18"/>
              </w:rPr>
            </w:pPr>
            <w:r w:rsidRPr="00B27151">
              <w:rPr>
                <w:rFonts w:cstheme="minorHAnsi"/>
                <w:sz w:val="18"/>
                <w:szCs w:val="18"/>
              </w:rPr>
              <w:t>20</w:t>
            </w:r>
            <w:r w:rsidR="005C3417">
              <w:rPr>
                <w:rFonts w:cstheme="minorHAnsi"/>
                <w:sz w:val="18"/>
                <w:szCs w:val="18"/>
              </w:rPr>
              <w:t>20</w:t>
            </w:r>
          </w:p>
          <w:p w14:paraId="167CBF42" w14:textId="77777777" w:rsidR="002E0B5D" w:rsidRDefault="002E0B5D" w:rsidP="00771B9F">
            <w:pPr>
              <w:rPr>
                <w:rFonts w:cstheme="minorHAnsi"/>
                <w:sz w:val="18"/>
                <w:szCs w:val="18"/>
              </w:rPr>
            </w:pPr>
            <w:r w:rsidRPr="00A82E00">
              <w:rPr>
                <w:rFonts w:cstheme="minorHAnsi"/>
                <w:sz w:val="18"/>
                <w:szCs w:val="18"/>
              </w:rPr>
              <w:t>Canada</w:t>
            </w:r>
          </w:p>
          <w:p w14:paraId="118C24F8" w14:textId="77777777" w:rsidR="0066707D" w:rsidRDefault="0066707D" w:rsidP="00771B9F">
            <w:pPr>
              <w:rPr>
                <w:rFonts w:cstheme="minorHAnsi"/>
                <w:sz w:val="18"/>
                <w:szCs w:val="18"/>
              </w:rPr>
            </w:pPr>
          </w:p>
          <w:p w14:paraId="659D24DA" w14:textId="55E4551A" w:rsidR="0066707D" w:rsidRPr="00A82E00" w:rsidRDefault="0066707D" w:rsidP="00771B9F">
            <w:pPr>
              <w:rPr>
                <w:rFonts w:cstheme="minorHAnsi"/>
                <w:sz w:val="18"/>
                <w:szCs w:val="18"/>
              </w:rPr>
            </w:pPr>
            <w:r>
              <w:rPr>
                <w:rFonts w:cstheme="minorHAnsi"/>
                <w:sz w:val="18"/>
                <w:szCs w:val="18"/>
              </w:rPr>
              <w:t>(</w:t>
            </w:r>
            <w:r w:rsidR="00946BEA">
              <w:rPr>
                <w:rFonts w:cstheme="minorHAnsi"/>
                <w:sz w:val="18"/>
                <w:szCs w:val="18"/>
              </w:rPr>
              <w:t>evaluated u</w:t>
            </w:r>
            <w:r>
              <w:rPr>
                <w:rFonts w:cstheme="minorHAnsi"/>
                <w:sz w:val="18"/>
                <w:szCs w:val="18"/>
              </w:rPr>
              <w:t xml:space="preserve">n-named booklet, </w:t>
            </w:r>
            <w:proofErr w:type="spellStart"/>
            <w:r w:rsidRPr="00112681">
              <w:rPr>
                <w:rFonts w:cstheme="minorHAnsi"/>
                <w:sz w:val="18"/>
                <w:szCs w:val="18"/>
              </w:rPr>
              <w:t>Garvelink</w:t>
            </w:r>
            <w:proofErr w:type="spellEnd"/>
            <w:r w:rsidRPr="00112681">
              <w:rPr>
                <w:rFonts w:cstheme="minorHAnsi"/>
                <w:sz w:val="18"/>
                <w:szCs w:val="18"/>
              </w:rPr>
              <w:t xml:space="preserve"> et al, 2016)</w:t>
            </w:r>
          </w:p>
        </w:tc>
        <w:tc>
          <w:tcPr>
            <w:tcW w:w="1840" w:type="dxa"/>
            <w:tcBorders>
              <w:bottom w:val="single" w:sz="4" w:space="0" w:color="auto"/>
            </w:tcBorders>
          </w:tcPr>
          <w:p w14:paraId="589B99DB" w14:textId="03A64FF6" w:rsidR="002E0B5D" w:rsidRPr="00112681" w:rsidRDefault="002E0B5D" w:rsidP="00771B9F">
            <w:pPr>
              <w:autoSpaceDE w:val="0"/>
              <w:autoSpaceDN w:val="0"/>
              <w:adjustRightInd w:val="0"/>
              <w:rPr>
                <w:rFonts w:cstheme="minorHAnsi"/>
                <w:sz w:val="18"/>
                <w:szCs w:val="18"/>
              </w:rPr>
            </w:pPr>
            <w:r w:rsidRPr="00112681">
              <w:rPr>
                <w:rFonts w:cstheme="minorHAnsi"/>
                <w:sz w:val="18"/>
                <w:szCs w:val="18"/>
              </w:rPr>
              <w:t>To evaluate the impact of training inter</w:t>
            </w:r>
            <w:r w:rsidR="00E132C0">
              <w:rPr>
                <w:rFonts w:cstheme="minorHAnsi"/>
                <w:sz w:val="18"/>
                <w:szCs w:val="18"/>
              </w:rPr>
              <w:t>-</w:t>
            </w:r>
            <w:r w:rsidRPr="00112681">
              <w:rPr>
                <w:rFonts w:cstheme="minorHAnsi"/>
                <w:sz w:val="18"/>
                <w:szCs w:val="18"/>
              </w:rPr>
              <w:t>professional home</w:t>
            </w:r>
            <w:r w:rsidR="00E132C0">
              <w:rPr>
                <w:rFonts w:cstheme="minorHAnsi"/>
                <w:sz w:val="18"/>
                <w:szCs w:val="18"/>
              </w:rPr>
              <w:t xml:space="preserve"> </w:t>
            </w:r>
            <w:r w:rsidRPr="00112681">
              <w:rPr>
                <w:rFonts w:cstheme="minorHAnsi"/>
                <w:sz w:val="18"/>
                <w:szCs w:val="18"/>
              </w:rPr>
              <w:t>care teams in shared decision making (SDM) in health-related housing decisions.</w:t>
            </w:r>
          </w:p>
        </w:tc>
        <w:tc>
          <w:tcPr>
            <w:tcW w:w="4544" w:type="dxa"/>
            <w:tcBorders>
              <w:bottom w:val="single" w:sz="4" w:space="0" w:color="auto"/>
            </w:tcBorders>
          </w:tcPr>
          <w:p w14:paraId="646A5E84" w14:textId="3584DC81" w:rsidR="002E0B5D" w:rsidRPr="00112681" w:rsidRDefault="002E0B5D" w:rsidP="00771B9F">
            <w:pPr>
              <w:autoSpaceDE w:val="0"/>
              <w:autoSpaceDN w:val="0"/>
              <w:adjustRightInd w:val="0"/>
              <w:rPr>
                <w:rFonts w:cstheme="minorHAnsi"/>
                <w:sz w:val="18"/>
                <w:szCs w:val="18"/>
              </w:rPr>
            </w:pPr>
            <w:r w:rsidRPr="00112681">
              <w:rPr>
                <w:rFonts w:cstheme="minorHAnsi"/>
                <w:sz w:val="18"/>
                <w:szCs w:val="18"/>
              </w:rPr>
              <w:t>Two-arm pragmatic cluster randomized trial with home care teams working in health centres randomized to receive training in inter</w:t>
            </w:r>
            <w:r w:rsidR="00B33E82">
              <w:rPr>
                <w:rFonts w:cstheme="minorHAnsi"/>
                <w:sz w:val="18"/>
                <w:szCs w:val="18"/>
              </w:rPr>
              <w:t>-</w:t>
            </w:r>
            <w:r w:rsidRPr="00112681">
              <w:rPr>
                <w:rFonts w:cstheme="minorHAnsi"/>
                <w:sz w:val="18"/>
                <w:szCs w:val="18"/>
              </w:rPr>
              <w:t>professional SDM, including use of a decision guide (</w:t>
            </w:r>
            <w:proofErr w:type="spellStart"/>
            <w:r w:rsidRPr="00112681">
              <w:rPr>
                <w:rFonts w:cstheme="minorHAnsi"/>
                <w:sz w:val="18"/>
                <w:szCs w:val="18"/>
              </w:rPr>
              <w:t>Garvelink</w:t>
            </w:r>
            <w:proofErr w:type="spellEnd"/>
            <w:r w:rsidRPr="00112681">
              <w:rPr>
                <w:rFonts w:cstheme="minorHAnsi"/>
                <w:sz w:val="18"/>
                <w:szCs w:val="18"/>
              </w:rPr>
              <w:t xml:space="preserve"> et al, 2016) (intervention) or not (control). </w:t>
            </w:r>
          </w:p>
          <w:p w14:paraId="5FB8E6BC" w14:textId="77777777" w:rsidR="002E0B5D" w:rsidRPr="00112681" w:rsidRDefault="002E0B5D" w:rsidP="00771B9F">
            <w:pPr>
              <w:autoSpaceDE w:val="0"/>
              <w:autoSpaceDN w:val="0"/>
              <w:adjustRightInd w:val="0"/>
              <w:rPr>
                <w:rFonts w:cstheme="minorHAnsi"/>
                <w:sz w:val="18"/>
                <w:szCs w:val="18"/>
              </w:rPr>
            </w:pPr>
          </w:p>
          <w:p w14:paraId="4A65EE54" w14:textId="45CD5216" w:rsidR="00047A7A" w:rsidRDefault="002E0B5D" w:rsidP="00771B9F">
            <w:pPr>
              <w:autoSpaceDE w:val="0"/>
              <w:autoSpaceDN w:val="0"/>
              <w:adjustRightInd w:val="0"/>
              <w:rPr>
                <w:rFonts w:cstheme="minorHAnsi"/>
                <w:sz w:val="18"/>
                <w:szCs w:val="18"/>
              </w:rPr>
            </w:pPr>
            <w:r>
              <w:rPr>
                <w:rFonts w:cstheme="minorHAnsi"/>
                <w:sz w:val="18"/>
                <w:szCs w:val="18"/>
              </w:rPr>
              <w:t>P</w:t>
            </w:r>
            <w:r w:rsidRPr="00112681">
              <w:rPr>
                <w:rFonts w:cstheme="minorHAnsi"/>
                <w:sz w:val="18"/>
                <w:szCs w:val="18"/>
              </w:rPr>
              <w:t>rimary outcome</w:t>
            </w:r>
            <w:r>
              <w:rPr>
                <w:rFonts w:cstheme="minorHAnsi"/>
                <w:sz w:val="18"/>
                <w:szCs w:val="18"/>
              </w:rPr>
              <w:t>:</w:t>
            </w:r>
            <w:r w:rsidRPr="00112681">
              <w:rPr>
                <w:rFonts w:cstheme="minorHAnsi"/>
                <w:sz w:val="18"/>
                <w:szCs w:val="18"/>
              </w:rPr>
              <w:t xml:space="preserve"> proportion of caregivers </w:t>
            </w:r>
            <w:r>
              <w:rPr>
                <w:rFonts w:cstheme="minorHAnsi"/>
                <w:sz w:val="18"/>
                <w:szCs w:val="18"/>
              </w:rPr>
              <w:t xml:space="preserve">of cognitively impaired older </w:t>
            </w:r>
            <w:r w:rsidR="00047A7A">
              <w:rPr>
                <w:rFonts w:cstheme="minorHAnsi"/>
                <w:sz w:val="18"/>
                <w:szCs w:val="18"/>
              </w:rPr>
              <w:t xml:space="preserve">people </w:t>
            </w:r>
            <w:r w:rsidRPr="00112681">
              <w:rPr>
                <w:rFonts w:cstheme="minorHAnsi"/>
                <w:sz w:val="18"/>
                <w:szCs w:val="18"/>
              </w:rPr>
              <w:t>reporting an active role in decision making</w:t>
            </w:r>
            <w:r w:rsidR="00946BEA">
              <w:rPr>
                <w:rFonts w:cstheme="minorHAnsi"/>
                <w:sz w:val="18"/>
                <w:szCs w:val="18"/>
              </w:rPr>
              <w:t xml:space="preserve"> (</w:t>
            </w:r>
            <w:r w:rsidRPr="00112681">
              <w:rPr>
                <w:rFonts w:cstheme="minorHAnsi"/>
                <w:sz w:val="18"/>
                <w:szCs w:val="18"/>
              </w:rPr>
              <w:t xml:space="preserve">measured </w:t>
            </w:r>
            <w:r w:rsidR="00946BEA">
              <w:rPr>
                <w:rFonts w:cstheme="minorHAnsi"/>
                <w:sz w:val="18"/>
                <w:szCs w:val="18"/>
              </w:rPr>
              <w:t xml:space="preserve">by </w:t>
            </w:r>
            <w:r w:rsidRPr="00112681">
              <w:rPr>
                <w:rFonts w:cstheme="minorHAnsi"/>
                <w:sz w:val="18"/>
                <w:szCs w:val="18"/>
              </w:rPr>
              <w:t>modified Control Preference Scale</w:t>
            </w:r>
            <w:r w:rsidR="00946BEA">
              <w:rPr>
                <w:rFonts w:cstheme="minorHAnsi"/>
                <w:sz w:val="18"/>
                <w:szCs w:val="18"/>
              </w:rPr>
              <w:t>)</w:t>
            </w:r>
            <w:r w:rsidRPr="00112681">
              <w:rPr>
                <w:rFonts w:cstheme="minorHAnsi"/>
                <w:sz w:val="18"/>
                <w:szCs w:val="18"/>
              </w:rPr>
              <w:t xml:space="preserve">. </w:t>
            </w:r>
          </w:p>
          <w:p w14:paraId="5378B301" w14:textId="0D2E75B2" w:rsidR="002E0B5D" w:rsidRPr="00112681" w:rsidRDefault="002E0B5D" w:rsidP="00771B9F">
            <w:pPr>
              <w:autoSpaceDE w:val="0"/>
              <w:autoSpaceDN w:val="0"/>
              <w:adjustRightInd w:val="0"/>
              <w:rPr>
                <w:rFonts w:cstheme="minorHAnsi"/>
                <w:color w:val="000000"/>
                <w:sz w:val="18"/>
                <w:szCs w:val="18"/>
              </w:rPr>
            </w:pPr>
            <w:r w:rsidRPr="00112681">
              <w:rPr>
                <w:rFonts w:cstheme="minorHAnsi"/>
                <w:sz w:val="18"/>
                <w:szCs w:val="18"/>
              </w:rPr>
              <w:t>Secondary outcome: preferred health-related housing option and actual health-related housing</w:t>
            </w:r>
            <w:r>
              <w:rPr>
                <w:rFonts w:cstheme="minorHAnsi"/>
                <w:sz w:val="18"/>
                <w:szCs w:val="18"/>
              </w:rPr>
              <w:t xml:space="preserve"> d</w:t>
            </w:r>
            <w:r w:rsidRPr="00112681">
              <w:rPr>
                <w:rFonts w:cstheme="minorHAnsi"/>
                <w:sz w:val="18"/>
                <w:szCs w:val="18"/>
              </w:rPr>
              <w:t>ecision</w:t>
            </w:r>
            <w:r>
              <w:rPr>
                <w:rFonts w:cstheme="minorHAnsi"/>
                <w:sz w:val="18"/>
                <w:szCs w:val="18"/>
              </w:rPr>
              <w:t xml:space="preserve"> </w:t>
            </w:r>
            <w:r w:rsidRPr="00112681">
              <w:rPr>
                <w:rFonts w:cstheme="minorHAnsi"/>
                <w:sz w:val="18"/>
                <w:szCs w:val="18"/>
              </w:rPr>
              <w:t>(remain at home or move to a care facility).</w:t>
            </w:r>
            <w:r w:rsidRPr="00112681">
              <w:rPr>
                <w:rFonts w:cstheme="minorHAnsi"/>
                <w:color w:val="000000"/>
                <w:sz w:val="18"/>
                <w:szCs w:val="18"/>
              </w:rPr>
              <w:t xml:space="preserve"> </w:t>
            </w:r>
          </w:p>
          <w:p w14:paraId="58781F1A" w14:textId="77777777" w:rsidR="002E0B5D" w:rsidRPr="00112681" w:rsidRDefault="002E0B5D" w:rsidP="00771B9F">
            <w:pPr>
              <w:autoSpaceDE w:val="0"/>
              <w:autoSpaceDN w:val="0"/>
              <w:adjustRightInd w:val="0"/>
              <w:rPr>
                <w:rFonts w:cstheme="minorHAnsi"/>
                <w:sz w:val="18"/>
                <w:szCs w:val="18"/>
              </w:rPr>
            </w:pPr>
          </w:p>
        </w:tc>
        <w:tc>
          <w:tcPr>
            <w:tcW w:w="2835" w:type="dxa"/>
            <w:tcBorders>
              <w:bottom w:val="single" w:sz="4" w:space="0" w:color="auto"/>
            </w:tcBorders>
          </w:tcPr>
          <w:p w14:paraId="236EC468" w14:textId="0D52D6CB" w:rsidR="00047A7A" w:rsidRDefault="002E0B5D" w:rsidP="00771B9F">
            <w:pPr>
              <w:autoSpaceDE w:val="0"/>
              <w:autoSpaceDN w:val="0"/>
              <w:adjustRightInd w:val="0"/>
              <w:rPr>
                <w:rFonts w:cstheme="minorHAnsi"/>
                <w:sz w:val="18"/>
                <w:szCs w:val="18"/>
              </w:rPr>
            </w:pPr>
            <w:r w:rsidRPr="00112681">
              <w:rPr>
                <w:rFonts w:cstheme="minorHAnsi"/>
                <w:sz w:val="18"/>
                <w:szCs w:val="18"/>
              </w:rPr>
              <w:t>Consecutive enrolment of a random group of 16 health centres</w:t>
            </w:r>
            <w:r w:rsidR="00047A7A">
              <w:rPr>
                <w:rFonts w:cstheme="minorHAnsi"/>
                <w:sz w:val="18"/>
                <w:szCs w:val="18"/>
              </w:rPr>
              <w:t>.</w:t>
            </w:r>
            <w:r w:rsidRPr="00112681">
              <w:rPr>
                <w:rFonts w:cstheme="minorHAnsi"/>
                <w:sz w:val="18"/>
                <w:szCs w:val="18"/>
              </w:rPr>
              <w:t xml:space="preserve"> 309 caregivers</w:t>
            </w:r>
            <w:r w:rsidR="00047A7A" w:rsidRPr="00112681">
              <w:rPr>
                <w:rFonts w:cstheme="minorHAnsi"/>
                <w:sz w:val="18"/>
                <w:szCs w:val="18"/>
              </w:rPr>
              <w:t xml:space="preserve"> recruited</w:t>
            </w:r>
            <w:r w:rsidRPr="00112681">
              <w:rPr>
                <w:rFonts w:cstheme="minorHAnsi"/>
                <w:sz w:val="18"/>
                <w:szCs w:val="18"/>
              </w:rPr>
              <w:t>, 296 included in analysis</w:t>
            </w:r>
            <w:r w:rsidR="00047A7A">
              <w:rPr>
                <w:rFonts w:cstheme="minorHAnsi"/>
                <w:sz w:val="18"/>
                <w:szCs w:val="18"/>
              </w:rPr>
              <w:t>.</w:t>
            </w:r>
          </w:p>
          <w:p w14:paraId="134E1E50" w14:textId="71E02C90" w:rsidR="002E0B5D" w:rsidRPr="00112681" w:rsidRDefault="002E0B5D" w:rsidP="00771B9F">
            <w:pPr>
              <w:autoSpaceDE w:val="0"/>
              <w:autoSpaceDN w:val="0"/>
              <w:adjustRightInd w:val="0"/>
              <w:rPr>
                <w:rFonts w:cstheme="minorHAnsi"/>
                <w:sz w:val="18"/>
                <w:szCs w:val="18"/>
              </w:rPr>
            </w:pPr>
            <w:r w:rsidRPr="00112681">
              <w:rPr>
                <w:rFonts w:cstheme="minorHAnsi"/>
                <w:color w:val="000000"/>
                <w:sz w:val="18"/>
                <w:szCs w:val="18"/>
              </w:rPr>
              <w:t>Median age of caregivers 6</w:t>
            </w:r>
            <w:r w:rsidR="00047A7A">
              <w:rPr>
                <w:rFonts w:cstheme="minorHAnsi"/>
                <w:color w:val="000000"/>
                <w:sz w:val="18"/>
                <w:szCs w:val="18"/>
              </w:rPr>
              <w:t>1</w:t>
            </w:r>
            <w:r w:rsidRPr="00112681">
              <w:rPr>
                <w:rFonts w:cstheme="minorHAnsi"/>
                <w:color w:val="000000"/>
                <w:sz w:val="18"/>
                <w:szCs w:val="18"/>
              </w:rPr>
              <w:t xml:space="preserve"> years (IQR: 54–</w:t>
            </w:r>
            <w:r w:rsidR="00047A7A">
              <w:rPr>
                <w:rFonts w:cstheme="minorHAnsi"/>
                <w:color w:val="000000"/>
                <w:sz w:val="18"/>
                <w:szCs w:val="18"/>
              </w:rPr>
              <w:t>70</w:t>
            </w:r>
            <w:r w:rsidRPr="00112681">
              <w:rPr>
                <w:rFonts w:cstheme="minorHAnsi"/>
                <w:color w:val="000000"/>
                <w:sz w:val="18"/>
                <w:szCs w:val="18"/>
              </w:rPr>
              <w:t xml:space="preserve">); </w:t>
            </w:r>
            <w:r w:rsidR="00047A7A">
              <w:rPr>
                <w:rFonts w:cstheme="minorHAnsi"/>
                <w:color w:val="000000"/>
                <w:sz w:val="18"/>
                <w:szCs w:val="18"/>
              </w:rPr>
              <w:t xml:space="preserve">female </w:t>
            </w:r>
            <w:r w:rsidRPr="00112681">
              <w:rPr>
                <w:rFonts w:cstheme="minorHAnsi"/>
                <w:color w:val="000000"/>
                <w:sz w:val="18"/>
                <w:szCs w:val="18"/>
              </w:rPr>
              <w:t>7</w:t>
            </w:r>
            <w:r w:rsidR="00047A7A">
              <w:rPr>
                <w:rFonts w:cstheme="minorHAnsi"/>
                <w:color w:val="000000"/>
                <w:sz w:val="18"/>
                <w:szCs w:val="18"/>
              </w:rPr>
              <w:t>5</w:t>
            </w:r>
            <w:r w:rsidRPr="00112681">
              <w:rPr>
                <w:rFonts w:cstheme="minorHAnsi"/>
                <w:color w:val="000000"/>
                <w:sz w:val="18"/>
                <w:szCs w:val="18"/>
              </w:rPr>
              <w:t xml:space="preserve">%; </w:t>
            </w:r>
            <w:r w:rsidR="00047A7A" w:rsidRPr="00112681">
              <w:rPr>
                <w:rFonts w:cstheme="minorHAnsi"/>
                <w:color w:val="000000"/>
                <w:sz w:val="18"/>
                <w:szCs w:val="18"/>
              </w:rPr>
              <w:t xml:space="preserve">married or living with a partner </w:t>
            </w:r>
            <w:r w:rsidRPr="00112681">
              <w:rPr>
                <w:rFonts w:cstheme="minorHAnsi"/>
                <w:color w:val="000000"/>
                <w:sz w:val="18"/>
                <w:szCs w:val="18"/>
              </w:rPr>
              <w:t xml:space="preserve">77%; </w:t>
            </w:r>
            <w:r w:rsidR="00047A7A" w:rsidRPr="00112681">
              <w:rPr>
                <w:rFonts w:cstheme="minorHAnsi"/>
                <w:color w:val="000000"/>
                <w:sz w:val="18"/>
                <w:szCs w:val="18"/>
              </w:rPr>
              <w:t xml:space="preserve">retired </w:t>
            </w:r>
            <w:r w:rsidRPr="00112681">
              <w:rPr>
                <w:rFonts w:cstheme="minorHAnsi"/>
                <w:color w:val="000000"/>
                <w:sz w:val="18"/>
                <w:szCs w:val="18"/>
              </w:rPr>
              <w:t>50%</w:t>
            </w:r>
            <w:r w:rsidR="00047A7A">
              <w:rPr>
                <w:rFonts w:cstheme="minorHAnsi"/>
                <w:color w:val="000000"/>
                <w:sz w:val="18"/>
                <w:szCs w:val="18"/>
              </w:rPr>
              <w:t>; e</w:t>
            </w:r>
            <w:r w:rsidRPr="00112681">
              <w:rPr>
                <w:rFonts w:cstheme="minorHAnsi"/>
                <w:color w:val="000000"/>
                <w:sz w:val="18"/>
                <w:szCs w:val="18"/>
              </w:rPr>
              <w:t>thnicity not reported.</w:t>
            </w:r>
          </w:p>
        </w:tc>
        <w:tc>
          <w:tcPr>
            <w:tcW w:w="4394" w:type="dxa"/>
            <w:tcBorders>
              <w:bottom w:val="single" w:sz="4" w:space="0" w:color="auto"/>
            </w:tcBorders>
          </w:tcPr>
          <w:p w14:paraId="36ED8BD3" w14:textId="11C34465" w:rsidR="002E0B5D" w:rsidRPr="00543FE4" w:rsidRDefault="002E0B5D" w:rsidP="000C0B1E">
            <w:pPr>
              <w:pStyle w:val="ListParagraph"/>
              <w:numPr>
                <w:ilvl w:val="0"/>
                <w:numId w:val="24"/>
              </w:numPr>
              <w:autoSpaceDE w:val="0"/>
              <w:autoSpaceDN w:val="0"/>
              <w:adjustRightInd w:val="0"/>
              <w:rPr>
                <w:rFonts w:cstheme="minorHAnsi"/>
                <w:sz w:val="18"/>
                <w:szCs w:val="18"/>
              </w:rPr>
            </w:pPr>
            <w:r w:rsidRPr="00543FE4">
              <w:rPr>
                <w:rFonts w:cstheme="minorHAnsi"/>
                <w:sz w:val="18"/>
                <w:szCs w:val="18"/>
              </w:rPr>
              <w:t xml:space="preserve">Primary outcome: </w:t>
            </w:r>
            <w:r w:rsidR="00D41116" w:rsidRPr="00543FE4">
              <w:rPr>
                <w:rFonts w:cstheme="minorHAnsi"/>
                <w:sz w:val="18"/>
                <w:szCs w:val="18"/>
              </w:rPr>
              <w:t>I</w:t>
            </w:r>
            <w:r w:rsidRPr="00543FE4">
              <w:rPr>
                <w:rFonts w:cstheme="minorHAnsi"/>
                <w:sz w:val="18"/>
                <w:szCs w:val="18"/>
              </w:rPr>
              <w:t xml:space="preserve">ntervention increased the proportion of caregivers who reported an active role in the decision making by 12% (95% CI: −2% to 27%; </w:t>
            </w:r>
            <w:r w:rsidRPr="00543FE4">
              <w:rPr>
                <w:rFonts w:cstheme="minorHAnsi"/>
                <w:i/>
                <w:iCs/>
                <w:sz w:val="18"/>
                <w:szCs w:val="18"/>
              </w:rPr>
              <w:t xml:space="preserve">p </w:t>
            </w:r>
            <w:r w:rsidRPr="00543FE4">
              <w:rPr>
                <w:rFonts w:cstheme="minorHAnsi"/>
                <w:sz w:val="18"/>
                <w:szCs w:val="18"/>
              </w:rPr>
              <w:t xml:space="preserve">= .10). Sensitivity analysis to remove between cluster variance suggested intervention increased the proportion of caregivers reporting an active or collaborative role during decision making from 12% to 18% (95% CI: 7%–29%; </w:t>
            </w:r>
            <w:r w:rsidRPr="00543FE4">
              <w:rPr>
                <w:rFonts w:cstheme="minorHAnsi"/>
                <w:i/>
                <w:iCs/>
                <w:sz w:val="18"/>
                <w:szCs w:val="18"/>
              </w:rPr>
              <w:t xml:space="preserve">p </w:t>
            </w:r>
            <w:r w:rsidRPr="00543FE4">
              <w:rPr>
                <w:rFonts w:cstheme="minorHAnsi"/>
                <w:sz w:val="18"/>
                <w:szCs w:val="18"/>
              </w:rPr>
              <w:t>&lt; .01).</w:t>
            </w:r>
          </w:p>
          <w:p w14:paraId="48247ADC" w14:textId="3DC0B0CC" w:rsidR="002E0B5D" w:rsidRPr="00A82E00" w:rsidRDefault="00543FE4" w:rsidP="00A82E00">
            <w:pPr>
              <w:pStyle w:val="ListParagraph"/>
              <w:numPr>
                <w:ilvl w:val="0"/>
                <w:numId w:val="25"/>
              </w:numPr>
              <w:autoSpaceDE w:val="0"/>
              <w:autoSpaceDN w:val="0"/>
              <w:adjustRightInd w:val="0"/>
              <w:rPr>
                <w:rFonts w:cstheme="minorHAnsi"/>
                <w:sz w:val="18"/>
                <w:szCs w:val="18"/>
              </w:rPr>
            </w:pPr>
            <w:r w:rsidRPr="00112681">
              <w:rPr>
                <w:rFonts w:cstheme="minorHAnsi"/>
                <w:sz w:val="18"/>
                <w:szCs w:val="18"/>
              </w:rPr>
              <w:t xml:space="preserve">Secondary outcome: </w:t>
            </w:r>
            <w:r w:rsidR="00D41116">
              <w:rPr>
                <w:rFonts w:cstheme="minorHAnsi"/>
                <w:sz w:val="18"/>
                <w:szCs w:val="18"/>
              </w:rPr>
              <w:t>I</w:t>
            </w:r>
            <w:r w:rsidR="002E0B5D" w:rsidRPr="00A82E00">
              <w:rPr>
                <w:rFonts w:cstheme="minorHAnsi"/>
                <w:sz w:val="18"/>
                <w:szCs w:val="18"/>
              </w:rPr>
              <w:t>ntervention showed no effect on caregivers</w:t>
            </w:r>
            <w:r w:rsidR="00D41116">
              <w:rPr>
                <w:rFonts w:cstheme="minorHAnsi"/>
                <w:sz w:val="18"/>
                <w:szCs w:val="18"/>
              </w:rPr>
              <w:t>’</w:t>
            </w:r>
            <w:r w:rsidR="002E0B5D" w:rsidRPr="00A82E00">
              <w:rPr>
                <w:rFonts w:cstheme="minorHAnsi"/>
                <w:sz w:val="18"/>
                <w:szCs w:val="18"/>
              </w:rPr>
              <w:t xml:space="preserve"> preferred health-related housing option, decision made, decisional conflict, decision regret or burden of care as perceived by caregivers.</w:t>
            </w:r>
          </w:p>
        </w:tc>
      </w:tr>
    </w:tbl>
    <w:p w14:paraId="1C8A4B25" w14:textId="3088F5D4" w:rsidR="002E0B5D" w:rsidRDefault="002E0B5D" w:rsidP="00771B9F">
      <w:pPr>
        <w:sectPr w:rsidR="002E0B5D" w:rsidSect="00771B9F">
          <w:pgSz w:w="16838" w:h="11906" w:orient="landscape"/>
          <w:pgMar w:top="1440" w:right="1440" w:bottom="1440" w:left="1440" w:header="709" w:footer="709" w:gutter="0"/>
          <w:cols w:space="708"/>
          <w:docGrid w:linePitch="360"/>
        </w:sectPr>
      </w:pPr>
    </w:p>
    <w:p w14:paraId="007185A4" w14:textId="6114C0E9" w:rsidR="002E0B5D" w:rsidRPr="00107E3D" w:rsidRDefault="002E0B5D" w:rsidP="00771B9F">
      <w:pPr>
        <w:rPr>
          <w:rFonts w:cstheme="minorHAnsi"/>
          <w:b/>
          <w:sz w:val="24"/>
          <w:szCs w:val="24"/>
        </w:rPr>
      </w:pPr>
      <w:r w:rsidRPr="00107E3D">
        <w:rPr>
          <w:rFonts w:cstheme="minorHAnsi"/>
          <w:b/>
          <w:sz w:val="24"/>
          <w:szCs w:val="24"/>
        </w:rPr>
        <w:lastRenderedPageBreak/>
        <w:t xml:space="preserve">Table </w:t>
      </w:r>
      <w:r w:rsidR="00AF5665">
        <w:rPr>
          <w:rFonts w:cstheme="minorHAnsi"/>
          <w:b/>
          <w:sz w:val="24"/>
          <w:szCs w:val="24"/>
        </w:rPr>
        <w:t>5</w:t>
      </w:r>
      <w:r w:rsidRPr="00107E3D">
        <w:rPr>
          <w:rFonts w:cstheme="minorHAnsi"/>
          <w:b/>
          <w:sz w:val="24"/>
          <w:szCs w:val="24"/>
        </w:rPr>
        <w:t>: Resources offered on third sector/qu</w:t>
      </w:r>
      <w:r>
        <w:rPr>
          <w:rFonts w:cstheme="minorHAnsi"/>
          <w:b/>
          <w:sz w:val="24"/>
          <w:szCs w:val="24"/>
        </w:rPr>
        <w:t>a</w:t>
      </w:r>
      <w:r w:rsidRPr="00107E3D">
        <w:rPr>
          <w:rFonts w:cstheme="minorHAnsi"/>
          <w:b/>
          <w:sz w:val="24"/>
          <w:szCs w:val="24"/>
        </w:rPr>
        <w:t xml:space="preserve">si-governmental and local council websites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2429"/>
        <w:gridCol w:w="2120"/>
      </w:tblGrid>
      <w:tr w:rsidR="002E0B5D" w:rsidRPr="00107E3D" w14:paraId="23299994" w14:textId="77777777" w:rsidTr="00771B9F">
        <w:tc>
          <w:tcPr>
            <w:tcW w:w="4467" w:type="dxa"/>
            <w:tcBorders>
              <w:top w:val="single" w:sz="4" w:space="0" w:color="auto"/>
              <w:bottom w:val="single" w:sz="4" w:space="0" w:color="auto"/>
            </w:tcBorders>
          </w:tcPr>
          <w:p w14:paraId="1E2084BA" w14:textId="368D84D3" w:rsidR="002E0B5D" w:rsidRPr="00107E3D" w:rsidRDefault="002E0B5D" w:rsidP="00771B9F">
            <w:pPr>
              <w:rPr>
                <w:rFonts w:cstheme="minorHAnsi"/>
                <w:b/>
                <w:sz w:val="24"/>
                <w:szCs w:val="24"/>
              </w:rPr>
            </w:pPr>
            <w:r w:rsidRPr="00107E3D">
              <w:rPr>
                <w:rFonts w:cstheme="minorHAnsi"/>
                <w:b/>
                <w:sz w:val="24"/>
                <w:szCs w:val="24"/>
              </w:rPr>
              <w:t xml:space="preserve">Resources </w:t>
            </w:r>
            <w:r w:rsidR="0001037F">
              <w:rPr>
                <w:rFonts w:cstheme="minorHAnsi"/>
                <w:b/>
                <w:sz w:val="24"/>
                <w:szCs w:val="24"/>
              </w:rPr>
              <w:t>identified</w:t>
            </w:r>
          </w:p>
        </w:tc>
        <w:tc>
          <w:tcPr>
            <w:tcW w:w="4549" w:type="dxa"/>
            <w:gridSpan w:val="2"/>
            <w:tcBorders>
              <w:top w:val="single" w:sz="4" w:space="0" w:color="auto"/>
              <w:bottom w:val="single" w:sz="4" w:space="0" w:color="auto"/>
            </w:tcBorders>
          </w:tcPr>
          <w:p w14:paraId="60908420" w14:textId="2537990E" w:rsidR="002E0B5D" w:rsidRPr="00107E3D" w:rsidRDefault="002E0B5D" w:rsidP="00771B9F">
            <w:pPr>
              <w:jc w:val="center"/>
              <w:rPr>
                <w:rFonts w:cstheme="minorHAnsi"/>
                <w:b/>
                <w:sz w:val="24"/>
                <w:szCs w:val="24"/>
              </w:rPr>
            </w:pPr>
            <w:r w:rsidRPr="00107E3D">
              <w:rPr>
                <w:rFonts w:cstheme="minorHAnsi"/>
                <w:b/>
                <w:sz w:val="24"/>
                <w:szCs w:val="24"/>
              </w:rPr>
              <w:t xml:space="preserve">Number websites </w:t>
            </w:r>
            <w:r w:rsidR="0001037F">
              <w:rPr>
                <w:rFonts w:cstheme="minorHAnsi"/>
                <w:b/>
                <w:sz w:val="24"/>
                <w:szCs w:val="24"/>
              </w:rPr>
              <w:t xml:space="preserve">identified as </w:t>
            </w:r>
            <w:r w:rsidRPr="00107E3D">
              <w:rPr>
                <w:rFonts w:cstheme="minorHAnsi"/>
                <w:b/>
                <w:sz w:val="24"/>
                <w:szCs w:val="24"/>
              </w:rPr>
              <w:t>offering this type of resource</w:t>
            </w:r>
          </w:p>
        </w:tc>
      </w:tr>
      <w:tr w:rsidR="002E0B5D" w:rsidRPr="00107E3D" w14:paraId="7000E501" w14:textId="77777777" w:rsidTr="00771B9F">
        <w:tc>
          <w:tcPr>
            <w:tcW w:w="4467" w:type="dxa"/>
            <w:tcBorders>
              <w:top w:val="single" w:sz="4" w:space="0" w:color="auto"/>
              <w:bottom w:val="single" w:sz="4" w:space="0" w:color="auto"/>
            </w:tcBorders>
          </w:tcPr>
          <w:p w14:paraId="0DF58BC0" w14:textId="77777777" w:rsidR="002E0B5D" w:rsidRPr="00107E3D" w:rsidRDefault="002E0B5D" w:rsidP="00771B9F">
            <w:pPr>
              <w:rPr>
                <w:rFonts w:cstheme="minorHAnsi"/>
                <w:sz w:val="24"/>
                <w:szCs w:val="24"/>
              </w:rPr>
            </w:pPr>
          </w:p>
        </w:tc>
        <w:tc>
          <w:tcPr>
            <w:tcW w:w="2429" w:type="dxa"/>
            <w:tcBorders>
              <w:top w:val="single" w:sz="4" w:space="0" w:color="auto"/>
              <w:bottom w:val="single" w:sz="4" w:space="0" w:color="auto"/>
            </w:tcBorders>
          </w:tcPr>
          <w:p w14:paraId="1FFEF515" w14:textId="77777777" w:rsidR="002E0B5D" w:rsidRPr="00107E3D" w:rsidRDefault="002E0B5D" w:rsidP="00771B9F">
            <w:pPr>
              <w:jc w:val="center"/>
              <w:rPr>
                <w:rFonts w:cstheme="minorHAnsi"/>
                <w:sz w:val="24"/>
                <w:szCs w:val="24"/>
              </w:rPr>
            </w:pPr>
            <w:r w:rsidRPr="00107E3D">
              <w:rPr>
                <w:rFonts w:cstheme="minorHAnsi"/>
                <w:sz w:val="24"/>
                <w:szCs w:val="24"/>
              </w:rPr>
              <w:t>Third sector/quasi-governmental</w:t>
            </w:r>
          </w:p>
        </w:tc>
        <w:tc>
          <w:tcPr>
            <w:tcW w:w="2120" w:type="dxa"/>
            <w:tcBorders>
              <w:top w:val="single" w:sz="4" w:space="0" w:color="auto"/>
              <w:bottom w:val="single" w:sz="4" w:space="0" w:color="auto"/>
            </w:tcBorders>
          </w:tcPr>
          <w:p w14:paraId="130CE02D" w14:textId="77777777" w:rsidR="002E0B5D" w:rsidRPr="00107E3D" w:rsidRDefault="002E0B5D" w:rsidP="00771B9F">
            <w:pPr>
              <w:jc w:val="center"/>
              <w:rPr>
                <w:rFonts w:cstheme="minorHAnsi"/>
                <w:sz w:val="24"/>
                <w:szCs w:val="24"/>
              </w:rPr>
            </w:pPr>
            <w:r w:rsidRPr="00107E3D">
              <w:rPr>
                <w:rFonts w:cstheme="minorHAnsi"/>
                <w:sz w:val="24"/>
                <w:szCs w:val="24"/>
              </w:rPr>
              <w:t>Local council</w:t>
            </w:r>
          </w:p>
        </w:tc>
      </w:tr>
      <w:tr w:rsidR="002E0B5D" w:rsidRPr="00107E3D" w14:paraId="4EB29313" w14:textId="77777777" w:rsidTr="00771B9F">
        <w:tc>
          <w:tcPr>
            <w:tcW w:w="4467" w:type="dxa"/>
            <w:tcBorders>
              <w:top w:val="single" w:sz="4" w:space="0" w:color="auto"/>
            </w:tcBorders>
          </w:tcPr>
          <w:p w14:paraId="6D5E3C37" w14:textId="77777777" w:rsidR="002E0B5D" w:rsidRPr="00107E3D" w:rsidRDefault="002E0B5D" w:rsidP="00771B9F">
            <w:pPr>
              <w:rPr>
                <w:rFonts w:cstheme="minorHAnsi"/>
                <w:sz w:val="24"/>
                <w:szCs w:val="24"/>
              </w:rPr>
            </w:pPr>
            <w:r w:rsidRPr="00107E3D">
              <w:rPr>
                <w:rFonts w:cstheme="minorHAnsi"/>
                <w:sz w:val="24"/>
                <w:szCs w:val="24"/>
              </w:rPr>
              <w:t>Housing Options for Older People (HOOP) interactive tool.</w:t>
            </w:r>
          </w:p>
        </w:tc>
        <w:tc>
          <w:tcPr>
            <w:tcW w:w="2429" w:type="dxa"/>
            <w:tcBorders>
              <w:top w:val="single" w:sz="4" w:space="0" w:color="auto"/>
            </w:tcBorders>
          </w:tcPr>
          <w:p w14:paraId="5338F6B3" w14:textId="6E2D6466" w:rsidR="002E0B5D" w:rsidRPr="00107E3D" w:rsidRDefault="0001037F" w:rsidP="00771B9F">
            <w:pPr>
              <w:jc w:val="center"/>
              <w:rPr>
                <w:rFonts w:cstheme="minorHAnsi"/>
                <w:sz w:val="24"/>
                <w:szCs w:val="24"/>
              </w:rPr>
            </w:pPr>
            <w:r>
              <w:rPr>
                <w:rFonts w:cstheme="minorHAnsi"/>
                <w:sz w:val="24"/>
                <w:szCs w:val="24"/>
              </w:rPr>
              <w:t>3</w:t>
            </w:r>
          </w:p>
        </w:tc>
        <w:tc>
          <w:tcPr>
            <w:tcW w:w="2120" w:type="dxa"/>
            <w:tcBorders>
              <w:top w:val="single" w:sz="4" w:space="0" w:color="auto"/>
            </w:tcBorders>
          </w:tcPr>
          <w:p w14:paraId="4B5D2072" w14:textId="5E717D69" w:rsidR="002E0B5D" w:rsidRPr="00107E3D" w:rsidRDefault="0001037F" w:rsidP="00771B9F">
            <w:pPr>
              <w:jc w:val="center"/>
              <w:rPr>
                <w:rFonts w:cstheme="minorHAnsi"/>
                <w:sz w:val="24"/>
                <w:szCs w:val="24"/>
              </w:rPr>
            </w:pPr>
            <w:r>
              <w:rPr>
                <w:rFonts w:cstheme="minorHAnsi"/>
                <w:sz w:val="24"/>
                <w:szCs w:val="24"/>
              </w:rPr>
              <w:t>5</w:t>
            </w:r>
          </w:p>
        </w:tc>
      </w:tr>
      <w:tr w:rsidR="002E0B5D" w:rsidRPr="00107E3D" w14:paraId="2A695196" w14:textId="77777777" w:rsidTr="00771B9F">
        <w:tc>
          <w:tcPr>
            <w:tcW w:w="4467" w:type="dxa"/>
          </w:tcPr>
          <w:p w14:paraId="33C11BB1" w14:textId="77777777" w:rsidR="002E0B5D" w:rsidRPr="00107E3D" w:rsidRDefault="002E0B5D" w:rsidP="00771B9F">
            <w:pPr>
              <w:rPr>
                <w:rFonts w:cstheme="minorHAnsi"/>
                <w:sz w:val="24"/>
                <w:szCs w:val="24"/>
              </w:rPr>
            </w:pPr>
            <w:r w:rsidRPr="00107E3D">
              <w:rPr>
                <w:rFonts w:cstheme="minorHAnsi"/>
                <w:sz w:val="24"/>
                <w:szCs w:val="24"/>
              </w:rPr>
              <w:t>Cost calculator</w:t>
            </w:r>
          </w:p>
        </w:tc>
        <w:tc>
          <w:tcPr>
            <w:tcW w:w="2429" w:type="dxa"/>
          </w:tcPr>
          <w:p w14:paraId="12501C56" w14:textId="77777777" w:rsidR="002E0B5D" w:rsidRPr="00107E3D" w:rsidRDefault="002E0B5D" w:rsidP="00771B9F">
            <w:pPr>
              <w:jc w:val="center"/>
              <w:rPr>
                <w:rFonts w:cstheme="minorHAnsi"/>
                <w:sz w:val="24"/>
                <w:szCs w:val="24"/>
              </w:rPr>
            </w:pPr>
            <w:r w:rsidRPr="00107E3D">
              <w:rPr>
                <w:rFonts w:cstheme="minorHAnsi"/>
                <w:sz w:val="24"/>
                <w:szCs w:val="24"/>
              </w:rPr>
              <w:t>2</w:t>
            </w:r>
          </w:p>
        </w:tc>
        <w:tc>
          <w:tcPr>
            <w:tcW w:w="2120" w:type="dxa"/>
          </w:tcPr>
          <w:p w14:paraId="265BCA36" w14:textId="77777777" w:rsidR="002E0B5D" w:rsidRPr="00107E3D" w:rsidRDefault="002E0B5D" w:rsidP="00771B9F">
            <w:pPr>
              <w:jc w:val="center"/>
              <w:rPr>
                <w:rFonts w:cstheme="minorHAnsi"/>
                <w:sz w:val="24"/>
                <w:szCs w:val="24"/>
              </w:rPr>
            </w:pPr>
            <w:r w:rsidRPr="00107E3D">
              <w:rPr>
                <w:rFonts w:cstheme="minorHAnsi"/>
                <w:sz w:val="24"/>
                <w:szCs w:val="24"/>
              </w:rPr>
              <w:t>1</w:t>
            </w:r>
          </w:p>
        </w:tc>
      </w:tr>
      <w:tr w:rsidR="002E0B5D" w:rsidRPr="00107E3D" w14:paraId="464D8823" w14:textId="77777777" w:rsidTr="00771B9F">
        <w:tc>
          <w:tcPr>
            <w:tcW w:w="4467" w:type="dxa"/>
          </w:tcPr>
          <w:p w14:paraId="56B19BA9" w14:textId="77777777" w:rsidR="002E0B5D" w:rsidRPr="00107E3D" w:rsidRDefault="002E0B5D" w:rsidP="00771B9F">
            <w:pPr>
              <w:rPr>
                <w:rFonts w:cstheme="minorHAnsi"/>
                <w:sz w:val="24"/>
                <w:szCs w:val="24"/>
              </w:rPr>
            </w:pPr>
            <w:r w:rsidRPr="00107E3D">
              <w:rPr>
                <w:rFonts w:cstheme="minorHAnsi"/>
                <w:sz w:val="24"/>
                <w:szCs w:val="24"/>
              </w:rPr>
              <w:t>Interactive self-help tool to help plan support and well-being</w:t>
            </w:r>
          </w:p>
        </w:tc>
        <w:tc>
          <w:tcPr>
            <w:tcW w:w="2429" w:type="dxa"/>
          </w:tcPr>
          <w:p w14:paraId="76AD7ACF" w14:textId="77777777" w:rsidR="002E0B5D" w:rsidRPr="00107E3D" w:rsidRDefault="002E0B5D" w:rsidP="00771B9F">
            <w:pPr>
              <w:jc w:val="center"/>
              <w:rPr>
                <w:rFonts w:cstheme="minorHAnsi"/>
                <w:sz w:val="24"/>
                <w:szCs w:val="24"/>
              </w:rPr>
            </w:pPr>
            <w:r w:rsidRPr="00107E3D">
              <w:rPr>
                <w:rFonts w:cstheme="minorHAnsi"/>
                <w:sz w:val="24"/>
                <w:szCs w:val="24"/>
              </w:rPr>
              <w:t>0</w:t>
            </w:r>
          </w:p>
        </w:tc>
        <w:tc>
          <w:tcPr>
            <w:tcW w:w="2120" w:type="dxa"/>
          </w:tcPr>
          <w:p w14:paraId="784D3DEC" w14:textId="77777777" w:rsidR="002E0B5D" w:rsidRPr="00107E3D" w:rsidRDefault="002E0B5D" w:rsidP="00771B9F">
            <w:pPr>
              <w:jc w:val="center"/>
              <w:rPr>
                <w:rFonts w:cstheme="minorHAnsi"/>
                <w:sz w:val="24"/>
                <w:szCs w:val="24"/>
              </w:rPr>
            </w:pPr>
            <w:r w:rsidRPr="00107E3D">
              <w:rPr>
                <w:rFonts w:cstheme="minorHAnsi"/>
                <w:sz w:val="24"/>
                <w:szCs w:val="24"/>
              </w:rPr>
              <w:t>1</w:t>
            </w:r>
          </w:p>
        </w:tc>
      </w:tr>
      <w:tr w:rsidR="002E0B5D" w:rsidRPr="00107E3D" w14:paraId="7A43CEBD" w14:textId="77777777" w:rsidTr="00771B9F">
        <w:tc>
          <w:tcPr>
            <w:tcW w:w="4467" w:type="dxa"/>
            <w:tcBorders>
              <w:bottom w:val="single" w:sz="4" w:space="0" w:color="auto"/>
            </w:tcBorders>
          </w:tcPr>
          <w:p w14:paraId="276C74DE" w14:textId="77777777" w:rsidR="002E0B5D" w:rsidRPr="00107E3D" w:rsidRDefault="002E0B5D" w:rsidP="00771B9F">
            <w:pPr>
              <w:rPr>
                <w:rFonts w:cstheme="minorHAnsi"/>
                <w:sz w:val="24"/>
                <w:szCs w:val="24"/>
              </w:rPr>
            </w:pPr>
            <w:r w:rsidRPr="00107E3D">
              <w:rPr>
                <w:rFonts w:cstheme="minorHAnsi"/>
                <w:sz w:val="24"/>
                <w:szCs w:val="24"/>
              </w:rPr>
              <w:t>No decision aids (information only e.g.</w:t>
            </w:r>
            <w:r w:rsidRPr="00107E3D" w:rsidDel="008E39DA">
              <w:rPr>
                <w:rFonts w:cstheme="minorHAnsi"/>
                <w:sz w:val="24"/>
                <w:szCs w:val="24"/>
              </w:rPr>
              <w:t xml:space="preserve"> </w:t>
            </w:r>
            <w:r w:rsidRPr="00107E3D">
              <w:rPr>
                <w:rFonts w:cstheme="minorHAnsi"/>
                <w:sz w:val="24"/>
                <w:szCs w:val="24"/>
              </w:rPr>
              <w:t>signposting elsewhere, fact sheets)</w:t>
            </w:r>
          </w:p>
        </w:tc>
        <w:tc>
          <w:tcPr>
            <w:tcW w:w="2429" w:type="dxa"/>
            <w:tcBorders>
              <w:bottom w:val="single" w:sz="4" w:space="0" w:color="auto"/>
            </w:tcBorders>
          </w:tcPr>
          <w:p w14:paraId="06CC2D70" w14:textId="77777777" w:rsidR="002E0B5D" w:rsidRPr="00107E3D" w:rsidRDefault="002E0B5D" w:rsidP="00771B9F">
            <w:pPr>
              <w:jc w:val="center"/>
              <w:rPr>
                <w:rFonts w:cstheme="minorHAnsi"/>
                <w:sz w:val="24"/>
                <w:szCs w:val="24"/>
              </w:rPr>
            </w:pPr>
            <w:r w:rsidRPr="00107E3D">
              <w:rPr>
                <w:rFonts w:cstheme="minorHAnsi"/>
                <w:sz w:val="24"/>
                <w:szCs w:val="24"/>
              </w:rPr>
              <w:t>7</w:t>
            </w:r>
          </w:p>
        </w:tc>
        <w:tc>
          <w:tcPr>
            <w:tcW w:w="2120" w:type="dxa"/>
            <w:tcBorders>
              <w:bottom w:val="single" w:sz="4" w:space="0" w:color="auto"/>
            </w:tcBorders>
          </w:tcPr>
          <w:p w14:paraId="61F7CB6C" w14:textId="77777777" w:rsidR="002E0B5D" w:rsidRPr="00107E3D" w:rsidRDefault="002E0B5D" w:rsidP="00771B9F">
            <w:pPr>
              <w:jc w:val="center"/>
              <w:rPr>
                <w:rFonts w:cstheme="minorHAnsi"/>
                <w:sz w:val="24"/>
                <w:szCs w:val="24"/>
              </w:rPr>
            </w:pPr>
            <w:r w:rsidRPr="00107E3D">
              <w:rPr>
                <w:rFonts w:cstheme="minorHAnsi"/>
                <w:sz w:val="24"/>
                <w:szCs w:val="24"/>
              </w:rPr>
              <w:t>46</w:t>
            </w:r>
          </w:p>
        </w:tc>
      </w:tr>
    </w:tbl>
    <w:p w14:paraId="165F2711" w14:textId="77777777" w:rsidR="002E0B5D" w:rsidRPr="00107E3D" w:rsidRDefault="002E0B5D" w:rsidP="00771B9F">
      <w:pPr>
        <w:jc w:val="center"/>
        <w:rPr>
          <w:rFonts w:cstheme="minorHAnsi"/>
          <w:sz w:val="24"/>
          <w:szCs w:val="24"/>
        </w:rPr>
      </w:pPr>
    </w:p>
    <w:p w14:paraId="5B6A7B22" w14:textId="77777777" w:rsidR="002E0B5D" w:rsidRPr="00107E3D" w:rsidRDefault="002E0B5D">
      <w:pPr>
        <w:rPr>
          <w:rFonts w:cstheme="minorHAnsi"/>
          <w:b/>
          <w:sz w:val="24"/>
          <w:szCs w:val="24"/>
        </w:rPr>
      </w:pPr>
    </w:p>
    <w:p w14:paraId="1F02BDE4" w14:textId="77777777" w:rsidR="002E0B5D" w:rsidRDefault="002E0B5D">
      <w:pPr>
        <w:rPr>
          <w:rFonts w:cstheme="minorHAnsi"/>
          <w:b/>
          <w:sz w:val="24"/>
          <w:szCs w:val="24"/>
        </w:rPr>
      </w:pPr>
      <w:r>
        <w:rPr>
          <w:rFonts w:cstheme="minorHAnsi"/>
          <w:b/>
          <w:sz w:val="24"/>
          <w:szCs w:val="24"/>
        </w:rPr>
        <w:br w:type="page"/>
      </w:r>
    </w:p>
    <w:p w14:paraId="473B94F1" w14:textId="1CD30307" w:rsidR="002E0B5D" w:rsidRPr="007E213F" w:rsidRDefault="002E0B5D" w:rsidP="00771B9F">
      <w:pPr>
        <w:spacing w:after="120" w:line="276" w:lineRule="auto"/>
        <w:rPr>
          <w:rFonts w:cstheme="minorHAnsi"/>
          <w:b/>
          <w:sz w:val="24"/>
          <w:szCs w:val="24"/>
        </w:rPr>
      </w:pPr>
      <w:r w:rsidRPr="007E213F">
        <w:rPr>
          <w:rFonts w:cstheme="minorHAnsi"/>
          <w:b/>
          <w:sz w:val="24"/>
          <w:szCs w:val="24"/>
        </w:rPr>
        <w:lastRenderedPageBreak/>
        <w:t>References</w:t>
      </w:r>
    </w:p>
    <w:p w14:paraId="1943B497" w14:textId="07E4D016" w:rsidR="00001DEF" w:rsidRDefault="00001DEF" w:rsidP="006407FB">
      <w:pPr>
        <w:shd w:val="clear" w:color="auto" w:fill="FFFFFF"/>
        <w:rPr>
          <w:rFonts w:cstheme="minorHAnsi"/>
          <w:sz w:val="24"/>
          <w:szCs w:val="24"/>
        </w:rPr>
      </w:pPr>
      <w:proofErr w:type="spellStart"/>
      <w:r w:rsidRPr="00001DEF">
        <w:rPr>
          <w:rFonts w:cstheme="minorHAnsi"/>
          <w:sz w:val="24"/>
          <w:szCs w:val="24"/>
        </w:rPr>
        <w:t>Adekpedjou</w:t>
      </w:r>
      <w:proofErr w:type="spellEnd"/>
      <w:r w:rsidRPr="00001DEF">
        <w:rPr>
          <w:rFonts w:cstheme="minorHAnsi"/>
          <w:sz w:val="24"/>
          <w:szCs w:val="24"/>
        </w:rPr>
        <w:t xml:space="preserve">, R., Stacey, D., </w:t>
      </w:r>
      <w:proofErr w:type="spellStart"/>
      <w:r w:rsidRPr="00001DEF">
        <w:rPr>
          <w:rFonts w:cstheme="minorHAnsi"/>
          <w:sz w:val="24"/>
          <w:szCs w:val="24"/>
        </w:rPr>
        <w:t>Brière</w:t>
      </w:r>
      <w:proofErr w:type="spellEnd"/>
      <w:r w:rsidRPr="00001DEF">
        <w:rPr>
          <w:rFonts w:cstheme="minorHAnsi"/>
          <w:sz w:val="24"/>
          <w:szCs w:val="24"/>
        </w:rPr>
        <w:t xml:space="preserve">, N., Freitas, A., </w:t>
      </w:r>
      <w:proofErr w:type="spellStart"/>
      <w:r w:rsidRPr="00001DEF">
        <w:rPr>
          <w:rFonts w:cstheme="minorHAnsi"/>
          <w:sz w:val="24"/>
          <w:szCs w:val="24"/>
        </w:rPr>
        <w:t>Garvelink</w:t>
      </w:r>
      <w:proofErr w:type="spellEnd"/>
      <w:r w:rsidRPr="00001DEF">
        <w:rPr>
          <w:rFonts w:cstheme="minorHAnsi"/>
          <w:sz w:val="24"/>
          <w:szCs w:val="24"/>
        </w:rPr>
        <w:t xml:space="preserve">, M. M., </w:t>
      </w:r>
      <w:proofErr w:type="spellStart"/>
      <w:r w:rsidRPr="00001DEF">
        <w:rPr>
          <w:rFonts w:cstheme="minorHAnsi"/>
          <w:sz w:val="24"/>
          <w:szCs w:val="24"/>
        </w:rPr>
        <w:t>Dogba</w:t>
      </w:r>
      <w:proofErr w:type="spellEnd"/>
      <w:r w:rsidRPr="00001DEF">
        <w:rPr>
          <w:rFonts w:cstheme="minorHAnsi"/>
          <w:sz w:val="24"/>
          <w:szCs w:val="24"/>
        </w:rPr>
        <w:t xml:space="preserve">, M. J., Durand, P. J., </w:t>
      </w:r>
      <w:proofErr w:type="spellStart"/>
      <w:r w:rsidRPr="00001DEF">
        <w:rPr>
          <w:rFonts w:cstheme="minorHAnsi"/>
          <w:sz w:val="24"/>
          <w:szCs w:val="24"/>
        </w:rPr>
        <w:t>Desroches</w:t>
      </w:r>
      <w:proofErr w:type="spellEnd"/>
      <w:r w:rsidRPr="00001DEF">
        <w:rPr>
          <w:rFonts w:cstheme="minorHAnsi"/>
          <w:sz w:val="24"/>
          <w:szCs w:val="24"/>
        </w:rPr>
        <w:t xml:space="preserve">, S., </w:t>
      </w:r>
      <w:proofErr w:type="spellStart"/>
      <w:r w:rsidRPr="00001DEF">
        <w:rPr>
          <w:rFonts w:cstheme="minorHAnsi"/>
          <w:sz w:val="24"/>
          <w:szCs w:val="24"/>
        </w:rPr>
        <w:t>Croteau</w:t>
      </w:r>
      <w:proofErr w:type="spellEnd"/>
      <w:r w:rsidRPr="00001DEF">
        <w:rPr>
          <w:rFonts w:cstheme="minorHAnsi"/>
          <w:sz w:val="24"/>
          <w:szCs w:val="24"/>
        </w:rPr>
        <w:t xml:space="preserve">, J., </w:t>
      </w:r>
      <w:proofErr w:type="spellStart"/>
      <w:r w:rsidRPr="00001DEF">
        <w:rPr>
          <w:rFonts w:cstheme="minorHAnsi"/>
          <w:sz w:val="24"/>
          <w:szCs w:val="24"/>
        </w:rPr>
        <w:t>Rivest</w:t>
      </w:r>
      <w:proofErr w:type="spellEnd"/>
      <w:r w:rsidRPr="00001DEF">
        <w:rPr>
          <w:rFonts w:cstheme="minorHAnsi"/>
          <w:sz w:val="24"/>
          <w:szCs w:val="24"/>
        </w:rPr>
        <w:t xml:space="preserve">, L. P., &amp; </w:t>
      </w:r>
      <w:proofErr w:type="spellStart"/>
      <w:r w:rsidRPr="00001DEF">
        <w:rPr>
          <w:rFonts w:cstheme="minorHAnsi"/>
          <w:sz w:val="24"/>
          <w:szCs w:val="24"/>
        </w:rPr>
        <w:t>Légaré</w:t>
      </w:r>
      <w:proofErr w:type="spellEnd"/>
      <w:r w:rsidRPr="00001DEF">
        <w:rPr>
          <w:rFonts w:cstheme="minorHAnsi"/>
          <w:sz w:val="24"/>
          <w:szCs w:val="24"/>
        </w:rPr>
        <w:t xml:space="preserve">, F. (2020). Engaging Caregivers in Health-Related Housing Decisions for Older Adults </w:t>
      </w:r>
      <w:proofErr w:type="gramStart"/>
      <w:r w:rsidRPr="00001DEF">
        <w:rPr>
          <w:rFonts w:cstheme="minorHAnsi"/>
          <w:sz w:val="24"/>
          <w:szCs w:val="24"/>
        </w:rPr>
        <w:t>With</w:t>
      </w:r>
      <w:proofErr w:type="gramEnd"/>
      <w:r w:rsidRPr="00001DEF">
        <w:rPr>
          <w:rFonts w:cstheme="minorHAnsi"/>
          <w:sz w:val="24"/>
          <w:szCs w:val="24"/>
        </w:rPr>
        <w:t xml:space="preserve"> Cognitive Impairme</w:t>
      </w:r>
      <w:r>
        <w:rPr>
          <w:rFonts w:cstheme="minorHAnsi"/>
          <w:sz w:val="24"/>
          <w:szCs w:val="24"/>
        </w:rPr>
        <w:t xml:space="preserve">nt: A Cluster Randomized Trial. </w:t>
      </w:r>
      <w:r w:rsidRPr="00001DEF">
        <w:rPr>
          <w:rFonts w:cstheme="minorHAnsi"/>
          <w:i/>
          <w:iCs/>
          <w:sz w:val="24"/>
          <w:szCs w:val="24"/>
        </w:rPr>
        <w:t>The Gerontologist</w:t>
      </w:r>
      <w:r>
        <w:rPr>
          <w:rFonts w:cstheme="minorHAnsi"/>
          <w:sz w:val="24"/>
          <w:szCs w:val="24"/>
        </w:rPr>
        <w:t xml:space="preserve">; </w:t>
      </w:r>
      <w:r w:rsidRPr="00001DEF">
        <w:rPr>
          <w:rFonts w:cstheme="minorHAnsi"/>
          <w:i/>
          <w:iCs/>
          <w:sz w:val="24"/>
          <w:szCs w:val="24"/>
        </w:rPr>
        <w:t>60</w:t>
      </w:r>
      <w:r>
        <w:rPr>
          <w:rFonts w:cstheme="minorHAnsi"/>
          <w:sz w:val="24"/>
          <w:szCs w:val="24"/>
        </w:rPr>
        <w:t>(5):</w:t>
      </w:r>
      <w:r w:rsidRPr="00001DEF">
        <w:rPr>
          <w:rFonts w:cstheme="minorHAnsi"/>
          <w:sz w:val="24"/>
          <w:szCs w:val="24"/>
        </w:rPr>
        <w:t xml:space="preserve"> 947–957. </w:t>
      </w:r>
      <w:r>
        <w:rPr>
          <w:rFonts w:cstheme="minorHAnsi"/>
          <w:sz w:val="24"/>
          <w:szCs w:val="24"/>
        </w:rPr>
        <w:t xml:space="preserve">DOI: </w:t>
      </w:r>
      <w:hyperlink r:id="rId20" w:history="1">
        <w:r w:rsidRPr="00DF5A51">
          <w:rPr>
            <w:rStyle w:val="Hyperlink"/>
            <w:rFonts w:cstheme="minorHAnsi"/>
            <w:sz w:val="24"/>
            <w:szCs w:val="24"/>
          </w:rPr>
          <w:t>https://doi.org/10.1093/geront/gnz045</w:t>
        </w:r>
      </w:hyperlink>
    </w:p>
    <w:p w14:paraId="7ECCE86D" w14:textId="6392FEBE" w:rsidR="006407FB" w:rsidRPr="007E213F" w:rsidRDefault="000F1F8C" w:rsidP="006407FB">
      <w:pPr>
        <w:shd w:val="clear" w:color="auto" w:fill="FFFFFF"/>
        <w:rPr>
          <w:rFonts w:eastAsia="Times New Roman" w:cstheme="minorHAnsi"/>
          <w:sz w:val="24"/>
          <w:szCs w:val="24"/>
          <w:lang w:eastAsia="en-GB"/>
        </w:rPr>
      </w:pPr>
      <w:proofErr w:type="spellStart"/>
      <w:r w:rsidRPr="007E213F">
        <w:rPr>
          <w:rFonts w:cstheme="minorHAnsi"/>
          <w:sz w:val="24"/>
          <w:szCs w:val="24"/>
        </w:rPr>
        <w:t>Alecxih</w:t>
      </w:r>
      <w:proofErr w:type="spellEnd"/>
      <w:r w:rsidRPr="007E213F">
        <w:rPr>
          <w:rFonts w:cstheme="minorHAnsi"/>
          <w:sz w:val="24"/>
          <w:szCs w:val="24"/>
        </w:rPr>
        <w:t xml:space="preserve">, L. and </w:t>
      </w:r>
      <w:proofErr w:type="spellStart"/>
      <w:r w:rsidRPr="007E213F">
        <w:rPr>
          <w:rFonts w:cstheme="minorHAnsi"/>
          <w:sz w:val="24"/>
          <w:szCs w:val="24"/>
        </w:rPr>
        <w:t>Blakeway</w:t>
      </w:r>
      <w:proofErr w:type="spellEnd"/>
      <w:r w:rsidRPr="007E213F">
        <w:rPr>
          <w:rFonts w:cstheme="minorHAnsi"/>
          <w:sz w:val="24"/>
          <w:szCs w:val="24"/>
        </w:rPr>
        <w:t xml:space="preserve">, C (2012). Deciding on care options in the digital age. Generations; </w:t>
      </w:r>
      <w:r w:rsidRPr="007E213F">
        <w:rPr>
          <w:rFonts w:cstheme="minorHAnsi"/>
          <w:bCs/>
          <w:sz w:val="24"/>
          <w:szCs w:val="24"/>
        </w:rPr>
        <w:t>36</w:t>
      </w:r>
      <w:r w:rsidRPr="007E213F">
        <w:rPr>
          <w:rFonts w:cstheme="minorHAnsi"/>
          <w:sz w:val="24"/>
          <w:szCs w:val="24"/>
        </w:rPr>
        <w:t>(1): 77-82.</w:t>
      </w:r>
      <w:r w:rsidR="006407FB" w:rsidRPr="007E213F">
        <w:rPr>
          <w:rFonts w:cstheme="minorHAnsi"/>
          <w:sz w:val="24"/>
          <w:szCs w:val="24"/>
        </w:rPr>
        <w:t xml:space="preserve"> </w:t>
      </w:r>
      <w:hyperlink r:id="rId21" w:history="1">
        <w:r w:rsidR="006407FB" w:rsidRPr="007E213F">
          <w:rPr>
            <w:rStyle w:val="Hyperlink"/>
            <w:rFonts w:eastAsia="Times New Roman" w:cstheme="minorHAnsi"/>
            <w:sz w:val="24"/>
            <w:szCs w:val="24"/>
            <w:lang w:eastAsia="en-GB"/>
          </w:rPr>
          <w:t>https://www.jstor.org/stable/44875740</w:t>
        </w:r>
      </w:hyperlink>
      <w:r w:rsidR="006407FB" w:rsidRPr="007E213F">
        <w:rPr>
          <w:rFonts w:eastAsia="Times New Roman" w:cstheme="minorHAnsi"/>
          <w:color w:val="4B5555"/>
          <w:sz w:val="24"/>
          <w:szCs w:val="24"/>
          <w:lang w:eastAsia="en-GB"/>
        </w:rPr>
        <w:t xml:space="preserve"> </w:t>
      </w:r>
      <w:r w:rsidR="006407FB" w:rsidRPr="007E213F">
        <w:rPr>
          <w:rFonts w:eastAsia="Times New Roman" w:cstheme="minorHAnsi"/>
          <w:sz w:val="24"/>
          <w:szCs w:val="24"/>
          <w:lang w:eastAsia="en-GB"/>
        </w:rPr>
        <w:t>[Accessed 15 September 2020]</w:t>
      </w:r>
    </w:p>
    <w:p w14:paraId="63B27236" w14:textId="23A90357" w:rsidR="000F1F8C" w:rsidRPr="007E213F" w:rsidRDefault="000F1F8C" w:rsidP="000F1F8C">
      <w:pPr>
        <w:pStyle w:val="FootnoteText"/>
        <w:shd w:val="clear" w:color="auto" w:fill="FFFFFF" w:themeFill="background1"/>
        <w:spacing w:after="120"/>
        <w:rPr>
          <w:rFonts w:cstheme="minorHAnsi"/>
          <w:sz w:val="24"/>
          <w:szCs w:val="24"/>
        </w:rPr>
      </w:pPr>
      <w:proofErr w:type="spellStart"/>
      <w:r w:rsidRPr="007E213F">
        <w:rPr>
          <w:rStyle w:val="personname"/>
          <w:rFonts w:cstheme="minorHAnsi"/>
          <w:sz w:val="24"/>
          <w:szCs w:val="24"/>
        </w:rPr>
        <w:t>Arksey</w:t>
      </w:r>
      <w:proofErr w:type="spellEnd"/>
      <w:r w:rsidRPr="007E213F">
        <w:rPr>
          <w:rStyle w:val="personname"/>
          <w:rFonts w:cstheme="minorHAnsi"/>
          <w:sz w:val="24"/>
          <w:szCs w:val="24"/>
        </w:rPr>
        <w:t>, H</w:t>
      </w:r>
      <w:r w:rsidR="00625F7E">
        <w:rPr>
          <w:rStyle w:val="personname"/>
          <w:rFonts w:cstheme="minorHAnsi"/>
          <w:sz w:val="24"/>
          <w:szCs w:val="24"/>
        </w:rPr>
        <w:t>.</w:t>
      </w:r>
      <w:r w:rsidRPr="007E213F">
        <w:rPr>
          <w:rStyle w:val="personname"/>
          <w:rFonts w:cstheme="minorHAnsi"/>
          <w:sz w:val="24"/>
          <w:szCs w:val="24"/>
        </w:rPr>
        <w:t xml:space="preserve"> </w:t>
      </w:r>
      <w:r w:rsidRPr="007E213F">
        <w:rPr>
          <w:rFonts w:cstheme="minorHAnsi"/>
          <w:sz w:val="24"/>
          <w:szCs w:val="24"/>
        </w:rPr>
        <w:t xml:space="preserve">and </w:t>
      </w:r>
      <w:r w:rsidRPr="007E213F">
        <w:rPr>
          <w:rStyle w:val="personname"/>
          <w:rFonts w:cstheme="minorHAnsi"/>
          <w:sz w:val="24"/>
          <w:szCs w:val="24"/>
        </w:rPr>
        <w:t>O'Malley, L</w:t>
      </w:r>
      <w:r w:rsidR="00625F7E">
        <w:rPr>
          <w:rStyle w:val="personname"/>
          <w:rFonts w:cstheme="minorHAnsi"/>
          <w:sz w:val="24"/>
          <w:szCs w:val="24"/>
        </w:rPr>
        <w:t>.</w:t>
      </w:r>
      <w:r w:rsidRPr="007E213F">
        <w:rPr>
          <w:rStyle w:val="personname"/>
          <w:rFonts w:cstheme="minorHAnsi"/>
          <w:sz w:val="24"/>
          <w:szCs w:val="24"/>
        </w:rPr>
        <w:t xml:space="preserve"> </w:t>
      </w:r>
      <w:r w:rsidRPr="007E213F">
        <w:rPr>
          <w:rFonts w:cstheme="minorHAnsi"/>
          <w:sz w:val="24"/>
          <w:szCs w:val="24"/>
        </w:rPr>
        <w:t xml:space="preserve">(2005). </w:t>
      </w:r>
      <w:r w:rsidRPr="007E213F">
        <w:rPr>
          <w:rStyle w:val="Emphasis"/>
          <w:rFonts w:cstheme="minorHAnsi"/>
          <w:sz w:val="24"/>
          <w:szCs w:val="24"/>
        </w:rPr>
        <w:t>Scoping studies: towards a methodological framework.</w:t>
      </w:r>
      <w:r w:rsidRPr="007E213F">
        <w:rPr>
          <w:rFonts w:cstheme="minorHAnsi"/>
          <w:sz w:val="24"/>
          <w:szCs w:val="24"/>
        </w:rPr>
        <w:t xml:space="preserve"> International Journal of Social Research Methodology. pp. 19-32.</w:t>
      </w:r>
      <w:r w:rsidR="006407FB" w:rsidRPr="007E213F">
        <w:rPr>
          <w:rFonts w:cstheme="minorHAnsi"/>
          <w:sz w:val="24"/>
          <w:szCs w:val="24"/>
        </w:rPr>
        <w:t xml:space="preserve"> DOI: </w:t>
      </w:r>
      <w:hyperlink r:id="rId22" w:history="1">
        <w:r w:rsidR="006407FB" w:rsidRPr="007E213F">
          <w:rPr>
            <w:rStyle w:val="Hyperlink"/>
            <w:rFonts w:cstheme="minorHAnsi"/>
            <w:sz w:val="24"/>
            <w:szCs w:val="24"/>
          </w:rPr>
          <w:t>https://doi.org/10.1080/1364557032000119616</w:t>
        </w:r>
      </w:hyperlink>
      <w:r w:rsidR="006407FB" w:rsidRPr="007E213F">
        <w:rPr>
          <w:rFonts w:cstheme="minorHAnsi"/>
          <w:sz w:val="24"/>
          <w:szCs w:val="24"/>
        </w:rPr>
        <w:t xml:space="preserve"> </w:t>
      </w:r>
    </w:p>
    <w:p w14:paraId="4FD476A8" w14:textId="0DA670D3"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Baptista, S., Teles Sampaio, E., Heleno, B., Azevedo, L.F. and Martins, C. (2018)</w:t>
      </w:r>
      <w:r w:rsidR="000C0B1E">
        <w:rPr>
          <w:rFonts w:asciiTheme="minorHAnsi" w:hAnsiTheme="minorHAnsi" w:cstheme="minorHAnsi"/>
          <w:sz w:val="24"/>
          <w:szCs w:val="24"/>
        </w:rPr>
        <w:t>.</w:t>
      </w:r>
      <w:r w:rsidRPr="007E213F">
        <w:rPr>
          <w:rFonts w:asciiTheme="minorHAnsi" w:hAnsiTheme="minorHAnsi" w:cstheme="minorHAnsi"/>
          <w:sz w:val="24"/>
          <w:szCs w:val="24"/>
        </w:rPr>
        <w:t xml:space="preserve"> 'Web-Based Versus Usual Care and Other Formats of Decision Aids to Support Prostate Cancer Screening Decisions: Systematic Review and Meta-Analysis', </w:t>
      </w:r>
      <w:r w:rsidRPr="007E213F">
        <w:rPr>
          <w:rFonts w:asciiTheme="minorHAnsi" w:hAnsiTheme="minorHAnsi" w:cstheme="minorHAnsi"/>
          <w:i/>
          <w:sz w:val="24"/>
          <w:szCs w:val="24"/>
        </w:rPr>
        <w:t>J Med Internet Res</w:t>
      </w:r>
      <w:r w:rsidRPr="007E213F">
        <w:rPr>
          <w:rFonts w:asciiTheme="minorHAnsi" w:hAnsiTheme="minorHAnsi" w:cstheme="minorHAnsi"/>
          <w:sz w:val="24"/>
          <w:szCs w:val="24"/>
        </w:rPr>
        <w:t xml:space="preserve">, </w:t>
      </w:r>
      <w:r w:rsidRPr="007E213F">
        <w:rPr>
          <w:rFonts w:asciiTheme="minorHAnsi" w:hAnsiTheme="minorHAnsi" w:cstheme="minorHAnsi"/>
          <w:b/>
          <w:sz w:val="24"/>
          <w:szCs w:val="24"/>
        </w:rPr>
        <w:t>20</w:t>
      </w:r>
      <w:r w:rsidRPr="007E213F">
        <w:rPr>
          <w:rFonts w:asciiTheme="minorHAnsi" w:hAnsiTheme="minorHAnsi" w:cstheme="minorHAnsi"/>
          <w:sz w:val="24"/>
          <w:szCs w:val="24"/>
        </w:rPr>
        <w:t>(6), p. e228.</w:t>
      </w:r>
      <w:r w:rsidR="006407FB" w:rsidRPr="007E213F">
        <w:rPr>
          <w:rFonts w:asciiTheme="minorHAnsi" w:hAnsiTheme="minorHAnsi" w:cstheme="minorHAnsi"/>
          <w:sz w:val="24"/>
          <w:szCs w:val="24"/>
        </w:rPr>
        <w:t xml:space="preserve"> DOI: </w:t>
      </w:r>
      <w:hyperlink r:id="rId23" w:history="1">
        <w:r w:rsidR="006407FB" w:rsidRPr="007E213F">
          <w:rPr>
            <w:rStyle w:val="Hyperlink"/>
            <w:rFonts w:asciiTheme="minorHAnsi" w:hAnsiTheme="minorHAnsi" w:cstheme="minorHAnsi"/>
            <w:sz w:val="24"/>
            <w:szCs w:val="24"/>
          </w:rPr>
          <w:t>https://doi.org/10.2196/jmir.9070</w:t>
        </w:r>
      </w:hyperlink>
      <w:r w:rsidR="006407FB" w:rsidRPr="007E213F">
        <w:rPr>
          <w:rFonts w:asciiTheme="minorHAnsi" w:hAnsiTheme="minorHAnsi" w:cstheme="minorHAnsi"/>
          <w:sz w:val="24"/>
          <w:szCs w:val="24"/>
        </w:rPr>
        <w:t xml:space="preserve"> </w:t>
      </w:r>
    </w:p>
    <w:p w14:paraId="24D8DA3C" w14:textId="3A39D293"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 xml:space="preserve">Baxter, K., Heavey, E. and Birks, Y. (2017) 'Older self-funders and their information needs', London, NIHR School for Social Care Research. </w:t>
      </w:r>
      <w:hyperlink r:id="rId24" w:history="1">
        <w:r w:rsidR="00204A2D" w:rsidRPr="007E213F">
          <w:rPr>
            <w:rStyle w:val="Hyperlink"/>
            <w:sz w:val="24"/>
            <w:szCs w:val="24"/>
          </w:rPr>
          <w:t>https://www.sscr.nihr.ac.uk/wp-content/uploads/SSCR-research-findings_RF062.pdf</w:t>
        </w:r>
      </w:hyperlink>
      <w:r w:rsidR="00204A2D" w:rsidRPr="007E213F">
        <w:rPr>
          <w:sz w:val="24"/>
          <w:szCs w:val="24"/>
        </w:rPr>
        <w:t xml:space="preserve"> </w:t>
      </w:r>
      <w:r w:rsidRPr="007E213F">
        <w:rPr>
          <w:sz w:val="24"/>
          <w:szCs w:val="24"/>
        </w:rPr>
        <w:t>[Accessed 09 August 2020].</w:t>
      </w:r>
    </w:p>
    <w:p w14:paraId="2E38E30D" w14:textId="153204BE"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Baxter, K., Heavey, E. and Birks, Y. (2018) 'Independent financial advice about funding social care in later life', London: , Sch</w:t>
      </w:r>
      <w:r w:rsidR="003131B2">
        <w:rPr>
          <w:rFonts w:asciiTheme="minorHAnsi" w:hAnsiTheme="minorHAnsi" w:cstheme="minorHAnsi"/>
          <w:sz w:val="24"/>
          <w:szCs w:val="24"/>
        </w:rPr>
        <w:t xml:space="preserve">ool for Social Care Research. </w:t>
      </w:r>
      <w:hyperlink r:id="rId25" w:history="1">
        <w:r w:rsidR="00204A2D" w:rsidRPr="007E213F">
          <w:rPr>
            <w:rStyle w:val="Hyperlink"/>
            <w:sz w:val="24"/>
            <w:szCs w:val="24"/>
          </w:rPr>
          <w:t>https://www.sscr.nihr.ac.uk/wp-content/uploads/SSCR-research-findings_RF109.pdf</w:t>
        </w:r>
      </w:hyperlink>
      <w:r w:rsidR="00204A2D" w:rsidRPr="007E213F">
        <w:rPr>
          <w:sz w:val="24"/>
          <w:szCs w:val="24"/>
        </w:rPr>
        <w:t xml:space="preserve"> </w:t>
      </w:r>
      <w:r w:rsidRPr="007E213F">
        <w:rPr>
          <w:sz w:val="24"/>
          <w:szCs w:val="24"/>
        </w:rPr>
        <w:t>[Accessed 09 August 2020].</w:t>
      </w:r>
    </w:p>
    <w:p w14:paraId="27770412" w14:textId="77777777" w:rsidR="00A1230E" w:rsidRPr="00A1230E" w:rsidRDefault="00A1230E" w:rsidP="00A1230E">
      <w:pPr>
        <w:pStyle w:val="EndNoteBibliography"/>
        <w:spacing w:after="120"/>
        <w:rPr>
          <w:rFonts w:cstheme="minorHAnsi"/>
          <w:sz w:val="24"/>
          <w:szCs w:val="24"/>
          <w:lang w:val="en-GB"/>
        </w:rPr>
      </w:pPr>
      <w:r w:rsidRPr="00A1230E">
        <w:rPr>
          <w:rFonts w:cstheme="minorHAnsi"/>
          <w:sz w:val="24"/>
          <w:szCs w:val="24"/>
          <w:lang w:val="en-GB"/>
        </w:rPr>
        <w:t xml:space="preserve">Bennett, C., Graham, I.D., Kristjansson, E., Kearing, S.A., Clay, K.F. and O'Connor, A.M. (2010). 'Validation of a preparation for decision making scale', Patient Educ Couns, 78(1), pp. 130-133. </w:t>
      </w:r>
      <w:hyperlink r:id="rId26" w:history="1">
        <w:r w:rsidRPr="00A1230E">
          <w:rPr>
            <w:rStyle w:val="Hyperlink"/>
            <w:rFonts w:cstheme="minorHAnsi"/>
            <w:sz w:val="24"/>
            <w:szCs w:val="24"/>
            <w:lang w:val="en-GB"/>
          </w:rPr>
          <w:t>https://doi.org/10.1016/j.pec.2009.05.012</w:t>
        </w:r>
      </w:hyperlink>
      <w:r w:rsidRPr="00A1230E">
        <w:rPr>
          <w:rFonts w:cstheme="minorHAnsi"/>
          <w:sz w:val="24"/>
          <w:szCs w:val="24"/>
          <w:lang w:val="en-GB"/>
        </w:rPr>
        <w:t xml:space="preserve"> </w:t>
      </w:r>
    </w:p>
    <w:p w14:paraId="576B267D" w14:textId="73FB33F1"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 xml:space="preserve">BMJ (2013) 'An introduction to patient decision aids', </w:t>
      </w:r>
      <w:r w:rsidRPr="007E213F">
        <w:rPr>
          <w:rFonts w:asciiTheme="minorHAnsi" w:hAnsiTheme="minorHAnsi" w:cstheme="minorHAnsi"/>
          <w:i/>
          <w:sz w:val="24"/>
          <w:szCs w:val="24"/>
        </w:rPr>
        <w:t>British Medical Journal</w:t>
      </w:r>
      <w:r w:rsidRPr="007E213F">
        <w:rPr>
          <w:rFonts w:asciiTheme="minorHAnsi" w:hAnsiTheme="minorHAnsi" w:cstheme="minorHAnsi"/>
          <w:sz w:val="24"/>
          <w:szCs w:val="24"/>
        </w:rPr>
        <w:t xml:space="preserve">, </w:t>
      </w:r>
      <w:r w:rsidRPr="007E213F">
        <w:rPr>
          <w:rFonts w:asciiTheme="minorHAnsi" w:hAnsiTheme="minorHAnsi" w:cstheme="minorHAnsi"/>
          <w:b/>
          <w:sz w:val="24"/>
          <w:szCs w:val="24"/>
        </w:rPr>
        <w:t>347</w:t>
      </w:r>
      <w:r w:rsidRPr="007E213F">
        <w:rPr>
          <w:rFonts w:asciiTheme="minorHAnsi" w:hAnsiTheme="minorHAnsi" w:cstheme="minorHAnsi"/>
          <w:sz w:val="24"/>
          <w:szCs w:val="24"/>
        </w:rPr>
        <w:t>, p. f4147.</w:t>
      </w:r>
      <w:r w:rsidR="006407FB" w:rsidRPr="007E213F">
        <w:rPr>
          <w:rFonts w:asciiTheme="minorHAnsi" w:hAnsiTheme="minorHAnsi" w:cstheme="minorHAnsi"/>
          <w:sz w:val="24"/>
          <w:szCs w:val="24"/>
        </w:rPr>
        <w:t xml:space="preserve"> DOI: </w:t>
      </w:r>
      <w:hyperlink r:id="rId27" w:history="1">
        <w:r w:rsidR="006407FB" w:rsidRPr="007E213F">
          <w:rPr>
            <w:rStyle w:val="Hyperlink"/>
            <w:rFonts w:asciiTheme="minorHAnsi" w:hAnsiTheme="minorHAnsi" w:cstheme="minorHAnsi"/>
            <w:sz w:val="24"/>
            <w:szCs w:val="24"/>
          </w:rPr>
          <w:t>https://doi.org/10.1136/bmj.f4147</w:t>
        </w:r>
      </w:hyperlink>
      <w:r w:rsidR="006407FB" w:rsidRPr="007E213F">
        <w:rPr>
          <w:rFonts w:asciiTheme="minorHAnsi" w:hAnsiTheme="minorHAnsi" w:cstheme="minorHAnsi"/>
          <w:sz w:val="24"/>
          <w:szCs w:val="24"/>
        </w:rPr>
        <w:t xml:space="preserve"> </w:t>
      </w:r>
    </w:p>
    <w:p w14:paraId="44B06F2A" w14:textId="5DFE1652" w:rsidR="000F1F8C" w:rsidRPr="007E213F" w:rsidRDefault="000F1F8C" w:rsidP="000F1F8C">
      <w:pPr>
        <w:shd w:val="clear" w:color="auto" w:fill="FFFFFF"/>
        <w:spacing w:before="100" w:beforeAutospacing="1" w:after="100" w:afterAutospacing="1" w:line="240" w:lineRule="auto"/>
        <w:rPr>
          <w:rFonts w:ascii="Segoe UI" w:hAnsi="Segoe UI" w:cs="Segoe UI"/>
          <w:color w:val="212121"/>
          <w:sz w:val="24"/>
          <w:szCs w:val="24"/>
        </w:rPr>
      </w:pPr>
      <w:r w:rsidRPr="007E213F">
        <w:rPr>
          <w:rFonts w:cstheme="minorHAnsi"/>
          <w:sz w:val="24"/>
          <w:szCs w:val="24"/>
        </w:rPr>
        <w:t xml:space="preserve">Dixon, J., </w:t>
      </w:r>
      <w:proofErr w:type="spellStart"/>
      <w:r w:rsidRPr="007E213F">
        <w:rPr>
          <w:rFonts w:cstheme="minorHAnsi"/>
          <w:sz w:val="24"/>
          <w:szCs w:val="24"/>
        </w:rPr>
        <w:t>Trathen</w:t>
      </w:r>
      <w:proofErr w:type="spellEnd"/>
      <w:r w:rsidRPr="007E213F">
        <w:rPr>
          <w:rFonts w:cstheme="minorHAnsi"/>
          <w:sz w:val="24"/>
          <w:szCs w:val="24"/>
        </w:rPr>
        <w:t xml:space="preserve">, A., Wittenberg, R., Mays, N., </w:t>
      </w:r>
      <w:proofErr w:type="spellStart"/>
      <w:r w:rsidRPr="007E213F">
        <w:rPr>
          <w:rFonts w:cstheme="minorHAnsi"/>
          <w:sz w:val="24"/>
          <w:szCs w:val="24"/>
        </w:rPr>
        <w:t>Wistow</w:t>
      </w:r>
      <w:proofErr w:type="spellEnd"/>
      <w:r w:rsidRPr="007E213F">
        <w:rPr>
          <w:rFonts w:cstheme="minorHAnsi"/>
          <w:sz w:val="24"/>
          <w:szCs w:val="24"/>
        </w:rPr>
        <w:t xml:space="preserve">, G. and Knapp, M. (2019) 'Funding and planning for social care in later life: a deliberative focus group study', </w:t>
      </w:r>
      <w:r w:rsidRPr="007E213F">
        <w:rPr>
          <w:rFonts w:cstheme="minorHAnsi"/>
          <w:i/>
          <w:sz w:val="24"/>
          <w:szCs w:val="24"/>
        </w:rPr>
        <w:t>Health and Social Care in the Community</w:t>
      </w:r>
      <w:r w:rsidRPr="007E213F">
        <w:rPr>
          <w:rFonts w:cstheme="minorHAnsi"/>
          <w:sz w:val="24"/>
          <w:szCs w:val="24"/>
        </w:rPr>
        <w:t xml:space="preserve">, </w:t>
      </w:r>
      <w:r w:rsidR="00C31901">
        <w:rPr>
          <w:rFonts w:cstheme="minorHAnsi"/>
          <w:b/>
          <w:sz w:val="24"/>
          <w:szCs w:val="24"/>
        </w:rPr>
        <w:t>27</w:t>
      </w:r>
      <w:r w:rsidRPr="007E213F">
        <w:rPr>
          <w:rFonts w:cstheme="minorHAnsi"/>
          <w:sz w:val="24"/>
          <w:szCs w:val="24"/>
        </w:rPr>
        <w:t>(</w:t>
      </w:r>
      <w:r w:rsidR="00C31901">
        <w:rPr>
          <w:rFonts w:cstheme="minorHAnsi"/>
          <w:sz w:val="24"/>
          <w:szCs w:val="24"/>
        </w:rPr>
        <w:t>5</w:t>
      </w:r>
      <w:r w:rsidRPr="007E213F">
        <w:rPr>
          <w:rFonts w:cstheme="minorHAnsi"/>
          <w:sz w:val="24"/>
          <w:szCs w:val="24"/>
        </w:rPr>
        <w:t xml:space="preserve">).  </w:t>
      </w:r>
      <w:r w:rsidRPr="007E213F">
        <w:rPr>
          <w:rStyle w:val="id-label"/>
          <w:rFonts w:cstheme="minorHAnsi"/>
          <w:sz w:val="24"/>
          <w:szCs w:val="24"/>
        </w:rPr>
        <w:t>DOI:</w:t>
      </w:r>
      <w:r w:rsidR="00E87AD9" w:rsidRPr="007E213F">
        <w:rPr>
          <w:rStyle w:val="id-label"/>
          <w:rFonts w:cstheme="minorHAnsi"/>
          <w:sz w:val="24"/>
          <w:szCs w:val="24"/>
        </w:rPr>
        <w:t xml:space="preserve"> </w:t>
      </w:r>
      <w:hyperlink r:id="rId28" w:history="1">
        <w:r w:rsidR="00204A2D" w:rsidRPr="007E213F">
          <w:rPr>
            <w:rStyle w:val="Hyperlink"/>
            <w:rFonts w:cstheme="minorHAnsi"/>
            <w:sz w:val="24"/>
            <w:szCs w:val="24"/>
          </w:rPr>
          <w:t>https://doi.org/10.1111/hsc.12768</w:t>
        </w:r>
      </w:hyperlink>
      <w:r w:rsidR="000A764F">
        <w:rPr>
          <w:rStyle w:val="id-label"/>
          <w:rFonts w:cstheme="minorHAnsi"/>
          <w:sz w:val="24"/>
          <w:szCs w:val="24"/>
        </w:rPr>
        <w:t xml:space="preserve"> </w:t>
      </w:r>
    </w:p>
    <w:p w14:paraId="3FA56B5C" w14:textId="055D9258" w:rsidR="000F1F8C" w:rsidRPr="007E213F" w:rsidRDefault="000F1F8C" w:rsidP="000F1F8C">
      <w:pPr>
        <w:spacing w:after="120"/>
        <w:rPr>
          <w:rFonts w:cstheme="minorHAnsi"/>
          <w:sz w:val="24"/>
          <w:szCs w:val="24"/>
        </w:rPr>
      </w:pPr>
      <w:proofErr w:type="spellStart"/>
      <w:r w:rsidRPr="007E213F">
        <w:rPr>
          <w:rFonts w:cstheme="minorHAnsi"/>
          <w:sz w:val="24"/>
          <w:szCs w:val="24"/>
        </w:rPr>
        <w:t>Friedemann</w:t>
      </w:r>
      <w:proofErr w:type="spellEnd"/>
      <w:r w:rsidRPr="007E213F">
        <w:rPr>
          <w:rFonts w:cstheme="minorHAnsi"/>
          <w:sz w:val="24"/>
          <w:szCs w:val="24"/>
        </w:rPr>
        <w:t>, M. L. (1995). The framework of systemic organization: A conceptual approach to families and nursing. Thousand Oaks, CA: Sage</w:t>
      </w:r>
      <w:r w:rsidR="006407FB" w:rsidRPr="007E213F">
        <w:rPr>
          <w:rFonts w:cstheme="minorHAnsi"/>
          <w:sz w:val="24"/>
          <w:szCs w:val="24"/>
        </w:rPr>
        <w:t xml:space="preserve">, </w:t>
      </w:r>
      <w:r w:rsidR="006407FB" w:rsidRPr="007E213F">
        <w:rPr>
          <w:rFonts w:cstheme="minorHAnsi"/>
          <w:color w:val="333333"/>
          <w:sz w:val="24"/>
          <w:szCs w:val="24"/>
          <w:shd w:val="clear" w:color="auto" w:fill="FFFFFF"/>
        </w:rPr>
        <w:t>ISBN: 9780803949140</w:t>
      </w:r>
    </w:p>
    <w:p w14:paraId="48147EBD" w14:textId="1DD0DA8E" w:rsidR="000F1F8C" w:rsidRPr="007E213F" w:rsidRDefault="000F1F8C" w:rsidP="000F1F8C">
      <w:pPr>
        <w:spacing w:after="120"/>
        <w:rPr>
          <w:rFonts w:cstheme="minorHAnsi"/>
          <w:sz w:val="24"/>
          <w:szCs w:val="24"/>
        </w:rPr>
      </w:pPr>
      <w:proofErr w:type="spellStart"/>
      <w:r w:rsidRPr="007E213F">
        <w:rPr>
          <w:rFonts w:cstheme="minorHAnsi"/>
          <w:sz w:val="24"/>
          <w:szCs w:val="24"/>
        </w:rPr>
        <w:t>Friedemann</w:t>
      </w:r>
      <w:proofErr w:type="spellEnd"/>
      <w:r w:rsidRPr="007E213F">
        <w:rPr>
          <w:rFonts w:cstheme="minorHAnsi"/>
          <w:sz w:val="24"/>
          <w:szCs w:val="24"/>
        </w:rPr>
        <w:t xml:space="preserve">, M. L., F. L. Newman, L. R., </w:t>
      </w:r>
      <w:proofErr w:type="spellStart"/>
      <w:r w:rsidRPr="007E213F">
        <w:rPr>
          <w:rFonts w:cstheme="minorHAnsi"/>
          <w:sz w:val="24"/>
          <w:szCs w:val="24"/>
        </w:rPr>
        <w:t>Seff</w:t>
      </w:r>
      <w:proofErr w:type="spellEnd"/>
      <w:r w:rsidRPr="007E213F">
        <w:rPr>
          <w:rFonts w:cstheme="minorHAnsi"/>
          <w:sz w:val="24"/>
          <w:szCs w:val="24"/>
        </w:rPr>
        <w:t xml:space="preserve">, L.R., Dunlop, B.D (2004). Planning for long-term care: concept, definition, and measurement. Gerontologist </w:t>
      </w:r>
      <w:r w:rsidRPr="007E213F">
        <w:rPr>
          <w:rFonts w:cstheme="minorHAnsi"/>
          <w:bCs/>
          <w:sz w:val="24"/>
          <w:szCs w:val="24"/>
        </w:rPr>
        <w:t xml:space="preserve">44; </w:t>
      </w:r>
      <w:r w:rsidRPr="007E213F">
        <w:rPr>
          <w:rFonts w:cstheme="minorHAnsi"/>
          <w:sz w:val="24"/>
          <w:szCs w:val="24"/>
        </w:rPr>
        <w:t>(4): 520-530.</w:t>
      </w:r>
      <w:r w:rsidR="006407FB" w:rsidRPr="007E213F">
        <w:rPr>
          <w:rFonts w:cstheme="minorHAnsi"/>
          <w:sz w:val="24"/>
          <w:szCs w:val="24"/>
        </w:rPr>
        <w:t xml:space="preserve"> DOI: </w:t>
      </w:r>
      <w:hyperlink r:id="rId29" w:history="1">
        <w:r w:rsidR="006407FB" w:rsidRPr="007E213F">
          <w:rPr>
            <w:rStyle w:val="Hyperlink"/>
            <w:rFonts w:cstheme="minorHAnsi"/>
            <w:sz w:val="24"/>
            <w:szCs w:val="24"/>
          </w:rPr>
          <w:t>https://doi.org/10.1093/geront/44.4.520</w:t>
        </w:r>
      </w:hyperlink>
      <w:r w:rsidR="006407FB" w:rsidRPr="007E213F">
        <w:rPr>
          <w:rFonts w:cstheme="minorHAnsi"/>
          <w:sz w:val="24"/>
          <w:szCs w:val="24"/>
        </w:rPr>
        <w:t xml:space="preserve"> </w:t>
      </w:r>
    </w:p>
    <w:p w14:paraId="40CC60F7" w14:textId="77777777" w:rsidR="00D13DBF" w:rsidRPr="007E213F" w:rsidRDefault="00D13DBF" w:rsidP="00D13DBF">
      <w:pPr>
        <w:autoSpaceDE w:val="0"/>
        <w:autoSpaceDN w:val="0"/>
        <w:adjustRightInd w:val="0"/>
        <w:spacing w:after="120" w:line="240" w:lineRule="auto"/>
        <w:rPr>
          <w:rFonts w:cstheme="minorHAnsi"/>
          <w:sz w:val="24"/>
          <w:szCs w:val="24"/>
        </w:rPr>
      </w:pPr>
      <w:proofErr w:type="spellStart"/>
      <w:r>
        <w:rPr>
          <w:rFonts w:cstheme="minorHAnsi"/>
          <w:sz w:val="24"/>
          <w:szCs w:val="24"/>
        </w:rPr>
        <w:t>Garvelink</w:t>
      </w:r>
      <w:proofErr w:type="spellEnd"/>
      <w:r>
        <w:rPr>
          <w:rFonts w:cstheme="minorHAnsi"/>
          <w:sz w:val="24"/>
          <w:szCs w:val="24"/>
        </w:rPr>
        <w:t>, M.</w:t>
      </w:r>
      <w:r w:rsidRPr="007E213F">
        <w:rPr>
          <w:rFonts w:cstheme="minorHAnsi"/>
          <w:sz w:val="24"/>
          <w:szCs w:val="24"/>
        </w:rPr>
        <w:t xml:space="preserve">M., </w:t>
      </w:r>
      <w:proofErr w:type="spellStart"/>
      <w:r w:rsidRPr="007E213F">
        <w:rPr>
          <w:rFonts w:cstheme="minorHAnsi"/>
          <w:sz w:val="24"/>
          <w:szCs w:val="24"/>
        </w:rPr>
        <w:t>Emond</w:t>
      </w:r>
      <w:proofErr w:type="spellEnd"/>
      <w:r w:rsidRPr="007E213F">
        <w:rPr>
          <w:rFonts w:cstheme="minorHAnsi"/>
          <w:sz w:val="24"/>
          <w:szCs w:val="24"/>
        </w:rPr>
        <w:t>, J.</w:t>
      </w:r>
      <w:r>
        <w:rPr>
          <w:rFonts w:cstheme="minorHAnsi"/>
          <w:sz w:val="24"/>
          <w:szCs w:val="24"/>
        </w:rPr>
        <w:t>,</w:t>
      </w:r>
      <w:r w:rsidRPr="007E213F">
        <w:rPr>
          <w:rFonts w:cstheme="minorHAnsi"/>
          <w:sz w:val="24"/>
          <w:szCs w:val="24"/>
        </w:rPr>
        <w:t xml:space="preserve"> </w:t>
      </w:r>
      <w:proofErr w:type="spellStart"/>
      <w:r w:rsidRPr="007E213F">
        <w:rPr>
          <w:rFonts w:cstheme="minorHAnsi"/>
          <w:sz w:val="24"/>
          <w:szCs w:val="24"/>
        </w:rPr>
        <w:t>Menear</w:t>
      </w:r>
      <w:proofErr w:type="spellEnd"/>
      <w:r w:rsidRPr="007E213F">
        <w:rPr>
          <w:rFonts w:cstheme="minorHAnsi"/>
          <w:sz w:val="24"/>
          <w:szCs w:val="24"/>
        </w:rPr>
        <w:t xml:space="preserve">, M., </w:t>
      </w:r>
      <w:proofErr w:type="spellStart"/>
      <w:r w:rsidRPr="007E213F">
        <w:rPr>
          <w:rFonts w:cstheme="minorHAnsi"/>
          <w:sz w:val="24"/>
          <w:szCs w:val="24"/>
        </w:rPr>
        <w:t>Brière</w:t>
      </w:r>
      <w:proofErr w:type="spellEnd"/>
      <w:r w:rsidRPr="007E213F">
        <w:rPr>
          <w:rFonts w:cstheme="minorHAnsi"/>
          <w:sz w:val="24"/>
          <w:szCs w:val="24"/>
        </w:rPr>
        <w:t xml:space="preserve">, N., Freitas, A., Boland, L., Becerra Perez, M.M., Blair, L., Stacey, D. &amp; </w:t>
      </w:r>
      <w:proofErr w:type="spellStart"/>
      <w:r w:rsidRPr="007E213F">
        <w:rPr>
          <w:rFonts w:cstheme="minorHAnsi"/>
          <w:sz w:val="24"/>
          <w:szCs w:val="24"/>
        </w:rPr>
        <w:t>Légaré</w:t>
      </w:r>
      <w:proofErr w:type="spellEnd"/>
      <w:r w:rsidRPr="007E213F">
        <w:rPr>
          <w:rFonts w:cstheme="minorHAnsi"/>
          <w:sz w:val="24"/>
          <w:szCs w:val="24"/>
        </w:rPr>
        <w:t xml:space="preserve"> F. (2016). Development of a decision guide to support the elderly in decision making about location of care: An iterative, user-</w:t>
      </w:r>
      <w:proofErr w:type="spellStart"/>
      <w:r w:rsidRPr="007E213F">
        <w:rPr>
          <w:rFonts w:cstheme="minorHAnsi"/>
          <w:sz w:val="24"/>
          <w:szCs w:val="24"/>
        </w:rPr>
        <w:t>centered</w:t>
      </w:r>
      <w:proofErr w:type="spellEnd"/>
      <w:r w:rsidRPr="007E213F">
        <w:rPr>
          <w:rFonts w:cstheme="minorHAnsi"/>
          <w:sz w:val="24"/>
          <w:szCs w:val="24"/>
        </w:rPr>
        <w:t xml:space="preserve"> design. Research Involvement and Engagement: </w:t>
      </w:r>
      <w:r w:rsidRPr="007E213F">
        <w:rPr>
          <w:rFonts w:cstheme="minorHAnsi"/>
          <w:bCs/>
          <w:sz w:val="24"/>
          <w:szCs w:val="24"/>
        </w:rPr>
        <w:t xml:space="preserve">2; </w:t>
      </w:r>
      <w:r w:rsidRPr="007E213F">
        <w:rPr>
          <w:rFonts w:cstheme="minorHAnsi"/>
          <w:sz w:val="24"/>
          <w:szCs w:val="24"/>
        </w:rPr>
        <w:t xml:space="preserve">(26). DOI: </w:t>
      </w:r>
      <w:hyperlink r:id="rId30" w:history="1">
        <w:r w:rsidRPr="007E213F">
          <w:rPr>
            <w:rStyle w:val="Hyperlink"/>
            <w:sz w:val="24"/>
            <w:szCs w:val="24"/>
          </w:rPr>
          <w:t>https://doi.org/</w:t>
        </w:r>
        <w:r w:rsidRPr="007E213F">
          <w:rPr>
            <w:rStyle w:val="Hyperlink"/>
            <w:rFonts w:cstheme="minorHAnsi"/>
            <w:sz w:val="24"/>
            <w:szCs w:val="24"/>
          </w:rPr>
          <w:t>10.1186/s40900-016-0040-0</w:t>
        </w:r>
      </w:hyperlink>
      <w:r w:rsidRPr="007E213F">
        <w:rPr>
          <w:rFonts w:cstheme="minorHAnsi"/>
          <w:sz w:val="24"/>
          <w:szCs w:val="24"/>
        </w:rPr>
        <w:t xml:space="preserve"> </w:t>
      </w:r>
    </w:p>
    <w:p w14:paraId="554EFC17" w14:textId="0257DEB6" w:rsidR="000F1F8C" w:rsidRPr="007E213F" w:rsidRDefault="000F1F8C" w:rsidP="000F1F8C">
      <w:pPr>
        <w:spacing w:after="120"/>
        <w:rPr>
          <w:rFonts w:cstheme="minorHAnsi"/>
          <w:sz w:val="24"/>
          <w:szCs w:val="24"/>
        </w:rPr>
      </w:pPr>
      <w:proofErr w:type="spellStart"/>
      <w:r w:rsidRPr="007E213F">
        <w:rPr>
          <w:rFonts w:cstheme="minorHAnsi"/>
          <w:sz w:val="24"/>
          <w:szCs w:val="24"/>
        </w:rPr>
        <w:lastRenderedPageBreak/>
        <w:t>Garvelink</w:t>
      </w:r>
      <w:proofErr w:type="spellEnd"/>
      <w:r w:rsidRPr="007E213F">
        <w:rPr>
          <w:rFonts w:cstheme="minorHAnsi"/>
          <w:sz w:val="24"/>
          <w:szCs w:val="24"/>
        </w:rPr>
        <w:t xml:space="preserve">, M.M., Jones, C.A., </w:t>
      </w:r>
      <w:proofErr w:type="spellStart"/>
      <w:r w:rsidRPr="007E213F">
        <w:rPr>
          <w:rFonts w:cstheme="minorHAnsi"/>
          <w:sz w:val="24"/>
          <w:szCs w:val="24"/>
        </w:rPr>
        <w:t>Archambault</w:t>
      </w:r>
      <w:proofErr w:type="spellEnd"/>
      <w:r w:rsidRPr="007E213F">
        <w:rPr>
          <w:rFonts w:cstheme="minorHAnsi"/>
          <w:sz w:val="24"/>
          <w:szCs w:val="24"/>
        </w:rPr>
        <w:t xml:space="preserve">, P.M., Roy, N., Blair, L., </w:t>
      </w:r>
      <w:proofErr w:type="spellStart"/>
      <w:r w:rsidRPr="007E213F">
        <w:rPr>
          <w:rFonts w:cstheme="minorHAnsi"/>
          <w:sz w:val="24"/>
          <w:szCs w:val="24"/>
        </w:rPr>
        <w:t>Légaré</w:t>
      </w:r>
      <w:proofErr w:type="spellEnd"/>
      <w:r w:rsidRPr="007E213F">
        <w:rPr>
          <w:rFonts w:cstheme="minorHAnsi"/>
          <w:sz w:val="24"/>
          <w:szCs w:val="24"/>
        </w:rPr>
        <w:t xml:space="preserve">. F. (2017). Deciding How to Stay Independent at Home in Later Years: Development and Acceptability Testing of an Informative Web-Based Module. JMIR Hum Factors; 4(4): e32. DOI: </w:t>
      </w:r>
      <w:hyperlink r:id="rId31" w:history="1">
        <w:r w:rsidR="00204A2D" w:rsidRPr="007E213F">
          <w:rPr>
            <w:rStyle w:val="Hyperlink"/>
            <w:sz w:val="24"/>
            <w:szCs w:val="24"/>
          </w:rPr>
          <w:t>https://doi.org/</w:t>
        </w:r>
        <w:r w:rsidR="00204A2D" w:rsidRPr="007E213F">
          <w:rPr>
            <w:rStyle w:val="Hyperlink"/>
            <w:rFonts w:cstheme="minorHAnsi"/>
            <w:sz w:val="24"/>
            <w:szCs w:val="24"/>
          </w:rPr>
          <w:t>10.2196/humanfactors.8387</w:t>
        </w:r>
      </w:hyperlink>
      <w:r w:rsidR="00204A2D" w:rsidRPr="007E213F">
        <w:rPr>
          <w:rFonts w:cstheme="minorHAnsi"/>
          <w:sz w:val="24"/>
          <w:szCs w:val="24"/>
        </w:rPr>
        <w:t xml:space="preserve"> </w:t>
      </w:r>
    </w:p>
    <w:p w14:paraId="2A8E6561" w14:textId="296A7416"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 xml:space="preserve">Heavey, E., Baxter, K. and Birks, Y. (2019) 'Financial advice for funding later life care: A scoping review of evidence from England', </w:t>
      </w:r>
      <w:r w:rsidRPr="007E213F">
        <w:rPr>
          <w:rFonts w:asciiTheme="minorHAnsi" w:hAnsiTheme="minorHAnsi" w:cstheme="minorHAnsi"/>
          <w:i/>
          <w:sz w:val="24"/>
          <w:szCs w:val="24"/>
        </w:rPr>
        <w:t>Journal of Long-Term Care</w:t>
      </w:r>
      <w:r w:rsidRPr="007E213F">
        <w:rPr>
          <w:rFonts w:asciiTheme="minorHAnsi" w:hAnsiTheme="minorHAnsi" w:cstheme="minorHAnsi"/>
          <w:sz w:val="24"/>
          <w:szCs w:val="24"/>
        </w:rPr>
        <w:t xml:space="preserve">, pp. 51–65. </w:t>
      </w:r>
      <w:r w:rsidRPr="007E213F">
        <w:rPr>
          <w:rFonts w:asciiTheme="minorHAnsi" w:hAnsiTheme="minorHAnsi" w:cstheme="minorHAnsi"/>
          <w:sz w:val="24"/>
          <w:szCs w:val="24"/>
          <w:shd w:val="clear" w:color="auto" w:fill="FFFFFF"/>
        </w:rPr>
        <w:t>DOI:</w:t>
      </w:r>
      <w:r w:rsidR="00E72356" w:rsidRPr="007E213F">
        <w:rPr>
          <w:rFonts w:asciiTheme="minorHAnsi" w:hAnsiTheme="minorHAnsi" w:cstheme="minorHAnsi"/>
          <w:sz w:val="24"/>
          <w:szCs w:val="24"/>
          <w:shd w:val="clear" w:color="auto" w:fill="FFFFFF"/>
        </w:rPr>
        <w:t xml:space="preserve"> </w:t>
      </w:r>
      <w:hyperlink r:id="rId32" w:history="1">
        <w:r w:rsidR="00E72356" w:rsidRPr="007E213F">
          <w:rPr>
            <w:rStyle w:val="Hyperlink"/>
            <w:rFonts w:asciiTheme="minorHAnsi" w:hAnsiTheme="minorHAnsi" w:cstheme="minorHAnsi"/>
            <w:sz w:val="24"/>
            <w:szCs w:val="24"/>
            <w:bdr w:val="none" w:sz="0" w:space="0" w:color="auto" w:frame="1"/>
            <w:shd w:val="clear" w:color="auto" w:fill="FFFFFF"/>
          </w:rPr>
          <w:t>http://doi.org/10.31389/jltc.8</w:t>
        </w:r>
      </w:hyperlink>
    </w:p>
    <w:p w14:paraId="33D4120E" w14:textId="2518CA8E"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Henwood, M. and Hudson, B. (2008)</w:t>
      </w:r>
      <w:r w:rsidR="000C0B1E">
        <w:rPr>
          <w:rFonts w:asciiTheme="minorHAnsi" w:hAnsiTheme="minorHAnsi" w:cstheme="minorHAnsi"/>
          <w:sz w:val="24"/>
          <w:szCs w:val="24"/>
        </w:rPr>
        <w:t>.</w:t>
      </w:r>
      <w:r w:rsidRPr="007E213F">
        <w:rPr>
          <w:rFonts w:asciiTheme="minorHAnsi" w:hAnsiTheme="minorHAnsi" w:cstheme="minorHAnsi"/>
          <w:sz w:val="24"/>
          <w:szCs w:val="24"/>
        </w:rPr>
        <w:t xml:space="preserve"> 'Lost to the system? The impact of Fair Access to Care. A report commissioned by the Commission for Social Care Inspection for the production of The state of social care in England 2006-07', London, Commission for Social Care Inspection. </w:t>
      </w:r>
      <w:hyperlink r:id="rId33" w:history="1">
        <w:r w:rsidR="00204A2D" w:rsidRPr="007E213F">
          <w:rPr>
            <w:rStyle w:val="Hyperlink"/>
            <w:sz w:val="24"/>
            <w:szCs w:val="24"/>
          </w:rPr>
          <w:t>http://www.melaniehenwood.com/perch/resources/cscifacslosttothesystem.pdf</w:t>
        </w:r>
      </w:hyperlink>
      <w:r w:rsidR="00204A2D" w:rsidRPr="007E213F">
        <w:rPr>
          <w:sz w:val="24"/>
          <w:szCs w:val="24"/>
        </w:rPr>
        <w:t xml:space="preserve"> </w:t>
      </w:r>
      <w:r w:rsidRPr="007E213F">
        <w:rPr>
          <w:sz w:val="24"/>
          <w:szCs w:val="24"/>
        </w:rPr>
        <w:t>[Accessed 09 August 2020].</w:t>
      </w:r>
    </w:p>
    <w:p w14:paraId="69C5786D" w14:textId="591CC199"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Hoffman, A. S., Bateman, D.R., </w:t>
      </w:r>
      <w:proofErr w:type="spellStart"/>
      <w:r w:rsidRPr="007E213F">
        <w:rPr>
          <w:rFonts w:cstheme="minorHAnsi"/>
          <w:sz w:val="24"/>
          <w:szCs w:val="24"/>
        </w:rPr>
        <w:t>Ganoe</w:t>
      </w:r>
      <w:proofErr w:type="spellEnd"/>
      <w:r w:rsidRPr="007E213F">
        <w:rPr>
          <w:rFonts w:cstheme="minorHAnsi"/>
          <w:sz w:val="24"/>
          <w:szCs w:val="24"/>
        </w:rPr>
        <w:t xml:space="preserve">, C., </w:t>
      </w:r>
      <w:proofErr w:type="spellStart"/>
      <w:r w:rsidRPr="007E213F">
        <w:rPr>
          <w:rFonts w:cstheme="minorHAnsi"/>
          <w:sz w:val="24"/>
          <w:szCs w:val="24"/>
        </w:rPr>
        <w:t>Punjasthitkul</w:t>
      </w:r>
      <w:proofErr w:type="spellEnd"/>
      <w:r w:rsidRPr="007E213F">
        <w:rPr>
          <w:rFonts w:cstheme="minorHAnsi"/>
          <w:sz w:val="24"/>
          <w:szCs w:val="24"/>
        </w:rPr>
        <w:t xml:space="preserve">, S., Das, A.K., Hoffman, D.B., </w:t>
      </w:r>
      <w:proofErr w:type="spellStart"/>
      <w:r w:rsidRPr="007E213F">
        <w:rPr>
          <w:rFonts w:cstheme="minorHAnsi"/>
          <w:sz w:val="24"/>
          <w:szCs w:val="24"/>
        </w:rPr>
        <w:t>Housten</w:t>
      </w:r>
      <w:proofErr w:type="spellEnd"/>
      <w:r w:rsidRPr="007E213F">
        <w:rPr>
          <w:rFonts w:cstheme="minorHAnsi"/>
          <w:sz w:val="24"/>
          <w:szCs w:val="24"/>
        </w:rPr>
        <w:t xml:space="preserve">, A.J., </w:t>
      </w:r>
      <w:r w:rsidR="00E72356" w:rsidRPr="007E213F">
        <w:rPr>
          <w:sz w:val="24"/>
          <w:szCs w:val="24"/>
        </w:rPr>
        <w:t>Peirce, H.A., Dreyer, L., Tang, C., Bennett, A., Bartels, S.J.</w:t>
      </w:r>
      <w:r w:rsidRPr="007E213F">
        <w:rPr>
          <w:rFonts w:cstheme="minorHAnsi"/>
          <w:sz w:val="24"/>
          <w:szCs w:val="24"/>
        </w:rPr>
        <w:t xml:space="preserve"> (2019). Development and Field Testing of a Long-Term Care Decision Aid Website for Older Adults: Engaging Patients and Caregivers in User-</w:t>
      </w:r>
      <w:proofErr w:type="spellStart"/>
      <w:r w:rsidRPr="007E213F">
        <w:rPr>
          <w:rFonts w:cstheme="minorHAnsi"/>
          <w:sz w:val="24"/>
          <w:szCs w:val="24"/>
        </w:rPr>
        <w:t>Centered</w:t>
      </w:r>
      <w:proofErr w:type="spellEnd"/>
      <w:r w:rsidRPr="007E213F">
        <w:rPr>
          <w:rFonts w:cstheme="minorHAnsi"/>
          <w:sz w:val="24"/>
          <w:szCs w:val="24"/>
        </w:rPr>
        <w:t xml:space="preserve"> Design. The Gerontologist. gnz141. </w:t>
      </w:r>
      <w:r w:rsidR="00E72356" w:rsidRPr="007E213F">
        <w:rPr>
          <w:rFonts w:cstheme="minorHAnsi"/>
          <w:sz w:val="24"/>
          <w:szCs w:val="24"/>
        </w:rPr>
        <w:t>DOI</w:t>
      </w:r>
      <w:r w:rsidRPr="007E213F">
        <w:rPr>
          <w:rFonts w:cstheme="minorHAnsi"/>
          <w:sz w:val="24"/>
          <w:szCs w:val="24"/>
        </w:rPr>
        <w:t>:</w:t>
      </w:r>
      <w:r w:rsidR="00E72356" w:rsidRPr="007E213F">
        <w:rPr>
          <w:rFonts w:cstheme="minorHAnsi"/>
          <w:sz w:val="24"/>
          <w:szCs w:val="24"/>
        </w:rPr>
        <w:t xml:space="preserve"> </w:t>
      </w:r>
      <w:hyperlink r:id="rId34" w:history="1">
        <w:r w:rsidR="002A23AE" w:rsidRPr="007E213F">
          <w:rPr>
            <w:rStyle w:val="Hyperlink"/>
            <w:sz w:val="24"/>
            <w:szCs w:val="24"/>
          </w:rPr>
          <w:t>https://doi.org/</w:t>
        </w:r>
        <w:r w:rsidR="002A23AE" w:rsidRPr="007E213F">
          <w:rPr>
            <w:rStyle w:val="Hyperlink"/>
            <w:rFonts w:cstheme="minorHAnsi"/>
            <w:sz w:val="24"/>
            <w:szCs w:val="24"/>
          </w:rPr>
          <w:t>10.1093/geront/gnz141</w:t>
        </w:r>
      </w:hyperlink>
      <w:r w:rsidR="002A23AE" w:rsidRPr="007E213F">
        <w:rPr>
          <w:rFonts w:cstheme="minorHAnsi"/>
          <w:sz w:val="24"/>
          <w:szCs w:val="24"/>
        </w:rPr>
        <w:t xml:space="preserve"> </w:t>
      </w:r>
    </w:p>
    <w:p w14:paraId="57A9E987" w14:textId="5C293A41" w:rsidR="000F1F8C" w:rsidRPr="007E213F" w:rsidRDefault="000F1F8C" w:rsidP="000F1F8C">
      <w:pPr>
        <w:spacing w:after="120"/>
        <w:rPr>
          <w:rFonts w:cstheme="minorHAnsi"/>
          <w:sz w:val="24"/>
          <w:szCs w:val="24"/>
        </w:rPr>
      </w:pPr>
      <w:r w:rsidRPr="007E213F">
        <w:rPr>
          <w:rFonts w:cstheme="minorHAnsi"/>
          <w:sz w:val="24"/>
          <w:szCs w:val="24"/>
        </w:rPr>
        <w:t xml:space="preserve">International Patient Decision Aids Standards (IPDAS) Collaboration. [Accessed 09 April 2020] </w:t>
      </w:r>
      <w:hyperlink r:id="rId35" w:history="1">
        <w:r w:rsidR="00204A2D" w:rsidRPr="007E213F">
          <w:rPr>
            <w:rStyle w:val="Hyperlink"/>
            <w:rFonts w:cstheme="minorHAnsi"/>
            <w:sz w:val="24"/>
            <w:szCs w:val="24"/>
          </w:rPr>
          <w:t>http://ipdas.ohri.ca/</w:t>
        </w:r>
      </w:hyperlink>
      <w:r w:rsidR="00204A2D" w:rsidRPr="007E213F">
        <w:rPr>
          <w:rFonts w:cstheme="minorHAnsi"/>
          <w:sz w:val="24"/>
          <w:szCs w:val="24"/>
        </w:rPr>
        <w:t xml:space="preserve"> </w:t>
      </w:r>
    </w:p>
    <w:p w14:paraId="2C70CA85" w14:textId="386A497B" w:rsidR="000F1F8C" w:rsidRPr="007E213F" w:rsidRDefault="000F1F8C" w:rsidP="000F1F8C">
      <w:pPr>
        <w:pStyle w:val="EndNoteBibliography"/>
        <w:spacing w:after="120"/>
        <w:rPr>
          <w:rFonts w:asciiTheme="minorHAnsi" w:hAnsiTheme="minorHAnsi" w:cstheme="minorHAnsi"/>
          <w:sz w:val="24"/>
          <w:szCs w:val="24"/>
          <w:shd w:val="clear" w:color="auto" w:fill="FFFFFF"/>
        </w:rPr>
      </w:pPr>
      <w:r w:rsidRPr="007E213F">
        <w:rPr>
          <w:rFonts w:asciiTheme="minorHAnsi" w:hAnsiTheme="minorHAnsi" w:cstheme="minorHAnsi"/>
          <w:sz w:val="24"/>
          <w:szCs w:val="24"/>
        </w:rPr>
        <w:t>Joseph-Williams, N., Newcombe, R., Politi, M., Durand, M.-A., Sivell, S., Stacey, D., O’Connor, A., Volk, R.J., Edwards, A., Bennett, C., Pignone, M., Thomson, R. and Elwyn, G. (2014)</w:t>
      </w:r>
      <w:r w:rsidR="000C0B1E">
        <w:rPr>
          <w:rFonts w:asciiTheme="minorHAnsi" w:hAnsiTheme="minorHAnsi" w:cstheme="minorHAnsi"/>
          <w:sz w:val="24"/>
          <w:szCs w:val="24"/>
        </w:rPr>
        <w:t>.</w:t>
      </w:r>
      <w:r w:rsidRPr="007E213F">
        <w:rPr>
          <w:rFonts w:asciiTheme="minorHAnsi" w:hAnsiTheme="minorHAnsi" w:cstheme="minorHAnsi"/>
          <w:sz w:val="24"/>
          <w:szCs w:val="24"/>
        </w:rPr>
        <w:t xml:space="preserve"> 'Toward Minimum Standards for Certifying Patient Decision Aids:A Modified Delphi Consensus Process', </w:t>
      </w:r>
      <w:r w:rsidRPr="007E213F">
        <w:rPr>
          <w:rFonts w:asciiTheme="minorHAnsi" w:hAnsiTheme="minorHAnsi" w:cstheme="minorHAnsi"/>
          <w:i/>
          <w:sz w:val="24"/>
          <w:szCs w:val="24"/>
        </w:rPr>
        <w:t>Medical Decision Making</w:t>
      </w:r>
      <w:r w:rsidRPr="007E213F">
        <w:rPr>
          <w:rFonts w:asciiTheme="minorHAnsi" w:hAnsiTheme="minorHAnsi" w:cstheme="minorHAnsi"/>
          <w:sz w:val="24"/>
          <w:szCs w:val="24"/>
        </w:rPr>
        <w:t xml:space="preserve">, </w:t>
      </w:r>
      <w:r w:rsidRPr="007E213F">
        <w:rPr>
          <w:rFonts w:asciiTheme="minorHAnsi" w:hAnsiTheme="minorHAnsi" w:cstheme="minorHAnsi"/>
          <w:b/>
          <w:sz w:val="24"/>
          <w:szCs w:val="24"/>
        </w:rPr>
        <w:t>34</w:t>
      </w:r>
      <w:r w:rsidRPr="007E213F">
        <w:rPr>
          <w:rFonts w:asciiTheme="minorHAnsi" w:hAnsiTheme="minorHAnsi" w:cstheme="minorHAnsi"/>
          <w:sz w:val="24"/>
          <w:szCs w:val="24"/>
        </w:rPr>
        <w:t>(6), pp. 699-710.</w:t>
      </w:r>
      <w:r w:rsidR="00EC3CAD" w:rsidRPr="007E213F">
        <w:rPr>
          <w:rFonts w:asciiTheme="minorHAnsi" w:hAnsiTheme="minorHAnsi" w:cstheme="minorHAnsi"/>
          <w:sz w:val="24"/>
          <w:szCs w:val="24"/>
        </w:rPr>
        <w:t xml:space="preserve"> DOI: </w:t>
      </w:r>
      <w:hyperlink r:id="rId36" w:history="1">
        <w:r w:rsidR="00EC3CAD" w:rsidRPr="007E213F">
          <w:rPr>
            <w:rStyle w:val="Hyperlink"/>
            <w:rFonts w:asciiTheme="minorHAnsi" w:hAnsiTheme="minorHAnsi" w:cstheme="minorHAnsi"/>
            <w:sz w:val="24"/>
            <w:szCs w:val="24"/>
          </w:rPr>
          <w:t>https://doi.org/10.1177/0272989x13501721</w:t>
        </w:r>
      </w:hyperlink>
      <w:r w:rsidR="00EC3CAD" w:rsidRPr="007E213F">
        <w:rPr>
          <w:rFonts w:asciiTheme="minorHAnsi" w:hAnsiTheme="minorHAnsi" w:cstheme="minorHAnsi"/>
          <w:sz w:val="24"/>
          <w:szCs w:val="24"/>
        </w:rPr>
        <w:t xml:space="preserve"> </w:t>
      </w:r>
    </w:p>
    <w:p w14:paraId="2E402D0C" w14:textId="5487AEC9" w:rsidR="000F1F8C" w:rsidRPr="007E213F" w:rsidRDefault="000F1F8C" w:rsidP="000F1F8C">
      <w:pPr>
        <w:spacing w:after="120"/>
        <w:rPr>
          <w:rFonts w:cstheme="minorHAnsi"/>
          <w:sz w:val="24"/>
          <w:szCs w:val="24"/>
        </w:rPr>
      </w:pPr>
      <w:r w:rsidRPr="007E213F">
        <w:rPr>
          <w:rFonts w:cstheme="minorHAnsi"/>
          <w:sz w:val="24"/>
          <w:szCs w:val="24"/>
        </w:rPr>
        <w:t xml:space="preserve">Kane, R. L., Krista, B., Mary, C (2007). Helping people make better long-term-care decisions. Gerontologist; </w:t>
      </w:r>
      <w:r w:rsidRPr="007E213F">
        <w:rPr>
          <w:rFonts w:cstheme="minorHAnsi"/>
          <w:bCs/>
          <w:sz w:val="24"/>
          <w:szCs w:val="24"/>
        </w:rPr>
        <w:t>47</w:t>
      </w:r>
      <w:r w:rsidRPr="007E213F">
        <w:rPr>
          <w:rFonts w:cstheme="minorHAnsi"/>
          <w:sz w:val="24"/>
          <w:szCs w:val="24"/>
        </w:rPr>
        <w:t>(2): 244-24.</w:t>
      </w:r>
      <w:r w:rsidR="00EC3CAD" w:rsidRPr="007E213F">
        <w:rPr>
          <w:rFonts w:cstheme="minorHAnsi"/>
          <w:sz w:val="24"/>
          <w:szCs w:val="24"/>
        </w:rPr>
        <w:t xml:space="preserve"> DOI: </w:t>
      </w:r>
      <w:hyperlink r:id="rId37" w:history="1">
        <w:r w:rsidR="00EC3CAD" w:rsidRPr="007E213F">
          <w:rPr>
            <w:rStyle w:val="Hyperlink"/>
            <w:rFonts w:cstheme="minorHAnsi"/>
            <w:sz w:val="24"/>
            <w:szCs w:val="24"/>
          </w:rPr>
          <w:t>https://doi.org/10.1093/geront/47.2.244</w:t>
        </w:r>
      </w:hyperlink>
      <w:r w:rsidR="00EC3CAD" w:rsidRPr="007E213F">
        <w:rPr>
          <w:rFonts w:cstheme="minorHAnsi"/>
          <w:sz w:val="24"/>
          <w:szCs w:val="24"/>
        </w:rPr>
        <w:t xml:space="preserve"> </w:t>
      </w:r>
    </w:p>
    <w:p w14:paraId="6F0CFA1A" w14:textId="18797C33"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Kohn, K. C. (2004). Making housing and care decisions for an older adult: Resources on the internet. Journal of Consumer Health on the Internet; </w:t>
      </w:r>
      <w:r w:rsidRPr="007E213F">
        <w:rPr>
          <w:rFonts w:cstheme="minorHAnsi"/>
          <w:bCs/>
          <w:sz w:val="24"/>
          <w:szCs w:val="24"/>
        </w:rPr>
        <w:t>8</w:t>
      </w:r>
      <w:r w:rsidRPr="007E213F">
        <w:rPr>
          <w:rFonts w:cstheme="minorHAnsi"/>
          <w:sz w:val="24"/>
          <w:szCs w:val="24"/>
        </w:rPr>
        <w:t>(4): 55-65.</w:t>
      </w:r>
      <w:r w:rsidR="00EC3CAD" w:rsidRPr="007E213F">
        <w:rPr>
          <w:rFonts w:cstheme="minorHAnsi"/>
          <w:sz w:val="24"/>
          <w:szCs w:val="24"/>
        </w:rPr>
        <w:t xml:space="preserve"> DOI: </w:t>
      </w:r>
      <w:hyperlink r:id="rId38" w:history="1">
        <w:r w:rsidR="00EC3CAD" w:rsidRPr="007E213F">
          <w:rPr>
            <w:rStyle w:val="Hyperlink"/>
            <w:rFonts w:cstheme="minorHAnsi"/>
            <w:sz w:val="24"/>
            <w:szCs w:val="24"/>
          </w:rPr>
          <w:t>https://doi.org/10.1300/J381v08n04_05</w:t>
        </w:r>
      </w:hyperlink>
      <w:r w:rsidR="00EC3CAD" w:rsidRPr="007E213F">
        <w:rPr>
          <w:rFonts w:cstheme="minorHAnsi"/>
          <w:sz w:val="24"/>
          <w:szCs w:val="24"/>
        </w:rPr>
        <w:t xml:space="preserve"> </w:t>
      </w:r>
    </w:p>
    <w:p w14:paraId="6AA1FC84" w14:textId="77777777" w:rsidR="00C31901" w:rsidRPr="007E213F" w:rsidRDefault="00C31901" w:rsidP="00C31901">
      <w:pPr>
        <w:spacing w:after="120"/>
        <w:rPr>
          <w:rFonts w:cstheme="minorHAnsi"/>
          <w:sz w:val="24"/>
          <w:szCs w:val="24"/>
          <w:shd w:val="clear" w:color="auto" w:fill="FFFFFF"/>
        </w:rPr>
      </w:pPr>
      <w:proofErr w:type="spellStart"/>
      <w:r w:rsidRPr="007E213F">
        <w:rPr>
          <w:rFonts w:cstheme="minorHAnsi"/>
          <w:sz w:val="24"/>
          <w:szCs w:val="24"/>
          <w:shd w:val="clear" w:color="auto" w:fill="FFFFFF"/>
        </w:rPr>
        <w:t>Légaré</w:t>
      </w:r>
      <w:proofErr w:type="spellEnd"/>
      <w:r w:rsidRPr="007E213F">
        <w:rPr>
          <w:rFonts w:cstheme="minorHAnsi"/>
          <w:sz w:val="24"/>
          <w:szCs w:val="24"/>
          <w:shd w:val="clear" w:color="auto" w:fill="FFFFFF"/>
        </w:rPr>
        <w:t xml:space="preserve">, F., </w:t>
      </w:r>
      <w:proofErr w:type="spellStart"/>
      <w:r w:rsidRPr="007E213F">
        <w:rPr>
          <w:rFonts w:cstheme="minorHAnsi"/>
          <w:sz w:val="24"/>
          <w:szCs w:val="24"/>
          <w:shd w:val="clear" w:color="auto" w:fill="FFFFFF"/>
        </w:rPr>
        <w:t>Brière</w:t>
      </w:r>
      <w:proofErr w:type="spellEnd"/>
      <w:r w:rsidRPr="007E213F">
        <w:rPr>
          <w:rFonts w:cstheme="minorHAnsi"/>
          <w:sz w:val="24"/>
          <w:szCs w:val="24"/>
          <w:shd w:val="clear" w:color="auto" w:fill="FFFFFF"/>
        </w:rPr>
        <w:t xml:space="preserve">, N., Stacey, D., Bourassa, H., </w:t>
      </w:r>
      <w:proofErr w:type="spellStart"/>
      <w:r w:rsidRPr="007E213F">
        <w:rPr>
          <w:rFonts w:cstheme="minorHAnsi"/>
          <w:sz w:val="24"/>
          <w:szCs w:val="24"/>
          <w:shd w:val="clear" w:color="auto" w:fill="FFFFFF"/>
        </w:rPr>
        <w:t>Desroches</w:t>
      </w:r>
      <w:proofErr w:type="spellEnd"/>
      <w:r w:rsidRPr="007E213F">
        <w:rPr>
          <w:rFonts w:cstheme="minorHAnsi"/>
          <w:sz w:val="24"/>
          <w:szCs w:val="24"/>
          <w:shd w:val="clear" w:color="auto" w:fill="FFFFFF"/>
        </w:rPr>
        <w:t xml:space="preserve">, S., Dumont, S., Fraser, K., Freitas, A., </w:t>
      </w:r>
      <w:proofErr w:type="spellStart"/>
      <w:r w:rsidRPr="007E213F">
        <w:rPr>
          <w:rFonts w:cstheme="minorHAnsi"/>
          <w:sz w:val="24"/>
          <w:szCs w:val="24"/>
          <w:shd w:val="clear" w:color="auto" w:fill="FFFFFF"/>
        </w:rPr>
        <w:t>Rivest</w:t>
      </w:r>
      <w:proofErr w:type="spellEnd"/>
      <w:r w:rsidRPr="007E213F">
        <w:rPr>
          <w:rFonts w:cstheme="minorHAnsi"/>
          <w:sz w:val="24"/>
          <w:szCs w:val="24"/>
          <w:shd w:val="clear" w:color="auto" w:fill="FFFFFF"/>
        </w:rPr>
        <w:t xml:space="preserve"> L-P. &amp; Roy L. (2015). Improving Decision making On Location of Care with the frail Elderly and their caregivers (the DOLCE study): study protocol for a cluster randomized controlled trial. </w:t>
      </w:r>
      <w:r w:rsidRPr="007E213F">
        <w:rPr>
          <w:rFonts w:cstheme="minorHAnsi"/>
          <w:iCs/>
          <w:sz w:val="24"/>
          <w:szCs w:val="24"/>
          <w:shd w:val="clear" w:color="auto" w:fill="FFFFFF"/>
        </w:rPr>
        <w:t xml:space="preserve">Trials </w:t>
      </w:r>
      <w:r w:rsidRPr="007E213F">
        <w:rPr>
          <w:rFonts w:cstheme="minorHAnsi"/>
          <w:bCs/>
          <w:sz w:val="24"/>
          <w:szCs w:val="24"/>
          <w:shd w:val="clear" w:color="auto" w:fill="FFFFFF"/>
        </w:rPr>
        <w:t>16</w:t>
      </w:r>
      <w:r w:rsidRPr="007E213F">
        <w:rPr>
          <w:rFonts w:cstheme="minorHAnsi"/>
          <w:b/>
          <w:bCs/>
          <w:sz w:val="24"/>
          <w:szCs w:val="24"/>
          <w:shd w:val="clear" w:color="auto" w:fill="FFFFFF"/>
        </w:rPr>
        <w:t xml:space="preserve">; </w:t>
      </w:r>
      <w:r w:rsidRPr="007E213F">
        <w:rPr>
          <w:rFonts w:cstheme="minorHAnsi"/>
          <w:sz w:val="24"/>
          <w:szCs w:val="24"/>
          <w:shd w:val="clear" w:color="auto" w:fill="FFFFFF"/>
        </w:rPr>
        <w:t xml:space="preserve">50. </w:t>
      </w:r>
      <w:hyperlink r:id="rId39" w:history="1">
        <w:r w:rsidRPr="007E213F">
          <w:rPr>
            <w:rStyle w:val="Hyperlink"/>
            <w:rFonts w:cstheme="minorHAnsi"/>
            <w:sz w:val="24"/>
            <w:szCs w:val="24"/>
            <w:shd w:val="clear" w:color="auto" w:fill="FFFFFF"/>
          </w:rPr>
          <w:t>https://doi.org/10.1186/s13063-015-0567-7</w:t>
        </w:r>
      </w:hyperlink>
      <w:r w:rsidRPr="007E213F">
        <w:rPr>
          <w:rStyle w:val="Hyperlink"/>
          <w:rFonts w:cstheme="minorHAnsi"/>
          <w:color w:val="auto"/>
          <w:sz w:val="24"/>
          <w:szCs w:val="24"/>
          <w:shd w:val="clear" w:color="auto" w:fill="FFFFFF"/>
        </w:rPr>
        <w:t xml:space="preserve"> </w:t>
      </w:r>
    </w:p>
    <w:p w14:paraId="62726A30" w14:textId="77777777" w:rsidR="00A1230E" w:rsidRPr="00A1230E" w:rsidRDefault="00A1230E" w:rsidP="00A1230E">
      <w:pPr>
        <w:autoSpaceDE w:val="0"/>
        <w:autoSpaceDN w:val="0"/>
        <w:adjustRightInd w:val="0"/>
        <w:spacing w:after="120" w:line="240" w:lineRule="auto"/>
        <w:rPr>
          <w:rFonts w:cstheme="minorHAnsi"/>
          <w:sz w:val="24"/>
          <w:szCs w:val="24"/>
        </w:rPr>
      </w:pPr>
      <w:proofErr w:type="spellStart"/>
      <w:r w:rsidRPr="00A1230E">
        <w:rPr>
          <w:rFonts w:cstheme="minorHAnsi"/>
          <w:sz w:val="24"/>
          <w:szCs w:val="24"/>
        </w:rPr>
        <w:t>Légaré</w:t>
      </w:r>
      <w:proofErr w:type="spellEnd"/>
      <w:r w:rsidRPr="00A1230E">
        <w:rPr>
          <w:rFonts w:cstheme="minorHAnsi"/>
          <w:sz w:val="24"/>
          <w:szCs w:val="24"/>
        </w:rPr>
        <w:t xml:space="preserve">, F., </w:t>
      </w:r>
      <w:proofErr w:type="spellStart"/>
      <w:r w:rsidRPr="00A1230E">
        <w:rPr>
          <w:rFonts w:cstheme="minorHAnsi"/>
          <w:sz w:val="24"/>
          <w:szCs w:val="24"/>
        </w:rPr>
        <w:t>Kearing</w:t>
      </w:r>
      <w:proofErr w:type="spellEnd"/>
      <w:r w:rsidRPr="00A1230E">
        <w:rPr>
          <w:rFonts w:cstheme="minorHAnsi"/>
          <w:sz w:val="24"/>
          <w:szCs w:val="24"/>
        </w:rPr>
        <w:t xml:space="preserve">, S., Clay, K., Gagnon, S., </w:t>
      </w:r>
      <w:proofErr w:type="spellStart"/>
      <w:r w:rsidRPr="00A1230E">
        <w:rPr>
          <w:rFonts w:cstheme="minorHAnsi"/>
          <w:sz w:val="24"/>
          <w:szCs w:val="24"/>
        </w:rPr>
        <w:t>D’Amours</w:t>
      </w:r>
      <w:proofErr w:type="spellEnd"/>
      <w:r w:rsidRPr="00A1230E">
        <w:rPr>
          <w:rFonts w:cstheme="minorHAnsi"/>
          <w:sz w:val="24"/>
          <w:szCs w:val="24"/>
        </w:rPr>
        <w:t>, D., Rousseau, M. and O’Connor, A. (2010). 'Are you SURE?</w:t>
      </w:r>
      <w:proofErr w:type="gramStart"/>
      <w:r w:rsidRPr="00A1230E">
        <w:rPr>
          <w:rFonts w:cstheme="minorHAnsi"/>
          <w:sz w:val="24"/>
          <w:szCs w:val="24"/>
        </w:rPr>
        <w:t>',</w:t>
      </w:r>
      <w:proofErr w:type="gramEnd"/>
      <w:r w:rsidRPr="00A1230E">
        <w:rPr>
          <w:rFonts w:cstheme="minorHAnsi"/>
          <w:sz w:val="24"/>
          <w:szCs w:val="24"/>
        </w:rPr>
        <w:t xml:space="preserve"> Canadian Family Physician, 56(8), p. e308. Available from </w:t>
      </w:r>
      <w:hyperlink r:id="rId40" w:history="1">
        <w:r w:rsidRPr="00A1230E">
          <w:rPr>
            <w:rStyle w:val="Hyperlink"/>
            <w:rFonts w:cstheme="minorHAnsi"/>
            <w:sz w:val="24"/>
            <w:szCs w:val="24"/>
          </w:rPr>
          <w:t>https://www.ncbi.nlm.nih.gov/pmc/articles/PMC2920798/</w:t>
        </w:r>
      </w:hyperlink>
      <w:r w:rsidRPr="00A1230E">
        <w:rPr>
          <w:rFonts w:cstheme="minorHAnsi"/>
          <w:sz w:val="24"/>
          <w:szCs w:val="24"/>
        </w:rPr>
        <w:t xml:space="preserve"> [Accessed 07 January 2021]</w:t>
      </w:r>
    </w:p>
    <w:p w14:paraId="49A9E1A1" w14:textId="77777777" w:rsidR="00A1230E" w:rsidRPr="00A1230E" w:rsidRDefault="00A1230E" w:rsidP="00A1230E">
      <w:pPr>
        <w:autoSpaceDE w:val="0"/>
        <w:autoSpaceDN w:val="0"/>
        <w:adjustRightInd w:val="0"/>
        <w:spacing w:after="120" w:line="240" w:lineRule="auto"/>
        <w:rPr>
          <w:rFonts w:cstheme="minorHAnsi"/>
          <w:sz w:val="24"/>
          <w:szCs w:val="24"/>
        </w:rPr>
      </w:pPr>
      <w:r w:rsidRPr="00A1230E">
        <w:rPr>
          <w:rFonts w:cstheme="minorHAnsi"/>
          <w:sz w:val="24"/>
          <w:szCs w:val="24"/>
        </w:rPr>
        <w:t xml:space="preserve">O’Connor, A.M. (1995). User Manual - Decision self-efficacy scale. Ottawa: Ottawa Hospital Research institute, ©1995, modified 2002. Available from </w:t>
      </w:r>
      <w:hyperlink r:id="rId41" w:history="1">
        <w:r w:rsidRPr="00A1230E">
          <w:rPr>
            <w:rStyle w:val="Hyperlink"/>
            <w:rFonts w:cstheme="minorHAnsi"/>
            <w:sz w:val="24"/>
            <w:szCs w:val="24"/>
          </w:rPr>
          <w:t>https://decisionaid.ohri.ca/docs/develop/User_Manuals/UM_Decision_SelfEfficacy.pdf</w:t>
        </w:r>
      </w:hyperlink>
      <w:r w:rsidRPr="00A1230E">
        <w:rPr>
          <w:rFonts w:cstheme="minorHAnsi"/>
          <w:sz w:val="24"/>
          <w:szCs w:val="24"/>
        </w:rPr>
        <w:t xml:space="preserve"> [Accessed 07 January 2021]</w:t>
      </w:r>
    </w:p>
    <w:p w14:paraId="5FE3A1FE" w14:textId="65EA695E"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Phillipson, L., Low, L.F., Dreyfus, S (2019). Consumer-directed care for older Australians: Are resources identified on the Web adequate to support decisions about home-based care </w:t>
      </w:r>
      <w:r w:rsidRPr="007E213F">
        <w:rPr>
          <w:rFonts w:cstheme="minorHAnsi"/>
          <w:sz w:val="24"/>
          <w:szCs w:val="24"/>
        </w:rPr>
        <w:lastRenderedPageBreak/>
        <w:t xml:space="preserve">packages? Australian Journal of Social Issues; </w:t>
      </w:r>
      <w:r w:rsidRPr="007E213F">
        <w:rPr>
          <w:rFonts w:cstheme="minorHAnsi"/>
          <w:bCs/>
          <w:sz w:val="24"/>
          <w:szCs w:val="24"/>
        </w:rPr>
        <w:t>54</w:t>
      </w:r>
      <w:r w:rsidRPr="007E213F">
        <w:rPr>
          <w:rFonts w:cstheme="minorHAnsi"/>
          <w:sz w:val="24"/>
          <w:szCs w:val="24"/>
        </w:rPr>
        <w:t>(2): 135-156.</w:t>
      </w:r>
      <w:r w:rsidR="00EC3CAD" w:rsidRPr="007E213F">
        <w:rPr>
          <w:rFonts w:cstheme="minorHAnsi"/>
          <w:sz w:val="24"/>
          <w:szCs w:val="24"/>
        </w:rPr>
        <w:t xml:space="preserve"> DOI: </w:t>
      </w:r>
      <w:hyperlink r:id="rId42" w:history="1">
        <w:r w:rsidR="00EC3CAD" w:rsidRPr="007E213F">
          <w:rPr>
            <w:rStyle w:val="Hyperlink"/>
            <w:rFonts w:cstheme="minorHAnsi"/>
            <w:sz w:val="24"/>
            <w:szCs w:val="24"/>
          </w:rPr>
          <w:t>https://doi.org/10.1002/ajs4.66</w:t>
        </w:r>
      </w:hyperlink>
      <w:r w:rsidR="00EC3CAD" w:rsidRPr="007E213F">
        <w:rPr>
          <w:rFonts w:cstheme="minorHAnsi"/>
          <w:sz w:val="24"/>
          <w:szCs w:val="24"/>
        </w:rPr>
        <w:t xml:space="preserve"> </w:t>
      </w:r>
    </w:p>
    <w:p w14:paraId="3ACA7281" w14:textId="094BC62E" w:rsidR="000F1F8C" w:rsidRPr="007E213F" w:rsidRDefault="000F1F8C" w:rsidP="000F1F8C">
      <w:pPr>
        <w:autoSpaceDE w:val="0"/>
        <w:autoSpaceDN w:val="0"/>
        <w:adjustRightInd w:val="0"/>
        <w:spacing w:after="120" w:line="240" w:lineRule="auto"/>
        <w:rPr>
          <w:rFonts w:cstheme="minorHAnsi"/>
          <w:sz w:val="24"/>
          <w:szCs w:val="24"/>
        </w:rPr>
      </w:pPr>
      <w:proofErr w:type="spellStart"/>
      <w:r w:rsidRPr="007E213F">
        <w:rPr>
          <w:rFonts w:cstheme="minorHAnsi"/>
          <w:sz w:val="24"/>
          <w:szCs w:val="24"/>
        </w:rPr>
        <w:t>Pinquart</w:t>
      </w:r>
      <w:proofErr w:type="spellEnd"/>
      <w:r w:rsidRPr="007E213F">
        <w:rPr>
          <w:rFonts w:cstheme="minorHAnsi"/>
          <w:sz w:val="24"/>
          <w:szCs w:val="24"/>
        </w:rPr>
        <w:t xml:space="preserve">, M. and Sorensen, S (2002). Psychological outcomes of preparation for future care needs. Journal of Applied Gerontology; </w:t>
      </w:r>
      <w:r w:rsidRPr="007E213F">
        <w:rPr>
          <w:rFonts w:cstheme="minorHAnsi"/>
          <w:bCs/>
          <w:sz w:val="24"/>
          <w:szCs w:val="24"/>
        </w:rPr>
        <w:t>21</w:t>
      </w:r>
      <w:r w:rsidRPr="007E213F">
        <w:rPr>
          <w:rFonts w:cstheme="minorHAnsi"/>
          <w:sz w:val="24"/>
          <w:szCs w:val="24"/>
        </w:rPr>
        <w:t>(4): 452-470.</w:t>
      </w:r>
      <w:r w:rsidR="00EC3CAD" w:rsidRPr="007E213F">
        <w:rPr>
          <w:rFonts w:cstheme="minorHAnsi"/>
          <w:sz w:val="24"/>
          <w:szCs w:val="24"/>
        </w:rPr>
        <w:t xml:space="preserve"> DOI: </w:t>
      </w:r>
      <w:hyperlink r:id="rId43" w:history="1">
        <w:r w:rsidR="00EC3CAD" w:rsidRPr="007E213F">
          <w:rPr>
            <w:rStyle w:val="Hyperlink"/>
            <w:rFonts w:cstheme="minorHAnsi"/>
            <w:sz w:val="24"/>
            <w:szCs w:val="24"/>
          </w:rPr>
          <w:t>https://doi.org/10.1177%2F073346402237632</w:t>
        </w:r>
      </w:hyperlink>
      <w:r w:rsidR="00EC3CAD" w:rsidRPr="007E213F">
        <w:rPr>
          <w:rFonts w:cstheme="minorHAnsi"/>
          <w:sz w:val="24"/>
          <w:szCs w:val="24"/>
        </w:rPr>
        <w:t xml:space="preserve"> </w:t>
      </w:r>
    </w:p>
    <w:p w14:paraId="0397818E" w14:textId="01C0CDF0" w:rsidR="000F1F8C" w:rsidRPr="007E213F" w:rsidRDefault="000F1F8C" w:rsidP="000F1F8C">
      <w:pPr>
        <w:autoSpaceDE w:val="0"/>
        <w:autoSpaceDN w:val="0"/>
        <w:adjustRightInd w:val="0"/>
        <w:spacing w:after="120" w:line="240" w:lineRule="auto"/>
        <w:rPr>
          <w:rFonts w:cstheme="minorHAnsi"/>
          <w:sz w:val="24"/>
          <w:szCs w:val="24"/>
        </w:rPr>
      </w:pPr>
      <w:proofErr w:type="spellStart"/>
      <w:r w:rsidRPr="007E213F">
        <w:rPr>
          <w:rFonts w:cstheme="minorHAnsi"/>
          <w:sz w:val="24"/>
          <w:szCs w:val="24"/>
        </w:rPr>
        <w:t>Polniaszek</w:t>
      </w:r>
      <w:proofErr w:type="spellEnd"/>
      <w:r w:rsidRPr="007E213F">
        <w:rPr>
          <w:rFonts w:cstheme="minorHAnsi"/>
          <w:sz w:val="24"/>
          <w:szCs w:val="24"/>
        </w:rPr>
        <w:t xml:space="preserve">, S. and Klinger, C (2004). Long-Term Care </w:t>
      </w:r>
      <w:proofErr w:type="spellStart"/>
      <w:r w:rsidRPr="007E213F">
        <w:rPr>
          <w:rFonts w:cstheme="minorHAnsi"/>
          <w:sz w:val="24"/>
          <w:szCs w:val="24"/>
        </w:rPr>
        <w:t>Counselor</w:t>
      </w:r>
      <w:proofErr w:type="spellEnd"/>
      <w:r w:rsidRPr="007E213F">
        <w:rPr>
          <w:rFonts w:cstheme="minorHAnsi"/>
          <w:sz w:val="24"/>
          <w:szCs w:val="24"/>
        </w:rPr>
        <w:t xml:space="preserve">: an electronic decision support tool. Care Management Journals; </w:t>
      </w:r>
      <w:r w:rsidRPr="007E213F">
        <w:rPr>
          <w:rFonts w:cstheme="minorHAnsi"/>
          <w:bCs/>
          <w:sz w:val="24"/>
          <w:szCs w:val="24"/>
        </w:rPr>
        <w:t>5</w:t>
      </w:r>
      <w:r w:rsidRPr="007E213F">
        <w:rPr>
          <w:rFonts w:cstheme="minorHAnsi"/>
          <w:sz w:val="24"/>
          <w:szCs w:val="24"/>
        </w:rPr>
        <w:t>(3): 139-144.</w:t>
      </w:r>
      <w:r w:rsidR="00EC3CAD" w:rsidRPr="007E213F">
        <w:rPr>
          <w:rFonts w:cstheme="minorHAnsi"/>
          <w:sz w:val="24"/>
          <w:szCs w:val="24"/>
        </w:rPr>
        <w:t xml:space="preserve"> DOI: </w:t>
      </w:r>
      <w:hyperlink r:id="rId44" w:history="1">
        <w:r w:rsidR="00EC3CAD" w:rsidRPr="007E213F">
          <w:rPr>
            <w:rStyle w:val="Hyperlink"/>
            <w:rFonts w:cstheme="minorHAnsi"/>
            <w:sz w:val="24"/>
            <w:szCs w:val="24"/>
          </w:rPr>
          <w:t>https://doi.org/10.1891/cmaj.2004.5.3.139</w:t>
        </w:r>
      </w:hyperlink>
      <w:r w:rsidR="00EC3CAD" w:rsidRPr="007E213F">
        <w:rPr>
          <w:rFonts w:cstheme="minorHAnsi"/>
          <w:sz w:val="24"/>
          <w:szCs w:val="24"/>
        </w:rPr>
        <w:t xml:space="preserve"> </w:t>
      </w:r>
    </w:p>
    <w:p w14:paraId="6651CB06" w14:textId="0AAB5EEF"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Putting People First Consortium, Institute of Public Care Oxford Brookes University and Melanie Henwood Associates (2011)</w:t>
      </w:r>
      <w:r w:rsidR="000C0B1E">
        <w:rPr>
          <w:rFonts w:asciiTheme="minorHAnsi" w:hAnsiTheme="minorHAnsi" w:cstheme="minorHAnsi"/>
          <w:sz w:val="24"/>
          <w:szCs w:val="24"/>
        </w:rPr>
        <w:t>.</w:t>
      </w:r>
      <w:r w:rsidRPr="007E213F">
        <w:rPr>
          <w:rFonts w:asciiTheme="minorHAnsi" w:hAnsiTheme="minorHAnsi" w:cstheme="minorHAnsi"/>
          <w:sz w:val="24"/>
          <w:szCs w:val="24"/>
        </w:rPr>
        <w:t xml:space="preserve"> 'People who pay for care: quantitative and qualitative analysis of self-funders in the social care market', London, Putting People First Consortium. </w:t>
      </w:r>
      <w:hyperlink r:id="rId45" w:history="1">
        <w:r w:rsidR="00204A2D" w:rsidRPr="007E213F">
          <w:rPr>
            <w:rStyle w:val="Hyperlink"/>
            <w:sz w:val="24"/>
            <w:szCs w:val="24"/>
          </w:rPr>
          <w:t>https://ipc.brookes.ac.uk/publications/People_who_pay_for_care_-_report_12_1_11_final.pdf</w:t>
        </w:r>
      </w:hyperlink>
      <w:r w:rsidR="00204A2D" w:rsidRPr="007E213F">
        <w:rPr>
          <w:sz w:val="24"/>
          <w:szCs w:val="24"/>
        </w:rPr>
        <w:t xml:space="preserve"> </w:t>
      </w:r>
      <w:r w:rsidRPr="007E213F">
        <w:rPr>
          <w:sz w:val="24"/>
          <w:szCs w:val="24"/>
        </w:rPr>
        <w:t>[Acessed 09 August 2020].</w:t>
      </w:r>
    </w:p>
    <w:p w14:paraId="653C1CFA" w14:textId="24E481AF" w:rsidR="003131B2" w:rsidRPr="003131B2" w:rsidRDefault="003131B2" w:rsidP="003131B2">
      <w:pPr>
        <w:autoSpaceDE w:val="0"/>
        <w:autoSpaceDN w:val="0"/>
        <w:adjustRightInd w:val="0"/>
        <w:spacing w:after="120" w:line="240" w:lineRule="auto"/>
        <w:rPr>
          <w:rFonts w:cstheme="minorHAnsi"/>
          <w:sz w:val="24"/>
          <w:szCs w:val="24"/>
        </w:rPr>
      </w:pPr>
      <w:r w:rsidRPr="003131B2">
        <w:rPr>
          <w:rFonts w:cstheme="minorHAnsi"/>
          <w:sz w:val="24"/>
          <w:szCs w:val="24"/>
        </w:rPr>
        <w:t xml:space="preserve">Robertson, R., Gregory, S. and </w:t>
      </w:r>
      <w:proofErr w:type="spellStart"/>
      <w:r w:rsidRPr="003131B2">
        <w:rPr>
          <w:rFonts w:cstheme="minorHAnsi"/>
          <w:sz w:val="24"/>
          <w:szCs w:val="24"/>
        </w:rPr>
        <w:t>Jabbal</w:t>
      </w:r>
      <w:proofErr w:type="spellEnd"/>
      <w:r w:rsidRPr="003131B2">
        <w:rPr>
          <w:rFonts w:cstheme="minorHAnsi"/>
          <w:sz w:val="24"/>
          <w:szCs w:val="24"/>
        </w:rPr>
        <w:t>, J. (2014)</w:t>
      </w:r>
      <w:r>
        <w:rPr>
          <w:rFonts w:cstheme="minorHAnsi"/>
          <w:sz w:val="24"/>
          <w:szCs w:val="24"/>
        </w:rPr>
        <w:t>.</w:t>
      </w:r>
      <w:r w:rsidRPr="003131B2">
        <w:rPr>
          <w:rFonts w:cstheme="minorHAnsi"/>
          <w:sz w:val="24"/>
          <w:szCs w:val="24"/>
        </w:rPr>
        <w:t xml:space="preserve"> 'The social care and health systems of nine countries.</w:t>
      </w:r>
      <w:r>
        <w:rPr>
          <w:rFonts w:cstheme="minorHAnsi"/>
          <w:sz w:val="24"/>
          <w:szCs w:val="24"/>
        </w:rPr>
        <w:t xml:space="preserve">’ </w:t>
      </w:r>
      <w:r w:rsidRPr="003131B2">
        <w:rPr>
          <w:rFonts w:cstheme="minorHAnsi"/>
          <w:sz w:val="24"/>
          <w:szCs w:val="24"/>
        </w:rPr>
        <w:t xml:space="preserve">London, </w:t>
      </w:r>
      <w:proofErr w:type="gramStart"/>
      <w:r w:rsidRPr="003131B2">
        <w:rPr>
          <w:rFonts w:cstheme="minorHAnsi"/>
          <w:sz w:val="24"/>
          <w:szCs w:val="24"/>
        </w:rPr>
        <w:t>The</w:t>
      </w:r>
      <w:proofErr w:type="gramEnd"/>
      <w:r w:rsidRPr="003131B2">
        <w:rPr>
          <w:rFonts w:cstheme="minorHAnsi"/>
          <w:sz w:val="24"/>
          <w:szCs w:val="24"/>
        </w:rPr>
        <w:t xml:space="preserve"> King's Fund.</w:t>
      </w:r>
      <w:r>
        <w:rPr>
          <w:rFonts w:cstheme="minorHAnsi"/>
          <w:sz w:val="24"/>
          <w:szCs w:val="24"/>
        </w:rPr>
        <w:t xml:space="preserve"> </w:t>
      </w:r>
      <w:hyperlink r:id="rId46" w:history="1">
        <w:r w:rsidRPr="00911482">
          <w:rPr>
            <w:rStyle w:val="Hyperlink"/>
            <w:rFonts w:cstheme="minorHAnsi"/>
            <w:sz w:val="24"/>
            <w:szCs w:val="24"/>
          </w:rPr>
          <w:t>https://www.kingsfund.org.uk/sites/default/files/media/commission-background-paper-social-care-health-system-other-countries.pdf</w:t>
        </w:r>
      </w:hyperlink>
      <w:r>
        <w:rPr>
          <w:rFonts w:cstheme="minorHAnsi"/>
          <w:sz w:val="24"/>
          <w:szCs w:val="24"/>
        </w:rPr>
        <w:t xml:space="preserve"> [Accessed 06 January 2021]</w:t>
      </w:r>
    </w:p>
    <w:p w14:paraId="6AE685FC" w14:textId="2A9BF991"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Serrano-</w:t>
      </w:r>
      <w:proofErr w:type="spellStart"/>
      <w:r w:rsidRPr="007E213F">
        <w:rPr>
          <w:rFonts w:cstheme="minorHAnsi"/>
          <w:sz w:val="24"/>
          <w:szCs w:val="24"/>
        </w:rPr>
        <w:t>Gemes</w:t>
      </w:r>
      <w:proofErr w:type="spellEnd"/>
      <w:r w:rsidRPr="007E213F">
        <w:rPr>
          <w:rFonts w:cstheme="minorHAnsi"/>
          <w:sz w:val="24"/>
          <w:szCs w:val="24"/>
        </w:rPr>
        <w:t>, G., Serrano-del-</w:t>
      </w:r>
      <w:proofErr w:type="spellStart"/>
      <w:r w:rsidRPr="007E213F">
        <w:rPr>
          <w:rFonts w:cstheme="minorHAnsi"/>
          <w:sz w:val="24"/>
          <w:szCs w:val="24"/>
        </w:rPr>
        <w:t>Rosal</w:t>
      </w:r>
      <w:proofErr w:type="spellEnd"/>
      <w:r w:rsidRPr="007E213F">
        <w:rPr>
          <w:rFonts w:cstheme="minorHAnsi"/>
          <w:sz w:val="24"/>
          <w:szCs w:val="24"/>
        </w:rPr>
        <w:t xml:space="preserve">, R., Rich-Ruiz, M (2018). Decision-making on the location of care of the elderly: protocol for a systematic review of qualitative studies. </w:t>
      </w:r>
      <w:r w:rsidR="00E72356" w:rsidRPr="007E213F">
        <w:rPr>
          <w:rFonts w:cstheme="minorHAnsi"/>
          <w:sz w:val="24"/>
          <w:szCs w:val="24"/>
        </w:rPr>
        <w:t xml:space="preserve">BMJ </w:t>
      </w:r>
      <w:r w:rsidRPr="007E213F">
        <w:rPr>
          <w:rFonts w:cstheme="minorHAnsi"/>
          <w:sz w:val="24"/>
          <w:szCs w:val="24"/>
        </w:rPr>
        <w:t xml:space="preserve">Open; </w:t>
      </w:r>
      <w:r w:rsidRPr="007E213F">
        <w:rPr>
          <w:rFonts w:cstheme="minorHAnsi"/>
          <w:bCs/>
          <w:sz w:val="24"/>
          <w:szCs w:val="24"/>
        </w:rPr>
        <w:t>8</w:t>
      </w:r>
      <w:r w:rsidRPr="007E213F">
        <w:rPr>
          <w:rFonts w:cstheme="minorHAnsi"/>
          <w:sz w:val="24"/>
          <w:szCs w:val="24"/>
        </w:rPr>
        <w:t xml:space="preserve">(10). </w:t>
      </w:r>
      <w:hyperlink r:id="rId47" w:history="1">
        <w:r w:rsidR="00204A2D" w:rsidRPr="007E213F">
          <w:rPr>
            <w:rStyle w:val="Hyperlink"/>
            <w:sz w:val="24"/>
            <w:szCs w:val="24"/>
          </w:rPr>
          <w:t>https://doi.org/</w:t>
        </w:r>
        <w:r w:rsidR="00204A2D" w:rsidRPr="007E213F">
          <w:rPr>
            <w:rStyle w:val="Hyperlink"/>
            <w:rFonts w:cstheme="minorHAnsi"/>
            <w:sz w:val="24"/>
            <w:szCs w:val="24"/>
          </w:rPr>
          <w:t>10.1136/bmjopen-2018-022411</w:t>
        </w:r>
      </w:hyperlink>
      <w:r w:rsidR="00204A2D" w:rsidRPr="007E213F">
        <w:rPr>
          <w:rFonts w:cstheme="minorHAnsi"/>
          <w:sz w:val="24"/>
          <w:szCs w:val="24"/>
        </w:rPr>
        <w:t xml:space="preserve"> </w:t>
      </w:r>
    </w:p>
    <w:p w14:paraId="28AF0876" w14:textId="462CAAE5"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Sorensen, S., Chapman, B.P., Duberstein, P.R., </w:t>
      </w:r>
      <w:proofErr w:type="spellStart"/>
      <w:r w:rsidRPr="007E213F">
        <w:rPr>
          <w:rFonts w:cstheme="minorHAnsi"/>
          <w:sz w:val="24"/>
          <w:szCs w:val="24"/>
        </w:rPr>
        <w:t>Pinquart</w:t>
      </w:r>
      <w:proofErr w:type="spellEnd"/>
      <w:r w:rsidRPr="007E213F">
        <w:rPr>
          <w:rFonts w:cstheme="minorHAnsi"/>
          <w:sz w:val="24"/>
          <w:szCs w:val="24"/>
        </w:rPr>
        <w:t xml:space="preserve">, M., </w:t>
      </w:r>
      <w:proofErr w:type="spellStart"/>
      <w:r w:rsidRPr="007E213F">
        <w:rPr>
          <w:rFonts w:cstheme="minorHAnsi"/>
          <w:sz w:val="24"/>
          <w:szCs w:val="24"/>
        </w:rPr>
        <w:t>Lyness</w:t>
      </w:r>
      <w:proofErr w:type="spellEnd"/>
      <w:r w:rsidRPr="007E213F">
        <w:rPr>
          <w:rFonts w:cstheme="minorHAnsi"/>
          <w:sz w:val="24"/>
          <w:szCs w:val="24"/>
        </w:rPr>
        <w:t xml:space="preserve">, J.M (2017). Assessing Future Care Preparation in Late Life: Two Short Measures. Psychological Assessment; </w:t>
      </w:r>
      <w:r w:rsidRPr="007E213F">
        <w:rPr>
          <w:rFonts w:cstheme="minorHAnsi"/>
          <w:bCs/>
          <w:sz w:val="24"/>
          <w:szCs w:val="24"/>
        </w:rPr>
        <w:t>29</w:t>
      </w:r>
      <w:r w:rsidRPr="007E213F">
        <w:rPr>
          <w:rFonts w:cstheme="minorHAnsi"/>
          <w:sz w:val="24"/>
          <w:szCs w:val="24"/>
        </w:rPr>
        <w:t>(12): 1480-1495.</w:t>
      </w:r>
      <w:r w:rsidR="00EC3CAD" w:rsidRPr="007E213F">
        <w:rPr>
          <w:rFonts w:cstheme="minorHAnsi"/>
          <w:sz w:val="24"/>
          <w:szCs w:val="24"/>
        </w:rPr>
        <w:t xml:space="preserve"> DOI: </w:t>
      </w:r>
      <w:hyperlink r:id="rId48" w:history="1">
        <w:r w:rsidR="00EC3CAD" w:rsidRPr="007E213F">
          <w:rPr>
            <w:rStyle w:val="Hyperlink"/>
            <w:rFonts w:cstheme="minorHAnsi"/>
            <w:sz w:val="24"/>
            <w:szCs w:val="24"/>
          </w:rPr>
          <w:t>https://doi.apa.org/doi/10.1037/pas0000446</w:t>
        </w:r>
      </w:hyperlink>
      <w:r w:rsidR="00EC3CAD" w:rsidRPr="007E213F">
        <w:rPr>
          <w:rFonts w:cstheme="minorHAnsi"/>
          <w:sz w:val="24"/>
          <w:szCs w:val="24"/>
        </w:rPr>
        <w:t xml:space="preserve"> </w:t>
      </w:r>
    </w:p>
    <w:p w14:paraId="5DE470B4" w14:textId="70B3A602"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Sorensen, S., </w:t>
      </w:r>
      <w:proofErr w:type="spellStart"/>
      <w:r w:rsidRPr="007E213F">
        <w:rPr>
          <w:rFonts w:cstheme="minorHAnsi"/>
          <w:sz w:val="24"/>
          <w:szCs w:val="24"/>
        </w:rPr>
        <w:t>Mak</w:t>
      </w:r>
      <w:proofErr w:type="spellEnd"/>
      <w:r w:rsidRPr="007E213F">
        <w:rPr>
          <w:rFonts w:cstheme="minorHAnsi"/>
          <w:sz w:val="24"/>
          <w:szCs w:val="24"/>
        </w:rPr>
        <w:t xml:space="preserve">, W., Chapman, B., Duberstein, P.R., </w:t>
      </w:r>
      <w:proofErr w:type="spellStart"/>
      <w:r w:rsidRPr="007E213F">
        <w:rPr>
          <w:rFonts w:cstheme="minorHAnsi"/>
          <w:sz w:val="24"/>
          <w:szCs w:val="24"/>
        </w:rPr>
        <w:t>Lyness</w:t>
      </w:r>
      <w:proofErr w:type="spellEnd"/>
      <w:r w:rsidRPr="007E213F">
        <w:rPr>
          <w:rFonts w:cstheme="minorHAnsi"/>
          <w:sz w:val="24"/>
          <w:szCs w:val="24"/>
        </w:rPr>
        <w:t xml:space="preserve">, J.M (2012). The relationship of Preparation for Future Care to Depression and Anxiety in Older Primary Care Patients at 2-Year Follow-up. American Journal of Geriatric Psychiatry; </w:t>
      </w:r>
      <w:r w:rsidRPr="007E213F">
        <w:rPr>
          <w:rFonts w:cstheme="minorHAnsi"/>
          <w:bCs/>
          <w:sz w:val="24"/>
          <w:szCs w:val="24"/>
        </w:rPr>
        <w:t>20</w:t>
      </w:r>
      <w:r w:rsidRPr="007E213F">
        <w:rPr>
          <w:rFonts w:cstheme="minorHAnsi"/>
          <w:sz w:val="24"/>
          <w:szCs w:val="24"/>
        </w:rPr>
        <w:t>(10): 887-894.</w:t>
      </w:r>
      <w:r w:rsidR="007B4BEA" w:rsidRPr="007E213F">
        <w:rPr>
          <w:rFonts w:cstheme="minorHAnsi"/>
          <w:sz w:val="24"/>
          <w:szCs w:val="24"/>
        </w:rPr>
        <w:t xml:space="preserve"> DOI: </w:t>
      </w:r>
      <w:hyperlink r:id="rId49" w:history="1">
        <w:r w:rsidR="007B4BEA" w:rsidRPr="007E213F">
          <w:rPr>
            <w:rStyle w:val="Hyperlink"/>
            <w:rFonts w:cstheme="minorHAnsi"/>
            <w:sz w:val="24"/>
            <w:szCs w:val="24"/>
          </w:rPr>
          <w:t>https://doi.org/10.1097/jgp.0b013e31822ccd8c</w:t>
        </w:r>
      </w:hyperlink>
      <w:r w:rsidR="007B4BEA" w:rsidRPr="007E213F">
        <w:rPr>
          <w:rFonts w:cstheme="minorHAnsi"/>
          <w:sz w:val="24"/>
          <w:szCs w:val="24"/>
        </w:rPr>
        <w:t xml:space="preserve"> </w:t>
      </w:r>
    </w:p>
    <w:p w14:paraId="1FC4A16E" w14:textId="7CDB50CA"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Sorensen, S. and. </w:t>
      </w:r>
      <w:proofErr w:type="spellStart"/>
      <w:r w:rsidRPr="007E213F">
        <w:rPr>
          <w:rFonts w:cstheme="minorHAnsi"/>
          <w:sz w:val="24"/>
          <w:szCs w:val="24"/>
        </w:rPr>
        <w:t>Pinquart</w:t>
      </w:r>
      <w:proofErr w:type="spellEnd"/>
      <w:r w:rsidRPr="007E213F">
        <w:rPr>
          <w:rFonts w:cstheme="minorHAnsi"/>
          <w:sz w:val="24"/>
          <w:szCs w:val="24"/>
        </w:rPr>
        <w:t xml:space="preserve">, M (2001). Developing a measure of older adults' preparation for future care needs. International Journal of Aging and Human Development. </w:t>
      </w:r>
      <w:r w:rsidRPr="007E213F">
        <w:rPr>
          <w:rFonts w:cstheme="minorHAnsi"/>
          <w:bCs/>
          <w:sz w:val="24"/>
          <w:szCs w:val="24"/>
        </w:rPr>
        <w:t xml:space="preserve">53; </w:t>
      </w:r>
      <w:r w:rsidRPr="007E213F">
        <w:rPr>
          <w:rFonts w:cstheme="minorHAnsi"/>
          <w:sz w:val="24"/>
          <w:szCs w:val="24"/>
        </w:rPr>
        <w:t>(2): 137-165.</w:t>
      </w:r>
      <w:r w:rsidR="007B4BEA" w:rsidRPr="007E213F">
        <w:rPr>
          <w:rFonts w:cstheme="minorHAnsi"/>
          <w:sz w:val="24"/>
          <w:szCs w:val="24"/>
        </w:rPr>
        <w:t xml:space="preserve"> DOI: </w:t>
      </w:r>
      <w:hyperlink r:id="rId50" w:history="1">
        <w:r w:rsidR="007B4BEA" w:rsidRPr="007E213F">
          <w:rPr>
            <w:rStyle w:val="Hyperlink"/>
            <w:rFonts w:cstheme="minorHAnsi"/>
            <w:sz w:val="24"/>
            <w:szCs w:val="24"/>
          </w:rPr>
          <w:t>https://doi.org/10.2190%2F1R0D-30TC-F4K1-F0DW</w:t>
        </w:r>
      </w:hyperlink>
      <w:r w:rsidR="007B4BEA" w:rsidRPr="007E213F">
        <w:rPr>
          <w:rFonts w:cstheme="minorHAnsi"/>
          <w:sz w:val="24"/>
          <w:szCs w:val="24"/>
        </w:rPr>
        <w:t xml:space="preserve"> </w:t>
      </w:r>
    </w:p>
    <w:p w14:paraId="5571ABFC" w14:textId="0A177ECB" w:rsidR="000F1F8C" w:rsidRPr="007E213F" w:rsidRDefault="000F1F8C" w:rsidP="000F1F8C">
      <w:pPr>
        <w:autoSpaceDE w:val="0"/>
        <w:autoSpaceDN w:val="0"/>
        <w:adjustRightInd w:val="0"/>
        <w:spacing w:after="120" w:line="240" w:lineRule="auto"/>
        <w:rPr>
          <w:rFonts w:cstheme="minorHAnsi"/>
          <w:sz w:val="24"/>
          <w:szCs w:val="24"/>
        </w:rPr>
      </w:pPr>
      <w:r w:rsidRPr="007E213F">
        <w:rPr>
          <w:rFonts w:cstheme="minorHAnsi"/>
          <w:sz w:val="24"/>
          <w:szCs w:val="24"/>
        </w:rPr>
        <w:t xml:space="preserve">Stacey, D., </w:t>
      </w:r>
      <w:proofErr w:type="spellStart"/>
      <w:r w:rsidRPr="007E213F">
        <w:rPr>
          <w:rFonts w:cstheme="minorHAnsi"/>
          <w:sz w:val="24"/>
          <w:szCs w:val="24"/>
        </w:rPr>
        <w:t>Légaré</w:t>
      </w:r>
      <w:proofErr w:type="spellEnd"/>
      <w:r w:rsidRPr="007E213F">
        <w:rPr>
          <w:rFonts w:cstheme="minorHAnsi"/>
          <w:sz w:val="24"/>
          <w:szCs w:val="24"/>
        </w:rPr>
        <w:t xml:space="preserve">, F., Lewis, K., </w:t>
      </w:r>
      <w:r w:rsidR="00746889" w:rsidRPr="007E213F">
        <w:rPr>
          <w:rFonts w:cstheme="minorHAnsi"/>
          <w:sz w:val="24"/>
          <w:szCs w:val="24"/>
        </w:rPr>
        <w:t>Barry, M.J., Bennett, C.L., Eden, K.B., Holmes-</w:t>
      </w:r>
      <w:proofErr w:type="spellStart"/>
      <w:r w:rsidR="00746889" w:rsidRPr="007E213F">
        <w:rPr>
          <w:rFonts w:cstheme="minorHAnsi"/>
          <w:sz w:val="24"/>
          <w:szCs w:val="24"/>
        </w:rPr>
        <w:t>Rovner</w:t>
      </w:r>
      <w:proofErr w:type="spellEnd"/>
      <w:r w:rsidR="00746889" w:rsidRPr="007E213F">
        <w:rPr>
          <w:rFonts w:cstheme="minorHAnsi"/>
          <w:sz w:val="24"/>
          <w:szCs w:val="24"/>
        </w:rPr>
        <w:t xml:space="preserve">, M., Llewellyn-Thomas, H., </w:t>
      </w:r>
      <w:proofErr w:type="spellStart"/>
      <w:r w:rsidR="00746889" w:rsidRPr="007E213F">
        <w:rPr>
          <w:rFonts w:cstheme="minorHAnsi"/>
          <w:sz w:val="24"/>
          <w:szCs w:val="24"/>
        </w:rPr>
        <w:t>Lyddiatt</w:t>
      </w:r>
      <w:proofErr w:type="spellEnd"/>
      <w:r w:rsidR="00746889" w:rsidRPr="007E213F">
        <w:rPr>
          <w:rFonts w:cstheme="minorHAnsi"/>
          <w:sz w:val="24"/>
          <w:szCs w:val="24"/>
        </w:rPr>
        <w:t>, A., Thomson, R., Trevena, L.</w:t>
      </w:r>
      <w:r w:rsidRPr="007E213F">
        <w:rPr>
          <w:rFonts w:cstheme="minorHAnsi"/>
          <w:sz w:val="24"/>
          <w:szCs w:val="24"/>
        </w:rPr>
        <w:t xml:space="preserve"> (2017)</w:t>
      </w:r>
      <w:r w:rsidR="00C31901">
        <w:rPr>
          <w:rFonts w:cstheme="minorHAnsi"/>
          <w:sz w:val="24"/>
          <w:szCs w:val="24"/>
        </w:rPr>
        <w:t>.</w:t>
      </w:r>
      <w:r w:rsidRPr="007E213F">
        <w:rPr>
          <w:rFonts w:cstheme="minorHAnsi"/>
          <w:sz w:val="24"/>
          <w:szCs w:val="24"/>
        </w:rPr>
        <w:t xml:space="preserve"> Decision aids for people facing health treatment or screening decisions. </w:t>
      </w:r>
      <w:r w:rsidRPr="007E213F">
        <w:rPr>
          <w:rFonts w:cstheme="minorHAnsi"/>
          <w:iCs/>
          <w:sz w:val="24"/>
          <w:szCs w:val="24"/>
        </w:rPr>
        <w:t>Cochrane Database of Systematic Reviews</w:t>
      </w:r>
      <w:r w:rsidRPr="007E213F">
        <w:rPr>
          <w:rFonts w:cstheme="minorHAnsi"/>
          <w:sz w:val="24"/>
          <w:szCs w:val="24"/>
        </w:rPr>
        <w:t xml:space="preserve">, Issue 4. Art. No.: CD001431. [Accessed 14.1.20] DOI: </w:t>
      </w:r>
      <w:hyperlink r:id="rId51" w:history="1">
        <w:r w:rsidR="00204A2D" w:rsidRPr="007E213F">
          <w:rPr>
            <w:rStyle w:val="Hyperlink"/>
            <w:sz w:val="24"/>
            <w:szCs w:val="24"/>
          </w:rPr>
          <w:t>https://doi.org/</w:t>
        </w:r>
        <w:r w:rsidR="00204A2D" w:rsidRPr="007E213F">
          <w:rPr>
            <w:rStyle w:val="Hyperlink"/>
            <w:rFonts w:cstheme="minorHAnsi"/>
            <w:sz w:val="24"/>
            <w:szCs w:val="24"/>
          </w:rPr>
          <w:t>10.1002/14651858.CD001431.pub5</w:t>
        </w:r>
      </w:hyperlink>
      <w:r w:rsidR="00204A2D" w:rsidRPr="007E213F">
        <w:rPr>
          <w:rFonts w:cstheme="minorHAnsi"/>
          <w:sz w:val="24"/>
          <w:szCs w:val="24"/>
        </w:rPr>
        <w:t xml:space="preserve"> </w:t>
      </w:r>
    </w:p>
    <w:p w14:paraId="04DFD724" w14:textId="2991F007" w:rsidR="000F1F8C" w:rsidRPr="007E213F" w:rsidRDefault="000F1F8C" w:rsidP="000F1F8C">
      <w:pPr>
        <w:spacing w:after="120"/>
        <w:rPr>
          <w:rFonts w:cstheme="minorHAnsi"/>
          <w:sz w:val="24"/>
          <w:szCs w:val="24"/>
          <w:shd w:val="clear" w:color="auto" w:fill="FFFFFF"/>
        </w:rPr>
      </w:pPr>
      <w:proofErr w:type="spellStart"/>
      <w:r w:rsidRPr="007E213F">
        <w:rPr>
          <w:rFonts w:cstheme="minorHAnsi"/>
          <w:sz w:val="24"/>
          <w:szCs w:val="24"/>
          <w:shd w:val="clear" w:color="auto" w:fill="FFFFFF"/>
        </w:rPr>
        <w:t>Tomko</w:t>
      </w:r>
      <w:proofErr w:type="spellEnd"/>
      <w:r w:rsidRPr="007E213F">
        <w:rPr>
          <w:rFonts w:cstheme="minorHAnsi"/>
          <w:sz w:val="24"/>
          <w:szCs w:val="24"/>
          <w:shd w:val="clear" w:color="auto" w:fill="FFFFFF"/>
        </w:rPr>
        <w:t xml:space="preserve">, C., Davis, K. M., Luta, G., </w:t>
      </w:r>
      <w:proofErr w:type="spellStart"/>
      <w:r w:rsidRPr="007E213F">
        <w:rPr>
          <w:rFonts w:cstheme="minorHAnsi"/>
          <w:sz w:val="24"/>
          <w:szCs w:val="24"/>
          <w:shd w:val="clear" w:color="auto" w:fill="FFFFFF"/>
        </w:rPr>
        <w:t>Krist</w:t>
      </w:r>
      <w:proofErr w:type="spellEnd"/>
      <w:r w:rsidRPr="007E213F">
        <w:rPr>
          <w:rFonts w:cstheme="minorHAnsi"/>
          <w:sz w:val="24"/>
          <w:szCs w:val="24"/>
          <w:shd w:val="clear" w:color="auto" w:fill="FFFFFF"/>
        </w:rPr>
        <w:t xml:space="preserve">, A. H., Woolf, S. H., and Taylor, K. L. (2015). A comparison of web-based versus print-based decision AIDS for prostate cancer screening: participants' evaluation and utilization. Journal of general internal medicine, 30(1), 33–42. </w:t>
      </w:r>
      <w:r w:rsidR="00E72356" w:rsidRPr="007E213F">
        <w:rPr>
          <w:rFonts w:cstheme="minorHAnsi"/>
          <w:sz w:val="24"/>
          <w:szCs w:val="24"/>
          <w:shd w:val="clear" w:color="auto" w:fill="FFFFFF"/>
        </w:rPr>
        <w:t xml:space="preserve">DOI: </w:t>
      </w:r>
      <w:hyperlink r:id="rId52" w:history="1">
        <w:r w:rsidR="00F45B8A" w:rsidRPr="007E213F">
          <w:rPr>
            <w:rStyle w:val="Hyperlink"/>
            <w:rFonts w:cstheme="minorHAnsi"/>
            <w:sz w:val="24"/>
            <w:szCs w:val="24"/>
            <w:shd w:val="clear" w:color="auto" w:fill="FFFFFF"/>
          </w:rPr>
          <w:t>https://doi.org/10.1007/s11606-014-2994-7</w:t>
        </w:r>
      </w:hyperlink>
      <w:r w:rsidR="00F45B8A" w:rsidRPr="007E213F">
        <w:rPr>
          <w:rFonts w:cstheme="minorHAnsi"/>
          <w:sz w:val="24"/>
          <w:szCs w:val="24"/>
          <w:shd w:val="clear" w:color="auto" w:fill="FFFFFF"/>
        </w:rPr>
        <w:t xml:space="preserve"> </w:t>
      </w:r>
    </w:p>
    <w:p w14:paraId="1A4D2578" w14:textId="5C8CE24D" w:rsidR="000F1F8C" w:rsidRPr="007E213F" w:rsidRDefault="000F1F8C" w:rsidP="000F1F8C">
      <w:pPr>
        <w:spacing w:after="120"/>
        <w:rPr>
          <w:rFonts w:cstheme="minorHAnsi"/>
          <w:sz w:val="24"/>
          <w:szCs w:val="24"/>
          <w:shd w:val="clear" w:color="auto" w:fill="FFFFFF"/>
        </w:rPr>
      </w:pPr>
      <w:proofErr w:type="gramStart"/>
      <w:r w:rsidRPr="007E213F">
        <w:rPr>
          <w:rFonts w:cstheme="minorHAnsi"/>
          <w:sz w:val="24"/>
          <w:szCs w:val="24"/>
          <w:shd w:val="clear" w:color="auto" w:fill="FFFFFF"/>
        </w:rPr>
        <w:t>van</w:t>
      </w:r>
      <w:proofErr w:type="gramEnd"/>
      <w:r w:rsidRPr="007E213F">
        <w:rPr>
          <w:rFonts w:cstheme="minorHAnsi"/>
          <w:sz w:val="24"/>
          <w:szCs w:val="24"/>
          <w:shd w:val="clear" w:color="auto" w:fill="FFFFFF"/>
        </w:rPr>
        <w:t xml:space="preserve"> </w:t>
      </w:r>
      <w:proofErr w:type="spellStart"/>
      <w:r w:rsidRPr="007E213F">
        <w:rPr>
          <w:rFonts w:cstheme="minorHAnsi"/>
          <w:sz w:val="24"/>
          <w:szCs w:val="24"/>
          <w:shd w:val="clear" w:color="auto" w:fill="FFFFFF"/>
        </w:rPr>
        <w:t>Weert</w:t>
      </w:r>
      <w:proofErr w:type="spellEnd"/>
      <w:r w:rsidRPr="007E213F">
        <w:rPr>
          <w:rFonts w:cstheme="minorHAnsi"/>
          <w:sz w:val="24"/>
          <w:szCs w:val="24"/>
          <w:shd w:val="clear" w:color="auto" w:fill="FFFFFF"/>
        </w:rPr>
        <w:t>, J.C.M., van Munster, B.C., Sanders, R.,</w:t>
      </w:r>
      <w:r w:rsidR="00746889" w:rsidRPr="007E213F">
        <w:rPr>
          <w:rFonts w:cstheme="minorHAnsi"/>
          <w:sz w:val="24"/>
          <w:szCs w:val="24"/>
          <w:shd w:val="clear" w:color="auto" w:fill="FFFFFF"/>
        </w:rPr>
        <w:t xml:space="preserve"> </w:t>
      </w:r>
      <w:proofErr w:type="spellStart"/>
      <w:r w:rsidR="00746889" w:rsidRPr="007E213F">
        <w:rPr>
          <w:rFonts w:cstheme="minorHAnsi"/>
          <w:sz w:val="24"/>
          <w:szCs w:val="24"/>
          <w:shd w:val="clear" w:color="auto" w:fill="FFFFFF"/>
        </w:rPr>
        <w:t>Spijker</w:t>
      </w:r>
      <w:proofErr w:type="spellEnd"/>
      <w:r w:rsidR="00746889" w:rsidRPr="007E213F">
        <w:rPr>
          <w:rFonts w:cstheme="minorHAnsi"/>
          <w:sz w:val="24"/>
          <w:szCs w:val="24"/>
          <w:shd w:val="clear" w:color="auto" w:fill="FFFFFF"/>
        </w:rPr>
        <w:t xml:space="preserve">, R., </w:t>
      </w:r>
      <w:proofErr w:type="spellStart"/>
      <w:r w:rsidR="00746889" w:rsidRPr="007E213F">
        <w:rPr>
          <w:rFonts w:cstheme="minorHAnsi"/>
          <w:sz w:val="24"/>
          <w:szCs w:val="24"/>
          <w:shd w:val="clear" w:color="auto" w:fill="FFFFFF"/>
        </w:rPr>
        <w:t>Hooft</w:t>
      </w:r>
      <w:proofErr w:type="spellEnd"/>
      <w:r w:rsidR="00746889" w:rsidRPr="007E213F">
        <w:rPr>
          <w:rFonts w:cstheme="minorHAnsi"/>
          <w:sz w:val="24"/>
          <w:szCs w:val="24"/>
          <w:shd w:val="clear" w:color="auto" w:fill="FFFFFF"/>
        </w:rPr>
        <w:t>, L. &amp; Jansen, J</w:t>
      </w:r>
      <w:r w:rsidRPr="007E213F">
        <w:rPr>
          <w:rFonts w:cstheme="minorHAnsi"/>
          <w:iCs/>
          <w:sz w:val="24"/>
          <w:szCs w:val="24"/>
          <w:shd w:val="clear" w:color="auto" w:fill="FFFFFF"/>
        </w:rPr>
        <w:t xml:space="preserve">. </w:t>
      </w:r>
      <w:r w:rsidRPr="007E213F">
        <w:rPr>
          <w:rFonts w:cstheme="minorHAnsi"/>
          <w:sz w:val="24"/>
          <w:szCs w:val="24"/>
          <w:shd w:val="clear" w:color="auto" w:fill="FFFFFF"/>
        </w:rPr>
        <w:t>(2016). Decision aids to help older people make health decisions: a systematic review and meta-</w:t>
      </w:r>
      <w:r w:rsidRPr="007E213F">
        <w:rPr>
          <w:rFonts w:cstheme="minorHAnsi"/>
          <w:sz w:val="24"/>
          <w:szCs w:val="24"/>
          <w:shd w:val="clear" w:color="auto" w:fill="FFFFFF"/>
        </w:rPr>
        <w:lastRenderedPageBreak/>
        <w:t>analysis.</w:t>
      </w:r>
      <w:r w:rsidR="00E72356" w:rsidRPr="007E213F">
        <w:rPr>
          <w:rFonts w:cstheme="minorHAnsi"/>
          <w:sz w:val="24"/>
          <w:szCs w:val="24"/>
          <w:shd w:val="clear" w:color="auto" w:fill="FFFFFF"/>
        </w:rPr>
        <w:t xml:space="preserve"> </w:t>
      </w:r>
      <w:r w:rsidRPr="007E213F">
        <w:rPr>
          <w:rFonts w:cstheme="minorHAnsi"/>
          <w:iCs/>
          <w:sz w:val="24"/>
          <w:szCs w:val="24"/>
          <w:shd w:val="clear" w:color="auto" w:fill="FFFFFF"/>
        </w:rPr>
        <w:t>BMC Medical Informatics and Decision Mak</w:t>
      </w:r>
      <w:r w:rsidRPr="007E213F">
        <w:rPr>
          <w:rFonts w:cstheme="minorHAnsi"/>
          <w:sz w:val="24"/>
          <w:szCs w:val="24"/>
          <w:shd w:val="clear" w:color="auto" w:fill="FFFFFF"/>
        </w:rPr>
        <w:t>ing</w:t>
      </w:r>
      <w:proofErr w:type="gramStart"/>
      <w:r w:rsidRPr="007E213F">
        <w:rPr>
          <w:rFonts w:cstheme="minorHAnsi"/>
          <w:sz w:val="24"/>
          <w:szCs w:val="24"/>
          <w:shd w:val="clear" w:color="auto" w:fill="FFFFFF"/>
        </w:rPr>
        <w:t>;</w:t>
      </w:r>
      <w:r w:rsidRPr="007E213F">
        <w:rPr>
          <w:rFonts w:cstheme="minorHAnsi"/>
          <w:bCs/>
          <w:sz w:val="24"/>
          <w:szCs w:val="24"/>
          <w:shd w:val="clear" w:color="auto" w:fill="FFFFFF"/>
        </w:rPr>
        <w:t>16</w:t>
      </w:r>
      <w:proofErr w:type="gramEnd"/>
      <w:r w:rsidRPr="007E213F">
        <w:rPr>
          <w:rFonts w:cstheme="minorHAnsi"/>
          <w:bCs/>
          <w:sz w:val="24"/>
          <w:szCs w:val="24"/>
          <w:shd w:val="clear" w:color="auto" w:fill="FFFFFF"/>
        </w:rPr>
        <w:t xml:space="preserve"> (</w:t>
      </w:r>
      <w:r w:rsidRPr="007E213F">
        <w:rPr>
          <w:rFonts w:cstheme="minorHAnsi"/>
          <w:sz w:val="24"/>
          <w:szCs w:val="24"/>
          <w:shd w:val="clear" w:color="auto" w:fill="FFFFFF"/>
        </w:rPr>
        <w:t>45)</w:t>
      </w:r>
      <w:r w:rsidRPr="007E213F">
        <w:rPr>
          <w:rFonts w:cstheme="minorHAnsi"/>
          <w:sz w:val="24"/>
          <w:szCs w:val="24"/>
        </w:rPr>
        <w:t xml:space="preserve"> </w:t>
      </w:r>
      <w:r w:rsidR="00746889" w:rsidRPr="007E213F">
        <w:rPr>
          <w:rFonts w:cstheme="minorHAnsi"/>
          <w:sz w:val="24"/>
          <w:szCs w:val="24"/>
          <w:shd w:val="clear" w:color="auto" w:fill="FFFFFF"/>
        </w:rPr>
        <w:t xml:space="preserve">DOI: </w:t>
      </w:r>
      <w:hyperlink r:id="rId53" w:history="1">
        <w:r w:rsidR="00204A2D" w:rsidRPr="007E213F">
          <w:rPr>
            <w:rStyle w:val="Hyperlink"/>
            <w:sz w:val="24"/>
            <w:szCs w:val="24"/>
          </w:rPr>
          <w:t>https://doi.org/</w:t>
        </w:r>
        <w:r w:rsidR="00204A2D" w:rsidRPr="007E213F">
          <w:rPr>
            <w:rStyle w:val="Hyperlink"/>
            <w:rFonts w:cstheme="minorHAnsi"/>
            <w:sz w:val="24"/>
            <w:szCs w:val="24"/>
            <w:shd w:val="clear" w:color="auto" w:fill="FFFFFF"/>
          </w:rPr>
          <w:t>10.1186/s12911-016-0281-8</w:t>
        </w:r>
      </w:hyperlink>
      <w:r w:rsidR="00204A2D" w:rsidRPr="007E213F">
        <w:rPr>
          <w:rFonts w:cstheme="minorHAnsi"/>
          <w:sz w:val="24"/>
          <w:szCs w:val="24"/>
          <w:shd w:val="clear" w:color="auto" w:fill="FFFFFF"/>
        </w:rPr>
        <w:t xml:space="preserve"> </w:t>
      </w:r>
    </w:p>
    <w:p w14:paraId="1CA33893" w14:textId="1A2051B2" w:rsidR="000F1F8C" w:rsidRPr="007E213F" w:rsidRDefault="000F1F8C" w:rsidP="000F1F8C">
      <w:pPr>
        <w:pStyle w:val="EndNoteBibliography"/>
        <w:spacing w:after="120"/>
        <w:rPr>
          <w:rFonts w:asciiTheme="minorHAnsi" w:hAnsiTheme="minorHAnsi" w:cstheme="minorHAnsi"/>
          <w:sz w:val="24"/>
          <w:szCs w:val="24"/>
        </w:rPr>
      </w:pPr>
      <w:r w:rsidRPr="007E213F">
        <w:rPr>
          <w:rFonts w:asciiTheme="minorHAnsi" w:hAnsiTheme="minorHAnsi" w:cstheme="minorHAnsi"/>
          <w:sz w:val="24"/>
          <w:szCs w:val="24"/>
        </w:rPr>
        <w:t>Wieringa, T.H., Rodriguez-Gutierrez, R., Spencer-Bonilla, G., de Wit, M., Ponce, O.J., Sanchez-Herrera, M.F., Espinoza, N.R., Zisman-Ilani, Y., Kunneman, M., Schoonmade, L.J., Montori, V.M. and Snoek, F.J. (2019)</w:t>
      </w:r>
      <w:r w:rsidR="00C31901">
        <w:rPr>
          <w:rFonts w:asciiTheme="minorHAnsi" w:hAnsiTheme="minorHAnsi" w:cstheme="minorHAnsi"/>
          <w:sz w:val="24"/>
          <w:szCs w:val="24"/>
        </w:rPr>
        <w:t>.</w:t>
      </w:r>
      <w:r w:rsidRPr="007E213F">
        <w:rPr>
          <w:rFonts w:asciiTheme="minorHAnsi" w:hAnsiTheme="minorHAnsi" w:cstheme="minorHAnsi"/>
          <w:sz w:val="24"/>
          <w:szCs w:val="24"/>
        </w:rPr>
        <w:t xml:space="preserve"> 'Decision aids that facilitate elements of shared decision making in chronic illnesses: a systematic review', </w:t>
      </w:r>
      <w:r w:rsidRPr="007E213F">
        <w:rPr>
          <w:rFonts w:asciiTheme="minorHAnsi" w:hAnsiTheme="minorHAnsi" w:cstheme="minorHAnsi"/>
          <w:i/>
          <w:sz w:val="24"/>
          <w:szCs w:val="24"/>
        </w:rPr>
        <w:t>Systematic Reviews</w:t>
      </w:r>
      <w:r w:rsidRPr="007E213F">
        <w:rPr>
          <w:rFonts w:asciiTheme="minorHAnsi" w:hAnsiTheme="minorHAnsi" w:cstheme="minorHAnsi"/>
          <w:sz w:val="24"/>
          <w:szCs w:val="24"/>
        </w:rPr>
        <w:t xml:space="preserve">, </w:t>
      </w:r>
      <w:r w:rsidRPr="007E213F">
        <w:rPr>
          <w:rFonts w:asciiTheme="minorHAnsi" w:hAnsiTheme="minorHAnsi" w:cstheme="minorHAnsi"/>
          <w:b/>
          <w:sz w:val="24"/>
          <w:szCs w:val="24"/>
        </w:rPr>
        <w:t>8</w:t>
      </w:r>
      <w:r w:rsidRPr="007E213F">
        <w:rPr>
          <w:rFonts w:asciiTheme="minorHAnsi" w:hAnsiTheme="minorHAnsi" w:cstheme="minorHAnsi"/>
          <w:sz w:val="24"/>
          <w:szCs w:val="24"/>
        </w:rPr>
        <w:t>(1), p. 121.</w:t>
      </w:r>
      <w:r w:rsidR="007B4BEA" w:rsidRPr="007E213F">
        <w:rPr>
          <w:rFonts w:asciiTheme="minorHAnsi" w:hAnsiTheme="minorHAnsi" w:cstheme="minorHAnsi"/>
          <w:sz w:val="24"/>
          <w:szCs w:val="24"/>
        </w:rPr>
        <w:t xml:space="preserve"> DOI: </w:t>
      </w:r>
      <w:hyperlink r:id="rId54" w:history="1">
        <w:r w:rsidR="007B4BEA" w:rsidRPr="007E213F">
          <w:rPr>
            <w:rStyle w:val="Hyperlink"/>
            <w:rFonts w:asciiTheme="minorHAnsi" w:hAnsiTheme="minorHAnsi" w:cstheme="minorHAnsi"/>
            <w:sz w:val="24"/>
            <w:szCs w:val="24"/>
          </w:rPr>
          <w:t>https://doi.org/10.1186/s13643-019-1034-4</w:t>
        </w:r>
      </w:hyperlink>
      <w:r w:rsidR="007B4BEA" w:rsidRPr="007E213F">
        <w:rPr>
          <w:rFonts w:asciiTheme="minorHAnsi" w:hAnsiTheme="minorHAnsi" w:cstheme="minorHAnsi"/>
          <w:sz w:val="24"/>
          <w:szCs w:val="24"/>
        </w:rPr>
        <w:t xml:space="preserve"> </w:t>
      </w:r>
    </w:p>
    <w:sectPr w:rsidR="000F1F8C" w:rsidRPr="007E213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3E5A" w16cex:dateUtc="2020-08-10T20:44:00Z"/>
  <w16cex:commentExtensible w16cex:durableId="22DC3D40" w16cex:dateUtc="2020-08-10T20:40:00Z"/>
  <w16cex:commentExtensible w16cex:durableId="22DC40C7" w16cex:dateUtc="2020-08-10T20:55:00Z"/>
  <w16cex:commentExtensible w16cex:durableId="22DC41B6" w16cex:dateUtc="2020-08-10T2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ABDC" w14:textId="77777777" w:rsidR="00B004F3" w:rsidRDefault="00B004F3">
      <w:pPr>
        <w:spacing w:after="0" w:line="240" w:lineRule="auto"/>
      </w:pPr>
      <w:r>
        <w:separator/>
      </w:r>
    </w:p>
  </w:endnote>
  <w:endnote w:type="continuationSeparator" w:id="0">
    <w:p w14:paraId="2520206D" w14:textId="77777777" w:rsidR="00B004F3" w:rsidRDefault="00B0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532489"/>
      <w:docPartObj>
        <w:docPartGallery w:val="Page Numbers (Bottom of Page)"/>
        <w:docPartUnique/>
      </w:docPartObj>
    </w:sdtPr>
    <w:sdtEndPr>
      <w:rPr>
        <w:noProof/>
      </w:rPr>
    </w:sdtEndPr>
    <w:sdtContent>
      <w:p w14:paraId="28B143BD" w14:textId="1BCC4C29" w:rsidR="00B004F3" w:rsidRDefault="00B004F3">
        <w:pPr>
          <w:pStyle w:val="Footer"/>
          <w:jc w:val="right"/>
        </w:pPr>
        <w:r>
          <w:fldChar w:fldCharType="begin"/>
        </w:r>
        <w:r>
          <w:instrText xml:space="preserve"> PAGE   \* MERGEFORMAT </w:instrText>
        </w:r>
        <w:r>
          <w:fldChar w:fldCharType="separate"/>
        </w:r>
        <w:r w:rsidR="00FC0DBC">
          <w:rPr>
            <w:noProof/>
          </w:rPr>
          <w:t>21</w:t>
        </w:r>
        <w:r>
          <w:rPr>
            <w:noProof/>
          </w:rPr>
          <w:fldChar w:fldCharType="end"/>
        </w:r>
      </w:p>
    </w:sdtContent>
  </w:sdt>
  <w:p w14:paraId="33807EDB" w14:textId="77777777" w:rsidR="00B004F3" w:rsidRDefault="00B0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E754" w14:textId="77777777" w:rsidR="00B004F3" w:rsidRDefault="00B004F3">
      <w:pPr>
        <w:spacing w:after="0" w:line="240" w:lineRule="auto"/>
      </w:pPr>
      <w:r>
        <w:separator/>
      </w:r>
    </w:p>
  </w:footnote>
  <w:footnote w:type="continuationSeparator" w:id="0">
    <w:p w14:paraId="2A092BC1" w14:textId="77777777" w:rsidR="00B004F3" w:rsidRDefault="00B00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02B"/>
    <w:multiLevelType w:val="hybridMultilevel"/>
    <w:tmpl w:val="B852BC84"/>
    <w:lvl w:ilvl="0" w:tplc="9DD0D6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FB3E0F"/>
    <w:multiLevelType w:val="multilevel"/>
    <w:tmpl w:val="14F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C1BD2"/>
    <w:multiLevelType w:val="hybridMultilevel"/>
    <w:tmpl w:val="105E5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D0277"/>
    <w:multiLevelType w:val="hybridMultilevel"/>
    <w:tmpl w:val="A7248F04"/>
    <w:lvl w:ilvl="0" w:tplc="18D4E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F237B"/>
    <w:multiLevelType w:val="hybridMultilevel"/>
    <w:tmpl w:val="B3B8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1383A"/>
    <w:multiLevelType w:val="hybridMultilevel"/>
    <w:tmpl w:val="9258BDC6"/>
    <w:lvl w:ilvl="0" w:tplc="08090003">
      <w:start w:val="1"/>
      <w:numFmt w:val="bullet"/>
      <w:lvlText w:val="o"/>
      <w:lvlJc w:val="left"/>
      <w:pPr>
        <w:ind w:left="1785" w:hanging="360"/>
      </w:pPr>
      <w:rPr>
        <w:rFonts w:ascii="Courier New" w:hAnsi="Courier New" w:cs="Courier New"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6" w15:restartNumberingAfterBreak="0">
    <w:nsid w:val="1B455EFE"/>
    <w:multiLevelType w:val="hybridMultilevel"/>
    <w:tmpl w:val="04A0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B6D67"/>
    <w:multiLevelType w:val="hybridMultilevel"/>
    <w:tmpl w:val="AD8C8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3245EF"/>
    <w:multiLevelType w:val="hybridMultilevel"/>
    <w:tmpl w:val="40C8C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C4C33"/>
    <w:multiLevelType w:val="hybridMultilevel"/>
    <w:tmpl w:val="E9A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11987"/>
    <w:multiLevelType w:val="hybridMultilevel"/>
    <w:tmpl w:val="F2E00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78148E"/>
    <w:multiLevelType w:val="hybridMultilevel"/>
    <w:tmpl w:val="A4A8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73B78"/>
    <w:multiLevelType w:val="hybridMultilevel"/>
    <w:tmpl w:val="7A5E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E0A1D"/>
    <w:multiLevelType w:val="hybridMultilevel"/>
    <w:tmpl w:val="4DAC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C79A3"/>
    <w:multiLevelType w:val="hybridMultilevel"/>
    <w:tmpl w:val="FC20FA60"/>
    <w:lvl w:ilvl="0" w:tplc="09B23D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959C5"/>
    <w:multiLevelType w:val="hybridMultilevel"/>
    <w:tmpl w:val="416A0CE6"/>
    <w:lvl w:ilvl="0" w:tplc="73609C06">
      <w:start w:val="1"/>
      <w:numFmt w:val="lowerRoman"/>
      <w:lvlText w:val="%1)"/>
      <w:lvlJc w:val="left"/>
      <w:pPr>
        <w:ind w:left="756" w:hanging="72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6" w15:restartNumberingAfterBreak="0">
    <w:nsid w:val="41EB20B3"/>
    <w:multiLevelType w:val="hybridMultilevel"/>
    <w:tmpl w:val="61E88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F57D73"/>
    <w:multiLevelType w:val="hybridMultilevel"/>
    <w:tmpl w:val="EBD2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D4BFA"/>
    <w:multiLevelType w:val="hybridMultilevel"/>
    <w:tmpl w:val="14020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E5E72"/>
    <w:multiLevelType w:val="hybridMultilevel"/>
    <w:tmpl w:val="A4501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52485F"/>
    <w:multiLevelType w:val="hybridMultilevel"/>
    <w:tmpl w:val="526420C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1" w15:restartNumberingAfterBreak="0">
    <w:nsid w:val="53A121C9"/>
    <w:multiLevelType w:val="hybridMultilevel"/>
    <w:tmpl w:val="CEA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8200D0"/>
    <w:multiLevelType w:val="hybridMultilevel"/>
    <w:tmpl w:val="A712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70EE6"/>
    <w:multiLevelType w:val="hybridMultilevel"/>
    <w:tmpl w:val="7CEAB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7D0449"/>
    <w:multiLevelType w:val="hybridMultilevel"/>
    <w:tmpl w:val="51A0DC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C67EEA"/>
    <w:multiLevelType w:val="hybridMultilevel"/>
    <w:tmpl w:val="8850E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CE32C2"/>
    <w:multiLevelType w:val="hybridMultilevel"/>
    <w:tmpl w:val="DFD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B38D9"/>
    <w:multiLevelType w:val="hybridMultilevel"/>
    <w:tmpl w:val="35D82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F12ACB"/>
    <w:multiLevelType w:val="hybridMultilevel"/>
    <w:tmpl w:val="DB24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8"/>
  </w:num>
  <w:num w:numId="4">
    <w:abstractNumId w:val="12"/>
  </w:num>
  <w:num w:numId="5">
    <w:abstractNumId w:val="5"/>
  </w:num>
  <w:num w:numId="6">
    <w:abstractNumId w:val="14"/>
  </w:num>
  <w:num w:numId="7">
    <w:abstractNumId w:val="11"/>
  </w:num>
  <w:num w:numId="8">
    <w:abstractNumId w:val="26"/>
  </w:num>
  <w:num w:numId="9">
    <w:abstractNumId w:val="17"/>
  </w:num>
  <w:num w:numId="10">
    <w:abstractNumId w:val="24"/>
  </w:num>
  <w:num w:numId="11">
    <w:abstractNumId w:val="19"/>
  </w:num>
  <w:num w:numId="12">
    <w:abstractNumId w:val="27"/>
  </w:num>
  <w:num w:numId="13">
    <w:abstractNumId w:val="3"/>
  </w:num>
  <w:num w:numId="14">
    <w:abstractNumId w:val="28"/>
  </w:num>
  <w:num w:numId="15">
    <w:abstractNumId w:val="4"/>
  </w:num>
  <w:num w:numId="16">
    <w:abstractNumId w:val="9"/>
  </w:num>
  <w:num w:numId="17">
    <w:abstractNumId w:val="13"/>
  </w:num>
  <w:num w:numId="18">
    <w:abstractNumId w:val="21"/>
  </w:num>
  <w:num w:numId="19">
    <w:abstractNumId w:val="15"/>
  </w:num>
  <w:num w:numId="20">
    <w:abstractNumId w:val="22"/>
  </w:num>
  <w:num w:numId="21">
    <w:abstractNumId w:val="20"/>
  </w:num>
  <w:num w:numId="22">
    <w:abstractNumId w:val="8"/>
  </w:num>
  <w:num w:numId="23">
    <w:abstractNumId w:val="7"/>
  </w:num>
  <w:num w:numId="24">
    <w:abstractNumId w:val="10"/>
  </w:num>
  <w:num w:numId="25">
    <w:abstractNumId w:val="16"/>
  </w:num>
  <w:num w:numId="26">
    <w:abstractNumId w:val="2"/>
  </w:num>
  <w:num w:numId="27">
    <w:abstractNumId w:val="25"/>
  </w:num>
  <w:num w:numId="28">
    <w:abstractNumId w:val="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E0B5D"/>
    <w:rsid w:val="00001DEF"/>
    <w:rsid w:val="00004FA3"/>
    <w:rsid w:val="0001037F"/>
    <w:rsid w:val="00013FB8"/>
    <w:rsid w:val="00047A7A"/>
    <w:rsid w:val="00050776"/>
    <w:rsid w:val="00075A20"/>
    <w:rsid w:val="00082922"/>
    <w:rsid w:val="000A70D4"/>
    <w:rsid w:val="000A764F"/>
    <w:rsid w:val="000B4F78"/>
    <w:rsid w:val="000C0B1E"/>
    <w:rsid w:val="000D2F20"/>
    <w:rsid w:val="000F1F8C"/>
    <w:rsid w:val="00105521"/>
    <w:rsid w:val="00107043"/>
    <w:rsid w:val="00123CFB"/>
    <w:rsid w:val="0012664C"/>
    <w:rsid w:val="00126D01"/>
    <w:rsid w:val="001442E7"/>
    <w:rsid w:val="00150A59"/>
    <w:rsid w:val="00151C78"/>
    <w:rsid w:val="001617B7"/>
    <w:rsid w:val="00163D76"/>
    <w:rsid w:val="00165E72"/>
    <w:rsid w:val="00187657"/>
    <w:rsid w:val="001A7DB1"/>
    <w:rsid w:val="001A7FD5"/>
    <w:rsid w:val="001C2B14"/>
    <w:rsid w:val="001C7527"/>
    <w:rsid w:val="001D7511"/>
    <w:rsid w:val="001E0E50"/>
    <w:rsid w:val="001E2D08"/>
    <w:rsid w:val="00204A2D"/>
    <w:rsid w:val="00212784"/>
    <w:rsid w:val="00240472"/>
    <w:rsid w:val="00255E6F"/>
    <w:rsid w:val="0026201F"/>
    <w:rsid w:val="00285DE1"/>
    <w:rsid w:val="0029012E"/>
    <w:rsid w:val="002A23AE"/>
    <w:rsid w:val="002A5F87"/>
    <w:rsid w:val="002E0B5D"/>
    <w:rsid w:val="002E408F"/>
    <w:rsid w:val="002F76A0"/>
    <w:rsid w:val="003131B2"/>
    <w:rsid w:val="00320107"/>
    <w:rsid w:val="00326FD5"/>
    <w:rsid w:val="00331251"/>
    <w:rsid w:val="00334B2B"/>
    <w:rsid w:val="003412D1"/>
    <w:rsid w:val="003420D4"/>
    <w:rsid w:val="003628BD"/>
    <w:rsid w:val="003644AB"/>
    <w:rsid w:val="00381E6D"/>
    <w:rsid w:val="00381EBA"/>
    <w:rsid w:val="003876B5"/>
    <w:rsid w:val="00394FA2"/>
    <w:rsid w:val="003A4880"/>
    <w:rsid w:val="003D0AA8"/>
    <w:rsid w:val="003D1FE5"/>
    <w:rsid w:val="003D4C06"/>
    <w:rsid w:val="003D6D83"/>
    <w:rsid w:val="003E23E8"/>
    <w:rsid w:val="003E422F"/>
    <w:rsid w:val="003E59F1"/>
    <w:rsid w:val="004133A6"/>
    <w:rsid w:val="0043521D"/>
    <w:rsid w:val="004360EF"/>
    <w:rsid w:val="00447D8E"/>
    <w:rsid w:val="00460F27"/>
    <w:rsid w:val="004839BC"/>
    <w:rsid w:val="0048494C"/>
    <w:rsid w:val="004A20EC"/>
    <w:rsid w:val="004B024D"/>
    <w:rsid w:val="004B2456"/>
    <w:rsid w:val="004D1579"/>
    <w:rsid w:val="004D5A56"/>
    <w:rsid w:val="004E0D8B"/>
    <w:rsid w:val="004F24E7"/>
    <w:rsid w:val="00500213"/>
    <w:rsid w:val="005414F7"/>
    <w:rsid w:val="00543FE4"/>
    <w:rsid w:val="00547090"/>
    <w:rsid w:val="0055347F"/>
    <w:rsid w:val="00560063"/>
    <w:rsid w:val="00564658"/>
    <w:rsid w:val="00566836"/>
    <w:rsid w:val="00570EF3"/>
    <w:rsid w:val="00593F0F"/>
    <w:rsid w:val="00596D88"/>
    <w:rsid w:val="005C3417"/>
    <w:rsid w:val="005C59B8"/>
    <w:rsid w:val="005C59CB"/>
    <w:rsid w:val="005E1833"/>
    <w:rsid w:val="005F408F"/>
    <w:rsid w:val="00600FF0"/>
    <w:rsid w:val="00604BFD"/>
    <w:rsid w:val="0061057B"/>
    <w:rsid w:val="00625F7E"/>
    <w:rsid w:val="00634698"/>
    <w:rsid w:val="00637AFA"/>
    <w:rsid w:val="006407FB"/>
    <w:rsid w:val="00641F81"/>
    <w:rsid w:val="006644C1"/>
    <w:rsid w:val="0066707D"/>
    <w:rsid w:val="00682D51"/>
    <w:rsid w:val="0068795D"/>
    <w:rsid w:val="0069051B"/>
    <w:rsid w:val="00691F43"/>
    <w:rsid w:val="00695A63"/>
    <w:rsid w:val="00696E9D"/>
    <w:rsid w:val="006A04D0"/>
    <w:rsid w:val="006A156A"/>
    <w:rsid w:val="006A22C7"/>
    <w:rsid w:val="006A3038"/>
    <w:rsid w:val="006A44A3"/>
    <w:rsid w:val="006B2076"/>
    <w:rsid w:val="006E5965"/>
    <w:rsid w:val="006F1DD9"/>
    <w:rsid w:val="006F3A27"/>
    <w:rsid w:val="007035ED"/>
    <w:rsid w:val="007111FC"/>
    <w:rsid w:val="00713575"/>
    <w:rsid w:val="00720F87"/>
    <w:rsid w:val="007249E1"/>
    <w:rsid w:val="007369D6"/>
    <w:rsid w:val="00746889"/>
    <w:rsid w:val="0075443D"/>
    <w:rsid w:val="00764BA6"/>
    <w:rsid w:val="00764F7B"/>
    <w:rsid w:val="00771B9F"/>
    <w:rsid w:val="00797EED"/>
    <w:rsid w:val="007A3881"/>
    <w:rsid w:val="007B2DE7"/>
    <w:rsid w:val="007B4BEA"/>
    <w:rsid w:val="007E213F"/>
    <w:rsid w:val="007E3ADC"/>
    <w:rsid w:val="007E6F2E"/>
    <w:rsid w:val="007F4002"/>
    <w:rsid w:val="007F5F27"/>
    <w:rsid w:val="00806F39"/>
    <w:rsid w:val="00811BCC"/>
    <w:rsid w:val="0081703B"/>
    <w:rsid w:val="00827299"/>
    <w:rsid w:val="00841DAF"/>
    <w:rsid w:val="008A0E86"/>
    <w:rsid w:val="008A1961"/>
    <w:rsid w:val="008A3518"/>
    <w:rsid w:val="008F50AD"/>
    <w:rsid w:val="00914031"/>
    <w:rsid w:val="00914ED4"/>
    <w:rsid w:val="009216ED"/>
    <w:rsid w:val="00924EB1"/>
    <w:rsid w:val="00927990"/>
    <w:rsid w:val="00940418"/>
    <w:rsid w:val="00941E8E"/>
    <w:rsid w:val="00946BEA"/>
    <w:rsid w:val="00972448"/>
    <w:rsid w:val="00972E8C"/>
    <w:rsid w:val="0097725F"/>
    <w:rsid w:val="00994D87"/>
    <w:rsid w:val="009A4FB8"/>
    <w:rsid w:val="009A5CAA"/>
    <w:rsid w:val="009A792F"/>
    <w:rsid w:val="009C1DEB"/>
    <w:rsid w:val="009D0A82"/>
    <w:rsid w:val="009D1122"/>
    <w:rsid w:val="009F04F4"/>
    <w:rsid w:val="00A05B04"/>
    <w:rsid w:val="00A10FDD"/>
    <w:rsid w:val="00A1230E"/>
    <w:rsid w:val="00A21D77"/>
    <w:rsid w:val="00A46208"/>
    <w:rsid w:val="00A66637"/>
    <w:rsid w:val="00A73C44"/>
    <w:rsid w:val="00A76B1E"/>
    <w:rsid w:val="00A819E3"/>
    <w:rsid w:val="00A82E00"/>
    <w:rsid w:val="00AA0D7D"/>
    <w:rsid w:val="00AC2055"/>
    <w:rsid w:val="00AC56E8"/>
    <w:rsid w:val="00AC7B11"/>
    <w:rsid w:val="00AE787C"/>
    <w:rsid w:val="00AF22F4"/>
    <w:rsid w:val="00AF5665"/>
    <w:rsid w:val="00B004F3"/>
    <w:rsid w:val="00B072C9"/>
    <w:rsid w:val="00B27151"/>
    <w:rsid w:val="00B273FA"/>
    <w:rsid w:val="00B33E82"/>
    <w:rsid w:val="00B366D0"/>
    <w:rsid w:val="00B4253D"/>
    <w:rsid w:val="00B80B57"/>
    <w:rsid w:val="00B87DD2"/>
    <w:rsid w:val="00BA7C1E"/>
    <w:rsid w:val="00BB01BF"/>
    <w:rsid w:val="00BC38A9"/>
    <w:rsid w:val="00BC7E08"/>
    <w:rsid w:val="00BE6BB3"/>
    <w:rsid w:val="00BF0C1C"/>
    <w:rsid w:val="00C15B95"/>
    <w:rsid w:val="00C203D9"/>
    <w:rsid w:val="00C31901"/>
    <w:rsid w:val="00C4131F"/>
    <w:rsid w:val="00C42384"/>
    <w:rsid w:val="00C51C87"/>
    <w:rsid w:val="00C8666D"/>
    <w:rsid w:val="00C86B00"/>
    <w:rsid w:val="00CA0053"/>
    <w:rsid w:val="00CA14CE"/>
    <w:rsid w:val="00CA725E"/>
    <w:rsid w:val="00D13DBF"/>
    <w:rsid w:val="00D14D03"/>
    <w:rsid w:val="00D32A92"/>
    <w:rsid w:val="00D356AE"/>
    <w:rsid w:val="00D41116"/>
    <w:rsid w:val="00D51591"/>
    <w:rsid w:val="00D71E7F"/>
    <w:rsid w:val="00D7778B"/>
    <w:rsid w:val="00D94F3E"/>
    <w:rsid w:val="00DA565E"/>
    <w:rsid w:val="00DA6381"/>
    <w:rsid w:val="00DB7018"/>
    <w:rsid w:val="00DE21EB"/>
    <w:rsid w:val="00DE38E6"/>
    <w:rsid w:val="00E104AA"/>
    <w:rsid w:val="00E132C0"/>
    <w:rsid w:val="00E43978"/>
    <w:rsid w:val="00E43E60"/>
    <w:rsid w:val="00E5304A"/>
    <w:rsid w:val="00E621AE"/>
    <w:rsid w:val="00E72356"/>
    <w:rsid w:val="00E85576"/>
    <w:rsid w:val="00E875F2"/>
    <w:rsid w:val="00E87AD9"/>
    <w:rsid w:val="00EA5AD6"/>
    <w:rsid w:val="00EC031F"/>
    <w:rsid w:val="00EC3CAD"/>
    <w:rsid w:val="00EE31A1"/>
    <w:rsid w:val="00EE72CA"/>
    <w:rsid w:val="00EF46D9"/>
    <w:rsid w:val="00EF6849"/>
    <w:rsid w:val="00F019F7"/>
    <w:rsid w:val="00F11D2F"/>
    <w:rsid w:val="00F14C23"/>
    <w:rsid w:val="00F3378C"/>
    <w:rsid w:val="00F33E60"/>
    <w:rsid w:val="00F45446"/>
    <w:rsid w:val="00F45B8A"/>
    <w:rsid w:val="00F61449"/>
    <w:rsid w:val="00F66F9A"/>
    <w:rsid w:val="00F675BE"/>
    <w:rsid w:val="00F92EA6"/>
    <w:rsid w:val="00FA3486"/>
    <w:rsid w:val="00FB22FF"/>
    <w:rsid w:val="00FB3EAD"/>
    <w:rsid w:val="00FB4D18"/>
    <w:rsid w:val="00FB50BF"/>
    <w:rsid w:val="00FB7C23"/>
    <w:rsid w:val="00FC0DBC"/>
    <w:rsid w:val="00FC4FEB"/>
    <w:rsid w:val="00FC6E57"/>
    <w:rsid w:val="00FD22B8"/>
    <w:rsid w:val="00FD232C"/>
    <w:rsid w:val="00FD2E0F"/>
    <w:rsid w:val="00FE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82A"/>
  <w15:chartTrackingRefBased/>
  <w15:docId w15:val="{EBEBB323-FCA6-4631-94A5-BABC1215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B5D"/>
  </w:style>
  <w:style w:type="paragraph" w:styleId="Heading1">
    <w:name w:val="heading 1"/>
    <w:basedOn w:val="Normal"/>
    <w:link w:val="Heading1Char"/>
    <w:uiPriority w:val="9"/>
    <w:qFormat/>
    <w:rsid w:val="002E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B5D"/>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2E0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B5D"/>
  </w:style>
  <w:style w:type="paragraph" w:styleId="Footer">
    <w:name w:val="footer"/>
    <w:basedOn w:val="Normal"/>
    <w:link w:val="FooterChar"/>
    <w:uiPriority w:val="99"/>
    <w:unhideWhenUsed/>
    <w:rsid w:val="002E0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B5D"/>
  </w:style>
  <w:style w:type="character" w:styleId="FootnoteReference">
    <w:name w:val="footnote reference"/>
    <w:basedOn w:val="DefaultParagraphFont"/>
    <w:uiPriority w:val="99"/>
    <w:semiHidden/>
    <w:unhideWhenUsed/>
    <w:rsid w:val="002E0B5D"/>
    <w:rPr>
      <w:vertAlign w:val="superscript"/>
    </w:rPr>
  </w:style>
  <w:style w:type="paragraph" w:styleId="ListParagraph">
    <w:name w:val="List Paragraph"/>
    <w:basedOn w:val="Normal"/>
    <w:uiPriority w:val="34"/>
    <w:qFormat/>
    <w:rsid w:val="002E0B5D"/>
    <w:pPr>
      <w:ind w:left="720"/>
      <w:contextualSpacing/>
    </w:pPr>
  </w:style>
  <w:style w:type="table" w:styleId="TableGrid">
    <w:name w:val="Table Grid"/>
    <w:basedOn w:val="TableNormal"/>
    <w:uiPriority w:val="39"/>
    <w:rsid w:val="002E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0B5D"/>
    <w:rPr>
      <w:color w:val="0000FF"/>
      <w:u w:val="single"/>
    </w:rPr>
  </w:style>
  <w:style w:type="character" w:customStyle="1" w:styleId="UnresolvedMention1">
    <w:name w:val="Unresolved Mention1"/>
    <w:basedOn w:val="DefaultParagraphFont"/>
    <w:uiPriority w:val="99"/>
    <w:semiHidden/>
    <w:unhideWhenUsed/>
    <w:rsid w:val="002E0B5D"/>
    <w:rPr>
      <w:color w:val="605E5C"/>
      <w:shd w:val="clear" w:color="auto" w:fill="E1DFDD"/>
    </w:rPr>
  </w:style>
  <w:style w:type="character" w:styleId="CommentReference">
    <w:name w:val="annotation reference"/>
    <w:basedOn w:val="DefaultParagraphFont"/>
    <w:uiPriority w:val="99"/>
    <w:semiHidden/>
    <w:unhideWhenUsed/>
    <w:rsid w:val="002E0B5D"/>
    <w:rPr>
      <w:sz w:val="16"/>
      <w:szCs w:val="16"/>
    </w:rPr>
  </w:style>
  <w:style w:type="paragraph" w:styleId="CommentText">
    <w:name w:val="annotation text"/>
    <w:basedOn w:val="Normal"/>
    <w:link w:val="CommentTextChar"/>
    <w:uiPriority w:val="99"/>
    <w:semiHidden/>
    <w:unhideWhenUsed/>
    <w:rsid w:val="002E0B5D"/>
    <w:pPr>
      <w:spacing w:line="240" w:lineRule="auto"/>
    </w:pPr>
    <w:rPr>
      <w:sz w:val="20"/>
      <w:szCs w:val="20"/>
    </w:rPr>
  </w:style>
  <w:style w:type="character" w:customStyle="1" w:styleId="CommentTextChar">
    <w:name w:val="Comment Text Char"/>
    <w:basedOn w:val="DefaultParagraphFont"/>
    <w:link w:val="CommentText"/>
    <w:uiPriority w:val="99"/>
    <w:semiHidden/>
    <w:rsid w:val="002E0B5D"/>
    <w:rPr>
      <w:sz w:val="20"/>
      <w:szCs w:val="20"/>
    </w:rPr>
  </w:style>
  <w:style w:type="paragraph" w:styleId="CommentSubject">
    <w:name w:val="annotation subject"/>
    <w:basedOn w:val="CommentText"/>
    <w:next w:val="CommentText"/>
    <w:link w:val="CommentSubjectChar"/>
    <w:uiPriority w:val="99"/>
    <w:semiHidden/>
    <w:unhideWhenUsed/>
    <w:rsid w:val="002E0B5D"/>
    <w:rPr>
      <w:b/>
      <w:bCs/>
    </w:rPr>
  </w:style>
  <w:style w:type="character" w:customStyle="1" w:styleId="CommentSubjectChar">
    <w:name w:val="Comment Subject Char"/>
    <w:basedOn w:val="CommentTextChar"/>
    <w:link w:val="CommentSubject"/>
    <w:uiPriority w:val="99"/>
    <w:semiHidden/>
    <w:rsid w:val="002E0B5D"/>
    <w:rPr>
      <w:b/>
      <w:bCs/>
      <w:sz w:val="20"/>
      <w:szCs w:val="20"/>
    </w:rPr>
  </w:style>
  <w:style w:type="paragraph" w:styleId="BalloonText">
    <w:name w:val="Balloon Text"/>
    <w:basedOn w:val="Normal"/>
    <w:link w:val="BalloonTextChar"/>
    <w:uiPriority w:val="99"/>
    <w:semiHidden/>
    <w:unhideWhenUsed/>
    <w:rsid w:val="002E0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B5D"/>
    <w:rPr>
      <w:rFonts w:ascii="Segoe UI" w:hAnsi="Segoe UI" w:cs="Segoe UI"/>
      <w:sz w:val="18"/>
      <w:szCs w:val="18"/>
    </w:rPr>
  </w:style>
  <w:style w:type="paragraph" w:customStyle="1" w:styleId="EndNoteBibliographyTitle">
    <w:name w:val="EndNote Bibliography Title"/>
    <w:basedOn w:val="Normal"/>
    <w:link w:val="EndNoteBibliographyTitleChar"/>
    <w:rsid w:val="002E0B5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E0B5D"/>
    <w:rPr>
      <w:rFonts w:ascii="Calibri" w:hAnsi="Calibri" w:cs="Calibri"/>
      <w:noProof/>
      <w:lang w:val="en-US"/>
    </w:rPr>
  </w:style>
  <w:style w:type="paragraph" w:customStyle="1" w:styleId="EndNoteBibliography">
    <w:name w:val="EndNote Bibliography"/>
    <w:basedOn w:val="Normal"/>
    <w:link w:val="EndNoteBibliographyChar"/>
    <w:rsid w:val="002E0B5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E0B5D"/>
    <w:rPr>
      <w:rFonts w:ascii="Calibri" w:hAnsi="Calibri" w:cs="Calibri"/>
      <w:noProof/>
      <w:lang w:val="en-US"/>
    </w:rPr>
  </w:style>
  <w:style w:type="paragraph" w:styleId="FootnoteText">
    <w:name w:val="footnote text"/>
    <w:basedOn w:val="Normal"/>
    <w:link w:val="FootnoteTextChar"/>
    <w:uiPriority w:val="99"/>
    <w:semiHidden/>
    <w:unhideWhenUsed/>
    <w:rsid w:val="002E0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B5D"/>
    <w:rPr>
      <w:sz w:val="20"/>
      <w:szCs w:val="20"/>
    </w:rPr>
  </w:style>
  <w:style w:type="character" w:customStyle="1" w:styleId="personname">
    <w:name w:val="person_name"/>
    <w:basedOn w:val="DefaultParagraphFont"/>
    <w:rsid w:val="002E0B5D"/>
  </w:style>
  <w:style w:type="character" w:styleId="Emphasis">
    <w:name w:val="Emphasis"/>
    <w:basedOn w:val="DefaultParagraphFont"/>
    <w:uiPriority w:val="20"/>
    <w:qFormat/>
    <w:rsid w:val="002E0B5D"/>
    <w:rPr>
      <w:i/>
      <w:iCs/>
    </w:rPr>
  </w:style>
  <w:style w:type="character" w:customStyle="1" w:styleId="bkciteavail">
    <w:name w:val="bk_cite_avail"/>
    <w:basedOn w:val="DefaultParagraphFont"/>
    <w:rsid w:val="002E0B5D"/>
  </w:style>
  <w:style w:type="character" w:customStyle="1" w:styleId="UnresolvedMention">
    <w:name w:val="Unresolved Mention"/>
    <w:basedOn w:val="DefaultParagraphFont"/>
    <w:uiPriority w:val="99"/>
    <w:semiHidden/>
    <w:unhideWhenUsed/>
    <w:rsid w:val="002E0B5D"/>
    <w:rPr>
      <w:color w:val="605E5C"/>
      <w:shd w:val="clear" w:color="auto" w:fill="E1DFDD"/>
    </w:rPr>
  </w:style>
  <w:style w:type="paragraph" w:styleId="NoSpacing">
    <w:name w:val="No Spacing"/>
    <w:uiPriority w:val="1"/>
    <w:qFormat/>
    <w:rsid w:val="002E0B5D"/>
    <w:pPr>
      <w:spacing w:after="0" w:line="240" w:lineRule="auto"/>
    </w:pPr>
  </w:style>
  <w:style w:type="character" w:styleId="PlaceholderText">
    <w:name w:val="Placeholder Text"/>
    <w:basedOn w:val="DefaultParagraphFont"/>
    <w:uiPriority w:val="99"/>
    <w:semiHidden/>
    <w:rsid w:val="002E0B5D"/>
    <w:rPr>
      <w:color w:val="808080"/>
    </w:rPr>
  </w:style>
  <w:style w:type="character" w:styleId="FollowedHyperlink">
    <w:name w:val="FollowedHyperlink"/>
    <w:basedOn w:val="DefaultParagraphFont"/>
    <w:uiPriority w:val="99"/>
    <w:semiHidden/>
    <w:unhideWhenUsed/>
    <w:rsid w:val="007E3ADC"/>
    <w:rPr>
      <w:color w:val="954F72" w:themeColor="followedHyperlink"/>
      <w:u w:val="single"/>
    </w:rPr>
  </w:style>
  <w:style w:type="paragraph" w:styleId="NormalWeb">
    <w:name w:val="Normal (Web)"/>
    <w:basedOn w:val="Normal"/>
    <w:uiPriority w:val="99"/>
    <w:semiHidden/>
    <w:unhideWhenUsed/>
    <w:rsid w:val="00541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rcid-id-https">
    <w:name w:val="orcid-id-https"/>
    <w:basedOn w:val="DefaultParagraphFont"/>
    <w:rsid w:val="00D7778B"/>
  </w:style>
  <w:style w:type="character" w:customStyle="1" w:styleId="identifier">
    <w:name w:val="identifier"/>
    <w:basedOn w:val="DefaultParagraphFont"/>
    <w:rsid w:val="00082922"/>
  </w:style>
  <w:style w:type="character" w:customStyle="1" w:styleId="id-label">
    <w:name w:val="id-label"/>
    <w:basedOn w:val="DefaultParagraphFont"/>
    <w:rsid w:val="00082922"/>
  </w:style>
  <w:style w:type="paragraph" w:styleId="Revision">
    <w:name w:val="Revision"/>
    <w:hidden/>
    <w:uiPriority w:val="99"/>
    <w:semiHidden/>
    <w:rsid w:val="007249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7348">
      <w:bodyDiv w:val="1"/>
      <w:marLeft w:val="0"/>
      <w:marRight w:val="0"/>
      <w:marTop w:val="0"/>
      <w:marBottom w:val="0"/>
      <w:divBdr>
        <w:top w:val="none" w:sz="0" w:space="0" w:color="auto"/>
        <w:left w:val="none" w:sz="0" w:space="0" w:color="auto"/>
        <w:bottom w:val="none" w:sz="0" w:space="0" w:color="auto"/>
        <w:right w:val="none" w:sz="0" w:space="0" w:color="auto"/>
      </w:divBdr>
    </w:div>
    <w:div w:id="345132879">
      <w:bodyDiv w:val="1"/>
      <w:marLeft w:val="0"/>
      <w:marRight w:val="0"/>
      <w:marTop w:val="0"/>
      <w:marBottom w:val="0"/>
      <w:divBdr>
        <w:top w:val="none" w:sz="0" w:space="0" w:color="auto"/>
        <w:left w:val="none" w:sz="0" w:space="0" w:color="auto"/>
        <w:bottom w:val="none" w:sz="0" w:space="0" w:color="auto"/>
        <w:right w:val="none" w:sz="0" w:space="0" w:color="auto"/>
      </w:divBdr>
      <w:divsChild>
        <w:div w:id="89784994">
          <w:marLeft w:val="0"/>
          <w:marRight w:val="0"/>
          <w:marTop w:val="0"/>
          <w:marBottom w:val="75"/>
          <w:divBdr>
            <w:top w:val="none" w:sz="0" w:space="0" w:color="auto"/>
            <w:left w:val="none" w:sz="0" w:space="0" w:color="auto"/>
            <w:bottom w:val="none" w:sz="0" w:space="0" w:color="auto"/>
            <w:right w:val="none" w:sz="0" w:space="0" w:color="auto"/>
          </w:divBdr>
        </w:div>
      </w:divsChild>
    </w:div>
    <w:div w:id="358967166">
      <w:bodyDiv w:val="1"/>
      <w:marLeft w:val="0"/>
      <w:marRight w:val="0"/>
      <w:marTop w:val="0"/>
      <w:marBottom w:val="0"/>
      <w:divBdr>
        <w:top w:val="none" w:sz="0" w:space="0" w:color="auto"/>
        <w:left w:val="none" w:sz="0" w:space="0" w:color="auto"/>
        <w:bottom w:val="none" w:sz="0" w:space="0" w:color="auto"/>
        <w:right w:val="none" w:sz="0" w:space="0" w:color="auto"/>
      </w:divBdr>
    </w:div>
    <w:div w:id="1080253999">
      <w:bodyDiv w:val="1"/>
      <w:marLeft w:val="0"/>
      <w:marRight w:val="0"/>
      <w:marTop w:val="0"/>
      <w:marBottom w:val="0"/>
      <w:divBdr>
        <w:top w:val="none" w:sz="0" w:space="0" w:color="auto"/>
        <w:left w:val="none" w:sz="0" w:space="0" w:color="auto"/>
        <w:bottom w:val="none" w:sz="0" w:space="0" w:color="auto"/>
        <w:right w:val="none" w:sz="0" w:space="0" w:color="auto"/>
      </w:divBdr>
      <w:divsChild>
        <w:div w:id="1217357579">
          <w:marLeft w:val="0"/>
          <w:marRight w:val="0"/>
          <w:marTop w:val="0"/>
          <w:marBottom w:val="0"/>
          <w:divBdr>
            <w:top w:val="none" w:sz="0" w:space="0" w:color="auto"/>
            <w:left w:val="none" w:sz="0" w:space="0" w:color="auto"/>
            <w:bottom w:val="none" w:sz="0" w:space="0" w:color="auto"/>
            <w:right w:val="none" w:sz="0" w:space="0" w:color="auto"/>
          </w:divBdr>
          <w:divsChild>
            <w:div w:id="1808205893">
              <w:marLeft w:val="0"/>
              <w:marRight w:val="0"/>
              <w:marTop w:val="0"/>
              <w:marBottom w:val="150"/>
              <w:divBdr>
                <w:top w:val="single" w:sz="6" w:space="0" w:color="A6CE39"/>
                <w:left w:val="single" w:sz="6" w:space="0" w:color="A6CE39"/>
                <w:bottom w:val="single" w:sz="6" w:space="0" w:color="A6CE39"/>
                <w:right w:val="single" w:sz="6" w:space="0" w:color="A6CE39"/>
              </w:divBdr>
              <w:divsChild>
                <w:div w:id="348220426">
                  <w:marLeft w:val="0"/>
                  <w:marRight w:val="0"/>
                  <w:marTop w:val="0"/>
                  <w:marBottom w:val="0"/>
                  <w:divBdr>
                    <w:top w:val="none" w:sz="0" w:space="0" w:color="auto"/>
                    <w:left w:val="none" w:sz="0" w:space="0" w:color="auto"/>
                    <w:bottom w:val="none" w:sz="0" w:space="0" w:color="auto"/>
                    <w:right w:val="none" w:sz="0" w:space="0" w:color="auto"/>
                  </w:divBdr>
                  <w:divsChild>
                    <w:div w:id="42944441">
                      <w:marLeft w:val="-75"/>
                      <w:marRight w:val="-75"/>
                      <w:marTop w:val="0"/>
                      <w:marBottom w:val="0"/>
                      <w:divBdr>
                        <w:top w:val="none" w:sz="0" w:space="0" w:color="auto"/>
                        <w:left w:val="none" w:sz="0" w:space="0" w:color="auto"/>
                        <w:bottom w:val="none" w:sz="0" w:space="0" w:color="auto"/>
                        <w:right w:val="none" w:sz="0" w:space="0" w:color="auto"/>
                      </w:divBdr>
                      <w:divsChild>
                        <w:div w:id="420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42686">
      <w:bodyDiv w:val="1"/>
      <w:marLeft w:val="0"/>
      <w:marRight w:val="0"/>
      <w:marTop w:val="0"/>
      <w:marBottom w:val="0"/>
      <w:divBdr>
        <w:top w:val="none" w:sz="0" w:space="0" w:color="auto"/>
        <w:left w:val="none" w:sz="0" w:space="0" w:color="auto"/>
        <w:bottom w:val="none" w:sz="0" w:space="0" w:color="auto"/>
        <w:right w:val="none" w:sz="0" w:space="0" w:color="auto"/>
      </w:divBdr>
      <w:divsChild>
        <w:div w:id="245463455">
          <w:marLeft w:val="0"/>
          <w:marRight w:val="0"/>
          <w:marTop w:val="0"/>
          <w:marBottom w:val="0"/>
          <w:divBdr>
            <w:top w:val="none" w:sz="0" w:space="0" w:color="auto"/>
            <w:left w:val="none" w:sz="0" w:space="0" w:color="auto"/>
            <w:bottom w:val="none" w:sz="0" w:space="0" w:color="auto"/>
            <w:right w:val="none" w:sz="0" w:space="0" w:color="auto"/>
          </w:divBdr>
        </w:div>
      </w:divsChild>
    </w:div>
    <w:div w:id="1406873813">
      <w:bodyDiv w:val="1"/>
      <w:marLeft w:val="0"/>
      <w:marRight w:val="0"/>
      <w:marTop w:val="0"/>
      <w:marBottom w:val="0"/>
      <w:divBdr>
        <w:top w:val="none" w:sz="0" w:space="0" w:color="auto"/>
        <w:left w:val="none" w:sz="0" w:space="0" w:color="auto"/>
        <w:bottom w:val="none" w:sz="0" w:space="0" w:color="auto"/>
        <w:right w:val="none" w:sz="0" w:space="0" w:color="auto"/>
      </w:divBdr>
      <w:divsChild>
        <w:div w:id="2121141554">
          <w:marLeft w:val="0"/>
          <w:marRight w:val="0"/>
          <w:marTop w:val="0"/>
          <w:marBottom w:val="0"/>
          <w:divBdr>
            <w:top w:val="none" w:sz="0" w:space="0" w:color="auto"/>
            <w:left w:val="none" w:sz="0" w:space="0" w:color="auto"/>
            <w:bottom w:val="none" w:sz="0" w:space="0" w:color="auto"/>
            <w:right w:val="none" w:sz="0" w:space="0" w:color="auto"/>
          </w:divBdr>
          <w:divsChild>
            <w:div w:id="71634184">
              <w:marLeft w:val="0"/>
              <w:marRight w:val="0"/>
              <w:marTop w:val="0"/>
              <w:marBottom w:val="150"/>
              <w:divBdr>
                <w:top w:val="single" w:sz="6" w:space="0" w:color="A6CE39"/>
                <w:left w:val="single" w:sz="6" w:space="0" w:color="A6CE39"/>
                <w:bottom w:val="single" w:sz="6" w:space="0" w:color="A6CE39"/>
                <w:right w:val="single" w:sz="6" w:space="0" w:color="A6CE39"/>
              </w:divBdr>
              <w:divsChild>
                <w:div w:id="1829131380">
                  <w:marLeft w:val="0"/>
                  <w:marRight w:val="0"/>
                  <w:marTop w:val="0"/>
                  <w:marBottom w:val="0"/>
                  <w:divBdr>
                    <w:top w:val="none" w:sz="0" w:space="0" w:color="auto"/>
                    <w:left w:val="none" w:sz="0" w:space="0" w:color="auto"/>
                    <w:bottom w:val="none" w:sz="0" w:space="0" w:color="auto"/>
                    <w:right w:val="none" w:sz="0" w:space="0" w:color="auto"/>
                  </w:divBdr>
                  <w:divsChild>
                    <w:div w:id="206263642">
                      <w:marLeft w:val="-75"/>
                      <w:marRight w:val="-75"/>
                      <w:marTop w:val="0"/>
                      <w:marBottom w:val="0"/>
                      <w:divBdr>
                        <w:top w:val="none" w:sz="0" w:space="0" w:color="auto"/>
                        <w:left w:val="none" w:sz="0" w:space="0" w:color="auto"/>
                        <w:bottom w:val="none" w:sz="0" w:space="0" w:color="auto"/>
                        <w:right w:val="none" w:sz="0" w:space="0" w:color="auto"/>
                      </w:divBdr>
                      <w:divsChild>
                        <w:div w:id="15936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771817">
      <w:bodyDiv w:val="1"/>
      <w:marLeft w:val="0"/>
      <w:marRight w:val="0"/>
      <w:marTop w:val="0"/>
      <w:marBottom w:val="0"/>
      <w:divBdr>
        <w:top w:val="none" w:sz="0" w:space="0" w:color="auto"/>
        <w:left w:val="none" w:sz="0" w:space="0" w:color="auto"/>
        <w:bottom w:val="none" w:sz="0" w:space="0" w:color="auto"/>
        <w:right w:val="none" w:sz="0" w:space="0" w:color="auto"/>
      </w:divBdr>
      <w:divsChild>
        <w:div w:id="244191986">
          <w:marLeft w:val="0"/>
          <w:marRight w:val="0"/>
          <w:marTop w:val="0"/>
          <w:marBottom w:val="0"/>
          <w:divBdr>
            <w:top w:val="none" w:sz="0" w:space="0" w:color="auto"/>
            <w:left w:val="none" w:sz="0" w:space="0" w:color="auto"/>
            <w:bottom w:val="none" w:sz="0" w:space="0" w:color="auto"/>
            <w:right w:val="none" w:sz="0" w:space="0" w:color="auto"/>
          </w:divBdr>
          <w:divsChild>
            <w:div w:id="1575386054">
              <w:marLeft w:val="0"/>
              <w:marRight w:val="0"/>
              <w:marTop w:val="0"/>
              <w:marBottom w:val="150"/>
              <w:divBdr>
                <w:top w:val="single" w:sz="6" w:space="0" w:color="A6CE39"/>
                <w:left w:val="single" w:sz="6" w:space="0" w:color="A6CE39"/>
                <w:bottom w:val="single" w:sz="6" w:space="0" w:color="A6CE39"/>
                <w:right w:val="single" w:sz="6" w:space="0" w:color="A6CE39"/>
              </w:divBdr>
              <w:divsChild>
                <w:div w:id="491988817">
                  <w:marLeft w:val="0"/>
                  <w:marRight w:val="0"/>
                  <w:marTop w:val="0"/>
                  <w:marBottom w:val="0"/>
                  <w:divBdr>
                    <w:top w:val="none" w:sz="0" w:space="0" w:color="auto"/>
                    <w:left w:val="none" w:sz="0" w:space="0" w:color="auto"/>
                    <w:bottom w:val="none" w:sz="0" w:space="0" w:color="auto"/>
                    <w:right w:val="none" w:sz="0" w:space="0" w:color="auto"/>
                  </w:divBdr>
                  <w:divsChild>
                    <w:div w:id="1253054433">
                      <w:marLeft w:val="-75"/>
                      <w:marRight w:val="-75"/>
                      <w:marTop w:val="0"/>
                      <w:marBottom w:val="0"/>
                      <w:divBdr>
                        <w:top w:val="none" w:sz="0" w:space="0" w:color="auto"/>
                        <w:left w:val="none" w:sz="0" w:space="0" w:color="auto"/>
                        <w:bottom w:val="none" w:sz="0" w:space="0" w:color="auto"/>
                        <w:right w:val="none" w:sz="0" w:space="0" w:color="auto"/>
                      </w:divBdr>
                      <w:divsChild>
                        <w:div w:id="3001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9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ngtermcarechoices.minnesotahelp.info/" TargetMode="External"/><Relationship Id="rId18" Type="http://schemas.openxmlformats.org/officeDocument/2006/relationships/hyperlink" Target="http://partners4change.co.uk/the-three-conversations/0" TargetMode="External"/><Relationship Id="rId26" Type="http://schemas.openxmlformats.org/officeDocument/2006/relationships/hyperlink" Target="https://doi.org/10.1016/j.pec.2009.05.012" TargetMode="External"/><Relationship Id="rId39" Type="http://schemas.openxmlformats.org/officeDocument/2006/relationships/hyperlink" Target="https://doi.org/10.1186/s13063-015-0567-7" TargetMode="External"/><Relationship Id="rId21" Type="http://schemas.openxmlformats.org/officeDocument/2006/relationships/hyperlink" Target="https://www.jstor.org/stable/44875740" TargetMode="External"/><Relationship Id="rId34" Type="http://schemas.openxmlformats.org/officeDocument/2006/relationships/hyperlink" Target="https://doi.org/10.1093/geront/gnz141" TargetMode="External"/><Relationship Id="rId42" Type="http://schemas.openxmlformats.org/officeDocument/2006/relationships/hyperlink" Target="https://doi.org/10.1002/ajs4.66" TargetMode="External"/><Relationship Id="rId47" Type="http://schemas.openxmlformats.org/officeDocument/2006/relationships/hyperlink" Target="https://doi.org/10.1136/bmjopen-2018-022411" TargetMode="External"/><Relationship Id="rId50" Type="http://schemas.openxmlformats.org/officeDocument/2006/relationships/hyperlink" Target="https://doi.org/10.2190%2F1R0D-30TC-F4K1-F0DW" TargetMode="External"/><Relationship Id="rId55" Type="http://schemas.openxmlformats.org/officeDocument/2006/relationships/fontTable" Target="fontTable.xml"/><Relationship Id="rId7" Type="http://schemas.openxmlformats.org/officeDocument/2006/relationships/hyperlink" Target="https://orcid.org/0000-0002-3094-9546" TargetMode="External"/><Relationship Id="rId12" Type="http://schemas.openxmlformats.org/officeDocument/2006/relationships/hyperlink" Target="https://longtermcare.acl.gov/" TargetMode="External"/><Relationship Id="rId17" Type="http://schemas.openxmlformats.org/officeDocument/2006/relationships/hyperlink" Target="http://ipdas.ohri.ca/what.html" TargetMode="External"/><Relationship Id="rId25" Type="http://schemas.openxmlformats.org/officeDocument/2006/relationships/hyperlink" Target="https://www.sscr.nihr.ac.uk/wp-content/uploads/SSCR-research-findings_RF109.pdf" TargetMode="External"/><Relationship Id="rId33" Type="http://schemas.openxmlformats.org/officeDocument/2006/relationships/hyperlink" Target="http://www.melaniehenwood.com/perch/resources/cscifacslosttothesystem.pdf" TargetMode="External"/><Relationship Id="rId38" Type="http://schemas.openxmlformats.org/officeDocument/2006/relationships/hyperlink" Target="https://doi.org/10.1300/J381v08n04_05" TargetMode="External"/><Relationship Id="rId46" Type="http://schemas.openxmlformats.org/officeDocument/2006/relationships/hyperlink" Target="https://www.kingsfund.org.uk/sites/default/files/media/commission-background-paper-social-care-health-system-other-countries.pdf" TargetMode="External"/><Relationship Id="rId2" Type="http://schemas.openxmlformats.org/officeDocument/2006/relationships/styles" Target="styles.xml"/><Relationship Id="rId16" Type="http://schemas.openxmlformats.org/officeDocument/2006/relationships/hyperlink" Target="https://www.which.co.uk/later-life-care/financing-care/cost-of-care-and-eligibility-checker/" TargetMode="External"/><Relationship Id="rId20" Type="http://schemas.openxmlformats.org/officeDocument/2006/relationships/hyperlink" Target="https://doi.org/10.1093/geront/gnz045" TargetMode="External"/><Relationship Id="rId29" Type="http://schemas.openxmlformats.org/officeDocument/2006/relationships/hyperlink" Target="https://doi.org/10.1093/geront/44.4.520" TargetMode="External"/><Relationship Id="rId41" Type="http://schemas.openxmlformats.org/officeDocument/2006/relationships/hyperlink" Target="https://decisionaid.ohri.ca/docs/develop/User_Manuals/UM_Decision_SelfEfficacy.pdf" TargetMode="External"/><Relationship Id="rId54" Type="http://schemas.openxmlformats.org/officeDocument/2006/relationships/hyperlink" Target="https://doi.org/10.1186/s13643-019-103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das.ohri.ca/what.html" TargetMode="External"/><Relationship Id="rId24" Type="http://schemas.openxmlformats.org/officeDocument/2006/relationships/hyperlink" Target="https://www.sscr.nihr.ac.uk/wp-content/uploads/SSCR-research-findings_RF062.pdf" TargetMode="External"/><Relationship Id="rId32" Type="http://schemas.openxmlformats.org/officeDocument/2006/relationships/hyperlink" Target="http://doi.org/10.31389/jltc.8" TargetMode="External"/><Relationship Id="rId37" Type="http://schemas.openxmlformats.org/officeDocument/2006/relationships/hyperlink" Target="https://doi.org/10.1093/geront/47.2.244" TargetMode="External"/><Relationship Id="rId40" Type="http://schemas.openxmlformats.org/officeDocument/2006/relationships/hyperlink" Target="https://www.ncbi.nlm.nih.gov/pmc/articles/PMC2920798/" TargetMode="External"/><Relationship Id="rId45" Type="http://schemas.openxmlformats.org/officeDocument/2006/relationships/hyperlink" Target="https://ipc.brookes.ac.uk/publications/People_who_pay_for_care_-_report_12_1_11_final.pdf" TargetMode="External"/><Relationship Id="rId53" Type="http://schemas.openxmlformats.org/officeDocument/2006/relationships/hyperlink" Target="https://doi.org/10.1186/s12911-016-0281-8" TargetMode="External"/><Relationship Id="rId5" Type="http://schemas.openxmlformats.org/officeDocument/2006/relationships/footnotes" Target="footnotes.xml"/><Relationship Id="rId15" Type="http://schemas.openxmlformats.org/officeDocument/2006/relationships/hyperlink" Target="https://ukcareguide.co.uk/care-home-costs/" TargetMode="External"/><Relationship Id="rId23" Type="http://schemas.openxmlformats.org/officeDocument/2006/relationships/hyperlink" Target="https://doi.org/10.2196/jmir.9070" TargetMode="External"/><Relationship Id="rId28" Type="http://schemas.openxmlformats.org/officeDocument/2006/relationships/hyperlink" Target="https://doi.org/10.1111/hsc.12768" TargetMode="External"/><Relationship Id="rId36" Type="http://schemas.openxmlformats.org/officeDocument/2006/relationships/hyperlink" Target="https://doi.org/10.1177/0272989x13501721" TargetMode="External"/><Relationship Id="rId49" Type="http://schemas.openxmlformats.org/officeDocument/2006/relationships/hyperlink" Target="https://doi.org/10.1097/jgp.0b013e31822ccd8c" TargetMode="External"/><Relationship Id="rId57" Type="http://schemas.microsoft.com/office/2018/08/relationships/commentsExtensible" Target="commentsExtensible.xml"/><Relationship Id="rId10" Type="http://schemas.openxmlformats.org/officeDocument/2006/relationships/hyperlink" Target="mailto:kate.baxter@york.ac.uk" TargetMode="External"/><Relationship Id="rId19" Type="http://schemas.openxmlformats.org/officeDocument/2006/relationships/footer" Target="footer1.xml"/><Relationship Id="rId31" Type="http://schemas.openxmlformats.org/officeDocument/2006/relationships/hyperlink" Target="https://doi.org/10.2196/humanfactors.8387" TargetMode="External"/><Relationship Id="rId44" Type="http://schemas.openxmlformats.org/officeDocument/2006/relationships/hyperlink" Target="https://doi.org/10.1891/cmaj.2004.5.3.139" TargetMode="External"/><Relationship Id="rId52" Type="http://schemas.openxmlformats.org/officeDocument/2006/relationships/hyperlink" Target="https://doi.org/10.1007/s11606-014-2994-7" TargetMode="External"/><Relationship Id="rId4" Type="http://schemas.openxmlformats.org/officeDocument/2006/relationships/webSettings" Target="webSettings.xml"/><Relationship Id="rId9" Type="http://schemas.openxmlformats.org/officeDocument/2006/relationships/hyperlink" Target="https://orcid.org/0000-0002-3757-4257" TargetMode="External"/><Relationship Id="rId14" Type="http://schemas.openxmlformats.org/officeDocument/2006/relationships/hyperlink" Target="https://longtermcare.dartmouth.edu/" TargetMode="External"/><Relationship Id="rId22" Type="http://schemas.openxmlformats.org/officeDocument/2006/relationships/hyperlink" Target="https://doi.org/10.1080/1364557032000119616" TargetMode="External"/><Relationship Id="rId27" Type="http://schemas.openxmlformats.org/officeDocument/2006/relationships/hyperlink" Target="https://doi.org/10.1136/bmj.f4147" TargetMode="External"/><Relationship Id="rId30" Type="http://schemas.openxmlformats.org/officeDocument/2006/relationships/hyperlink" Target="https://doi.org/10.1186/s40900-016-0040-0" TargetMode="External"/><Relationship Id="rId35" Type="http://schemas.openxmlformats.org/officeDocument/2006/relationships/hyperlink" Target="http://ipdas.ohri.ca/" TargetMode="External"/><Relationship Id="rId43" Type="http://schemas.openxmlformats.org/officeDocument/2006/relationships/hyperlink" Target="https://doi.org/10.1177%2F073346402237632" TargetMode="External"/><Relationship Id="rId48" Type="http://schemas.openxmlformats.org/officeDocument/2006/relationships/hyperlink" Target="https://doi.apa.org/doi/10.1037/pas0000446" TargetMode="External"/><Relationship Id="rId56" Type="http://schemas.openxmlformats.org/officeDocument/2006/relationships/theme" Target="theme/theme1.xml"/><Relationship Id="rId8" Type="http://schemas.openxmlformats.org/officeDocument/2006/relationships/hyperlink" Target="https://orcid.org/0000-0002-4235-5307" TargetMode="External"/><Relationship Id="rId51" Type="http://schemas.openxmlformats.org/officeDocument/2006/relationships/hyperlink" Target="https://doi.org/10.1002/14651858.CD001431.pub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10609</Words>
  <Characters>60474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Mann</dc:creator>
  <cp:keywords/>
  <dc:description/>
  <cp:lastModifiedBy>Kate Baxter</cp:lastModifiedBy>
  <cp:revision>10</cp:revision>
  <dcterms:created xsi:type="dcterms:W3CDTF">2021-01-14T13:43:00Z</dcterms:created>
  <dcterms:modified xsi:type="dcterms:W3CDTF">2021-01-14T14:23:00Z</dcterms:modified>
</cp:coreProperties>
</file>